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6D2D" w:rsidRPr="0052502E" w14:paraId="3F7A1E3B" w14:textId="571BD592">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sidRPr="0052502E">
        <w:rPr>
          <w:rFonts w:ascii="Times New Roman"/>
          <w:b/>
          <w:bCs/>
        </w:rPr>
        <w:t>SUPPORTING STATEMENT FOR THE</w:t>
      </w:r>
    </w:p>
    <w:p w:rsidR="00606D2D" w:rsidRPr="0052502E" w14:paraId="4AE69553" w14:textId="77777777">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sidRPr="0052502E">
        <w:rPr>
          <w:rFonts w:ascii="Times New Roman"/>
          <w:b/>
          <w:bCs/>
        </w:rPr>
        <w:t>INF</w:t>
      </w:r>
      <w:r>
        <w:rPr>
          <w:rFonts w:ascii="Times New Roman"/>
          <w:b/>
          <w:bCs/>
        </w:rPr>
        <w:t xml:space="preserve">ORMATION </w:t>
      </w:r>
      <w:r w:rsidRPr="0052502E">
        <w:rPr>
          <w:rFonts w:ascii="Times New Roman"/>
          <w:b/>
          <w:bCs/>
        </w:rPr>
        <w:t>COLLECTION REQUIREMENTS IN THE</w:t>
      </w:r>
    </w:p>
    <w:p w:rsidR="00606D2D" w:rsidRPr="0052502E" w14:paraId="0AFB6D78" w14:textId="5794D595">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u w:val="single"/>
        </w:rPr>
      </w:pPr>
      <w:r w:rsidRPr="0052502E">
        <w:rPr>
          <w:rFonts w:ascii="Times New Roman"/>
          <w:b/>
          <w:bCs/>
        </w:rPr>
        <w:t>LEAD IN GENERAL INDUSTRY STANDARD (29 CFR 1910.1025)</w:t>
      </w:r>
      <w:r>
        <w:rPr>
          <w:rStyle w:val="FootnoteReference"/>
          <w:rFonts w:ascii="Times New Roman Bold" w:hAnsi="Times New Roman Bold"/>
          <w:b/>
          <w:bCs/>
          <w:sz w:val="22"/>
          <w:vertAlign w:val="superscript"/>
        </w:rPr>
        <w:footnoteReference w:id="3"/>
      </w:r>
    </w:p>
    <w:p w:rsidR="00CF2177" w:rsidP="56E51CD7" w14:paraId="6FC4C07F" w14:textId="34B211C2">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rPr>
      </w:pPr>
      <w:r>
        <w:rPr>
          <w:rFonts w:ascii="Times New Roman"/>
          <w:b/>
          <w:bCs/>
        </w:rPr>
        <w:t xml:space="preserve">OFFICE OF MANAGEMENT AND BUDGET </w:t>
      </w:r>
      <w:r w:rsidRPr="56E51CD7">
        <w:rPr>
          <w:rFonts w:ascii="Times New Roman"/>
          <w:b/>
          <w:bCs/>
        </w:rPr>
        <w:t xml:space="preserve">(OMB) </w:t>
      </w:r>
    </w:p>
    <w:p w:rsidR="00606D2D" w:rsidRPr="0052502E" w14:paraId="13CEBAB3" w14:textId="43A523F5">
      <w:pPr>
        <w:tabs>
          <w:tab w:val="left" w:pos="360"/>
          <w:tab w:val="left" w:pos="960"/>
          <w:tab w:val="left" w:pos="1560"/>
          <w:tab w:val="left" w:pos="2160"/>
          <w:tab w:val="left" w:pos="2760"/>
          <w:tab w:val="left" w:pos="3360"/>
          <w:tab w:val="left" w:pos="4080"/>
          <w:tab w:val="left" w:pos="4680"/>
          <w:tab w:val="left" w:pos="5280"/>
          <w:tab w:val="left" w:pos="5880"/>
        </w:tabs>
        <w:jc w:val="center"/>
        <w:rPr>
          <w:rFonts w:ascii="Times New Roman"/>
          <w:b/>
          <w:bCs/>
          <w:u w:val="single"/>
        </w:rPr>
      </w:pPr>
      <w:r w:rsidRPr="56E51CD7">
        <w:rPr>
          <w:rFonts w:ascii="Times New Roman"/>
          <w:b/>
          <w:bCs/>
        </w:rPr>
        <w:t>CONTROL NO. 1218-0092 (</w:t>
      </w:r>
      <w:r w:rsidR="00617C07">
        <w:rPr>
          <w:rFonts w:ascii="Times New Roman"/>
          <w:b/>
          <w:bCs/>
        </w:rPr>
        <w:t>Ju</w:t>
      </w:r>
      <w:r w:rsidR="002D009B">
        <w:rPr>
          <w:rFonts w:ascii="Times New Roman"/>
          <w:b/>
          <w:bCs/>
        </w:rPr>
        <w:t>ly</w:t>
      </w:r>
      <w:r w:rsidR="00617C07">
        <w:rPr>
          <w:rFonts w:ascii="Times New Roman"/>
          <w:b/>
          <w:bCs/>
        </w:rPr>
        <w:t xml:space="preserve"> </w:t>
      </w:r>
      <w:r w:rsidR="00356876">
        <w:rPr>
          <w:rFonts w:ascii="Times New Roman"/>
          <w:b/>
          <w:bCs/>
        </w:rPr>
        <w:t>202</w:t>
      </w:r>
      <w:r w:rsidR="00DB66E1">
        <w:rPr>
          <w:rFonts w:ascii="Times New Roman"/>
          <w:b/>
          <w:bCs/>
        </w:rPr>
        <w:t>5</w:t>
      </w:r>
      <w:r w:rsidRPr="56E51CD7">
        <w:rPr>
          <w:rFonts w:ascii="Times New Roman"/>
          <w:b/>
          <w:bCs/>
        </w:rPr>
        <w:t>)</w:t>
      </w:r>
    </w:p>
    <w:p w:rsidR="00D61996" w:rsidP="007428F5" w14:paraId="0B49B9DA" w14:textId="77777777">
      <w:pPr>
        <w:rPr>
          <w:rFonts w:ascii="Times New Roman"/>
        </w:rPr>
      </w:pPr>
    </w:p>
    <w:p w:rsidR="007428F5" w:rsidP="00D55B47" w14:paraId="3BBFA028" w14:textId="7B79EF94">
      <w:pPr>
        <w:rPr>
          <w:rFonts w:ascii="Times New Roman"/>
        </w:rPr>
      </w:pPr>
      <w:r w:rsidRPr="56E51CD7">
        <w:rPr>
          <w:rFonts w:ascii="Times New Roman"/>
        </w:rPr>
        <w:t>Th</w:t>
      </w:r>
      <w:r w:rsidR="00DC2BD9">
        <w:rPr>
          <w:rFonts w:ascii="Times New Roman"/>
        </w:rPr>
        <w:t>e agency is seeking</w:t>
      </w:r>
      <w:r w:rsidR="00DB66E1">
        <w:rPr>
          <w:rFonts w:ascii="Times New Roman"/>
        </w:rPr>
        <w:t xml:space="preserve"> </w:t>
      </w:r>
      <w:r w:rsidR="00DC1012">
        <w:rPr>
          <w:rFonts w:ascii="Times New Roman"/>
        </w:rPr>
        <w:t>an</w:t>
      </w:r>
      <w:r w:rsidR="00DB66E1">
        <w:rPr>
          <w:rFonts w:ascii="Times New Roman"/>
        </w:rPr>
        <w:t xml:space="preserve"> exten</w:t>
      </w:r>
      <w:r w:rsidR="00DC1012">
        <w:rPr>
          <w:rFonts w:ascii="Times New Roman"/>
        </w:rPr>
        <w:t>sion</w:t>
      </w:r>
      <w:r w:rsidR="009E2035">
        <w:rPr>
          <w:rFonts w:ascii="Times New Roman"/>
        </w:rPr>
        <w:t xml:space="preserve"> of the currently</w:t>
      </w:r>
      <w:r w:rsidRPr="56E51CD7" w:rsidR="22F0DA6A">
        <w:rPr>
          <w:rFonts w:ascii="Times New Roman"/>
        </w:rPr>
        <w:t xml:space="preserve"> approved </w:t>
      </w:r>
      <w:r>
        <w:rPr>
          <w:rFonts w:ascii="Times New Roman"/>
        </w:rPr>
        <w:t xml:space="preserve">information </w:t>
      </w:r>
      <w:r w:rsidRPr="56E51CD7" w:rsidR="22F0DA6A">
        <w:rPr>
          <w:rFonts w:ascii="Times New Roman"/>
        </w:rPr>
        <w:t>collection</w:t>
      </w:r>
      <w:r w:rsidR="00EC2A43">
        <w:rPr>
          <w:rFonts w:ascii="Times New Roman"/>
        </w:rPr>
        <w:t>.</w:t>
      </w:r>
    </w:p>
    <w:p w:rsidR="007428F5" w:rsidP="00D55B47" w14:paraId="386EADC9" w14:textId="77777777">
      <w:pPr>
        <w:rPr>
          <w:rFonts w:ascii="Times New Roman"/>
        </w:rPr>
      </w:pPr>
    </w:p>
    <w:p w:rsidR="00E012CD" w:rsidRPr="00844FB9" w:rsidP="00D55B47" w14:paraId="491E9D3E" w14:textId="738B0C95">
      <w:pPr>
        <w:rPr>
          <w:rFonts w:ascii="Times New Roman"/>
          <w:b/>
        </w:rPr>
      </w:pPr>
      <w:r w:rsidRPr="00844FB9">
        <w:rPr>
          <w:rFonts w:ascii="Times New Roman"/>
          <w:b/>
        </w:rPr>
        <w:t>A. JUSTIFICATION</w:t>
      </w:r>
    </w:p>
    <w:p w:rsidR="00E012CD" w:rsidRPr="00844FB9" w:rsidP="00E012CD" w14:paraId="36832A11"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844FB9" w:rsidP="00E012CD" w14:paraId="60F1A025" w14:textId="6947E95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 xml:space="preserve"> 1.</w:t>
      </w:r>
      <w:r w:rsidRPr="56E51CD7" w:rsidR="2CD7BE93">
        <w:rPr>
          <w:rFonts w:ascii="Times New Roman"/>
          <w:b/>
          <w:bCs/>
        </w:rPr>
        <w:t xml:space="preserve"> </w:t>
      </w:r>
      <w:r w:rsidRPr="56E51CD7">
        <w:rPr>
          <w:rFonts w:ascii="Times New Roman"/>
          <w:b/>
          <w:bCs/>
        </w:rPr>
        <w:t>Explain the circumstances that make the collection of information necessary.</w:t>
      </w:r>
      <w:r w:rsidRPr="56E51CD7" w:rsidR="2CD7BE93">
        <w:rPr>
          <w:rFonts w:ascii="Times New Roman"/>
          <w:b/>
          <w:bCs/>
        </w:rPr>
        <w:t xml:space="preserve"> </w:t>
      </w:r>
      <w:r w:rsidRPr="56E51CD7">
        <w:rPr>
          <w:rFonts w:ascii="Times New Roman"/>
          <w:b/>
          <w:bCs/>
        </w:rPr>
        <w:t>Identify any legal or administrative requirements that necessitate the collection.</w:t>
      </w:r>
      <w:r w:rsidRPr="56E51CD7" w:rsidR="2CD7BE93">
        <w:rPr>
          <w:rFonts w:ascii="Times New Roman"/>
          <w:b/>
          <w:bCs/>
        </w:rPr>
        <w:t xml:space="preserve"> </w:t>
      </w:r>
      <w:r w:rsidRPr="56E51CD7">
        <w:rPr>
          <w:rFonts w:ascii="Times New Roman"/>
          <w:b/>
          <w:bCs/>
        </w:rPr>
        <w:t>Attach a copy of the appropriate section of each statute and regulation mandating or authorizing the collection of information.</w:t>
      </w:r>
    </w:p>
    <w:p w:rsidR="00E012CD" w:rsidRPr="0052502E" w:rsidP="00E012CD" w14:paraId="3099A0B5"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E012CD" w:rsidRPr="0052502E" w:rsidP="00E012CD" w14:paraId="10B6FD7F" w14:textId="7A82508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main objective of the Occupational Safety and Health Act (OSH Act</w:t>
      </w:r>
      <w:r w:rsidR="00EB4383">
        <w:rPr>
          <w:rFonts w:ascii="Times New Roman"/>
        </w:rPr>
        <w:t xml:space="preserve"> or Act</w:t>
      </w:r>
      <w:r w:rsidRPr="0052502E">
        <w:rPr>
          <w:rFonts w:ascii="Times New Roman"/>
        </w:rPr>
        <w:t xml:space="preserve">) is to </w:t>
      </w:r>
      <w:r>
        <w:rPr>
          <w:rFonts w:ascii="Times New Roman"/>
        </w:rPr>
        <w:t>"</w:t>
      </w:r>
      <w:r w:rsidRPr="0052502E">
        <w:rPr>
          <w:rFonts w:ascii="Times New Roman"/>
        </w:rPr>
        <w:t>assure so far as possible every working man and woman in the Nation safe and healthful working conditions and to preserve</w:t>
      </w:r>
      <w:r w:rsidR="00797DFD">
        <w:rPr>
          <w:rFonts w:ascii="Times New Roman"/>
        </w:rPr>
        <w:t xml:space="preserve"> </w:t>
      </w:r>
      <w:r w:rsidRPr="0052502E">
        <w:rPr>
          <w:rFonts w:ascii="Times New Roman"/>
        </w:rPr>
        <w:t>our human resources</w:t>
      </w:r>
      <w:r>
        <w:rPr>
          <w:rFonts w:ascii="Times New Roman"/>
        </w:rPr>
        <w:t>"</w:t>
      </w:r>
      <w:r w:rsidRPr="0052502E">
        <w:rPr>
          <w:rFonts w:ascii="Times New Roman"/>
        </w:rPr>
        <w:t xml:space="preserve"> (29 U.S.C. 651)</w:t>
      </w:r>
      <w:r>
        <w:rPr>
          <w:rFonts w:ascii="Times New Roman"/>
        </w:rPr>
        <w:t>.</w:t>
      </w:r>
      <w:r w:rsidRPr="0052502E">
        <w:rPr>
          <w:rFonts w:ascii="Times New Roman"/>
        </w:rPr>
        <w:t xml:space="preserve"> To achieve this objective, the OSH Act specifically authorizes </w:t>
      </w:r>
      <w:r>
        <w:rPr>
          <w:rFonts w:ascii="Times New Roman"/>
        </w:rPr>
        <w:t>"</w:t>
      </w:r>
      <w:r w:rsidRPr="0052502E">
        <w:rPr>
          <w:rFonts w:ascii="Times New Roman"/>
        </w:rPr>
        <w:t xml:space="preserve">the development and promulgation of occupational safety and health </w:t>
      </w:r>
      <w:r w:rsidR="000754FC">
        <w:rPr>
          <w:rFonts w:ascii="Times New Roman"/>
        </w:rPr>
        <w:t>standards</w:t>
      </w:r>
      <w:r>
        <w:rPr>
          <w:rFonts w:ascii="Times New Roman"/>
        </w:rPr>
        <w:t>"</w:t>
      </w:r>
      <w:r w:rsidRPr="0052502E">
        <w:rPr>
          <w:rFonts w:ascii="Times New Roman"/>
        </w:rPr>
        <w:t xml:space="preserve"> (29 U.S.C. 651)</w:t>
      </w:r>
      <w:r>
        <w:rPr>
          <w:rFonts w:ascii="Times New Roman"/>
        </w:rPr>
        <w:t>.</w:t>
      </w:r>
    </w:p>
    <w:p w:rsidR="00E012CD" w:rsidRPr="0052502E" w:rsidP="00E012CD" w14:paraId="5727BE63"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006F36E7" w14:paraId="2ABFC038" w14:textId="6822C0E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 xml:space="preserve">To protect </w:t>
      </w:r>
      <w:r w:rsidRPr="56E51CD7" w:rsidR="0FC13A8A">
        <w:rPr>
          <w:rFonts w:ascii="Times New Roman"/>
        </w:rPr>
        <w:t>worker</w:t>
      </w:r>
      <w:r w:rsidRPr="56E51CD7">
        <w:rPr>
          <w:rFonts w:ascii="Times New Roman"/>
        </w:rPr>
        <w:t xml:space="preserve"> health, the OSH Act authorizes the Occupational Safety and Health Administration (OSHA</w:t>
      </w:r>
      <w:r w:rsidRPr="56E51CD7" w:rsidR="21510043">
        <w:rPr>
          <w:rFonts w:ascii="Times New Roman"/>
        </w:rPr>
        <w:t xml:space="preserve"> or agency</w:t>
      </w:r>
      <w:r w:rsidRPr="56E51CD7">
        <w:rPr>
          <w:rFonts w:ascii="Times New Roman"/>
        </w:rPr>
        <w:t>) to develop standards that provide for "monitoring or measuring employee exposure" to occupational hazards and</w:t>
      </w:r>
      <w:r w:rsidRPr="56E51CD7" w:rsidR="667F6AA9">
        <w:rPr>
          <w:rFonts w:ascii="Times New Roman"/>
        </w:rPr>
        <w:t xml:space="preserve"> that</w:t>
      </w:r>
      <w:r w:rsidRPr="56E51CD7">
        <w:rPr>
          <w:rFonts w:ascii="Times New Roman"/>
        </w:rPr>
        <w:t xml:space="preserve">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w:t>
      </w:r>
      <w:r w:rsidRPr="56E51CD7" w:rsidR="7CE51E4D">
        <w:rPr>
          <w:rFonts w:ascii="Times New Roman"/>
        </w:rPr>
        <w:t xml:space="preserve">Moreover, the OSH Act directs OSHA to "issue regulations requiring employers to maintain accurate records of employee exposure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w:t>
      </w:r>
      <w:r w:rsidRPr="56E51CD7">
        <w:rPr>
          <w:rFonts w:ascii="Times New Roman"/>
        </w:rPr>
        <w:t>In addition, the OSH Act mandates that "[e]ach e</w:t>
      </w:r>
      <w:r w:rsidRPr="56E51CD7">
        <w:rPr>
          <w:rFonts w:ascii="Times New Roman"/>
        </w:rPr>
        <w:t>mployer shall make, keep and preserve, and make available to the Secretary [of Labor] . . . such records regarding [</w:t>
      </w:r>
      <w:r w:rsidRPr="56E51CD7" w:rsidR="7A866118">
        <w:rPr>
          <w:rFonts w:ascii="Times New Roman"/>
        </w:rPr>
        <w:t>their</w:t>
      </w:r>
      <w:r w:rsidRPr="56E51CD7">
        <w:rPr>
          <w:rFonts w:ascii="Times New Roman"/>
        </w:rPr>
        <w:t>] activities relating to this Act as the Secretary . . . may prescribe by regulation as necessary or appropriate for the enforcement of this Act or for developing information regarding the causes and prevention of occupational accidents and illnesses" (29 U.S.C. 657).</w:t>
      </w:r>
      <w:r w:rsidRPr="56E51CD7" w:rsidR="2CD7BE93">
        <w:rPr>
          <w:rFonts w:ascii="Times New Roman"/>
        </w:rPr>
        <w:t xml:space="preserve"> </w:t>
      </w:r>
      <w:r w:rsidRPr="56E51CD7">
        <w:rPr>
          <w:rFonts w:ascii="Times New Roman"/>
        </w:rPr>
        <w:t>The Act states further that "[t]he Secretary . . . shall . . . prescribe such rules and regulations as [</w:t>
      </w:r>
      <w:r w:rsidRPr="56E51CD7" w:rsidR="664F8230">
        <w:rPr>
          <w:rFonts w:ascii="Times New Roman"/>
        </w:rPr>
        <w:t>they</w:t>
      </w:r>
      <w:r w:rsidRPr="56E51CD7">
        <w:rPr>
          <w:rFonts w:ascii="Times New Roman"/>
        </w:rPr>
        <w:t>] may deem necessary to carry out [</w:t>
      </w:r>
      <w:r w:rsidRPr="56E51CD7" w:rsidR="664F8230">
        <w:rPr>
          <w:rFonts w:ascii="Times New Roman"/>
        </w:rPr>
        <w:t>their</w:t>
      </w:r>
      <w:r w:rsidRPr="56E51CD7">
        <w:rPr>
          <w:rFonts w:ascii="Times New Roman"/>
        </w:rPr>
        <w:t>]</w:t>
      </w:r>
      <w:r w:rsidRPr="56E51CD7" w:rsidR="55356942">
        <w:rPr>
          <w:rFonts w:ascii="Times New Roman"/>
        </w:rPr>
        <w:t xml:space="preserve"> r</w:t>
      </w:r>
      <w:r w:rsidRPr="56E51CD7">
        <w:rPr>
          <w:rFonts w:ascii="Times New Roman"/>
        </w:rPr>
        <w:t>esponsibilities under this Act, including rules and regulations dealing with the inspection of an employer's establishment" (29 U.S.C. 651).</w:t>
      </w:r>
    </w:p>
    <w:p w:rsidR="00E012CD" w:rsidRPr="0052502E" w:rsidP="00E012CD" w14:paraId="193DFF89"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00E012CD" w14:paraId="3D2E44CF" w14:textId="147EDE9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 xml:space="preserve">Pursuant to its statutory authority, OSHA promulgated a health standard governing </w:t>
      </w:r>
      <w:r w:rsidRPr="56E51CD7" w:rsidR="0FC13A8A">
        <w:rPr>
          <w:rFonts w:ascii="Times New Roman"/>
        </w:rPr>
        <w:t>worker</w:t>
      </w:r>
      <w:r w:rsidRPr="56E51CD7">
        <w:rPr>
          <w:rFonts w:ascii="Times New Roman"/>
        </w:rPr>
        <w:t xml:space="preserve"> exposure to lead for general industry (29 CFR 1910.1025</w:t>
      </w:r>
      <w:r w:rsidRPr="56E51CD7" w:rsidR="70EE41A8">
        <w:rPr>
          <w:rFonts w:ascii="Times New Roman"/>
        </w:rPr>
        <w:t>)</w:t>
      </w:r>
      <w:r w:rsidRPr="56E51CD7">
        <w:rPr>
          <w:rFonts w:ascii="Times New Roman"/>
        </w:rPr>
        <w:t>. The standard applies to all operations where exposure to lead may occur, except the construction and agricultural sectors.</w:t>
      </w:r>
      <w:r w:rsidRPr="56E51CD7" w:rsidR="2CD7BE93">
        <w:rPr>
          <w:rFonts w:ascii="Times New Roman"/>
        </w:rPr>
        <w:t xml:space="preserve"> </w:t>
      </w:r>
      <w:r w:rsidRPr="56E51CD7">
        <w:rPr>
          <w:rFonts w:ascii="Times New Roman"/>
        </w:rPr>
        <w:t xml:space="preserve">The purpose of this regulation is to </w:t>
      </w:r>
      <w:r w:rsidRPr="56E51CD7" w:rsidR="3DEF42A6">
        <w:rPr>
          <w:rFonts w:ascii="Times New Roman"/>
        </w:rPr>
        <w:t>protect</w:t>
      </w:r>
      <w:r w:rsidRPr="56E51CD7">
        <w:rPr>
          <w:rFonts w:ascii="Times New Roman"/>
        </w:rPr>
        <w:t xml:space="preserve"> </w:t>
      </w:r>
      <w:r w:rsidRPr="56E51CD7" w:rsidR="0FC13A8A">
        <w:rPr>
          <w:rFonts w:ascii="Times New Roman"/>
        </w:rPr>
        <w:t>worker</w:t>
      </w:r>
      <w:r w:rsidRPr="56E51CD7">
        <w:rPr>
          <w:rFonts w:ascii="Times New Roman"/>
        </w:rPr>
        <w:t>s from the health effects associated with occupational exposure to lead.</w:t>
      </w:r>
      <w:r w:rsidRPr="56E51CD7" w:rsidR="78B10E43">
        <w:rPr>
          <w:rFonts w:ascii="Times New Roman"/>
        </w:rPr>
        <w:t xml:space="preserve"> Such exposure may cause </w:t>
      </w:r>
      <w:r w:rsidRPr="56E51CD7" w:rsidR="45D7D5E6">
        <w:rPr>
          <w:rFonts w:ascii="Times New Roman"/>
        </w:rPr>
        <w:t>lead poisoning,</w:t>
      </w:r>
      <w:r w:rsidRPr="56E51CD7" w:rsidR="7EE6095F">
        <w:rPr>
          <w:rFonts w:ascii="Times New Roman"/>
        </w:rPr>
        <w:t xml:space="preserve"> anemia,</w:t>
      </w:r>
      <w:r w:rsidRPr="56E51CD7" w:rsidR="45D7D5E6">
        <w:rPr>
          <w:rFonts w:ascii="Times New Roman"/>
        </w:rPr>
        <w:t xml:space="preserve"> </w:t>
      </w:r>
      <w:r w:rsidRPr="56E51CD7" w:rsidR="3DC6800A">
        <w:rPr>
          <w:rFonts w:ascii="Times New Roman"/>
        </w:rPr>
        <w:t>heart disease, kidney disease, reduced fertility, and death</w:t>
      </w:r>
      <w:r w:rsidRPr="56E51CD7" w:rsidR="1AA4F756">
        <w:rPr>
          <w:rFonts w:ascii="Times New Roman"/>
        </w:rPr>
        <w:t>. Items 2 and 12 below list and describe the specific information collection requirements of the standard.</w:t>
      </w:r>
      <w:r w:rsidRPr="56E51CD7">
        <w:rPr>
          <w:rFonts w:ascii="Times New Roman"/>
        </w:rPr>
        <w:t xml:space="preserve"> </w:t>
      </w:r>
    </w:p>
    <w:p w:rsidR="00E012CD" w:rsidP="00E012CD" w14:paraId="33128E3E"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E012CD" w:rsidRPr="00844FB9" w:rsidP="00C83F6C" w14:paraId="69E7C094" w14:textId="09D48C8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2.</w:t>
      </w:r>
      <w:r w:rsidRPr="56E51CD7" w:rsidR="2CD7BE93">
        <w:rPr>
          <w:rFonts w:ascii="Times New Roman"/>
          <w:b/>
          <w:bCs/>
        </w:rPr>
        <w:t xml:space="preserve"> </w:t>
      </w:r>
      <w:r w:rsidRPr="56E51CD7">
        <w:rPr>
          <w:rFonts w:ascii="Times New Roman"/>
          <w:b/>
          <w:bCs/>
        </w:rPr>
        <w:t>Indicate how, by whom, and for what purpose the information is to be used.</w:t>
      </w:r>
      <w:r w:rsidRPr="56E51CD7" w:rsidR="2CD7BE93">
        <w:rPr>
          <w:rFonts w:ascii="Times New Roman"/>
          <w:b/>
          <w:bCs/>
        </w:rPr>
        <w:t xml:space="preserve"> </w:t>
      </w:r>
      <w:r w:rsidRPr="56E51CD7">
        <w:rPr>
          <w:rFonts w:ascii="Times New Roman"/>
          <w:b/>
          <w:bCs/>
        </w:rPr>
        <w:t>Except for a new collection, indicate the actual use the agency has made of the information received from the current collection.</w:t>
      </w:r>
    </w:p>
    <w:p w:rsidR="00E012CD" w:rsidP="00C83F6C" w14:paraId="7AD3E8B8" w14:textId="2FE1738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E02F24" w:rsidP="00C83F6C" w14:paraId="38FA0305" w14:textId="68539E8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r w:rsidRPr="56E51CD7">
        <w:rPr>
          <w:rFonts w:ascii="Times New Roman"/>
        </w:rPr>
        <w:t>The following collection of information requirements will help employers to monitor worker exposure to lead, to take action to reduce worker exposure to the permissible exposure limit (PEL), to monitor worker health, and to provide workers with information about their exposures and the health effects of lead.</w:t>
      </w:r>
    </w:p>
    <w:p w:rsidR="000063F9" w:rsidRPr="0052502E" w:rsidP="00C83F6C" w14:paraId="6FF917AD"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E012CD" w:rsidP="00C83F6C" w14:paraId="2E93DDD2" w14:textId="5FF0494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 xml:space="preserve">A. </w:t>
      </w:r>
      <w:r w:rsidRPr="56E51CD7" w:rsidR="70322B03">
        <w:rPr>
          <w:rFonts w:ascii="Times New Roman"/>
          <w:b/>
          <w:bCs/>
        </w:rPr>
        <w:t>Exposure Monitoring (</w:t>
      </w:r>
      <w:r w:rsidRPr="56E51CD7" w:rsidR="0AFFCAB6">
        <w:rPr>
          <w:rFonts w:ascii="Times New Roman"/>
          <w:b/>
          <w:bCs/>
        </w:rPr>
        <w:t>§</w:t>
      </w:r>
      <w:r w:rsidRPr="56E51CD7">
        <w:rPr>
          <w:rFonts w:ascii="Times New Roman"/>
          <w:b/>
          <w:bCs/>
        </w:rPr>
        <w:t xml:space="preserve"> </w:t>
      </w:r>
      <w:r w:rsidRPr="56E51CD7" w:rsidR="0AFFCAB6">
        <w:rPr>
          <w:rFonts w:ascii="Times New Roman"/>
          <w:b/>
          <w:bCs/>
        </w:rPr>
        <w:t>1</w:t>
      </w:r>
      <w:r w:rsidRPr="56E51CD7" w:rsidR="70322B03">
        <w:rPr>
          <w:rFonts w:ascii="Times New Roman"/>
          <w:b/>
          <w:bCs/>
        </w:rPr>
        <w:t>910.1025(d))</w:t>
      </w:r>
    </w:p>
    <w:p w:rsidR="00865AEB" w:rsidP="00C83F6C" w14:paraId="39E514C3" w14:textId="245A587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865AEB" w:rsidP="56E51CD7" w14:paraId="39011FC8" w14:textId="14E1BA9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 xml:space="preserve">General </w:t>
      </w:r>
      <w:r w:rsidRPr="56E51CD7" w:rsidR="77715E23">
        <w:rPr>
          <w:rFonts w:ascii="Times New Roman"/>
          <w:i/>
          <w:iCs/>
        </w:rPr>
        <w:t>(</w:t>
      </w:r>
      <w:r w:rsidRPr="56E51CD7" w:rsidR="29183B5D">
        <w:rPr>
          <w:rFonts w:ascii="Times New Roman"/>
          <w:i/>
          <w:iCs/>
        </w:rPr>
        <w:t>§</w:t>
      </w:r>
      <w:r w:rsidRPr="56E51CD7">
        <w:rPr>
          <w:rFonts w:ascii="Times New Roman"/>
          <w:b/>
          <w:bCs/>
        </w:rPr>
        <w:t xml:space="preserve"> </w:t>
      </w:r>
      <w:r w:rsidRPr="56E51CD7">
        <w:rPr>
          <w:rFonts w:ascii="Times New Roman"/>
          <w:i/>
          <w:iCs/>
        </w:rPr>
        <w:t>1910</w:t>
      </w:r>
      <w:r w:rsidRPr="56E51CD7" w:rsidR="19C36123">
        <w:rPr>
          <w:rFonts w:ascii="Times New Roman"/>
          <w:i/>
          <w:iCs/>
        </w:rPr>
        <w:t>.1025(d)(</w:t>
      </w:r>
      <w:r w:rsidRPr="56E51CD7" w:rsidR="19C36123">
        <w:rPr>
          <w:rFonts w:ascii="Times New Roman"/>
          <w:i/>
          <w:iCs/>
        </w:rPr>
        <w:t>1)(</w:t>
      </w:r>
      <w:r w:rsidRPr="56E51CD7" w:rsidR="7F786694">
        <w:rPr>
          <w:rFonts w:ascii="Times New Roman"/>
          <w:i/>
          <w:iCs/>
        </w:rPr>
        <w:t>i</w:t>
      </w:r>
      <w:r w:rsidRPr="56E51CD7" w:rsidR="29183B5D">
        <w:rPr>
          <w:rFonts w:ascii="Times New Roman"/>
          <w:i/>
          <w:iCs/>
        </w:rPr>
        <w:t>-iii</w:t>
      </w:r>
      <w:r w:rsidRPr="56E51CD7" w:rsidR="19C36123">
        <w:rPr>
          <w:rFonts w:ascii="Times New Roman"/>
          <w:i/>
          <w:iCs/>
        </w:rPr>
        <w:t>)</w:t>
      </w:r>
      <w:r w:rsidRPr="56E51CD7" w:rsidR="77715E23">
        <w:rPr>
          <w:rFonts w:ascii="Times New Roman"/>
          <w:i/>
          <w:iCs/>
        </w:rPr>
        <w:t>)</w:t>
      </w:r>
    </w:p>
    <w:p w:rsidR="00DB5D58" w:rsidP="00C83F6C" w14:paraId="18ED7CE6" w14:textId="69DD50F4">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p>
    <w:p w:rsidR="00E012CD" w:rsidRPr="0052502E" w:rsidP="00C83F6C" w14:paraId="79B1883E" w14:textId="0095F309">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1438C5">
        <w:rPr>
          <w:rFonts w:ascii="Times New Roman"/>
        </w:rPr>
        <w:t>For the purposes of paragraph (d), employee exposure is that exposure which would occur i</w:t>
      </w:r>
      <w:r w:rsidRPr="001438C5" w:rsidR="00021A6F">
        <w:rPr>
          <w:rFonts w:ascii="Times New Roman"/>
        </w:rPr>
        <w:t xml:space="preserve">f the employee were not using a respirator. </w:t>
      </w:r>
      <w:r w:rsidRPr="001438C5" w:rsidR="00021A6F">
        <w:rPr>
          <w:rFonts w:ascii="Times New Roman"/>
        </w:rPr>
        <w:t>With the exception of</w:t>
      </w:r>
      <w:r w:rsidRPr="001438C5" w:rsidR="00021A6F">
        <w:rPr>
          <w:rFonts w:ascii="Times New Roman"/>
        </w:rPr>
        <w:t xml:space="preserve"> monitoring under paragraph (d)(3), the employer shall collect full shift (for at least 7 continuous hours) personal samples including at least one sample for each shift for each job classification in each work area. Full shift personal samples shall be representative of the monitored employee’s regular, daily exposure to lead. </w:t>
      </w:r>
    </w:p>
    <w:p w:rsidR="00E33B0A" w:rsidP="00C83F6C" w14:paraId="5C68A555"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E012CD" w:rsidRPr="0052502E" w:rsidP="00C83F6C" w14:paraId="2AC4B340" w14:textId="64243741">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1438C5">
        <w:rPr>
          <w:rFonts w:ascii="Times New Roman"/>
          <w:b/>
          <w:bCs/>
        </w:rPr>
        <w:t>Purpose</w:t>
      </w:r>
      <w:r>
        <w:rPr>
          <w:rFonts w:ascii="Times New Roman"/>
        </w:rPr>
        <w:t xml:space="preserve">: </w:t>
      </w:r>
      <w:r w:rsidRPr="0052502E">
        <w:rPr>
          <w:rFonts w:ascii="Times New Roman"/>
        </w:rPr>
        <w:t xml:space="preserve">The exposure monitoring and </w:t>
      </w:r>
      <w:r w:rsidR="00CD4427">
        <w:rPr>
          <w:rFonts w:ascii="Times New Roman"/>
        </w:rPr>
        <w:t>worker</w:t>
      </w:r>
      <w:r w:rsidRPr="0052502E">
        <w:rPr>
          <w:rFonts w:ascii="Times New Roman"/>
        </w:rPr>
        <w:t xml:space="preserve"> notification requirements of this standard protect the health and safety of </w:t>
      </w:r>
      <w:r w:rsidR="00CD4427">
        <w:rPr>
          <w:rFonts w:ascii="Times New Roman"/>
        </w:rPr>
        <w:t>worker</w:t>
      </w:r>
      <w:r w:rsidRPr="0052502E">
        <w:rPr>
          <w:rFonts w:ascii="Times New Roman"/>
        </w:rPr>
        <w:t xml:space="preserve">s who work with lead by providing both the employer and the </w:t>
      </w:r>
      <w:r w:rsidR="00CD4427">
        <w:rPr>
          <w:rFonts w:ascii="Times New Roman"/>
        </w:rPr>
        <w:t>worker</w:t>
      </w:r>
      <w:r w:rsidRPr="0052502E">
        <w:rPr>
          <w:rFonts w:ascii="Times New Roman"/>
        </w:rPr>
        <w:t xml:space="preserve"> with information regarding exposures to this toxic substance.</w:t>
      </w:r>
    </w:p>
    <w:p w:rsidR="00E012CD" w:rsidRPr="0052502E" w:rsidP="00C83F6C" w14:paraId="571D7A7C"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021A6F" w:rsidP="56E51CD7" w14:paraId="7E7198AD" w14:textId="42782538">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 xml:space="preserve">Initial Determination </w:t>
      </w:r>
      <w:r w:rsidRPr="56E51CD7" w:rsidR="34B53F8A">
        <w:rPr>
          <w:rFonts w:ascii="Times New Roman"/>
          <w:i/>
          <w:iCs/>
        </w:rPr>
        <w:t>(</w:t>
      </w:r>
      <w:r w:rsidRPr="56E51CD7">
        <w:rPr>
          <w:rFonts w:ascii="Times New Roman"/>
          <w:i/>
          <w:iCs/>
        </w:rPr>
        <w:t>§</w:t>
      </w:r>
      <w:r w:rsidRPr="56E51CD7">
        <w:rPr>
          <w:rFonts w:ascii="Times New Roman"/>
          <w:b/>
          <w:bCs/>
        </w:rPr>
        <w:t xml:space="preserve"> </w:t>
      </w:r>
      <w:r w:rsidRPr="56E51CD7">
        <w:rPr>
          <w:rFonts w:ascii="Times New Roman"/>
          <w:i/>
          <w:iCs/>
        </w:rPr>
        <w:t>1910.1025(d)(2)</w:t>
      </w:r>
      <w:r w:rsidRPr="56E51CD7" w:rsidR="6D79C2ED">
        <w:rPr>
          <w:rFonts w:ascii="Times New Roman"/>
          <w:i/>
          <w:iCs/>
        </w:rPr>
        <w:t>)</w:t>
      </w:r>
    </w:p>
    <w:p w:rsidR="00021A6F" w:rsidRPr="001438C5" w:rsidP="001438C5" w14:paraId="149D5F3B"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p>
    <w:p w:rsidR="00021A6F" w:rsidP="00C83F6C" w14:paraId="73C46586" w14:textId="2F77EBF0">
      <w:pPr>
        <w:rPr>
          <w:rFonts w:ascii="Times New Roman"/>
        </w:rPr>
      </w:pPr>
      <w:r>
        <w:rPr>
          <w:rFonts w:ascii="Times New Roman"/>
        </w:rPr>
        <w:t>Each employer who has a workplace or work operation covered b</w:t>
      </w:r>
      <w:r w:rsidR="00D77246">
        <w:rPr>
          <w:rFonts w:ascii="Times New Roman"/>
        </w:rPr>
        <w:t>y</w:t>
      </w:r>
      <w:r>
        <w:rPr>
          <w:rFonts w:ascii="Times New Roman"/>
        </w:rPr>
        <w:t xml:space="preserve"> this standard shall determine if any employee may be exposed to lead at or above the action level. </w:t>
      </w:r>
    </w:p>
    <w:p w:rsidR="003461FA" w:rsidP="001438C5" w14:paraId="61A1441B" w14:textId="77777777">
      <w:pPr>
        <w:rPr>
          <w:rFonts w:ascii="Times New Roman"/>
        </w:rPr>
      </w:pPr>
    </w:p>
    <w:p w:rsidR="00021A6F" w:rsidP="56E51CD7" w14:paraId="1DFDA021" w14:textId="4F0061EC">
      <w:pPr>
        <w:rPr>
          <w:rFonts w:ascii="Times New Roman"/>
          <w:i/>
          <w:iCs/>
        </w:rPr>
      </w:pPr>
      <w:r w:rsidRPr="56E51CD7">
        <w:rPr>
          <w:rFonts w:ascii="Times New Roman"/>
          <w:i/>
          <w:iCs/>
        </w:rPr>
        <w:t xml:space="preserve">Basis of Initial Determination </w:t>
      </w:r>
      <w:r w:rsidRPr="56E51CD7" w:rsidR="4C7B1E8A">
        <w:rPr>
          <w:rFonts w:ascii="Times New Roman"/>
          <w:i/>
          <w:iCs/>
        </w:rPr>
        <w:t>(</w:t>
      </w:r>
      <w:r w:rsidRPr="56E51CD7">
        <w:rPr>
          <w:rFonts w:ascii="Times New Roman"/>
          <w:i/>
          <w:iCs/>
        </w:rPr>
        <w:t>§</w:t>
      </w:r>
      <w:r w:rsidRPr="56E51CD7">
        <w:rPr>
          <w:rFonts w:ascii="Times New Roman"/>
          <w:b/>
          <w:bCs/>
        </w:rPr>
        <w:t xml:space="preserve"> </w:t>
      </w:r>
      <w:r w:rsidRPr="56E51CD7">
        <w:rPr>
          <w:rFonts w:ascii="Times New Roman"/>
          <w:i/>
          <w:iCs/>
        </w:rPr>
        <w:t>1910.1025(d)(3)</w:t>
      </w:r>
      <w:r w:rsidRPr="56E51CD7" w:rsidR="4C7B1E8A">
        <w:rPr>
          <w:rFonts w:ascii="Times New Roman"/>
          <w:i/>
          <w:iCs/>
        </w:rPr>
        <w:t>)</w:t>
      </w:r>
    </w:p>
    <w:p w:rsidR="003461FA" w:rsidRPr="001438C5" w:rsidP="001438C5" w14:paraId="5CB98701" w14:textId="77777777">
      <w:pPr>
        <w:rPr>
          <w:rFonts w:ascii="Times New Roman"/>
          <w:i/>
          <w:iCs/>
        </w:rPr>
      </w:pPr>
    </w:p>
    <w:p w:rsidR="00021A6F" w:rsidP="56E51CD7" w14:paraId="3EBCD9AD" w14:textId="26A326AA">
      <w:pPr>
        <w:rPr>
          <w:rFonts w:ascii="Times New Roman"/>
          <w:i/>
          <w:iCs/>
        </w:rPr>
      </w:pPr>
      <w:r w:rsidRPr="56E51CD7">
        <w:rPr>
          <w:rFonts w:ascii="Times New Roman"/>
          <w:i/>
          <w:iCs/>
        </w:rPr>
        <w:t>§</w:t>
      </w:r>
      <w:r w:rsidRPr="56E51CD7">
        <w:rPr>
          <w:rFonts w:ascii="Times New Roman"/>
          <w:b/>
          <w:bCs/>
        </w:rPr>
        <w:t xml:space="preserve"> </w:t>
      </w:r>
      <w:r w:rsidRPr="56E51CD7">
        <w:rPr>
          <w:rFonts w:ascii="Times New Roman"/>
          <w:i/>
          <w:iCs/>
        </w:rPr>
        <w:t>1910.1025(d)(3)(</w:t>
      </w:r>
      <w:r w:rsidRPr="56E51CD7">
        <w:rPr>
          <w:rFonts w:ascii="Times New Roman"/>
          <w:i/>
          <w:iCs/>
        </w:rPr>
        <w:t>i</w:t>
      </w:r>
      <w:r w:rsidRPr="56E51CD7">
        <w:rPr>
          <w:rFonts w:ascii="Times New Roman"/>
          <w:i/>
          <w:iCs/>
        </w:rPr>
        <w:t>)</w:t>
      </w:r>
    </w:p>
    <w:p w:rsidR="003461FA" w:rsidP="001438C5" w14:paraId="493C26FA" w14:textId="77777777">
      <w:pPr>
        <w:rPr>
          <w:rFonts w:ascii="Times New Roman"/>
          <w:i/>
          <w:iCs/>
        </w:rPr>
      </w:pPr>
    </w:p>
    <w:p w:rsidR="00257C84" w:rsidP="00C83F6C" w14:paraId="7872DD81" w14:textId="77777777">
      <w:pPr>
        <w:rPr>
          <w:rFonts w:ascii="Times New Roman"/>
        </w:rPr>
      </w:pPr>
      <w:r>
        <w:rPr>
          <w:rFonts w:ascii="Times New Roman"/>
        </w:rPr>
        <w:t xml:space="preserve">The employer shall monitor employee exposures and shall base initial determinations on the employee exposure monitoring results and any of the </w:t>
      </w:r>
      <w:r>
        <w:rPr>
          <w:rFonts w:ascii="Times New Roman"/>
        </w:rPr>
        <w:t>following,</w:t>
      </w:r>
      <w:r>
        <w:rPr>
          <w:rFonts w:ascii="Times New Roman"/>
        </w:rPr>
        <w:t xml:space="preserve"> relevant considerations: </w:t>
      </w:r>
    </w:p>
    <w:p w:rsidR="00257C84" w:rsidP="00257C84" w14:paraId="59B846BC" w14:textId="77777777">
      <w:pPr>
        <w:ind w:left="720"/>
        <w:rPr>
          <w:rFonts w:ascii="Times New Roman"/>
        </w:rPr>
      </w:pPr>
      <w:r>
        <w:rPr>
          <w:rFonts w:ascii="Times New Roman"/>
        </w:rPr>
        <w:br/>
      </w:r>
      <w:r w:rsidR="00CC239B">
        <w:rPr>
          <w:rFonts w:ascii="Times New Roman"/>
        </w:rPr>
        <w:t>(A) a</w:t>
      </w:r>
      <w:r w:rsidR="0013594C">
        <w:rPr>
          <w:rFonts w:ascii="Times New Roman"/>
        </w:rPr>
        <w:t xml:space="preserve">ny information, observations, or calculations which would indicate employee exposure to </w:t>
      </w:r>
      <w:r w:rsidR="0013594C">
        <w:rPr>
          <w:rFonts w:ascii="Times New Roman"/>
        </w:rPr>
        <w:t>lead;</w:t>
      </w:r>
      <w:r w:rsidR="0013594C">
        <w:rPr>
          <w:rFonts w:ascii="Times New Roman"/>
        </w:rPr>
        <w:t xml:space="preserve"> </w:t>
      </w:r>
    </w:p>
    <w:p w:rsidR="00257C84" w:rsidP="00257C84" w14:paraId="68AC7255" w14:textId="77777777">
      <w:pPr>
        <w:ind w:left="720"/>
        <w:rPr>
          <w:rFonts w:ascii="Times New Roman"/>
        </w:rPr>
      </w:pPr>
    </w:p>
    <w:p w:rsidR="00257C84" w:rsidP="00257C84" w14:paraId="2AE4F9D0" w14:textId="77777777">
      <w:pPr>
        <w:ind w:left="720"/>
        <w:rPr>
          <w:rFonts w:ascii="Times New Roman"/>
        </w:rPr>
      </w:pPr>
      <w:r>
        <w:rPr>
          <w:rFonts w:ascii="Times New Roman"/>
        </w:rPr>
        <w:t xml:space="preserve">(B) </w:t>
      </w:r>
      <w:r w:rsidR="0013594C">
        <w:rPr>
          <w:rFonts w:ascii="Times New Roman"/>
        </w:rPr>
        <w:t xml:space="preserve">any previous measurements of airborne </w:t>
      </w:r>
      <w:r w:rsidR="0013594C">
        <w:rPr>
          <w:rFonts w:ascii="Times New Roman"/>
        </w:rPr>
        <w:t>lead;</w:t>
      </w:r>
      <w:r w:rsidR="0013594C">
        <w:rPr>
          <w:rFonts w:ascii="Times New Roman"/>
        </w:rPr>
        <w:t xml:space="preserve"> </w:t>
      </w:r>
    </w:p>
    <w:p w:rsidR="00257C84" w:rsidP="00257C84" w14:paraId="16A04145" w14:textId="77777777">
      <w:pPr>
        <w:ind w:left="720"/>
        <w:rPr>
          <w:rFonts w:ascii="Times New Roman"/>
        </w:rPr>
      </w:pPr>
    </w:p>
    <w:p w:rsidR="0013594C" w:rsidP="001438C5" w14:paraId="0DFECCFA" w14:textId="191D5DB2">
      <w:pPr>
        <w:ind w:left="720"/>
        <w:rPr>
          <w:rFonts w:ascii="Times New Roman"/>
        </w:rPr>
      </w:pPr>
      <w:r>
        <w:rPr>
          <w:rFonts w:ascii="Times New Roman"/>
        </w:rPr>
        <w:t xml:space="preserve">(C) any employee complaints of symptoms which may be attributable to exposure to lead. </w:t>
      </w:r>
    </w:p>
    <w:p w:rsidR="00C00E43" w:rsidP="56E51CD7" w14:paraId="3E396268" w14:textId="0AD473A9">
      <w:pPr>
        <w:rPr>
          <w:rFonts w:ascii="Times New Roman"/>
          <w:i/>
          <w:iCs/>
        </w:rPr>
      </w:pPr>
      <w:r w:rsidRPr="56E51CD7">
        <w:rPr>
          <w:rFonts w:ascii="Times New Roman"/>
          <w:i/>
          <w:iCs/>
        </w:rPr>
        <w:t>§</w:t>
      </w:r>
      <w:r w:rsidRPr="56E51CD7">
        <w:rPr>
          <w:rFonts w:ascii="Times New Roman"/>
          <w:b/>
          <w:bCs/>
        </w:rPr>
        <w:t xml:space="preserve"> </w:t>
      </w:r>
      <w:r w:rsidRPr="56E51CD7">
        <w:rPr>
          <w:rFonts w:ascii="Times New Roman"/>
          <w:i/>
          <w:iCs/>
        </w:rPr>
        <w:t>1910.1025(d)(3)(ii)</w:t>
      </w:r>
    </w:p>
    <w:p w:rsidR="003461FA" w:rsidP="001438C5" w14:paraId="1365D883" w14:textId="77777777">
      <w:pPr>
        <w:rPr>
          <w:rFonts w:ascii="Times New Roman"/>
          <w:i/>
          <w:iCs/>
        </w:rPr>
      </w:pPr>
    </w:p>
    <w:p w:rsidR="00021A6F" w:rsidP="00C83F6C" w14:paraId="4B4EFAAB" w14:textId="2ECCC008">
      <w:pPr>
        <w:rPr>
          <w:rFonts w:ascii="Times New Roman"/>
        </w:rPr>
      </w:pPr>
      <w:r w:rsidRPr="56E51CD7">
        <w:rPr>
          <w:rFonts w:ascii="Times New Roman"/>
        </w:rPr>
        <w:t>Monitoring for the initial determination may be limited to a representative sample of the exposed employees who the employer reasonabl</w:t>
      </w:r>
      <w:r w:rsidRPr="56E51CD7" w:rsidR="7F878309">
        <w:rPr>
          <w:rFonts w:ascii="Times New Roman"/>
        </w:rPr>
        <w:t>y</w:t>
      </w:r>
      <w:r w:rsidRPr="56E51CD7">
        <w:rPr>
          <w:rFonts w:ascii="Times New Roman"/>
        </w:rPr>
        <w:t xml:space="preserve"> believes are exposed to the greatest airborne concentrations of lead in the workplace. </w:t>
      </w:r>
    </w:p>
    <w:p w:rsidR="003461FA" w:rsidP="001438C5" w14:paraId="2026ABD2" w14:textId="77777777">
      <w:pPr>
        <w:rPr>
          <w:rFonts w:ascii="Times New Roman"/>
        </w:rPr>
      </w:pPr>
    </w:p>
    <w:p w:rsidR="00C00E43" w:rsidP="56E51CD7" w14:paraId="10CEB791" w14:textId="2E0E746D">
      <w:pPr>
        <w:rPr>
          <w:rFonts w:ascii="Times New Roman"/>
          <w:i/>
          <w:iCs/>
        </w:rPr>
      </w:pPr>
      <w:r w:rsidRPr="56E51CD7">
        <w:rPr>
          <w:rFonts w:ascii="Times New Roman"/>
          <w:i/>
          <w:iCs/>
        </w:rPr>
        <w:t>§</w:t>
      </w:r>
      <w:r w:rsidRPr="56E51CD7">
        <w:rPr>
          <w:rFonts w:ascii="Times New Roman"/>
          <w:b/>
          <w:bCs/>
        </w:rPr>
        <w:t xml:space="preserve"> </w:t>
      </w:r>
      <w:r w:rsidRPr="56E51CD7">
        <w:rPr>
          <w:rFonts w:ascii="Times New Roman"/>
          <w:i/>
          <w:iCs/>
        </w:rPr>
        <w:t>1910.1025(d)(3)(iii)</w:t>
      </w:r>
    </w:p>
    <w:p w:rsidR="003461FA" w:rsidP="001438C5" w14:paraId="7B95559B" w14:textId="77777777">
      <w:pPr>
        <w:rPr>
          <w:rFonts w:ascii="Times New Roman"/>
          <w:i/>
          <w:iCs/>
        </w:rPr>
      </w:pPr>
    </w:p>
    <w:p w:rsidR="003461FA" w:rsidP="00C83F6C" w14:paraId="180F3C40" w14:textId="77777777">
      <w:pPr>
        <w:rPr>
          <w:rFonts w:ascii="Times New Roman"/>
        </w:rPr>
      </w:pPr>
      <w:r>
        <w:rPr>
          <w:rFonts w:ascii="Times New Roman"/>
        </w:rPr>
        <w:t>Measurements of airborne lead made in the preceding 12 months may be used to satisfy the requirement to monitor under paragra</w:t>
      </w:r>
      <w:r w:rsidR="00407465">
        <w:rPr>
          <w:rFonts w:ascii="Times New Roman"/>
        </w:rPr>
        <w:t>ph (d)(3)(</w:t>
      </w:r>
      <w:r w:rsidR="00407465">
        <w:rPr>
          <w:rFonts w:ascii="Times New Roman"/>
        </w:rPr>
        <w:t>i</w:t>
      </w:r>
      <w:r w:rsidR="00407465">
        <w:rPr>
          <w:rFonts w:ascii="Times New Roman"/>
        </w:rPr>
        <w:t>) if the sampling and analytical methods used meet the accuracy and confidence levels of paragraph (d)(9) of this section.</w:t>
      </w:r>
    </w:p>
    <w:p w:rsidR="00C00E43" w:rsidP="001438C5" w14:paraId="7100A0E7" w14:textId="5BE26A27">
      <w:pPr>
        <w:rPr>
          <w:rFonts w:ascii="Times New Roman"/>
        </w:rPr>
      </w:pPr>
      <w:r>
        <w:rPr>
          <w:rFonts w:ascii="Times New Roman"/>
        </w:rPr>
        <w:t xml:space="preserve"> </w:t>
      </w:r>
    </w:p>
    <w:p w:rsidR="00407465" w:rsidP="56E51CD7" w14:paraId="140CECA4" w14:textId="63B6BB8A">
      <w:pPr>
        <w:rPr>
          <w:rFonts w:ascii="Times New Roman"/>
          <w:i/>
          <w:iCs/>
        </w:rPr>
      </w:pPr>
      <w:r w:rsidRPr="56E51CD7">
        <w:rPr>
          <w:rFonts w:ascii="Times New Roman"/>
          <w:i/>
          <w:iCs/>
        </w:rPr>
        <w:t xml:space="preserve">Positive Initial Determination and Initial Monitoring </w:t>
      </w:r>
      <w:r w:rsidRPr="56E51CD7" w:rsidR="77715E23">
        <w:rPr>
          <w:rFonts w:ascii="Times New Roman"/>
          <w:i/>
          <w:iCs/>
        </w:rPr>
        <w:t>(</w:t>
      </w:r>
      <w:r w:rsidRPr="56E51CD7">
        <w:rPr>
          <w:rFonts w:ascii="Times New Roman"/>
          <w:i/>
          <w:iCs/>
        </w:rPr>
        <w:t>§</w:t>
      </w:r>
      <w:r w:rsidRPr="56E51CD7">
        <w:rPr>
          <w:rFonts w:ascii="Times New Roman"/>
          <w:b/>
          <w:bCs/>
        </w:rPr>
        <w:t xml:space="preserve"> </w:t>
      </w:r>
      <w:r w:rsidRPr="56E51CD7">
        <w:rPr>
          <w:rFonts w:ascii="Times New Roman"/>
          <w:i/>
          <w:iCs/>
        </w:rPr>
        <w:t>1910.1025(d)(</w:t>
      </w:r>
      <w:r w:rsidRPr="56E51CD7">
        <w:rPr>
          <w:rFonts w:ascii="Times New Roman"/>
          <w:i/>
          <w:iCs/>
        </w:rPr>
        <w:t>4)</w:t>
      </w:r>
      <w:r w:rsidRPr="56E51CD7" w:rsidR="275074B8">
        <w:rPr>
          <w:rFonts w:ascii="Times New Roman"/>
          <w:i/>
          <w:iCs/>
        </w:rPr>
        <w:t>(</w:t>
      </w:r>
      <w:r w:rsidRPr="56E51CD7" w:rsidR="275074B8">
        <w:rPr>
          <w:rFonts w:ascii="Times New Roman"/>
          <w:i/>
          <w:iCs/>
        </w:rPr>
        <w:t>i</w:t>
      </w:r>
      <w:r w:rsidRPr="56E51CD7" w:rsidR="275074B8">
        <w:rPr>
          <w:rFonts w:ascii="Times New Roman"/>
          <w:i/>
          <w:iCs/>
        </w:rPr>
        <w:t>-ii)</w:t>
      </w:r>
      <w:r w:rsidRPr="56E51CD7" w:rsidR="77715E23">
        <w:rPr>
          <w:rFonts w:ascii="Times New Roman"/>
          <w:i/>
          <w:iCs/>
        </w:rPr>
        <w:t>)</w:t>
      </w:r>
    </w:p>
    <w:p w:rsidR="003461FA" w:rsidP="001438C5" w14:paraId="7445929E" w14:textId="77777777">
      <w:pPr>
        <w:rPr>
          <w:rFonts w:ascii="Times New Roman"/>
          <w:i/>
          <w:iCs/>
        </w:rPr>
      </w:pPr>
    </w:p>
    <w:p w:rsidR="003461FA" w:rsidP="001438C5" w14:paraId="7FA9FE7C" w14:textId="5C0EFE61">
      <w:pPr>
        <w:rPr>
          <w:rFonts w:ascii="Times New Roman"/>
        </w:rPr>
      </w:pPr>
      <w:r>
        <w:rPr>
          <w:rFonts w:ascii="Times New Roman"/>
        </w:rPr>
        <w:t>Where a determination conducted under paragraphs (d)(2) and (3) of this section shows the possibility of any employee exposure at or above the action level, the employer shall conduct monitoring which is representative of the exposure for each employee in the workplace who is exposed to lead. Measurements of airborne lead made in the preceding 12 months may be used to satisfy this requirement if the sampling and analytical methods used meet the accuracy and confidence levels of paragraph (d)(9) of this sect</w:t>
      </w:r>
      <w:r>
        <w:rPr>
          <w:rFonts w:ascii="Times New Roman"/>
        </w:rPr>
        <w:t xml:space="preserve">ion. </w:t>
      </w:r>
    </w:p>
    <w:p w:rsidR="00AC0D61" w:rsidP="001438C5" w14:paraId="1D591478" w14:textId="7D73135C">
      <w:pPr>
        <w:rPr>
          <w:rFonts w:ascii="Times New Roman"/>
        </w:rPr>
      </w:pPr>
    </w:p>
    <w:p w:rsidR="00AC0D61" w:rsidP="56E51CD7" w14:paraId="42BAB379" w14:textId="11CE0FE7">
      <w:pPr>
        <w:rPr>
          <w:rFonts w:ascii="Times New Roman"/>
          <w:i/>
          <w:iCs/>
        </w:rPr>
      </w:pPr>
      <w:r w:rsidRPr="56E51CD7">
        <w:rPr>
          <w:rFonts w:ascii="Times New Roman"/>
          <w:i/>
          <w:iCs/>
        </w:rPr>
        <w:t xml:space="preserve">Negative Initial Determination </w:t>
      </w:r>
      <w:r w:rsidRPr="56E51CD7" w:rsidR="77715E23">
        <w:rPr>
          <w:rFonts w:ascii="Times New Roman"/>
          <w:i/>
          <w:iCs/>
        </w:rPr>
        <w:t>(</w:t>
      </w:r>
      <w:r w:rsidRPr="56E51CD7" w:rsidR="16C4EF59">
        <w:rPr>
          <w:rFonts w:ascii="Times New Roman"/>
          <w:i/>
          <w:iCs/>
        </w:rPr>
        <w:t>§</w:t>
      </w:r>
      <w:r w:rsidRPr="56E51CD7">
        <w:rPr>
          <w:rFonts w:ascii="Times New Roman"/>
          <w:b/>
          <w:bCs/>
        </w:rPr>
        <w:t xml:space="preserve"> </w:t>
      </w:r>
      <w:r w:rsidRPr="56E51CD7" w:rsidR="16C4EF59">
        <w:rPr>
          <w:rFonts w:ascii="Times New Roman"/>
          <w:i/>
          <w:iCs/>
        </w:rPr>
        <w:t>1910.1025(d)(5)</w:t>
      </w:r>
      <w:r w:rsidRPr="56E51CD7" w:rsidR="77715E23">
        <w:rPr>
          <w:rFonts w:ascii="Times New Roman"/>
          <w:i/>
          <w:iCs/>
        </w:rPr>
        <w:t>)</w:t>
      </w:r>
    </w:p>
    <w:p w:rsidR="003461FA" w:rsidRPr="00407465" w:rsidP="001438C5" w14:paraId="2944C392" w14:textId="77777777">
      <w:pPr>
        <w:rPr>
          <w:rFonts w:ascii="Times New Roman"/>
        </w:rPr>
      </w:pPr>
    </w:p>
    <w:p w:rsidR="00021A6F" w:rsidRPr="0052502E" w:rsidP="001438C5" w14:paraId="23E9ABB7" w14:textId="5D3D038B">
      <w:pPr>
        <w:rPr>
          <w:rFonts w:ascii="Times New Roman"/>
        </w:rPr>
      </w:pPr>
      <w:r>
        <w:rPr>
          <w:rFonts w:ascii="Times New Roman"/>
        </w:rPr>
        <w:t xml:space="preserve">Where a determination, conducted under paragraphs (d)(2) and (3) of this section is made that no employee is exposed to airborne concentrations of lead at or above the action level, the employer shall make a written record of such determination. The record </w:t>
      </w:r>
      <w:r w:rsidR="006E254E">
        <w:rPr>
          <w:rFonts w:ascii="Times New Roman"/>
        </w:rPr>
        <w:t xml:space="preserve">shall include at least the information specified in paragraph (d)(3) of this section and shall also include the date of determination, location which the worksite, and the name of each employee monitored. </w:t>
      </w:r>
    </w:p>
    <w:p w:rsidR="00E012CD" w:rsidP="00C83F6C" w14:paraId="39D1776F" w14:textId="3D53968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CC08FF" w:rsidP="56E51CD7" w14:paraId="4AC3823D" w14:textId="756AACD4">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 xml:space="preserve">Frequency </w:t>
      </w:r>
      <w:r w:rsidRPr="56E51CD7" w:rsidR="77715E23">
        <w:rPr>
          <w:rFonts w:ascii="Times New Roman"/>
          <w:i/>
          <w:iCs/>
        </w:rPr>
        <w:t>(</w:t>
      </w:r>
      <w:r w:rsidRPr="56E51CD7">
        <w:rPr>
          <w:rFonts w:ascii="Times New Roman"/>
          <w:i/>
          <w:iCs/>
        </w:rPr>
        <w:t>§</w:t>
      </w:r>
      <w:r w:rsidRPr="56E51CD7">
        <w:rPr>
          <w:rFonts w:ascii="Times New Roman"/>
          <w:b/>
          <w:bCs/>
        </w:rPr>
        <w:t xml:space="preserve"> </w:t>
      </w:r>
      <w:r w:rsidRPr="56E51CD7">
        <w:rPr>
          <w:rFonts w:ascii="Times New Roman"/>
          <w:i/>
          <w:iCs/>
        </w:rPr>
        <w:t>1910.1025(d)(</w:t>
      </w:r>
      <w:r w:rsidRPr="56E51CD7">
        <w:rPr>
          <w:rFonts w:ascii="Times New Roman"/>
          <w:i/>
          <w:iCs/>
        </w:rPr>
        <w:t>6)(</w:t>
      </w:r>
      <w:r w:rsidRPr="56E51CD7">
        <w:rPr>
          <w:rFonts w:ascii="Times New Roman"/>
          <w:i/>
          <w:iCs/>
        </w:rPr>
        <w:t>i</w:t>
      </w:r>
      <w:r w:rsidRPr="56E51CD7">
        <w:rPr>
          <w:rFonts w:ascii="Times New Roman"/>
          <w:i/>
          <w:iCs/>
        </w:rPr>
        <w:t>-iii)</w:t>
      </w:r>
      <w:r w:rsidRPr="56E51CD7" w:rsidR="77715E23">
        <w:rPr>
          <w:rFonts w:ascii="Times New Roman"/>
          <w:i/>
          <w:iCs/>
        </w:rPr>
        <w:t>)</w:t>
      </w:r>
    </w:p>
    <w:p w:rsidR="00CC08FF" w:rsidP="00C83F6C" w14:paraId="589DC60F" w14:textId="37C40989">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p>
    <w:p w:rsidR="00CC08FF" w:rsidRPr="00CC08FF" w:rsidP="00C83F6C" w14:paraId="76AEAFAC" w14:textId="43AA8F35">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 xml:space="preserve">If the initial monitoring reveals employee exposure to be below the action level the measurements need not be repeated except as otherwise provided in paragraph (d)(7) of this section. If the initial determination or </w:t>
      </w:r>
      <w:r w:rsidR="009B0180">
        <w:rPr>
          <w:rFonts w:ascii="Times New Roman"/>
        </w:rPr>
        <w:t>subsequent monitoring reveals employee exposure to be at or above the action level but below the permissible exposure limit the employer shall repeat monitoring in accordance with this paragraph at least every 6 months. The e</w:t>
      </w:r>
      <w:r w:rsidR="00B65E3E">
        <w:rPr>
          <w:rFonts w:ascii="Times New Roman"/>
        </w:rPr>
        <w:t xml:space="preserve">mployer shall continue monitoring at the required frequency until at least two consecutive measurements, taken at least 7 days apart, are below the action level at which time the employer may discontinue monitoring for that employee except as otherwise provided in paragraph (d)(7) of this section. If the initial monitoring reveals that employee exposure is above the permissible </w:t>
      </w:r>
      <w:r w:rsidR="00093B16">
        <w:rPr>
          <w:rFonts w:ascii="Times New Roman"/>
        </w:rPr>
        <w:t xml:space="preserve">exposure limit the employer shall repeat monitoring quarterly. The employer shall continue monitoring at the </w:t>
      </w:r>
      <w:r w:rsidR="00093B16">
        <w:rPr>
          <w:rFonts w:ascii="Times New Roman"/>
        </w:rPr>
        <w:t xml:space="preserve">required frequency until at least two consecutive measurements, taken at least 7 days apart, are below the PEL but at or above the action level at which time the employer shall repeat monitoring for that employee at the frequency specified in paragraph (d)(6)(ii), except as otherwise provided in paragraph (d)(7) of this section. </w:t>
      </w:r>
    </w:p>
    <w:p w:rsidR="00CC08FF" w:rsidRPr="0052502E" w:rsidP="00C83F6C" w14:paraId="414FA61C"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AC0F97" w:rsidRPr="001438C5" w:rsidP="56E51CD7" w14:paraId="65333AC5" w14:textId="5D9AAE35">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Additional Monitoring (§ 1910.1025(d)(7))</w:t>
      </w:r>
    </w:p>
    <w:p w:rsidR="00AC0F97" w:rsidP="00C83F6C" w14:paraId="5C7483A0" w14:textId="7CEA68F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rsidR="00AC0F97" w:rsidRPr="001438C5" w:rsidP="00C83F6C" w14:paraId="47C8BAE5" w14:textId="30681625">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Pr>
          <w:rFonts w:ascii="Times New Roman"/>
          <w:bCs/>
        </w:rPr>
        <w:t xml:space="preserve">Whenever there has been a production, process, </w:t>
      </w:r>
      <w:r w:rsidR="00320984">
        <w:rPr>
          <w:rFonts w:ascii="Times New Roman"/>
          <w:bCs/>
        </w:rPr>
        <w:t>control,</w:t>
      </w:r>
      <w:r>
        <w:rPr>
          <w:rFonts w:ascii="Times New Roman"/>
          <w:bCs/>
        </w:rPr>
        <w:t xml:space="preserve"> or personnel change which may result in new or additional exposure to lead, or whenever the employer has any other reason to suspect a change which may result in new or additional </w:t>
      </w:r>
      <w:r>
        <w:rPr>
          <w:rFonts w:ascii="Times New Roman"/>
          <w:bCs/>
        </w:rPr>
        <w:t>exposures</w:t>
      </w:r>
      <w:r>
        <w:rPr>
          <w:rFonts w:ascii="Times New Roman"/>
          <w:bCs/>
        </w:rPr>
        <w:t xml:space="preserve"> to lead, additional monitoring in accordance with this paragraph shall be conducted. </w:t>
      </w:r>
    </w:p>
    <w:p w:rsidR="00AC0F97" w:rsidP="00C83F6C" w14:paraId="51A828D0"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1438C5" w:rsidP="56E51CD7" w14:paraId="0B862F1F" w14:textId="456378B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Employee Notification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Pr>
          <w:rFonts w:ascii="Times New Roman"/>
          <w:i/>
          <w:iCs/>
        </w:rPr>
        <w:t>910.1025(d)(</w:t>
      </w:r>
      <w:r w:rsidRPr="56E51CD7">
        <w:rPr>
          <w:rFonts w:ascii="Times New Roman"/>
          <w:i/>
          <w:iCs/>
        </w:rPr>
        <w:t>8)</w:t>
      </w:r>
      <w:r w:rsidRPr="56E51CD7" w:rsidR="2AD969D1">
        <w:rPr>
          <w:rFonts w:ascii="Times New Roman"/>
          <w:i/>
          <w:iCs/>
        </w:rPr>
        <w:t>(</w:t>
      </w:r>
      <w:r w:rsidRPr="56E51CD7" w:rsidR="2AD969D1">
        <w:rPr>
          <w:rFonts w:ascii="Times New Roman"/>
          <w:i/>
          <w:iCs/>
        </w:rPr>
        <w:t>i</w:t>
      </w:r>
      <w:r w:rsidRPr="56E51CD7" w:rsidR="2AD969D1">
        <w:rPr>
          <w:rFonts w:ascii="Times New Roman"/>
          <w:i/>
          <w:iCs/>
        </w:rPr>
        <w:t>-ii)</w:t>
      </w:r>
      <w:r w:rsidRPr="56E51CD7">
        <w:rPr>
          <w:rFonts w:ascii="Times New Roman"/>
          <w:i/>
          <w:iCs/>
        </w:rPr>
        <w:t xml:space="preserve">) </w:t>
      </w:r>
    </w:p>
    <w:p w:rsidR="00D90ED9" w:rsidP="00C83F6C" w14:paraId="7CB7F606" w14:textId="38663818">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D90ED9" w:rsidRPr="001438C5" w:rsidP="00C83F6C" w14:paraId="4482CA8F" w14:textId="1371A47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 xml:space="preserve">The employer must, within 15 working days after </w:t>
      </w:r>
      <w:r w:rsidRPr="56E51CD7">
        <w:rPr>
          <w:rFonts w:ascii="Times New Roman"/>
        </w:rPr>
        <w:t>the receipt</w:t>
      </w:r>
      <w:r w:rsidRPr="56E51CD7">
        <w:rPr>
          <w:rFonts w:ascii="Times New Roman"/>
        </w:rPr>
        <w:t xml:space="preserve"> of the results of any monitoring performed under this section, notify each affected employee of these results either individually in writing or by posting the results in an appropriate location that is accessible to affected employees.</w:t>
      </w:r>
      <w:r w:rsidRPr="56E51CD7" w:rsidR="2CD7BE93">
        <w:rPr>
          <w:rFonts w:ascii="Times New Roman"/>
        </w:rPr>
        <w:t xml:space="preserve"> </w:t>
      </w:r>
      <w:r w:rsidRPr="56E51CD7" w:rsidR="762527D8">
        <w:rPr>
          <w:rFonts w:ascii="Times New Roman"/>
        </w:rPr>
        <w:t xml:space="preserve">Whenever the results indicate that the representative employee exposure, without regard to respirators, exceeds the permissible exposure limit, the employer shall include in the written notice a statement that the permissible exposure limit was </w:t>
      </w:r>
      <w:bookmarkStart w:id="0" w:name="_Int_iXSuHCIt"/>
      <w:r w:rsidRPr="56E51CD7" w:rsidR="762527D8">
        <w:rPr>
          <w:rFonts w:ascii="Times New Roman"/>
        </w:rPr>
        <w:t>exceeded</w:t>
      </w:r>
      <w:bookmarkEnd w:id="0"/>
      <w:r w:rsidRPr="56E51CD7" w:rsidR="762527D8">
        <w:rPr>
          <w:rFonts w:ascii="Times New Roman"/>
        </w:rPr>
        <w:t xml:space="preserve"> and a description of the corrective action taken or to be taken to reduce exposure to or below the permissible exposure limit.</w:t>
      </w:r>
    </w:p>
    <w:p w:rsidR="00E012CD" w:rsidP="00C83F6C" w14:paraId="35CA8178"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P="00C83F6C" w14:paraId="34D59DD4" w14:textId="1CFC390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1438C5">
        <w:rPr>
          <w:rFonts w:ascii="Times New Roman"/>
          <w:b/>
          <w:bCs/>
        </w:rPr>
        <w:t>Purpose</w:t>
      </w:r>
      <w:r>
        <w:rPr>
          <w:rFonts w:ascii="Times New Roman"/>
        </w:rPr>
        <w:t xml:space="preserve">: </w:t>
      </w:r>
      <w:r w:rsidRPr="003D7BA0">
        <w:rPr>
          <w:rFonts w:ascii="Times New Roman"/>
        </w:rPr>
        <w:t xml:space="preserve">Notification provides </w:t>
      </w:r>
      <w:r w:rsidR="00CD4427">
        <w:rPr>
          <w:rFonts w:ascii="Times New Roman"/>
        </w:rPr>
        <w:t>worker</w:t>
      </w:r>
      <w:r w:rsidRPr="003D7BA0">
        <w:rPr>
          <w:rFonts w:ascii="Times New Roman"/>
        </w:rPr>
        <w:t xml:space="preserve">s with information about the efforts the employer is </w:t>
      </w:r>
      <w:r w:rsidRPr="003D7BA0">
        <w:rPr>
          <w:rFonts w:ascii="Times New Roman"/>
        </w:rPr>
        <w:t>taking</w:t>
      </w:r>
      <w:r w:rsidRPr="003D7BA0">
        <w:rPr>
          <w:rFonts w:ascii="Times New Roman"/>
        </w:rPr>
        <w:t xml:space="preserve"> to lower </w:t>
      </w:r>
      <w:r>
        <w:rPr>
          <w:rFonts w:ascii="Times New Roman"/>
        </w:rPr>
        <w:t>t</w:t>
      </w:r>
      <w:r w:rsidRPr="003D7BA0">
        <w:rPr>
          <w:rFonts w:ascii="Times New Roman"/>
        </w:rPr>
        <w:t xml:space="preserve">heir </w:t>
      </w:r>
      <w:r>
        <w:rPr>
          <w:rFonts w:ascii="Times New Roman"/>
        </w:rPr>
        <w:t>lead</w:t>
      </w:r>
      <w:r w:rsidRPr="003D7BA0">
        <w:rPr>
          <w:rFonts w:ascii="Times New Roman"/>
        </w:rPr>
        <w:t xml:space="preserve"> exposures and to furnish them with a safe and </w:t>
      </w:r>
      <w:r w:rsidRPr="003D7BA0">
        <w:rPr>
          <w:rFonts w:ascii="Times New Roman"/>
        </w:rPr>
        <w:t>healthful</w:t>
      </w:r>
      <w:r w:rsidRPr="003D7BA0">
        <w:rPr>
          <w:rFonts w:ascii="Times New Roman"/>
        </w:rPr>
        <w:t xml:space="preserve"> workplace in accordance with section 8(c)(3) of the Act.</w:t>
      </w:r>
    </w:p>
    <w:p w:rsidR="00E44D91" w:rsidP="00C83F6C" w14:paraId="0214A191" w14:textId="3CE9F4C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E012CD" w:rsidRPr="0052502E" w:rsidP="00C83F6C" w14:paraId="6C86D917" w14:textId="19296A7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b/>
          <w:bCs/>
        </w:rPr>
        <w:t xml:space="preserve">B. </w:t>
      </w:r>
      <w:r w:rsidRPr="56E51CD7" w:rsidR="70322B03">
        <w:rPr>
          <w:rFonts w:ascii="Times New Roman"/>
          <w:b/>
          <w:bCs/>
        </w:rPr>
        <w:t>Compliance Program (</w:t>
      </w:r>
      <w:r w:rsidRPr="56E51CD7" w:rsidR="0AFFCAB6">
        <w:rPr>
          <w:rFonts w:ascii="Times New Roman"/>
          <w:b/>
          <w:bCs/>
        </w:rPr>
        <w:t>§</w:t>
      </w:r>
      <w:r w:rsidRPr="56E51CD7">
        <w:rPr>
          <w:rFonts w:ascii="Times New Roman"/>
          <w:b/>
          <w:bCs/>
        </w:rPr>
        <w:t xml:space="preserve"> </w:t>
      </w:r>
      <w:r w:rsidRPr="56E51CD7" w:rsidR="0AFFCAB6">
        <w:rPr>
          <w:rFonts w:ascii="Times New Roman"/>
          <w:b/>
          <w:bCs/>
        </w:rPr>
        <w:t>1</w:t>
      </w:r>
      <w:r w:rsidRPr="56E51CD7" w:rsidR="70322B03">
        <w:rPr>
          <w:rFonts w:ascii="Times New Roman"/>
          <w:b/>
          <w:bCs/>
        </w:rPr>
        <w:t>910.1025(e)(3))</w:t>
      </w:r>
    </w:p>
    <w:p w:rsidR="00E012CD" w:rsidRPr="0052502E" w:rsidP="00C83F6C" w14:paraId="0C434803"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1438C5" w:rsidP="56E51CD7" w14:paraId="0C2E60DA" w14:textId="671DEE1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 1</w:t>
      </w:r>
      <w:r w:rsidRPr="56E51CD7" w:rsidR="70322B03">
        <w:rPr>
          <w:rFonts w:ascii="Times New Roman"/>
          <w:i/>
          <w:iCs/>
        </w:rPr>
        <w:t>910.1025(e)(3)(</w:t>
      </w:r>
      <w:r w:rsidRPr="56E51CD7" w:rsidR="70322B03">
        <w:rPr>
          <w:rFonts w:ascii="Times New Roman"/>
          <w:i/>
          <w:iCs/>
        </w:rPr>
        <w:t>i</w:t>
      </w:r>
      <w:r w:rsidRPr="56E51CD7" w:rsidR="70322B03">
        <w:rPr>
          <w:rFonts w:ascii="Times New Roman"/>
          <w:i/>
          <w:iCs/>
        </w:rPr>
        <w:t>)</w:t>
      </w:r>
    </w:p>
    <w:p w:rsidR="00E012CD" w:rsidP="00C83F6C" w14:paraId="6A4642CA" w14:textId="3B943BF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F1FD8" w:rsidP="00C83F6C" w14:paraId="5827089F"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Each employer shall establish and implement a written compliance program to reduce exposures to or below the permissible exposure limit, and interim levels if applicable, solely by means of engineering and work practice controls in accordance with the implementation schedule in paragraph (e)(1).</w:t>
      </w:r>
    </w:p>
    <w:p w:rsidR="006C2989" w:rsidP="00C83F6C" w14:paraId="7351F223"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4324C706" w:rsidP="3080DAE6" w14:paraId="22BC1BBE" w14:textId="0A17F829">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3080DAE6">
        <w:rPr>
          <w:rFonts w:ascii="Times New Roman"/>
          <w:i/>
          <w:iCs/>
        </w:rPr>
        <w:t>§</w:t>
      </w:r>
      <w:r w:rsidRPr="3080DAE6" w:rsidR="5B11B1CD">
        <w:rPr>
          <w:rFonts w:ascii="Times New Roman"/>
          <w:i/>
          <w:iCs/>
        </w:rPr>
        <w:t xml:space="preserve"> </w:t>
      </w:r>
      <w:r w:rsidRPr="3080DAE6">
        <w:rPr>
          <w:rFonts w:ascii="Times New Roman"/>
          <w:i/>
          <w:iCs/>
        </w:rPr>
        <w:t>1910.1025(e)(3)(i</w:t>
      </w:r>
      <w:r w:rsidRPr="3080DAE6" w:rsidR="5BA36534">
        <w:rPr>
          <w:rFonts w:ascii="Times New Roman"/>
          <w:i/>
          <w:iCs/>
        </w:rPr>
        <w:t>i</w:t>
      </w:r>
      <w:r w:rsidRPr="3080DAE6">
        <w:rPr>
          <w:rFonts w:ascii="Times New Roman"/>
          <w:i/>
          <w:iCs/>
        </w:rPr>
        <w:t>)</w:t>
      </w:r>
      <w:r w:rsidRPr="3080DAE6">
        <w:rPr>
          <w:rFonts w:ascii="Times New Roman" w:eastAsia="Times New Roman"/>
          <w:i/>
          <w:iCs/>
          <w:color w:val="000000" w:themeColor="text1"/>
        </w:rPr>
        <w:t xml:space="preserve"> </w:t>
      </w:r>
    </w:p>
    <w:p w:rsidR="00A93090" w:rsidP="00C83F6C" w14:paraId="0032D5EF" w14:textId="3945D47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p>
    <w:p w:rsidR="00A93090" w:rsidRPr="00A93090" w:rsidP="00C83F6C" w14:paraId="46F539AE" w14:textId="72E45B7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3080DAE6">
        <w:rPr>
          <w:rFonts w:ascii="Times New Roman"/>
        </w:rPr>
        <w:t>Written plans for these compliance programs shall include at least the following: (A) a description of each operation in which lead is emitted e.g. machinery used, material processed, controls in place, crew size, employee job responsibilities, operation procedures and maintenance practices; (B) a description of the specific means that will be employed to achieve compliance, including engineering plans and studies used to determine methods selected for controlling exposure to lead; (C) a report of the techn</w:t>
      </w:r>
      <w:r w:rsidRPr="3080DAE6">
        <w:rPr>
          <w:rFonts w:ascii="Times New Roman"/>
        </w:rPr>
        <w:t xml:space="preserve">ology considered in meeting the permissible exposure limit; (D) air monitoring data which documents the source of lead emissions; (E) a detailed </w:t>
      </w:r>
      <w:r w:rsidRPr="3080DAE6">
        <w:rPr>
          <w:rFonts w:ascii="Times New Roman"/>
        </w:rPr>
        <w:t>schedule for implementation of the program, including documentation such as copies of purchase orders for equipment, construction contracts, etc.; (F) a work practice program which includes</w:t>
      </w:r>
      <w:r w:rsidRPr="3080DAE6" w:rsidR="006C2989">
        <w:rPr>
          <w:rFonts w:ascii="Times New Roman"/>
        </w:rPr>
        <w:t xml:space="preserve"> </w:t>
      </w:r>
      <w:r w:rsidRPr="3080DAE6">
        <w:rPr>
          <w:rFonts w:ascii="Times New Roman"/>
        </w:rPr>
        <w:t>items required under paragraphs (g), (h), and (</w:t>
      </w:r>
      <w:r w:rsidRPr="3080DAE6">
        <w:rPr>
          <w:rFonts w:ascii="Times New Roman"/>
        </w:rPr>
        <w:t>i</w:t>
      </w:r>
      <w:r w:rsidRPr="3080DAE6">
        <w:rPr>
          <w:rFonts w:ascii="Times New Roman"/>
        </w:rPr>
        <w:t>) of this regulation; (G) an administrative control schedule required by paragraph (e)(5) of this section, if applicable; (H) oth</w:t>
      </w:r>
      <w:r w:rsidRPr="3080DAE6">
        <w:rPr>
          <w:rFonts w:ascii="Times New Roman"/>
        </w:rPr>
        <w:t>er relevant information.</w:t>
      </w:r>
    </w:p>
    <w:p w:rsidR="00E012CD" w:rsidRPr="0052502E" w:rsidP="00C83F6C" w14:paraId="1EB2996E"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P="00C83F6C" w14:paraId="44B4DC7D" w14:textId="513DC60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b/>
          <w:bCs/>
        </w:rPr>
        <w:t>Purpose</w:t>
      </w:r>
      <w:r w:rsidRPr="56E51CD7">
        <w:rPr>
          <w:rFonts w:ascii="Times New Roman"/>
        </w:rPr>
        <w:t>:</w:t>
      </w:r>
      <w:r w:rsidRPr="56E51CD7" w:rsidR="70322B03">
        <w:rPr>
          <w:rFonts w:ascii="Times New Roman"/>
        </w:rPr>
        <w:t xml:space="preserve"> </w:t>
      </w:r>
      <w:r w:rsidRPr="56E51CD7">
        <w:rPr>
          <w:rFonts w:ascii="Times New Roman"/>
        </w:rPr>
        <w:t>R</w:t>
      </w:r>
      <w:r w:rsidRPr="56E51CD7" w:rsidR="70322B03">
        <w:rPr>
          <w:rFonts w:ascii="Times New Roman"/>
        </w:rPr>
        <w:t>equiring an employer to establish a written compliance program effectively promote</w:t>
      </w:r>
      <w:r w:rsidRPr="56E51CD7">
        <w:rPr>
          <w:rFonts w:ascii="Times New Roman"/>
        </w:rPr>
        <w:t>s</w:t>
      </w:r>
      <w:r w:rsidRPr="56E51CD7" w:rsidR="70322B03">
        <w:rPr>
          <w:rFonts w:ascii="Times New Roman"/>
        </w:rPr>
        <w:t xml:space="preserve"> required compliance with the standard's </w:t>
      </w:r>
      <w:r w:rsidRPr="56E51CD7" w:rsidR="65146047">
        <w:rPr>
          <w:rFonts w:ascii="Times New Roman"/>
        </w:rPr>
        <w:t>p</w:t>
      </w:r>
      <w:r w:rsidRPr="56E51CD7" w:rsidR="70322B03">
        <w:rPr>
          <w:rFonts w:ascii="Times New Roman"/>
        </w:rPr>
        <w:t xml:space="preserve">ermissible </w:t>
      </w:r>
      <w:r w:rsidRPr="56E51CD7" w:rsidR="65146047">
        <w:rPr>
          <w:rFonts w:ascii="Times New Roman"/>
        </w:rPr>
        <w:t>e</w:t>
      </w:r>
      <w:r w:rsidRPr="56E51CD7" w:rsidR="70322B03">
        <w:rPr>
          <w:rFonts w:ascii="Times New Roman"/>
        </w:rPr>
        <w:t xml:space="preserve">xposure </w:t>
      </w:r>
      <w:r w:rsidRPr="56E51CD7" w:rsidR="65146047">
        <w:rPr>
          <w:rFonts w:ascii="Times New Roman"/>
        </w:rPr>
        <w:t>l</w:t>
      </w:r>
      <w:r w:rsidRPr="56E51CD7" w:rsidR="70322B03">
        <w:rPr>
          <w:rFonts w:ascii="Times New Roman"/>
        </w:rPr>
        <w:t>imit</w:t>
      </w:r>
      <w:r w:rsidRPr="56E51CD7" w:rsidR="506D17F1">
        <w:rPr>
          <w:rFonts w:ascii="Times New Roman"/>
        </w:rPr>
        <w:t>s</w:t>
      </w:r>
      <w:r w:rsidRPr="56E51CD7" w:rsidR="70322B03">
        <w:rPr>
          <w:rFonts w:ascii="Times New Roman"/>
        </w:rPr>
        <w:t>.</w:t>
      </w:r>
      <w:r w:rsidRPr="56E51CD7" w:rsidR="2CD7BE93">
        <w:rPr>
          <w:rFonts w:ascii="Times New Roman"/>
        </w:rPr>
        <w:t xml:space="preserve"> </w:t>
      </w:r>
      <w:r w:rsidRPr="56E51CD7" w:rsidR="70322B03">
        <w:rPr>
          <w:rFonts w:ascii="Times New Roman"/>
        </w:rPr>
        <w:t>The written program requirement commits the employer to evaluat</w:t>
      </w:r>
      <w:r w:rsidRPr="56E51CD7" w:rsidR="26BAE45C">
        <w:rPr>
          <w:rFonts w:ascii="Times New Roman"/>
        </w:rPr>
        <w:t>e</w:t>
      </w:r>
      <w:r w:rsidRPr="56E51CD7" w:rsidR="70322B03">
        <w:rPr>
          <w:rFonts w:ascii="Times New Roman"/>
        </w:rPr>
        <w:t xml:space="preserve"> </w:t>
      </w:r>
      <w:r w:rsidRPr="56E51CD7" w:rsidR="0FC13A8A">
        <w:rPr>
          <w:rFonts w:ascii="Times New Roman"/>
        </w:rPr>
        <w:t>worker</w:t>
      </w:r>
      <w:r w:rsidRPr="56E51CD7" w:rsidR="70322B03">
        <w:rPr>
          <w:rFonts w:ascii="Times New Roman"/>
        </w:rPr>
        <w:t xml:space="preserve"> exposure and set down an organized and complete plan of reducing </w:t>
      </w:r>
      <w:r w:rsidRPr="56E51CD7" w:rsidR="0FC13A8A">
        <w:rPr>
          <w:rFonts w:ascii="Times New Roman"/>
        </w:rPr>
        <w:t>worker</w:t>
      </w:r>
      <w:r w:rsidRPr="56E51CD7" w:rsidR="70322B03">
        <w:rPr>
          <w:rFonts w:ascii="Times New Roman"/>
        </w:rPr>
        <w:t xml:space="preserve"> exposure to the permissible exposure limit</w:t>
      </w:r>
      <w:r w:rsidRPr="56E51CD7" w:rsidR="506D17F1">
        <w:rPr>
          <w:rFonts w:ascii="Times New Roman"/>
        </w:rPr>
        <w:t>s</w:t>
      </w:r>
      <w:r w:rsidRPr="56E51CD7" w:rsidR="70322B03">
        <w:rPr>
          <w:rFonts w:ascii="Times New Roman"/>
        </w:rPr>
        <w:t>.</w:t>
      </w:r>
      <w:r w:rsidRPr="56E51CD7" w:rsidR="2CD7BE93">
        <w:rPr>
          <w:rFonts w:ascii="Times New Roman"/>
        </w:rPr>
        <w:t xml:space="preserve"> </w:t>
      </w:r>
      <w:r w:rsidRPr="56E51CD7" w:rsidR="70322B03">
        <w:rPr>
          <w:rFonts w:ascii="Times New Roman"/>
        </w:rPr>
        <w:t xml:space="preserve">The plan also provides </w:t>
      </w:r>
      <w:r w:rsidRPr="56E51CD7" w:rsidR="0FC13A8A">
        <w:rPr>
          <w:rFonts w:ascii="Times New Roman"/>
        </w:rPr>
        <w:t>worker</w:t>
      </w:r>
      <w:r w:rsidRPr="56E51CD7" w:rsidR="70322B03">
        <w:rPr>
          <w:rFonts w:ascii="Times New Roman"/>
        </w:rPr>
        <w:t xml:space="preserve">s, and their designated representatives, a resource to ensure that all appropriate protective steps will be taken to protect them from hazardous exposure. </w:t>
      </w:r>
    </w:p>
    <w:p w:rsidR="00E012CD" w:rsidP="56E51CD7" w14:paraId="697B84D8" w14:textId="39DCB57A">
      <w:pPr>
        <w:tabs>
          <w:tab w:val="left" w:pos="360"/>
          <w:tab w:val="left" w:pos="960"/>
          <w:tab w:val="left" w:pos="1560"/>
          <w:tab w:val="left" w:pos="2160"/>
          <w:tab w:val="left" w:pos="2760"/>
          <w:tab w:val="left" w:pos="3360"/>
          <w:tab w:val="left" w:pos="4080"/>
          <w:tab w:val="left" w:pos="4680"/>
          <w:tab w:val="left" w:pos="5280"/>
          <w:tab w:val="left" w:pos="5880"/>
        </w:tabs>
      </w:pPr>
    </w:p>
    <w:p w:rsidR="00301D50" w:rsidP="3080DAE6" w14:paraId="5A1EC3F8" w14:textId="02B185E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3080DAE6">
        <w:rPr>
          <w:rFonts w:ascii="Times New Roman"/>
          <w:b/>
          <w:bCs/>
        </w:rPr>
        <w:t xml:space="preserve">C. </w:t>
      </w:r>
      <w:r w:rsidRPr="3080DAE6" w:rsidR="00E012CD">
        <w:rPr>
          <w:rFonts w:ascii="Times New Roman"/>
          <w:b/>
          <w:bCs/>
        </w:rPr>
        <w:t>Administrative Controls</w:t>
      </w:r>
      <w:r w:rsidRPr="3080DAE6" w:rsidR="32D82D58">
        <w:rPr>
          <w:rFonts w:ascii="Times New Roman"/>
          <w:b/>
          <w:bCs/>
        </w:rPr>
        <w:t xml:space="preserve"> </w:t>
      </w:r>
      <w:r w:rsidRPr="3080DAE6" w:rsidR="32D82D58">
        <w:rPr>
          <w:rFonts w:ascii="Times New Roman" w:eastAsia="Times New Roman"/>
          <w:b/>
          <w:bCs/>
        </w:rPr>
        <w:t>(§ 1910.1025(e)(</w:t>
      </w:r>
      <w:r w:rsidRPr="3080DAE6" w:rsidR="32D82D58">
        <w:rPr>
          <w:rFonts w:ascii="Times New Roman" w:eastAsia="Times New Roman"/>
          <w:b/>
          <w:bCs/>
        </w:rPr>
        <w:t>5)(</w:t>
      </w:r>
      <w:r w:rsidRPr="3080DAE6" w:rsidR="32D82D58">
        <w:rPr>
          <w:rFonts w:ascii="Times New Roman" w:eastAsia="Times New Roman"/>
          <w:b/>
          <w:bCs/>
        </w:rPr>
        <w:t>i</w:t>
      </w:r>
      <w:r w:rsidRPr="3080DAE6" w:rsidR="32D82D58">
        <w:rPr>
          <w:rFonts w:ascii="Times New Roman" w:eastAsia="Times New Roman"/>
          <w:b/>
          <w:bCs/>
        </w:rPr>
        <w:t>-iii))</w:t>
      </w:r>
    </w:p>
    <w:p w:rsidR="006A5695" w:rsidRPr="0052502E" w:rsidP="00C83F6C" w14:paraId="2B06F3CC"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00C83F6C" w14:paraId="089FCB96" w14:textId="1088C671">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If administrative controls are used as a means of reducing </w:t>
      </w:r>
      <w:r w:rsidR="00CD4427">
        <w:rPr>
          <w:rFonts w:ascii="Times New Roman"/>
        </w:rPr>
        <w:t>worker</w:t>
      </w:r>
      <w:r w:rsidRPr="0052502E">
        <w:rPr>
          <w:rFonts w:ascii="Times New Roman"/>
        </w:rPr>
        <w:t>s' TWA exposure to lead, the employer must establish and implement a job rotation schedule that includes the following information: (</w:t>
      </w:r>
      <w:r w:rsidR="006A5695">
        <w:rPr>
          <w:rFonts w:ascii="Times New Roman"/>
        </w:rPr>
        <w:t>i</w:t>
      </w:r>
      <w:r w:rsidRPr="0052502E">
        <w:rPr>
          <w:rFonts w:ascii="Times New Roman"/>
        </w:rPr>
        <w:t xml:space="preserve">) name or identification number of each affected </w:t>
      </w:r>
      <w:r w:rsidR="00CD4427">
        <w:rPr>
          <w:rFonts w:ascii="Times New Roman"/>
        </w:rPr>
        <w:t>worker</w:t>
      </w:r>
      <w:r w:rsidRPr="0052502E">
        <w:rPr>
          <w:rFonts w:ascii="Times New Roman"/>
        </w:rPr>
        <w:t>; (</w:t>
      </w:r>
      <w:r w:rsidR="006A5695">
        <w:rPr>
          <w:rFonts w:ascii="Times New Roman"/>
        </w:rPr>
        <w:t>ii</w:t>
      </w:r>
      <w:r w:rsidRPr="0052502E">
        <w:rPr>
          <w:rFonts w:ascii="Times New Roman"/>
        </w:rPr>
        <w:t xml:space="preserve">) duration and exposure levels at each job or work station where each affected </w:t>
      </w:r>
      <w:r w:rsidR="00CD4427">
        <w:rPr>
          <w:rFonts w:ascii="Times New Roman"/>
        </w:rPr>
        <w:t>worker</w:t>
      </w:r>
      <w:r w:rsidRPr="0052502E">
        <w:rPr>
          <w:rFonts w:ascii="Times New Roman"/>
        </w:rPr>
        <w:t xml:space="preserve"> is located; and (</w:t>
      </w:r>
      <w:r w:rsidR="006A5695">
        <w:rPr>
          <w:rFonts w:ascii="Times New Roman"/>
        </w:rPr>
        <w:t>iii</w:t>
      </w:r>
      <w:r w:rsidRPr="0052502E">
        <w:rPr>
          <w:rFonts w:ascii="Times New Roman"/>
        </w:rPr>
        <w:t>) any other information that may be useful in assessing the reliability of administrative controls to reduce exposure to lead.</w:t>
      </w:r>
    </w:p>
    <w:p w:rsidR="006A5695" w:rsidRPr="0052502E" w:rsidP="56E51CD7" w14:paraId="67665C44" w14:textId="4DB3FE9E">
      <w:pPr>
        <w:tabs>
          <w:tab w:val="left" w:pos="360"/>
          <w:tab w:val="left" w:pos="960"/>
          <w:tab w:val="left" w:pos="1560"/>
          <w:tab w:val="left" w:pos="2160"/>
          <w:tab w:val="left" w:pos="2760"/>
          <w:tab w:val="left" w:pos="3360"/>
          <w:tab w:val="left" w:pos="4080"/>
          <w:tab w:val="left" w:pos="4680"/>
          <w:tab w:val="left" w:pos="5280"/>
          <w:tab w:val="left" w:pos="5880"/>
        </w:tabs>
      </w:pPr>
    </w:p>
    <w:p w:rsidR="00E012CD" w:rsidRPr="0052502E" w:rsidP="00C83F6C" w14:paraId="644A28C3" w14:textId="2668D45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 xml:space="preserve">D. </w:t>
      </w:r>
      <w:r w:rsidRPr="56E51CD7" w:rsidR="70322B03">
        <w:rPr>
          <w:rFonts w:ascii="Times New Roman"/>
          <w:b/>
          <w:bCs/>
        </w:rPr>
        <w:t>Respirator Program (</w:t>
      </w:r>
      <w:r w:rsidRPr="56E51CD7" w:rsidR="0AFFCAB6">
        <w:rPr>
          <w:rFonts w:ascii="Times New Roman"/>
          <w:b/>
          <w:bCs/>
        </w:rPr>
        <w:t>§</w:t>
      </w:r>
      <w:r w:rsidRPr="56E51CD7">
        <w:rPr>
          <w:rFonts w:ascii="Times New Roman"/>
          <w:b/>
          <w:bCs/>
        </w:rPr>
        <w:t xml:space="preserve"> </w:t>
      </w:r>
      <w:r w:rsidRPr="56E51CD7" w:rsidR="0AFFCAB6">
        <w:rPr>
          <w:rFonts w:ascii="Times New Roman"/>
          <w:b/>
          <w:bCs/>
        </w:rPr>
        <w:t>1</w:t>
      </w:r>
      <w:r w:rsidRPr="56E51CD7" w:rsidR="70322B03">
        <w:rPr>
          <w:rFonts w:ascii="Times New Roman"/>
          <w:b/>
          <w:bCs/>
        </w:rPr>
        <w:t>910.1025(f)(2))</w:t>
      </w:r>
    </w:p>
    <w:p w:rsidR="00E012CD" w:rsidP="00C83F6C" w14:paraId="0C0AAF10" w14:textId="18759E0C">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FE2B02" w:rsidP="00C83F6C" w14:paraId="733CED07" w14:textId="24266934">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The empl</w:t>
      </w:r>
      <w:r w:rsidR="00247251">
        <w:rPr>
          <w:rFonts w:ascii="Times New Roman"/>
        </w:rPr>
        <w:t xml:space="preserve">oyer must implement a respiratory protection program in accordance with 1910.134(b) through (d) (except (d)(1)(iii), and (f) through (m), which covers each employee required by this section to use a respirator. </w:t>
      </w:r>
      <w:r w:rsidR="00233BEB">
        <w:rPr>
          <w:rFonts w:ascii="Times New Roman"/>
        </w:rPr>
        <w:t xml:space="preserve">If an employee has difficulty </w:t>
      </w:r>
      <w:r w:rsidR="008962BD">
        <w:rPr>
          <w:rFonts w:ascii="Times New Roman"/>
        </w:rPr>
        <w:t xml:space="preserve">during </w:t>
      </w:r>
      <w:r w:rsidR="00231DB7">
        <w:rPr>
          <w:rFonts w:ascii="Times New Roman"/>
        </w:rPr>
        <w:t>fit testing or respirator use, the employer must provide the employee with a medical examination in accordance with para</w:t>
      </w:r>
      <w:r w:rsidR="006A3E0D">
        <w:rPr>
          <w:rFonts w:ascii="Times New Roman"/>
        </w:rPr>
        <w:t xml:space="preserve">graph </w:t>
      </w:r>
      <w:r w:rsidR="00905781">
        <w:rPr>
          <w:rFonts w:ascii="Times New Roman"/>
        </w:rPr>
        <w:t>(j)(3)(</w:t>
      </w:r>
      <w:r w:rsidR="00905781">
        <w:rPr>
          <w:rFonts w:ascii="Times New Roman"/>
        </w:rPr>
        <w:t>i</w:t>
      </w:r>
      <w:r w:rsidR="00905781">
        <w:rPr>
          <w:rFonts w:ascii="Times New Roman"/>
        </w:rPr>
        <w:t xml:space="preserve">)(C) of this section to determine </w:t>
      </w:r>
      <w:r w:rsidR="00F96A63">
        <w:rPr>
          <w:rFonts w:ascii="Times New Roman"/>
        </w:rPr>
        <w:t>whether</w:t>
      </w:r>
      <w:r w:rsidR="00905781">
        <w:rPr>
          <w:rFonts w:ascii="Times New Roman"/>
        </w:rPr>
        <w:t xml:space="preserve"> the employee can use a respirator while performing the required duty. </w:t>
      </w:r>
    </w:p>
    <w:p w:rsidR="00FE2B02" w:rsidRPr="0052502E" w:rsidP="00C83F6C" w14:paraId="4965B58D"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P="00C83F6C" w14:paraId="10EAB3B6" w14:textId="6F3C9BB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b/>
          <w:bCs/>
        </w:rPr>
        <w:t>P</w:t>
      </w:r>
      <w:r w:rsidRPr="56E51CD7" w:rsidR="70322B03">
        <w:rPr>
          <w:rFonts w:ascii="Times New Roman"/>
          <w:b/>
          <w:bCs/>
        </w:rPr>
        <w:t>urpose</w:t>
      </w:r>
      <w:r w:rsidRPr="56E51CD7">
        <w:rPr>
          <w:rFonts w:ascii="Times New Roman"/>
        </w:rPr>
        <w:t>:</w:t>
      </w:r>
      <w:r w:rsidRPr="56E51CD7" w:rsidR="70322B03">
        <w:rPr>
          <w:rFonts w:ascii="Times New Roman"/>
        </w:rPr>
        <w:t xml:space="preserve"> </w:t>
      </w:r>
      <w:r w:rsidRPr="56E51CD7">
        <w:rPr>
          <w:rFonts w:ascii="Times New Roman"/>
        </w:rPr>
        <w:t>T</w:t>
      </w:r>
      <w:r w:rsidRPr="56E51CD7" w:rsidR="70322B03">
        <w:rPr>
          <w:rFonts w:ascii="Times New Roman"/>
        </w:rPr>
        <w:t xml:space="preserve">hese requirements ensure that employers </w:t>
      </w:r>
      <w:r w:rsidRPr="56E51CD7" w:rsidR="2AF6E1F6">
        <w:rPr>
          <w:rFonts w:ascii="Times New Roman"/>
        </w:rPr>
        <w:t xml:space="preserve">have </w:t>
      </w:r>
      <w:r w:rsidRPr="56E51CD7" w:rsidR="70322B03">
        <w:rPr>
          <w:rFonts w:ascii="Times New Roman"/>
        </w:rPr>
        <w:t xml:space="preserve">a standardized procedure for selecting, using, and maintaining respirators for each workplace where respirators will be used. Developing written procedures requires employers to think through how all requirements of the respiratory standard will be met in their workplace. </w:t>
      </w:r>
    </w:p>
    <w:p w:rsidR="00E012CD" w:rsidRPr="0052502E" w:rsidP="00C83F6C" w14:paraId="16FCF7C1"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P="56E51CD7" w14:paraId="01B96828" w14:textId="71CA758C">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 xml:space="preserve">E. </w:t>
      </w:r>
      <w:r w:rsidRPr="56E51CD7" w:rsidR="70322B03">
        <w:rPr>
          <w:rFonts w:ascii="Times New Roman"/>
          <w:b/>
          <w:bCs/>
        </w:rPr>
        <w:t>Notifying Laundry</w:t>
      </w:r>
      <w:r w:rsidRPr="56E51CD7" w:rsidR="274ED227">
        <w:rPr>
          <w:rFonts w:ascii="Times New Roman"/>
          <w:b/>
          <w:bCs/>
        </w:rPr>
        <w:t xml:space="preserve"> Services</w:t>
      </w:r>
      <w:r w:rsidRPr="56E51CD7" w:rsidR="70322B03">
        <w:rPr>
          <w:rFonts w:ascii="Times New Roman" w:eastAsia="Times New Roman"/>
          <w:b/>
          <w:bCs/>
        </w:rPr>
        <w:t xml:space="preserve"> (</w:t>
      </w:r>
      <w:r w:rsidRPr="56E51CD7" w:rsidR="4AB530A3">
        <w:rPr>
          <w:rFonts w:ascii="Times New Roman"/>
          <w:b/>
          <w:bCs/>
        </w:rPr>
        <w:t xml:space="preserve">§ </w:t>
      </w:r>
      <w:r w:rsidRPr="56E51CD7" w:rsidR="0AFFCAB6">
        <w:rPr>
          <w:rFonts w:ascii="Times New Roman" w:eastAsia="Times New Roman"/>
          <w:b/>
          <w:bCs/>
        </w:rPr>
        <w:t>1</w:t>
      </w:r>
      <w:r w:rsidRPr="56E51CD7" w:rsidR="70322B03">
        <w:rPr>
          <w:rFonts w:ascii="Times New Roman" w:eastAsia="Times New Roman"/>
          <w:b/>
          <w:bCs/>
        </w:rPr>
        <w:t>910.1025(g)(2)(vi))</w:t>
      </w:r>
    </w:p>
    <w:p w:rsidR="00301D50" w:rsidRPr="0052502E" w:rsidP="00C83F6C" w14:paraId="4CAA49A9"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6C2989" w:rsidP="00C83F6C" w14:paraId="0E45FA93" w14:textId="7A35D6E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 xml:space="preserve">The </w:t>
      </w:r>
      <w:r w:rsidRPr="0052502E" w:rsidR="00E012CD">
        <w:rPr>
          <w:rFonts w:ascii="Times New Roman"/>
        </w:rPr>
        <w:t>employer</w:t>
      </w:r>
      <w:r w:rsidR="00A63F60">
        <w:rPr>
          <w:rFonts w:ascii="Times New Roman"/>
        </w:rPr>
        <w:t xml:space="preserve"> shall</w:t>
      </w:r>
      <w:r w:rsidRPr="0052502E" w:rsidR="00E012CD">
        <w:rPr>
          <w:rFonts w:ascii="Times New Roman"/>
        </w:rPr>
        <w:t xml:space="preserve"> inform in writing any person who </w:t>
      </w:r>
      <w:r>
        <w:rPr>
          <w:rFonts w:ascii="Times New Roman"/>
        </w:rPr>
        <w:t xml:space="preserve">cleans or </w:t>
      </w:r>
      <w:r w:rsidRPr="0052502E" w:rsidR="00E012CD">
        <w:rPr>
          <w:rFonts w:ascii="Times New Roman"/>
        </w:rPr>
        <w:t>launders protective clothing or equipment of the potentially harmful effects of exposure to lead.</w:t>
      </w:r>
      <w:r w:rsidR="00BA3D4E">
        <w:rPr>
          <w:rFonts w:ascii="Times New Roman"/>
        </w:rPr>
        <w:t xml:space="preserve"> </w:t>
      </w:r>
    </w:p>
    <w:p w:rsidR="00C8706E" w:rsidP="00C83F6C" w14:paraId="450A71A6" w14:textId="21F9FC04">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 xml:space="preserve"> </w:t>
      </w:r>
    </w:p>
    <w:p w:rsidR="00E012CD" w:rsidP="00C83F6C" w14:paraId="15A4C310" w14:textId="138FDDE8">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b/>
          <w:bCs/>
        </w:rPr>
        <w:t>Purpose</w:t>
      </w:r>
      <w:r w:rsidRPr="56E51CD7">
        <w:rPr>
          <w:rFonts w:ascii="Times New Roman"/>
        </w:rPr>
        <w:t xml:space="preserve">: </w:t>
      </w:r>
      <w:r w:rsidRPr="56E51CD7" w:rsidR="3F60B733">
        <w:rPr>
          <w:rFonts w:ascii="Times New Roman"/>
        </w:rPr>
        <w:t>P</w:t>
      </w:r>
      <w:r w:rsidRPr="56E51CD7" w:rsidR="70322B03">
        <w:rPr>
          <w:rFonts w:ascii="Times New Roman"/>
        </w:rPr>
        <w:t xml:space="preserve">roviding this information to the person doing the laundry, they are </w:t>
      </w:r>
      <w:r w:rsidRPr="56E51CD7" w:rsidR="577B1163">
        <w:rPr>
          <w:rFonts w:ascii="Times New Roman"/>
        </w:rPr>
        <w:t>informed of the presence and potentially harmful effects of lead</w:t>
      </w:r>
      <w:r w:rsidRPr="56E51CD7" w:rsidR="70322B03">
        <w:rPr>
          <w:rFonts w:ascii="Times New Roman"/>
        </w:rPr>
        <w:t>.</w:t>
      </w:r>
    </w:p>
    <w:p w:rsidR="00C44857" w:rsidP="00C83F6C" w14:paraId="4CC605A8"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P="00C83F6C" w14:paraId="6CDC014B" w14:textId="000DB60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 xml:space="preserve">F. </w:t>
      </w:r>
      <w:r w:rsidRPr="56E51CD7" w:rsidR="6FB93F89">
        <w:rPr>
          <w:rFonts w:ascii="Times New Roman"/>
          <w:b/>
          <w:bCs/>
        </w:rPr>
        <w:t>Labeling of Contaminated Protective Clothing and Equipment</w:t>
      </w:r>
      <w:r w:rsidRPr="56E51CD7" w:rsidR="70322B03">
        <w:rPr>
          <w:rFonts w:ascii="Times New Roman"/>
          <w:b/>
          <w:bCs/>
        </w:rPr>
        <w:t xml:space="preserve"> (</w:t>
      </w:r>
      <w:r w:rsidRPr="56E51CD7" w:rsidR="0AFFCAB6">
        <w:rPr>
          <w:rFonts w:ascii="Times New Roman"/>
          <w:b/>
          <w:bCs/>
        </w:rPr>
        <w:t>§</w:t>
      </w:r>
      <w:r w:rsidRPr="56E51CD7">
        <w:rPr>
          <w:rFonts w:ascii="Times New Roman"/>
          <w:b/>
          <w:bCs/>
        </w:rPr>
        <w:t xml:space="preserve"> </w:t>
      </w:r>
      <w:r w:rsidRPr="56E51CD7" w:rsidR="0AFFCAB6">
        <w:rPr>
          <w:rFonts w:ascii="Times New Roman"/>
          <w:b/>
          <w:bCs/>
        </w:rPr>
        <w:t>1</w:t>
      </w:r>
      <w:r w:rsidRPr="56E51CD7" w:rsidR="70322B03">
        <w:rPr>
          <w:rFonts w:ascii="Times New Roman"/>
          <w:b/>
          <w:bCs/>
        </w:rPr>
        <w:t>910.1025(g)(2)(vii))</w:t>
      </w:r>
    </w:p>
    <w:p w:rsidR="00301D50" w:rsidRPr="00F271D5" w:rsidP="00C83F6C" w14:paraId="290CD661"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A63F60" w:rsidRPr="001438C5" w:rsidP="56E51CD7" w14:paraId="37901E20" w14:textId="7C8D6E30">
      <w:pPr>
        <w:pStyle w:val="NormalWeb"/>
        <w:spacing w:before="0" w:beforeAutospacing="0" w:after="0" w:afterAutospacing="0"/>
        <w:rPr>
          <w:rStyle w:val="Strong"/>
          <w:b w:val="0"/>
          <w:bCs w:val="0"/>
          <w:i/>
          <w:iCs/>
        </w:rPr>
      </w:pPr>
      <w:r w:rsidRPr="56E51CD7">
        <w:rPr>
          <w:i/>
          <w:iCs/>
        </w:rPr>
        <w:t xml:space="preserve">§ </w:t>
      </w:r>
      <w:r w:rsidRPr="56E51CD7" w:rsidR="7F647437">
        <w:rPr>
          <w:rStyle w:val="Strong"/>
          <w:b w:val="0"/>
          <w:bCs w:val="0"/>
          <w:i/>
          <w:iCs/>
        </w:rPr>
        <w:t>1910.1025(g)(2)(vii)(A)</w:t>
      </w:r>
    </w:p>
    <w:p w:rsidR="00301D50" w:rsidP="001438C5" w14:paraId="77D81F02" w14:textId="77777777">
      <w:pPr>
        <w:pStyle w:val="NormalWeb"/>
        <w:spacing w:before="0" w:beforeAutospacing="0" w:after="0" w:afterAutospacing="0"/>
        <w:rPr>
          <w:rStyle w:val="Strong"/>
        </w:rPr>
      </w:pPr>
    </w:p>
    <w:p w:rsidR="00A63F60" w:rsidP="00C83F6C" w14:paraId="0AD6001B" w14:textId="13F3807D">
      <w:pPr>
        <w:pStyle w:val="NormalWeb"/>
        <w:spacing w:before="0" w:beforeAutospacing="0" w:after="0" w:afterAutospacing="0"/>
      </w:pPr>
      <w:r>
        <w:rPr>
          <w:rStyle w:val="Strong"/>
          <w:b w:val="0"/>
          <w:bCs w:val="0"/>
        </w:rPr>
        <w:t xml:space="preserve">The </w:t>
      </w:r>
      <w:r>
        <w:t>e</w:t>
      </w:r>
      <w:r w:rsidRPr="00FB0EF5" w:rsidR="0086393F">
        <w:t xml:space="preserve">mployer </w:t>
      </w:r>
      <w:r>
        <w:t>shall</w:t>
      </w:r>
      <w:r w:rsidRPr="00FB0EF5" w:rsidR="0086393F">
        <w:t xml:space="preserve"> ensure that labels of bags or containers of contaminated protective clothing and equipment</w:t>
      </w:r>
      <w:r>
        <w:t xml:space="preserve"> include the following information</w:t>
      </w:r>
      <w:r w:rsidRPr="00FB0EF5" w:rsidR="0086393F">
        <w:t xml:space="preserve">: </w:t>
      </w:r>
    </w:p>
    <w:p w:rsidR="00301D50" w:rsidP="001438C5" w14:paraId="34A179EC" w14:textId="77777777">
      <w:pPr>
        <w:pStyle w:val="NormalWeb"/>
        <w:spacing w:before="0" w:beforeAutospacing="0" w:after="0" w:afterAutospacing="0"/>
      </w:pPr>
    </w:p>
    <w:p w:rsidR="0086393F" w:rsidP="56E51CD7" w14:paraId="4F2A9B32" w14:textId="3994DD50">
      <w:pPr>
        <w:pStyle w:val="NormalWeb"/>
        <w:spacing w:before="0" w:beforeAutospacing="0" w:after="0" w:afterAutospacing="0"/>
      </w:pPr>
      <w:r>
        <w:t>DANGER: CLOTHING AND EQUIPMENT CONTAMINATED WITH LEAD.</w:t>
      </w:r>
      <w:r w:rsidR="2CD7BE93">
        <w:t xml:space="preserve"> </w:t>
      </w:r>
      <w:r>
        <w:t>MAY DAMAGE FERTILITY OR THE UNBORN CHILD. CAUSES DAMAGE TO THE CENTRAL NERVOUS SYSTEM. DO NOT EAT, DRINK OR SMOKE WHEN HANDLING. DO NOT REMOVE DUST BY BLOWING OR SHAKING. DISPOSE OF LEAD CONTAMINATED WASH WATER IN ACCORDANCE WITH APPLICABLE LOCAL, STATE, OR FEDERAL REGULATIONS.</w:t>
      </w:r>
    </w:p>
    <w:p w:rsidR="00301D50" w:rsidRPr="00FB0EF5" w:rsidP="001438C5" w14:paraId="7EACA081" w14:textId="77777777">
      <w:pPr>
        <w:pStyle w:val="NormalWeb"/>
        <w:spacing w:before="0" w:beforeAutospacing="0" w:after="0" w:afterAutospacing="0"/>
      </w:pPr>
    </w:p>
    <w:p w:rsidR="006F08DB" w:rsidRPr="001438C5" w:rsidP="56E51CD7" w14:paraId="28F025C6" w14:textId="0F9A6C45">
      <w:pPr>
        <w:pStyle w:val="NormalWeb"/>
        <w:spacing w:before="0" w:beforeAutospacing="0" w:after="0" w:afterAutospacing="0"/>
        <w:rPr>
          <w:rStyle w:val="Strong"/>
          <w:b w:val="0"/>
          <w:bCs w:val="0"/>
          <w:i/>
          <w:iCs/>
        </w:rPr>
      </w:pPr>
      <w:r w:rsidRPr="56E51CD7">
        <w:rPr>
          <w:i/>
          <w:iCs/>
        </w:rPr>
        <w:t xml:space="preserve">§ </w:t>
      </w:r>
      <w:r w:rsidRPr="56E51CD7" w:rsidR="7F647437">
        <w:rPr>
          <w:rStyle w:val="Strong"/>
          <w:b w:val="0"/>
          <w:bCs w:val="0"/>
          <w:i/>
          <w:iCs/>
        </w:rPr>
        <w:t xml:space="preserve">1910.1025(g)(2)(vii)(B) </w:t>
      </w:r>
    </w:p>
    <w:p w:rsidR="00301D50" w:rsidP="001438C5" w14:paraId="2E6B9576" w14:textId="77777777">
      <w:pPr>
        <w:pStyle w:val="NormalWeb"/>
        <w:spacing w:before="0" w:beforeAutospacing="0" w:after="0" w:afterAutospacing="0"/>
        <w:rPr>
          <w:rStyle w:val="Strong"/>
        </w:rPr>
      </w:pPr>
    </w:p>
    <w:p w:rsidR="009D0972" w:rsidP="56E51CD7" w14:paraId="6BB156DD" w14:textId="26F0F7B7">
      <w:pPr>
        <w:pStyle w:val="NormalWeb"/>
        <w:spacing w:before="0" w:beforeAutospacing="0" w:after="0" w:afterAutospacing="0"/>
      </w:pPr>
      <w:r>
        <w:t>Prior to June 1, 2015, employers may include the following information on bags or containers of contaminated protective clothing and equipment in lieu of the labeling requirements in paragraphs (g)(2)(vii)(A)</w:t>
      </w:r>
      <w:r w:rsidR="25D03CFE">
        <w:t xml:space="preserve"> of this section</w:t>
      </w:r>
      <w:r>
        <w:t>:</w:t>
      </w:r>
      <w:r w:rsidR="2CD7BE93">
        <w:t xml:space="preserve"> </w:t>
      </w:r>
    </w:p>
    <w:p w:rsidR="00301D50" w:rsidP="001438C5" w14:paraId="4A1CD414" w14:textId="77777777">
      <w:pPr>
        <w:pStyle w:val="NormalWeb"/>
        <w:spacing w:before="0" w:beforeAutospacing="0" w:after="0" w:afterAutospacing="0"/>
      </w:pPr>
    </w:p>
    <w:p w:rsidR="0086393F" w:rsidRPr="00FB0EF5" w:rsidP="001438C5" w14:paraId="3090BE3B" w14:textId="2B90C3B9">
      <w:pPr>
        <w:pStyle w:val="NormalWeb"/>
        <w:spacing w:before="0" w:beforeAutospacing="0" w:after="0" w:afterAutospacing="0"/>
      </w:pPr>
      <w:r w:rsidRPr="00FB0EF5">
        <w:t>CAUTION: CLOTHING CONTAMINATED WITH LEAD. DO NOT REMOVE DUST BY BLOWING OR SHAKING. DISPOSE OF LEAD CONTAMINATED WASH WATER IN ACCORDANCE WITH APPLICABLE LOCAL, STATE, OR FEDERAL REGULATIONS.</w:t>
      </w:r>
    </w:p>
    <w:p w:rsidR="00301D50" w:rsidP="00C83F6C" w14:paraId="3628098C"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FB0EF5" w:rsidP="00C83F6C" w14:paraId="3BDEBAF2" w14:textId="11EA5CD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 xml:space="preserve">Warning labels inform downstream </w:t>
      </w:r>
      <w:r w:rsidRPr="56E51CD7" w:rsidR="0FC13A8A">
        <w:rPr>
          <w:rFonts w:ascii="Times New Roman"/>
        </w:rPr>
        <w:t>worker</w:t>
      </w:r>
      <w:r w:rsidRPr="56E51CD7">
        <w:rPr>
          <w:rFonts w:ascii="Times New Roman"/>
        </w:rPr>
        <w:t>s and employers of the hazards associated with lead, and that they may need to implement special practices to prevent or reduce lead exposure.</w:t>
      </w:r>
      <w:r w:rsidRPr="56E51CD7" w:rsidR="2CD7BE93">
        <w:rPr>
          <w:rFonts w:ascii="Times New Roman"/>
        </w:rPr>
        <w:t xml:space="preserve"> </w:t>
      </w:r>
      <w:r w:rsidRPr="56E51CD7">
        <w:rPr>
          <w:rFonts w:ascii="Times New Roman"/>
        </w:rPr>
        <w:t xml:space="preserve">Furthermore, the labels alert downstream employers that they may have an obligation to protect their </w:t>
      </w:r>
      <w:r w:rsidRPr="56E51CD7" w:rsidR="0FC13A8A">
        <w:rPr>
          <w:rFonts w:ascii="Times New Roman"/>
        </w:rPr>
        <w:t>worker</w:t>
      </w:r>
      <w:r w:rsidRPr="56E51CD7">
        <w:rPr>
          <w:rFonts w:ascii="Times New Roman"/>
        </w:rPr>
        <w:t xml:space="preserve">s under the </w:t>
      </w:r>
      <w:r w:rsidRPr="56E51CD7" w:rsidR="35FA2D79">
        <w:rPr>
          <w:rFonts w:ascii="Times New Roman"/>
        </w:rPr>
        <w:t>s</w:t>
      </w:r>
      <w:r w:rsidRPr="56E51CD7">
        <w:rPr>
          <w:rFonts w:ascii="Times New Roman"/>
        </w:rPr>
        <w:t>tandard.</w:t>
      </w:r>
    </w:p>
    <w:p w:rsidR="006D1DAA" w:rsidP="00C83F6C" w14:paraId="57D40735"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Melior" w:eastAsia="Times New Roman" w:hAnsi="Melior" w:cs="Melior"/>
        </w:rPr>
      </w:pPr>
    </w:p>
    <w:p w:rsidR="00E012CD" w:rsidRPr="0052502E" w:rsidP="00C83F6C" w14:paraId="7BB56579" w14:textId="1C6C4BBC">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b/>
          <w:bCs/>
        </w:rPr>
        <w:t>G</w:t>
      </w:r>
      <w:r w:rsidRPr="56E51CD7" w:rsidR="6708D50E">
        <w:rPr>
          <w:rFonts w:ascii="Times New Roman"/>
          <w:b/>
          <w:bCs/>
        </w:rPr>
        <w:t xml:space="preserve">. </w:t>
      </w:r>
      <w:r w:rsidRPr="56E51CD7" w:rsidR="70322B03">
        <w:rPr>
          <w:rFonts w:ascii="Times New Roman"/>
          <w:b/>
          <w:bCs/>
        </w:rPr>
        <w:t>Medical Surveillance</w:t>
      </w:r>
      <w:r w:rsidRPr="56E51CD7" w:rsidR="4738C39C">
        <w:rPr>
          <w:rFonts w:ascii="Times New Roman"/>
          <w:b/>
          <w:bCs/>
        </w:rPr>
        <w:t>, General</w:t>
      </w:r>
      <w:r w:rsidRPr="56E51CD7" w:rsidR="70322B03">
        <w:rPr>
          <w:rFonts w:ascii="Times New Roman"/>
          <w:b/>
          <w:bCs/>
        </w:rPr>
        <w:t xml:space="preserve"> (</w:t>
      </w:r>
      <w:r w:rsidRPr="56E51CD7" w:rsidR="0AFFCAB6">
        <w:rPr>
          <w:rFonts w:ascii="Times New Roman"/>
          <w:b/>
          <w:bCs/>
        </w:rPr>
        <w:t>§</w:t>
      </w:r>
      <w:r w:rsidRPr="56E51CD7">
        <w:rPr>
          <w:rFonts w:ascii="Times New Roman"/>
          <w:b/>
          <w:bCs/>
        </w:rPr>
        <w:t xml:space="preserve"> </w:t>
      </w:r>
      <w:r w:rsidRPr="56E51CD7" w:rsidR="0AFFCAB6">
        <w:rPr>
          <w:rFonts w:ascii="Times New Roman"/>
          <w:b/>
          <w:bCs/>
        </w:rPr>
        <w:t>1</w:t>
      </w:r>
      <w:r w:rsidRPr="56E51CD7" w:rsidR="70322B03">
        <w:rPr>
          <w:rFonts w:ascii="Times New Roman"/>
          <w:b/>
          <w:bCs/>
        </w:rPr>
        <w:t>910.1025(j)</w:t>
      </w:r>
      <w:r w:rsidRPr="56E51CD7" w:rsidR="37CE9EC6">
        <w:rPr>
          <w:rFonts w:ascii="Times New Roman"/>
          <w:b/>
          <w:bCs/>
        </w:rPr>
        <w:t>(1)(</w:t>
      </w:r>
      <w:r w:rsidRPr="56E51CD7" w:rsidR="37CE9EC6">
        <w:rPr>
          <w:rFonts w:ascii="Times New Roman"/>
          <w:b/>
          <w:bCs/>
        </w:rPr>
        <w:t>i</w:t>
      </w:r>
      <w:r w:rsidRPr="56E51CD7" w:rsidR="37CE9EC6">
        <w:rPr>
          <w:rFonts w:ascii="Times New Roman"/>
          <w:b/>
          <w:bCs/>
        </w:rPr>
        <w:t>)</w:t>
      </w:r>
      <w:r w:rsidRPr="56E51CD7" w:rsidR="70322B03">
        <w:rPr>
          <w:rFonts w:ascii="Times New Roman"/>
          <w:b/>
          <w:bCs/>
        </w:rPr>
        <w:t>)</w:t>
      </w:r>
    </w:p>
    <w:p w:rsidR="00E012CD" w:rsidP="00C83F6C" w14:paraId="7902D9E6" w14:textId="1743F9D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BD4318" w:rsidP="00C83F6C" w14:paraId="25D36187" w14:textId="4F216D3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The employer shall institute a medical surveillance program for all employees who are or may be exposed at or above the action level for more than 30 days per year.</w:t>
      </w:r>
    </w:p>
    <w:p w:rsidR="00E012CD" w:rsidP="00C83F6C" w14:paraId="0C4CB72D"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rsidR="00E012CD" w:rsidRPr="001438C5" w:rsidP="56E51CD7" w14:paraId="761BDF7C" w14:textId="3D892ED9">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 xml:space="preserve">(1) </w:t>
      </w:r>
      <w:r w:rsidRPr="56E51CD7" w:rsidR="70322B03">
        <w:rPr>
          <w:rFonts w:ascii="Times New Roman"/>
          <w:i/>
          <w:iCs/>
        </w:rPr>
        <w:t>Biological Monitoring</w:t>
      </w:r>
      <w:r w:rsidRPr="56E51CD7">
        <w:rPr>
          <w:rFonts w:ascii="Times New Roman"/>
          <w:i/>
          <w:iCs/>
        </w:rPr>
        <w:t xml:space="preserve">. Blood </w:t>
      </w:r>
      <w:r w:rsidRPr="56E51CD7">
        <w:rPr>
          <w:rFonts w:ascii="Times New Roman"/>
          <w:i/>
          <w:iCs/>
        </w:rPr>
        <w:t>Lead</w:t>
      </w:r>
      <w:r w:rsidRPr="56E51CD7">
        <w:rPr>
          <w:rFonts w:ascii="Times New Roman"/>
          <w:i/>
          <w:iCs/>
        </w:rPr>
        <w:t xml:space="preserve"> and ZPP Level Sampling and Analysis</w:t>
      </w:r>
      <w:r w:rsidRPr="56E51CD7" w:rsidR="70322B03">
        <w:rPr>
          <w:rFonts w:ascii="Times New Roman"/>
          <w:i/>
          <w:iCs/>
        </w:rPr>
        <w:t xml:space="preserve"> </w:t>
      </w:r>
      <w:r w:rsidR="00AE3BD0">
        <w:br/>
      </w:r>
      <w:r w:rsidRPr="56E51CD7" w:rsidR="70322B03">
        <w:rPr>
          <w:rFonts w:ascii="Times New Roman"/>
          <w:i/>
          <w:iCs/>
        </w:rPr>
        <w:t>(</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sidR="70322B03">
        <w:rPr>
          <w:rFonts w:ascii="Times New Roman"/>
          <w:i/>
          <w:iCs/>
        </w:rPr>
        <w:t>910.1025(j)(2</w:t>
      </w:r>
      <w:r w:rsidRPr="56E51CD7">
        <w:rPr>
          <w:rFonts w:ascii="Times New Roman"/>
          <w:i/>
          <w:iCs/>
        </w:rPr>
        <w:t>)(</w:t>
      </w:r>
      <w:r w:rsidRPr="56E51CD7">
        <w:rPr>
          <w:rFonts w:ascii="Times New Roman"/>
          <w:i/>
          <w:iCs/>
        </w:rPr>
        <w:t>i</w:t>
      </w:r>
      <w:r w:rsidRPr="56E51CD7">
        <w:rPr>
          <w:rFonts w:ascii="Times New Roman"/>
          <w:i/>
          <w:iCs/>
        </w:rPr>
        <w:t>)</w:t>
      </w:r>
      <w:r w:rsidRPr="56E51CD7" w:rsidR="70322B03">
        <w:rPr>
          <w:rFonts w:ascii="Times New Roman"/>
          <w:i/>
          <w:iCs/>
        </w:rPr>
        <w:t>)</w:t>
      </w:r>
    </w:p>
    <w:p w:rsidR="00E012CD" w:rsidRPr="0052502E" w:rsidP="00C83F6C" w14:paraId="4096EFA1"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9F4D08" w:rsidP="56E51CD7" w14:paraId="2BAB4120" w14:textId="28F82515">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The employer shall make available biological monitoring in the form of blood sampling and analysis for lead and zinc protoporphyrin levels to each employee covered under para</w:t>
      </w:r>
      <w:r w:rsidRPr="56E51CD7" w:rsidR="022FD3BD">
        <w:rPr>
          <w:rFonts w:ascii="Times New Roman"/>
        </w:rPr>
        <w:t>graph (j)(1)(</w:t>
      </w:r>
      <w:r w:rsidRPr="56E51CD7" w:rsidR="022FD3BD">
        <w:rPr>
          <w:rFonts w:ascii="Times New Roman"/>
        </w:rPr>
        <w:t>i</w:t>
      </w:r>
      <w:r w:rsidRPr="56E51CD7" w:rsidR="022FD3BD">
        <w:rPr>
          <w:rFonts w:ascii="Times New Roman"/>
        </w:rPr>
        <w:t>) of this section on the following schedule: (A) at least every 6 months to each employee covered under paragraph (j)(1)(</w:t>
      </w:r>
      <w:r w:rsidRPr="56E51CD7" w:rsidR="022FD3BD">
        <w:rPr>
          <w:rFonts w:ascii="Times New Roman"/>
        </w:rPr>
        <w:t>i</w:t>
      </w:r>
      <w:r w:rsidRPr="56E51CD7" w:rsidR="022FD3BD">
        <w:rPr>
          <w:rFonts w:ascii="Times New Roman"/>
        </w:rPr>
        <w:t>) of this section; (B) at least every two months for each employee whose last blood sampling and analysis indicated a blood lead level at or abo</w:t>
      </w:r>
      <w:r w:rsidRPr="56E51CD7" w:rsidR="04920207">
        <w:rPr>
          <w:rFonts w:ascii="Times New Roman"/>
        </w:rPr>
        <w:t>v</w:t>
      </w:r>
      <w:r w:rsidRPr="56E51CD7" w:rsidR="022FD3BD">
        <w:rPr>
          <w:rFonts w:ascii="Times New Roman"/>
        </w:rPr>
        <w:t>e</w:t>
      </w:r>
      <w:r w:rsidRPr="56E51CD7" w:rsidR="531828AE">
        <w:rPr>
          <w:rFonts w:ascii="Times New Roman"/>
        </w:rPr>
        <w:t xml:space="preserve"> 40 </w:t>
      </w:r>
      <w:r w:rsidRPr="56E51CD7" w:rsidR="12692BC4">
        <w:rPr>
          <w:rFonts w:ascii="Times New Roman" w:eastAsia="Times New Roman"/>
          <w:color w:val="404040" w:themeColor="text1" w:themeTint="BF"/>
        </w:rPr>
        <w:t>μ</w:t>
      </w:r>
      <w:r w:rsidRPr="56E51CD7" w:rsidR="531828AE">
        <w:rPr>
          <w:rFonts w:ascii="Times New Roman"/>
        </w:rPr>
        <w:t>g</w:t>
      </w:r>
      <w:r w:rsidRPr="56E51CD7" w:rsidR="531828AE">
        <w:rPr>
          <w:rFonts w:ascii="Times New Roman"/>
        </w:rPr>
        <w:t xml:space="preserve">/100 g of whole blood. This frequency shall continue until two consecutive blood samples and analyses indicate a blood lead level below 40 </w:t>
      </w:r>
      <w:r w:rsidRPr="56E51CD7" w:rsidR="1D98624B">
        <w:rPr>
          <w:rFonts w:ascii="Times New Roman" w:eastAsia="Times New Roman"/>
          <w:color w:val="404040" w:themeColor="text1" w:themeTint="BF"/>
        </w:rPr>
        <w:t>μ</w:t>
      </w:r>
      <w:r w:rsidRPr="56E51CD7" w:rsidR="531828AE">
        <w:rPr>
          <w:rFonts w:ascii="Times New Roman"/>
        </w:rPr>
        <w:t>g</w:t>
      </w:r>
      <w:r w:rsidRPr="56E51CD7" w:rsidR="531828AE">
        <w:rPr>
          <w:rFonts w:ascii="Times New Roman"/>
        </w:rPr>
        <w:t xml:space="preserve">/100 g of whole blood; and (C) at least monthly during the removal period of each employee removed from exposure to lead due to an elevated blood lead level. </w:t>
      </w:r>
    </w:p>
    <w:p w:rsidR="00E012CD" w:rsidRPr="0052502E" w:rsidP="00C83F6C" w14:paraId="2BE97B67"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P="56E51CD7" w14:paraId="372FF543" w14:textId="351EC30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Follow</w:t>
      </w:r>
      <w:r w:rsidRPr="56E51CD7" w:rsidR="414FA508">
        <w:rPr>
          <w:rFonts w:ascii="Times New Roman"/>
          <w:i/>
          <w:iCs/>
        </w:rPr>
        <w:t>-</w:t>
      </w:r>
      <w:r w:rsidRPr="56E51CD7">
        <w:rPr>
          <w:rFonts w:ascii="Times New Roman"/>
          <w:i/>
          <w:iCs/>
        </w:rPr>
        <w:t>up Blood Sampling Tests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Pr>
          <w:rFonts w:ascii="Times New Roman"/>
          <w:i/>
          <w:iCs/>
        </w:rPr>
        <w:t>910.1025(j)(2)(ii))</w:t>
      </w:r>
    </w:p>
    <w:p w:rsidR="0016689C" w:rsidRPr="0052502E" w:rsidP="001438C5" w14:paraId="215C609E"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P="00C83F6C" w14:paraId="5D04A711" w14:textId="197F200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Whenever the results of a blood lead level test indicate that a</w:t>
      </w:r>
      <w:r w:rsidRPr="56E51CD7" w:rsidR="78D11584">
        <w:rPr>
          <w:rFonts w:ascii="Times New Roman"/>
        </w:rPr>
        <w:t>n employee</w:t>
      </w:r>
      <w:r w:rsidRPr="56E51CD7">
        <w:rPr>
          <w:rFonts w:ascii="Times New Roman"/>
        </w:rPr>
        <w:t>'s blood lead level</w:t>
      </w:r>
      <w:r w:rsidRPr="56E51CD7" w:rsidR="4D6552B4">
        <w:rPr>
          <w:rFonts w:ascii="Times New Roman"/>
        </w:rPr>
        <w:t xml:space="preserve"> is</w:t>
      </w:r>
      <w:r w:rsidRPr="56E51CD7">
        <w:rPr>
          <w:rFonts w:ascii="Times New Roman"/>
        </w:rPr>
        <w:t xml:space="preserve"> at or above the numerical criterion for medical removal under paragraph (k)(1)(</w:t>
      </w:r>
      <w:r w:rsidRPr="56E51CD7">
        <w:rPr>
          <w:rFonts w:ascii="Times New Roman"/>
        </w:rPr>
        <w:t>i</w:t>
      </w:r>
      <w:r w:rsidRPr="56E51CD7">
        <w:rPr>
          <w:rFonts w:ascii="Times New Roman"/>
        </w:rPr>
        <w:t>)(A)</w:t>
      </w:r>
      <w:r w:rsidRPr="56E51CD7" w:rsidR="345ED3A8">
        <w:rPr>
          <w:rFonts w:ascii="Times New Roman"/>
        </w:rPr>
        <w:t xml:space="preserve"> of this section</w:t>
      </w:r>
      <w:r w:rsidRPr="56E51CD7">
        <w:rPr>
          <w:rFonts w:ascii="Times New Roman"/>
        </w:rPr>
        <w:t>, the employer must provide a second (</w:t>
      </w:r>
      <w:r w:rsidRPr="56E51CD7" w:rsidR="26178BB2">
        <w:rPr>
          <w:rFonts w:ascii="Times New Roman"/>
        </w:rPr>
        <w:t>follow-up</w:t>
      </w:r>
      <w:r w:rsidRPr="56E51CD7">
        <w:rPr>
          <w:rFonts w:ascii="Times New Roman"/>
        </w:rPr>
        <w:t xml:space="preserve">) blood sampling test within </w:t>
      </w:r>
      <w:r w:rsidRPr="56E51CD7" w:rsidR="04920207">
        <w:rPr>
          <w:rFonts w:ascii="Times New Roman"/>
        </w:rPr>
        <w:t>two</w:t>
      </w:r>
      <w:r w:rsidRPr="56E51CD7">
        <w:rPr>
          <w:rFonts w:ascii="Times New Roman"/>
        </w:rPr>
        <w:t xml:space="preserve"> weeks after the employer receives the results of the first blood sampling test.</w:t>
      </w:r>
    </w:p>
    <w:p w:rsidR="00E012CD" w:rsidRPr="0052502E" w:rsidP="56E51CD7" w14:paraId="168A1CC8" w14:textId="598BEF6B">
      <w:pPr>
        <w:tabs>
          <w:tab w:val="left" w:pos="360"/>
          <w:tab w:val="left" w:pos="960"/>
          <w:tab w:val="left" w:pos="1560"/>
          <w:tab w:val="left" w:pos="2160"/>
          <w:tab w:val="left" w:pos="2760"/>
          <w:tab w:val="left" w:pos="3360"/>
          <w:tab w:val="left" w:pos="4080"/>
          <w:tab w:val="left" w:pos="4680"/>
          <w:tab w:val="left" w:pos="5280"/>
          <w:tab w:val="left" w:pos="5880"/>
        </w:tabs>
      </w:pPr>
    </w:p>
    <w:p w:rsidR="00E012CD" w:rsidRPr="001438C5" w:rsidP="56E51CD7" w14:paraId="4B7EE3D2" w14:textId="35C6D35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 xml:space="preserve">(2) </w:t>
      </w:r>
      <w:r w:rsidRPr="56E51CD7" w:rsidR="70322B03">
        <w:rPr>
          <w:rFonts w:ascii="Times New Roman"/>
          <w:i/>
          <w:iCs/>
        </w:rPr>
        <w:t>Employee Notification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sidR="70322B03">
        <w:rPr>
          <w:rFonts w:ascii="Times New Roman"/>
          <w:i/>
          <w:iCs/>
        </w:rPr>
        <w:t>910.1025(j)(2)(iv))</w:t>
      </w:r>
    </w:p>
    <w:p w:rsidR="00E012CD" w:rsidRPr="0052502E" w:rsidP="00C83F6C" w14:paraId="5DF6CDD9"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3D161A59" w14:paraId="6043E083" w14:textId="032400CC">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 xml:space="preserve">Within </w:t>
      </w:r>
      <w:r w:rsidRPr="56E51CD7" w:rsidR="671732FF">
        <w:rPr>
          <w:rFonts w:ascii="Times New Roman"/>
        </w:rPr>
        <w:t>five</w:t>
      </w:r>
      <w:r w:rsidRPr="56E51CD7">
        <w:rPr>
          <w:rFonts w:ascii="Times New Roman"/>
        </w:rPr>
        <w:t xml:space="preserve"> working days after the receipt of biological monitoring results, the employer </w:t>
      </w:r>
      <w:r w:rsidRPr="56E51CD7" w:rsidR="671732FF">
        <w:rPr>
          <w:rFonts w:ascii="Times New Roman"/>
        </w:rPr>
        <w:t>shall</w:t>
      </w:r>
      <w:r w:rsidRPr="56E51CD7">
        <w:rPr>
          <w:rFonts w:ascii="Times New Roman"/>
        </w:rPr>
        <w:t xml:space="preserve"> notify in writing each </w:t>
      </w:r>
      <w:r w:rsidRPr="56E51CD7" w:rsidR="0FC13A8A">
        <w:rPr>
          <w:rFonts w:ascii="Times New Roman"/>
        </w:rPr>
        <w:t>worker</w:t>
      </w:r>
      <w:r w:rsidRPr="56E51CD7">
        <w:rPr>
          <w:rFonts w:ascii="Times New Roman"/>
        </w:rPr>
        <w:t xml:space="preserve"> whose blood lead level is at or </w:t>
      </w:r>
      <w:r w:rsidRPr="56E51CD7" w:rsidR="10519663">
        <w:rPr>
          <w:rFonts w:ascii="Times New Roman"/>
        </w:rPr>
        <w:t xml:space="preserve">above 40 </w:t>
      </w:r>
      <w:r w:rsidRPr="56E51CD7" w:rsidR="5C985D91">
        <w:rPr>
          <w:rFonts w:ascii="Times New Roman" w:eastAsia="Times New Roman"/>
          <w:color w:val="404040" w:themeColor="text1" w:themeTint="BF"/>
        </w:rPr>
        <w:t>μ</w:t>
      </w:r>
      <w:r w:rsidRPr="56E51CD7" w:rsidR="10519663">
        <w:rPr>
          <w:rFonts w:ascii="Times New Roman"/>
        </w:rPr>
        <w:t>g</w:t>
      </w:r>
      <w:r w:rsidRPr="56E51CD7" w:rsidR="10519663">
        <w:rPr>
          <w:rFonts w:ascii="Times New Roman"/>
        </w:rPr>
        <w:t xml:space="preserve">/100 </w:t>
      </w:r>
      <w:r w:rsidR="00D12752">
        <w:rPr>
          <w:rFonts w:ascii="Times New Roman"/>
        </w:rPr>
        <w:t>g</w:t>
      </w:r>
      <w:r w:rsidRPr="56E51CD7" w:rsidR="10519663">
        <w:rPr>
          <w:rFonts w:ascii="Times New Roman"/>
        </w:rPr>
        <w:t xml:space="preserve"> </w:t>
      </w:r>
      <w:r w:rsidRPr="56E51CD7">
        <w:rPr>
          <w:rFonts w:ascii="Times New Roman"/>
        </w:rPr>
        <w:t>above</w:t>
      </w:r>
      <w:r w:rsidRPr="56E51CD7" w:rsidR="671732FF">
        <w:rPr>
          <w:rFonts w:ascii="Times New Roman"/>
        </w:rPr>
        <w:t xml:space="preserve">: (A) of that employee’s blood lead level; and (B) </w:t>
      </w:r>
      <w:r w:rsidRPr="56E51CD7">
        <w:rPr>
          <w:rFonts w:ascii="Times New Roman"/>
        </w:rPr>
        <w:t xml:space="preserve">that the standard requires temporary medical removal with Medical Removal Protection benefits when a </w:t>
      </w:r>
      <w:r w:rsidRPr="56E51CD7" w:rsidR="0FC13A8A">
        <w:rPr>
          <w:rFonts w:ascii="Times New Roman"/>
        </w:rPr>
        <w:t>worker</w:t>
      </w:r>
      <w:r w:rsidRPr="56E51CD7">
        <w:rPr>
          <w:rFonts w:ascii="Times New Roman"/>
        </w:rPr>
        <w:t xml:space="preserve">'s blood lead level </w:t>
      </w:r>
      <w:r w:rsidRPr="56E51CD7" w:rsidR="03720E01">
        <w:rPr>
          <w:rFonts w:ascii="Times New Roman"/>
        </w:rPr>
        <w:t>is at or above</w:t>
      </w:r>
      <w:r w:rsidRPr="56E51CD7">
        <w:rPr>
          <w:rFonts w:ascii="Times New Roman"/>
        </w:rPr>
        <w:t xml:space="preserve"> the numerical criterion for medical removal</w:t>
      </w:r>
      <w:r w:rsidRPr="56E51CD7" w:rsidR="6128D87F">
        <w:rPr>
          <w:rFonts w:ascii="Times New Roman"/>
        </w:rPr>
        <w:t xml:space="preserve"> under paragraph (k)(1)(</w:t>
      </w:r>
      <w:r w:rsidRPr="56E51CD7" w:rsidR="6128D87F">
        <w:rPr>
          <w:rFonts w:ascii="Times New Roman"/>
        </w:rPr>
        <w:t>i</w:t>
      </w:r>
      <w:r w:rsidRPr="56E51CD7" w:rsidR="6128D87F">
        <w:rPr>
          <w:rFonts w:ascii="Times New Roman"/>
        </w:rPr>
        <w:t>) of this section</w:t>
      </w:r>
      <w:r w:rsidRPr="56E51CD7">
        <w:rPr>
          <w:rFonts w:ascii="Times New Roman"/>
        </w:rPr>
        <w:t>.</w:t>
      </w:r>
    </w:p>
    <w:p w:rsidR="00E012CD" w:rsidRPr="0052502E" w:rsidP="00C83F6C" w14:paraId="2708E3E6"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4C1778" w:rsidRPr="001438C5" w:rsidP="56E51CD7" w14:paraId="143752FA" w14:textId="391E040C">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 xml:space="preserve">(3) </w:t>
      </w:r>
      <w:r w:rsidRPr="56E51CD7" w:rsidR="70322B03">
        <w:rPr>
          <w:rFonts w:ascii="Times New Roman"/>
          <w:i/>
          <w:iCs/>
        </w:rPr>
        <w:t>Medical Examinations and Consultations</w:t>
      </w:r>
      <w:r w:rsidRPr="56E51CD7">
        <w:rPr>
          <w:rFonts w:ascii="Times New Roman"/>
          <w:i/>
          <w:iCs/>
        </w:rPr>
        <w:t>, Frequency</w:t>
      </w:r>
      <w:r w:rsidRPr="56E51CD7" w:rsidR="70322B03">
        <w:rPr>
          <w:rFonts w:ascii="Times New Roman"/>
          <w:i/>
          <w:iCs/>
        </w:rPr>
        <w:t xml:space="preserve">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sidR="70322B03">
        <w:rPr>
          <w:rFonts w:ascii="Times New Roman"/>
          <w:i/>
          <w:iCs/>
        </w:rPr>
        <w:t>910.1025(j)(3)</w:t>
      </w:r>
      <w:r w:rsidRPr="56E51CD7">
        <w:rPr>
          <w:rFonts w:ascii="Times New Roman"/>
          <w:i/>
          <w:iCs/>
        </w:rPr>
        <w:t>(</w:t>
      </w:r>
      <w:r w:rsidRPr="56E51CD7">
        <w:rPr>
          <w:rFonts w:ascii="Times New Roman"/>
          <w:i/>
          <w:iCs/>
        </w:rPr>
        <w:t>i</w:t>
      </w:r>
      <w:r w:rsidRPr="56E51CD7">
        <w:rPr>
          <w:rFonts w:ascii="Times New Roman"/>
          <w:i/>
          <w:iCs/>
        </w:rPr>
        <w:t>)</w:t>
      </w:r>
      <w:r w:rsidRPr="56E51CD7" w:rsidR="70322B03">
        <w:rPr>
          <w:rFonts w:ascii="Times New Roman"/>
          <w:i/>
          <w:iCs/>
        </w:rPr>
        <w:t>)</w:t>
      </w:r>
    </w:p>
    <w:p w:rsidR="004C1778" w:rsidP="00C83F6C" w14:paraId="54A64C59" w14:textId="3B1D750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5E5C27" w:rsidP="00C83F6C" w14:paraId="741E5524" w14:textId="36EC614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The employer shall make available medical examinations and consultations to each employee covered under paragraph (j)(1)(</w:t>
      </w:r>
      <w:r>
        <w:rPr>
          <w:rFonts w:ascii="Times New Roman"/>
        </w:rPr>
        <w:t>i</w:t>
      </w:r>
      <w:r>
        <w:rPr>
          <w:rFonts w:ascii="Times New Roman"/>
        </w:rPr>
        <w:t xml:space="preserve">) of this section on the following schedule: (A) at least annually for each employee for whom a blood sampling test is conducted at any time during the preceding 12 months indicated a blood lead level at or above 40 ug/100 g; (B) prior to assignment for each employee being assigned for the first time to an area in which airborne concentrations of lead </w:t>
      </w:r>
      <w:r w:rsidR="00AE739F">
        <w:rPr>
          <w:rFonts w:ascii="Times New Roman"/>
        </w:rPr>
        <w:t xml:space="preserve">are at or above the action level; (C) as soon as possible, upon notification by an employee either that the employee has developed signs or symptoms commonly associated with lead intoxication, that the employee desires medical advice concerning the effects of current or past exposure to lead on the employee’s ability to procreate a healthy child, or that the employee has demonstrated difficulty in breathing during a respirator fitting test or during use; and (D) as medically appropriate for each employee either removed from exposure to </w:t>
      </w:r>
      <w:r w:rsidR="007128E4">
        <w:rPr>
          <w:rFonts w:ascii="Times New Roman"/>
        </w:rPr>
        <w:t>lead due to a risk of sustaining material impairment to health, or otherwise limited pursuant to a final medical determination.</w:t>
      </w:r>
    </w:p>
    <w:p w:rsidR="00E012CD" w:rsidRPr="0052502E" w:rsidP="00C83F6C" w14:paraId="7097C632"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0E1DAF" w:rsidRPr="00AE3BD0" w:rsidP="3080DAE6" w14:paraId="21A16BE1" w14:textId="171707B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3080DAE6">
        <w:rPr>
          <w:rFonts w:ascii="Times New Roman"/>
          <w:i/>
          <w:iCs/>
        </w:rPr>
        <w:t>Content</w:t>
      </w:r>
      <w:r w:rsidRPr="3080DAE6" w:rsidR="393EC3BC">
        <w:rPr>
          <w:rFonts w:ascii="Times New Roman"/>
          <w:i/>
          <w:iCs/>
        </w:rPr>
        <w:t xml:space="preserve"> (§</w:t>
      </w:r>
      <w:r w:rsidRPr="3080DAE6" w:rsidR="271364D4">
        <w:rPr>
          <w:rFonts w:ascii="Times New Roman"/>
          <w:i/>
          <w:iCs/>
        </w:rPr>
        <w:t xml:space="preserve"> </w:t>
      </w:r>
      <w:r w:rsidRPr="3080DAE6" w:rsidR="393EC3BC">
        <w:rPr>
          <w:rFonts w:ascii="Times New Roman"/>
          <w:i/>
          <w:iCs/>
        </w:rPr>
        <w:t>1910.1025(j)(3)(ii))</w:t>
      </w:r>
    </w:p>
    <w:p w:rsidR="000E1DAF" w:rsidP="00C83F6C" w14:paraId="7B20DD35" w14:textId="36D339E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p>
    <w:p w:rsidR="00AE3BD0" w:rsidRPr="0052502E" w:rsidP="001438C5" w14:paraId="7C6E7F38" w14:textId="0A85DE38">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Medical examinations made available pursuant to paragraph (j)(3)(</w:t>
      </w:r>
      <w:r w:rsidRPr="56E51CD7">
        <w:rPr>
          <w:rFonts w:ascii="Times New Roman"/>
        </w:rPr>
        <w:t>i</w:t>
      </w:r>
      <w:r w:rsidRPr="56E51CD7">
        <w:rPr>
          <w:rFonts w:ascii="Times New Roman"/>
        </w:rPr>
        <w:t>)(A)(B) of this section shall include the following elements: (A) a</w:t>
      </w:r>
      <w:r w:rsidRPr="56E51CD7" w:rsidR="70322B03">
        <w:rPr>
          <w:rFonts w:ascii="Times New Roman"/>
        </w:rPr>
        <w:t xml:space="preserve"> detailed work history and a medical history, with particular attention to past lead exposure</w:t>
      </w:r>
      <w:r w:rsidRPr="56E51CD7">
        <w:rPr>
          <w:rFonts w:ascii="Times New Roman"/>
        </w:rPr>
        <w:t xml:space="preserve"> (occupational and non-occupational)</w:t>
      </w:r>
      <w:r w:rsidRPr="56E51CD7" w:rsidR="70322B03">
        <w:rPr>
          <w:rFonts w:ascii="Times New Roman"/>
        </w:rPr>
        <w:t>, personal habits (smoking</w:t>
      </w:r>
      <w:r w:rsidRPr="56E51CD7">
        <w:rPr>
          <w:rFonts w:ascii="Times New Roman"/>
        </w:rPr>
        <w:t>,</w:t>
      </w:r>
      <w:r w:rsidRPr="56E51CD7" w:rsidR="70322B03">
        <w:rPr>
          <w:rFonts w:ascii="Times New Roman"/>
        </w:rPr>
        <w:t xml:space="preserve"> hygiene), and past gastrointestinal, hematologic, renal, cardiovascular, reproductive, and neurological problems</w:t>
      </w:r>
      <w:r w:rsidRPr="56E51CD7">
        <w:rPr>
          <w:rFonts w:ascii="Times New Roman"/>
        </w:rPr>
        <w:t>; (B) a</w:t>
      </w:r>
      <w:r w:rsidRPr="56E51CD7" w:rsidR="70322B03">
        <w:rPr>
          <w:rFonts w:ascii="Times New Roman"/>
        </w:rPr>
        <w:t xml:space="preserve"> thorough physical examination, with particular attention to teeth, gums, hematologic, gastrointestinal, renal, cardiovascular, and neurological systems.</w:t>
      </w:r>
      <w:r w:rsidRPr="56E51CD7" w:rsidR="2CD7BE93">
        <w:rPr>
          <w:rFonts w:ascii="Times New Roman"/>
        </w:rPr>
        <w:t xml:space="preserve"> </w:t>
      </w:r>
      <w:r w:rsidRPr="56E51CD7" w:rsidR="70322B03">
        <w:rPr>
          <w:rFonts w:ascii="Times New Roman"/>
        </w:rPr>
        <w:t>Pulmonary status should be evaluated if respirator</w:t>
      </w:r>
      <w:r w:rsidRPr="56E51CD7">
        <w:rPr>
          <w:rFonts w:ascii="Times New Roman"/>
        </w:rPr>
        <w:t>y protection</w:t>
      </w:r>
      <w:r w:rsidRPr="56E51CD7" w:rsidR="70322B03">
        <w:rPr>
          <w:rFonts w:ascii="Times New Roman"/>
        </w:rPr>
        <w:t xml:space="preserve"> will be used</w:t>
      </w:r>
      <w:r w:rsidRPr="56E51CD7">
        <w:rPr>
          <w:rFonts w:ascii="Times New Roman"/>
        </w:rPr>
        <w:t>; (C)</w:t>
      </w:r>
      <w:r w:rsidRPr="56E51CD7" w:rsidR="04920207">
        <w:rPr>
          <w:rFonts w:ascii="Times New Roman"/>
        </w:rPr>
        <w:t xml:space="preserve"> </w:t>
      </w:r>
      <w:r w:rsidRPr="56E51CD7" w:rsidR="70044E34">
        <w:rPr>
          <w:rFonts w:ascii="Times New Roman"/>
        </w:rPr>
        <w:t xml:space="preserve">a </w:t>
      </w:r>
      <w:r w:rsidRPr="56E51CD7" w:rsidR="70322B03">
        <w:rPr>
          <w:rFonts w:ascii="Times New Roman"/>
        </w:rPr>
        <w:t>blood pressure</w:t>
      </w:r>
      <w:r w:rsidRPr="56E51CD7" w:rsidR="04920207">
        <w:rPr>
          <w:rFonts w:ascii="Times New Roman"/>
        </w:rPr>
        <w:t xml:space="preserve"> </w:t>
      </w:r>
      <w:r w:rsidRPr="56E51CD7" w:rsidR="70322B03">
        <w:rPr>
          <w:rFonts w:ascii="Times New Roman"/>
        </w:rPr>
        <w:t>measurement</w:t>
      </w:r>
      <w:r w:rsidRPr="56E51CD7" w:rsidR="70044E34">
        <w:rPr>
          <w:rFonts w:ascii="Times New Roman"/>
        </w:rPr>
        <w:t xml:space="preserve">; (D) a </w:t>
      </w:r>
      <w:r w:rsidRPr="56E51CD7" w:rsidR="70322B03">
        <w:rPr>
          <w:rFonts w:ascii="Times New Roman"/>
        </w:rPr>
        <w:t>blood sample and analysis which determines</w:t>
      </w:r>
      <w:r w:rsidRPr="56E51CD7" w:rsidR="70044E34">
        <w:rPr>
          <w:rFonts w:ascii="Times New Roman"/>
        </w:rPr>
        <w:t>: (1)</w:t>
      </w:r>
      <w:r w:rsidRPr="56E51CD7" w:rsidR="70322B03">
        <w:rPr>
          <w:rFonts w:ascii="Times New Roman"/>
        </w:rPr>
        <w:t xml:space="preserve"> blood lead level; </w:t>
      </w:r>
      <w:r w:rsidRPr="56E51CD7" w:rsidR="508F2441">
        <w:rPr>
          <w:rFonts w:ascii="Times New Roman"/>
        </w:rPr>
        <w:t xml:space="preserve">(2) </w:t>
      </w:r>
      <w:r w:rsidRPr="56E51CD7" w:rsidR="70322B03">
        <w:rPr>
          <w:rFonts w:ascii="Times New Roman"/>
        </w:rPr>
        <w:t xml:space="preserve">hemoglobin and hematocrit determinations, red cell indices, and examination of peripheral smear morphology; </w:t>
      </w:r>
      <w:r w:rsidRPr="56E51CD7" w:rsidR="508F2441">
        <w:rPr>
          <w:rFonts w:ascii="Times New Roman"/>
        </w:rPr>
        <w:t xml:space="preserve">(3) </w:t>
      </w:r>
      <w:r w:rsidRPr="56E51CD7" w:rsidR="70322B03">
        <w:rPr>
          <w:rFonts w:ascii="Times New Roman"/>
        </w:rPr>
        <w:t xml:space="preserve">zinc protoporphyrin; </w:t>
      </w:r>
      <w:r w:rsidRPr="56E51CD7" w:rsidR="508F2441">
        <w:rPr>
          <w:rFonts w:ascii="Times New Roman"/>
        </w:rPr>
        <w:t xml:space="preserve">(4) </w:t>
      </w:r>
      <w:r w:rsidRPr="56E51CD7" w:rsidR="70322B03">
        <w:rPr>
          <w:rFonts w:ascii="Times New Roman"/>
        </w:rPr>
        <w:t xml:space="preserve">blood urea nitrogen; and </w:t>
      </w:r>
      <w:r w:rsidRPr="56E51CD7" w:rsidR="508F2441">
        <w:rPr>
          <w:rFonts w:ascii="Times New Roman"/>
        </w:rPr>
        <w:t xml:space="preserve">(5) </w:t>
      </w:r>
      <w:r w:rsidRPr="56E51CD7" w:rsidR="70322B03">
        <w:rPr>
          <w:rFonts w:ascii="Times New Roman"/>
        </w:rPr>
        <w:t>serum creatinine</w:t>
      </w:r>
      <w:r w:rsidRPr="56E51CD7" w:rsidR="508F2441">
        <w:rPr>
          <w:rFonts w:ascii="Times New Roman"/>
        </w:rPr>
        <w:t>; (E) a</w:t>
      </w:r>
      <w:r w:rsidRPr="56E51CD7" w:rsidR="70322B03">
        <w:rPr>
          <w:rFonts w:ascii="Times New Roman"/>
        </w:rPr>
        <w:t xml:space="preserve"> routine urinalysis with microscopic examination</w:t>
      </w:r>
      <w:r w:rsidRPr="56E51CD7" w:rsidR="20394BD9">
        <w:rPr>
          <w:rFonts w:ascii="Times New Roman"/>
        </w:rPr>
        <w:t>; (F) any</w:t>
      </w:r>
      <w:r w:rsidRPr="56E51CD7" w:rsidR="70322B03">
        <w:rPr>
          <w:rFonts w:ascii="Times New Roman"/>
        </w:rPr>
        <w:t xml:space="preserve"> laboratory or other test that the examining physician deems necessary by sound medical practice.</w:t>
      </w:r>
      <w:r w:rsidRPr="56E51CD7" w:rsidR="20394BD9">
        <w:rPr>
          <w:rFonts w:ascii="Times New Roman"/>
        </w:rPr>
        <w:t xml:space="preserve"> The content of medical </w:t>
      </w:r>
      <w:r w:rsidRPr="56E51CD7" w:rsidR="20394BD9">
        <w:rPr>
          <w:rFonts w:ascii="Times New Roman"/>
        </w:rPr>
        <w:t>examinations made available pursuant to paragraph (j)(3)(</w:t>
      </w:r>
      <w:r w:rsidRPr="56E51CD7" w:rsidR="20394BD9">
        <w:rPr>
          <w:rFonts w:ascii="Times New Roman"/>
        </w:rPr>
        <w:t>i</w:t>
      </w:r>
      <w:r w:rsidRPr="56E51CD7" w:rsidR="20394BD9">
        <w:rPr>
          <w:rFonts w:ascii="Times New Roman"/>
        </w:rPr>
        <w:t>)(C)-(D) of this section shall be determined by an examining physician and, if requested by an employee, shall include pregnancy testing or laboratory evaluation of male fertility.</w:t>
      </w:r>
    </w:p>
    <w:p w:rsidR="00E012CD" w:rsidRPr="0052502E" w:rsidP="00C83F6C" w14:paraId="08BED335"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1438C5" w:rsidP="56E51CD7" w14:paraId="1BB95147" w14:textId="476370D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 xml:space="preserve">(4) </w:t>
      </w:r>
      <w:r w:rsidRPr="56E51CD7" w:rsidR="70322B03">
        <w:rPr>
          <w:rFonts w:ascii="Times New Roman"/>
          <w:i/>
          <w:iCs/>
        </w:rPr>
        <w:t>Multiple Physician Review Mechanism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sidR="70322B03">
        <w:rPr>
          <w:rFonts w:ascii="Times New Roman"/>
          <w:i/>
          <w:iCs/>
        </w:rPr>
        <w:t>910.1025(j)(3)(iii))</w:t>
      </w:r>
    </w:p>
    <w:p w:rsidR="00E012CD" w:rsidP="00C83F6C" w14:paraId="2F6FCD09" w14:textId="73A7F07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2A0819" w:rsidP="3080DAE6" w14:paraId="55F7DD35" w14:textId="37EF810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3080DAE6">
        <w:rPr>
          <w:rFonts w:ascii="Times New Roman"/>
          <w:i/>
          <w:iCs/>
        </w:rPr>
        <w:t>§ 1910.1025(e)(3)(iii)(A)</w:t>
      </w:r>
      <w:r w:rsidRPr="3080DAE6">
        <w:rPr>
          <w:rFonts w:ascii="Times New Roman" w:eastAsia="Times New Roman"/>
          <w:i/>
          <w:iCs/>
          <w:color w:val="000000" w:themeColor="text1"/>
        </w:rPr>
        <w:t xml:space="preserve"> </w:t>
      </w:r>
    </w:p>
    <w:p w:rsidR="3080DAE6" w:rsidP="3080DAE6" w14:paraId="6E7C9D75" w14:textId="57F5066E">
      <w:pPr>
        <w:tabs>
          <w:tab w:val="left" w:pos="360"/>
          <w:tab w:val="left" w:pos="960"/>
          <w:tab w:val="left" w:pos="1560"/>
          <w:tab w:val="left" w:pos="2160"/>
          <w:tab w:val="left" w:pos="2760"/>
          <w:tab w:val="left" w:pos="3360"/>
          <w:tab w:val="left" w:pos="4080"/>
          <w:tab w:val="left" w:pos="4680"/>
          <w:tab w:val="left" w:pos="5280"/>
          <w:tab w:val="left" w:pos="5880"/>
        </w:tabs>
        <w:rPr>
          <w:i/>
          <w:iCs/>
          <w:color w:val="000000" w:themeColor="text1"/>
        </w:rPr>
      </w:pPr>
    </w:p>
    <w:p w:rsidR="00E012CD" w:rsidRPr="0052502E" w:rsidP="00C83F6C" w14:paraId="6F19AD9B" w14:textId="6C9A545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If the employer selects the initial physician who conducts any medical examination or consultation provided to an employee under this section, the employee may designate a second physician</w:t>
      </w:r>
      <w:r w:rsidRPr="56E51CD7" w:rsidR="51349177">
        <w:rPr>
          <w:rFonts w:ascii="Times New Roman"/>
        </w:rPr>
        <w:t>:</w:t>
      </w:r>
      <w:r w:rsidRPr="56E51CD7" w:rsidR="70322B03">
        <w:rPr>
          <w:rFonts w:ascii="Times New Roman"/>
        </w:rPr>
        <w:t xml:space="preserve"> (</w:t>
      </w:r>
      <w:r w:rsidRPr="56E51CD7" w:rsidR="7082CC63">
        <w:rPr>
          <w:rFonts w:ascii="Times New Roman"/>
        </w:rPr>
        <w:t>1</w:t>
      </w:r>
      <w:r w:rsidRPr="56E51CD7" w:rsidR="70322B03">
        <w:rPr>
          <w:rFonts w:ascii="Times New Roman"/>
        </w:rPr>
        <w:t>) to review any findings, determinations, or recommendations of the initial physician; and (</w:t>
      </w:r>
      <w:r w:rsidRPr="56E51CD7" w:rsidR="7082CC63">
        <w:rPr>
          <w:rFonts w:ascii="Times New Roman"/>
        </w:rPr>
        <w:t>2</w:t>
      </w:r>
      <w:r w:rsidRPr="56E51CD7" w:rsidR="70322B03">
        <w:rPr>
          <w:rFonts w:ascii="Times New Roman"/>
        </w:rPr>
        <w:t>) to conduct such examinations, consultations, and laboratory tests as the second physician deems necessary to facilitate this review.</w:t>
      </w:r>
    </w:p>
    <w:p w:rsidR="00E012CD" w:rsidP="00C83F6C" w14:paraId="4725FD42" w14:textId="02A434E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1D7836" w:rsidP="3080DAE6" w14:paraId="708E44E7" w14:textId="547C977C">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eastAsia="Times New Roman"/>
          <w:i/>
          <w:iCs/>
          <w:color w:val="000000" w:themeColor="text1"/>
        </w:rPr>
      </w:pPr>
      <w:r w:rsidRPr="3080DAE6">
        <w:rPr>
          <w:rFonts w:ascii="Times New Roman"/>
          <w:i/>
          <w:iCs/>
        </w:rPr>
        <w:t>§ 1910.1025(e)(3)(iii)(B)</w:t>
      </w:r>
    </w:p>
    <w:p w:rsidR="001D7836" w:rsidRPr="0052502E" w:rsidP="00C83F6C" w14:paraId="2D32C08C"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00C83F6C" w14:paraId="1771A0D3" w14:textId="2FBA05D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 xml:space="preserve">The employer </w:t>
      </w:r>
      <w:r w:rsidRPr="56E51CD7" w:rsidR="7082CC63">
        <w:rPr>
          <w:rFonts w:ascii="Times New Roman"/>
        </w:rPr>
        <w:t>shall</w:t>
      </w:r>
      <w:r w:rsidRPr="56E51CD7">
        <w:rPr>
          <w:rFonts w:ascii="Times New Roman"/>
        </w:rPr>
        <w:t xml:space="preserve"> promptly no</w:t>
      </w:r>
      <w:r w:rsidRPr="56E51CD7" w:rsidR="0FC13A8A">
        <w:rPr>
          <w:rFonts w:ascii="Times New Roman"/>
        </w:rPr>
        <w:t>tify a</w:t>
      </w:r>
      <w:r w:rsidRPr="56E51CD7" w:rsidR="7082CC63">
        <w:rPr>
          <w:rFonts w:ascii="Times New Roman"/>
        </w:rPr>
        <w:t>n employee</w:t>
      </w:r>
      <w:r w:rsidRPr="56E51CD7">
        <w:rPr>
          <w:rFonts w:ascii="Times New Roman"/>
        </w:rPr>
        <w:t xml:space="preserve"> of the right to seek a second medical opinion after each occasion </w:t>
      </w:r>
      <w:r w:rsidRPr="56E51CD7" w:rsidR="0EA24FA5">
        <w:rPr>
          <w:rFonts w:ascii="Times New Roman"/>
        </w:rPr>
        <w:t>that</w:t>
      </w:r>
      <w:r w:rsidRPr="56E51CD7">
        <w:rPr>
          <w:rFonts w:ascii="Times New Roman"/>
        </w:rPr>
        <w:t xml:space="preserve"> an initial physician conducts a medical examination or consultation</w:t>
      </w:r>
      <w:r w:rsidRPr="56E51CD7" w:rsidR="0EA24FA5">
        <w:rPr>
          <w:rFonts w:ascii="Times New Roman"/>
        </w:rPr>
        <w:t xml:space="preserve"> pursuant to this section</w:t>
      </w:r>
      <w:r w:rsidRPr="56E51CD7">
        <w:rPr>
          <w:rFonts w:ascii="Times New Roman"/>
        </w:rPr>
        <w:t>.</w:t>
      </w:r>
      <w:r w:rsidRPr="56E51CD7" w:rsidR="0EA24FA5">
        <w:rPr>
          <w:rFonts w:ascii="Times New Roman"/>
        </w:rPr>
        <w:t xml:space="preserve"> The employer may condition its participation in, and payment for, the multiple physician review mechanism upon the employee doing the following within </w:t>
      </w:r>
      <w:r w:rsidRPr="56E51CD7" w:rsidR="139F3066">
        <w:rPr>
          <w:rFonts w:ascii="Times New Roman"/>
        </w:rPr>
        <w:t xml:space="preserve">fifteen (15) days after receipt of the foregoing notification, or receipt of the initial physician’s written opinion, whichever is later: (1) the employee informing the employer that he or she intends to seek a second medical opinion, and (2) the employee initiating steps to make an appointment with a second physician. </w:t>
      </w:r>
    </w:p>
    <w:p w:rsidR="002D55D1" w:rsidRPr="0052502E" w:rsidP="00C83F6C" w14:paraId="05990DA1"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1438C5" w:rsidP="56E51CD7" w14:paraId="3B26BCB8" w14:textId="736FD2D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 xml:space="preserve">(5) </w:t>
      </w:r>
      <w:r w:rsidRPr="56E51CD7" w:rsidR="70322B03">
        <w:rPr>
          <w:rFonts w:ascii="Times New Roman"/>
          <w:i/>
          <w:iCs/>
        </w:rPr>
        <w:t>Information Provided to Examining and Consulting Physicians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sidR="70322B03">
        <w:rPr>
          <w:rFonts w:ascii="Times New Roman"/>
          <w:i/>
          <w:iCs/>
        </w:rPr>
        <w:t>910.1025(j)(3)(iv))</w:t>
      </w:r>
    </w:p>
    <w:p w:rsidR="00E012CD" w:rsidP="00C83F6C" w14:paraId="5822B589" w14:textId="1C268CD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7F3A73" w:rsidP="3080DAE6" w14:paraId="3C237183" w14:textId="08D477B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3080DAE6">
        <w:rPr>
          <w:rFonts w:ascii="Times New Roman"/>
          <w:i/>
          <w:iCs/>
        </w:rPr>
        <w:t>§ 1910.1025(e)(3)(iv)(A)</w:t>
      </w:r>
      <w:r w:rsidRPr="3080DAE6">
        <w:rPr>
          <w:rFonts w:ascii="Times New Roman" w:eastAsia="Times New Roman"/>
          <w:i/>
          <w:iCs/>
          <w:color w:val="000000" w:themeColor="text1"/>
        </w:rPr>
        <w:t xml:space="preserve"> </w:t>
      </w:r>
    </w:p>
    <w:p w:rsidR="3080DAE6" w:rsidP="3080DAE6" w14:paraId="01897107" w14:textId="4E6DFF2F">
      <w:pPr>
        <w:tabs>
          <w:tab w:val="left" w:pos="360"/>
          <w:tab w:val="left" w:pos="960"/>
          <w:tab w:val="left" w:pos="1560"/>
          <w:tab w:val="left" w:pos="2160"/>
          <w:tab w:val="left" w:pos="2760"/>
          <w:tab w:val="left" w:pos="3360"/>
          <w:tab w:val="left" w:pos="4080"/>
          <w:tab w:val="left" w:pos="4680"/>
          <w:tab w:val="left" w:pos="5280"/>
          <w:tab w:val="left" w:pos="5880"/>
        </w:tabs>
        <w:rPr>
          <w:i/>
          <w:iCs/>
          <w:color w:val="000000" w:themeColor="text1"/>
        </w:rPr>
      </w:pPr>
    </w:p>
    <w:p w:rsidR="00AE3BD0" w:rsidRPr="0052502E" w:rsidP="00AE3BD0" w14:paraId="345D5F81" w14:textId="0E7DB6E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The employer shall provide an initial physician conducting a medical examination or consultation under this section with the following information: (1) a copy of this regulation for lead including all Appendices; (2) a description of the affected employee’s duties as they relate to the employee’s exposure; (3) the employee’s exposure level or anticipated exposure level to lead and to any other toxic substance (if applicable); (4) a d</w:t>
      </w:r>
      <w:r w:rsidR="00203B96">
        <w:rPr>
          <w:rFonts w:ascii="Times New Roman"/>
        </w:rPr>
        <w:t xml:space="preserve">escription of any personal protective equipment used or to be used; (5) prior blood lead determinations; and (6) </w:t>
      </w:r>
      <w:r w:rsidR="008114A7">
        <w:rPr>
          <w:rFonts w:ascii="Times New Roman"/>
        </w:rPr>
        <w:t>all prior written medical opinions concerning the employee in the employer’s possession or control.</w:t>
      </w:r>
    </w:p>
    <w:p w:rsidR="00E012CD" w:rsidP="00C83F6C" w14:paraId="497461DE" w14:textId="09BB258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8114A7" w:rsidP="56E51CD7" w14:paraId="6B9B321C" w14:textId="061168A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eastAsia="Times New Roman"/>
          <w:i/>
          <w:iCs/>
          <w:color w:val="000000" w:themeColor="text1"/>
        </w:rPr>
        <w:t>§</w:t>
      </w:r>
      <w:r w:rsidRPr="56E51CD7" w:rsidR="0CC94931">
        <w:rPr>
          <w:rFonts w:ascii="Times New Roman" w:eastAsia="Times New Roman"/>
          <w:i/>
          <w:iCs/>
          <w:color w:val="000000" w:themeColor="text1"/>
        </w:rPr>
        <w:t xml:space="preserve"> </w:t>
      </w:r>
      <w:r w:rsidRPr="56E51CD7">
        <w:rPr>
          <w:rFonts w:ascii="Times New Roman" w:eastAsia="Times New Roman"/>
          <w:i/>
          <w:iCs/>
          <w:color w:val="000000" w:themeColor="text1"/>
        </w:rPr>
        <w:t>1910.1025(j)(3)(iv)</w:t>
      </w:r>
      <w:r w:rsidRPr="56E51CD7" w:rsidR="5D2ED301">
        <w:rPr>
          <w:rFonts w:ascii="Times New Roman" w:eastAsia="Times New Roman"/>
          <w:i/>
          <w:iCs/>
          <w:color w:val="000000" w:themeColor="text1"/>
        </w:rPr>
        <w:t>(B)</w:t>
      </w:r>
    </w:p>
    <w:p w:rsidR="008114A7" w:rsidRPr="0052502E" w:rsidP="00C83F6C" w14:paraId="6186C186"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00C83F6C" w14:paraId="10DB6681" w14:textId="258254E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employer </w:t>
      </w:r>
      <w:r w:rsidR="008114A7">
        <w:rPr>
          <w:rFonts w:ascii="Times New Roman"/>
        </w:rPr>
        <w:t xml:space="preserve">shall </w:t>
      </w:r>
      <w:r w:rsidRPr="0052502E">
        <w:rPr>
          <w:rFonts w:ascii="Times New Roman"/>
        </w:rPr>
        <w:t xml:space="preserve">provide the </w:t>
      </w:r>
      <w:r w:rsidR="008114A7">
        <w:rPr>
          <w:rFonts w:ascii="Times New Roman"/>
        </w:rPr>
        <w:t>foregoing</w:t>
      </w:r>
      <w:r w:rsidRPr="0052502E">
        <w:rPr>
          <w:rFonts w:ascii="Times New Roman"/>
        </w:rPr>
        <w:t xml:space="preserve"> information to </w:t>
      </w:r>
      <w:r w:rsidR="008114A7">
        <w:rPr>
          <w:rFonts w:ascii="Times New Roman"/>
        </w:rPr>
        <w:t>a</w:t>
      </w:r>
      <w:r w:rsidRPr="0052502E">
        <w:rPr>
          <w:rFonts w:ascii="Times New Roman"/>
        </w:rPr>
        <w:t xml:space="preserve"> second </w:t>
      </w:r>
      <w:r w:rsidR="008114A7">
        <w:rPr>
          <w:rFonts w:ascii="Times New Roman"/>
        </w:rPr>
        <w:t>or</w:t>
      </w:r>
      <w:r w:rsidRPr="0052502E">
        <w:rPr>
          <w:rFonts w:ascii="Times New Roman"/>
        </w:rPr>
        <w:t xml:space="preserve"> third physician conducting a medical examination or consultation </w:t>
      </w:r>
      <w:r w:rsidR="008114A7">
        <w:rPr>
          <w:rFonts w:ascii="Times New Roman"/>
        </w:rPr>
        <w:t>under this section</w:t>
      </w:r>
      <w:r w:rsidRPr="0052502E">
        <w:rPr>
          <w:rFonts w:ascii="Times New Roman"/>
        </w:rPr>
        <w:t xml:space="preserve"> upon request of the second or third physician</w:t>
      </w:r>
      <w:r w:rsidR="00C2186C">
        <w:rPr>
          <w:rFonts w:ascii="Times New Roman"/>
        </w:rPr>
        <w:t>,</w:t>
      </w:r>
      <w:r w:rsidRPr="0052502E">
        <w:rPr>
          <w:rFonts w:ascii="Times New Roman"/>
        </w:rPr>
        <w:t xml:space="preserve"> or </w:t>
      </w:r>
      <w:r w:rsidR="00C2186C">
        <w:rPr>
          <w:rFonts w:ascii="Times New Roman"/>
        </w:rPr>
        <w:t xml:space="preserve">by </w:t>
      </w:r>
      <w:r w:rsidRPr="0052502E">
        <w:rPr>
          <w:rFonts w:ascii="Times New Roman"/>
        </w:rPr>
        <w:t xml:space="preserve">the </w:t>
      </w:r>
      <w:r w:rsidR="00C2186C">
        <w:rPr>
          <w:rFonts w:ascii="Times New Roman"/>
        </w:rPr>
        <w:t>employee</w:t>
      </w:r>
      <w:r w:rsidRPr="0052502E">
        <w:rPr>
          <w:rFonts w:ascii="Times New Roman"/>
        </w:rPr>
        <w:t>.</w:t>
      </w:r>
    </w:p>
    <w:p w:rsidR="009A14E1" w:rsidP="00C83F6C" w14:paraId="4BF82912"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rsidR="00E012CD" w:rsidRPr="0052502E" w:rsidP="00C83F6C" w14:paraId="0A4C78F3" w14:textId="121290E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i/>
          <w:iCs/>
        </w:rPr>
        <w:t xml:space="preserve">(6) </w:t>
      </w:r>
      <w:r w:rsidRPr="56E51CD7" w:rsidR="70322B03">
        <w:rPr>
          <w:rFonts w:ascii="Times New Roman"/>
          <w:i/>
          <w:iCs/>
        </w:rPr>
        <w:t>Written Medical Opinions</w:t>
      </w:r>
      <w:r w:rsidRPr="56E51CD7" w:rsidR="70322B03">
        <w:rPr>
          <w:rFonts w:ascii="Times New Roman"/>
        </w:rPr>
        <w:t xml:space="preserve"> </w:t>
      </w:r>
      <w:r w:rsidRPr="56E51CD7" w:rsidR="70322B03">
        <w:rPr>
          <w:rFonts w:ascii="Times New Roman"/>
          <w:i/>
          <w:iCs/>
        </w:rPr>
        <w:t>(</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sidR="70322B03">
        <w:rPr>
          <w:rFonts w:ascii="Times New Roman"/>
          <w:i/>
          <w:iCs/>
        </w:rPr>
        <w:t>910.1025(j)(3)(v))</w:t>
      </w:r>
    </w:p>
    <w:p w:rsidR="00E012CD" w:rsidRPr="0052502E" w:rsidP="00C83F6C" w14:paraId="32C8BAD9"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9B78A7" w:rsidP="3080DAE6" w14:paraId="21333990" w14:textId="09E4CE34">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3080DAE6">
        <w:rPr>
          <w:rFonts w:ascii="Times New Roman"/>
          <w:i/>
          <w:iCs/>
        </w:rPr>
        <w:t>§ 1910.1025(</w:t>
      </w:r>
      <w:r w:rsidR="00424072">
        <w:rPr>
          <w:rFonts w:ascii="Times New Roman"/>
          <w:i/>
          <w:iCs/>
        </w:rPr>
        <w:t>j</w:t>
      </w:r>
      <w:r w:rsidRPr="3080DAE6">
        <w:rPr>
          <w:rFonts w:ascii="Times New Roman"/>
          <w:i/>
          <w:iCs/>
        </w:rPr>
        <w:t>)(3)(v)(A)</w:t>
      </w:r>
      <w:r w:rsidRPr="3080DAE6">
        <w:rPr>
          <w:rFonts w:ascii="Times New Roman" w:eastAsia="Times New Roman"/>
          <w:i/>
          <w:iCs/>
          <w:color w:val="000000" w:themeColor="text1"/>
        </w:rPr>
        <w:t xml:space="preserve"> </w:t>
      </w:r>
    </w:p>
    <w:p w:rsidR="009B78A7" w:rsidP="00C83F6C" w14:paraId="79DC9BDE"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F307E3" w:rsidP="00C83F6C" w14:paraId="59B4F5FD" w14:textId="449C944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T</w:t>
      </w:r>
      <w:r w:rsidRPr="0052502E" w:rsidR="00E012CD">
        <w:rPr>
          <w:rFonts w:ascii="Times New Roman"/>
        </w:rPr>
        <w:t xml:space="preserve">he employer </w:t>
      </w:r>
      <w:r>
        <w:rPr>
          <w:rFonts w:ascii="Times New Roman"/>
        </w:rPr>
        <w:t>shall</w:t>
      </w:r>
      <w:r w:rsidRPr="0052502E" w:rsidR="00E012CD">
        <w:rPr>
          <w:rFonts w:ascii="Times New Roman"/>
        </w:rPr>
        <w:t xml:space="preserve"> obtain and furnish to the </w:t>
      </w:r>
      <w:r w:rsidR="00EF6DCB">
        <w:rPr>
          <w:rFonts w:ascii="Times New Roman"/>
        </w:rPr>
        <w:t>employee</w:t>
      </w:r>
      <w:r w:rsidRPr="0052502E" w:rsidR="00E012CD">
        <w:rPr>
          <w:rFonts w:ascii="Times New Roman"/>
        </w:rPr>
        <w:t xml:space="preserve"> a copy of a written medical opinion </w:t>
      </w:r>
      <w:r w:rsidR="00EF6DCB">
        <w:rPr>
          <w:rFonts w:ascii="Times New Roman"/>
        </w:rPr>
        <w:t>from each examining or consulting physician which</w:t>
      </w:r>
      <w:r w:rsidRPr="0052502E" w:rsidR="00E012CD">
        <w:rPr>
          <w:rFonts w:ascii="Times New Roman"/>
        </w:rPr>
        <w:t xml:space="preserve"> contains the following information: (</w:t>
      </w:r>
      <w:r w:rsidR="00A52DCF">
        <w:rPr>
          <w:rFonts w:ascii="Times New Roman"/>
        </w:rPr>
        <w:t>1</w:t>
      </w:r>
      <w:r w:rsidRPr="0052502E" w:rsidR="00E012CD">
        <w:rPr>
          <w:rFonts w:ascii="Times New Roman"/>
        </w:rPr>
        <w:t xml:space="preserve">) the physician's opinion as to whether the </w:t>
      </w:r>
      <w:r w:rsidR="00A52DCF">
        <w:rPr>
          <w:rFonts w:ascii="Times New Roman"/>
        </w:rPr>
        <w:t>employee</w:t>
      </w:r>
      <w:r w:rsidRPr="0052502E" w:rsidR="00E012CD">
        <w:rPr>
          <w:rFonts w:ascii="Times New Roman"/>
        </w:rPr>
        <w:t xml:space="preserve"> has any detected medical condition that would place the </w:t>
      </w:r>
      <w:r w:rsidR="00A52DCF">
        <w:rPr>
          <w:rFonts w:ascii="Times New Roman"/>
        </w:rPr>
        <w:t>employee</w:t>
      </w:r>
      <w:r w:rsidRPr="0052502E" w:rsidR="00E012CD">
        <w:rPr>
          <w:rFonts w:ascii="Times New Roman"/>
        </w:rPr>
        <w:t xml:space="preserve"> at increased risk of material impairment of </w:t>
      </w:r>
      <w:r w:rsidR="000B02AD">
        <w:rPr>
          <w:rFonts w:ascii="Times New Roman"/>
        </w:rPr>
        <w:t xml:space="preserve">employee’s </w:t>
      </w:r>
      <w:r w:rsidRPr="0052502E" w:rsidR="00E012CD">
        <w:rPr>
          <w:rFonts w:ascii="Times New Roman"/>
        </w:rPr>
        <w:t>health from exposure to lead; (</w:t>
      </w:r>
      <w:r w:rsidR="000B02AD">
        <w:rPr>
          <w:rFonts w:ascii="Times New Roman"/>
        </w:rPr>
        <w:t>2</w:t>
      </w:r>
      <w:r w:rsidRPr="0052502E" w:rsidR="00E012CD">
        <w:rPr>
          <w:rFonts w:ascii="Times New Roman"/>
        </w:rPr>
        <w:t xml:space="preserve">) any recommended special protective measures to be provided to the </w:t>
      </w:r>
      <w:r w:rsidR="000B02AD">
        <w:rPr>
          <w:rFonts w:ascii="Times New Roman"/>
        </w:rPr>
        <w:t>employee</w:t>
      </w:r>
      <w:r w:rsidRPr="0052502E" w:rsidR="00E012CD">
        <w:rPr>
          <w:rFonts w:ascii="Times New Roman"/>
        </w:rPr>
        <w:t xml:space="preserve">, or limitations to be placed upon the </w:t>
      </w:r>
      <w:r w:rsidR="000B02AD">
        <w:rPr>
          <w:rFonts w:ascii="Times New Roman"/>
        </w:rPr>
        <w:t>employee</w:t>
      </w:r>
      <w:r w:rsidRPr="0052502E" w:rsidR="00E012CD">
        <w:rPr>
          <w:rFonts w:ascii="Times New Roman"/>
        </w:rPr>
        <w:t>'s exposure to lead; (</w:t>
      </w:r>
      <w:r w:rsidR="000B02AD">
        <w:rPr>
          <w:rFonts w:ascii="Times New Roman"/>
        </w:rPr>
        <w:t>3</w:t>
      </w:r>
      <w:r w:rsidRPr="0052502E" w:rsidR="00E012CD">
        <w:rPr>
          <w:rFonts w:ascii="Times New Roman"/>
        </w:rPr>
        <w:t xml:space="preserve">) any recommended limitation upon the </w:t>
      </w:r>
      <w:r w:rsidR="00872662">
        <w:rPr>
          <w:rFonts w:ascii="Times New Roman"/>
        </w:rPr>
        <w:t>employee</w:t>
      </w:r>
      <w:r w:rsidRPr="0052502E" w:rsidR="00E012CD">
        <w:rPr>
          <w:rFonts w:ascii="Times New Roman"/>
        </w:rPr>
        <w:t xml:space="preserve">'s use of respirators, including a determination of whether the </w:t>
      </w:r>
      <w:r w:rsidR="00872662">
        <w:rPr>
          <w:rFonts w:ascii="Times New Roman"/>
        </w:rPr>
        <w:t>employee</w:t>
      </w:r>
      <w:r w:rsidRPr="0052502E" w:rsidR="00E012CD">
        <w:rPr>
          <w:rFonts w:ascii="Times New Roman"/>
        </w:rPr>
        <w:t xml:space="preserve"> can wear a powered air</w:t>
      </w:r>
      <w:r w:rsidR="00872662">
        <w:rPr>
          <w:rFonts w:ascii="Times New Roman"/>
        </w:rPr>
        <w:t xml:space="preserve"> </w:t>
      </w:r>
      <w:r w:rsidRPr="0052502E" w:rsidR="00E012CD">
        <w:rPr>
          <w:rFonts w:ascii="Times New Roman"/>
        </w:rPr>
        <w:t xml:space="preserve">purifying respirator if a physician determines that the </w:t>
      </w:r>
      <w:r w:rsidR="00CD4427">
        <w:rPr>
          <w:rFonts w:ascii="Times New Roman"/>
        </w:rPr>
        <w:t>worker</w:t>
      </w:r>
      <w:r w:rsidRPr="0052502E" w:rsidR="00E012CD">
        <w:rPr>
          <w:rFonts w:ascii="Times New Roman"/>
        </w:rPr>
        <w:t xml:space="preserve"> cannot wear a negative</w:t>
      </w:r>
      <w:r w:rsidR="00872662">
        <w:rPr>
          <w:rFonts w:ascii="Times New Roman"/>
        </w:rPr>
        <w:t xml:space="preserve"> </w:t>
      </w:r>
      <w:r w:rsidRPr="0052502E" w:rsidR="00E012CD">
        <w:rPr>
          <w:rFonts w:ascii="Times New Roman"/>
        </w:rPr>
        <w:t>pressure respirator; and (</w:t>
      </w:r>
      <w:r w:rsidR="00872662">
        <w:rPr>
          <w:rFonts w:ascii="Times New Roman"/>
        </w:rPr>
        <w:t>4</w:t>
      </w:r>
      <w:r w:rsidRPr="0052502E" w:rsidR="00E012CD">
        <w:rPr>
          <w:rFonts w:ascii="Times New Roman"/>
        </w:rPr>
        <w:t>) the results of the blood lead determinations.</w:t>
      </w:r>
    </w:p>
    <w:p w:rsidR="00F307E3" w:rsidP="00C83F6C" w14:paraId="0E4DDEFA"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P="00C83F6C" w14:paraId="5C6FDE28" w14:textId="258DA781">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i/>
          <w:iCs/>
        </w:rPr>
        <w:t>§ 1</w:t>
      </w:r>
      <w:r w:rsidRPr="56E51CD7" w:rsidR="70322B03">
        <w:rPr>
          <w:rFonts w:ascii="Times New Roman"/>
          <w:i/>
          <w:iCs/>
        </w:rPr>
        <w:t>910.1025(j)(3)(v)(B)</w:t>
      </w:r>
    </w:p>
    <w:p w:rsidR="00E012CD" w:rsidP="00C83F6C" w14:paraId="4AAA8D5B"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P="00C83F6C" w14:paraId="0BFDBA52" w14:textId="50477EA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 xml:space="preserve">The employer must instruct each examining and consulting physician to: </w:t>
      </w:r>
      <w:r w:rsidRPr="56E51CD7" w:rsidR="589D34B0">
        <w:rPr>
          <w:rFonts w:ascii="Times New Roman"/>
        </w:rPr>
        <w:t>(1</w:t>
      </w:r>
      <w:r w:rsidRPr="56E51CD7" w:rsidR="214D8054">
        <w:rPr>
          <w:rFonts w:ascii="Times New Roman"/>
        </w:rPr>
        <w:t>)</w:t>
      </w:r>
      <w:r w:rsidRPr="56E51CD7" w:rsidR="589D34B0">
        <w:rPr>
          <w:rFonts w:ascii="Times New Roman"/>
        </w:rPr>
        <w:t xml:space="preserve"> </w:t>
      </w:r>
      <w:r w:rsidRPr="56E51CD7">
        <w:rPr>
          <w:rFonts w:ascii="Times New Roman"/>
        </w:rPr>
        <w:t xml:space="preserve">not reveal either in the written opinion, or in any other means of communication with the employer, findings, including laboratory </w:t>
      </w:r>
      <w:r w:rsidRPr="56E51CD7" w:rsidR="577B1163">
        <w:rPr>
          <w:rFonts w:ascii="Times New Roman"/>
        </w:rPr>
        <w:t>results</w:t>
      </w:r>
      <w:r w:rsidRPr="56E51CD7" w:rsidR="214D8054">
        <w:rPr>
          <w:rFonts w:ascii="Times New Roman"/>
        </w:rPr>
        <w:t>,</w:t>
      </w:r>
      <w:r w:rsidRPr="56E51CD7">
        <w:rPr>
          <w:rFonts w:ascii="Times New Roman"/>
        </w:rPr>
        <w:t xml:space="preserve"> or diagnoses unrelated to a</w:t>
      </w:r>
      <w:r w:rsidRPr="56E51CD7" w:rsidR="214D8054">
        <w:rPr>
          <w:rFonts w:ascii="Times New Roman"/>
        </w:rPr>
        <w:t>n employee</w:t>
      </w:r>
      <w:r w:rsidRPr="56E51CD7">
        <w:rPr>
          <w:rFonts w:ascii="Times New Roman"/>
        </w:rPr>
        <w:t xml:space="preserve">’s occupational exposure to lead; and </w:t>
      </w:r>
      <w:r w:rsidRPr="56E51CD7" w:rsidR="214D8054">
        <w:rPr>
          <w:rFonts w:ascii="Times New Roman"/>
        </w:rPr>
        <w:t xml:space="preserve">(2) </w:t>
      </w:r>
      <w:r w:rsidRPr="56E51CD7">
        <w:rPr>
          <w:rFonts w:ascii="Times New Roman"/>
        </w:rPr>
        <w:t xml:space="preserve">to advise the </w:t>
      </w:r>
      <w:r w:rsidRPr="56E51CD7" w:rsidR="214D8054">
        <w:rPr>
          <w:rFonts w:ascii="Times New Roman"/>
        </w:rPr>
        <w:t>employee</w:t>
      </w:r>
      <w:r w:rsidRPr="56E51CD7">
        <w:rPr>
          <w:rFonts w:ascii="Times New Roman"/>
        </w:rPr>
        <w:t xml:space="preserve"> of any medical condition, occupational or nonoccupational, which dictates further medical examination or treatment.</w:t>
      </w:r>
    </w:p>
    <w:p w:rsidR="00832DF1" w:rsidRPr="0052502E" w:rsidP="00C83F6C" w14:paraId="6717D340"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1438C5" w:rsidP="56E51CD7" w14:paraId="2E279403" w14:textId="4F5BE19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 xml:space="preserve">(7) </w:t>
      </w:r>
      <w:r w:rsidRPr="56E51CD7" w:rsidR="70322B03">
        <w:rPr>
          <w:rFonts w:ascii="Times New Roman"/>
          <w:i/>
          <w:iCs/>
        </w:rPr>
        <w:t>Chelation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sidR="70322B03">
        <w:rPr>
          <w:rFonts w:ascii="Times New Roman"/>
          <w:i/>
          <w:iCs/>
        </w:rPr>
        <w:t>910.1025(j)(4)(ii))</w:t>
      </w:r>
    </w:p>
    <w:p w:rsidR="00E012CD" w:rsidRPr="0052502E" w:rsidP="00C83F6C" w14:paraId="3F65F50E"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7B7707" w:rsidP="00C83F6C" w14:paraId="65E6D129" w14:textId="4A6AE05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 xml:space="preserve">If therapeutic or diagnostic </w:t>
      </w:r>
      <w:r w:rsidRPr="56E51CD7">
        <w:rPr>
          <w:rFonts w:ascii="Times New Roman"/>
        </w:rPr>
        <w:t>chelation</w:t>
      </w:r>
      <w:r w:rsidRPr="56E51CD7">
        <w:rPr>
          <w:rFonts w:ascii="Times New Roman"/>
        </w:rPr>
        <w:t xml:space="preserve"> is to be performed </w:t>
      </w:r>
      <w:r w:rsidRPr="56E51CD7" w:rsidR="30CF71E5">
        <w:rPr>
          <w:rFonts w:ascii="Times New Roman"/>
        </w:rPr>
        <w:t>by</w:t>
      </w:r>
      <w:r w:rsidRPr="56E51CD7">
        <w:rPr>
          <w:rFonts w:ascii="Times New Roman"/>
        </w:rPr>
        <w:t xml:space="preserve"> any person </w:t>
      </w:r>
      <w:r w:rsidRPr="56E51CD7" w:rsidR="30CF71E5">
        <w:rPr>
          <w:rFonts w:ascii="Times New Roman"/>
        </w:rPr>
        <w:t>in paragraph (j)(4)(</w:t>
      </w:r>
      <w:r w:rsidRPr="56E51CD7" w:rsidR="30CF71E5">
        <w:rPr>
          <w:rFonts w:ascii="Times New Roman"/>
        </w:rPr>
        <w:t>i</w:t>
      </w:r>
      <w:r w:rsidRPr="56E51CD7" w:rsidR="30CF71E5">
        <w:rPr>
          <w:rFonts w:ascii="Times New Roman"/>
        </w:rPr>
        <w:t xml:space="preserve">), </w:t>
      </w:r>
      <w:r w:rsidRPr="56E51CD7">
        <w:rPr>
          <w:rFonts w:ascii="Times New Roman"/>
        </w:rPr>
        <w:t xml:space="preserve">the employer </w:t>
      </w:r>
      <w:r w:rsidRPr="56E51CD7" w:rsidR="30CF71E5">
        <w:rPr>
          <w:rFonts w:ascii="Times New Roman"/>
        </w:rPr>
        <w:t>shall</w:t>
      </w:r>
      <w:r w:rsidRPr="56E51CD7" w:rsidR="04920207">
        <w:rPr>
          <w:rFonts w:ascii="Times New Roman"/>
        </w:rPr>
        <w:t xml:space="preserve"> </w:t>
      </w:r>
      <w:r w:rsidRPr="56E51CD7" w:rsidR="30CF71E5">
        <w:rPr>
          <w:rFonts w:ascii="Times New Roman"/>
        </w:rPr>
        <w:t>as</w:t>
      </w:r>
      <w:r w:rsidRPr="56E51CD7">
        <w:rPr>
          <w:rFonts w:ascii="Times New Roman"/>
        </w:rPr>
        <w:t xml:space="preserve">sure that it </w:t>
      </w:r>
      <w:r w:rsidRPr="56E51CD7" w:rsidR="30CF71E5">
        <w:rPr>
          <w:rFonts w:ascii="Times New Roman"/>
        </w:rPr>
        <w:t>be done</w:t>
      </w:r>
      <w:r w:rsidRPr="56E51CD7">
        <w:rPr>
          <w:rFonts w:ascii="Times New Roman"/>
        </w:rPr>
        <w:t xml:space="preserve"> under the supervision of a licensed physician in a clinical setting with thorough and appropriate medical monitoring and that the </w:t>
      </w:r>
      <w:r w:rsidRPr="56E51CD7" w:rsidR="0FC13A8A">
        <w:rPr>
          <w:rFonts w:ascii="Times New Roman"/>
        </w:rPr>
        <w:t>worker</w:t>
      </w:r>
      <w:r w:rsidRPr="56E51CD7">
        <w:rPr>
          <w:rFonts w:ascii="Times New Roman"/>
        </w:rPr>
        <w:t xml:space="preserve"> is notified in writing prior to </w:t>
      </w:r>
      <w:r w:rsidRPr="56E51CD7">
        <w:rPr>
          <w:rFonts w:ascii="Times New Roman"/>
        </w:rPr>
        <w:t>its</w:t>
      </w:r>
      <w:r w:rsidRPr="56E51CD7">
        <w:rPr>
          <w:rFonts w:ascii="Times New Roman"/>
        </w:rPr>
        <w:t xml:space="preserve"> performance.</w:t>
      </w:r>
    </w:p>
    <w:p w:rsidR="007B7707" w:rsidRPr="001438C5" w:rsidP="00C83F6C" w14:paraId="20C5495F"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p>
    <w:p w:rsidR="00AE3BD0" w:rsidRPr="00C75E9E" w:rsidP="3D161A59" w14:paraId="772A8F75" w14:textId="5C6E7F3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i/>
          <w:iCs/>
        </w:rPr>
        <w:t>Medical Removal Protection Benefits,</w:t>
      </w:r>
      <w:r w:rsidRPr="56E51CD7">
        <w:rPr>
          <w:rFonts w:ascii="Times New Roman"/>
          <w:i/>
          <w:iCs/>
          <w:u w:val="single"/>
        </w:rPr>
        <w:t xml:space="preserve"> </w:t>
      </w:r>
      <w:r w:rsidRPr="56E51CD7" w:rsidR="47E08663">
        <w:rPr>
          <w:rFonts w:ascii="Times New Roman"/>
          <w:i/>
          <w:iCs/>
        </w:rPr>
        <w:t>Employees Whose B</w:t>
      </w:r>
      <w:r w:rsidRPr="56E51CD7" w:rsidR="78282BF9">
        <w:rPr>
          <w:rFonts w:ascii="Times New Roman"/>
          <w:i/>
          <w:iCs/>
        </w:rPr>
        <w:t>lood</w:t>
      </w:r>
      <w:r w:rsidRPr="56E51CD7" w:rsidR="47E08663">
        <w:rPr>
          <w:rFonts w:ascii="Times New Roman"/>
          <w:i/>
          <w:iCs/>
        </w:rPr>
        <w:t xml:space="preserve"> Lead L</w:t>
      </w:r>
      <w:r w:rsidRPr="56E51CD7" w:rsidR="78282BF9">
        <w:rPr>
          <w:rFonts w:ascii="Times New Roman"/>
          <w:i/>
          <w:iCs/>
        </w:rPr>
        <w:t xml:space="preserve">evels </w:t>
      </w:r>
      <w:r w:rsidRPr="56E51CD7" w:rsidR="47E08663">
        <w:rPr>
          <w:rFonts w:ascii="Times New Roman"/>
          <w:i/>
          <w:iCs/>
        </w:rPr>
        <w:t>D</w:t>
      </w:r>
      <w:r w:rsidRPr="56E51CD7" w:rsidR="78282BF9">
        <w:rPr>
          <w:rFonts w:ascii="Times New Roman"/>
          <w:i/>
          <w:iCs/>
        </w:rPr>
        <w:t xml:space="preserve">o </w:t>
      </w:r>
      <w:r w:rsidRPr="56E51CD7" w:rsidR="47E08663">
        <w:rPr>
          <w:rFonts w:ascii="Times New Roman"/>
          <w:i/>
          <w:iCs/>
        </w:rPr>
        <w:t>N</w:t>
      </w:r>
      <w:r w:rsidRPr="56E51CD7" w:rsidR="78282BF9">
        <w:rPr>
          <w:rFonts w:ascii="Times New Roman"/>
          <w:i/>
          <w:iCs/>
        </w:rPr>
        <w:t xml:space="preserve">ot </w:t>
      </w:r>
      <w:r w:rsidRPr="56E51CD7" w:rsidR="47E08663">
        <w:rPr>
          <w:rFonts w:ascii="Times New Roman"/>
          <w:i/>
          <w:iCs/>
        </w:rPr>
        <w:t>A</w:t>
      </w:r>
      <w:r w:rsidRPr="56E51CD7" w:rsidR="78282BF9">
        <w:rPr>
          <w:rFonts w:ascii="Times New Roman"/>
          <w:i/>
          <w:iCs/>
        </w:rPr>
        <w:t xml:space="preserve">dequately </w:t>
      </w:r>
      <w:r w:rsidRPr="56E51CD7" w:rsidR="47E08663">
        <w:rPr>
          <w:rFonts w:ascii="Times New Roman"/>
          <w:i/>
          <w:iCs/>
        </w:rPr>
        <w:t>Decline Within 18 M</w:t>
      </w:r>
      <w:r w:rsidRPr="56E51CD7" w:rsidR="78282BF9">
        <w:rPr>
          <w:rFonts w:ascii="Times New Roman"/>
          <w:i/>
          <w:iCs/>
        </w:rPr>
        <w:t xml:space="preserve">onths of </w:t>
      </w:r>
      <w:r w:rsidRPr="56E51CD7" w:rsidR="47E08663">
        <w:rPr>
          <w:rFonts w:ascii="Times New Roman"/>
          <w:i/>
          <w:iCs/>
        </w:rPr>
        <w:t>R</w:t>
      </w:r>
      <w:r w:rsidRPr="56E51CD7" w:rsidR="78282BF9">
        <w:rPr>
          <w:rFonts w:ascii="Times New Roman"/>
          <w:i/>
          <w:iCs/>
        </w:rPr>
        <w:t>emoval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sidR="78282BF9">
        <w:rPr>
          <w:rFonts w:ascii="Times New Roman"/>
          <w:i/>
          <w:iCs/>
        </w:rPr>
        <w:t>910.1025(k)(2)(vi))</w:t>
      </w:r>
    </w:p>
    <w:p w:rsidR="00707A9F" w:rsidRPr="001438C5" w:rsidP="00C83F6C" w14:paraId="161CA4EF" w14:textId="51641A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rsidR="00607D19" w:rsidP="00C83F6C" w14:paraId="2B93FDAB" w14:textId="71F1D0A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sidRPr="00DB3ADF">
        <w:rPr>
          <w:rFonts w:ascii="Times New Roman"/>
          <w:bCs/>
        </w:rPr>
        <w:t xml:space="preserve">The employer </w:t>
      </w:r>
      <w:r w:rsidR="00707A9F">
        <w:rPr>
          <w:rFonts w:ascii="Times New Roman"/>
          <w:bCs/>
        </w:rPr>
        <w:t>shall</w:t>
      </w:r>
      <w:r>
        <w:rPr>
          <w:rFonts w:ascii="Times New Roman"/>
          <w:bCs/>
        </w:rPr>
        <w:t xml:space="preserve"> </w:t>
      </w:r>
      <w:r w:rsidRPr="00DB3ADF">
        <w:rPr>
          <w:rFonts w:ascii="Times New Roman"/>
          <w:bCs/>
        </w:rPr>
        <w:t>take the following measures with respect to any employee removed from exposure to lead due to an elevated blood lead level whose blood lead level has not declined within the past eighteen (18) months of removal so that the employee has been returned to his or her former job status:</w:t>
      </w:r>
      <w:r w:rsidR="00813C6C">
        <w:rPr>
          <w:rFonts w:ascii="Times New Roman"/>
          <w:bCs/>
        </w:rPr>
        <w:t xml:space="preserve"> </w:t>
      </w:r>
    </w:p>
    <w:p w:rsidR="00AE3BD0" w:rsidRPr="00DB3ADF" w:rsidP="00AE3BD0" w14:paraId="3F68505D" w14:textId="374E38E8">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rsidR="00AE3BD0" w:rsidRPr="00DB3ADF" w:rsidP="001438C5" w14:paraId="4FA47CE6" w14:textId="451616F8">
      <w:pPr>
        <w:tabs>
          <w:tab w:val="left" w:pos="360"/>
          <w:tab w:val="left" w:pos="960"/>
          <w:tab w:val="left" w:pos="1560"/>
          <w:tab w:val="left" w:pos="2160"/>
          <w:tab w:val="left" w:pos="2760"/>
          <w:tab w:val="left" w:pos="3360"/>
          <w:tab w:val="left" w:pos="4080"/>
          <w:tab w:val="left" w:pos="4680"/>
          <w:tab w:val="left" w:pos="5280"/>
          <w:tab w:val="left" w:pos="5880"/>
        </w:tabs>
        <w:ind w:left="960"/>
        <w:rPr>
          <w:rFonts w:ascii="Times New Roman"/>
          <w:bCs/>
        </w:rPr>
      </w:pPr>
      <w:r w:rsidRPr="00DB3ADF">
        <w:rPr>
          <w:rFonts w:ascii="Times New Roman"/>
          <w:bCs/>
        </w:rPr>
        <w:t xml:space="preserve">(A) </w:t>
      </w:r>
      <w:r w:rsidR="00813C6C">
        <w:rPr>
          <w:rFonts w:ascii="Times New Roman"/>
          <w:bCs/>
        </w:rPr>
        <w:t>t</w:t>
      </w:r>
      <w:r w:rsidRPr="00DB3ADF">
        <w:rPr>
          <w:rFonts w:ascii="Times New Roman"/>
          <w:bCs/>
        </w:rPr>
        <w:t xml:space="preserve">he employer shall make available to the employee a medical examination pursuant to this section to obtain a final medical determination with respect to the </w:t>
      </w:r>
      <w:r w:rsidRPr="00DB3ADF">
        <w:rPr>
          <w:rFonts w:ascii="Times New Roman"/>
          <w:bCs/>
        </w:rPr>
        <w:t>employee;</w:t>
      </w:r>
      <w:r w:rsidR="00813C6C">
        <w:rPr>
          <w:rFonts w:ascii="Times New Roman"/>
          <w:bCs/>
        </w:rPr>
        <w:t xml:space="preserve"> </w:t>
      </w:r>
    </w:p>
    <w:p w:rsidR="00AE3BD0" w:rsidP="00AE3BD0" w14:paraId="2BFB7F36" w14:textId="7B7C0D8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Pr>
          <w:rFonts w:ascii="Times New Roman"/>
          <w:bCs/>
        </w:rPr>
        <w:tab/>
      </w:r>
      <w:r>
        <w:rPr>
          <w:rFonts w:ascii="Times New Roman"/>
          <w:bCs/>
        </w:rPr>
        <w:tab/>
      </w:r>
    </w:p>
    <w:p w:rsidR="00FD1255" w:rsidP="001438C5" w14:paraId="4E057B7B" w14:textId="61208B73">
      <w:pPr>
        <w:tabs>
          <w:tab w:val="left" w:pos="360"/>
          <w:tab w:val="left" w:pos="960"/>
          <w:tab w:val="left" w:pos="1560"/>
          <w:tab w:val="left" w:pos="2160"/>
          <w:tab w:val="left" w:pos="2760"/>
          <w:tab w:val="left" w:pos="3360"/>
          <w:tab w:val="left" w:pos="4080"/>
          <w:tab w:val="left" w:pos="4680"/>
          <w:tab w:val="left" w:pos="5280"/>
          <w:tab w:val="left" w:pos="5880"/>
        </w:tabs>
        <w:ind w:left="960"/>
        <w:rPr>
          <w:rFonts w:ascii="Times New Roman"/>
          <w:bCs/>
        </w:rPr>
      </w:pPr>
      <w:r w:rsidRPr="00DB3ADF">
        <w:rPr>
          <w:rFonts w:ascii="Times New Roman"/>
          <w:bCs/>
        </w:rPr>
        <w:t xml:space="preserve">(B) </w:t>
      </w:r>
      <w:r w:rsidR="00813C6C">
        <w:rPr>
          <w:rFonts w:ascii="Times New Roman"/>
          <w:bCs/>
        </w:rPr>
        <w:t>t</w:t>
      </w:r>
      <w:r w:rsidRPr="00DB3ADF">
        <w:rPr>
          <w:rFonts w:ascii="Times New Roman"/>
          <w:bCs/>
        </w:rPr>
        <w:t xml:space="preserve">he employer shall assure that the final medical determination obtained indicates </w:t>
      </w:r>
      <w:r w:rsidRPr="00DB3ADF">
        <w:rPr>
          <w:rFonts w:ascii="Times New Roman"/>
          <w:bCs/>
        </w:rPr>
        <w:t>whether or not</w:t>
      </w:r>
      <w:r w:rsidRPr="00DB3ADF">
        <w:rPr>
          <w:rFonts w:ascii="Times New Roman"/>
          <w:bCs/>
        </w:rPr>
        <w:t xml:space="preserve"> the employee may be returned to his or her former job status, and if not, what steps should be taken to protect the employee's </w:t>
      </w:r>
      <w:r w:rsidRPr="00DB3ADF">
        <w:rPr>
          <w:rFonts w:ascii="Times New Roman"/>
          <w:bCs/>
        </w:rPr>
        <w:t>health;</w:t>
      </w:r>
    </w:p>
    <w:p w:rsidR="00FD1255" w:rsidP="00C83F6C" w14:paraId="242763D5"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rsidR="00DB3ADF" w:rsidRPr="00DB3ADF" w:rsidP="00C83F6C" w14:paraId="19B32391" w14:textId="3892A1A8">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r>
        <w:rPr>
          <w:rFonts w:ascii="Times New Roman"/>
          <w:bCs/>
        </w:rPr>
        <w:tab/>
      </w:r>
      <w:r>
        <w:rPr>
          <w:rFonts w:ascii="Times New Roman"/>
          <w:bCs/>
        </w:rPr>
        <w:tab/>
      </w:r>
      <w:r w:rsidR="00813C6C">
        <w:rPr>
          <w:rFonts w:ascii="Times New Roman"/>
          <w:bCs/>
        </w:rPr>
        <w:t>* * *</w:t>
      </w:r>
    </w:p>
    <w:p w:rsidR="00DB3ADF" w:rsidRPr="00DB3ADF" w:rsidP="00C83F6C" w14:paraId="08682288"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Cs/>
        </w:rPr>
      </w:pPr>
    </w:p>
    <w:p w:rsidR="00DB3ADF" w:rsidRPr="00DB3ADF" w:rsidP="001438C5" w14:paraId="1E017F5E" w14:textId="6461DBE7">
      <w:pPr>
        <w:tabs>
          <w:tab w:val="left" w:pos="360"/>
          <w:tab w:val="left" w:pos="960"/>
          <w:tab w:val="left" w:pos="1560"/>
          <w:tab w:val="left" w:pos="2160"/>
          <w:tab w:val="left" w:pos="2760"/>
          <w:tab w:val="left" w:pos="3360"/>
          <w:tab w:val="left" w:pos="4080"/>
          <w:tab w:val="left" w:pos="4680"/>
          <w:tab w:val="left" w:pos="5280"/>
          <w:tab w:val="left" w:pos="5880"/>
        </w:tabs>
        <w:ind w:left="960"/>
        <w:rPr>
          <w:rFonts w:ascii="Times New Roman"/>
          <w:bCs/>
        </w:rPr>
      </w:pPr>
      <w:r w:rsidRPr="00DB3ADF">
        <w:rPr>
          <w:rFonts w:ascii="Times New Roman"/>
          <w:bCs/>
        </w:rPr>
        <w:t xml:space="preserve">(D) </w:t>
      </w:r>
      <w:r w:rsidR="00E85A8D">
        <w:rPr>
          <w:rFonts w:ascii="Times New Roman"/>
          <w:bCs/>
        </w:rPr>
        <w:t>w</w:t>
      </w:r>
      <w:r w:rsidRPr="00DB3ADF">
        <w:rPr>
          <w:rFonts w:ascii="Times New Roman"/>
          <w:bCs/>
        </w:rPr>
        <w:t xml:space="preserve">here the employer acts pursuant to a final medical determination which permits </w:t>
      </w:r>
      <w:r w:rsidRPr="00DB3ADF">
        <w:rPr>
          <w:rFonts w:ascii="Times New Roman"/>
          <w:bCs/>
        </w:rPr>
        <w:t>the return of the employee to his or her former job status despite what would otherwise be an unacceptable blood lead level, later questions concerning removing the employee again shall be decided by a final medical determination. The employer need not automatically remove such an employee pursuant to the blood lead level removal criteria provided by this section.</w:t>
      </w:r>
    </w:p>
    <w:p w:rsidR="00002A22" w:rsidP="00C83F6C" w14:paraId="3A800953"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E012CD" w:rsidRPr="001438C5" w:rsidP="00C83F6C" w14:paraId="5CF27643" w14:textId="4C7C02F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Employee Information and Training (</w:t>
      </w:r>
      <w:r w:rsidRPr="56E51CD7" w:rsidR="0AFFCAB6">
        <w:rPr>
          <w:rFonts w:ascii="Times New Roman"/>
          <w:b/>
          <w:bCs/>
        </w:rPr>
        <w:t>§</w:t>
      </w:r>
      <w:r w:rsidRPr="56E51CD7">
        <w:rPr>
          <w:rFonts w:ascii="Times New Roman"/>
          <w:b/>
          <w:bCs/>
        </w:rPr>
        <w:t xml:space="preserve"> </w:t>
      </w:r>
      <w:r w:rsidRPr="56E51CD7" w:rsidR="0AFFCAB6">
        <w:rPr>
          <w:rFonts w:ascii="Times New Roman"/>
          <w:b/>
          <w:bCs/>
        </w:rPr>
        <w:t>1</w:t>
      </w:r>
      <w:r w:rsidRPr="56E51CD7">
        <w:rPr>
          <w:rFonts w:ascii="Times New Roman"/>
          <w:b/>
          <w:bCs/>
        </w:rPr>
        <w:t>910.1025(l))</w:t>
      </w:r>
    </w:p>
    <w:p w:rsidR="00E012CD" w:rsidRPr="0052502E" w:rsidP="00C83F6C" w14:paraId="5CAFE29F"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1438C5" w:rsidP="56E51CD7" w14:paraId="6295D862" w14:textId="0629A385">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Training Program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Pr>
          <w:rFonts w:ascii="Times New Roman"/>
          <w:i/>
          <w:iCs/>
        </w:rPr>
        <w:t>910.1025(l)(</w:t>
      </w:r>
      <w:r w:rsidRPr="56E51CD7">
        <w:rPr>
          <w:rFonts w:ascii="Times New Roman"/>
          <w:i/>
          <w:iCs/>
        </w:rPr>
        <w:t>1)</w:t>
      </w:r>
      <w:r w:rsidRPr="56E51CD7" w:rsidR="486DA135">
        <w:rPr>
          <w:rFonts w:ascii="Times New Roman"/>
          <w:i/>
          <w:iCs/>
        </w:rPr>
        <w:t>(</w:t>
      </w:r>
      <w:r w:rsidRPr="56E51CD7" w:rsidR="486DA135">
        <w:rPr>
          <w:rFonts w:ascii="Times New Roman"/>
          <w:i/>
          <w:iCs/>
        </w:rPr>
        <w:t>i</w:t>
      </w:r>
      <w:r w:rsidRPr="56E51CD7" w:rsidR="486DA135">
        <w:rPr>
          <w:rFonts w:ascii="Times New Roman"/>
          <w:i/>
          <w:iCs/>
        </w:rPr>
        <w:t>-iv)</w:t>
      </w:r>
      <w:r w:rsidRPr="56E51CD7">
        <w:rPr>
          <w:rFonts w:ascii="Times New Roman"/>
          <w:i/>
          <w:iCs/>
        </w:rPr>
        <w:t>)</w:t>
      </w:r>
    </w:p>
    <w:p w:rsidR="00E012CD" w:rsidRPr="0052502E" w:rsidP="00C83F6C" w14:paraId="299B13A6"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00C83F6C" w14:paraId="3D4D9E4C" w14:textId="17FBDDC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E</w:t>
      </w:r>
      <w:r w:rsidRPr="0052502E">
        <w:rPr>
          <w:rFonts w:ascii="Times New Roman"/>
        </w:rPr>
        <w:t xml:space="preserve">ach employer who has a workplace in which there is potential exposure to airborne lead </w:t>
      </w:r>
      <w:r>
        <w:rPr>
          <w:rFonts w:ascii="Times New Roman"/>
        </w:rPr>
        <w:t>at any level shall</w:t>
      </w:r>
      <w:r w:rsidRPr="0052502E">
        <w:rPr>
          <w:rFonts w:ascii="Times New Roman"/>
        </w:rPr>
        <w:t xml:space="preserve"> inform </w:t>
      </w:r>
      <w:r w:rsidR="00F54750">
        <w:rPr>
          <w:rFonts w:ascii="Times New Roman"/>
        </w:rPr>
        <w:t>employees</w:t>
      </w:r>
      <w:r w:rsidRPr="0052502E">
        <w:rPr>
          <w:rFonts w:ascii="Times New Roman"/>
        </w:rPr>
        <w:t xml:space="preserve"> of the contents of Appendices A and B of th</w:t>
      </w:r>
      <w:r w:rsidR="00CE27D1">
        <w:rPr>
          <w:rFonts w:ascii="Times New Roman"/>
        </w:rPr>
        <w:t>is regulation</w:t>
      </w:r>
      <w:r w:rsidRPr="0052502E">
        <w:rPr>
          <w:rFonts w:ascii="Times New Roman"/>
        </w:rPr>
        <w:t xml:space="preserve">. The employer </w:t>
      </w:r>
      <w:r w:rsidR="00D3380E">
        <w:rPr>
          <w:rFonts w:ascii="Times New Roman"/>
        </w:rPr>
        <w:t xml:space="preserve">shall train each </w:t>
      </w:r>
      <w:r w:rsidR="001B76EF">
        <w:rPr>
          <w:rFonts w:ascii="Times New Roman"/>
        </w:rPr>
        <w:t>employee who is subject to exposure to lead at or above the action level, or for whom the possibility of skin or eye irritation exists, in accordance with the r</w:t>
      </w:r>
      <w:r w:rsidR="00D07DE9">
        <w:rPr>
          <w:rFonts w:ascii="Times New Roman"/>
        </w:rPr>
        <w:t>equirements of this section. The employer shall institute a training program and ensure employee participation in the program.</w:t>
      </w:r>
      <w:r w:rsidR="00102A09">
        <w:rPr>
          <w:rFonts w:ascii="Times New Roman"/>
        </w:rPr>
        <w:t xml:space="preserve"> The employer shall provide initial training by 180 days from the effective date for those employees covered by paragraph (l)(1)(ii) on the standard’s effective date and prior to the </w:t>
      </w:r>
      <w:r w:rsidR="00102A09">
        <w:rPr>
          <w:rFonts w:ascii="Times New Roman"/>
        </w:rPr>
        <w:t>time of initial</w:t>
      </w:r>
      <w:r w:rsidR="00102A09">
        <w:rPr>
          <w:rFonts w:ascii="Times New Roman"/>
        </w:rPr>
        <w:t xml:space="preserve"> job assignment for those employees subsequently covered by this paragraph</w:t>
      </w:r>
      <w:r w:rsidR="00696402">
        <w:rPr>
          <w:rFonts w:ascii="Times New Roman"/>
        </w:rPr>
        <w:t>. The training program shall be repeated at least annually for each employee.</w:t>
      </w:r>
      <w:r w:rsidR="0087205E">
        <w:rPr>
          <w:rFonts w:ascii="Times New Roman"/>
        </w:rPr>
        <w:t xml:space="preserve"> </w:t>
      </w:r>
    </w:p>
    <w:p w:rsidR="000A09B1" w:rsidP="00C83F6C" w14:paraId="64463972"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696402" w:rsidRPr="0052502E" w:rsidP="3080DAE6" w14:paraId="2E939410" w14:textId="7992321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3080DAE6">
        <w:rPr>
          <w:rFonts w:ascii="Times New Roman"/>
          <w:i/>
          <w:iCs/>
        </w:rPr>
        <w:t>§ 1910.1025(l)(1)(v)</w:t>
      </w:r>
      <w:r w:rsidRPr="3080DAE6">
        <w:rPr>
          <w:rFonts w:ascii="Times New Roman" w:eastAsia="Times New Roman"/>
          <w:i/>
          <w:iCs/>
          <w:color w:val="000000" w:themeColor="text1"/>
        </w:rPr>
        <w:t xml:space="preserve"> </w:t>
      </w:r>
    </w:p>
    <w:p w:rsidR="3080DAE6" w:rsidP="3080DAE6" w14:paraId="4E28AEA2" w14:textId="6F9BAD08">
      <w:pPr>
        <w:tabs>
          <w:tab w:val="left" w:pos="360"/>
          <w:tab w:val="left" w:pos="960"/>
          <w:tab w:val="left" w:pos="1560"/>
          <w:tab w:val="left" w:pos="2160"/>
          <w:tab w:val="left" w:pos="2760"/>
          <w:tab w:val="left" w:pos="3360"/>
          <w:tab w:val="left" w:pos="4080"/>
          <w:tab w:val="left" w:pos="4680"/>
          <w:tab w:val="left" w:pos="5280"/>
          <w:tab w:val="left" w:pos="5880"/>
        </w:tabs>
        <w:rPr>
          <w:i/>
          <w:iCs/>
          <w:color w:val="000000" w:themeColor="text1"/>
        </w:rPr>
      </w:pPr>
    </w:p>
    <w:p w:rsidR="00743A58" w:rsidP="00C83F6C" w14:paraId="5CE7AC14" w14:textId="3EC28624">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r w:rsidRPr="3080DAE6">
        <w:rPr>
          <w:rFonts w:ascii="Times New Roman"/>
        </w:rPr>
        <w:t xml:space="preserve">The employer </w:t>
      </w:r>
      <w:r w:rsidRPr="3080DAE6" w:rsidR="00CB74D2">
        <w:rPr>
          <w:rFonts w:ascii="Times New Roman"/>
        </w:rPr>
        <w:t>shall assure that each employee is informed</w:t>
      </w:r>
      <w:r w:rsidRPr="3080DAE6">
        <w:rPr>
          <w:rFonts w:ascii="Times New Roman"/>
        </w:rPr>
        <w:t xml:space="preserve"> of the following: (</w:t>
      </w:r>
      <w:r w:rsidRPr="3080DAE6" w:rsidR="00CB74D2">
        <w:rPr>
          <w:rFonts w:ascii="Times New Roman"/>
        </w:rPr>
        <w:t>A</w:t>
      </w:r>
      <w:r w:rsidRPr="3080DAE6">
        <w:rPr>
          <w:rFonts w:ascii="Times New Roman"/>
        </w:rPr>
        <w:t>) the content of th</w:t>
      </w:r>
      <w:r w:rsidRPr="3080DAE6" w:rsidR="00B83B2D">
        <w:rPr>
          <w:rFonts w:ascii="Times New Roman"/>
        </w:rPr>
        <w:t>is</w:t>
      </w:r>
      <w:r w:rsidRPr="3080DAE6">
        <w:rPr>
          <w:rFonts w:ascii="Times New Roman"/>
        </w:rPr>
        <w:t xml:space="preserve"> standard and its appendices; (</w:t>
      </w:r>
      <w:r w:rsidRPr="3080DAE6" w:rsidR="00B83B2D">
        <w:rPr>
          <w:rFonts w:ascii="Times New Roman"/>
        </w:rPr>
        <w:t>B</w:t>
      </w:r>
      <w:r w:rsidRPr="3080DAE6">
        <w:rPr>
          <w:rFonts w:ascii="Times New Roman"/>
        </w:rPr>
        <w:t xml:space="preserve">) the specific nature of the operations </w:t>
      </w:r>
      <w:r w:rsidRPr="3080DAE6" w:rsidR="00B83B2D">
        <w:rPr>
          <w:rFonts w:ascii="Times New Roman"/>
        </w:rPr>
        <w:t>which</w:t>
      </w:r>
      <w:r w:rsidRPr="3080DAE6">
        <w:rPr>
          <w:rFonts w:ascii="Times New Roman"/>
        </w:rPr>
        <w:t xml:space="preserve"> could result in exposure to lead above the action level; (</w:t>
      </w:r>
      <w:r w:rsidRPr="3080DAE6" w:rsidR="00B83B2D">
        <w:rPr>
          <w:rFonts w:ascii="Times New Roman"/>
        </w:rPr>
        <w:t>C</w:t>
      </w:r>
      <w:r w:rsidRPr="3080DAE6">
        <w:rPr>
          <w:rFonts w:ascii="Times New Roman"/>
        </w:rPr>
        <w:t>) the purpose, proper selection, fitting, use</w:t>
      </w:r>
      <w:r w:rsidRPr="3080DAE6" w:rsidR="00B83B2D">
        <w:rPr>
          <w:rFonts w:ascii="Times New Roman"/>
        </w:rPr>
        <w:t>,</w:t>
      </w:r>
      <w:r w:rsidRPr="3080DAE6">
        <w:rPr>
          <w:rFonts w:ascii="Times New Roman"/>
        </w:rPr>
        <w:t xml:space="preserve"> and limitations of respirators; (</w:t>
      </w:r>
      <w:r w:rsidRPr="3080DAE6" w:rsidR="00B83B2D">
        <w:rPr>
          <w:rFonts w:ascii="Times New Roman"/>
        </w:rPr>
        <w:t>D</w:t>
      </w:r>
      <w:r w:rsidRPr="3080DAE6">
        <w:rPr>
          <w:rFonts w:ascii="Times New Roman"/>
        </w:rPr>
        <w:t>) the purpose and a description of the medical surveillance program</w:t>
      </w:r>
      <w:r w:rsidRPr="3080DAE6" w:rsidR="00A94A96">
        <w:rPr>
          <w:rFonts w:ascii="Times New Roman"/>
        </w:rPr>
        <w:t>,</w:t>
      </w:r>
      <w:r w:rsidRPr="3080DAE6">
        <w:rPr>
          <w:rFonts w:ascii="Times New Roman"/>
        </w:rPr>
        <w:t xml:space="preserve"> and the medical removal protection program including information concerning the adverse health effects associated with excessive exposure to</w:t>
      </w:r>
      <w:r w:rsidRPr="3080DAE6">
        <w:rPr>
          <w:rFonts w:ascii="Times New Roman"/>
        </w:rPr>
        <w:t xml:space="preserve"> lead (with particular attention to the adverse reproductive effects on both males and females); (</w:t>
      </w:r>
      <w:r w:rsidRPr="3080DAE6" w:rsidR="00F62408">
        <w:rPr>
          <w:rFonts w:ascii="Times New Roman"/>
        </w:rPr>
        <w:t>E</w:t>
      </w:r>
      <w:r w:rsidRPr="3080DAE6">
        <w:rPr>
          <w:rFonts w:ascii="Times New Roman"/>
        </w:rPr>
        <w:t xml:space="preserve">) the engineering controls and work practices associated with the </w:t>
      </w:r>
      <w:r w:rsidRPr="3080DAE6" w:rsidR="00CD4427">
        <w:rPr>
          <w:rFonts w:ascii="Times New Roman"/>
        </w:rPr>
        <w:t>worker</w:t>
      </w:r>
      <w:r w:rsidRPr="3080DAE6">
        <w:rPr>
          <w:rFonts w:ascii="Times New Roman"/>
        </w:rPr>
        <w:t>'s job assignment; (</w:t>
      </w:r>
      <w:r w:rsidRPr="3080DAE6" w:rsidR="00F62408">
        <w:rPr>
          <w:rFonts w:ascii="Times New Roman"/>
        </w:rPr>
        <w:t>F</w:t>
      </w:r>
      <w:r w:rsidRPr="3080DAE6">
        <w:rPr>
          <w:rFonts w:ascii="Times New Roman"/>
        </w:rPr>
        <w:t>) the contents of any compliance plan in effect; and (</w:t>
      </w:r>
      <w:r w:rsidRPr="3080DAE6" w:rsidR="00F62408">
        <w:rPr>
          <w:rFonts w:ascii="Times New Roman"/>
        </w:rPr>
        <w:t>G</w:t>
      </w:r>
      <w:r w:rsidRPr="3080DAE6">
        <w:rPr>
          <w:rFonts w:ascii="Times New Roman"/>
        </w:rPr>
        <w:t xml:space="preserve">) instructions to </w:t>
      </w:r>
      <w:r w:rsidRPr="3080DAE6" w:rsidR="00F62408">
        <w:rPr>
          <w:rFonts w:ascii="Times New Roman"/>
        </w:rPr>
        <w:t>employees</w:t>
      </w:r>
      <w:r w:rsidRPr="3080DAE6">
        <w:rPr>
          <w:rFonts w:ascii="Times New Roman"/>
        </w:rPr>
        <w:t xml:space="preserve"> that chelating agents should not routinely</w:t>
      </w:r>
      <w:r w:rsidRPr="3080DAE6" w:rsidR="00F62408">
        <w:rPr>
          <w:rFonts w:ascii="Times New Roman"/>
        </w:rPr>
        <w:t xml:space="preserve"> be used</w:t>
      </w:r>
      <w:r w:rsidRPr="3080DAE6">
        <w:rPr>
          <w:rFonts w:ascii="Times New Roman"/>
        </w:rPr>
        <w:t xml:space="preserve"> to remove lead from their bodies and should not be used at all except under the direction of a licensed physician.</w:t>
      </w:r>
    </w:p>
    <w:p w:rsidR="00C92156" w:rsidP="00C83F6C" w14:paraId="3EC1619E"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u w:val="single"/>
        </w:rPr>
      </w:pPr>
    </w:p>
    <w:p w:rsidR="00E012CD" w:rsidRPr="00857660" w:rsidP="00C83F6C" w14:paraId="1BCAC8E3" w14:textId="2E703101">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b/>
          <w:bCs/>
        </w:rPr>
        <w:t>Note</w:t>
      </w:r>
      <w:r w:rsidRPr="56E51CD7">
        <w:rPr>
          <w:rFonts w:ascii="Times New Roman"/>
        </w:rPr>
        <w:t>:</w:t>
      </w:r>
      <w:r w:rsidRPr="56E51CD7" w:rsidR="04920207">
        <w:rPr>
          <w:rFonts w:ascii="Times New Roman"/>
        </w:rPr>
        <w:t xml:space="preserve"> Training </w:t>
      </w:r>
      <w:r w:rsidRPr="56E51CD7" w:rsidR="3EA8A1C8">
        <w:rPr>
          <w:rFonts w:ascii="Times New Roman"/>
        </w:rPr>
        <w:t>is not considered to be</w:t>
      </w:r>
      <w:r w:rsidRPr="56E51CD7" w:rsidR="3D774659">
        <w:rPr>
          <w:rFonts w:ascii="Times New Roman"/>
        </w:rPr>
        <w:t xml:space="preserve"> </w:t>
      </w:r>
      <w:r w:rsidRPr="56E51CD7" w:rsidR="2CB6BB47">
        <w:rPr>
          <w:rFonts w:ascii="Times New Roman"/>
        </w:rPr>
        <w:t>a collection of information.</w:t>
      </w:r>
    </w:p>
    <w:p w:rsidR="56E51CD7" w:rsidP="56E51CD7" w14:paraId="660E60C7" w14:textId="379CCD2F">
      <w:pPr>
        <w:tabs>
          <w:tab w:val="left" w:pos="360"/>
          <w:tab w:val="left" w:pos="960"/>
          <w:tab w:val="left" w:pos="1560"/>
          <w:tab w:val="left" w:pos="2160"/>
          <w:tab w:val="left" w:pos="2760"/>
          <w:tab w:val="left" w:pos="3360"/>
          <w:tab w:val="left" w:pos="4080"/>
          <w:tab w:val="left" w:pos="4680"/>
          <w:tab w:val="left" w:pos="5280"/>
          <w:tab w:val="left" w:pos="5880"/>
        </w:tabs>
      </w:pPr>
    </w:p>
    <w:p w:rsidR="00E012CD" w:rsidP="56E51CD7" w14:paraId="2A7A4EFE" w14:textId="003DA9E1">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Access to Information and Training Materials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Pr>
          <w:rFonts w:ascii="Times New Roman"/>
          <w:i/>
          <w:iCs/>
        </w:rPr>
        <w:t>910.1025(l)(</w:t>
      </w:r>
      <w:r w:rsidRPr="56E51CD7">
        <w:rPr>
          <w:rFonts w:ascii="Times New Roman"/>
          <w:i/>
          <w:iCs/>
        </w:rPr>
        <w:t>2)</w:t>
      </w:r>
      <w:r w:rsidRPr="56E51CD7" w:rsidR="4460A0BC">
        <w:rPr>
          <w:rFonts w:ascii="Times New Roman"/>
          <w:i/>
          <w:iCs/>
        </w:rPr>
        <w:t>(</w:t>
      </w:r>
      <w:r w:rsidRPr="56E51CD7" w:rsidR="4460A0BC">
        <w:rPr>
          <w:rFonts w:ascii="Times New Roman"/>
          <w:i/>
          <w:iCs/>
        </w:rPr>
        <w:t>i</w:t>
      </w:r>
      <w:r w:rsidRPr="56E51CD7" w:rsidR="4460A0BC">
        <w:rPr>
          <w:rFonts w:ascii="Times New Roman"/>
          <w:i/>
          <w:iCs/>
        </w:rPr>
        <w:t>-iii)</w:t>
      </w:r>
      <w:r w:rsidRPr="56E51CD7">
        <w:rPr>
          <w:rFonts w:ascii="Times New Roman"/>
          <w:i/>
          <w:iCs/>
        </w:rPr>
        <w:t>)</w:t>
      </w:r>
    </w:p>
    <w:p w:rsidR="00334121" w:rsidP="00C83F6C" w14:paraId="3D78646E" w14:textId="4EB19BC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p>
    <w:p w:rsidR="00334121" w:rsidRPr="00334121" w:rsidP="00C83F6C" w14:paraId="0EB26755" w14:textId="73EEF844">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 xml:space="preserve">The employer shall make </w:t>
      </w:r>
      <w:r>
        <w:rPr>
          <w:rFonts w:ascii="Times New Roman"/>
        </w:rPr>
        <w:t>readily available</w:t>
      </w:r>
      <w:r>
        <w:rPr>
          <w:rFonts w:ascii="Times New Roman"/>
        </w:rPr>
        <w:t xml:space="preserve"> to all affected employees a copy of this standard and its appendices</w:t>
      </w:r>
      <w:r w:rsidR="00A91D2E">
        <w:rPr>
          <w:rFonts w:ascii="Times New Roman"/>
        </w:rPr>
        <w:t>. The employer shall provide, upon request, all materials relating to the employee information and training program to the Assistant Secretary and the Director. In addition to the information required by paragraph (l)(1)(v), the employer shall include as part of the training pro</w:t>
      </w:r>
      <w:r w:rsidR="007D3E30">
        <w:rPr>
          <w:rFonts w:ascii="Times New Roman"/>
        </w:rPr>
        <w:t xml:space="preserve">gram, and shall distribute to employees, any materials pertaining to the Occupational Safety and Health Act, the regulations issued pursuant to that Act, and this lead standard, which are </w:t>
      </w:r>
      <w:r w:rsidR="007D3E30">
        <w:rPr>
          <w:rFonts w:ascii="Times New Roman"/>
        </w:rPr>
        <w:t>made available to the employer by the Assistant Secretary.</w:t>
      </w:r>
    </w:p>
    <w:p w:rsidR="00E012CD" w:rsidRPr="0052502E" w:rsidP="00C83F6C" w14:paraId="3135255D"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3D161A59" w:rsidP="56E51CD7" w14:paraId="7783D97B" w14:textId="0A2D808E">
      <w:pPr>
        <w:widowControl/>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b/>
          <w:bCs/>
        </w:rPr>
        <w:t>Note</w:t>
      </w:r>
      <w:r w:rsidRPr="56E51CD7">
        <w:rPr>
          <w:rFonts w:ascii="Times New Roman"/>
        </w:rPr>
        <w:t xml:space="preserve">: </w:t>
      </w:r>
      <w:r w:rsidRPr="56E51CD7" w:rsidR="60E5ADB9">
        <w:rPr>
          <w:rFonts w:ascii="Times New Roman"/>
        </w:rPr>
        <w:t>These requirements are not collections of information because they are p</w:t>
      </w:r>
      <w:r w:rsidRPr="56E51CD7" w:rsidR="16D308C9">
        <w:rPr>
          <w:rFonts w:ascii="Times New Roman"/>
        </w:rPr>
        <w:t>ublic disclosures of information originally provided by the Federal government to the recipient for</w:t>
      </w:r>
      <w:r w:rsidRPr="56E51CD7">
        <w:rPr>
          <w:rFonts w:ascii="Times New Roman"/>
        </w:rPr>
        <w:t xml:space="preserve"> </w:t>
      </w:r>
      <w:r w:rsidRPr="56E51CD7" w:rsidR="16D308C9">
        <w:rPr>
          <w:rFonts w:ascii="Times New Roman"/>
        </w:rPr>
        <w:t>disclosure to the public</w:t>
      </w:r>
      <w:r w:rsidRPr="56E51CD7" w:rsidR="60E5ADB9">
        <w:rPr>
          <w:rFonts w:ascii="Times New Roman"/>
        </w:rPr>
        <w:t xml:space="preserve">. </w:t>
      </w:r>
      <w:r w:rsidRPr="56E51CD7" w:rsidR="2F481C27">
        <w:rPr>
          <w:rFonts w:ascii="Times New Roman"/>
        </w:rPr>
        <w:t>Therefore, these requirements do not fall within the definition of a collection</w:t>
      </w:r>
      <w:r w:rsidRPr="56E51CD7" w:rsidR="60E5ADB9">
        <w:rPr>
          <w:rFonts w:ascii="Times New Roman"/>
        </w:rPr>
        <w:t xml:space="preserve"> of information under 5 CFR 1320.3(c)(2).</w:t>
      </w:r>
    </w:p>
    <w:p w:rsidR="56E51CD7" w:rsidP="56E51CD7" w14:paraId="16653476" w14:textId="6B6923E1">
      <w:pPr>
        <w:tabs>
          <w:tab w:val="left" w:pos="360"/>
          <w:tab w:val="left" w:pos="960"/>
          <w:tab w:val="left" w:pos="1560"/>
          <w:tab w:val="left" w:pos="2160"/>
          <w:tab w:val="left" w:pos="2760"/>
          <w:tab w:val="left" w:pos="3360"/>
          <w:tab w:val="left" w:pos="4080"/>
          <w:tab w:val="left" w:pos="4680"/>
          <w:tab w:val="left" w:pos="5280"/>
          <w:tab w:val="left" w:pos="5880"/>
        </w:tabs>
      </w:pPr>
    </w:p>
    <w:p w:rsidR="00FA3C00" w:rsidRPr="009A4247" w:rsidP="3D161A59" w14:paraId="6A97B7F4" w14:textId="54C91B00">
      <w:pPr>
        <w:widowControl/>
        <w:autoSpaceDE/>
        <w:autoSpaceDN/>
        <w:adjustRightInd/>
        <w:rPr>
          <w:rFonts w:ascii="Times New Roman" w:eastAsia="Times New Roman"/>
          <w:color w:val="000000"/>
        </w:rPr>
      </w:pPr>
      <w:r w:rsidRPr="56E51CD7">
        <w:rPr>
          <w:rFonts w:ascii="Times New Roman"/>
        </w:rPr>
        <w:t>As directed by the standard</w:t>
      </w:r>
      <w:r w:rsidRPr="56E51CD7" w:rsidR="16D308C9">
        <w:rPr>
          <w:rFonts w:ascii="Times New Roman"/>
        </w:rPr>
        <w:t xml:space="preserve"> under (l)(2)(ii)</w:t>
      </w:r>
      <w:r w:rsidRPr="56E51CD7">
        <w:rPr>
          <w:rFonts w:ascii="Times New Roman"/>
        </w:rPr>
        <w:t xml:space="preserve">, the employer must </w:t>
      </w:r>
      <w:r w:rsidRPr="56E51CD7">
        <w:rPr>
          <w:rFonts w:ascii="Times New Roman"/>
        </w:rPr>
        <w:t>provide to</w:t>
      </w:r>
      <w:r w:rsidRPr="56E51CD7">
        <w:rPr>
          <w:rFonts w:ascii="Times New Roman"/>
        </w:rPr>
        <w:t xml:space="preserve"> OSHA and NIOSH, upon request, </w:t>
      </w:r>
      <w:r w:rsidRPr="56E51CD7">
        <w:rPr>
          <w:rFonts w:ascii="Times New Roman"/>
        </w:rPr>
        <w:t>all</w:t>
      </w:r>
      <w:r w:rsidRPr="56E51CD7">
        <w:rPr>
          <w:rFonts w:ascii="Times New Roman"/>
        </w:rPr>
        <w:t xml:space="preserve"> materials relating to the </w:t>
      </w:r>
      <w:r w:rsidRPr="56E51CD7" w:rsidR="0FC13A8A">
        <w:rPr>
          <w:rFonts w:ascii="Times New Roman"/>
        </w:rPr>
        <w:t>worker</w:t>
      </w:r>
      <w:r w:rsidRPr="56E51CD7">
        <w:rPr>
          <w:rFonts w:ascii="Times New Roman"/>
        </w:rPr>
        <w:t xml:space="preserve"> information and training program</w:t>
      </w:r>
      <w:r w:rsidRPr="56E51CD7" w:rsidR="78282BF9">
        <w:rPr>
          <w:rFonts w:ascii="Times New Roman"/>
        </w:rPr>
        <w:t>.</w:t>
      </w:r>
      <w:r w:rsidRPr="56E51CD7" w:rsidR="4BBBE2A7">
        <w:rPr>
          <w:rFonts w:ascii="Times New Roman"/>
        </w:rPr>
        <w:t xml:space="preserve"> </w:t>
      </w:r>
      <w:r w:rsidRPr="56E51CD7" w:rsidR="6B0613AC">
        <w:rPr>
          <w:rFonts w:ascii="Times New Roman" w:eastAsia="Times New Roman"/>
        </w:rPr>
        <w:t>OSHA would only review these records in the context of an investigation of a particular employer to determine compliance with the Standard. These activities are outside the scope of the PRA. See 5 CFR 1320.4(a)(2).</w:t>
      </w:r>
    </w:p>
    <w:p w:rsidR="007A484E" w:rsidP="00C83F6C" w14:paraId="7A0396D6"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E012CD" w:rsidRPr="0052502E" w:rsidP="00C83F6C" w14:paraId="00D84E42" w14:textId="49861CC9">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Communication of Hazards</w:t>
      </w:r>
      <w:r w:rsidRPr="56E51CD7" w:rsidR="655C5000">
        <w:rPr>
          <w:rFonts w:ascii="Times New Roman"/>
          <w:b/>
          <w:bCs/>
        </w:rPr>
        <w:t>, General</w:t>
      </w:r>
      <w:r w:rsidRPr="56E51CD7">
        <w:rPr>
          <w:rFonts w:ascii="Times New Roman"/>
          <w:b/>
          <w:bCs/>
        </w:rPr>
        <w:t xml:space="preserve"> </w:t>
      </w:r>
      <w:r w:rsidRPr="56E51CD7" w:rsidR="70322B03">
        <w:rPr>
          <w:rFonts w:ascii="Times New Roman"/>
          <w:b/>
          <w:bCs/>
        </w:rPr>
        <w:t>(</w:t>
      </w:r>
      <w:r w:rsidRPr="56E51CD7" w:rsidR="0AFFCAB6">
        <w:rPr>
          <w:rFonts w:ascii="Times New Roman"/>
          <w:b/>
          <w:bCs/>
        </w:rPr>
        <w:t>§</w:t>
      </w:r>
      <w:r w:rsidRPr="56E51CD7">
        <w:rPr>
          <w:rFonts w:ascii="Times New Roman"/>
          <w:b/>
          <w:bCs/>
        </w:rPr>
        <w:t xml:space="preserve"> </w:t>
      </w:r>
      <w:r w:rsidRPr="56E51CD7" w:rsidR="0AFFCAB6">
        <w:rPr>
          <w:rFonts w:ascii="Times New Roman"/>
          <w:b/>
          <w:bCs/>
        </w:rPr>
        <w:t>1</w:t>
      </w:r>
      <w:r w:rsidRPr="56E51CD7" w:rsidR="70322B03">
        <w:rPr>
          <w:rFonts w:ascii="Times New Roman"/>
          <w:b/>
          <w:bCs/>
        </w:rPr>
        <w:t>910.1025(m)</w:t>
      </w:r>
      <w:r w:rsidRPr="56E51CD7" w:rsidR="6F68A9A0">
        <w:rPr>
          <w:rFonts w:ascii="Times New Roman"/>
          <w:b/>
          <w:bCs/>
        </w:rPr>
        <w:t>(1)</w:t>
      </w:r>
      <w:r w:rsidRPr="56E51CD7" w:rsidR="70322B03">
        <w:rPr>
          <w:rFonts w:ascii="Times New Roman"/>
          <w:b/>
          <w:bCs/>
        </w:rPr>
        <w:t>)</w:t>
      </w:r>
    </w:p>
    <w:p w:rsidR="00113EDF" w:rsidP="00C83F6C" w14:paraId="185EE42C" w14:textId="77777777">
      <w:pPr>
        <w:pStyle w:val="FootnoteText"/>
        <w:rPr>
          <w:sz w:val="24"/>
          <w:szCs w:val="24"/>
        </w:rPr>
      </w:pPr>
    </w:p>
    <w:p w:rsidR="2C78C752" w:rsidP="3080DAE6" w14:paraId="19CF74AC" w14:textId="66F9D408">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3080DAE6">
        <w:rPr>
          <w:rFonts w:ascii="Times New Roman"/>
          <w:i/>
          <w:iCs/>
        </w:rPr>
        <w:t>§ 1910.1025(m)(</w:t>
      </w:r>
      <w:r w:rsidRPr="3080DAE6">
        <w:rPr>
          <w:rFonts w:ascii="Times New Roman"/>
          <w:i/>
          <w:iCs/>
        </w:rPr>
        <w:t>1)(</w:t>
      </w:r>
      <w:r w:rsidRPr="3080DAE6">
        <w:rPr>
          <w:rFonts w:ascii="Times New Roman"/>
          <w:i/>
          <w:iCs/>
        </w:rPr>
        <w:t>i</w:t>
      </w:r>
      <w:r w:rsidRPr="3080DAE6">
        <w:rPr>
          <w:rFonts w:ascii="Times New Roman"/>
          <w:i/>
          <w:iCs/>
        </w:rPr>
        <w:t>-iii)</w:t>
      </w:r>
      <w:r w:rsidRPr="3080DAE6">
        <w:rPr>
          <w:rFonts w:ascii="Times New Roman" w:eastAsia="Times New Roman"/>
          <w:i/>
          <w:iCs/>
          <w:color w:val="000000" w:themeColor="text1"/>
        </w:rPr>
        <w:t xml:space="preserve"> </w:t>
      </w:r>
    </w:p>
    <w:p w:rsidR="00863F70" w:rsidP="00C83F6C" w14:paraId="1448C285" w14:textId="77777777">
      <w:pPr>
        <w:pStyle w:val="FootnoteText"/>
        <w:rPr>
          <w:sz w:val="24"/>
          <w:szCs w:val="24"/>
        </w:rPr>
      </w:pPr>
    </w:p>
    <w:p w:rsidR="002259AB" w:rsidRPr="00D55B47" w:rsidP="00C83F6C" w14:paraId="69DC203A" w14:textId="533E7A92">
      <w:pPr>
        <w:pStyle w:val="FootnoteText"/>
        <w:rPr>
          <w:rFonts w:eastAsia="@MS Mincho"/>
          <w:sz w:val="24"/>
          <w:szCs w:val="24"/>
        </w:rPr>
      </w:pPr>
      <w:r w:rsidRPr="00D55B47">
        <w:rPr>
          <w:rFonts w:eastAsia="@MS Mincho"/>
          <w:sz w:val="24"/>
          <w:szCs w:val="24"/>
        </w:rPr>
        <w:t xml:space="preserve">Chemical manufacturers, importers, </w:t>
      </w:r>
      <w:r w:rsidRPr="00D55B47" w:rsidR="00044E79">
        <w:rPr>
          <w:rFonts w:eastAsia="@MS Mincho"/>
          <w:sz w:val="24"/>
          <w:szCs w:val="24"/>
        </w:rPr>
        <w:t>distributors,</w:t>
      </w:r>
      <w:r w:rsidRPr="00D55B47">
        <w:rPr>
          <w:rFonts w:eastAsia="@MS Mincho"/>
          <w:sz w:val="24"/>
          <w:szCs w:val="24"/>
        </w:rPr>
        <w:t xml:space="preserve"> and employers shall comply with all requirements of the Hazard Communication Standard (HCS) (</w:t>
      </w:r>
      <w:r w:rsidRPr="3080DAE6" w:rsidR="10ED7662">
        <w:rPr>
          <w:sz w:val="24"/>
          <w:szCs w:val="24"/>
        </w:rPr>
        <w:t>§ 1910.1200</w:t>
      </w:r>
      <w:r w:rsidRPr="00D55B47">
        <w:rPr>
          <w:rFonts w:eastAsia="@MS Mincho"/>
          <w:sz w:val="24"/>
          <w:szCs w:val="24"/>
        </w:rPr>
        <w:t>) for lead. In classifying the hazards of lead at least the following hazards are to be addressed: Reproductive/developmental toxicity; central nervous system effects; kidney effects; blood effects; and acute toxicity effects.</w:t>
      </w:r>
      <w:r w:rsidRPr="00D55B47" w:rsidR="6F68A9A0">
        <w:rPr>
          <w:rFonts w:eastAsia="@MS Mincho"/>
          <w:sz w:val="24"/>
          <w:szCs w:val="24"/>
        </w:rPr>
        <w:t xml:space="preserve"> </w:t>
      </w:r>
      <w:r w:rsidRPr="00D55B47">
        <w:rPr>
          <w:rFonts w:eastAsia="@MS Mincho"/>
          <w:sz w:val="24"/>
          <w:szCs w:val="24"/>
        </w:rPr>
        <w:t>Employers shall include lead in the hazard communication program established to comply with the HCS</w:t>
      </w:r>
      <w:r w:rsidRPr="00D55B47" w:rsidR="1E8CB662">
        <w:rPr>
          <w:rFonts w:eastAsia="@MS Mincho"/>
          <w:sz w:val="24"/>
          <w:szCs w:val="24"/>
        </w:rPr>
        <w:t xml:space="preserve"> </w:t>
      </w:r>
      <w:r w:rsidRPr="3080DAE6" w:rsidR="1E8CB662">
        <w:rPr>
          <w:sz w:val="24"/>
          <w:szCs w:val="24"/>
        </w:rPr>
        <w:t>(§ 1910.1200</w:t>
      </w:r>
      <w:r w:rsidRPr="00D55B47">
        <w:rPr>
          <w:rFonts w:eastAsia="@MS Mincho"/>
          <w:sz w:val="24"/>
          <w:szCs w:val="24"/>
        </w:rPr>
        <w:t xml:space="preserve">). Employers </w:t>
      </w:r>
      <w:r w:rsidRPr="00D55B47">
        <w:rPr>
          <w:rFonts w:eastAsia="@MS Mincho"/>
          <w:sz w:val="24"/>
          <w:szCs w:val="24"/>
        </w:rPr>
        <w:t>shall</w:t>
      </w:r>
      <w:r w:rsidRPr="00D55B47">
        <w:rPr>
          <w:rFonts w:eastAsia="@MS Mincho"/>
          <w:sz w:val="24"/>
          <w:szCs w:val="24"/>
        </w:rPr>
        <w:t xml:space="preserve"> ensure that each employee has access to labels on containers of lead and to safety data </w:t>
      </w:r>
      <w:r w:rsidRPr="3080DAE6" w:rsidR="22309C81">
        <w:rPr>
          <w:rFonts w:eastAsia="@MS Mincho"/>
          <w:sz w:val="24"/>
          <w:szCs w:val="24"/>
        </w:rPr>
        <w:t>sheets and</w:t>
      </w:r>
      <w:r w:rsidRPr="00D55B47">
        <w:rPr>
          <w:rFonts w:eastAsia="@MS Mincho"/>
          <w:sz w:val="24"/>
          <w:szCs w:val="24"/>
        </w:rPr>
        <w:t xml:space="preserve"> is trained in accordance with the requirements of HCS and paragraph (l</w:t>
      </w:r>
      <w:r w:rsidRPr="00D55B47" w:rsidR="79DF52C2">
        <w:rPr>
          <w:rFonts w:eastAsia="@MS Mincho"/>
          <w:sz w:val="24"/>
          <w:szCs w:val="24"/>
        </w:rPr>
        <w:t>)</w:t>
      </w:r>
      <w:r w:rsidR="0B388EBE">
        <w:rPr>
          <w:rFonts w:eastAsia="@MS Mincho"/>
          <w:sz w:val="24"/>
          <w:szCs w:val="24"/>
        </w:rPr>
        <w:t xml:space="preserve"> of this s</w:t>
      </w:r>
      <w:r w:rsidR="400A87AC">
        <w:rPr>
          <w:rFonts w:eastAsia="@MS Mincho"/>
          <w:sz w:val="24"/>
          <w:szCs w:val="24"/>
        </w:rPr>
        <w:t>ection</w:t>
      </w:r>
      <w:r w:rsidRPr="00D55B47" w:rsidR="79DF52C2">
        <w:rPr>
          <w:rFonts w:eastAsia="@MS Mincho"/>
          <w:sz w:val="24"/>
          <w:szCs w:val="24"/>
        </w:rPr>
        <w:t>.</w:t>
      </w:r>
      <w:r>
        <w:rPr>
          <w:rStyle w:val="FootnoteReference"/>
          <w:rFonts w:eastAsia="@MS Mincho"/>
          <w:sz w:val="24"/>
          <w:szCs w:val="24"/>
          <w:vertAlign w:val="superscript"/>
        </w:rPr>
        <w:footnoteReference w:id="4"/>
      </w:r>
      <w:r w:rsidRPr="0092202B" w:rsidR="2CD7BE93">
        <w:rPr>
          <w:rFonts w:eastAsia="@MS Mincho"/>
          <w:sz w:val="24"/>
          <w:szCs w:val="24"/>
          <w:vertAlign w:val="superscript"/>
        </w:rPr>
        <w:t xml:space="preserve"> </w:t>
      </w:r>
    </w:p>
    <w:p w:rsidR="002259AB" w:rsidP="00C83F6C" w14:paraId="6491AADE" w14:textId="7CDA720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CA66DB" w:rsidRPr="001438C5" w:rsidP="00C83F6C" w14:paraId="6354C52A" w14:textId="775B162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 xml:space="preserve">Burden hours and costs for employers to comply with HCS information collection requirements are included in the </w:t>
      </w:r>
      <w:r w:rsidRPr="56E51CD7" w:rsidR="39D95B30">
        <w:rPr>
          <w:rFonts w:ascii="Times New Roman"/>
        </w:rPr>
        <w:t xml:space="preserve">paperwork package for </w:t>
      </w:r>
      <w:r w:rsidRPr="56E51CD7">
        <w:rPr>
          <w:rFonts w:ascii="Times New Roman"/>
        </w:rPr>
        <w:t>Hazard Communication,</w:t>
      </w:r>
      <w:r w:rsidRPr="56E51CD7" w:rsidR="39D95B30">
        <w:rPr>
          <w:rFonts w:ascii="Times New Roman"/>
        </w:rPr>
        <w:t xml:space="preserve"> OMB Control Number</w:t>
      </w:r>
      <w:r w:rsidRPr="56E51CD7">
        <w:rPr>
          <w:rFonts w:ascii="Times New Roman"/>
        </w:rPr>
        <w:t xml:space="preserve"> 1218-0072</w:t>
      </w:r>
      <w:r w:rsidRPr="009201ED" w:rsidR="000B70AD">
        <w:rPr>
          <w:rFonts w:ascii="Times New Roman"/>
        </w:rPr>
        <w:t>.</w:t>
      </w:r>
    </w:p>
    <w:p w:rsidR="00CA66DB" w:rsidP="00C83F6C" w14:paraId="147215B0"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703CE5" w:rsidP="00C83F6C" w14:paraId="5252FD52" w14:textId="39F4F69C">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H</w:t>
      </w:r>
      <w:r w:rsidRPr="56E51CD7" w:rsidR="582E30B7">
        <w:rPr>
          <w:rFonts w:ascii="Times New Roman"/>
          <w:b/>
          <w:bCs/>
        </w:rPr>
        <w:t xml:space="preserve">. </w:t>
      </w:r>
      <w:r w:rsidRPr="56E51CD7" w:rsidR="6F68A9A0">
        <w:rPr>
          <w:rFonts w:ascii="Times New Roman"/>
          <w:b/>
          <w:bCs/>
        </w:rPr>
        <w:t>Signs (</w:t>
      </w:r>
      <w:r w:rsidRPr="56E51CD7" w:rsidR="0AFFCAB6">
        <w:rPr>
          <w:rFonts w:ascii="Times New Roman"/>
          <w:b/>
          <w:bCs/>
        </w:rPr>
        <w:t>§</w:t>
      </w:r>
      <w:r w:rsidRPr="56E51CD7">
        <w:rPr>
          <w:rFonts w:ascii="Times New Roman"/>
          <w:b/>
          <w:bCs/>
        </w:rPr>
        <w:t xml:space="preserve"> </w:t>
      </w:r>
      <w:r w:rsidRPr="56E51CD7" w:rsidR="0AFFCAB6">
        <w:rPr>
          <w:rFonts w:ascii="Times New Roman"/>
          <w:b/>
          <w:bCs/>
        </w:rPr>
        <w:t>1</w:t>
      </w:r>
      <w:r w:rsidRPr="56E51CD7" w:rsidR="6F68A9A0">
        <w:rPr>
          <w:rFonts w:ascii="Times New Roman"/>
          <w:b/>
          <w:bCs/>
        </w:rPr>
        <w:t>910.1025(m)(2))</w:t>
      </w:r>
    </w:p>
    <w:p w:rsidR="00780B6F" w:rsidRPr="0052502E" w:rsidP="00C83F6C" w14:paraId="3581D7ED"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6136E9" w:rsidP="56E51CD7" w14:paraId="6AF7E1DC" w14:textId="3572FB50">
      <w:pPr>
        <w:pStyle w:val="NormalWeb"/>
        <w:spacing w:before="0" w:beforeAutospacing="0" w:after="0" w:afterAutospacing="0"/>
      </w:pPr>
      <w:r w:rsidRPr="56E51CD7">
        <w:rPr>
          <w:i/>
          <w:iCs/>
        </w:rPr>
        <w:t>§ 1910.1025(m)(2)(</w:t>
      </w:r>
      <w:r w:rsidRPr="56E51CD7">
        <w:rPr>
          <w:i/>
          <w:iCs/>
        </w:rPr>
        <w:t>i</w:t>
      </w:r>
      <w:r w:rsidRPr="56E51CD7">
        <w:rPr>
          <w:i/>
          <w:iCs/>
        </w:rPr>
        <w:t>)</w:t>
      </w:r>
      <w:r w:rsidR="37CE9EC6">
        <w:t xml:space="preserve"> </w:t>
      </w:r>
    </w:p>
    <w:p w:rsidR="006136E9" w:rsidP="00C83F6C" w14:paraId="26CAC6FB" w14:textId="77777777">
      <w:pPr>
        <w:pStyle w:val="NormalWeb"/>
        <w:spacing w:before="0" w:beforeAutospacing="0" w:after="0" w:afterAutospacing="0"/>
      </w:pPr>
    </w:p>
    <w:p w:rsidR="009D53BB" w:rsidP="00C83F6C" w14:paraId="7C9EFCAE" w14:textId="4C406133">
      <w:pPr>
        <w:pStyle w:val="NormalWeb"/>
        <w:spacing w:before="0" w:beforeAutospacing="0" w:after="0" w:afterAutospacing="0"/>
      </w:pPr>
      <w:r w:rsidRPr="009D53BB">
        <w:t>The employer shall post the following warning signs in each work area where the PEL is exceeded:</w:t>
      </w:r>
      <w:r>
        <w:t xml:space="preserve"> </w:t>
      </w:r>
    </w:p>
    <w:p w:rsidR="006136E9" w:rsidP="001438C5" w14:paraId="5CDDCF72" w14:textId="77777777">
      <w:pPr>
        <w:pStyle w:val="NormalWeb"/>
        <w:spacing w:before="0" w:beforeAutospacing="0" w:after="0" w:afterAutospacing="0"/>
      </w:pPr>
    </w:p>
    <w:p w:rsidR="009D53BB" w:rsidP="00C83F6C" w14:paraId="5C296074" w14:textId="77777777">
      <w:pPr>
        <w:pStyle w:val="NormalWeb"/>
        <w:spacing w:before="0" w:beforeAutospacing="0" w:after="0" w:afterAutospacing="0"/>
        <w:jc w:val="center"/>
      </w:pPr>
      <w:r w:rsidRPr="009D53BB">
        <w:t>DANGER</w:t>
      </w:r>
    </w:p>
    <w:p w:rsidR="009D53BB" w:rsidRPr="009D53BB" w:rsidP="00C83F6C" w14:paraId="43F1AAF7" w14:textId="3A662067">
      <w:pPr>
        <w:pStyle w:val="NormalWeb"/>
        <w:spacing w:before="0" w:beforeAutospacing="0" w:after="0" w:afterAutospacing="0"/>
        <w:jc w:val="center"/>
      </w:pPr>
      <w:r w:rsidRPr="009D53BB">
        <w:t>LEAD</w:t>
      </w:r>
    </w:p>
    <w:p w:rsidR="009D53BB" w:rsidRPr="009D53BB" w:rsidP="00C83F6C" w14:paraId="29388FE9" w14:textId="77777777">
      <w:pPr>
        <w:pStyle w:val="NormalWeb"/>
        <w:spacing w:before="0" w:beforeAutospacing="0" w:after="0" w:afterAutospacing="0"/>
        <w:jc w:val="center"/>
      </w:pPr>
      <w:r w:rsidRPr="009D53BB">
        <w:t>MAY DAMAGE FERTILITY OR THE UNBORN CHILD</w:t>
      </w:r>
    </w:p>
    <w:p w:rsidR="009D53BB" w:rsidRPr="009D53BB" w:rsidP="00C83F6C" w14:paraId="79F5B0BD" w14:textId="77777777">
      <w:pPr>
        <w:pStyle w:val="NormalWeb"/>
        <w:spacing w:before="0" w:beforeAutospacing="0" w:after="0" w:afterAutospacing="0"/>
        <w:jc w:val="center"/>
      </w:pPr>
      <w:r w:rsidRPr="009D53BB">
        <w:t>CAUSES DAMAGE TO THE CENTRAL NERVOUS SYSTEM</w:t>
      </w:r>
    </w:p>
    <w:p w:rsidR="009D53BB" w:rsidP="00C83F6C" w14:paraId="07B647BA" w14:textId="44CA3CC1">
      <w:pPr>
        <w:pStyle w:val="NormalWeb"/>
        <w:spacing w:before="0" w:beforeAutospacing="0" w:after="0" w:afterAutospacing="0"/>
        <w:jc w:val="center"/>
      </w:pPr>
      <w:r>
        <w:t>DO NOT EAT, DRINK OR SMOKE IN THIS AREA</w:t>
      </w:r>
    </w:p>
    <w:p w:rsidR="00A70697" w:rsidRPr="009D53BB" w:rsidP="00C83F6C" w14:paraId="3D0B6C99" w14:textId="77777777">
      <w:pPr>
        <w:pStyle w:val="NormalWeb"/>
        <w:spacing w:before="0" w:beforeAutospacing="0" w:after="0" w:afterAutospacing="0"/>
        <w:jc w:val="center"/>
      </w:pPr>
    </w:p>
    <w:p w:rsidR="00A70697" w:rsidP="3080DAE6" w14:paraId="79CB3995" w14:textId="2D55F7A0">
      <w:pPr>
        <w:spacing w:line="257" w:lineRule="auto"/>
        <w:rPr>
          <w:rFonts w:ascii="Times New Roman" w:eastAsia="Times New Roman"/>
          <w:i/>
          <w:iCs/>
          <w:color w:val="000000" w:themeColor="text1"/>
        </w:rPr>
      </w:pPr>
      <w:r w:rsidRPr="3080DAE6">
        <w:rPr>
          <w:rFonts w:ascii="Times New Roman"/>
        </w:rPr>
        <w:t>§ 1910.1025(m)(2)(v)</w:t>
      </w:r>
      <w:r w:rsidRPr="3080DAE6">
        <w:rPr>
          <w:rFonts w:ascii="Times New Roman" w:eastAsia="Times New Roman"/>
          <w:i/>
          <w:iCs/>
          <w:color w:val="000000" w:themeColor="text1"/>
        </w:rPr>
        <w:t xml:space="preserve"> </w:t>
      </w:r>
    </w:p>
    <w:p w:rsidR="3080DAE6" w:rsidP="3080DAE6" w14:paraId="2E1C97AB" w14:textId="512EDB4D">
      <w:pPr>
        <w:spacing w:line="257" w:lineRule="auto"/>
        <w:rPr>
          <w:i/>
          <w:iCs/>
          <w:color w:val="000000" w:themeColor="text1"/>
        </w:rPr>
      </w:pPr>
    </w:p>
    <w:p w:rsidR="009D53BB" w:rsidP="00C83F6C" w14:paraId="76EA5D38" w14:textId="4A47B0C4">
      <w:pPr>
        <w:pStyle w:val="NormalWeb"/>
        <w:spacing w:before="0" w:beforeAutospacing="0" w:after="0" w:afterAutospacing="0"/>
      </w:pPr>
      <w:r w:rsidRPr="009D53BB">
        <w:t>Prior to June 1, 2016, employers may use the following legend in lieu of that specified in paragraph (m)(2)(ii)</w:t>
      </w:r>
      <w:r w:rsidR="006C629D">
        <w:t xml:space="preserve"> of this section</w:t>
      </w:r>
      <w:r w:rsidRPr="009D53BB">
        <w:t>:</w:t>
      </w:r>
    </w:p>
    <w:p w:rsidR="006C629D" w:rsidRPr="009D53BB" w:rsidP="00C83F6C" w14:paraId="062E5420" w14:textId="77777777">
      <w:pPr>
        <w:pStyle w:val="NormalWeb"/>
        <w:spacing w:before="0" w:beforeAutospacing="0" w:after="0" w:afterAutospacing="0"/>
      </w:pPr>
    </w:p>
    <w:p w:rsidR="009D53BB" w:rsidRPr="009D53BB" w:rsidP="00C83F6C" w14:paraId="18072575" w14:textId="6CE34631">
      <w:pPr>
        <w:pStyle w:val="NormalWeb"/>
        <w:spacing w:before="0" w:beforeAutospacing="0" w:after="0" w:afterAutospacing="0"/>
        <w:jc w:val="center"/>
      </w:pPr>
      <w:r w:rsidRPr="009D53BB">
        <w:t>WARNING</w:t>
      </w:r>
    </w:p>
    <w:p w:rsidR="009D53BB" w:rsidRPr="009D53BB" w:rsidP="00C83F6C" w14:paraId="6534B392" w14:textId="41B6FCF2">
      <w:pPr>
        <w:pStyle w:val="NormalWeb"/>
        <w:spacing w:before="0" w:beforeAutospacing="0" w:after="0" w:afterAutospacing="0"/>
        <w:jc w:val="center"/>
      </w:pPr>
      <w:r w:rsidRPr="009D53BB">
        <w:t>LEAD WORK AREA</w:t>
      </w:r>
    </w:p>
    <w:p w:rsidR="009D53BB" w:rsidRPr="009D53BB" w:rsidP="00C83F6C" w14:paraId="31D9DF7A" w14:textId="2412A855">
      <w:pPr>
        <w:pStyle w:val="NormalWeb"/>
        <w:spacing w:before="0" w:beforeAutospacing="0" w:after="0" w:afterAutospacing="0"/>
        <w:jc w:val="center"/>
      </w:pPr>
      <w:r w:rsidRPr="009D53BB">
        <w:t>POISON</w:t>
      </w:r>
    </w:p>
    <w:p w:rsidR="009D53BB" w:rsidP="00C83F6C" w14:paraId="0E5F1354" w14:textId="77777777">
      <w:pPr>
        <w:pStyle w:val="NormalWeb"/>
        <w:spacing w:before="0" w:beforeAutospacing="0" w:after="0" w:afterAutospacing="0"/>
        <w:jc w:val="center"/>
      </w:pPr>
      <w:r w:rsidRPr="009D53BB">
        <w:t>NO SMOKING OR EATING</w:t>
      </w:r>
    </w:p>
    <w:p w:rsidR="00BA3D4E" w:rsidRPr="009D53BB" w:rsidP="00C83F6C" w14:paraId="3318F6C6" w14:textId="77777777">
      <w:pPr>
        <w:pStyle w:val="NormalWeb"/>
        <w:spacing w:before="0" w:beforeAutospacing="0" w:after="0" w:afterAutospacing="0"/>
        <w:jc w:val="center"/>
      </w:pPr>
    </w:p>
    <w:p w:rsidR="000E203D" w:rsidRPr="0052502E" w:rsidP="000E203D" w14:paraId="75F6D247" w14:textId="31F2ABE1">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1438C5">
        <w:rPr>
          <w:rFonts w:ascii="Times New Roman"/>
          <w:b/>
          <w:bCs/>
        </w:rPr>
        <w:t>Purpose</w:t>
      </w:r>
      <w:r>
        <w:rPr>
          <w:rFonts w:ascii="Times New Roman"/>
        </w:rPr>
        <w:t xml:space="preserve">: </w:t>
      </w:r>
      <w:r w:rsidRPr="0052502E" w:rsidR="00E012CD">
        <w:rPr>
          <w:rFonts w:ascii="Times New Roman"/>
        </w:rPr>
        <w:t xml:space="preserve">Posting warning signs serve to warn </w:t>
      </w:r>
      <w:r w:rsidR="00CD4427">
        <w:rPr>
          <w:rFonts w:ascii="Times New Roman"/>
        </w:rPr>
        <w:t>worker</w:t>
      </w:r>
      <w:r w:rsidRPr="0052502E" w:rsidR="00E012CD">
        <w:rPr>
          <w:rFonts w:ascii="Times New Roman"/>
        </w:rPr>
        <w:t xml:space="preserve">s, who may otherwise not </w:t>
      </w:r>
      <w:r w:rsidRPr="0052502E" w:rsidR="00E012CD">
        <w:rPr>
          <w:rFonts w:ascii="Times New Roman"/>
        </w:rPr>
        <w:t>know,</w:t>
      </w:r>
      <w:r w:rsidRPr="0052502E" w:rsidR="00E012CD">
        <w:rPr>
          <w:rFonts w:ascii="Times New Roman"/>
        </w:rPr>
        <w:t xml:space="preserve"> that they</w:t>
      </w:r>
      <w:r w:rsidR="00E012CD">
        <w:rPr>
          <w:rFonts w:ascii="Times New Roman"/>
        </w:rPr>
        <w:t xml:space="preserve"> </w:t>
      </w:r>
      <w:r w:rsidRPr="0052502E" w:rsidR="00E012CD">
        <w:rPr>
          <w:rFonts w:ascii="Times New Roman"/>
        </w:rPr>
        <w:t xml:space="preserve">are entering a hazardous area. Warning signs also supplement the training </w:t>
      </w:r>
      <w:r w:rsidR="007346E0">
        <w:rPr>
          <w:rFonts w:ascii="Times New Roman"/>
        </w:rPr>
        <w:t>that</w:t>
      </w:r>
      <w:r w:rsidRPr="0052502E" w:rsidR="00E012CD">
        <w:rPr>
          <w:rFonts w:ascii="Times New Roman"/>
        </w:rPr>
        <w:t xml:space="preserve"> </w:t>
      </w:r>
      <w:r w:rsidR="00CD4427">
        <w:rPr>
          <w:rFonts w:ascii="Times New Roman"/>
        </w:rPr>
        <w:t>worker</w:t>
      </w:r>
      <w:r w:rsidR="00BA3D4E">
        <w:rPr>
          <w:rFonts w:ascii="Times New Roman"/>
        </w:rPr>
        <w:t>s receive under this standard.</w:t>
      </w:r>
    </w:p>
    <w:p w:rsidR="00E012CD" w:rsidRPr="0052502E" w:rsidP="00C83F6C" w14:paraId="17FFB252"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p>
    <w:p w:rsidR="00E012CD" w:rsidRPr="00BA3D4E" w:rsidP="00C83F6C" w14:paraId="4768B38E" w14:textId="3F44FDC3">
      <w:pPr>
        <w:widowControl/>
        <w:autoSpaceDE/>
        <w:autoSpaceDN/>
        <w:adjustRightInd/>
        <w:rPr>
          <w:rFonts w:ascii="Times New Roman"/>
          <w:b/>
          <w:bCs/>
        </w:rPr>
      </w:pPr>
      <w:r w:rsidRPr="56E51CD7">
        <w:rPr>
          <w:rFonts w:ascii="Times New Roman"/>
          <w:b/>
          <w:bCs/>
        </w:rPr>
        <w:t xml:space="preserve">I. </w:t>
      </w:r>
      <w:r w:rsidRPr="56E51CD7" w:rsidR="70322B03">
        <w:rPr>
          <w:rFonts w:ascii="Times New Roman"/>
          <w:b/>
          <w:bCs/>
        </w:rPr>
        <w:t>Recordkeeping (</w:t>
      </w:r>
      <w:r w:rsidRPr="56E51CD7" w:rsidR="0AFFCAB6">
        <w:rPr>
          <w:rFonts w:ascii="Times New Roman"/>
          <w:b/>
          <w:bCs/>
        </w:rPr>
        <w:t>§</w:t>
      </w:r>
      <w:r w:rsidRPr="56E51CD7">
        <w:rPr>
          <w:rFonts w:ascii="Times New Roman"/>
          <w:b/>
          <w:bCs/>
        </w:rPr>
        <w:t xml:space="preserve"> </w:t>
      </w:r>
      <w:r w:rsidRPr="56E51CD7" w:rsidR="0AFFCAB6">
        <w:rPr>
          <w:rFonts w:ascii="Times New Roman"/>
          <w:b/>
          <w:bCs/>
        </w:rPr>
        <w:t>1</w:t>
      </w:r>
      <w:r w:rsidRPr="56E51CD7" w:rsidR="70322B03">
        <w:rPr>
          <w:rFonts w:ascii="Times New Roman"/>
          <w:b/>
          <w:bCs/>
        </w:rPr>
        <w:t>910.1025(n))</w:t>
      </w:r>
    </w:p>
    <w:p w:rsidR="00E012CD" w:rsidRPr="0052502E" w:rsidP="00C83F6C" w14:paraId="16BD182B"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P="56E51CD7" w14:paraId="6F54EB55" w14:textId="1074562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Exposure Monitoring Records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Pr>
          <w:rFonts w:ascii="Times New Roman"/>
          <w:i/>
          <w:iCs/>
        </w:rPr>
        <w:t>910.1025(n)(</w:t>
      </w:r>
      <w:r w:rsidRPr="56E51CD7">
        <w:rPr>
          <w:rFonts w:ascii="Times New Roman"/>
          <w:i/>
          <w:iCs/>
        </w:rPr>
        <w:t>1)</w:t>
      </w:r>
      <w:r w:rsidRPr="56E51CD7" w:rsidR="518FE95B">
        <w:rPr>
          <w:rFonts w:ascii="Times New Roman"/>
          <w:i/>
          <w:iCs/>
        </w:rPr>
        <w:t>(</w:t>
      </w:r>
      <w:r w:rsidRPr="56E51CD7" w:rsidR="518FE95B">
        <w:rPr>
          <w:rFonts w:ascii="Times New Roman"/>
          <w:i/>
          <w:iCs/>
        </w:rPr>
        <w:t>i</w:t>
      </w:r>
      <w:r w:rsidRPr="56E51CD7" w:rsidR="518FE95B">
        <w:rPr>
          <w:rFonts w:ascii="Times New Roman"/>
          <w:i/>
          <w:iCs/>
        </w:rPr>
        <w:t>-ii</w:t>
      </w:r>
      <w:r w:rsidRPr="56E51CD7" w:rsidR="0D693F78">
        <w:rPr>
          <w:rFonts w:ascii="Times New Roman"/>
          <w:i/>
          <w:iCs/>
        </w:rPr>
        <w:t>i</w:t>
      </w:r>
      <w:r w:rsidRPr="56E51CD7" w:rsidR="518FE95B">
        <w:rPr>
          <w:rFonts w:ascii="Times New Roman"/>
          <w:i/>
          <w:iCs/>
        </w:rPr>
        <w:t>)</w:t>
      </w:r>
      <w:r w:rsidRPr="56E51CD7">
        <w:rPr>
          <w:rFonts w:ascii="Times New Roman"/>
          <w:i/>
          <w:iCs/>
        </w:rPr>
        <w:t>)</w:t>
      </w:r>
    </w:p>
    <w:p w:rsidR="00091855" w:rsidP="00C83F6C" w14:paraId="74CAE6D9" w14:textId="270707B9">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p>
    <w:p w:rsidR="00E012CD" w:rsidRPr="0052502E" w:rsidP="00C83F6C" w14:paraId="319B31BB" w14:textId="46EA1C1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 xml:space="preserve">The employer </w:t>
      </w:r>
      <w:r>
        <w:rPr>
          <w:rFonts w:ascii="Times New Roman"/>
        </w:rPr>
        <w:t>shall</w:t>
      </w:r>
      <w:r>
        <w:rPr>
          <w:rFonts w:ascii="Times New Roman"/>
        </w:rPr>
        <w:t xml:space="preserve"> establish and maintain an accurate record of all monitoring required in paragraph (d) of this section. This record shall include: </w:t>
      </w:r>
      <w:r w:rsidRPr="0052502E">
        <w:rPr>
          <w:rFonts w:ascii="Times New Roman"/>
        </w:rPr>
        <w:t>(</w:t>
      </w:r>
      <w:r w:rsidR="00AA42E9">
        <w:rPr>
          <w:rFonts w:ascii="Times New Roman"/>
        </w:rPr>
        <w:t>A</w:t>
      </w:r>
      <w:r w:rsidRPr="0052502E">
        <w:rPr>
          <w:rFonts w:ascii="Times New Roman"/>
        </w:rPr>
        <w:t xml:space="preserve">) the date(s), number, duration, location, and results of each of the samples taken, including a description of the sampling procedure used to determine representative </w:t>
      </w:r>
      <w:r w:rsidR="00AA42E9">
        <w:rPr>
          <w:rFonts w:ascii="Times New Roman"/>
        </w:rPr>
        <w:t>employee</w:t>
      </w:r>
      <w:r w:rsidRPr="0052502E">
        <w:rPr>
          <w:rFonts w:ascii="Times New Roman"/>
        </w:rPr>
        <w:t xml:space="preserve"> exposure where applicable; (</w:t>
      </w:r>
      <w:r w:rsidR="00AA42E9">
        <w:rPr>
          <w:rFonts w:ascii="Times New Roman"/>
        </w:rPr>
        <w:t>B</w:t>
      </w:r>
      <w:r w:rsidRPr="0052502E">
        <w:rPr>
          <w:rFonts w:ascii="Times New Roman"/>
        </w:rPr>
        <w:t>) a description of the sampling and analytical methods used and evidence of their accuracy; (</w:t>
      </w:r>
      <w:r w:rsidR="00AA42E9">
        <w:rPr>
          <w:rFonts w:ascii="Times New Roman"/>
        </w:rPr>
        <w:t>C</w:t>
      </w:r>
      <w:r w:rsidRPr="0052502E">
        <w:rPr>
          <w:rFonts w:ascii="Times New Roman"/>
        </w:rPr>
        <w:t xml:space="preserve">) the type of respiratory protective devices worn, if any; </w:t>
      </w:r>
      <w:r w:rsidR="000F5C10">
        <w:rPr>
          <w:rFonts w:ascii="Times New Roman"/>
        </w:rPr>
        <w:t>(</w:t>
      </w:r>
      <w:r w:rsidR="00DB7C1C">
        <w:rPr>
          <w:rFonts w:ascii="Times New Roman"/>
        </w:rPr>
        <w:t>D</w:t>
      </w:r>
      <w:r w:rsidR="000F5C10">
        <w:rPr>
          <w:rFonts w:ascii="Times New Roman"/>
        </w:rPr>
        <w:t xml:space="preserve">) </w:t>
      </w:r>
      <w:r w:rsidRPr="0052502E">
        <w:rPr>
          <w:rFonts w:ascii="Times New Roman"/>
        </w:rPr>
        <w:t>name and jo</w:t>
      </w:r>
      <w:r w:rsidRPr="0052502E">
        <w:rPr>
          <w:rFonts w:ascii="Times New Roman"/>
        </w:rPr>
        <w:t xml:space="preserve">b classification of the </w:t>
      </w:r>
      <w:r w:rsidR="00DB7C1C">
        <w:rPr>
          <w:rFonts w:ascii="Times New Roman"/>
        </w:rPr>
        <w:t>employee</w:t>
      </w:r>
      <w:r w:rsidRPr="0052502E">
        <w:rPr>
          <w:rFonts w:ascii="Times New Roman"/>
        </w:rPr>
        <w:t xml:space="preserve"> monitored and of all other </w:t>
      </w:r>
      <w:r w:rsidR="00CD4427">
        <w:rPr>
          <w:rFonts w:ascii="Times New Roman"/>
        </w:rPr>
        <w:t>worker</w:t>
      </w:r>
      <w:r w:rsidRPr="0052502E">
        <w:rPr>
          <w:rFonts w:ascii="Times New Roman"/>
        </w:rPr>
        <w:t>s whose exposure the measurement is intended to represent; and (</w:t>
      </w:r>
      <w:r w:rsidR="00DB7C1C">
        <w:rPr>
          <w:rFonts w:ascii="Times New Roman"/>
        </w:rPr>
        <w:t>E</w:t>
      </w:r>
      <w:r w:rsidRPr="0052502E">
        <w:rPr>
          <w:rFonts w:ascii="Times New Roman"/>
        </w:rPr>
        <w:t xml:space="preserve">) the environmental variables that could affect the measurement of </w:t>
      </w:r>
      <w:r w:rsidR="00DB7C1C">
        <w:rPr>
          <w:rFonts w:ascii="Times New Roman"/>
        </w:rPr>
        <w:t>employee</w:t>
      </w:r>
      <w:r w:rsidRPr="0052502E">
        <w:rPr>
          <w:rFonts w:ascii="Times New Roman"/>
        </w:rPr>
        <w:t xml:space="preserve"> exposure.</w:t>
      </w:r>
    </w:p>
    <w:p w:rsidR="00E012CD" w:rsidRPr="0052502E" w:rsidP="00C83F6C" w14:paraId="29CF9B9E"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00C83F6C" w14:paraId="1C91B738" w14:textId="66F6FC7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T</w:t>
      </w:r>
      <w:r w:rsidRPr="0052502E">
        <w:rPr>
          <w:rFonts w:ascii="Times New Roman"/>
        </w:rPr>
        <w:t xml:space="preserve">he employer </w:t>
      </w:r>
      <w:r>
        <w:rPr>
          <w:rFonts w:ascii="Times New Roman"/>
        </w:rPr>
        <w:t>shall</w:t>
      </w:r>
      <w:r w:rsidRPr="0052502E">
        <w:rPr>
          <w:rFonts w:ascii="Times New Roman"/>
        </w:rPr>
        <w:t xml:space="preserve"> maintain these monitoring records for at least 40 years or for the duration of employment plus 20 years, whichever is longer.</w:t>
      </w:r>
    </w:p>
    <w:p w:rsidR="00E012CD" w:rsidRPr="0052502E" w:rsidP="00C83F6C" w14:paraId="1D2EA960"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1438C5" w:rsidP="56E51CD7" w14:paraId="22248D09" w14:textId="3D46BEC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Medical Surveillance Records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Pr>
          <w:rFonts w:ascii="Times New Roman"/>
          <w:i/>
          <w:iCs/>
        </w:rPr>
        <w:t>910.1025(n)(2))</w:t>
      </w:r>
    </w:p>
    <w:p w:rsidR="00083A47" w:rsidP="56E51CD7" w14:paraId="182829B6" w14:textId="308158A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br/>
      </w:r>
      <w:r w:rsidRPr="56E51CD7" w:rsidR="50F9C0F1">
        <w:rPr>
          <w:rFonts w:ascii="Times New Roman"/>
          <w:i/>
          <w:iCs/>
        </w:rPr>
        <w:t>§ 1910.1025(n)(2)(</w:t>
      </w:r>
      <w:r w:rsidRPr="56E51CD7" w:rsidR="50F9C0F1">
        <w:rPr>
          <w:rFonts w:ascii="Times New Roman"/>
          <w:i/>
          <w:iCs/>
        </w:rPr>
        <w:t>i</w:t>
      </w:r>
      <w:r w:rsidRPr="56E51CD7" w:rsidR="50F9C0F1">
        <w:rPr>
          <w:rFonts w:ascii="Times New Roman"/>
          <w:i/>
          <w:iCs/>
        </w:rPr>
        <w:t>)</w:t>
      </w:r>
    </w:p>
    <w:p w:rsidR="00083A47" w:rsidP="00C83F6C" w14:paraId="1F016126"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88335E" w:rsidP="00C83F6C" w14:paraId="4A091BE4" w14:textId="06118094">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The employer shall establish and maintain an accurate record for each employee subject to medical surveillance as required by paragraph (j) of this section.</w:t>
      </w:r>
    </w:p>
    <w:p w:rsidR="00083A47" w:rsidP="00C83F6C" w14:paraId="687E6F53" w14:textId="7FEB26D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083A47" w:rsidP="3080DAE6" w14:paraId="7B3F0D9A" w14:textId="174FC59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3080DAE6">
        <w:rPr>
          <w:rFonts w:ascii="Times New Roman"/>
          <w:i/>
          <w:iCs/>
        </w:rPr>
        <w:t>§ 1910.1025(n)(2)(ii)</w:t>
      </w:r>
    </w:p>
    <w:p w:rsidR="00083A47" w:rsidP="00C83F6C" w14:paraId="56AD37A3"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00C83F6C" w14:paraId="069A76BD" w14:textId="17E8E0C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 xml:space="preserve">This record shall include: </w:t>
      </w:r>
      <w:r w:rsidRPr="0052502E">
        <w:rPr>
          <w:rFonts w:ascii="Times New Roman"/>
        </w:rPr>
        <w:t>(</w:t>
      </w:r>
      <w:r>
        <w:rPr>
          <w:rFonts w:ascii="Times New Roman"/>
        </w:rPr>
        <w:t>A</w:t>
      </w:r>
      <w:r w:rsidRPr="0052502E">
        <w:rPr>
          <w:rFonts w:ascii="Times New Roman"/>
        </w:rPr>
        <w:t xml:space="preserve">) the name, and description of the duties of the </w:t>
      </w:r>
      <w:r>
        <w:rPr>
          <w:rFonts w:ascii="Times New Roman"/>
        </w:rPr>
        <w:t>employee</w:t>
      </w:r>
      <w:r w:rsidRPr="0052502E">
        <w:rPr>
          <w:rFonts w:ascii="Times New Roman"/>
        </w:rPr>
        <w:t>; (</w:t>
      </w:r>
      <w:r>
        <w:rPr>
          <w:rFonts w:ascii="Times New Roman"/>
        </w:rPr>
        <w:t>B</w:t>
      </w:r>
      <w:r w:rsidRPr="0052502E">
        <w:rPr>
          <w:rFonts w:ascii="Times New Roman"/>
        </w:rPr>
        <w:t xml:space="preserve">) a copy </w:t>
      </w:r>
      <w:r w:rsidRPr="0052502E">
        <w:rPr>
          <w:rFonts w:ascii="Times New Roman"/>
        </w:rPr>
        <w:t>of the physician's written opinions; (</w:t>
      </w:r>
      <w:r>
        <w:rPr>
          <w:rFonts w:ascii="Times New Roman"/>
        </w:rPr>
        <w:t>C</w:t>
      </w:r>
      <w:r w:rsidRPr="0052502E">
        <w:rPr>
          <w:rFonts w:ascii="Times New Roman"/>
        </w:rPr>
        <w:t>) results of any airborne</w:t>
      </w:r>
      <w:r w:rsidR="00DB3ADF">
        <w:rPr>
          <w:rFonts w:ascii="Times New Roman"/>
        </w:rPr>
        <w:t xml:space="preserve"> </w:t>
      </w:r>
      <w:r w:rsidRPr="0052502E">
        <w:rPr>
          <w:rFonts w:ascii="Times New Roman"/>
        </w:rPr>
        <w:t xml:space="preserve">exposure monitoring done for that </w:t>
      </w:r>
      <w:r>
        <w:rPr>
          <w:rFonts w:ascii="Times New Roman"/>
        </w:rPr>
        <w:t>employee</w:t>
      </w:r>
      <w:r w:rsidRPr="0052502E">
        <w:rPr>
          <w:rFonts w:ascii="Times New Roman"/>
        </w:rPr>
        <w:t xml:space="preserve"> and the representative exposure levels supplied to the physician; and (</w:t>
      </w:r>
      <w:r>
        <w:rPr>
          <w:rFonts w:ascii="Times New Roman"/>
        </w:rPr>
        <w:t>D</w:t>
      </w:r>
      <w:r w:rsidRPr="0052502E">
        <w:rPr>
          <w:rFonts w:ascii="Times New Roman"/>
        </w:rPr>
        <w:t xml:space="preserve">) any </w:t>
      </w:r>
      <w:r>
        <w:rPr>
          <w:rFonts w:ascii="Times New Roman"/>
        </w:rPr>
        <w:t>employee</w:t>
      </w:r>
      <w:r w:rsidRPr="0052502E">
        <w:rPr>
          <w:rFonts w:ascii="Times New Roman"/>
        </w:rPr>
        <w:t xml:space="preserve"> medical complaints related to exposure to lead.</w:t>
      </w:r>
    </w:p>
    <w:p w:rsidR="00E012CD" w:rsidP="00C83F6C" w14:paraId="6EC9E449" w14:textId="70791D9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56E51CD7" w14:paraId="4F5BED71" w14:textId="6826B3B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eastAsia="Times New Roman"/>
          <w:i/>
          <w:iCs/>
          <w:color w:val="000000" w:themeColor="text1"/>
        </w:rPr>
        <w:t>§</w:t>
      </w:r>
      <w:r w:rsidRPr="56E51CD7" w:rsidR="02C7EB78">
        <w:rPr>
          <w:rFonts w:ascii="Times New Roman" w:eastAsia="Times New Roman"/>
          <w:i/>
          <w:iCs/>
          <w:color w:val="000000" w:themeColor="text1"/>
        </w:rPr>
        <w:t xml:space="preserve"> </w:t>
      </w:r>
      <w:r w:rsidRPr="56E51CD7">
        <w:rPr>
          <w:rFonts w:ascii="Times New Roman" w:eastAsia="Times New Roman"/>
          <w:i/>
          <w:iCs/>
          <w:color w:val="000000" w:themeColor="text1"/>
        </w:rPr>
        <w:t>1910.1025(n)(2)</w:t>
      </w:r>
      <w:r w:rsidRPr="56E51CD7" w:rsidR="7771DBD6">
        <w:rPr>
          <w:rFonts w:ascii="Times New Roman" w:eastAsia="Times New Roman"/>
          <w:i/>
          <w:iCs/>
          <w:color w:val="000000" w:themeColor="text1"/>
        </w:rPr>
        <w:t>(iii)</w:t>
      </w:r>
      <w:r w:rsidRPr="56E51CD7">
        <w:rPr>
          <w:rFonts w:ascii="Times New Roman"/>
          <w:i/>
          <w:iCs/>
        </w:rPr>
        <w:t xml:space="preserve"> </w:t>
      </w:r>
    </w:p>
    <w:p w:rsidR="00E012CD" w:rsidRPr="0052502E" w:rsidP="56E51CD7" w14:paraId="098D7C7F" w14:textId="6500068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56E51CD7" w14:paraId="5247A421" w14:textId="7CB3778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T</w:t>
      </w:r>
      <w:r w:rsidRPr="56E51CD7" w:rsidR="70322B03">
        <w:rPr>
          <w:rFonts w:ascii="Times New Roman"/>
        </w:rPr>
        <w:t xml:space="preserve">he employer </w:t>
      </w:r>
      <w:r w:rsidRPr="56E51CD7">
        <w:rPr>
          <w:rFonts w:ascii="Times New Roman"/>
        </w:rPr>
        <w:t>shall</w:t>
      </w:r>
      <w:r w:rsidRPr="56E51CD7" w:rsidR="70322B03">
        <w:rPr>
          <w:rFonts w:ascii="Times New Roman"/>
        </w:rPr>
        <w:t xml:space="preserve"> keep, or </w:t>
      </w:r>
      <w:r w:rsidRPr="56E51CD7">
        <w:rPr>
          <w:rFonts w:ascii="Times New Roman"/>
        </w:rPr>
        <w:t>as</w:t>
      </w:r>
      <w:r w:rsidRPr="56E51CD7" w:rsidR="70322B03">
        <w:rPr>
          <w:rFonts w:ascii="Times New Roman"/>
        </w:rPr>
        <w:t>sure that the examining physician keeps, the following medical records: (</w:t>
      </w:r>
      <w:r w:rsidRPr="56E51CD7">
        <w:rPr>
          <w:rFonts w:ascii="Times New Roman"/>
        </w:rPr>
        <w:t>A</w:t>
      </w:r>
      <w:r w:rsidRPr="56E51CD7" w:rsidR="70322B03">
        <w:rPr>
          <w:rFonts w:ascii="Times New Roman"/>
        </w:rPr>
        <w:t>) a copy of the medical examination results including medical and work histor</w:t>
      </w:r>
      <w:r w:rsidRPr="56E51CD7">
        <w:rPr>
          <w:rFonts w:ascii="Times New Roman"/>
        </w:rPr>
        <w:t>y required under paragraph (j) of this section</w:t>
      </w:r>
      <w:r w:rsidRPr="56E51CD7" w:rsidR="70322B03">
        <w:rPr>
          <w:rFonts w:ascii="Times New Roman"/>
        </w:rPr>
        <w:t>; (</w:t>
      </w:r>
      <w:r w:rsidRPr="56E51CD7" w:rsidR="220296E4">
        <w:rPr>
          <w:rFonts w:ascii="Times New Roman"/>
        </w:rPr>
        <w:t>B</w:t>
      </w:r>
      <w:r w:rsidRPr="56E51CD7" w:rsidR="70322B03">
        <w:rPr>
          <w:rFonts w:ascii="Times New Roman"/>
        </w:rPr>
        <w:t>) a description of the laboratory procedures and a copy of any standards or guidelines used to interpret the test results or references to that information; and (</w:t>
      </w:r>
      <w:r w:rsidRPr="56E51CD7" w:rsidR="220296E4">
        <w:rPr>
          <w:rFonts w:ascii="Times New Roman"/>
        </w:rPr>
        <w:t>C</w:t>
      </w:r>
      <w:r w:rsidRPr="56E51CD7" w:rsidR="70322B03">
        <w:rPr>
          <w:rFonts w:ascii="Times New Roman"/>
        </w:rPr>
        <w:t>) a copy of the results of the biological monitoring.</w:t>
      </w:r>
    </w:p>
    <w:p w:rsidR="00E012CD" w:rsidP="00C83F6C" w14:paraId="21705723" w14:textId="21D4483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18197C" w:rsidP="3080DAE6" w14:paraId="67E39084" w14:textId="67EA023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3080DAE6">
        <w:rPr>
          <w:rFonts w:ascii="Times New Roman"/>
          <w:i/>
          <w:iCs/>
        </w:rPr>
        <w:t>§ 1910.1025(n)(2)(iv)</w:t>
      </w:r>
      <w:r w:rsidRPr="3080DAE6" w:rsidR="72379B2A">
        <w:rPr>
          <w:rFonts w:ascii="Times New Roman"/>
          <w:i/>
          <w:iCs/>
        </w:rPr>
        <w:t xml:space="preserve"> </w:t>
      </w:r>
    </w:p>
    <w:p w:rsidR="0018197C" w:rsidP="00C83F6C" w14:paraId="5572F78D"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00C83F6C" w14:paraId="6DCBA8B0" w14:textId="5B99875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The employer </w:t>
      </w:r>
      <w:r w:rsidR="00FD18DD">
        <w:rPr>
          <w:rFonts w:ascii="Times New Roman"/>
        </w:rPr>
        <w:t>shall</w:t>
      </w:r>
      <w:r w:rsidRPr="0052502E">
        <w:rPr>
          <w:rFonts w:ascii="Times New Roman"/>
        </w:rPr>
        <w:t xml:space="preserve"> maintain or </w:t>
      </w:r>
      <w:r w:rsidR="00FD18DD">
        <w:rPr>
          <w:rFonts w:ascii="Times New Roman"/>
        </w:rPr>
        <w:t>as</w:t>
      </w:r>
      <w:r w:rsidRPr="0052502E">
        <w:rPr>
          <w:rFonts w:ascii="Times New Roman"/>
        </w:rPr>
        <w:t>sure that the physician maintains these medical records for at least 40 years, or for the duration of employment plus 20 years, whichever is longer.</w:t>
      </w:r>
    </w:p>
    <w:p w:rsidR="00E012CD" w:rsidRPr="0052502E" w:rsidP="00C83F6C" w14:paraId="39135303"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00C83F6C" w14:paraId="3564634C" w14:textId="40CCDF54">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i/>
          <w:iCs/>
        </w:rPr>
        <w:t>Medical Removal Records</w:t>
      </w:r>
      <w:r w:rsidRPr="56E51CD7">
        <w:rPr>
          <w:rFonts w:ascii="Times New Roman"/>
        </w:rPr>
        <w:t xml:space="preserve"> </w:t>
      </w:r>
      <w:r w:rsidRPr="56E51CD7">
        <w:rPr>
          <w:rFonts w:ascii="Times New Roman"/>
          <w:i/>
          <w:iCs/>
        </w:rPr>
        <w:t>(</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Pr>
          <w:rFonts w:ascii="Times New Roman"/>
          <w:i/>
          <w:iCs/>
        </w:rPr>
        <w:t>910.1025(n)(</w:t>
      </w:r>
      <w:r w:rsidRPr="56E51CD7">
        <w:rPr>
          <w:rFonts w:ascii="Times New Roman"/>
          <w:i/>
          <w:iCs/>
        </w:rPr>
        <w:t>3)</w:t>
      </w:r>
      <w:r w:rsidRPr="56E51CD7" w:rsidR="369CC248">
        <w:rPr>
          <w:rFonts w:ascii="Times New Roman"/>
          <w:i/>
          <w:iCs/>
        </w:rPr>
        <w:t>(</w:t>
      </w:r>
      <w:r w:rsidRPr="56E51CD7" w:rsidR="369CC248">
        <w:rPr>
          <w:rFonts w:ascii="Times New Roman"/>
          <w:i/>
          <w:iCs/>
        </w:rPr>
        <w:t>i</w:t>
      </w:r>
      <w:r w:rsidRPr="56E51CD7" w:rsidR="369CC248">
        <w:rPr>
          <w:rFonts w:ascii="Times New Roman"/>
          <w:i/>
          <w:iCs/>
        </w:rPr>
        <w:t>-iii)</w:t>
      </w:r>
      <w:r w:rsidRPr="56E51CD7">
        <w:rPr>
          <w:rFonts w:ascii="Times New Roman"/>
          <w:i/>
          <w:iCs/>
        </w:rPr>
        <w:t>)</w:t>
      </w:r>
    </w:p>
    <w:p w:rsidR="00E012CD" w:rsidP="00C83F6C" w14:paraId="67421FD7" w14:textId="37B94FD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B85166" w:rsidP="56E51CD7" w14:paraId="5B38238C" w14:textId="27A5EF5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eastAsia="Times New Roman"/>
          <w:i/>
          <w:iCs/>
        </w:rPr>
      </w:pPr>
      <w:r w:rsidRPr="56E51CD7">
        <w:rPr>
          <w:rFonts w:ascii="Times New Roman" w:eastAsia="Times New Roman"/>
          <w:i/>
          <w:iCs/>
          <w:color w:val="000000" w:themeColor="text1"/>
        </w:rPr>
        <w:t>§</w:t>
      </w:r>
      <w:r w:rsidRPr="56E51CD7" w:rsidR="50BAC0E4">
        <w:rPr>
          <w:rFonts w:ascii="Times New Roman" w:eastAsia="Times New Roman"/>
          <w:i/>
          <w:iCs/>
          <w:color w:val="000000" w:themeColor="text1"/>
        </w:rPr>
        <w:t xml:space="preserve"> </w:t>
      </w:r>
      <w:r w:rsidRPr="56E51CD7">
        <w:rPr>
          <w:rFonts w:ascii="Times New Roman" w:eastAsia="Times New Roman"/>
          <w:i/>
          <w:iCs/>
          <w:color w:val="000000" w:themeColor="text1"/>
        </w:rPr>
        <w:t>1910.1025(n)(3)</w:t>
      </w:r>
      <w:r w:rsidRPr="56E51CD7">
        <w:rPr>
          <w:rFonts w:ascii="Times New Roman" w:eastAsia="Times New Roman"/>
          <w:i/>
          <w:iCs/>
        </w:rPr>
        <w:t>(</w:t>
      </w:r>
      <w:r w:rsidRPr="56E51CD7">
        <w:rPr>
          <w:rFonts w:ascii="Times New Roman" w:eastAsia="Times New Roman"/>
          <w:i/>
          <w:iCs/>
          <w:color w:val="000000" w:themeColor="text1"/>
        </w:rPr>
        <w:t>i</w:t>
      </w:r>
      <w:r w:rsidRPr="56E51CD7">
        <w:rPr>
          <w:rFonts w:ascii="Times New Roman" w:eastAsia="Times New Roman"/>
          <w:i/>
          <w:iCs/>
          <w:color w:val="000000" w:themeColor="text1"/>
        </w:rPr>
        <w:t>)</w:t>
      </w:r>
      <w:r w:rsidRPr="56E51CD7">
        <w:rPr>
          <w:rFonts w:ascii="Times New Roman" w:eastAsia="Times New Roman"/>
          <w:i/>
          <w:iCs/>
        </w:rPr>
        <w:t xml:space="preserve"> </w:t>
      </w:r>
    </w:p>
    <w:p w:rsidR="00B85166" w:rsidP="00C83F6C" w14:paraId="2CE4E065" w14:textId="4445B6C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B85166" w:rsidP="00C83F6C" w14:paraId="4182E0DE" w14:textId="42F1806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The employer shall establish and maintain an accurate record for each employee removed from current exposure to lead pursuant to paragraph (k) of this section.</w:t>
      </w:r>
    </w:p>
    <w:p w:rsidR="00C5109B" w:rsidP="00C83F6C" w14:paraId="45D6A8EF" w14:textId="571BAC4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00C83F6C" w14:paraId="0199CADB" w14:textId="407D1E4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3D161A59">
        <w:rPr>
          <w:rFonts w:ascii="Times New Roman"/>
        </w:rPr>
        <w:t xml:space="preserve">Each record shall include: (A) the name of the employee; (B) the date on each occasion that the employee was removed from current exposure to lead as well as the corresponding date on which the employee was returned to his or her former job status; (C) a brief explanation of how each removal was or is being accomplished; and (D) </w:t>
      </w:r>
      <w:r w:rsidRPr="3D161A59" w:rsidR="00C94CC2">
        <w:rPr>
          <w:rFonts w:ascii="Times New Roman"/>
        </w:rPr>
        <w:t>a statement with respect to each removal indicating whether or not the reason for the removal was an elevated blood lead level.</w:t>
      </w:r>
    </w:p>
    <w:p w:rsidR="3D161A59" w:rsidP="56E51CD7" w14:paraId="3B7AF396" w14:textId="11B2AA18">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p>
    <w:p w:rsidR="00E012CD" w:rsidRPr="001438C5" w:rsidP="56E51CD7" w14:paraId="0407EBFC" w14:textId="1B00757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r w:rsidRPr="56E51CD7">
        <w:rPr>
          <w:rFonts w:ascii="Times New Roman"/>
          <w:i/>
          <w:iCs/>
        </w:rPr>
        <w:t>Availability</w:t>
      </w:r>
      <w:r w:rsidRPr="56E51CD7" w:rsidR="70322B03">
        <w:rPr>
          <w:rFonts w:ascii="Times New Roman"/>
          <w:i/>
          <w:iCs/>
        </w:rPr>
        <w:t xml:space="preserve"> (</w:t>
      </w:r>
      <w:r w:rsidRPr="56E51CD7" w:rsidR="0AFFCAB6">
        <w:rPr>
          <w:rFonts w:ascii="Times New Roman"/>
          <w:i/>
          <w:iCs/>
        </w:rPr>
        <w:t>§</w:t>
      </w:r>
      <w:r w:rsidRPr="56E51CD7">
        <w:rPr>
          <w:rFonts w:ascii="Times New Roman"/>
          <w:i/>
          <w:iCs/>
        </w:rPr>
        <w:t xml:space="preserve"> </w:t>
      </w:r>
      <w:r w:rsidRPr="56E51CD7" w:rsidR="0AFFCAB6">
        <w:rPr>
          <w:rFonts w:ascii="Times New Roman"/>
          <w:i/>
          <w:iCs/>
        </w:rPr>
        <w:t>1</w:t>
      </w:r>
      <w:r w:rsidRPr="56E51CD7" w:rsidR="70322B03">
        <w:rPr>
          <w:rFonts w:ascii="Times New Roman"/>
          <w:i/>
          <w:iCs/>
        </w:rPr>
        <w:t>910.1025(n)(</w:t>
      </w:r>
      <w:r w:rsidRPr="56E51CD7" w:rsidR="70322B03">
        <w:rPr>
          <w:rFonts w:ascii="Times New Roman"/>
          <w:i/>
          <w:iCs/>
        </w:rPr>
        <w:t>4)</w:t>
      </w:r>
      <w:r w:rsidRPr="56E51CD7">
        <w:rPr>
          <w:rFonts w:ascii="Times New Roman"/>
          <w:i/>
          <w:iCs/>
        </w:rPr>
        <w:t>(</w:t>
      </w:r>
      <w:r w:rsidRPr="56E51CD7">
        <w:rPr>
          <w:rFonts w:ascii="Times New Roman"/>
          <w:i/>
          <w:iCs/>
        </w:rPr>
        <w:t>i</w:t>
      </w:r>
      <w:r w:rsidRPr="56E51CD7">
        <w:rPr>
          <w:rFonts w:ascii="Times New Roman"/>
          <w:i/>
          <w:iCs/>
        </w:rPr>
        <w:t>-ii)</w:t>
      </w:r>
      <w:r w:rsidRPr="56E51CD7" w:rsidR="70322B03">
        <w:rPr>
          <w:rFonts w:ascii="Times New Roman"/>
          <w:i/>
          <w:iCs/>
        </w:rPr>
        <w:t>)</w:t>
      </w:r>
    </w:p>
    <w:p w:rsidR="00E012CD" w:rsidRPr="0052502E" w:rsidP="00C83F6C" w14:paraId="3EF4CD68"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9E1E30" w:rsidP="00C83F6C" w14:paraId="28F266AB" w14:textId="6F176905">
      <w:pPr>
        <w:widowControl/>
        <w:autoSpaceDE/>
        <w:autoSpaceDN/>
        <w:adjustRightInd/>
        <w:rPr>
          <w:rFonts w:ascii="Times New Roman"/>
        </w:rPr>
      </w:pPr>
      <w:r w:rsidRPr="3080DAE6">
        <w:rPr>
          <w:rFonts w:ascii="Times New Roman"/>
        </w:rPr>
        <w:t>T</w:t>
      </w:r>
      <w:r w:rsidRPr="3080DAE6" w:rsidR="00E012CD">
        <w:rPr>
          <w:rFonts w:ascii="Times New Roman"/>
        </w:rPr>
        <w:t xml:space="preserve">he employer </w:t>
      </w:r>
      <w:r w:rsidRPr="3080DAE6">
        <w:rPr>
          <w:rFonts w:ascii="Times New Roman"/>
        </w:rPr>
        <w:t>shall</w:t>
      </w:r>
      <w:r w:rsidRPr="3080DAE6" w:rsidR="00E012CD">
        <w:rPr>
          <w:rFonts w:ascii="Times New Roman"/>
        </w:rPr>
        <w:t xml:space="preserve"> make </w:t>
      </w:r>
      <w:r w:rsidRPr="3080DAE6">
        <w:rPr>
          <w:rFonts w:ascii="Times New Roman"/>
        </w:rPr>
        <w:t xml:space="preserve">available upon request </w:t>
      </w:r>
      <w:r w:rsidRPr="3080DAE6" w:rsidR="00E012CD">
        <w:rPr>
          <w:rFonts w:ascii="Times New Roman"/>
        </w:rPr>
        <w:t>all records required to be maintained</w:t>
      </w:r>
      <w:r w:rsidRPr="3080DAE6">
        <w:rPr>
          <w:rFonts w:ascii="Times New Roman"/>
        </w:rPr>
        <w:t xml:space="preserve"> by paragraph (n)</w:t>
      </w:r>
      <w:r w:rsidRPr="3080DAE6" w:rsidR="008F001D">
        <w:rPr>
          <w:rFonts w:ascii="Times New Roman"/>
        </w:rPr>
        <w:t xml:space="preserve"> of this section</w:t>
      </w:r>
      <w:r w:rsidRPr="3080DAE6" w:rsidR="00E012CD">
        <w:rPr>
          <w:rFonts w:ascii="Times New Roman"/>
        </w:rPr>
        <w:t xml:space="preserve"> to the Assistant Secretary and the Director for examination and copying. </w:t>
      </w:r>
      <w:r w:rsidRPr="3080DAE6" w:rsidR="00073AE1">
        <w:rPr>
          <w:rFonts w:ascii="Times New Roman"/>
        </w:rPr>
        <w:t xml:space="preserve">Environmental monitoring, medical removal, and medical records required by this paragraph shall be provided upon request to employees, designated representatives, and the Assistant Secretary in </w:t>
      </w:r>
      <w:r w:rsidRPr="3080DAE6" w:rsidR="00B37026">
        <w:rPr>
          <w:rFonts w:ascii="Times New Roman"/>
        </w:rPr>
        <w:t>accordance</w:t>
      </w:r>
      <w:r w:rsidRPr="3080DAE6" w:rsidR="00073AE1">
        <w:rPr>
          <w:rFonts w:ascii="Times New Roman"/>
        </w:rPr>
        <w:t xml:space="preserve"> with 29 </w:t>
      </w:r>
      <w:r w:rsidRPr="3080DAE6" w:rsidR="00EA04B7">
        <w:rPr>
          <w:rFonts w:ascii="Times New Roman"/>
        </w:rPr>
        <w:t>CFR 1910.1020(a)-(e) and (2)-(</w:t>
      </w:r>
      <w:r w:rsidRPr="3080DAE6" w:rsidR="00EA04B7">
        <w:rPr>
          <w:rFonts w:ascii="Times New Roman"/>
        </w:rPr>
        <w:t>i</w:t>
      </w:r>
      <w:r w:rsidRPr="3080DAE6" w:rsidR="00EA04B7">
        <w:rPr>
          <w:rFonts w:ascii="Times New Roman"/>
        </w:rPr>
        <w:t xml:space="preserve">). Medical removal records </w:t>
      </w:r>
      <w:r w:rsidRPr="3080DAE6" w:rsidR="00EA04B7">
        <w:rPr>
          <w:rFonts w:ascii="Times New Roman"/>
        </w:rPr>
        <w:t>shall</w:t>
      </w:r>
      <w:r w:rsidRPr="3080DAE6" w:rsidR="00EA04B7">
        <w:rPr>
          <w:rFonts w:ascii="Times New Roman"/>
        </w:rPr>
        <w:t xml:space="preserve"> be provided in the same manner as environmental monitoring records. </w:t>
      </w:r>
    </w:p>
    <w:p w:rsidR="3080DAE6" w:rsidP="3080DAE6" w14:paraId="70E6275B" w14:textId="5601177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rPr>
      </w:pPr>
    </w:p>
    <w:p w:rsidR="00E012CD" w:rsidRPr="001438C5" w:rsidP="56E51CD7" w14:paraId="3D656110" w14:textId="1F35F69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i/>
          <w:iCs/>
          <w:u w:val="single"/>
        </w:rPr>
      </w:pPr>
      <w:r w:rsidRPr="56E51CD7">
        <w:rPr>
          <w:rFonts w:ascii="Times New Roman"/>
          <w:i/>
          <w:iCs/>
        </w:rPr>
        <w:t xml:space="preserve">Transfer </w:t>
      </w:r>
      <w:r w:rsidRPr="56E51CD7" w:rsidR="492F613F">
        <w:rPr>
          <w:rFonts w:ascii="Times New Roman"/>
          <w:i/>
          <w:iCs/>
        </w:rPr>
        <w:t xml:space="preserve">of Records </w:t>
      </w:r>
      <w:r w:rsidRPr="56E51CD7">
        <w:rPr>
          <w:rFonts w:ascii="Times New Roman"/>
          <w:i/>
          <w:iCs/>
        </w:rPr>
        <w:t xml:space="preserve">(§ </w:t>
      </w:r>
      <w:r w:rsidRPr="56E51CD7" w:rsidR="0AFFCAB6">
        <w:rPr>
          <w:rFonts w:ascii="Times New Roman"/>
          <w:i/>
          <w:iCs/>
        </w:rPr>
        <w:t>1</w:t>
      </w:r>
      <w:r w:rsidRPr="56E51CD7">
        <w:rPr>
          <w:rFonts w:ascii="Times New Roman"/>
          <w:i/>
          <w:iCs/>
        </w:rPr>
        <w:t>910.1025(n)(</w:t>
      </w:r>
      <w:r w:rsidRPr="56E51CD7">
        <w:rPr>
          <w:rFonts w:ascii="Times New Roman"/>
          <w:i/>
          <w:iCs/>
        </w:rPr>
        <w:t>5)(</w:t>
      </w:r>
      <w:r w:rsidRPr="56E51CD7">
        <w:rPr>
          <w:rFonts w:ascii="Times New Roman"/>
          <w:i/>
          <w:iCs/>
        </w:rPr>
        <w:t>i</w:t>
      </w:r>
      <w:r w:rsidRPr="56E51CD7" w:rsidR="11C19799">
        <w:rPr>
          <w:rFonts w:ascii="Times New Roman"/>
          <w:i/>
          <w:iCs/>
        </w:rPr>
        <w:t>-ii</w:t>
      </w:r>
      <w:r w:rsidRPr="56E51CD7">
        <w:rPr>
          <w:rFonts w:ascii="Times New Roman"/>
          <w:i/>
          <w:iCs/>
        </w:rPr>
        <w:t>)</w:t>
      </w:r>
      <w:r w:rsidRPr="56E51CD7" w:rsidR="11C19799">
        <w:rPr>
          <w:rFonts w:ascii="Times New Roman"/>
          <w:i/>
          <w:iCs/>
        </w:rPr>
        <w:t>)</w:t>
      </w:r>
    </w:p>
    <w:p w:rsidR="00E012CD" w:rsidP="00C83F6C" w14:paraId="75497A53"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trike/>
        </w:rPr>
      </w:pPr>
    </w:p>
    <w:p w:rsidR="006255BF" w:rsidRPr="00CD0727" w:rsidP="00C83F6C" w14:paraId="1D248332" w14:textId="42423950">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bookmarkStart w:id="1" w:name="1910.1025(n)(5)(ii)"/>
      <w:bookmarkEnd w:id="1"/>
      <w:r>
        <w:rPr>
          <w:rFonts w:ascii="Times New Roman"/>
        </w:rPr>
        <w:t xml:space="preserve">Whenever the employer ceases to do business, the successor employer </w:t>
      </w:r>
      <w:r>
        <w:rPr>
          <w:rFonts w:ascii="Times New Roman"/>
        </w:rPr>
        <w:t>shall</w:t>
      </w:r>
      <w:r>
        <w:rPr>
          <w:rFonts w:ascii="Times New Roman"/>
        </w:rPr>
        <w:t xml:space="preserve"> receive and retain all records required to be maintained by paragraph (n) of this s</w:t>
      </w:r>
      <w:r w:rsidR="2D481AC8">
        <w:rPr>
          <w:rFonts w:ascii="Times New Roman"/>
        </w:rPr>
        <w:t>ection</w:t>
      </w:r>
      <w:r>
        <w:rPr>
          <w:rFonts w:ascii="Times New Roman"/>
        </w:rPr>
        <w:t xml:space="preserve">. </w:t>
      </w:r>
      <w:r w:rsidRPr="004337D5">
        <w:rPr>
          <w:rFonts w:ascii="Times New Roman"/>
        </w:rPr>
        <w:t>The employer</w:t>
      </w:r>
      <w:r w:rsidR="2D481AC8">
        <w:rPr>
          <w:rFonts w:ascii="Times New Roman"/>
        </w:rPr>
        <w:t xml:space="preserve"> shall also</w:t>
      </w:r>
      <w:r w:rsidRPr="004337D5">
        <w:rPr>
          <w:rFonts w:ascii="Times New Roman"/>
        </w:rPr>
        <w:t xml:space="preserve"> comply </w:t>
      </w:r>
      <w:r w:rsidRPr="00CD0727">
        <w:rPr>
          <w:rFonts w:ascii="Times New Roman"/>
        </w:rPr>
        <w:t>with</w:t>
      </w:r>
      <w:r w:rsidR="00432302">
        <w:rPr>
          <w:rFonts w:ascii="Times New Roman"/>
        </w:rPr>
        <w:t xml:space="preserve"> </w:t>
      </w:r>
      <w:r w:rsidR="00A23BEC">
        <w:rPr>
          <w:rFonts w:ascii="Times New Roman"/>
        </w:rPr>
        <w:t>any additional</w:t>
      </w:r>
      <w:r w:rsidRPr="00CD0727">
        <w:rPr>
          <w:rFonts w:ascii="Times New Roman"/>
        </w:rPr>
        <w:t xml:space="preserve"> requirements involving the transfer of records set forth in 29 CFR </w:t>
      </w:r>
      <w:r w:rsidRPr="00CD0727">
        <w:rPr>
          <w:rFonts w:ascii="Times New Roman"/>
        </w:rPr>
        <w:t>1910.1020(h).</w:t>
      </w:r>
      <w:r>
        <w:rPr>
          <w:rStyle w:val="FootnoteReference"/>
          <w:rFonts w:ascii="Times New Roman"/>
          <w:vertAlign w:val="superscript"/>
        </w:rPr>
        <w:footnoteReference w:id="5"/>
      </w:r>
    </w:p>
    <w:p w:rsidR="00E012CD" w:rsidRPr="00CD0727" w:rsidP="00C83F6C" w14:paraId="23A6997E" w14:textId="77777777">
      <w:pPr>
        <w:rPr>
          <w:rFonts w:ascii="Times New Roman" w:cs="Shruti"/>
        </w:rPr>
      </w:pPr>
    </w:p>
    <w:p w:rsidR="00E012CD" w:rsidP="00C83F6C" w14:paraId="495B35B7" w14:textId="50C3B4D3">
      <w:pPr>
        <w:widowControl/>
        <w:autoSpaceDE/>
        <w:autoSpaceDN/>
        <w:adjustRightInd/>
        <w:rPr>
          <w:rFonts w:ascii="Times New Roman"/>
        </w:rPr>
      </w:pPr>
      <w:r w:rsidRPr="56E51CD7">
        <w:rPr>
          <w:rFonts w:ascii="Times New Roman"/>
          <w:b/>
          <w:bCs/>
        </w:rPr>
        <w:t>Note</w:t>
      </w:r>
      <w:r w:rsidRPr="56E51CD7">
        <w:rPr>
          <w:rFonts w:ascii="Times New Roman"/>
        </w:rPr>
        <w:t xml:space="preserve">: </w:t>
      </w:r>
      <w:r w:rsidRPr="56E51CD7" w:rsidR="70322B03">
        <w:rPr>
          <w:rFonts w:ascii="Times New Roman"/>
        </w:rPr>
        <w:t>OSHA considers the employer’s transfer of records to a successor employer to be usual and customary communications during the transition from one employer to a successor employer. In this regard, the employer would communicate the location of</w:t>
      </w:r>
      <w:r w:rsidRPr="56E51CD7" w:rsidR="70322B03">
        <w:rPr>
          <w:rFonts w:ascii="Times New Roman" w:cs="Arial"/>
        </w:rPr>
        <w:t xml:space="preserve"> all </w:t>
      </w:r>
      <w:r w:rsidRPr="56E51CD7" w:rsidR="70322B03">
        <w:rPr>
          <w:rFonts w:ascii="Times New Roman"/>
        </w:rPr>
        <w:t>records</w:t>
      </w:r>
      <w:r w:rsidRPr="56E51CD7" w:rsidR="70322B03">
        <w:rPr>
          <w:rFonts w:ascii="Times New Roman" w:cs="Arial"/>
        </w:rPr>
        <w:t xml:space="preserve">, including </w:t>
      </w:r>
      <w:r w:rsidRPr="56E51CD7" w:rsidR="0FC13A8A">
        <w:rPr>
          <w:rFonts w:ascii="Times New Roman" w:cs="Arial"/>
        </w:rPr>
        <w:t>worker</w:t>
      </w:r>
      <w:r w:rsidRPr="56E51CD7" w:rsidR="70322B03">
        <w:rPr>
          <w:rFonts w:ascii="Times New Roman" w:cs="Arial"/>
        </w:rPr>
        <w:t xml:space="preserve"> exposure-monitoring and medical records, </w:t>
      </w:r>
      <w:r w:rsidRPr="56E51CD7" w:rsidR="70322B03">
        <w:rPr>
          <w:rFonts w:ascii="Times New Roman"/>
        </w:rPr>
        <w:t>at the facility to the successor employer during the transfer of business operations, as a matter of usual and customary business practice.</w:t>
      </w:r>
      <w:r w:rsidRPr="56E51CD7" w:rsidR="2CD7BE93">
        <w:rPr>
          <w:rFonts w:ascii="Times New Roman"/>
        </w:rPr>
        <w:t xml:space="preserve"> </w:t>
      </w:r>
    </w:p>
    <w:p w:rsidR="007517B8" w:rsidP="00C83F6C" w14:paraId="4433AEB6" w14:textId="5FC55905">
      <w:pPr>
        <w:widowControl/>
        <w:autoSpaceDE/>
        <w:autoSpaceDN/>
        <w:adjustRightInd/>
        <w:rPr>
          <w:rFonts w:ascii="Times New Roman"/>
        </w:rPr>
      </w:pPr>
    </w:p>
    <w:p w:rsidR="007517B8" w:rsidRPr="00CD0727" w:rsidP="00C83F6C" w14:paraId="30F4F33A" w14:textId="1EF04674">
      <w:pPr>
        <w:widowControl/>
        <w:autoSpaceDE/>
        <w:autoSpaceDN/>
        <w:adjustRightInd/>
        <w:rPr>
          <w:rFonts w:ascii="Times New Roman"/>
        </w:rPr>
      </w:pPr>
      <w:r w:rsidRPr="00662AB8">
        <w:rPr>
          <w:rFonts w:ascii="Times New Roman"/>
        </w:rPr>
        <w:t xml:space="preserve">Therefore, the agency </w:t>
      </w:r>
      <w:r w:rsidRPr="00662AB8" w:rsidR="00076B72">
        <w:rPr>
          <w:rFonts w:ascii="Times New Roman"/>
        </w:rPr>
        <w:t xml:space="preserve">is not taking a burden </w:t>
      </w:r>
      <w:r w:rsidRPr="00662AB8" w:rsidR="00076B72">
        <w:rPr>
          <w:rFonts w:ascii="Times New Roman"/>
        </w:rPr>
        <w:t>for</w:t>
      </w:r>
      <w:r w:rsidRPr="00662AB8" w:rsidR="00076B72">
        <w:rPr>
          <w:rFonts w:ascii="Times New Roman"/>
        </w:rPr>
        <w:t xml:space="preserve"> the transfer of records.</w:t>
      </w:r>
    </w:p>
    <w:p w:rsidR="00E012CD" w:rsidRPr="00CD0727" w:rsidP="00E012CD" w14:paraId="4B287722" w14:textId="77777777">
      <w:pPr>
        <w:widowControl/>
        <w:autoSpaceDE/>
        <w:autoSpaceDN/>
        <w:adjustRightInd/>
        <w:rPr>
          <w:rFonts w:ascii="Times New Roman"/>
        </w:rPr>
      </w:pPr>
    </w:p>
    <w:p w:rsidR="00E012CD" w:rsidRPr="00844FB9" w:rsidP="00E012CD" w14:paraId="0FE24468" w14:textId="630206F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3.</w:t>
      </w:r>
      <w:r w:rsidRPr="56E51CD7" w:rsidR="2CD7BE93">
        <w:rPr>
          <w:rFonts w:ascii="Times New Roman"/>
          <w:b/>
          <w:bCs/>
        </w:rPr>
        <w:t xml:space="preserve"> </w:t>
      </w:r>
      <w:r w:rsidRPr="56E51CD7">
        <w:rPr>
          <w:rFonts w:ascii="Times New Roman"/>
          <w:b/>
          <w:bCs/>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w:t>
      </w:r>
      <w:r w:rsidRPr="56E51CD7" w:rsidR="2CD7BE93">
        <w:rPr>
          <w:rFonts w:ascii="Times New Roman"/>
          <w:b/>
          <w:bCs/>
        </w:rPr>
        <w:t xml:space="preserve"> </w:t>
      </w:r>
      <w:r w:rsidRPr="56E51CD7">
        <w:rPr>
          <w:rFonts w:ascii="Times New Roman"/>
          <w:b/>
          <w:bCs/>
        </w:rPr>
        <w:t>Also describe any consideration of using information technology to reduce burdens.</w:t>
      </w:r>
    </w:p>
    <w:p w:rsidR="00E012CD" w:rsidRPr="0052502E" w:rsidP="00E012CD" w14:paraId="76670EF0"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P="00E012CD" w14:paraId="6AB50020" w14:textId="59E3209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Employers may use improved information technology</w:t>
      </w:r>
      <w:r w:rsidR="009F7460">
        <w:rPr>
          <w:rFonts w:ascii="Times New Roman"/>
        </w:rPr>
        <w:t>, including electronic recording,</w:t>
      </w:r>
      <w:r w:rsidRPr="0052502E">
        <w:rPr>
          <w:rFonts w:ascii="Times New Roman"/>
        </w:rPr>
        <w:t xml:space="preserve"> when establishing and maintaining exposure-monitoring and </w:t>
      </w:r>
      <w:r w:rsidR="002A34DF">
        <w:rPr>
          <w:rFonts w:ascii="Times New Roman"/>
        </w:rPr>
        <w:t>performance-oriented</w:t>
      </w:r>
      <w:r w:rsidRPr="0052502E">
        <w:rPr>
          <w:rFonts w:ascii="Times New Roman"/>
        </w:rPr>
        <w:t xml:space="preserve"> records. OSHA wrote the paperwork</w:t>
      </w:r>
      <w:r>
        <w:rPr>
          <w:rFonts w:ascii="Times New Roman"/>
        </w:rPr>
        <w:t xml:space="preserve"> </w:t>
      </w:r>
      <w:r w:rsidRPr="0052502E">
        <w:rPr>
          <w:rFonts w:ascii="Times New Roman"/>
        </w:rPr>
        <w:t xml:space="preserve">requirements of the standard in performance-oriented language (i.e., in terms of </w:t>
      </w:r>
      <w:r w:rsidRPr="0052502E">
        <w:rPr>
          <w:rFonts w:ascii="Times New Roman"/>
          <w:u w:val="single"/>
        </w:rPr>
        <w:t>what</w:t>
      </w:r>
      <w:r w:rsidRPr="0052502E">
        <w:rPr>
          <w:rFonts w:ascii="Times New Roman"/>
        </w:rPr>
        <w:t xml:space="preserve"> data to </w:t>
      </w:r>
      <w:r w:rsidR="00B13E4E">
        <w:rPr>
          <w:rFonts w:ascii="Times New Roman"/>
        </w:rPr>
        <w:t>collect</w:t>
      </w:r>
      <w:r w:rsidRPr="0052502E">
        <w:rPr>
          <w:rFonts w:ascii="Times New Roman"/>
        </w:rPr>
        <w:t xml:space="preserve">, not </w:t>
      </w:r>
      <w:r w:rsidRPr="0052502E">
        <w:rPr>
          <w:rFonts w:ascii="Times New Roman"/>
          <w:u w:val="single"/>
        </w:rPr>
        <w:t>how</w:t>
      </w:r>
      <w:r w:rsidRPr="0052502E">
        <w:rPr>
          <w:rFonts w:ascii="Times New Roman"/>
        </w:rPr>
        <w:t xml:space="preserve"> to </w:t>
      </w:r>
      <w:r w:rsidR="00B13E4E">
        <w:rPr>
          <w:rFonts w:ascii="Times New Roman"/>
        </w:rPr>
        <w:t>record</w:t>
      </w:r>
      <w:r w:rsidRPr="0052502E">
        <w:rPr>
          <w:rFonts w:ascii="Times New Roman"/>
        </w:rPr>
        <w:t xml:space="preserve"> the data).</w:t>
      </w:r>
    </w:p>
    <w:p w:rsidR="00832DF1" w:rsidRPr="0052502E" w:rsidP="00E012CD" w14:paraId="63E021B1"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844FB9" w:rsidP="56E51CD7" w14:paraId="7BD16D7B" w14:textId="6D23F305">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4.</w:t>
      </w:r>
      <w:r w:rsidRPr="56E51CD7" w:rsidR="2CD7BE93">
        <w:rPr>
          <w:rFonts w:ascii="Times New Roman"/>
          <w:b/>
          <w:bCs/>
        </w:rPr>
        <w:t xml:space="preserve"> </w:t>
      </w:r>
      <w:r w:rsidRPr="56E51CD7">
        <w:rPr>
          <w:rFonts w:ascii="Times New Roman"/>
          <w:b/>
          <w:bCs/>
        </w:rPr>
        <w:t>Describe efforts to identify duplication.</w:t>
      </w:r>
      <w:r w:rsidRPr="56E51CD7" w:rsidR="2CD7BE93">
        <w:rPr>
          <w:rFonts w:ascii="Times New Roman"/>
          <w:b/>
          <w:bCs/>
        </w:rPr>
        <w:t xml:space="preserve"> </w:t>
      </w:r>
      <w:r w:rsidRPr="56E51CD7">
        <w:rPr>
          <w:rFonts w:ascii="Times New Roman"/>
          <w:b/>
          <w:bCs/>
        </w:rPr>
        <w:t xml:space="preserve">Show specifically why any similar information already available cannot be </w:t>
      </w:r>
      <w:r w:rsidRPr="56E51CD7">
        <w:rPr>
          <w:rFonts w:ascii="Times New Roman"/>
          <w:b/>
          <w:bCs/>
        </w:rPr>
        <w:t>use</w:t>
      </w:r>
      <w:r w:rsidRPr="56E51CD7">
        <w:rPr>
          <w:rFonts w:ascii="Times New Roman"/>
          <w:b/>
          <w:bCs/>
        </w:rPr>
        <w:t xml:space="preserve"> or modified for use for the purposes described in Item A.2</w:t>
      </w:r>
      <w:r w:rsidRPr="56E51CD7" w:rsidR="6FBD0511">
        <w:rPr>
          <w:rFonts w:ascii="Times New Roman"/>
          <w:b/>
          <w:bCs/>
        </w:rPr>
        <w:t>.</w:t>
      </w:r>
      <w:r w:rsidRPr="56E51CD7">
        <w:rPr>
          <w:rFonts w:ascii="Times New Roman"/>
          <w:b/>
          <w:bCs/>
        </w:rPr>
        <w:t xml:space="preserve"> above.</w:t>
      </w:r>
    </w:p>
    <w:p w:rsidR="00E012CD" w:rsidRPr="0052502E" w:rsidP="00E012CD" w14:paraId="2C61FE72"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E012CD" w:rsidRPr="0052502E" w:rsidP="00E012CD" w14:paraId="466B3182" w14:textId="7C6EBD72">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465D1FF">
        <w:rPr>
          <w:rFonts w:ascii="Times New Roman"/>
        </w:rPr>
        <w:t xml:space="preserve">The </w:t>
      </w:r>
      <w:r w:rsidRPr="0465D1FF" w:rsidR="00F758A3">
        <w:rPr>
          <w:rFonts w:ascii="Times New Roman"/>
        </w:rPr>
        <w:t xml:space="preserve">requirements to collect and maintain </w:t>
      </w:r>
      <w:r w:rsidRPr="0465D1FF">
        <w:rPr>
          <w:rFonts w:ascii="Times New Roman"/>
        </w:rPr>
        <w:t xml:space="preserve">information </w:t>
      </w:r>
      <w:r w:rsidRPr="0465D1FF" w:rsidR="0042715C">
        <w:rPr>
          <w:rFonts w:ascii="Times New Roman"/>
        </w:rPr>
        <w:t xml:space="preserve">are </w:t>
      </w:r>
      <w:r w:rsidRPr="0465D1FF">
        <w:rPr>
          <w:rFonts w:ascii="Times New Roman"/>
        </w:rPr>
        <w:t>specific to each employer and</w:t>
      </w:r>
      <w:r w:rsidRPr="0465D1FF" w:rsidR="009224EB">
        <w:rPr>
          <w:rFonts w:ascii="Times New Roman"/>
        </w:rPr>
        <w:t xml:space="preserve"> </w:t>
      </w:r>
      <w:r w:rsidRPr="0465D1FF" w:rsidR="00CD4427">
        <w:rPr>
          <w:rFonts w:ascii="Times New Roman"/>
        </w:rPr>
        <w:t>worker</w:t>
      </w:r>
      <w:r w:rsidRPr="0465D1FF">
        <w:rPr>
          <w:rFonts w:ascii="Times New Roman"/>
        </w:rPr>
        <w:t xml:space="preserve"> involved and </w:t>
      </w:r>
      <w:r w:rsidRPr="0465D1FF" w:rsidR="0042715C">
        <w:rPr>
          <w:rFonts w:ascii="Times New Roman"/>
        </w:rPr>
        <w:t xml:space="preserve">no other </w:t>
      </w:r>
      <w:r w:rsidRPr="0465D1FF" w:rsidR="0076606C">
        <w:rPr>
          <w:rFonts w:ascii="Times New Roman"/>
        </w:rPr>
        <w:t xml:space="preserve">agency duplicates these requirements or can make the required information available to </w:t>
      </w:r>
      <w:r w:rsidRPr="0465D1FF" w:rsidR="008E0D4B">
        <w:rPr>
          <w:rFonts w:ascii="Times New Roman"/>
        </w:rPr>
        <w:t xml:space="preserve">OSHA. </w:t>
      </w:r>
      <w:r w:rsidRPr="0465D1FF" w:rsidR="0060640B">
        <w:rPr>
          <w:rFonts w:ascii="Times New Roman"/>
        </w:rPr>
        <w:t>Currently</w:t>
      </w:r>
      <w:r w:rsidRPr="0465D1FF">
        <w:rPr>
          <w:rFonts w:ascii="Times New Roman"/>
        </w:rPr>
        <w:t>, there is no indication that any alternate source is available</w:t>
      </w:r>
      <w:r w:rsidRPr="0465D1FF" w:rsidR="00D93665">
        <w:rPr>
          <w:rFonts w:ascii="Times New Roman"/>
        </w:rPr>
        <w:t xml:space="preserve"> (i.e., the information is only available from employers)</w:t>
      </w:r>
      <w:r w:rsidRPr="0465D1FF">
        <w:rPr>
          <w:rFonts w:ascii="Times New Roman"/>
        </w:rPr>
        <w:t>.</w:t>
      </w:r>
    </w:p>
    <w:p w:rsidR="00E012CD" w:rsidRPr="0052502E" w:rsidP="00E012CD" w14:paraId="195716C1"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844FB9" w:rsidP="56E51CD7" w14:paraId="3D10AB60" w14:textId="2219848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5.</w:t>
      </w:r>
      <w:r w:rsidRPr="56E51CD7" w:rsidR="2CD7BE93">
        <w:rPr>
          <w:rFonts w:ascii="Times New Roman"/>
          <w:b/>
          <w:bCs/>
        </w:rPr>
        <w:t xml:space="preserve"> </w:t>
      </w:r>
      <w:r w:rsidRPr="56E51CD7">
        <w:rPr>
          <w:rFonts w:ascii="Times New Roman"/>
          <w:b/>
          <w:bCs/>
        </w:rPr>
        <w:t xml:space="preserve">If the collection of information impacts small </w:t>
      </w:r>
      <w:r w:rsidRPr="56E51CD7">
        <w:rPr>
          <w:rFonts w:ascii="Times New Roman"/>
          <w:b/>
          <w:bCs/>
        </w:rPr>
        <w:t>business</w:t>
      </w:r>
      <w:r w:rsidRPr="56E51CD7">
        <w:rPr>
          <w:rFonts w:ascii="Times New Roman"/>
          <w:b/>
          <w:bCs/>
        </w:rPr>
        <w:t xml:space="preserve"> or other entities, describe any methods used to minimize burden.</w:t>
      </w:r>
    </w:p>
    <w:p w:rsidR="00E012CD" w:rsidRPr="0052502E" w:rsidP="00E012CD" w14:paraId="438B63BB"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E012CD" w:rsidRPr="0052502E" w:rsidP="00E012CD" w14:paraId="557DDF50" w14:textId="7B92CEF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The information</w:t>
      </w:r>
      <w:r w:rsidR="009224EB">
        <w:rPr>
          <w:rFonts w:ascii="Times New Roman"/>
        </w:rPr>
        <w:t xml:space="preserve"> </w:t>
      </w:r>
      <w:r w:rsidRPr="0052502E">
        <w:rPr>
          <w:rFonts w:ascii="Times New Roman"/>
        </w:rPr>
        <w:t xml:space="preserve">collection requirements of the </w:t>
      </w:r>
      <w:r w:rsidR="00C47D58">
        <w:rPr>
          <w:rFonts w:ascii="Times New Roman"/>
        </w:rPr>
        <w:t>s</w:t>
      </w:r>
      <w:r w:rsidRPr="0052502E">
        <w:rPr>
          <w:rFonts w:ascii="Times New Roman"/>
        </w:rPr>
        <w:t>tandard do not have a significant impact on a substantial number of small entities.</w:t>
      </w:r>
    </w:p>
    <w:p w:rsidR="00E012CD" w:rsidRPr="0052502E" w:rsidP="00E012CD" w14:paraId="58ECECDB"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P="56E51CD7" w14:paraId="144783E0" w14:textId="334C892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6.</w:t>
      </w:r>
      <w:r w:rsidRPr="56E51CD7" w:rsidR="2CD7BE93">
        <w:rPr>
          <w:rFonts w:ascii="Times New Roman"/>
          <w:b/>
          <w:bCs/>
        </w:rPr>
        <w:t xml:space="preserve"> </w:t>
      </w:r>
      <w:r w:rsidRPr="56E51CD7">
        <w:rPr>
          <w:rFonts w:ascii="Times New Roman"/>
          <w:b/>
          <w:bCs/>
        </w:rPr>
        <w:t xml:space="preserve">Describe the </w:t>
      </w:r>
      <w:r w:rsidRPr="56E51CD7">
        <w:rPr>
          <w:rFonts w:ascii="Times New Roman"/>
          <w:b/>
          <w:bCs/>
        </w:rPr>
        <w:t>consequence</w:t>
      </w:r>
      <w:r w:rsidRPr="56E51CD7">
        <w:rPr>
          <w:rFonts w:ascii="Times New Roman"/>
          <w:b/>
          <w:bCs/>
        </w:rPr>
        <w:t xml:space="preserve"> </w:t>
      </w:r>
      <w:r w:rsidRPr="56E51CD7">
        <w:rPr>
          <w:rFonts w:ascii="Times New Roman"/>
          <w:b/>
          <w:bCs/>
        </w:rPr>
        <w:t>to</w:t>
      </w:r>
      <w:r w:rsidRPr="56E51CD7">
        <w:rPr>
          <w:rFonts w:ascii="Times New Roman"/>
          <w:b/>
          <w:bCs/>
        </w:rPr>
        <w:t xml:space="preserve"> Federal program or policy activities if the collection is not conducted or is conducted less frequently, as well as any technical or legal obstacles to reducing burden.</w:t>
      </w:r>
    </w:p>
    <w:p w:rsidR="00513ACE" w:rsidRPr="00844FB9" w:rsidP="00E012CD" w14:paraId="34DD6461"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820842" w:rsidRPr="001438C5" w:rsidP="00820842" w14:paraId="4C92795B" w14:textId="48B5F6CC">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 xml:space="preserve">The information collection frequencies specified by this standard are the minimum OSHA believes necessary to ensure that the employer and OSHA can effectively monitor the exposure and health status of workers working with or exposed to </w:t>
      </w:r>
      <w:r w:rsidRPr="56E51CD7" w:rsidR="4AC699BA">
        <w:rPr>
          <w:rFonts w:ascii="Times New Roman"/>
        </w:rPr>
        <w:t>lead</w:t>
      </w:r>
      <w:r w:rsidRPr="56E51CD7">
        <w:rPr>
          <w:rFonts w:ascii="Times New Roman"/>
        </w:rPr>
        <w:t>, thereby, fulfill</w:t>
      </w:r>
      <w:r w:rsidRPr="56E51CD7" w:rsidR="42738FC5">
        <w:rPr>
          <w:rFonts w:ascii="Times New Roman"/>
        </w:rPr>
        <w:t>ing</w:t>
      </w:r>
      <w:r w:rsidRPr="56E51CD7">
        <w:rPr>
          <w:rFonts w:ascii="Times New Roman"/>
        </w:rPr>
        <w:t xml:space="preserve"> its mandate "to assure so far as possible every working man and woman in the Nation safe and healthful working conditions and to preserve our human resources" as specified by the OSH Act at 29 U.S.C. 651.</w:t>
      </w:r>
      <w:r w:rsidRPr="56E51CD7" w:rsidR="2CD7BE93">
        <w:rPr>
          <w:rFonts w:ascii="Times New Roman"/>
        </w:rPr>
        <w:t xml:space="preserve"> </w:t>
      </w:r>
    </w:p>
    <w:p w:rsidR="00E012CD" w:rsidRPr="00844FB9" w:rsidP="00E012CD" w14:paraId="169AD496"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52502E" w:rsidP="00E012CD" w14:paraId="4CDA3869" w14:textId="005E97A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OSHA</w:t>
      </w:r>
      <w:r>
        <w:rPr>
          <w:rFonts w:ascii="Times New Roman"/>
        </w:rPr>
        <w:t>'</w:t>
      </w:r>
      <w:r w:rsidRPr="0052502E">
        <w:rPr>
          <w:rFonts w:ascii="Times New Roman"/>
        </w:rPr>
        <w:t xml:space="preserve">s recordkeeping requirements are </w:t>
      </w:r>
      <w:r>
        <w:rPr>
          <w:rFonts w:ascii="Times New Roman"/>
        </w:rPr>
        <w:t>d</w:t>
      </w:r>
      <w:r w:rsidRPr="0052502E">
        <w:rPr>
          <w:rFonts w:ascii="Times New Roman"/>
        </w:rPr>
        <w:t xml:space="preserve">esigned to ensure that employers are complying with applicable standards and that protection of </w:t>
      </w:r>
      <w:r>
        <w:rPr>
          <w:rFonts w:ascii="Times New Roman"/>
        </w:rPr>
        <w:t>worker</w:t>
      </w:r>
      <w:r w:rsidRPr="0052502E">
        <w:rPr>
          <w:rFonts w:ascii="Times New Roman"/>
        </w:rPr>
        <w:t xml:space="preserve">s exposed to lead is provided to the full extent required. Occupational safety and health compliance officers examine the records for this purpose when conducting inspections. Additionally, the data contained in exposure measurement records are useful to employers in pinpointing areas of their operations that may require additional efforts to reduce </w:t>
      </w:r>
      <w:r w:rsidR="005B1FF0">
        <w:rPr>
          <w:rFonts w:ascii="Times New Roman"/>
        </w:rPr>
        <w:t xml:space="preserve">occupational </w:t>
      </w:r>
      <w:r w:rsidRPr="0052502E">
        <w:rPr>
          <w:rFonts w:ascii="Times New Roman"/>
        </w:rPr>
        <w:t>exposure.</w:t>
      </w:r>
    </w:p>
    <w:p w:rsidR="00E012CD" w:rsidRPr="0052502E" w:rsidP="00E012CD" w14:paraId="6AB2FDA4"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513ACE" w:rsidRPr="0052502E" w:rsidP="00E012CD" w14:paraId="50692745" w14:textId="656D2901">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0052502E">
        <w:rPr>
          <w:rFonts w:ascii="Times New Roman"/>
        </w:rPr>
        <w:t xml:space="preserve">Records of previous medical examinations are used by physicians who must periodically examine </w:t>
      </w:r>
      <w:r w:rsidR="00CD4427">
        <w:rPr>
          <w:rFonts w:ascii="Times New Roman"/>
        </w:rPr>
        <w:t>worker</w:t>
      </w:r>
      <w:r w:rsidRPr="0052502E">
        <w:rPr>
          <w:rFonts w:ascii="Times New Roman"/>
        </w:rPr>
        <w:t xml:space="preserve">s exposed to lead. Without records of previous medical examinations, the physician may not be able to determine whether a </w:t>
      </w:r>
      <w:r>
        <w:rPr>
          <w:rFonts w:ascii="Times New Roman"/>
        </w:rPr>
        <w:t>worker</w:t>
      </w:r>
      <w:r w:rsidRPr="0052502E">
        <w:rPr>
          <w:rFonts w:ascii="Times New Roman"/>
        </w:rPr>
        <w:t xml:space="preserve"> has suffered an adverse health effect since </w:t>
      </w:r>
      <w:r w:rsidR="004B5D8E">
        <w:rPr>
          <w:rFonts w:ascii="Times New Roman"/>
        </w:rPr>
        <w:t>their</w:t>
      </w:r>
      <w:r w:rsidRPr="0052502E">
        <w:rPr>
          <w:rFonts w:ascii="Times New Roman"/>
        </w:rPr>
        <w:t xml:space="preserve"> last examination. Further, when symptoms of organic damage appear, the physician often needs information as to the patient's previous medical condition to make an accurate diagnosis of the new problem, its apparent cause, and the course of treatment required.</w:t>
      </w:r>
    </w:p>
    <w:p w:rsidR="00E012CD" w:rsidRPr="0052502E" w:rsidP="00E012CD" w14:paraId="00FE914C"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844FB9" w:rsidP="00E012CD" w14:paraId="4118CA87" w14:textId="242CC184">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7.</w:t>
      </w:r>
      <w:r w:rsidRPr="56E51CD7" w:rsidR="2CD7BE93">
        <w:rPr>
          <w:rFonts w:ascii="Times New Roman"/>
          <w:b/>
          <w:bCs/>
        </w:rPr>
        <w:t xml:space="preserve"> </w:t>
      </w:r>
      <w:r w:rsidRPr="56E51CD7">
        <w:rPr>
          <w:rFonts w:ascii="Times New Roman"/>
          <w:b/>
          <w:bCs/>
        </w:rPr>
        <w:t>Explain any special circumstances that would cause an information collection to be conducted in a manner:</w:t>
      </w:r>
    </w:p>
    <w:p w:rsidR="00E012CD" w:rsidRPr="00844FB9" w:rsidP="00E012CD" w14:paraId="6F1E868A"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844FB9" w:rsidP="56E51CD7" w14:paraId="011C5E36" w14:textId="6F8ED695">
      <w:pPr>
        <w:numPr>
          <w:ilvl w:val="0"/>
          <w:numId w:val="4"/>
        </w:numPr>
        <w:tabs>
          <w:tab w:val="left" w:pos="360"/>
          <w:tab w:val="left" w:pos="9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R</w:t>
      </w:r>
      <w:r w:rsidRPr="56E51CD7" w:rsidR="70322B03">
        <w:rPr>
          <w:rFonts w:ascii="Times New Roman"/>
          <w:b/>
          <w:bCs/>
        </w:rPr>
        <w:t xml:space="preserve">equiring respondents to report information to the agency more often than </w:t>
      </w:r>
      <w:r w:rsidRPr="56E51CD7" w:rsidR="70322B03">
        <w:rPr>
          <w:rFonts w:ascii="Times New Roman"/>
          <w:b/>
          <w:bCs/>
        </w:rPr>
        <w:t>quarterly;</w:t>
      </w:r>
    </w:p>
    <w:p w:rsidR="00E012CD" w:rsidRPr="00844FB9" w:rsidP="00E012CD" w14:paraId="3856FDAF"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FD772E" w:rsidP="00FD772E" w14:paraId="7C4EE1A9" w14:textId="44B5FD11">
      <w:pPr>
        <w:pStyle w:val="ListParagraph"/>
        <w:numPr>
          <w:ilvl w:val="0"/>
          <w:numId w:val="4"/>
        </w:num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FD772E">
        <w:rPr>
          <w:rFonts w:ascii="Times New Roman"/>
          <w:b/>
          <w:bCs/>
        </w:rPr>
        <w:t>R</w:t>
      </w:r>
      <w:r w:rsidRPr="00FD772E" w:rsidR="00DE7D9E">
        <w:rPr>
          <w:rFonts w:ascii="Times New Roman"/>
          <w:b/>
          <w:bCs/>
        </w:rPr>
        <w:t>equiring respondents to prepare a written response to a collection of information in fewer tha</w:t>
      </w:r>
      <w:r w:rsidRPr="00FD772E" w:rsidR="214C8D31">
        <w:rPr>
          <w:rFonts w:ascii="Times New Roman"/>
          <w:b/>
          <w:bCs/>
        </w:rPr>
        <w:t>n</w:t>
      </w:r>
      <w:r w:rsidRPr="00FD772E" w:rsidR="00DE7D9E">
        <w:rPr>
          <w:rFonts w:ascii="Times New Roman"/>
          <w:b/>
          <w:bCs/>
        </w:rPr>
        <w:t xml:space="preserve"> 30 days after </w:t>
      </w:r>
      <w:r w:rsidRPr="00FD772E" w:rsidR="00DE7D9E">
        <w:rPr>
          <w:rFonts w:ascii="Times New Roman"/>
          <w:b/>
          <w:bCs/>
        </w:rPr>
        <w:t>receipt of</w:t>
      </w:r>
      <w:r w:rsidRPr="00FD772E" w:rsidR="00DE7D9E">
        <w:rPr>
          <w:rFonts w:ascii="Times New Roman"/>
          <w:b/>
          <w:bCs/>
        </w:rPr>
        <w:t xml:space="preserve"> </w:t>
      </w:r>
      <w:r w:rsidRPr="00FD772E" w:rsidR="00DE7D9E">
        <w:rPr>
          <w:rFonts w:ascii="Times New Roman"/>
          <w:b/>
          <w:bCs/>
        </w:rPr>
        <w:t>it;</w:t>
      </w:r>
    </w:p>
    <w:p w:rsidR="00E012CD" w:rsidRPr="00844FB9" w:rsidP="00E012CD" w14:paraId="793419CF"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FD772E" w:rsidP="00FD772E" w14:paraId="5ECF1F7F" w14:textId="4EFE10B0">
      <w:pPr>
        <w:pStyle w:val="ListParagraph"/>
        <w:numPr>
          <w:ilvl w:val="0"/>
          <w:numId w:val="4"/>
        </w:num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FD772E">
        <w:rPr>
          <w:rFonts w:ascii="Times New Roman"/>
          <w:b/>
          <w:bCs/>
        </w:rPr>
        <w:t>R</w:t>
      </w:r>
      <w:r w:rsidRPr="00FD772E" w:rsidR="00DE7D9E">
        <w:rPr>
          <w:rFonts w:ascii="Times New Roman"/>
          <w:b/>
          <w:bCs/>
        </w:rPr>
        <w:t xml:space="preserve">equiring respondents to submit more than an original and two copies of any </w:t>
      </w:r>
      <w:r w:rsidRPr="00FD772E" w:rsidR="00DE7D9E">
        <w:rPr>
          <w:rFonts w:ascii="Times New Roman"/>
          <w:b/>
          <w:bCs/>
        </w:rPr>
        <w:t>document;</w:t>
      </w:r>
    </w:p>
    <w:p w:rsidR="00E012CD" w:rsidRPr="00844FB9" w:rsidP="00E012CD" w14:paraId="4AF82A5F"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FD772E" w:rsidP="00FD772E" w14:paraId="2D7E532F" w14:textId="3F47CB2C">
      <w:pPr>
        <w:pStyle w:val="ListParagraph"/>
        <w:numPr>
          <w:ilvl w:val="0"/>
          <w:numId w:val="4"/>
        </w:num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FD772E">
        <w:rPr>
          <w:rFonts w:ascii="Times New Roman"/>
          <w:b/>
          <w:bCs/>
        </w:rPr>
        <w:t>R</w:t>
      </w:r>
      <w:r w:rsidRPr="00FD772E" w:rsidR="00DE7D9E">
        <w:rPr>
          <w:rFonts w:ascii="Times New Roman"/>
          <w:b/>
          <w:bCs/>
        </w:rPr>
        <w:t xml:space="preserve">equiring respondents to retain records, other than health, medical, government contract, grant-in-aid, or tax records for more than three </w:t>
      </w:r>
      <w:r w:rsidRPr="00FD772E" w:rsidR="00DE7D9E">
        <w:rPr>
          <w:rFonts w:ascii="Times New Roman"/>
          <w:b/>
          <w:bCs/>
        </w:rPr>
        <w:t>years;</w:t>
      </w:r>
    </w:p>
    <w:p w:rsidR="00E012CD" w:rsidRPr="00844FB9" w:rsidP="00E012CD" w14:paraId="6249EF4A"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FD772E" w:rsidP="00FD772E" w14:paraId="496DD315" w14:textId="387FB539">
      <w:pPr>
        <w:pStyle w:val="ListParagraph"/>
        <w:numPr>
          <w:ilvl w:val="0"/>
          <w:numId w:val="4"/>
        </w:num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FD772E">
        <w:rPr>
          <w:rFonts w:ascii="Times New Roman"/>
          <w:b/>
          <w:bCs/>
        </w:rPr>
        <w:t>I</w:t>
      </w:r>
      <w:r w:rsidRPr="00FD772E" w:rsidR="00DE7D9E">
        <w:rPr>
          <w:rFonts w:ascii="Times New Roman"/>
          <w:b/>
          <w:bCs/>
        </w:rPr>
        <w:t xml:space="preserve">n connection with a statistical survey, that is not designed to produce valid and reliable results that can be generalized to the universe of </w:t>
      </w:r>
      <w:r w:rsidRPr="00FD772E" w:rsidR="00DE7D9E">
        <w:rPr>
          <w:rFonts w:ascii="Times New Roman"/>
          <w:b/>
          <w:bCs/>
        </w:rPr>
        <w:t>study;</w:t>
      </w:r>
    </w:p>
    <w:p w:rsidR="00E012CD" w:rsidRPr="00844FB9" w:rsidP="00E012CD" w14:paraId="1547A75F"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FD772E" w:rsidP="00FD772E" w14:paraId="78EC99B6" w14:textId="055B7394">
      <w:pPr>
        <w:pStyle w:val="ListParagraph"/>
        <w:numPr>
          <w:ilvl w:val="0"/>
          <w:numId w:val="4"/>
        </w:num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FD772E">
        <w:rPr>
          <w:rFonts w:ascii="Times New Roman"/>
          <w:b/>
          <w:bCs/>
        </w:rPr>
        <w:t>R</w:t>
      </w:r>
      <w:r w:rsidRPr="00FD772E" w:rsidR="00DE7D9E">
        <w:rPr>
          <w:rFonts w:ascii="Times New Roman"/>
          <w:b/>
          <w:bCs/>
        </w:rPr>
        <w:t xml:space="preserve">equiring the use of a statistical data classification that has not been reviewed and approved by </w:t>
      </w:r>
      <w:r w:rsidRPr="00FD772E" w:rsidR="00DE7D9E">
        <w:rPr>
          <w:rFonts w:ascii="Times New Roman"/>
          <w:b/>
          <w:bCs/>
        </w:rPr>
        <w:t>OMB;</w:t>
      </w:r>
    </w:p>
    <w:p w:rsidR="00E012CD" w:rsidRPr="00844FB9" w:rsidP="00E012CD" w14:paraId="27D1CFC8"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FD772E" w:rsidP="00FD772E" w14:paraId="371CFE74" w14:textId="117AB298">
      <w:pPr>
        <w:pStyle w:val="ListParagraph"/>
        <w:numPr>
          <w:ilvl w:val="0"/>
          <w:numId w:val="4"/>
        </w:num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FD772E">
        <w:rPr>
          <w:rFonts w:ascii="Times New Roman"/>
          <w:b/>
          <w:bCs/>
        </w:rPr>
        <w:t>T</w:t>
      </w:r>
      <w:r w:rsidRPr="00FD772E" w:rsidR="00DE7D9E">
        <w:rPr>
          <w:rFonts w:ascii="Times New Roman"/>
          <w:b/>
          <w:bCs/>
        </w:rPr>
        <w:t xml:space="preserve">hat includes a pledge of confidentiality that is not supported by authority established in statute or regulation, that is not supported by disclosure and </w:t>
      </w:r>
      <w:r w:rsidRPr="00FD772E" w:rsidR="00DE7D9E">
        <w:rPr>
          <w:rFonts w:ascii="Times New Roman"/>
          <w:b/>
          <w:bCs/>
        </w:rPr>
        <w:t>data security policies that are consistent with the pledge, or which unnecessarily impedes sharing of data with other agencies for compatible confidential use; or</w:t>
      </w:r>
    </w:p>
    <w:p w:rsidR="00E012CD" w:rsidRPr="00844FB9" w:rsidP="00E012CD" w14:paraId="6E5A76F6"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FD772E" w:rsidP="00FD772E" w14:paraId="1F92BEDE" w14:textId="0DD4C531">
      <w:pPr>
        <w:pStyle w:val="ListParagraph"/>
        <w:numPr>
          <w:ilvl w:val="0"/>
          <w:numId w:val="4"/>
        </w:num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00FD772E">
        <w:rPr>
          <w:rFonts w:ascii="Times New Roman"/>
          <w:b/>
          <w:bCs/>
        </w:rPr>
        <w:t>R</w:t>
      </w:r>
      <w:r w:rsidRPr="00FD772E" w:rsidR="00DE7D9E">
        <w:rPr>
          <w:rFonts w:ascii="Times New Roman"/>
          <w:b/>
          <w:bCs/>
        </w:rPr>
        <w:t xml:space="preserve">equiring respondents to submit proprietary trade </w:t>
      </w:r>
      <w:r w:rsidRPr="00FD772E" w:rsidR="00DE7D9E">
        <w:rPr>
          <w:rFonts w:ascii="Times New Roman"/>
          <w:b/>
          <w:bCs/>
        </w:rPr>
        <w:t>secret</w:t>
      </w:r>
      <w:r w:rsidRPr="00FD772E" w:rsidR="00DE7D9E">
        <w:rPr>
          <w:rFonts w:ascii="Times New Roman"/>
          <w:b/>
          <w:bCs/>
        </w:rPr>
        <w:t>, or other confidential information unless the agency can demonstrate that it has instituted procedures to protect the information's confidentiality to the extent permitted by law.</w:t>
      </w:r>
    </w:p>
    <w:p w:rsidR="00E012CD" w:rsidRPr="00B16303" w:rsidP="00E012CD" w14:paraId="5BB11C18" w14:textId="642DDB1B">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52502E" w:rsidP="00E012CD" w14:paraId="348FAF91" w14:textId="69D764DD">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sidRPr="56E51CD7">
        <w:rPr>
          <w:rFonts w:ascii="Times New Roman"/>
        </w:rPr>
        <w:t>Under section</w:t>
      </w:r>
      <w:r w:rsidRPr="56E51CD7" w:rsidR="70322B03">
        <w:rPr>
          <w:rFonts w:ascii="Times New Roman"/>
        </w:rPr>
        <w:t xml:space="preserve"> (d)(8) </w:t>
      </w:r>
      <w:r w:rsidRPr="56E51CD7" w:rsidR="57AEE0C4">
        <w:rPr>
          <w:rFonts w:ascii="Times New Roman"/>
        </w:rPr>
        <w:t>of the standard</w:t>
      </w:r>
      <w:r w:rsidRPr="56E51CD7" w:rsidR="39823494">
        <w:rPr>
          <w:rFonts w:ascii="Times New Roman"/>
        </w:rPr>
        <w:t>,</w:t>
      </w:r>
      <w:r w:rsidRPr="56E51CD7" w:rsidR="70322B03">
        <w:rPr>
          <w:rFonts w:ascii="Times New Roman"/>
        </w:rPr>
        <w:t xml:space="preserve"> employers </w:t>
      </w:r>
      <w:r w:rsidRPr="56E51CD7" w:rsidR="39823494">
        <w:rPr>
          <w:rFonts w:ascii="Times New Roman"/>
        </w:rPr>
        <w:t>must</w:t>
      </w:r>
      <w:r w:rsidRPr="56E51CD7" w:rsidR="70322B03">
        <w:rPr>
          <w:rFonts w:ascii="Times New Roman"/>
        </w:rPr>
        <w:t xml:space="preserve"> notify workers of their exposure monitoring results, individually, </w:t>
      </w:r>
      <w:r w:rsidRPr="56E51CD7" w:rsidR="34F20AC4">
        <w:rPr>
          <w:rFonts w:ascii="Times New Roman"/>
        </w:rPr>
        <w:t xml:space="preserve">and </w:t>
      </w:r>
      <w:r w:rsidRPr="56E51CD7" w:rsidR="70322B03">
        <w:rPr>
          <w:rFonts w:ascii="Times New Roman"/>
        </w:rPr>
        <w:t>in</w:t>
      </w:r>
      <w:r w:rsidRPr="56E51CD7" w:rsidR="70322B03">
        <w:rPr>
          <w:rFonts w:ascii="Times New Roman"/>
        </w:rPr>
        <w:t xml:space="preserve"> writing or by posting</w:t>
      </w:r>
      <w:r w:rsidRPr="56E51CD7" w:rsidR="35D68289">
        <w:rPr>
          <w:rFonts w:ascii="Times New Roman"/>
        </w:rPr>
        <w:t xml:space="preserve"> in an appropriate location</w:t>
      </w:r>
      <w:r w:rsidRPr="56E51CD7" w:rsidR="70322B03">
        <w:rPr>
          <w:rFonts w:ascii="Times New Roman"/>
        </w:rPr>
        <w:t xml:space="preserve">, within 15 working days after </w:t>
      </w:r>
      <w:r w:rsidRPr="56E51CD7" w:rsidR="34F20AC4">
        <w:rPr>
          <w:rFonts w:ascii="Times New Roman"/>
        </w:rPr>
        <w:t>obtaining</w:t>
      </w:r>
      <w:r w:rsidRPr="56E51CD7" w:rsidR="70322B03">
        <w:rPr>
          <w:rFonts w:ascii="Times New Roman"/>
        </w:rPr>
        <w:t xml:space="preserve"> the results. Also</w:t>
      </w:r>
      <w:r w:rsidRPr="56E51CD7" w:rsidR="47B12BF7">
        <w:rPr>
          <w:rFonts w:ascii="Times New Roman"/>
        </w:rPr>
        <w:t>,</w:t>
      </w:r>
      <w:r w:rsidRPr="56E51CD7" w:rsidR="70322B03">
        <w:rPr>
          <w:rFonts w:ascii="Times New Roman"/>
        </w:rPr>
        <w:t xml:space="preserve"> paragraph (j)(2)(iv) requires employers to notify </w:t>
      </w:r>
      <w:r w:rsidRPr="56E51CD7" w:rsidR="0FC13A8A">
        <w:rPr>
          <w:rFonts w:ascii="Times New Roman"/>
        </w:rPr>
        <w:t>worker</w:t>
      </w:r>
      <w:r w:rsidRPr="56E51CD7" w:rsidR="70322B03">
        <w:rPr>
          <w:rFonts w:ascii="Times New Roman"/>
        </w:rPr>
        <w:t xml:space="preserve">s of their biological monitoring results within five working days of </w:t>
      </w:r>
      <w:r w:rsidRPr="56E51CD7" w:rsidR="5283C278">
        <w:rPr>
          <w:rFonts w:ascii="Times New Roman"/>
        </w:rPr>
        <w:t xml:space="preserve">obtaining </w:t>
      </w:r>
      <w:r w:rsidRPr="56E51CD7" w:rsidR="70322B03">
        <w:rPr>
          <w:rFonts w:ascii="Times New Roman"/>
        </w:rPr>
        <w:t xml:space="preserve">the results. </w:t>
      </w:r>
      <w:r w:rsidRPr="56E51CD7" w:rsidR="1E15F469">
        <w:rPr>
          <w:rFonts w:ascii="Times New Roman"/>
        </w:rPr>
        <w:t>If these results indicate that a worker's exposures are above the PEL, the notification must state this fact and describe what corrective actions the employer is taking to reduce the worker's exposure to or below the PEL.</w:t>
      </w:r>
      <w:r w:rsidRPr="56E51CD7" w:rsidR="2CD7BE93">
        <w:rPr>
          <w:rFonts w:ascii="Times New Roman"/>
        </w:rPr>
        <w:t xml:space="preserve"> </w:t>
      </w:r>
    </w:p>
    <w:p w:rsidR="00A067D1" w:rsidRPr="00020B6F" w:rsidP="00E012CD" w14:paraId="074F2845"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A067D1" w:rsidP="56E51CD7" w14:paraId="02C88356" w14:textId="61B91E8C">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highlight w:val="yellow"/>
        </w:rPr>
      </w:pPr>
      <w:r w:rsidRPr="56E51CD7">
        <w:rPr>
          <w:rFonts w:ascii="Times New Roman"/>
        </w:rPr>
        <w:t>In addition, under OSHA’s Access to Employee Exposure and Medical Records Standard (</w:t>
      </w:r>
      <w:r w:rsidRPr="56E51CD7" w:rsidR="0AFFCAB6">
        <w:rPr>
          <w:rFonts w:ascii="Times New Roman"/>
        </w:rPr>
        <w:t>§</w:t>
      </w:r>
      <w:r w:rsidRPr="56E51CD7">
        <w:rPr>
          <w:rFonts w:ascii="Times New Roman"/>
        </w:rPr>
        <w:t> </w:t>
      </w:r>
      <w:r w:rsidRPr="56E51CD7" w:rsidR="0AFFCAB6">
        <w:rPr>
          <w:rFonts w:ascii="Times New Roman"/>
        </w:rPr>
        <w:t>1</w:t>
      </w:r>
      <w:r w:rsidRPr="56E51CD7">
        <w:rPr>
          <w:rFonts w:ascii="Times New Roman"/>
        </w:rPr>
        <w:t>910.1020), employers must maintain the exposure monitoring results for 30 years.</w:t>
      </w:r>
      <w:r w:rsidRPr="56E51CD7" w:rsidR="2CD7BE93">
        <w:rPr>
          <w:rFonts w:ascii="Times New Roman"/>
        </w:rPr>
        <w:t xml:space="preserve"> </w:t>
      </w:r>
      <w:r w:rsidRPr="56E51CD7" w:rsidR="7F5D844E">
        <w:rPr>
          <w:rFonts w:ascii="Times New Roman"/>
        </w:rPr>
        <w:t>OSHA accounts for the burden hours and costs related to the retention of these records under the Information Collection Request (ICR) for §</w:t>
      </w:r>
      <w:r w:rsidRPr="56E51CD7">
        <w:rPr>
          <w:rFonts w:ascii="Times New Roman"/>
        </w:rPr>
        <w:t xml:space="preserve"> </w:t>
      </w:r>
      <w:r w:rsidRPr="56E51CD7" w:rsidR="7F5D844E">
        <w:rPr>
          <w:rFonts w:ascii="Times New Roman"/>
        </w:rPr>
        <w:t>1910.1020, OMB Control No. 1218-0065</w:t>
      </w:r>
      <w:r w:rsidR="00265A0C">
        <w:rPr>
          <w:rFonts w:ascii="Times New Roman"/>
        </w:rPr>
        <w:t>.</w:t>
      </w:r>
    </w:p>
    <w:p w:rsidR="00A067D1" w:rsidP="00E012CD" w14:paraId="61632A6B"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844FB9" w:rsidP="56E51CD7" w14:paraId="345F4336" w14:textId="38E61D4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8.</w:t>
      </w:r>
      <w:r w:rsidRPr="56E51CD7" w:rsidR="2CD7BE93">
        <w:rPr>
          <w:rFonts w:ascii="Times New Roman"/>
          <w:b/>
          <w:bCs/>
        </w:rPr>
        <w:t xml:space="preserve"> </w:t>
      </w:r>
      <w:r w:rsidRPr="56E51CD7">
        <w:rPr>
          <w:rFonts w:ascii="Times New Roman"/>
          <w:b/>
          <w:bCs/>
        </w:rPr>
        <w:t xml:space="preserve">If applicable, provide a copy and identify the date and page number of </w:t>
      </w:r>
      <w:r w:rsidRPr="56E51CD7">
        <w:rPr>
          <w:rFonts w:ascii="Times New Roman"/>
          <w:b/>
          <w:bCs/>
        </w:rPr>
        <w:t>publication</w:t>
      </w:r>
      <w:r w:rsidRPr="56E51CD7">
        <w:rPr>
          <w:rFonts w:ascii="Times New Roman"/>
          <w:b/>
          <w:bCs/>
        </w:rPr>
        <w:t xml:space="preserve"> in the </w:t>
      </w:r>
      <w:r w:rsidRPr="56E51CD7">
        <w:rPr>
          <w:rFonts w:ascii="Times New Roman"/>
          <w:b/>
          <w:bCs/>
          <w:u w:val="single"/>
        </w:rPr>
        <w:t>Federal</w:t>
      </w:r>
      <w:r w:rsidRPr="56E51CD7">
        <w:rPr>
          <w:rFonts w:ascii="Times New Roman"/>
          <w:b/>
          <w:bCs/>
        </w:rPr>
        <w:t xml:space="preserve"> </w:t>
      </w:r>
      <w:r w:rsidRPr="56E51CD7">
        <w:rPr>
          <w:rFonts w:ascii="Times New Roman"/>
          <w:b/>
          <w:bCs/>
          <w:u w:val="single"/>
        </w:rPr>
        <w:t>Register</w:t>
      </w:r>
      <w:r w:rsidRPr="56E51CD7">
        <w:rPr>
          <w:rFonts w:ascii="Times New Roman"/>
          <w:b/>
          <w:bCs/>
        </w:rPr>
        <w:t xml:space="preserve"> of the agency's notice, required by 5 CFR 1320.8(d), soliciting comments on the information collectio</w:t>
      </w:r>
      <w:r w:rsidRPr="56E51CD7" w:rsidR="79235ACB">
        <w:rPr>
          <w:rFonts w:ascii="Times New Roman"/>
          <w:b/>
          <w:bCs/>
        </w:rPr>
        <w:t>n prior to submission to OMB.</w:t>
      </w:r>
      <w:r w:rsidRPr="56E51CD7" w:rsidR="2CD7BE93">
        <w:rPr>
          <w:rFonts w:ascii="Times New Roman"/>
          <w:b/>
          <w:bCs/>
        </w:rPr>
        <w:t xml:space="preserve"> </w:t>
      </w:r>
      <w:r w:rsidRPr="56E51CD7">
        <w:rPr>
          <w:rFonts w:ascii="Times New Roman"/>
          <w:b/>
          <w:bCs/>
        </w:rPr>
        <w:t>Summarize public comments received in response to that notice and describe actions taken by the agency in response to these comments.</w:t>
      </w:r>
      <w:r w:rsidRPr="56E51CD7" w:rsidR="2CD7BE93">
        <w:rPr>
          <w:rFonts w:ascii="Times New Roman"/>
          <w:b/>
          <w:bCs/>
        </w:rPr>
        <w:t xml:space="preserve"> </w:t>
      </w:r>
      <w:r w:rsidRPr="56E51CD7">
        <w:rPr>
          <w:rFonts w:ascii="Times New Roman"/>
          <w:b/>
          <w:bCs/>
        </w:rPr>
        <w:t>Specifically address comments received on cost and hour burden.</w:t>
      </w:r>
    </w:p>
    <w:p w:rsidR="00E012CD" w:rsidRPr="00844FB9" w:rsidP="00E012CD" w14:paraId="45A22E28" w14:textId="77777777">
      <w:pPr>
        <w:tabs>
          <w:tab w:val="left" w:pos="360"/>
          <w:tab w:val="left" w:pos="960"/>
          <w:tab w:val="left" w:pos="1560"/>
          <w:tab w:val="left" w:pos="2160"/>
          <w:tab w:val="left" w:pos="2760"/>
          <w:tab w:val="left" w:pos="3360"/>
          <w:tab w:val="left" w:pos="4080"/>
          <w:tab w:val="left" w:pos="4680"/>
          <w:tab w:val="left" w:pos="5280"/>
          <w:tab w:val="left" w:pos="5880"/>
        </w:tabs>
        <w:ind w:left="960"/>
        <w:rPr>
          <w:rFonts w:ascii="Times New Roman"/>
          <w:b/>
        </w:rPr>
      </w:pPr>
    </w:p>
    <w:p w:rsidR="00E012CD" w:rsidRPr="00844FB9" w:rsidP="00E012CD" w14:paraId="79D18F91" w14:textId="77777777">
      <w:pPr>
        <w:rPr>
          <w:rFonts w:ascii="Times New Roman"/>
          <w:b/>
        </w:rPr>
      </w:pPr>
      <w:r w:rsidRPr="00844FB9">
        <w:rPr>
          <w:rFonts w:ascii="Times New Roman"/>
          <w:b/>
        </w:rPr>
        <w:t xml:space="preserve">Describe efforts to consult with </w:t>
      </w:r>
      <w:r w:rsidRPr="00844FB9">
        <w:rPr>
          <w:rFonts w:ascii="Times New Roman"/>
          <w:b/>
        </w:rPr>
        <w:t>persons</w:t>
      </w:r>
      <w:r w:rsidRPr="00844FB9">
        <w:rPr>
          <w:rFonts w:ascii="Times New Roman"/>
          <w:b/>
        </w:rPr>
        <w:t xml:space="preserve"> outside the agency to obtain their views on the availability of data, frequency of collection, the clarity of instructions and recordkeeping, disclosure, or reporting format (if any), and on the data elements to be recorded, or reported.</w:t>
      </w:r>
    </w:p>
    <w:p w:rsidR="00E012CD" w:rsidRPr="00844FB9" w:rsidP="00E012CD" w14:paraId="777DA21C"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E012CD" w:rsidRPr="00844FB9" w:rsidP="00E012CD" w14:paraId="29C116DE" w14:textId="52FEDC55">
      <w:pPr>
        <w:rPr>
          <w:rFonts w:ascii="Times New Roman"/>
          <w:b/>
          <w:bCs/>
        </w:rPr>
      </w:pPr>
      <w:r w:rsidRPr="56E51CD7">
        <w:rPr>
          <w:rFonts w:ascii="Times New Roman"/>
          <w:b/>
          <w:bCs/>
        </w:rPr>
        <w:t>Consultation</w:t>
      </w:r>
      <w:r w:rsidRPr="56E51CD7">
        <w:rPr>
          <w:rFonts w:ascii="Times New Roman"/>
          <w:b/>
          <w:bCs/>
        </w:rPr>
        <w:t xml:space="preserve"> with representatives of those from whom information is to be obtained or those who must compile records should occur at least once every 3 years -- even if the collection of information activity is the same as in prior periods.</w:t>
      </w:r>
      <w:r w:rsidRPr="56E51CD7" w:rsidR="2CD7BE93">
        <w:rPr>
          <w:rFonts w:ascii="Times New Roman"/>
          <w:b/>
          <w:bCs/>
        </w:rPr>
        <w:t xml:space="preserve"> </w:t>
      </w:r>
      <w:r w:rsidRPr="56E51CD7">
        <w:rPr>
          <w:rFonts w:ascii="Times New Roman"/>
          <w:b/>
          <w:bCs/>
        </w:rPr>
        <w:t>There may be circumstances that may preclude consultation in specific situations.</w:t>
      </w:r>
      <w:r w:rsidRPr="56E51CD7" w:rsidR="2CD7BE93">
        <w:rPr>
          <w:rFonts w:ascii="Times New Roman"/>
          <w:b/>
          <w:bCs/>
        </w:rPr>
        <w:t xml:space="preserve"> </w:t>
      </w:r>
      <w:r w:rsidRPr="56E51CD7">
        <w:rPr>
          <w:rFonts w:ascii="Times New Roman"/>
          <w:b/>
          <w:bCs/>
        </w:rPr>
        <w:t>These circumstances should be explained.</w:t>
      </w:r>
    </w:p>
    <w:p w:rsidR="002259AB" w:rsidP="002259AB" w14:paraId="1D60140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color w:val="000000"/>
        </w:rPr>
      </w:pPr>
    </w:p>
    <w:p w:rsidR="00A61F02" w:rsidP="002259AB" w14:paraId="7736CCAF" w14:textId="3161598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rPr>
      </w:pPr>
      <w:r w:rsidRPr="00A067D1">
        <w:rPr>
          <w:rFonts w:ascii="Times New Roman" w:eastAsia="Times New Roman"/>
          <w:color w:val="000000"/>
        </w:rPr>
        <w:t xml:space="preserve">As </w:t>
      </w:r>
      <w:r w:rsidRPr="00A067D1">
        <w:rPr>
          <w:rFonts w:ascii="Times New Roman" w:eastAsia="Times New Roman"/>
        </w:rPr>
        <w:t>required by the Paperwork Reduction Act</w:t>
      </w:r>
      <w:r w:rsidR="00986CF5">
        <w:rPr>
          <w:rFonts w:ascii="Times New Roman" w:eastAsia="Times New Roman"/>
        </w:rPr>
        <w:t xml:space="preserve"> of 1995</w:t>
      </w:r>
      <w:r w:rsidR="00A90147">
        <w:rPr>
          <w:rFonts w:ascii="Times New Roman" w:eastAsia="Times New Roman"/>
        </w:rPr>
        <w:t xml:space="preserve"> (</w:t>
      </w:r>
      <w:r w:rsidRPr="00A067D1">
        <w:rPr>
          <w:rFonts w:ascii="Times New Roman" w:eastAsia="Times New Roman"/>
        </w:rPr>
        <w:t>44 U.S.C. 3506(c)(2)(A)), OSHA</w:t>
      </w:r>
      <w:r>
        <w:rPr>
          <w:rFonts w:ascii="Times New Roman" w:eastAsia="Times New Roman"/>
        </w:rPr>
        <w:t xml:space="preserve"> </w:t>
      </w:r>
      <w:r w:rsidRPr="00A067D1">
        <w:rPr>
          <w:rFonts w:ascii="Times New Roman" w:eastAsia="Times New Roman"/>
        </w:rPr>
        <w:t xml:space="preserve">published a notice in the </w:t>
      </w:r>
      <w:r w:rsidRPr="004A2AAC">
        <w:rPr>
          <w:rFonts w:ascii="Times New Roman" w:eastAsia="Times New Roman"/>
          <w:bCs/>
        </w:rPr>
        <w:t>Federal Register</w:t>
      </w:r>
      <w:r w:rsidR="004A3DA1">
        <w:rPr>
          <w:rFonts w:ascii="Times New Roman" w:eastAsia="Times New Roman"/>
          <w:bCs/>
        </w:rPr>
        <w:t xml:space="preserve"> </w:t>
      </w:r>
      <w:r w:rsidRPr="00A65F9E" w:rsidR="007C5DDC">
        <w:rPr>
          <w:rFonts w:ascii="Times New Roman" w:eastAsia="Times New Roman"/>
          <w:bCs/>
        </w:rPr>
        <w:t>on</w:t>
      </w:r>
      <w:r w:rsidR="005000EA">
        <w:rPr>
          <w:rFonts w:ascii="Times New Roman" w:eastAsia="Times New Roman"/>
          <w:bCs/>
        </w:rPr>
        <w:t xml:space="preserve"> </w:t>
      </w:r>
      <w:r w:rsidR="00460A0C">
        <w:rPr>
          <w:rFonts w:ascii="Times New Roman" w:eastAsia="Times New Roman"/>
          <w:bCs/>
        </w:rPr>
        <w:t>April 14,</w:t>
      </w:r>
      <w:r w:rsidR="0008143E">
        <w:rPr>
          <w:rFonts w:ascii="Times New Roman" w:eastAsia="Times New Roman"/>
          <w:bCs/>
        </w:rPr>
        <w:t xml:space="preserve"> 2025</w:t>
      </w:r>
      <w:r w:rsidR="00AE3A71">
        <w:rPr>
          <w:rFonts w:ascii="Times New Roman" w:eastAsia="Times New Roman"/>
          <w:bCs/>
        </w:rPr>
        <w:t xml:space="preserve"> </w:t>
      </w:r>
      <w:r w:rsidR="009957EB">
        <w:rPr>
          <w:rFonts w:ascii="Times New Roman" w:eastAsia="Times New Roman"/>
          <w:bCs/>
        </w:rPr>
        <w:t>(</w:t>
      </w:r>
      <w:r w:rsidR="0008143E">
        <w:rPr>
          <w:rFonts w:ascii="Times New Roman" w:eastAsia="Times New Roman"/>
          <w:bCs/>
        </w:rPr>
        <w:t>90 FR 15591</w:t>
      </w:r>
      <w:r w:rsidR="00FD772E">
        <w:rPr>
          <w:rFonts w:ascii="Times New Roman" w:eastAsia="Times New Roman"/>
          <w:bCs/>
        </w:rPr>
        <w:t>)</w:t>
      </w:r>
      <w:r w:rsidRPr="004A3DA1">
        <w:rPr>
          <w:rFonts w:ascii="Times New Roman" w:eastAsia="Times New Roman"/>
          <w:bCs/>
        </w:rPr>
        <w:t xml:space="preserve"> </w:t>
      </w:r>
      <w:r w:rsidR="00421283">
        <w:rPr>
          <w:rFonts w:ascii="Times New Roman" w:eastAsia="Times New Roman"/>
          <w:bCs/>
        </w:rPr>
        <w:t xml:space="preserve">soliciting </w:t>
      </w:r>
      <w:r w:rsidR="00530653">
        <w:rPr>
          <w:rFonts w:ascii="Times New Roman" w:eastAsia="Times New Roman"/>
          <w:bCs/>
        </w:rPr>
        <w:t xml:space="preserve">public </w:t>
      </w:r>
      <w:r w:rsidRPr="004A3DA1">
        <w:rPr>
          <w:rFonts w:ascii="Times New Roman" w:eastAsia="Times New Roman"/>
          <w:bCs/>
        </w:rPr>
        <w:t>comment</w:t>
      </w:r>
      <w:r w:rsidR="00F90113">
        <w:rPr>
          <w:rFonts w:ascii="Times New Roman" w:eastAsia="Times New Roman"/>
          <w:bCs/>
        </w:rPr>
        <w:t>s</w:t>
      </w:r>
      <w:r w:rsidRPr="004A3DA1">
        <w:rPr>
          <w:rFonts w:ascii="Times New Roman" w:eastAsia="Times New Roman"/>
          <w:bCs/>
        </w:rPr>
        <w:t xml:space="preserve"> </w:t>
      </w:r>
      <w:r w:rsidR="006B5CE0">
        <w:rPr>
          <w:rFonts w:ascii="Times New Roman" w:eastAsia="Times New Roman"/>
          <w:bCs/>
        </w:rPr>
        <w:t xml:space="preserve">on its proposed extension of </w:t>
      </w:r>
      <w:r w:rsidRPr="004A3DA1">
        <w:rPr>
          <w:rFonts w:ascii="Times New Roman" w:eastAsia="Times New Roman"/>
          <w:bCs/>
        </w:rPr>
        <w:t xml:space="preserve">the </w:t>
      </w:r>
      <w:r w:rsidRPr="00ED7A31">
        <w:rPr>
          <w:rFonts w:ascii="Times New Roman" w:eastAsia="Times New Roman"/>
          <w:bCs/>
        </w:rPr>
        <w:t>information</w:t>
      </w:r>
      <w:r w:rsidR="00E760E7">
        <w:rPr>
          <w:rFonts w:ascii="Times New Roman" w:eastAsia="Times New Roman"/>
          <w:bCs/>
        </w:rPr>
        <w:t xml:space="preserve"> collection</w:t>
      </w:r>
      <w:r w:rsidRPr="00ED7A31">
        <w:rPr>
          <w:rFonts w:ascii="Times New Roman" w:eastAsia="Times New Roman"/>
          <w:bCs/>
        </w:rPr>
        <w:t xml:space="preserve"> requirements </w:t>
      </w:r>
      <w:r w:rsidR="00E760E7">
        <w:rPr>
          <w:rFonts w:ascii="Times New Roman" w:eastAsia="Times New Roman"/>
          <w:bCs/>
        </w:rPr>
        <w:t>specified</w:t>
      </w:r>
      <w:r w:rsidR="00C02C3E">
        <w:rPr>
          <w:rFonts w:ascii="Times New Roman" w:eastAsia="Times New Roman"/>
          <w:bCs/>
        </w:rPr>
        <w:t xml:space="preserve"> by</w:t>
      </w:r>
      <w:r w:rsidRPr="00ED7A31">
        <w:rPr>
          <w:rFonts w:ascii="Times New Roman" w:eastAsia="Times New Roman"/>
          <w:bCs/>
        </w:rPr>
        <w:t xml:space="preserve"> the Lead </w:t>
      </w:r>
      <w:r w:rsidRPr="00ED7A31" w:rsidR="0055456D">
        <w:rPr>
          <w:rFonts w:ascii="Times New Roman" w:eastAsia="Times New Roman"/>
          <w:bCs/>
        </w:rPr>
        <w:t>Stan</w:t>
      </w:r>
      <w:r w:rsidR="0055456D">
        <w:rPr>
          <w:rFonts w:ascii="Times New Roman" w:eastAsia="Times New Roman"/>
        </w:rPr>
        <w:t xml:space="preserve">dard for </w:t>
      </w:r>
      <w:r>
        <w:rPr>
          <w:rFonts w:ascii="Times New Roman" w:eastAsia="Times New Roman"/>
        </w:rPr>
        <w:t>General Industry</w:t>
      </w:r>
      <w:r w:rsidRPr="00A067D1">
        <w:rPr>
          <w:rFonts w:ascii="Times New Roman" w:eastAsia="Times New Roman"/>
        </w:rPr>
        <w:t xml:space="preserve"> </w:t>
      </w:r>
      <w:r w:rsidR="00AE73E5">
        <w:rPr>
          <w:rFonts w:ascii="Times New Roman" w:eastAsia="Times New Roman"/>
        </w:rPr>
        <w:t>(</w:t>
      </w:r>
      <w:r w:rsidRPr="00A067D1">
        <w:rPr>
          <w:rFonts w:ascii="Times New Roman" w:eastAsia="Times New Roman"/>
        </w:rPr>
        <w:t xml:space="preserve">29 CFR </w:t>
      </w:r>
      <w:r>
        <w:rPr>
          <w:rFonts w:ascii="Times New Roman" w:eastAsia="Times New Roman"/>
        </w:rPr>
        <w:t>1910.1025</w:t>
      </w:r>
      <w:r w:rsidR="00AE73E5">
        <w:rPr>
          <w:rFonts w:ascii="Times New Roman" w:eastAsia="Times New Roman"/>
        </w:rPr>
        <w:t>)</w:t>
      </w:r>
      <w:r w:rsidR="00C02C3E">
        <w:rPr>
          <w:rFonts w:ascii="Times New Roman" w:eastAsia="Times New Roman"/>
        </w:rPr>
        <w:t xml:space="preserve"> under the docket number</w:t>
      </w:r>
      <w:r w:rsidRPr="00813772" w:rsidR="00813772">
        <w:rPr>
          <w:rFonts w:ascii="Times New Roman" w:eastAsia="Times New Roman"/>
        </w:rPr>
        <w:t xml:space="preserve"> OSHA</w:t>
      </w:r>
      <w:r w:rsidR="00437348">
        <w:rPr>
          <w:rFonts w:ascii="Times New Roman" w:eastAsia="Times New Roman"/>
        </w:rPr>
        <w:t>-</w:t>
      </w:r>
      <w:r w:rsidRPr="00813772" w:rsidR="00813772">
        <w:rPr>
          <w:rFonts w:ascii="Times New Roman" w:eastAsia="Times New Roman"/>
        </w:rPr>
        <w:t>2012</w:t>
      </w:r>
      <w:r w:rsidR="00437348">
        <w:rPr>
          <w:rFonts w:ascii="Times New Roman" w:eastAsia="Times New Roman"/>
        </w:rPr>
        <w:t>-</w:t>
      </w:r>
      <w:r w:rsidRPr="00813772" w:rsidR="00813772">
        <w:rPr>
          <w:rFonts w:ascii="Times New Roman" w:eastAsia="Times New Roman"/>
        </w:rPr>
        <w:t>0013</w:t>
      </w:r>
      <w:r w:rsidRPr="00A067D1">
        <w:rPr>
          <w:rFonts w:ascii="Times New Roman" w:eastAsia="Times New Roman"/>
        </w:rPr>
        <w:t xml:space="preserve">. </w:t>
      </w:r>
      <w:r w:rsidRPr="00A067D1">
        <w:rPr>
          <w:rFonts w:ascii="Times New Roman" w:eastAsia="Times New Roman"/>
          <w:color w:val="000000"/>
        </w:rPr>
        <w:t>T</w:t>
      </w:r>
      <w:r w:rsidRPr="00A067D1">
        <w:rPr>
          <w:rFonts w:ascii="Times New Roman" w:eastAsia="Times New Roman"/>
        </w:rPr>
        <w:t xml:space="preserve">his notice </w:t>
      </w:r>
      <w:r w:rsidR="009F31FF">
        <w:rPr>
          <w:rFonts w:ascii="Times New Roman" w:eastAsia="Times New Roman"/>
        </w:rPr>
        <w:t>wa</w:t>
      </w:r>
      <w:r>
        <w:rPr>
          <w:rFonts w:ascii="Times New Roman" w:eastAsia="Times New Roman"/>
        </w:rPr>
        <w:t xml:space="preserve">s </w:t>
      </w:r>
      <w:r w:rsidRPr="00A067D1">
        <w:rPr>
          <w:rFonts w:ascii="Times New Roman" w:eastAsia="Times New Roman"/>
        </w:rPr>
        <w:t xml:space="preserve">part of a preclearance consultation program intended to provide those </w:t>
      </w:r>
      <w:r w:rsidRPr="00A067D1">
        <w:rPr>
          <w:rFonts w:ascii="Times New Roman" w:eastAsia="Times New Roman"/>
        </w:rPr>
        <w:t xml:space="preserve">interested parties the opportunity to comment on OSHA’s request for an extension by OMB of a previous approval of the </w:t>
      </w:r>
      <w:r>
        <w:rPr>
          <w:rFonts w:ascii="Times New Roman" w:eastAsia="Times New Roman"/>
        </w:rPr>
        <w:t xml:space="preserve">collection of information requirements </w:t>
      </w:r>
      <w:r w:rsidR="00891954">
        <w:rPr>
          <w:rFonts w:ascii="Times New Roman" w:eastAsia="Times New Roman"/>
        </w:rPr>
        <w:t>found</w:t>
      </w:r>
      <w:r>
        <w:rPr>
          <w:rFonts w:ascii="Times New Roman" w:eastAsia="Times New Roman"/>
        </w:rPr>
        <w:t xml:space="preserve"> in the </w:t>
      </w:r>
      <w:r w:rsidR="00891954">
        <w:rPr>
          <w:rFonts w:ascii="Times New Roman" w:eastAsia="Times New Roman"/>
        </w:rPr>
        <w:t>above S</w:t>
      </w:r>
      <w:r w:rsidRPr="00A067D1">
        <w:rPr>
          <w:rFonts w:ascii="Times New Roman" w:eastAsia="Times New Roman"/>
        </w:rPr>
        <w:t xml:space="preserve">tandard. </w:t>
      </w:r>
    </w:p>
    <w:p w:rsidR="00A61F02" w:rsidP="002259AB" w14:paraId="51C376D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rPr>
      </w:pPr>
    </w:p>
    <w:p w:rsidR="00DC7A18" w:rsidRPr="008F2EE7" w:rsidP="00DC7A18" w14:paraId="3B6CF45E" w14:textId="77777777">
      <w:pPr>
        <w:rPr>
          <w:rFonts w:ascii="Times New Roman"/>
        </w:rPr>
      </w:pPr>
      <w:r w:rsidRPr="008F2EE7">
        <w:rPr>
          <w:rFonts w:ascii="Times New Roman"/>
        </w:rPr>
        <w:t>The agency received two comments on its proposed extension of the data collection for the Lead in General Industry standard. One commenter, a private citizen, expressed general support for federal efforts to control lead exposure (Document ID 0017). The other, Battery Council International (BCI) (Document ID 0016), questioned the accuracy of OSHA’s burden estimates. BCI, an international trade association representing manufacturers, distributors, and recyclers of rechargeable batteries, questioned two aspec</w:t>
      </w:r>
      <w:r w:rsidRPr="008F2EE7">
        <w:rPr>
          <w:rFonts w:ascii="Times New Roman"/>
        </w:rPr>
        <w:t xml:space="preserve">ts of OSHA’s analysis. First, questioning OSHA’s estimate that employers would expend 20.6 hours per employee on average to comply with the standard, they stated that each of their members “invest nearly </w:t>
      </w:r>
      <w:r w:rsidRPr="008F2EE7">
        <w:rPr>
          <w:rFonts w:ascii="Times New Roman"/>
        </w:rPr>
        <w:t>4,000 man</w:t>
      </w:r>
      <w:r w:rsidRPr="008F2EE7">
        <w:rPr>
          <w:rFonts w:ascii="Times New Roman"/>
        </w:rPr>
        <w:t xml:space="preserve"> hours per year to complete the administrative work required to comply with the biological monitoring requirements of the Lead Standard alone.” They further state that their members spend $320 per employee per year to comply with the </w:t>
      </w:r>
      <w:r w:rsidRPr="008F2EE7">
        <w:rPr>
          <w:rFonts w:ascii="Times New Roman"/>
        </w:rPr>
        <w:t>standard’s</w:t>
      </w:r>
      <w:r w:rsidRPr="008F2EE7">
        <w:rPr>
          <w:rFonts w:ascii="Times New Roman"/>
        </w:rPr>
        <w:t xml:space="preserve"> biological monitoring provisions.</w:t>
      </w:r>
    </w:p>
    <w:p w:rsidR="007B01A0" w:rsidP="00DC7A18" w14:paraId="48467083" w14:textId="77777777">
      <w:pPr>
        <w:rPr>
          <w:rFonts w:ascii="Times New Roman"/>
        </w:rPr>
      </w:pPr>
    </w:p>
    <w:p w:rsidR="00DC7A18" w:rsidP="00DC7A18" w14:paraId="5DE78CF1" w14:textId="01FC549B">
      <w:pPr>
        <w:rPr>
          <w:rFonts w:ascii="Times New Roman"/>
        </w:rPr>
      </w:pPr>
      <w:r w:rsidRPr="008F2EE7">
        <w:rPr>
          <w:rFonts w:ascii="Times New Roman"/>
        </w:rPr>
        <w:t>The agency thanks BCI for their comments on the burden hour estimates associated with this information collection. OSHA’s burden estimates are intended to reflect average compliance time across all affected entities, recognizing that actual burdens may vary depending on organization size, complexity, and industry-specific factors. Although BCI contends OSHA’s estimates do not reflect the experience of their members, the comment does not provide sufficient information for the agency to revise its current est</w:t>
      </w:r>
      <w:r w:rsidRPr="008F2EE7">
        <w:rPr>
          <w:rFonts w:ascii="Times New Roman"/>
        </w:rPr>
        <w:t xml:space="preserve">imates. For example, because BCI does not indicate how many covered employees their individual members employ, the agency has no context to evaluate the claimed </w:t>
      </w:r>
      <w:r w:rsidRPr="008F2EE7">
        <w:rPr>
          <w:rFonts w:ascii="Times New Roman"/>
        </w:rPr>
        <w:t>4,000 man</w:t>
      </w:r>
      <w:r w:rsidRPr="008F2EE7">
        <w:rPr>
          <w:rFonts w:ascii="Times New Roman"/>
        </w:rPr>
        <w:t xml:space="preserve"> hours per employer resulting from the standard’s biological monitoring requirements.</w:t>
      </w:r>
      <w:r>
        <w:rPr>
          <w:rStyle w:val="FootnoteReference"/>
          <w:rFonts w:ascii="Times New Roman"/>
          <w:vertAlign w:val="superscript"/>
        </w:rPr>
        <w:footnoteReference w:id="6"/>
      </w:r>
      <w:r w:rsidRPr="008F2EE7">
        <w:rPr>
          <w:rFonts w:ascii="Times New Roman"/>
        </w:rPr>
        <w:t xml:space="preserve"> </w:t>
      </w:r>
    </w:p>
    <w:p w:rsidR="00DC7A18" w:rsidRPr="008F2EE7" w:rsidP="00DC7A18" w14:paraId="76419E6D" w14:textId="77777777">
      <w:pPr>
        <w:rPr>
          <w:rFonts w:ascii="Times New Roman"/>
        </w:rPr>
      </w:pPr>
    </w:p>
    <w:p w:rsidR="00403DE5" w:rsidP="00DC7A18" w14:paraId="4E870530" w14:textId="0D3AF1B5">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rPr>
      </w:pPr>
      <w:r w:rsidRPr="008F2EE7">
        <w:rPr>
          <w:rFonts w:ascii="Times New Roman"/>
        </w:rPr>
        <w:t xml:space="preserve">BCI also does not indicate what specific aspects of OSHA’s estimates are incorrect and why. As required by the PRA, OSHA has estimated the average amount of time it will take for an employer to comply with each information collection and the associated costs. For example, OSHA estimates that obtaining a blood sample for biological monitoring takes 15 minutes of an employee’s and an occupational nurse’s time and that written notification of the monitoring results takes 5 minutes per sample of a supervisor’s </w:t>
      </w:r>
      <w:r w:rsidRPr="008F2EE7">
        <w:rPr>
          <w:rFonts w:ascii="Times New Roman"/>
        </w:rPr>
        <w:t xml:space="preserve">time. Although BCI indicates that OSHA’s </w:t>
      </w:r>
      <w:r w:rsidRPr="008F2EE7">
        <w:rPr>
          <w:rFonts w:ascii="Times New Roman"/>
        </w:rPr>
        <w:t>ultimate conclusion</w:t>
      </w:r>
      <w:r w:rsidRPr="008F2EE7">
        <w:rPr>
          <w:rFonts w:ascii="Times New Roman"/>
        </w:rPr>
        <w:t xml:space="preserve"> on the costs of these provisions does not represent the cost to its members, they provide no information or data demonstrating where OSHA has miscalculated (for example, by demonstrating that notification in fact takes 10 minutes per sample). Without this information, OSHA cannot effectively evaluate BCI’s survey results or determine whether their members’ experience would apply to other industries and employers as well, such that a revision to th</w:t>
      </w:r>
      <w:r w:rsidRPr="008F2EE7">
        <w:rPr>
          <w:rFonts w:ascii="Times New Roman"/>
        </w:rPr>
        <w:t>e agency’s estimates is warranted.</w:t>
      </w:r>
    </w:p>
    <w:p w:rsidR="00403DE5" w:rsidRPr="008F2EE7" w:rsidP="00403DE5" w14:paraId="4E2471BB" w14:textId="77777777">
      <w:pPr>
        <w:rPr>
          <w:rFonts w:ascii="Times New Roman"/>
          <w:i/>
          <w:iCs/>
        </w:rPr>
      </w:pPr>
    </w:p>
    <w:p w:rsidR="00E012CD" w:rsidRPr="00844FB9" w:rsidP="56E51CD7" w14:paraId="06EB9452" w14:textId="5EBDC93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9.</w:t>
      </w:r>
      <w:r w:rsidRPr="56E51CD7" w:rsidR="2CD7BE93">
        <w:rPr>
          <w:rFonts w:ascii="Times New Roman"/>
          <w:b/>
          <w:bCs/>
        </w:rPr>
        <w:t xml:space="preserve"> </w:t>
      </w:r>
      <w:r w:rsidRPr="56E51CD7">
        <w:rPr>
          <w:rFonts w:ascii="Times New Roman"/>
          <w:b/>
          <w:bCs/>
        </w:rPr>
        <w:t>Explain any decision to provide any payment</w:t>
      </w:r>
      <w:r w:rsidRPr="56E51CD7" w:rsidR="3D1E7F09">
        <w:rPr>
          <w:rFonts w:ascii="Times New Roman"/>
          <w:b/>
          <w:bCs/>
        </w:rPr>
        <w:t>s</w:t>
      </w:r>
      <w:r w:rsidRPr="56E51CD7">
        <w:rPr>
          <w:rFonts w:ascii="Times New Roman"/>
          <w:b/>
          <w:bCs/>
        </w:rPr>
        <w:t xml:space="preserve"> or gift to respondents, other than </w:t>
      </w:r>
      <w:r w:rsidRPr="56E51CD7">
        <w:rPr>
          <w:rFonts w:ascii="Times New Roman"/>
          <w:b/>
          <w:bCs/>
        </w:rPr>
        <w:t>remuneration of contractors or grantees.</w:t>
      </w:r>
    </w:p>
    <w:p w:rsidR="00E012CD" w:rsidRPr="0052502E" w:rsidP="00E012CD" w14:paraId="16A5D1C0"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E012CD" w:rsidRPr="0052502E" w:rsidP="00E012CD" w14:paraId="726C82EC" w14:textId="2A8E4A4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 xml:space="preserve">The agency will </w:t>
      </w:r>
      <w:r w:rsidRPr="001438C5">
        <w:rPr>
          <w:rFonts w:ascii="Times New Roman"/>
          <w:u w:val="single"/>
        </w:rPr>
        <w:t>not</w:t>
      </w:r>
      <w:r>
        <w:rPr>
          <w:rFonts w:ascii="Times New Roman"/>
        </w:rPr>
        <w:t xml:space="preserve"> provide </w:t>
      </w:r>
      <w:r w:rsidRPr="0052502E">
        <w:rPr>
          <w:rFonts w:ascii="Times New Roman"/>
        </w:rPr>
        <w:t>payments or gifts to the respondents.</w:t>
      </w:r>
    </w:p>
    <w:p w:rsidR="00E012CD" w:rsidRPr="0052502E" w:rsidP="00E012CD" w14:paraId="47E77F36"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E012CD" w:rsidRPr="00844FB9" w:rsidP="00E012CD" w14:paraId="17080E9D" w14:textId="71A4EEE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10.</w:t>
      </w:r>
      <w:r w:rsidRPr="56E51CD7" w:rsidR="2CD7BE93">
        <w:rPr>
          <w:rFonts w:ascii="Times New Roman"/>
          <w:b/>
          <w:bCs/>
        </w:rPr>
        <w:t xml:space="preserve"> </w:t>
      </w:r>
      <w:r w:rsidRPr="56E51CD7">
        <w:rPr>
          <w:rFonts w:ascii="Times New Roman"/>
          <w:b/>
          <w:bCs/>
        </w:rPr>
        <w:t>Describe any assurance of confidentiality provided to respondents and the basis of the assurance in statute, regulation, or agency policy.</w:t>
      </w:r>
    </w:p>
    <w:p w:rsidR="00E012CD" w:rsidRPr="0052502E" w:rsidP="00E012CD" w14:paraId="2B256844"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903303" w:rsidRPr="00903303" w:rsidP="00903303" w14:paraId="16230C08" w14:textId="4C6909B3">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eastAsia="Times New Roman"/>
        </w:rPr>
      </w:pPr>
      <w:r w:rsidRPr="56E51CD7">
        <w:rPr>
          <w:rFonts w:ascii="Times New Roman" w:eastAsia="Times New Roman"/>
        </w:rPr>
        <w:t xml:space="preserve">As </w:t>
      </w:r>
      <w:r w:rsidRPr="56E51CD7" w:rsidR="30853D30">
        <w:rPr>
          <w:rFonts w:ascii="Times New Roman" w:eastAsia="Times New Roman"/>
        </w:rPr>
        <w:t xml:space="preserve">employee medical records contain information that may be considered private, OSHA has taken steps to ensure that the data </w:t>
      </w:r>
      <w:r w:rsidRPr="56E51CD7" w:rsidR="30853D30">
        <w:rPr>
          <w:rFonts w:ascii="Times New Roman" w:eastAsia="Times New Roman"/>
        </w:rPr>
        <w:t>are</w:t>
      </w:r>
      <w:r w:rsidRPr="56E51CD7" w:rsidR="30853D30">
        <w:rPr>
          <w:rFonts w:ascii="Times New Roman" w:eastAsia="Times New Roman"/>
        </w:rPr>
        <w:t xml:space="preserve"> kept private</w:t>
      </w:r>
      <w:r w:rsidRPr="56E51CD7" w:rsidR="79235ACB">
        <w:rPr>
          <w:rFonts w:ascii="Times New Roman" w:eastAsia="Times New Roman"/>
        </w:rPr>
        <w:t xml:space="preserve"> to the extent allowed by law. </w:t>
      </w:r>
      <w:r w:rsidRPr="56E51CD7" w:rsidR="30853D30">
        <w:rPr>
          <w:rFonts w:ascii="Times New Roman" w:eastAsia="Times New Roman"/>
        </w:rPr>
        <w:t xml:space="preserve">Rules of </w:t>
      </w:r>
      <w:r w:rsidRPr="56E51CD7" w:rsidR="1E05A015">
        <w:rPr>
          <w:rFonts w:ascii="Times New Roman" w:eastAsia="Times New Roman"/>
        </w:rPr>
        <w:t>a</w:t>
      </w:r>
      <w:r w:rsidRPr="56E51CD7" w:rsidR="30853D30">
        <w:rPr>
          <w:rFonts w:ascii="Times New Roman" w:eastAsia="Times New Roman"/>
        </w:rPr>
        <w:t>gency practice and procedure governing OSHA access to worker medical records a</w:t>
      </w:r>
      <w:r w:rsidRPr="56E51CD7" w:rsidR="79235ACB">
        <w:rPr>
          <w:rFonts w:ascii="Times New Roman" w:eastAsia="Times New Roman"/>
        </w:rPr>
        <w:t xml:space="preserve">re contained in 29 CFR 1913.10. </w:t>
      </w:r>
      <w:r w:rsidRPr="56E51CD7" w:rsidR="30853D30">
        <w:rPr>
          <w:rFonts w:ascii="Times New Roman" w:eastAsia="Times New Roman"/>
        </w:rPr>
        <w:t>The legal authority for these procedural regulations is found in sections 8(c)(1) and 8(g)(2) of the Occupational Safety and Health, 29 U.S.C. 657; in section (e) of the Privacy Act, 5 U.S.C. 552</w:t>
      </w:r>
      <w:r w:rsidRPr="56E51CD7" w:rsidR="19A0B35F">
        <w:rPr>
          <w:rFonts w:ascii="Times New Roman" w:eastAsia="Times New Roman"/>
        </w:rPr>
        <w:t>(</w:t>
      </w:r>
      <w:r w:rsidRPr="56E51CD7" w:rsidR="30853D30">
        <w:rPr>
          <w:rFonts w:ascii="Times New Roman" w:eastAsia="Times New Roman"/>
        </w:rPr>
        <w:t>a</w:t>
      </w:r>
      <w:r w:rsidRPr="56E51CD7" w:rsidR="4F7C7967">
        <w:rPr>
          <w:rFonts w:ascii="Times New Roman" w:eastAsia="Times New Roman"/>
        </w:rPr>
        <w:t>)-</w:t>
      </w:r>
      <w:r w:rsidRPr="56E51CD7" w:rsidR="30853D30">
        <w:rPr>
          <w:rFonts w:ascii="Times New Roman" w:eastAsia="Times New Roman"/>
        </w:rPr>
        <w:t>(e); in 29 CFR Part 70</w:t>
      </w:r>
      <w:r w:rsidRPr="56E51CD7" w:rsidR="25ED4D1B">
        <w:rPr>
          <w:rFonts w:ascii="Times New Roman" w:eastAsia="Times New Roman"/>
        </w:rPr>
        <w:t>(</w:t>
      </w:r>
      <w:r w:rsidRPr="56E51CD7" w:rsidR="30853D30">
        <w:rPr>
          <w:rFonts w:ascii="Times New Roman" w:eastAsia="Times New Roman"/>
        </w:rPr>
        <w:t>a</w:t>
      </w:r>
      <w:r w:rsidRPr="56E51CD7" w:rsidR="7AAD5524">
        <w:rPr>
          <w:rFonts w:ascii="Times New Roman" w:eastAsia="Times New Roman"/>
        </w:rPr>
        <w:t>)</w:t>
      </w:r>
      <w:r w:rsidRPr="56E51CD7" w:rsidR="30853D30">
        <w:rPr>
          <w:rFonts w:ascii="Times New Roman" w:eastAsia="Times New Roman"/>
        </w:rPr>
        <w:t>; and in 5 U.S.C. 301.</w:t>
      </w:r>
    </w:p>
    <w:p w:rsidR="000074C5" w:rsidP="00E012CD" w14:paraId="47CD23F3"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sz w:val="20"/>
          <w:szCs w:val="20"/>
        </w:rPr>
      </w:pPr>
    </w:p>
    <w:p w:rsidR="00E012CD" w:rsidRPr="00844FB9" w:rsidP="56E51CD7" w14:paraId="6A46766F" w14:textId="4D4859E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11.</w:t>
      </w:r>
      <w:r w:rsidRPr="56E51CD7" w:rsidR="2CD7BE93">
        <w:rPr>
          <w:rFonts w:ascii="Times New Roman"/>
          <w:b/>
          <w:bCs/>
        </w:rPr>
        <w:t xml:space="preserve"> </w:t>
      </w:r>
      <w:r w:rsidRPr="56E51CD7">
        <w:rPr>
          <w:rFonts w:ascii="Times New Roman"/>
          <w:b/>
          <w:bCs/>
        </w:rPr>
        <w:t>Provide additional justification for any questions of a sensitive nature, such as sexual behavior and attitudes, religious beliefs, and other matters that are commonly considered private.</w:t>
      </w:r>
      <w:r w:rsidRPr="56E51CD7" w:rsidR="2CD7BE93">
        <w:rPr>
          <w:rFonts w:ascii="Times New Roman"/>
          <w:b/>
          <w:bCs/>
        </w:rPr>
        <w:t xml:space="preserve"> </w:t>
      </w:r>
      <w:r w:rsidRPr="56E51CD7">
        <w:rPr>
          <w:rFonts w:ascii="Times New Roman"/>
          <w:b/>
          <w:bCs/>
        </w:rPr>
        <w:t xml:space="preserve">This justification should include the reasons why the agency considers the questions necessary, the specific uses to be made of the information, the explanation to be given to </w:t>
      </w:r>
      <w:r w:rsidRPr="56E51CD7">
        <w:rPr>
          <w:rFonts w:ascii="Times New Roman"/>
          <w:b/>
          <w:bCs/>
        </w:rPr>
        <w:t>persons</w:t>
      </w:r>
      <w:r w:rsidRPr="56E51CD7">
        <w:rPr>
          <w:rFonts w:ascii="Times New Roman"/>
          <w:b/>
          <w:bCs/>
        </w:rPr>
        <w:t xml:space="preserve"> from whom the information is requested, and any steps to be taken to obtain their consent.</w:t>
      </w:r>
    </w:p>
    <w:p w:rsidR="00E012CD" w:rsidRPr="0052502E" w:rsidP="00E012CD" w14:paraId="2C3A6EB2"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0"/>
          <w:szCs w:val="20"/>
        </w:rPr>
      </w:pPr>
    </w:p>
    <w:p w:rsidR="00F66902" w:rsidRPr="001438C5" w:rsidP="001438C5" w14:paraId="34340D36" w14:textId="77C46F78">
      <w:r w:rsidRPr="001438C5">
        <w:rPr>
          <w:rFonts w:ascii="Times New Roman"/>
        </w:rPr>
        <w:t xml:space="preserve">While </w:t>
      </w:r>
      <w:r w:rsidR="002F028F">
        <w:rPr>
          <w:rFonts w:ascii="Times New Roman"/>
        </w:rPr>
        <w:t>this standard does not require questions of a sensitive nature, questions perceived as such may be included in medical questionnaires. Information from medical questionnaires is necessary for the physician, licensed health care provider (PLHCP), or employer</w:t>
      </w:r>
      <w:r w:rsidRPr="001438C5">
        <w:rPr>
          <w:rFonts w:ascii="Times New Roman"/>
        </w:rPr>
        <w:t xml:space="preserve"> to determine what </w:t>
      </w:r>
      <w:r w:rsidRPr="001438C5">
        <w:rPr>
          <w:rFonts w:ascii="Times New Roman"/>
        </w:rPr>
        <w:t>protections</w:t>
      </w:r>
      <w:r w:rsidRPr="001438C5">
        <w:rPr>
          <w:rFonts w:ascii="Times New Roman"/>
        </w:rPr>
        <w:t xml:space="preserve"> an employer must take to ensure that the employee will have minimal occupational exposure to hazards.</w:t>
      </w:r>
    </w:p>
    <w:p w:rsidR="00606D2D" w:rsidP="00606D2D" w14:paraId="42E9AFE4" w14:textId="77777777">
      <w:pPr>
        <w:tabs>
          <w:tab w:val="right" w:pos="9360"/>
        </w:tabs>
        <w:rPr>
          <w:rFonts w:ascii="Times New Roman"/>
        </w:rPr>
      </w:pPr>
      <w:r w:rsidRPr="0052502E">
        <w:rPr>
          <w:rFonts w:ascii="Times New Roman"/>
        </w:rPr>
        <w:tab/>
      </w:r>
    </w:p>
    <w:p w:rsidR="00606D2D" w:rsidRPr="00844FB9" w:rsidP="56E51CD7" w14:paraId="1A0DA5FB" w14:textId="49E0A72E">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56E51CD7">
        <w:rPr>
          <w:rFonts w:ascii="Times New Roman"/>
          <w:b/>
          <w:bCs/>
        </w:rPr>
        <w:t>12.</w:t>
      </w:r>
      <w:r w:rsidRPr="56E51CD7" w:rsidR="2CD7BE93">
        <w:rPr>
          <w:rFonts w:ascii="Times New Roman"/>
          <w:b/>
          <w:bCs/>
        </w:rPr>
        <w:t xml:space="preserve"> </w:t>
      </w:r>
      <w:r w:rsidRPr="56E51CD7">
        <w:rPr>
          <w:rFonts w:ascii="Times New Roman"/>
          <w:b/>
          <w:bCs/>
        </w:rPr>
        <w:t>Provide estimates of the hour burden of the collection of information.</w:t>
      </w:r>
      <w:r w:rsidRPr="56E51CD7" w:rsidR="2CD7BE93">
        <w:rPr>
          <w:rFonts w:ascii="Times New Roman"/>
          <w:b/>
          <w:bCs/>
        </w:rPr>
        <w:t xml:space="preserve"> </w:t>
      </w:r>
      <w:r w:rsidRPr="56E51CD7">
        <w:rPr>
          <w:rFonts w:ascii="Times New Roman"/>
          <w:b/>
          <w:bCs/>
        </w:rPr>
        <w:t>The statement should:</w:t>
      </w:r>
    </w:p>
    <w:p w:rsidR="00606D2D" w:rsidRPr="00844FB9" w14:paraId="18A55418" w14:textId="77777777">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b/>
        </w:rPr>
      </w:pPr>
    </w:p>
    <w:p w:rsidR="00BF7B79" w:rsidP="00BF7B79" w14:paraId="48AD79EE" w14:textId="609A568E">
      <w:pPr>
        <w:pStyle w:val="ListParagraph"/>
        <w:numPr>
          <w:ilvl w:val="0"/>
          <w:numId w:val="7"/>
        </w:numPr>
        <w:tabs>
          <w:tab w:val="left" w:pos="360"/>
          <w:tab w:val="left" w:pos="960"/>
          <w:tab w:val="left" w:pos="2160"/>
          <w:tab w:val="left" w:pos="2760"/>
          <w:tab w:val="left" w:pos="3360"/>
          <w:tab w:val="left" w:pos="4080"/>
          <w:tab w:val="left" w:pos="4680"/>
          <w:tab w:val="left" w:pos="5280"/>
          <w:tab w:val="left" w:pos="5880"/>
        </w:tabs>
        <w:rPr>
          <w:rFonts w:ascii="Times New Roman"/>
          <w:b/>
          <w:bCs/>
        </w:rPr>
      </w:pPr>
      <w:r w:rsidRPr="004A2AAC">
        <w:rPr>
          <w:rFonts w:ascii="Times New Roman"/>
          <w:b/>
          <w:bCs/>
        </w:rPr>
        <w:t>Indicate the number of respondents, frequency of response, annual hour burden, and an explanation of how the burden was estimated.</w:t>
      </w:r>
      <w:r w:rsidRPr="004A2AAC" w:rsidR="2CD7BE93">
        <w:rPr>
          <w:rFonts w:ascii="Times New Roman"/>
          <w:b/>
          <w:bCs/>
        </w:rPr>
        <w:t xml:space="preserve"> </w:t>
      </w:r>
      <w:r w:rsidRPr="004A2AAC">
        <w:rPr>
          <w:rFonts w:ascii="Times New Roman"/>
          <w:b/>
          <w:bCs/>
        </w:rPr>
        <w:t>Unless directed to do so, agencies should not conduct special surveys to obtain information on which to base hour burden estimates.</w:t>
      </w:r>
      <w:r w:rsidRPr="004A2AAC" w:rsidR="2CD7BE93">
        <w:rPr>
          <w:rFonts w:ascii="Times New Roman"/>
          <w:b/>
          <w:bCs/>
        </w:rPr>
        <w:t xml:space="preserve"> </w:t>
      </w:r>
    </w:p>
    <w:p w:rsidR="00BF7B79" w:rsidP="004A2AAC" w14:paraId="77B6964A" w14:textId="77777777">
      <w:pPr>
        <w:pStyle w:val="ListParagraph"/>
        <w:tabs>
          <w:tab w:val="left" w:pos="360"/>
          <w:tab w:val="left" w:pos="960"/>
          <w:tab w:val="left" w:pos="2160"/>
          <w:tab w:val="left" w:pos="2760"/>
          <w:tab w:val="left" w:pos="3360"/>
          <w:tab w:val="left" w:pos="4080"/>
          <w:tab w:val="left" w:pos="4680"/>
          <w:tab w:val="left" w:pos="5280"/>
          <w:tab w:val="left" w:pos="5880"/>
        </w:tabs>
        <w:ind w:left="1680"/>
        <w:rPr>
          <w:rFonts w:ascii="Times New Roman"/>
          <w:b/>
          <w:bCs/>
        </w:rPr>
      </w:pPr>
    </w:p>
    <w:p w:rsidR="00606D2D" w:rsidRPr="004A2AAC" w:rsidP="004A2AAC" w14:paraId="72CFA0AA" w14:textId="1744E262">
      <w:pPr>
        <w:pStyle w:val="ListParagraph"/>
        <w:numPr>
          <w:ilvl w:val="0"/>
          <w:numId w:val="7"/>
        </w:numPr>
        <w:tabs>
          <w:tab w:val="left" w:pos="360"/>
          <w:tab w:val="left" w:pos="960"/>
          <w:tab w:val="left" w:pos="2160"/>
          <w:tab w:val="left" w:pos="2760"/>
          <w:tab w:val="left" w:pos="3360"/>
          <w:tab w:val="left" w:pos="4080"/>
          <w:tab w:val="left" w:pos="4680"/>
          <w:tab w:val="left" w:pos="5280"/>
          <w:tab w:val="left" w:pos="5880"/>
        </w:tabs>
        <w:rPr>
          <w:rFonts w:ascii="Times New Roman"/>
          <w:b/>
          <w:bCs/>
        </w:rPr>
      </w:pPr>
      <w:r w:rsidRPr="004A2AAC">
        <w:rPr>
          <w:rFonts w:ascii="Times New Roman"/>
          <w:b/>
          <w:bCs/>
        </w:rPr>
        <w:t>Consultation with a sample (fewer than 10) of potential respondents is desirable.</w:t>
      </w:r>
      <w:r w:rsidRPr="004A2AAC" w:rsidR="2CD7BE93">
        <w:rPr>
          <w:rFonts w:ascii="Times New Roman"/>
          <w:b/>
          <w:bCs/>
        </w:rPr>
        <w:t xml:space="preserve"> </w:t>
      </w:r>
      <w:r w:rsidRPr="004A2AAC">
        <w:rPr>
          <w:rFonts w:ascii="Times New Roman"/>
          <w:b/>
          <w:bCs/>
        </w:rPr>
        <w:t>If the hour burden on respondents is expected to vary widely because of differences in activity, size, or complexity, show the range of estimated hour burden, and explain the reasons for the variance.</w:t>
      </w:r>
      <w:r w:rsidRPr="004A2AAC" w:rsidR="2CD7BE93">
        <w:rPr>
          <w:rFonts w:ascii="Times New Roman"/>
          <w:b/>
          <w:bCs/>
        </w:rPr>
        <w:t xml:space="preserve"> </w:t>
      </w:r>
      <w:r w:rsidRPr="004A2AAC">
        <w:rPr>
          <w:rFonts w:ascii="Times New Roman"/>
          <w:b/>
          <w:bCs/>
        </w:rPr>
        <w:t>Generally, estimates should not include burden hours for customary and usual business practices.</w:t>
      </w:r>
    </w:p>
    <w:p w:rsidR="00606D2D" w:rsidRPr="00844FB9" w14:paraId="22539DC9"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606D2D" w:rsidRPr="004A2AAC" w:rsidP="004A2AAC" w14:paraId="7CD8DD97" w14:textId="60E4C62E">
      <w:pPr>
        <w:pStyle w:val="ListParagraph"/>
        <w:numPr>
          <w:ilvl w:val="0"/>
          <w:numId w:val="7"/>
        </w:numPr>
        <w:tabs>
          <w:tab w:val="left" w:pos="360"/>
          <w:tab w:val="left" w:pos="960"/>
          <w:tab w:val="left" w:pos="2160"/>
          <w:tab w:val="left" w:pos="2760"/>
          <w:tab w:val="left" w:pos="3360"/>
          <w:tab w:val="left" w:pos="4080"/>
          <w:tab w:val="left" w:pos="4680"/>
          <w:tab w:val="left" w:pos="5280"/>
          <w:tab w:val="left" w:pos="5880"/>
        </w:tabs>
        <w:rPr>
          <w:rFonts w:ascii="Times New Roman"/>
          <w:b/>
          <w:bCs/>
        </w:rPr>
      </w:pPr>
      <w:r w:rsidRPr="004A2AAC">
        <w:rPr>
          <w:rFonts w:ascii="Times New Roman"/>
          <w:b/>
          <w:bCs/>
        </w:rPr>
        <w:t>If this request for approval covers more than one form, provide separate hour burden estimates for each form</w:t>
      </w:r>
      <w:r w:rsidRPr="004A2AAC" w:rsidR="3D1E7F09">
        <w:rPr>
          <w:rFonts w:ascii="Times New Roman"/>
          <w:b/>
          <w:bCs/>
        </w:rPr>
        <w:t xml:space="preserve"> and aggregate the burdens</w:t>
      </w:r>
      <w:r w:rsidRPr="004A2AAC">
        <w:rPr>
          <w:rFonts w:ascii="Times New Roman"/>
          <w:b/>
          <w:bCs/>
        </w:rPr>
        <w:t>.</w:t>
      </w:r>
    </w:p>
    <w:p w:rsidR="00606D2D" w:rsidRPr="00844FB9" w14:paraId="26B9E530"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p w:rsidR="00606D2D" w:rsidRPr="004A2AAC" w:rsidP="004A2AAC" w14:paraId="449A3BAD" w14:textId="4393CDD1">
      <w:pPr>
        <w:pStyle w:val="ListParagraph"/>
        <w:numPr>
          <w:ilvl w:val="0"/>
          <w:numId w:val="7"/>
        </w:numPr>
        <w:tabs>
          <w:tab w:val="left" w:pos="360"/>
          <w:tab w:val="left" w:pos="960"/>
          <w:tab w:val="left" w:pos="2160"/>
          <w:tab w:val="left" w:pos="2760"/>
          <w:tab w:val="left" w:pos="3360"/>
          <w:tab w:val="left" w:pos="4080"/>
          <w:tab w:val="left" w:pos="4680"/>
          <w:tab w:val="left" w:pos="5280"/>
          <w:tab w:val="left" w:pos="5880"/>
        </w:tabs>
        <w:rPr>
          <w:rFonts w:ascii="Times New Roman"/>
          <w:b/>
        </w:rPr>
      </w:pPr>
      <w:r w:rsidRPr="004A2AAC">
        <w:rPr>
          <w:rFonts w:ascii="Times New Roman"/>
          <w:b/>
        </w:rPr>
        <w:t>Provide estimates of annualized cost to respondents for the hour burden for collections of information, identifying and using appropriate wage rate categories.</w:t>
      </w:r>
      <w:r w:rsidRPr="004A2AAC" w:rsidR="007018AE">
        <w:rPr>
          <w:rFonts w:ascii="Times New Roman"/>
          <w:b/>
        </w:rPr>
        <w:t xml:space="preserve"> The cost of contracting out or paying outside parties for information collection activities should not be included here. Instead, this cost should be included in Item 13.</w:t>
      </w:r>
    </w:p>
    <w:p w:rsidR="00606D2D" w:rsidRPr="0052502E" w14:paraId="6BF0427F" w14:textId="77777777">
      <w:pPr>
        <w:tabs>
          <w:tab w:val="left" w:pos="360"/>
          <w:tab w:val="left" w:pos="960"/>
          <w:tab w:val="left" w:pos="1560"/>
          <w:tab w:val="left" w:pos="2160"/>
          <w:tab w:val="left" w:pos="2760"/>
          <w:tab w:val="left" w:pos="3360"/>
          <w:tab w:val="left" w:pos="4080"/>
          <w:tab w:val="left" w:pos="4680"/>
          <w:tab w:val="left" w:pos="5280"/>
          <w:tab w:val="left" w:pos="5880"/>
        </w:tabs>
        <w:ind w:firstLine="360"/>
        <w:rPr>
          <w:rFonts w:ascii="Times New Roman"/>
        </w:rPr>
      </w:pPr>
    </w:p>
    <w:p w:rsidR="00606D2D" w:rsidRPr="001438C5" w:rsidP="3D161A59" w14:paraId="61D2CB83" w14:textId="29FE00F1">
      <w:pPr>
        <w:widowControl/>
      </w:pPr>
      <w:r w:rsidRPr="56E51CD7">
        <w:rPr>
          <w:rFonts w:ascii="Times New Roman" w:eastAsia="Times New Roman"/>
          <w:b/>
          <w:bCs/>
          <w:color w:val="000000" w:themeColor="text1"/>
        </w:rPr>
        <w:t>Burden Hour and Cost Determinations</w:t>
      </w:r>
    </w:p>
    <w:p w:rsidR="007428F5" w:rsidRPr="007428F5" w:rsidP="56E51CD7" w14:paraId="1EA32545" w14:textId="07480058">
      <w:pPr>
        <w:widowControl/>
        <w:rPr>
          <w:rFonts w:ascii="Times New Roman" w:eastAsia="Times New Roman"/>
          <w:sz w:val="18"/>
          <w:szCs w:val="18"/>
        </w:rPr>
      </w:pPr>
    </w:p>
    <w:p w:rsidR="007428F5" w:rsidRPr="007428F5" w:rsidP="56E51CD7" w14:paraId="73D9970A" w14:textId="05FC4A01">
      <w:pPr>
        <w:rPr>
          <w:rFonts w:ascii="Times New Roman" w:eastAsia="Times New Roman"/>
        </w:rPr>
      </w:pPr>
      <w:r w:rsidRPr="56E51CD7">
        <w:rPr>
          <w:rFonts w:ascii="Times New Roman" w:eastAsia="Times New Roman"/>
        </w:rPr>
        <w:t xml:space="preserve">The </w:t>
      </w:r>
      <w:r w:rsidRPr="56E51CD7" w:rsidR="05E82DFC">
        <w:rPr>
          <w:rFonts w:ascii="Times New Roman" w:eastAsia="Times New Roman"/>
        </w:rPr>
        <w:t>a</w:t>
      </w:r>
      <w:r w:rsidRPr="56E51CD7">
        <w:rPr>
          <w:rFonts w:ascii="Times New Roman" w:eastAsia="Times New Roman"/>
        </w:rPr>
        <w:t xml:space="preserve">gency determined the wage rate from mean hourly wage earnings to represent the cost of employee time. For the relevant standard </w:t>
      </w:r>
      <w:r w:rsidRPr="56E51CD7" w:rsidR="0620A3E0">
        <w:rPr>
          <w:rFonts w:ascii="Times New Roman" w:eastAsia="Times New Roman"/>
        </w:rPr>
        <w:t>occupatio</w:t>
      </w:r>
      <w:r w:rsidRPr="56E51CD7">
        <w:rPr>
          <w:rFonts w:ascii="Times New Roman" w:eastAsia="Times New Roman"/>
        </w:rPr>
        <w:t>nal classification category, OSHA used the wage rates reported in the Bureau of Labor Statistics, U.S. Department of Labor, Occupational Employment</w:t>
      </w:r>
      <w:r w:rsidRPr="56E51CD7" w:rsidR="67C397E1">
        <w:rPr>
          <w:rFonts w:ascii="Times New Roman" w:eastAsia="Times New Roman"/>
        </w:rPr>
        <w:t xml:space="preserve"> and Wage</w:t>
      </w:r>
      <w:r w:rsidRPr="56E51CD7">
        <w:rPr>
          <w:rFonts w:ascii="Times New Roman" w:eastAsia="Times New Roman"/>
        </w:rPr>
        <w:t xml:space="preserve"> Statistics (OE</w:t>
      </w:r>
      <w:r w:rsidRPr="56E51CD7" w:rsidR="67C397E1">
        <w:rPr>
          <w:rFonts w:ascii="Times New Roman" w:eastAsia="Times New Roman"/>
        </w:rPr>
        <w:t>W</w:t>
      </w:r>
      <w:r w:rsidRPr="56E51CD7">
        <w:rPr>
          <w:rFonts w:ascii="Times New Roman" w:eastAsia="Times New Roman"/>
        </w:rPr>
        <w:t>S), May 2</w:t>
      </w:r>
      <w:r w:rsidRPr="56E51CD7" w:rsidR="566F2C45">
        <w:rPr>
          <w:rFonts w:ascii="Times New Roman" w:eastAsia="Times New Roman"/>
        </w:rPr>
        <w:t>02</w:t>
      </w:r>
      <w:r w:rsidR="003C1B3D">
        <w:rPr>
          <w:rFonts w:ascii="Times New Roman" w:eastAsia="Times New Roman"/>
        </w:rPr>
        <w:t>3</w:t>
      </w:r>
      <w:r w:rsidRPr="56E51CD7">
        <w:rPr>
          <w:rFonts w:ascii="Times New Roman" w:eastAsia="Times New Roman"/>
        </w:rPr>
        <w:t xml:space="preserve"> [date accessed:</w:t>
      </w:r>
      <w:r w:rsidRPr="56E51CD7" w:rsidR="1B95E389">
        <w:rPr>
          <w:rFonts w:ascii="Times New Roman" w:eastAsia="Times New Roman"/>
        </w:rPr>
        <w:t xml:space="preserve"> </w:t>
      </w:r>
      <w:r w:rsidR="000E1D6B">
        <w:rPr>
          <w:rFonts w:ascii="Times New Roman" w:eastAsia="Times New Roman"/>
        </w:rPr>
        <w:t>February</w:t>
      </w:r>
      <w:r w:rsidRPr="56E51CD7" w:rsidR="20C5A493">
        <w:rPr>
          <w:rFonts w:ascii="Times New Roman" w:eastAsia="Times New Roman"/>
        </w:rPr>
        <w:t xml:space="preserve"> 1</w:t>
      </w:r>
      <w:r w:rsidR="000E1D6B">
        <w:rPr>
          <w:rFonts w:ascii="Times New Roman" w:eastAsia="Times New Roman"/>
        </w:rPr>
        <w:t>3</w:t>
      </w:r>
      <w:r w:rsidRPr="56E51CD7" w:rsidR="20C5A493">
        <w:rPr>
          <w:rFonts w:ascii="Times New Roman" w:eastAsia="Times New Roman"/>
        </w:rPr>
        <w:t>,</w:t>
      </w:r>
      <w:r w:rsidRPr="56E51CD7" w:rsidR="566F2C45">
        <w:rPr>
          <w:rFonts w:ascii="Times New Roman" w:eastAsia="Times New Roman"/>
        </w:rPr>
        <w:t xml:space="preserve"> 202</w:t>
      </w:r>
      <w:r w:rsidR="000E1D6B">
        <w:rPr>
          <w:rFonts w:ascii="Times New Roman" w:eastAsia="Times New Roman"/>
        </w:rPr>
        <w:t>5</w:t>
      </w:r>
      <w:r w:rsidRPr="56E51CD7">
        <w:rPr>
          <w:rFonts w:ascii="Times New Roman" w:eastAsia="Times New Roman"/>
        </w:rPr>
        <w:t>].</w:t>
      </w:r>
      <w:r w:rsidRPr="56E51CD7" w:rsidR="2CD7BE93">
        <w:rPr>
          <w:rFonts w:ascii="Times New Roman" w:eastAsia="Times New Roman"/>
        </w:rPr>
        <w:t xml:space="preserve"> </w:t>
      </w:r>
      <w:r w:rsidRPr="56E51CD7">
        <w:rPr>
          <w:rFonts w:ascii="Times New Roman" w:eastAsia="Times New Roman"/>
        </w:rPr>
        <w:t>(OE</w:t>
      </w:r>
      <w:r w:rsidRPr="56E51CD7" w:rsidR="67C397E1">
        <w:rPr>
          <w:rFonts w:ascii="Times New Roman" w:eastAsia="Times New Roman"/>
        </w:rPr>
        <w:t>W</w:t>
      </w:r>
      <w:r w:rsidRPr="56E51CD7">
        <w:rPr>
          <w:rFonts w:ascii="Times New Roman" w:eastAsia="Times New Roman"/>
        </w:rPr>
        <w:t xml:space="preserve">S data is available at </w:t>
      </w:r>
      <w:hyperlink r:id="rId10">
        <w:r w:rsidRPr="56E51CD7">
          <w:rPr>
            <w:rFonts w:ascii="Times New Roman" w:eastAsia="Times New Roman"/>
            <w:i/>
            <w:iCs/>
            <w:color w:val="003399"/>
            <w:u w:val="single"/>
          </w:rPr>
          <w:t>https://www.bls.gov/oes/tables.htm</w:t>
        </w:r>
      </w:hyperlink>
      <w:r w:rsidRPr="56E51CD7">
        <w:rPr>
          <w:rFonts w:ascii="Times New Roman" w:eastAsia="Times New Roman"/>
        </w:rPr>
        <w:t xml:space="preserve">. To access a wage rate, select the year, “Occupation profiles,” and the Standard Occupational Classification (SOC) code.) </w:t>
      </w:r>
    </w:p>
    <w:p w:rsidR="007428F5" w:rsidRPr="007428F5" w:rsidP="00DF36FA" w14:paraId="7D8445B4" w14:textId="52A2DF1B">
      <w:pPr>
        <w:widowControl/>
        <w:jc w:val="center"/>
        <w:rPr>
          <w:rFonts w:ascii="Times New Roman" w:eastAsia="Times New Roman"/>
        </w:rPr>
      </w:pPr>
    </w:p>
    <w:p w:rsidR="00753FFD" w14:paraId="7387E10B" w14:textId="32830F54">
      <w:pPr>
        <w:rPr>
          <w:rFonts w:ascii="Times New Roman" w:eastAsia="Times New Roman"/>
        </w:rPr>
      </w:pPr>
      <w:r w:rsidRPr="007428F5">
        <w:rPr>
          <w:rFonts w:ascii="Times New Roman" w:eastAsia="Times New Roman"/>
        </w:rPr>
        <w:t xml:space="preserve">To derive the loaded hourly wage rate presented in the table below, the </w:t>
      </w:r>
      <w:r w:rsidR="1E05A015">
        <w:rPr>
          <w:rFonts w:ascii="Times New Roman" w:eastAsia="Times New Roman"/>
        </w:rPr>
        <w:t>a</w:t>
      </w:r>
      <w:r w:rsidRPr="007428F5">
        <w:rPr>
          <w:rFonts w:ascii="Times New Roman" w:eastAsia="Times New Roman"/>
        </w:rPr>
        <w:t xml:space="preserve">gency used </w:t>
      </w:r>
      <w:r w:rsidR="00204C0B">
        <w:rPr>
          <w:rFonts w:ascii="Times New Roman" w:eastAsia="Times New Roman"/>
        </w:rPr>
        <w:t>wage rates</w:t>
      </w:r>
      <w:r w:rsidRPr="56E51CD7">
        <w:rPr>
          <w:rFonts w:ascii="Times New Roman" w:eastAsia="Times New Roman"/>
        </w:rPr>
        <w:t xml:space="preserve">, as </w:t>
      </w:r>
      <w:r w:rsidRPr="56E51CD7" w:rsidR="00EC5D50">
        <w:rPr>
          <w:rFonts w:ascii="Times New Roman" w:eastAsia="Times New Roman"/>
        </w:rPr>
        <w:t>de</w:t>
      </w:r>
      <w:r w:rsidR="00EC5D50">
        <w:rPr>
          <w:rFonts w:ascii="Times New Roman" w:eastAsia="Times New Roman"/>
        </w:rPr>
        <w:t>termined</w:t>
      </w:r>
      <w:r w:rsidRPr="56E51CD7">
        <w:rPr>
          <w:rFonts w:ascii="Times New Roman" w:eastAsia="Times New Roman"/>
        </w:rPr>
        <w:t xml:space="preserve"> in the paragraph abov</w:t>
      </w:r>
      <w:r w:rsidR="00E214AA">
        <w:rPr>
          <w:rFonts w:ascii="Times New Roman" w:eastAsia="Times New Roman"/>
        </w:rPr>
        <w:t>e</w:t>
      </w:r>
      <w:r w:rsidR="00EC5D50">
        <w:rPr>
          <w:rFonts w:ascii="Times New Roman" w:eastAsia="Times New Roman"/>
        </w:rPr>
        <w:t>,</w:t>
      </w:r>
      <w:r w:rsidR="00303B61">
        <w:rPr>
          <w:rFonts w:ascii="Times New Roman" w:eastAsia="Times New Roman"/>
        </w:rPr>
        <w:t xml:space="preserve"> </w:t>
      </w:r>
      <w:r w:rsidR="00741643">
        <w:rPr>
          <w:rFonts w:ascii="Times New Roman" w:eastAsia="Times New Roman"/>
        </w:rPr>
        <w:t xml:space="preserve">and applied a </w:t>
      </w:r>
      <w:r w:rsidR="00AD2770">
        <w:rPr>
          <w:rFonts w:ascii="Times New Roman" w:eastAsia="Times New Roman"/>
        </w:rPr>
        <w:t>f</w:t>
      </w:r>
      <w:r w:rsidRPr="007428F5">
        <w:rPr>
          <w:rFonts w:ascii="Times New Roman" w:eastAsia="Times New Roman"/>
        </w:rPr>
        <w:t xml:space="preserve">ringe </w:t>
      </w:r>
      <w:r w:rsidR="00741643">
        <w:rPr>
          <w:rFonts w:ascii="Times New Roman" w:eastAsia="Times New Roman"/>
        </w:rPr>
        <w:t>benefit</w:t>
      </w:r>
      <w:r w:rsidR="009314F3">
        <w:rPr>
          <w:rFonts w:ascii="Times New Roman" w:eastAsia="Times New Roman"/>
        </w:rPr>
        <w:t xml:space="preserve"> </w:t>
      </w:r>
      <w:r w:rsidRPr="007428F5">
        <w:rPr>
          <w:rFonts w:ascii="Times New Roman" w:eastAsia="Times New Roman"/>
        </w:rPr>
        <w:t xml:space="preserve">from the following BLS release: </w:t>
      </w:r>
      <w:r w:rsidRPr="56E51CD7">
        <w:rPr>
          <w:rFonts w:ascii="Times New Roman" w:eastAsia="Times New Roman"/>
          <w:i/>
          <w:iCs/>
        </w:rPr>
        <w:t xml:space="preserve">Employer Costs for Employee Compensation </w:t>
      </w:r>
      <w:r w:rsidRPr="56E51CD7" w:rsidR="75133A8C">
        <w:rPr>
          <w:rFonts w:ascii="Times New Roman" w:eastAsia="Times New Roman"/>
          <w:i/>
          <w:iCs/>
        </w:rPr>
        <w:t>N</w:t>
      </w:r>
      <w:r w:rsidRPr="56E51CD7">
        <w:rPr>
          <w:rFonts w:ascii="Times New Roman" w:eastAsia="Times New Roman"/>
          <w:i/>
          <w:iCs/>
        </w:rPr>
        <w:t xml:space="preserve">ews </w:t>
      </w:r>
      <w:r w:rsidRPr="56E51CD7" w:rsidR="75133A8C">
        <w:rPr>
          <w:rFonts w:ascii="Times New Roman" w:eastAsia="Times New Roman"/>
          <w:i/>
          <w:iCs/>
        </w:rPr>
        <w:t>R</w:t>
      </w:r>
      <w:r w:rsidRPr="56E51CD7">
        <w:rPr>
          <w:rFonts w:ascii="Times New Roman" w:eastAsia="Times New Roman"/>
          <w:i/>
          <w:iCs/>
        </w:rPr>
        <w:t>elease</w:t>
      </w:r>
      <w:r w:rsidRPr="007428F5">
        <w:rPr>
          <w:rFonts w:ascii="Times New Roman" w:eastAsia="Times New Roman"/>
        </w:rPr>
        <w:t xml:space="preserve"> text, released 10:00 AM (EDT),</w:t>
      </w:r>
      <w:r w:rsidRPr="00B369E7" w:rsidR="1B95E389">
        <w:rPr>
          <w:rFonts w:ascii="Times New Roman" w:eastAsia="Times New Roman"/>
          <w:kern w:val="28"/>
        </w:rPr>
        <w:t xml:space="preserve"> </w:t>
      </w:r>
      <w:r w:rsidR="00AD0514">
        <w:rPr>
          <w:rFonts w:ascii="Times New Roman" w:eastAsia="Times New Roman"/>
          <w:kern w:val="28"/>
        </w:rPr>
        <w:t>December 17,</w:t>
      </w:r>
      <w:r w:rsidR="002F6CB7">
        <w:rPr>
          <w:rFonts w:ascii="Times New Roman" w:eastAsia="Times New Roman"/>
          <w:kern w:val="28"/>
        </w:rPr>
        <w:t xml:space="preserve"> </w:t>
      </w:r>
      <w:r w:rsidR="00AD0514">
        <w:rPr>
          <w:rFonts w:ascii="Times New Roman" w:eastAsia="Times New Roman"/>
          <w:kern w:val="28"/>
        </w:rPr>
        <w:t>2024</w:t>
      </w:r>
      <w:r w:rsidR="19A7ABD7">
        <w:rPr>
          <w:rFonts w:ascii="Times New Roman" w:eastAsia="Times New Roman"/>
          <w:kern w:val="28"/>
        </w:rPr>
        <w:t xml:space="preserve"> </w:t>
      </w:r>
      <w:r w:rsidRPr="00B369E7" w:rsidR="1B95E389">
        <w:rPr>
          <w:rFonts w:ascii="Times New Roman" w:eastAsia="Times New Roman"/>
        </w:rPr>
        <w:t>(</w:t>
      </w:r>
      <w:r w:rsidRPr="008B1369" w:rsidR="008B1369">
        <w:rPr>
          <w:rFonts w:ascii="Times New Roman" w:eastAsia="Times New Roman"/>
        </w:rPr>
        <w:t>https</w:t>
      </w:r>
      <w:hyperlink r:id="rId11" w:history="1">
        <w:r w:rsidRPr="004A2AAC" w:rsidR="008B1369">
          <w:rPr>
            <w:rStyle w:val="Hyperlink"/>
            <w:rFonts w:ascii="Times New Roman" w:eastAsia="Times New Roman"/>
            <w:color w:val="0070C0"/>
          </w:rPr>
          <w:t>://www.bls.gov/news.release/archives/ecec_12172024.htm</w:t>
        </w:r>
      </w:hyperlink>
      <w:r w:rsidRPr="56E51CD7">
        <w:rPr>
          <w:rFonts w:ascii="Times New Roman" w:eastAsia="Times New Roman"/>
        </w:rPr>
        <w:t>)</w:t>
      </w:r>
      <w:r w:rsidRPr="56E51CD7">
        <w:rPr>
          <w:rFonts w:ascii="Times New Roman" w:eastAsia="Times New Roman"/>
          <w:i/>
          <w:iCs/>
        </w:rPr>
        <w:t xml:space="preserve">. </w:t>
      </w:r>
      <w:r w:rsidRPr="007428F5">
        <w:rPr>
          <w:rFonts w:ascii="Times New Roman" w:eastAsia="Times New Roman"/>
        </w:rPr>
        <w:t xml:space="preserve">BLS reported that for </w:t>
      </w:r>
      <w:r w:rsidR="00AD0514">
        <w:rPr>
          <w:rFonts w:ascii="Times New Roman" w:eastAsia="Times New Roman"/>
        </w:rPr>
        <w:t>private</w:t>
      </w:r>
      <w:r w:rsidR="00327DC5">
        <w:rPr>
          <w:rFonts w:ascii="Times New Roman" w:eastAsia="Times New Roman"/>
        </w:rPr>
        <w:t xml:space="preserve"> industry</w:t>
      </w:r>
      <w:r w:rsidRPr="007428F5">
        <w:rPr>
          <w:rFonts w:ascii="Times New Roman" w:eastAsia="Times New Roman"/>
        </w:rPr>
        <w:t xml:space="preserve"> workers, fr</w:t>
      </w:r>
      <w:r w:rsidR="36FDAFD7">
        <w:rPr>
          <w:rFonts w:ascii="Times New Roman" w:eastAsia="Times New Roman"/>
        </w:rPr>
        <w:t xml:space="preserve">inge benefits accounted for </w:t>
      </w:r>
      <w:r w:rsidR="0047448C">
        <w:rPr>
          <w:rFonts w:ascii="Times New Roman" w:eastAsia="Times New Roman"/>
        </w:rPr>
        <w:t>29.6</w:t>
      </w:r>
      <w:r w:rsidRPr="007428F5">
        <w:rPr>
          <w:rFonts w:ascii="Times New Roman" w:eastAsia="Times New Roman"/>
        </w:rPr>
        <w:t xml:space="preserve"> percent of total compensation and wages </w:t>
      </w:r>
      <w:r w:rsidR="36FDAFD7">
        <w:rPr>
          <w:rFonts w:ascii="Times New Roman" w:eastAsia="Times New Roman"/>
        </w:rPr>
        <w:t xml:space="preserve">accounted for the remaining </w:t>
      </w:r>
      <w:r w:rsidR="00745A8E">
        <w:rPr>
          <w:rFonts w:ascii="Times New Roman" w:eastAsia="Times New Roman"/>
        </w:rPr>
        <w:t>70.4</w:t>
      </w:r>
      <w:r w:rsidR="00930F7A">
        <w:rPr>
          <w:rFonts w:ascii="Times New Roman" w:eastAsia="Times New Roman"/>
        </w:rPr>
        <w:t xml:space="preserve"> </w:t>
      </w:r>
      <w:r w:rsidRPr="007428F5">
        <w:rPr>
          <w:rFonts w:ascii="Times New Roman" w:eastAsia="Times New Roman"/>
        </w:rPr>
        <w:t xml:space="preserve">percent. To calculate the loaded hourly wage for each occupation, the </w:t>
      </w:r>
      <w:r w:rsidR="1E05A015">
        <w:rPr>
          <w:rFonts w:ascii="Times New Roman" w:eastAsia="Times New Roman"/>
        </w:rPr>
        <w:t>a</w:t>
      </w:r>
      <w:r w:rsidRPr="007428F5">
        <w:rPr>
          <w:rFonts w:ascii="Times New Roman" w:eastAsia="Times New Roman"/>
        </w:rPr>
        <w:t>gency divided the mean hourly wage rate by 1 minus the fringe benefits.</w:t>
      </w:r>
    </w:p>
    <w:p w:rsidR="00753FFD" w14:paraId="7F8747E9" w14:textId="77777777">
      <w:pPr>
        <w:rPr>
          <w:rFonts w:ascii="Times New Roman" w:eastAsia="Times New Roman"/>
        </w:rPr>
      </w:pPr>
    </w:p>
    <w:p w:rsidR="007428F5" w14:paraId="4BD8A2B4" w14:textId="2C0FD4DB">
      <w:pPr>
        <w:rPr>
          <w:rFonts w:ascii="Times New Roman" w:eastAsia="Times New Roman"/>
        </w:rPr>
      </w:pPr>
      <w:r w:rsidRPr="56E51CD7">
        <w:rPr>
          <w:rFonts w:ascii="Times New Roman" w:eastAsia="Times New Roman"/>
        </w:rPr>
        <w:t xml:space="preserve">Table A, below, </w:t>
      </w:r>
      <w:r w:rsidR="005127EB">
        <w:rPr>
          <w:rFonts w:ascii="Times New Roman" w:eastAsia="Times New Roman"/>
        </w:rPr>
        <w:t>summarizes</w:t>
      </w:r>
      <w:r w:rsidRPr="56E51CD7">
        <w:rPr>
          <w:rFonts w:ascii="Times New Roman" w:eastAsia="Times New Roman"/>
        </w:rPr>
        <w:t xml:space="preserve"> how the </w:t>
      </w:r>
      <w:r w:rsidR="003707A9">
        <w:rPr>
          <w:rFonts w:ascii="Times New Roman" w:eastAsia="Times New Roman"/>
        </w:rPr>
        <w:t>loaded hourly</w:t>
      </w:r>
      <w:r w:rsidR="00DF36FA">
        <w:rPr>
          <w:rFonts w:ascii="Times New Roman" w:eastAsia="Times New Roman"/>
        </w:rPr>
        <w:t xml:space="preserve"> </w:t>
      </w:r>
      <w:r w:rsidRPr="56E51CD7">
        <w:rPr>
          <w:rFonts w:ascii="Times New Roman" w:eastAsia="Times New Roman"/>
        </w:rPr>
        <w:t>wage rate estimates were derived for the information collection requirements specified in the standard.</w:t>
      </w:r>
      <w:r w:rsidRPr="56E51CD7" w:rsidR="2CD7BE93">
        <w:rPr>
          <w:rFonts w:ascii="Times New Roman" w:eastAsia="Times New Roman"/>
        </w:rPr>
        <w:t xml:space="preserve"> </w:t>
      </w:r>
    </w:p>
    <w:p w:rsidR="00832DF1" w14:paraId="5FFECE0A" w14:textId="77777777">
      <w:pPr>
        <w:rPr>
          <w:rFonts w:ascii="Times New Roman" w:eastAsia="Times New Roman"/>
        </w:rPr>
      </w:pPr>
    </w:p>
    <w:tbl>
      <w:tblPr>
        <w:tblW w:w="9470" w:type="dxa"/>
        <w:jc w:val="center"/>
        <w:tblLook w:val="04A0"/>
      </w:tblPr>
      <w:tblGrid>
        <w:gridCol w:w="2600"/>
        <w:gridCol w:w="1270"/>
        <w:gridCol w:w="1840"/>
        <w:gridCol w:w="1480"/>
        <w:gridCol w:w="2280"/>
      </w:tblGrid>
      <w:tr w14:paraId="5AFC3A88" w14:textId="77777777" w:rsidTr="00D10C39">
        <w:tblPrEx>
          <w:tblW w:w="9470" w:type="dxa"/>
          <w:jc w:val="center"/>
          <w:tblLook w:val="04A0"/>
        </w:tblPrEx>
        <w:trPr>
          <w:trHeight w:val="268"/>
          <w:tblHeader/>
          <w:jc w:val="center"/>
        </w:trPr>
        <w:tc>
          <w:tcPr>
            <w:tcW w:w="9470" w:type="dxa"/>
            <w:gridSpan w:val="5"/>
            <w:tcBorders>
              <w:top w:val="single" w:sz="8" w:space="0" w:color="auto"/>
              <w:left w:val="single" w:sz="8" w:space="0" w:color="auto"/>
              <w:bottom w:val="single" w:sz="8" w:space="0" w:color="auto"/>
              <w:right w:val="single" w:sz="8" w:space="0" w:color="auto"/>
            </w:tcBorders>
            <w:shd w:val="clear" w:color="auto" w:fill="DBE2CF" w:themeFill="accent3" w:themeFillTint="66"/>
            <w:vAlign w:val="center"/>
          </w:tcPr>
          <w:p w:rsidR="00DD52FB" w:rsidRPr="004A2AAC" w:rsidP="00DD52FB" w14:paraId="567B8077" w14:textId="61C63D52">
            <w:pPr>
              <w:widowControl/>
              <w:autoSpaceDE/>
              <w:autoSpaceDN/>
              <w:adjustRightInd/>
              <w:jc w:val="center"/>
              <w:rPr>
                <w:rFonts w:ascii="Times New Roman" w:eastAsia="Times New Roman"/>
                <w:b/>
                <w:bCs/>
                <w:color w:val="000000"/>
              </w:rPr>
            </w:pPr>
            <w:r w:rsidRPr="004A2AAC">
              <w:rPr>
                <w:rFonts w:ascii="Times New Roman" w:eastAsia="Times New Roman"/>
                <w:b/>
                <w:bCs/>
                <w:color w:val="000000"/>
              </w:rPr>
              <w:t>Table A – Wage Rate Estimates</w:t>
            </w:r>
          </w:p>
        </w:tc>
      </w:tr>
      <w:tr w14:paraId="7BC44512" w14:textId="77777777" w:rsidTr="00D10C39">
        <w:tblPrEx>
          <w:tblW w:w="9470" w:type="dxa"/>
          <w:jc w:val="center"/>
          <w:tblLook w:val="04A0"/>
        </w:tblPrEx>
        <w:trPr>
          <w:trHeight w:val="1020"/>
          <w:tblHeader/>
          <w:jc w:val="center"/>
        </w:trPr>
        <w:tc>
          <w:tcPr>
            <w:tcW w:w="2600" w:type="dxa"/>
            <w:tcBorders>
              <w:top w:val="single" w:sz="8" w:space="0" w:color="auto"/>
              <w:left w:val="single" w:sz="8" w:space="0" w:color="auto"/>
              <w:bottom w:val="single" w:sz="8" w:space="0" w:color="auto"/>
              <w:right w:val="single" w:sz="8" w:space="0" w:color="auto"/>
            </w:tcBorders>
            <w:shd w:val="clear" w:color="auto" w:fill="C6E0B4"/>
            <w:vAlign w:val="center"/>
            <w:hideMark/>
          </w:tcPr>
          <w:p w:rsidR="00DD52FB" w:rsidRPr="00DD52FB" w:rsidP="00DD52FB" w14:paraId="4DA48210" w14:textId="77777777">
            <w:pPr>
              <w:widowControl/>
              <w:autoSpaceDE/>
              <w:autoSpaceDN/>
              <w:adjustRightInd/>
              <w:jc w:val="center"/>
              <w:rPr>
                <w:rFonts w:ascii="Times New Roman" w:eastAsia="Times New Roman"/>
                <w:b/>
                <w:bCs/>
                <w:color w:val="000000"/>
              </w:rPr>
            </w:pPr>
            <w:r w:rsidRPr="00DD52FB">
              <w:rPr>
                <w:rFonts w:ascii="Times New Roman" w:eastAsia="Times New Roman"/>
                <w:b/>
                <w:bCs/>
                <w:color w:val="000000"/>
              </w:rPr>
              <w:t>Occupational Title</w:t>
            </w:r>
          </w:p>
        </w:tc>
        <w:tc>
          <w:tcPr>
            <w:tcW w:w="1270" w:type="dxa"/>
            <w:tcBorders>
              <w:top w:val="single" w:sz="8" w:space="0" w:color="auto"/>
              <w:left w:val="nil"/>
              <w:bottom w:val="single" w:sz="8" w:space="0" w:color="auto"/>
              <w:right w:val="single" w:sz="8" w:space="0" w:color="auto"/>
            </w:tcBorders>
            <w:shd w:val="clear" w:color="auto" w:fill="C6E0B4"/>
            <w:vAlign w:val="center"/>
            <w:hideMark/>
          </w:tcPr>
          <w:p w:rsidR="00DD52FB" w:rsidRPr="00DD52FB" w:rsidP="00DD52FB" w14:paraId="3B1E8737" w14:textId="7D97D5CF">
            <w:pPr>
              <w:widowControl/>
              <w:autoSpaceDE/>
              <w:autoSpaceDN/>
              <w:adjustRightInd/>
              <w:jc w:val="center"/>
              <w:rPr>
                <w:rFonts w:ascii="Times New Roman" w:eastAsia="Times New Roman"/>
                <w:b/>
                <w:bCs/>
                <w:color w:val="000000"/>
              </w:rPr>
            </w:pPr>
            <w:r>
              <w:rPr>
                <w:rFonts w:ascii="Times New Roman" w:eastAsia="Times New Roman"/>
                <w:b/>
                <w:bCs/>
                <w:color w:val="000000"/>
              </w:rPr>
              <w:t>SOC</w:t>
            </w:r>
            <w:r w:rsidRPr="00DD52FB" w:rsidR="00DE7D9E">
              <w:rPr>
                <w:rFonts w:ascii="Times New Roman" w:eastAsia="Times New Roman"/>
                <w:b/>
                <w:bCs/>
                <w:color w:val="000000"/>
              </w:rPr>
              <w:t xml:space="preserve"> Code</w:t>
            </w:r>
          </w:p>
        </w:tc>
        <w:tc>
          <w:tcPr>
            <w:tcW w:w="1840" w:type="dxa"/>
            <w:tcBorders>
              <w:top w:val="single" w:sz="8" w:space="0" w:color="auto"/>
              <w:left w:val="nil"/>
              <w:bottom w:val="single" w:sz="8" w:space="0" w:color="auto"/>
              <w:right w:val="single" w:sz="8" w:space="0" w:color="auto"/>
            </w:tcBorders>
            <w:shd w:val="clear" w:color="auto" w:fill="C6E0B4"/>
            <w:vAlign w:val="center"/>
            <w:hideMark/>
          </w:tcPr>
          <w:p w:rsidR="00DD52FB" w:rsidRPr="00DD52FB" w:rsidP="00DD52FB" w14:paraId="1D362CF0" w14:textId="67584722">
            <w:pPr>
              <w:widowControl/>
              <w:autoSpaceDE/>
              <w:autoSpaceDN/>
              <w:adjustRightInd/>
              <w:jc w:val="center"/>
              <w:rPr>
                <w:rFonts w:ascii="Times New Roman" w:eastAsia="Times New Roman"/>
                <w:b/>
                <w:bCs/>
                <w:color w:val="000000"/>
              </w:rPr>
            </w:pPr>
            <w:r w:rsidRPr="56E51CD7">
              <w:rPr>
                <w:rFonts w:ascii="Times New Roman" w:eastAsia="Times New Roman"/>
                <w:b/>
                <w:bCs/>
                <w:color w:val="000000" w:themeColor="text1"/>
              </w:rPr>
              <w:t>Mean Hour</w:t>
            </w:r>
            <w:r w:rsidR="00423690">
              <w:rPr>
                <w:rFonts w:ascii="Times New Roman" w:eastAsia="Times New Roman"/>
                <w:b/>
                <w:bCs/>
                <w:color w:val="000000" w:themeColor="text1"/>
              </w:rPr>
              <w:t>ly</w:t>
            </w:r>
            <w:r w:rsidRPr="56E51CD7" w:rsidR="4DA01F17">
              <w:rPr>
                <w:rFonts w:ascii="Times New Roman" w:eastAsia="Times New Roman"/>
                <w:b/>
                <w:bCs/>
                <w:color w:val="000000" w:themeColor="text1"/>
              </w:rPr>
              <w:t xml:space="preserve"> </w:t>
            </w:r>
            <w:r w:rsidRPr="56E51CD7">
              <w:rPr>
                <w:rFonts w:ascii="Times New Roman" w:eastAsia="Times New Roman"/>
                <w:b/>
                <w:bCs/>
                <w:color w:val="000000" w:themeColor="text1"/>
              </w:rPr>
              <w:t>Wage</w:t>
            </w:r>
            <w:r w:rsidRPr="56E51CD7" w:rsidR="3AE56790">
              <w:rPr>
                <w:rFonts w:ascii="Times New Roman" w:eastAsia="Times New Roman"/>
                <w:b/>
                <w:bCs/>
                <w:color w:val="000000" w:themeColor="text1"/>
              </w:rPr>
              <w:t xml:space="preserve"> </w:t>
            </w:r>
            <w:r w:rsidRPr="56E51CD7">
              <w:rPr>
                <w:rFonts w:ascii="Times New Roman" w:eastAsia="Times New Roman"/>
                <w:b/>
                <w:bCs/>
                <w:color w:val="000000" w:themeColor="text1"/>
              </w:rPr>
              <w:t>Rate</w:t>
            </w:r>
            <w:r w:rsidRPr="56E51CD7" w:rsidR="53828359">
              <w:rPr>
                <w:rFonts w:ascii="Times New Roman" w:eastAsia="Times New Roman"/>
                <w:b/>
                <w:bCs/>
                <w:color w:val="000000" w:themeColor="text1"/>
              </w:rPr>
              <w:t xml:space="preserve"> </w:t>
            </w:r>
            <w:r>
              <w:br/>
            </w:r>
            <w:r w:rsidRPr="56E51CD7" w:rsidR="53828359">
              <w:rPr>
                <w:rFonts w:ascii="Times New Roman" w:eastAsia="Times New Roman"/>
                <w:b/>
                <w:bCs/>
                <w:color w:val="000000" w:themeColor="text1"/>
              </w:rPr>
              <w:t>(</w:t>
            </w:r>
            <w:r w:rsidRPr="56E51CD7">
              <w:rPr>
                <w:rFonts w:ascii="Times New Roman" w:eastAsia="Times New Roman"/>
                <w:color w:val="000000" w:themeColor="text1"/>
              </w:rPr>
              <w:t>A)</w:t>
            </w:r>
          </w:p>
        </w:tc>
        <w:tc>
          <w:tcPr>
            <w:tcW w:w="1480" w:type="dxa"/>
            <w:tcBorders>
              <w:top w:val="single" w:sz="8" w:space="0" w:color="auto"/>
              <w:left w:val="nil"/>
              <w:bottom w:val="single" w:sz="8" w:space="0" w:color="auto"/>
              <w:right w:val="single" w:sz="8" w:space="0" w:color="auto"/>
            </w:tcBorders>
            <w:shd w:val="clear" w:color="auto" w:fill="C6E0B4"/>
            <w:vAlign w:val="center"/>
            <w:hideMark/>
          </w:tcPr>
          <w:p w:rsidR="00DD52FB" w:rsidRPr="00B1163D" w:rsidP="00DD52FB" w14:paraId="4266B281" w14:textId="2CA8AC2D">
            <w:pPr>
              <w:widowControl/>
              <w:autoSpaceDE/>
              <w:autoSpaceDN/>
              <w:adjustRightInd/>
              <w:jc w:val="center"/>
              <w:rPr>
                <w:rFonts w:ascii="Times New Roman" w:eastAsia="Times New Roman"/>
                <w:b/>
                <w:bCs/>
                <w:color w:val="000000"/>
              </w:rPr>
            </w:pPr>
            <w:r w:rsidRPr="00B1163D">
              <w:rPr>
                <w:rFonts w:ascii="Times New Roman" w:eastAsia="Times New Roman"/>
                <w:b/>
                <w:bCs/>
                <w:color w:val="000000" w:themeColor="text1"/>
              </w:rPr>
              <w:t>Fringe Benefits</w:t>
            </w:r>
            <w:r w:rsidRPr="00B1163D">
              <w:br/>
            </w:r>
            <w:r w:rsidRPr="00B1163D">
              <w:rPr>
                <w:rFonts w:ascii="Times New Roman" w:eastAsia="Times New Roman"/>
                <w:color w:val="000000" w:themeColor="text1"/>
              </w:rPr>
              <w:t>(B</w:t>
            </w:r>
            <w:r w:rsidRPr="00B1163D">
              <w:rPr>
                <w:rFonts w:ascii="Times New Roman" w:eastAsia="Times New Roman"/>
                <w:b/>
                <w:bCs/>
                <w:color w:val="000000" w:themeColor="text1"/>
              </w:rPr>
              <w:t>)</w:t>
            </w:r>
          </w:p>
        </w:tc>
        <w:tc>
          <w:tcPr>
            <w:tcW w:w="2280" w:type="dxa"/>
            <w:tcBorders>
              <w:top w:val="single" w:sz="8" w:space="0" w:color="auto"/>
              <w:left w:val="nil"/>
              <w:bottom w:val="single" w:sz="8" w:space="0" w:color="auto"/>
              <w:right w:val="single" w:sz="8" w:space="0" w:color="auto"/>
            </w:tcBorders>
            <w:shd w:val="clear" w:color="auto" w:fill="C6E0B4"/>
            <w:vAlign w:val="center"/>
            <w:hideMark/>
          </w:tcPr>
          <w:p w:rsidR="00DD52FB" w:rsidRPr="00DD52FB" w:rsidP="00DD52FB" w14:paraId="78DAC4FE" w14:textId="5F27904F">
            <w:pPr>
              <w:widowControl/>
              <w:autoSpaceDE/>
              <w:autoSpaceDN/>
              <w:adjustRightInd/>
              <w:jc w:val="center"/>
              <w:rPr>
                <w:rFonts w:ascii="Times New Roman" w:eastAsia="Times New Roman"/>
                <w:b/>
                <w:bCs/>
                <w:color w:val="000000"/>
              </w:rPr>
            </w:pPr>
            <w:r w:rsidRPr="56E51CD7">
              <w:rPr>
                <w:rFonts w:ascii="Times New Roman" w:eastAsia="Times New Roman"/>
                <w:b/>
                <w:bCs/>
                <w:color w:val="000000" w:themeColor="text1"/>
              </w:rPr>
              <w:t>Loaded</w:t>
            </w:r>
            <w:r w:rsidRPr="56E51CD7" w:rsidR="657F2244">
              <w:rPr>
                <w:rFonts w:ascii="Times New Roman" w:eastAsia="Times New Roman"/>
                <w:b/>
                <w:bCs/>
                <w:color w:val="000000" w:themeColor="text1"/>
              </w:rPr>
              <w:t xml:space="preserve"> </w:t>
            </w:r>
            <w:r w:rsidRPr="56E51CD7">
              <w:rPr>
                <w:rFonts w:ascii="Times New Roman" w:eastAsia="Times New Roman"/>
                <w:b/>
                <w:bCs/>
                <w:color w:val="000000" w:themeColor="text1"/>
              </w:rPr>
              <w:t>Hourly</w:t>
            </w:r>
            <w:r w:rsidRPr="56E51CD7" w:rsidR="6728617D">
              <w:rPr>
                <w:rFonts w:ascii="Times New Roman" w:eastAsia="Times New Roman"/>
                <w:b/>
                <w:bCs/>
                <w:color w:val="000000" w:themeColor="text1"/>
              </w:rPr>
              <w:t xml:space="preserve"> </w:t>
            </w:r>
            <w:r w:rsidRPr="56E51CD7">
              <w:rPr>
                <w:rFonts w:ascii="Times New Roman" w:eastAsia="Times New Roman"/>
                <w:b/>
                <w:bCs/>
                <w:color w:val="000000" w:themeColor="text1"/>
              </w:rPr>
              <w:t>Wag</w:t>
            </w:r>
            <w:r w:rsidRPr="56E51CD7" w:rsidR="655EC262">
              <w:rPr>
                <w:rFonts w:ascii="Times New Roman" w:eastAsia="Times New Roman"/>
                <w:b/>
                <w:bCs/>
                <w:color w:val="000000" w:themeColor="text1"/>
              </w:rPr>
              <w:t xml:space="preserve">e </w:t>
            </w:r>
            <w:r w:rsidRPr="56E51CD7">
              <w:rPr>
                <w:rFonts w:ascii="Times New Roman" w:eastAsia="Times New Roman"/>
                <w:b/>
                <w:bCs/>
                <w:color w:val="000000" w:themeColor="text1"/>
              </w:rPr>
              <w:t>Rate</w:t>
            </w:r>
            <w:r>
              <w:br/>
            </w:r>
            <w:r w:rsidRPr="56E51CD7">
              <w:rPr>
                <w:rFonts w:ascii="Times New Roman" w:eastAsia="Times New Roman"/>
                <w:color w:val="000000" w:themeColor="text1"/>
              </w:rPr>
              <w:t>(C) = (</w:t>
            </w:r>
            <w:r w:rsidR="00F75D63">
              <w:rPr>
                <w:rFonts w:ascii="Times New Roman" w:eastAsia="Times New Roman"/>
                <w:color w:val="000000" w:themeColor="text1"/>
              </w:rPr>
              <w:t>A</w:t>
            </w:r>
            <w:r w:rsidRPr="56E51CD7" w:rsidR="0E81D0F5">
              <w:rPr>
                <w:rFonts w:ascii="Times New Roman" w:eastAsia="Times New Roman"/>
                <w:color w:val="000000" w:themeColor="text1"/>
              </w:rPr>
              <w:t>/</w:t>
            </w:r>
            <w:r w:rsidRPr="56E51CD7">
              <w:rPr>
                <w:rFonts w:ascii="Times New Roman" w:eastAsia="Times New Roman"/>
                <w:color w:val="000000" w:themeColor="text1"/>
              </w:rPr>
              <w:t>(1-B))</w:t>
            </w:r>
          </w:p>
        </w:tc>
      </w:tr>
      <w:tr w14:paraId="2CAFF3AC" w14:textId="77777777" w:rsidTr="00D10C39">
        <w:tblPrEx>
          <w:tblW w:w="9470" w:type="dxa"/>
          <w:jc w:val="center"/>
          <w:tblLook w:val="04A0"/>
        </w:tblPrEx>
        <w:trPr>
          <w:trHeight w:val="1215"/>
          <w:jc w:val="center"/>
        </w:trPr>
        <w:tc>
          <w:tcPr>
            <w:tcW w:w="2600" w:type="dxa"/>
            <w:tcBorders>
              <w:top w:val="nil"/>
              <w:left w:val="single" w:sz="8" w:space="0" w:color="auto"/>
              <w:bottom w:val="single" w:sz="4" w:space="0" w:color="auto"/>
              <w:right w:val="single" w:sz="8" w:space="0" w:color="auto"/>
            </w:tcBorders>
            <w:shd w:val="clear" w:color="auto" w:fill="E2EFDA"/>
            <w:vAlign w:val="center"/>
            <w:hideMark/>
          </w:tcPr>
          <w:p w:rsidR="00DD52FB" w:rsidRPr="00DD52FB" w:rsidP="00DD52FB" w14:paraId="339ACD09" w14:textId="77777777">
            <w:pPr>
              <w:widowControl/>
              <w:autoSpaceDE/>
              <w:autoSpaceDN/>
              <w:adjustRightInd/>
              <w:jc w:val="center"/>
              <w:rPr>
                <w:rFonts w:ascii="Times New Roman" w:eastAsia="Times New Roman"/>
                <w:color w:val="000000"/>
                <w:sz w:val="22"/>
                <w:szCs w:val="22"/>
              </w:rPr>
            </w:pPr>
            <w:r w:rsidRPr="00DD52FB">
              <w:rPr>
                <w:rFonts w:ascii="Times New Roman" w:eastAsia="Times New Roman"/>
                <w:color w:val="000000"/>
                <w:sz w:val="22"/>
                <w:szCs w:val="22"/>
              </w:rPr>
              <w:t>Health and Safety Engineers, Except Mining Safety Engineers and Inspectors (Manager)</w:t>
            </w:r>
          </w:p>
        </w:tc>
        <w:tc>
          <w:tcPr>
            <w:tcW w:w="1270" w:type="dxa"/>
            <w:tcBorders>
              <w:top w:val="nil"/>
              <w:left w:val="nil"/>
              <w:bottom w:val="single" w:sz="4" w:space="0" w:color="auto"/>
              <w:right w:val="single" w:sz="8" w:space="0" w:color="auto"/>
            </w:tcBorders>
            <w:vAlign w:val="center"/>
            <w:hideMark/>
          </w:tcPr>
          <w:p w:rsidR="00DD52FB" w:rsidRPr="00DD52FB" w:rsidP="00DD52FB" w14:paraId="54B891BC" w14:textId="77777777">
            <w:pPr>
              <w:widowControl/>
              <w:autoSpaceDE/>
              <w:autoSpaceDN/>
              <w:adjustRightInd/>
              <w:jc w:val="center"/>
              <w:rPr>
                <w:rFonts w:ascii="Times New Roman" w:eastAsia="Times New Roman"/>
                <w:color w:val="000000"/>
              </w:rPr>
            </w:pPr>
            <w:r w:rsidRPr="00DD52FB">
              <w:rPr>
                <w:rFonts w:ascii="Times New Roman" w:eastAsia="Times New Roman"/>
                <w:color w:val="000000"/>
              </w:rPr>
              <w:t>17-2111</w:t>
            </w:r>
          </w:p>
        </w:tc>
        <w:tc>
          <w:tcPr>
            <w:tcW w:w="1840" w:type="dxa"/>
            <w:tcBorders>
              <w:top w:val="nil"/>
              <w:left w:val="nil"/>
              <w:bottom w:val="single" w:sz="4" w:space="0" w:color="auto"/>
              <w:right w:val="single" w:sz="8" w:space="0" w:color="auto"/>
            </w:tcBorders>
            <w:vAlign w:val="center"/>
            <w:hideMark/>
          </w:tcPr>
          <w:p w:rsidR="00DD52FB" w:rsidRPr="00DD52FB" w:rsidP="00DD52FB" w14:paraId="47BBAD5E" w14:textId="68EFDFAE">
            <w:pPr>
              <w:widowControl/>
              <w:autoSpaceDE/>
              <w:autoSpaceDN/>
              <w:adjustRightInd/>
              <w:jc w:val="center"/>
              <w:rPr>
                <w:rFonts w:ascii="Times New Roman" w:eastAsia="Times New Roman"/>
                <w:color w:val="000000"/>
              </w:rPr>
            </w:pPr>
            <w:r w:rsidRPr="00DD52FB">
              <w:rPr>
                <w:rFonts w:ascii="Times New Roman" w:eastAsia="Times New Roman"/>
                <w:color w:val="000000"/>
              </w:rPr>
              <w:t>$</w:t>
            </w:r>
            <w:r w:rsidR="00CA2CEF">
              <w:rPr>
                <w:rFonts w:ascii="Times New Roman" w:eastAsia="Times New Roman"/>
                <w:color w:val="000000"/>
              </w:rPr>
              <w:t>52.28</w:t>
            </w:r>
          </w:p>
        </w:tc>
        <w:tc>
          <w:tcPr>
            <w:tcW w:w="1480" w:type="dxa"/>
            <w:tcBorders>
              <w:top w:val="nil"/>
              <w:left w:val="nil"/>
              <w:bottom w:val="single" w:sz="4" w:space="0" w:color="auto"/>
              <w:right w:val="single" w:sz="8" w:space="0" w:color="auto"/>
            </w:tcBorders>
            <w:vAlign w:val="center"/>
            <w:hideMark/>
          </w:tcPr>
          <w:p w:rsidR="00DD52FB" w:rsidRPr="00DD52FB" w:rsidP="00DD52FB" w14:paraId="05F6C159" w14:textId="52E16A71">
            <w:pPr>
              <w:widowControl/>
              <w:autoSpaceDE/>
              <w:autoSpaceDN/>
              <w:adjustRightInd/>
              <w:jc w:val="center"/>
              <w:rPr>
                <w:rFonts w:ascii="Times New Roman" w:eastAsia="Times New Roman"/>
                <w:color w:val="000000"/>
              </w:rPr>
            </w:pPr>
            <w:r>
              <w:rPr>
                <w:rFonts w:ascii="Times New Roman" w:eastAsia="Times New Roman"/>
                <w:color w:val="000000" w:themeColor="text1"/>
              </w:rPr>
              <w:t>29.6</w:t>
            </w:r>
            <w:r w:rsidR="00E456DB">
              <w:rPr>
                <w:rFonts w:ascii="Times New Roman" w:eastAsia="Times New Roman"/>
                <w:color w:val="000000" w:themeColor="text1"/>
              </w:rPr>
              <w:t>0%</w:t>
            </w:r>
          </w:p>
        </w:tc>
        <w:tc>
          <w:tcPr>
            <w:tcW w:w="2280" w:type="dxa"/>
            <w:tcBorders>
              <w:top w:val="nil"/>
              <w:left w:val="nil"/>
              <w:bottom w:val="single" w:sz="4" w:space="0" w:color="auto"/>
              <w:right w:val="single" w:sz="8" w:space="0" w:color="auto"/>
            </w:tcBorders>
            <w:shd w:val="clear" w:color="auto" w:fill="F2F2F2" w:themeFill="background1" w:themeFillShade="F2"/>
            <w:vAlign w:val="center"/>
            <w:hideMark/>
          </w:tcPr>
          <w:p w:rsidR="00DD52FB" w:rsidRPr="00DD52FB" w:rsidP="00DD52FB" w14:paraId="666430C5" w14:textId="2CBD4FE9">
            <w:pPr>
              <w:widowControl/>
              <w:autoSpaceDE/>
              <w:autoSpaceDN/>
              <w:adjustRightInd/>
              <w:jc w:val="center"/>
              <w:rPr>
                <w:rFonts w:ascii="Times New Roman" w:eastAsia="Times New Roman"/>
                <w:color w:val="000000"/>
              </w:rPr>
            </w:pPr>
            <w:r w:rsidRPr="00DD52FB">
              <w:rPr>
                <w:rFonts w:ascii="Times New Roman" w:eastAsia="Times New Roman"/>
                <w:color w:val="000000"/>
              </w:rPr>
              <w:t>$</w:t>
            </w:r>
            <w:r w:rsidR="008371DC">
              <w:rPr>
                <w:rFonts w:ascii="Times New Roman" w:eastAsia="Times New Roman"/>
                <w:color w:val="000000"/>
              </w:rPr>
              <w:t>74.26</w:t>
            </w:r>
          </w:p>
        </w:tc>
      </w:tr>
      <w:tr w14:paraId="2758CE41" w14:textId="77777777" w:rsidTr="00D10C39">
        <w:tblPrEx>
          <w:tblW w:w="9470" w:type="dxa"/>
          <w:jc w:val="center"/>
          <w:tblLook w:val="04A0"/>
        </w:tblPrEx>
        <w:trPr>
          <w:trHeight w:val="615"/>
          <w:jc w:val="center"/>
        </w:trPr>
        <w:tc>
          <w:tcPr>
            <w:tcW w:w="2600" w:type="dxa"/>
            <w:tcBorders>
              <w:top w:val="single" w:sz="4" w:space="0" w:color="auto"/>
              <w:left w:val="single" w:sz="8" w:space="0" w:color="auto"/>
              <w:bottom w:val="single" w:sz="4" w:space="0" w:color="auto"/>
              <w:right w:val="single" w:sz="8" w:space="0" w:color="auto"/>
            </w:tcBorders>
            <w:shd w:val="clear" w:color="auto" w:fill="E2EFDA"/>
            <w:vAlign w:val="center"/>
            <w:hideMark/>
          </w:tcPr>
          <w:p w:rsidR="00DD52FB" w:rsidRPr="00DD52FB" w:rsidP="00DD52FB" w14:paraId="7523DBDB" w14:textId="77777777">
            <w:pPr>
              <w:widowControl/>
              <w:autoSpaceDE/>
              <w:autoSpaceDN/>
              <w:adjustRightInd/>
              <w:jc w:val="center"/>
              <w:rPr>
                <w:rFonts w:ascii="Times New Roman" w:eastAsia="Times New Roman"/>
                <w:color w:val="000000"/>
                <w:sz w:val="22"/>
                <w:szCs w:val="22"/>
              </w:rPr>
            </w:pPr>
            <w:r w:rsidRPr="00DD52FB">
              <w:rPr>
                <w:rFonts w:ascii="Times New Roman" w:eastAsia="Times New Roman"/>
                <w:color w:val="000000"/>
                <w:sz w:val="22"/>
                <w:szCs w:val="22"/>
              </w:rPr>
              <w:t>Industrial Machinery Mechanics (Worker)</w:t>
            </w:r>
          </w:p>
        </w:tc>
        <w:tc>
          <w:tcPr>
            <w:tcW w:w="1270" w:type="dxa"/>
            <w:tcBorders>
              <w:top w:val="single" w:sz="4" w:space="0" w:color="auto"/>
              <w:left w:val="nil"/>
              <w:bottom w:val="single" w:sz="4" w:space="0" w:color="auto"/>
              <w:right w:val="single" w:sz="8" w:space="0" w:color="auto"/>
            </w:tcBorders>
            <w:vAlign w:val="center"/>
            <w:hideMark/>
          </w:tcPr>
          <w:p w:rsidR="00DD52FB" w:rsidRPr="00DD52FB" w:rsidP="00DD52FB" w14:paraId="7BB6609C" w14:textId="77777777">
            <w:pPr>
              <w:widowControl/>
              <w:autoSpaceDE/>
              <w:autoSpaceDN/>
              <w:adjustRightInd/>
              <w:jc w:val="center"/>
              <w:rPr>
                <w:rFonts w:ascii="Times New Roman" w:eastAsia="Times New Roman"/>
                <w:color w:val="000000"/>
              </w:rPr>
            </w:pPr>
            <w:r w:rsidRPr="00DD52FB">
              <w:rPr>
                <w:rFonts w:ascii="Times New Roman" w:eastAsia="Times New Roman"/>
                <w:color w:val="000000"/>
              </w:rPr>
              <w:t>49-9041</w:t>
            </w:r>
          </w:p>
        </w:tc>
        <w:tc>
          <w:tcPr>
            <w:tcW w:w="1840" w:type="dxa"/>
            <w:tcBorders>
              <w:top w:val="single" w:sz="4" w:space="0" w:color="auto"/>
              <w:left w:val="nil"/>
              <w:bottom w:val="single" w:sz="4" w:space="0" w:color="auto"/>
              <w:right w:val="single" w:sz="8" w:space="0" w:color="auto"/>
            </w:tcBorders>
            <w:vAlign w:val="center"/>
            <w:hideMark/>
          </w:tcPr>
          <w:p w:rsidR="00DD52FB" w:rsidRPr="00DD52FB" w:rsidP="00DD52FB" w14:paraId="1EA52AD9" w14:textId="75AF75D5">
            <w:pPr>
              <w:widowControl/>
              <w:autoSpaceDE/>
              <w:autoSpaceDN/>
              <w:adjustRightInd/>
              <w:jc w:val="center"/>
              <w:rPr>
                <w:rFonts w:ascii="Times New Roman" w:eastAsia="Times New Roman"/>
                <w:color w:val="000000"/>
              </w:rPr>
            </w:pPr>
            <w:r w:rsidRPr="00DD52FB">
              <w:rPr>
                <w:rFonts w:ascii="Times New Roman" w:eastAsia="Times New Roman"/>
                <w:color w:val="000000"/>
              </w:rPr>
              <w:t>$</w:t>
            </w:r>
            <w:r w:rsidR="009A58D9">
              <w:rPr>
                <w:rFonts w:ascii="Times New Roman" w:eastAsia="Times New Roman"/>
                <w:color w:val="000000"/>
              </w:rPr>
              <w:t>30.62</w:t>
            </w:r>
            <w:r w:rsidRPr="00DD52FB">
              <w:rPr>
                <w:rFonts w:ascii="Times New Roman" w:eastAsia="Times New Roman"/>
                <w:color w:val="000000"/>
              </w:rPr>
              <w:t xml:space="preserve"> </w:t>
            </w:r>
          </w:p>
        </w:tc>
        <w:tc>
          <w:tcPr>
            <w:tcW w:w="1480" w:type="dxa"/>
            <w:tcBorders>
              <w:top w:val="single" w:sz="4" w:space="0" w:color="auto"/>
              <w:left w:val="nil"/>
              <w:bottom w:val="single" w:sz="4" w:space="0" w:color="auto"/>
              <w:right w:val="single" w:sz="8" w:space="0" w:color="auto"/>
            </w:tcBorders>
            <w:vAlign w:val="center"/>
          </w:tcPr>
          <w:p w:rsidR="00DD52FB" w:rsidRPr="00DD52FB" w:rsidP="00DD52FB" w14:paraId="41698925" w14:textId="5F46CFA3">
            <w:pPr>
              <w:widowControl/>
              <w:autoSpaceDE/>
              <w:autoSpaceDN/>
              <w:adjustRightInd/>
              <w:jc w:val="center"/>
              <w:rPr>
                <w:rFonts w:ascii="Times New Roman" w:eastAsia="Times New Roman"/>
                <w:color w:val="000000"/>
              </w:rPr>
            </w:pPr>
            <w:r w:rsidRPr="00E456DB">
              <w:rPr>
                <w:rFonts w:ascii="Times New Roman" w:eastAsia="Times New Roman"/>
                <w:color w:val="000000" w:themeColor="text1"/>
              </w:rPr>
              <w:t>29.60</w:t>
            </w:r>
            <w:r w:rsidR="008371DC">
              <w:rPr>
                <w:rFonts w:ascii="Times New Roman" w:eastAsia="Times New Roman"/>
                <w:color w:val="000000" w:themeColor="text1"/>
              </w:rPr>
              <w:t>%</w:t>
            </w:r>
          </w:p>
        </w:tc>
        <w:tc>
          <w:tcPr>
            <w:tcW w:w="2280" w:type="dxa"/>
            <w:tcBorders>
              <w:top w:val="single" w:sz="4" w:space="0" w:color="auto"/>
              <w:left w:val="nil"/>
              <w:bottom w:val="single" w:sz="4" w:space="0" w:color="auto"/>
              <w:right w:val="single" w:sz="8" w:space="0" w:color="auto"/>
            </w:tcBorders>
            <w:shd w:val="clear" w:color="auto" w:fill="F2F2F2" w:themeFill="background1" w:themeFillShade="F2"/>
            <w:vAlign w:val="center"/>
            <w:hideMark/>
          </w:tcPr>
          <w:p w:rsidR="00DD52FB" w:rsidRPr="00DD52FB" w:rsidP="00DD52FB" w14:paraId="08BF20C5" w14:textId="3A988C90">
            <w:pPr>
              <w:widowControl/>
              <w:autoSpaceDE/>
              <w:autoSpaceDN/>
              <w:adjustRightInd/>
              <w:jc w:val="center"/>
              <w:rPr>
                <w:rFonts w:ascii="Times New Roman" w:eastAsia="Times New Roman"/>
                <w:color w:val="000000"/>
              </w:rPr>
            </w:pPr>
            <w:r w:rsidRPr="00DD52FB">
              <w:rPr>
                <w:rFonts w:ascii="Times New Roman" w:eastAsia="Times New Roman"/>
                <w:color w:val="000000"/>
              </w:rPr>
              <w:t>$4</w:t>
            </w:r>
            <w:r w:rsidR="008371DC">
              <w:rPr>
                <w:rFonts w:ascii="Times New Roman" w:eastAsia="Times New Roman"/>
                <w:color w:val="000000"/>
              </w:rPr>
              <w:t>3.49</w:t>
            </w:r>
            <w:r w:rsidRPr="00DD52FB">
              <w:rPr>
                <w:rFonts w:ascii="Times New Roman" w:eastAsia="Times New Roman"/>
                <w:color w:val="000000"/>
              </w:rPr>
              <w:t xml:space="preserve"> </w:t>
            </w:r>
          </w:p>
        </w:tc>
      </w:tr>
      <w:tr w14:paraId="7EE41439" w14:textId="77777777" w:rsidTr="00D10C39">
        <w:tblPrEx>
          <w:tblW w:w="9470" w:type="dxa"/>
          <w:jc w:val="center"/>
          <w:tblLook w:val="04A0"/>
        </w:tblPrEx>
        <w:trPr>
          <w:trHeight w:val="915"/>
          <w:jc w:val="center"/>
        </w:trPr>
        <w:tc>
          <w:tcPr>
            <w:tcW w:w="2600" w:type="dxa"/>
            <w:tcBorders>
              <w:top w:val="single" w:sz="4" w:space="0" w:color="auto"/>
              <w:left w:val="single" w:sz="8" w:space="0" w:color="auto"/>
              <w:bottom w:val="single" w:sz="8" w:space="0" w:color="auto"/>
              <w:right w:val="single" w:sz="8" w:space="0" w:color="auto"/>
            </w:tcBorders>
            <w:shd w:val="clear" w:color="auto" w:fill="E2EFDA"/>
            <w:vAlign w:val="center"/>
            <w:hideMark/>
          </w:tcPr>
          <w:p w:rsidR="00DD52FB" w:rsidRPr="00DD52FB" w:rsidP="00DD52FB" w14:paraId="14ED5F4B" w14:textId="77777777">
            <w:pPr>
              <w:widowControl/>
              <w:autoSpaceDE/>
              <w:autoSpaceDN/>
              <w:adjustRightInd/>
              <w:jc w:val="center"/>
              <w:rPr>
                <w:rFonts w:ascii="Times New Roman" w:eastAsia="Times New Roman"/>
                <w:color w:val="000000"/>
                <w:sz w:val="22"/>
                <w:szCs w:val="22"/>
              </w:rPr>
            </w:pPr>
            <w:r w:rsidRPr="00DD52FB">
              <w:rPr>
                <w:rFonts w:ascii="Times New Roman" w:eastAsia="Times New Roman"/>
                <w:color w:val="000000"/>
                <w:sz w:val="22"/>
                <w:szCs w:val="22"/>
              </w:rPr>
              <w:t>Office and Administrative Support Occupations (Clerical)</w:t>
            </w:r>
          </w:p>
        </w:tc>
        <w:tc>
          <w:tcPr>
            <w:tcW w:w="1270" w:type="dxa"/>
            <w:tcBorders>
              <w:top w:val="single" w:sz="4" w:space="0" w:color="auto"/>
              <w:left w:val="nil"/>
              <w:bottom w:val="single" w:sz="8" w:space="0" w:color="auto"/>
              <w:right w:val="single" w:sz="8" w:space="0" w:color="auto"/>
            </w:tcBorders>
            <w:vAlign w:val="center"/>
            <w:hideMark/>
          </w:tcPr>
          <w:p w:rsidR="00DD52FB" w:rsidRPr="00DD52FB" w:rsidP="00DD52FB" w14:paraId="716D8541" w14:textId="77777777">
            <w:pPr>
              <w:widowControl/>
              <w:autoSpaceDE/>
              <w:autoSpaceDN/>
              <w:adjustRightInd/>
              <w:jc w:val="center"/>
              <w:rPr>
                <w:rFonts w:ascii="Times New Roman" w:eastAsia="Times New Roman"/>
                <w:color w:val="000000"/>
              </w:rPr>
            </w:pPr>
            <w:r w:rsidRPr="00DD52FB">
              <w:rPr>
                <w:rFonts w:ascii="Times New Roman" w:eastAsia="Times New Roman"/>
                <w:color w:val="000000"/>
              </w:rPr>
              <w:t>43-0000</w:t>
            </w:r>
          </w:p>
        </w:tc>
        <w:tc>
          <w:tcPr>
            <w:tcW w:w="1840" w:type="dxa"/>
            <w:tcBorders>
              <w:top w:val="single" w:sz="4" w:space="0" w:color="auto"/>
              <w:left w:val="nil"/>
              <w:bottom w:val="single" w:sz="8" w:space="0" w:color="auto"/>
              <w:right w:val="single" w:sz="8" w:space="0" w:color="auto"/>
            </w:tcBorders>
            <w:vAlign w:val="center"/>
            <w:hideMark/>
          </w:tcPr>
          <w:p w:rsidR="00DD52FB" w:rsidRPr="00DD52FB" w:rsidP="00DD52FB" w14:paraId="119DF39F" w14:textId="09553CD1">
            <w:pPr>
              <w:widowControl/>
              <w:autoSpaceDE/>
              <w:autoSpaceDN/>
              <w:adjustRightInd/>
              <w:jc w:val="center"/>
              <w:rPr>
                <w:rFonts w:ascii="Times New Roman" w:eastAsia="Times New Roman"/>
                <w:color w:val="000000"/>
              </w:rPr>
            </w:pPr>
            <w:r w:rsidRPr="00DD52FB">
              <w:rPr>
                <w:rFonts w:ascii="Times New Roman" w:eastAsia="Times New Roman"/>
                <w:color w:val="000000"/>
              </w:rPr>
              <w:t>$2</w:t>
            </w:r>
            <w:r w:rsidR="009A58D9">
              <w:rPr>
                <w:rFonts w:ascii="Times New Roman" w:eastAsia="Times New Roman"/>
                <w:color w:val="000000"/>
              </w:rPr>
              <w:t>3.05</w:t>
            </w:r>
          </w:p>
        </w:tc>
        <w:tc>
          <w:tcPr>
            <w:tcW w:w="1480" w:type="dxa"/>
            <w:tcBorders>
              <w:top w:val="single" w:sz="4" w:space="0" w:color="auto"/>
              <w:left w:val="nil"/>
              <w:bottom w:val="single" w:sz="8" w:space="0" w:color="auto"/>
              <w:right w:val="single" w:sz="8" w:space="0" w:color="auto"/>
            </w:tcBorders>
            <w:vAlign w:val="center"/>
          </w:tcPr>
          <w:p w:rsidR="00DD52FB" w:rsidRPr="00DD52FB" w:rsidP="00DD52FB" w14:paraId="7397C88A" w14:textId="0AADEFF6">
            <w:pPr>
              <w:widowControl/>
              <w:autoSpaceDE/>
              <w:autoSpaceDN/>
              <w:adjustRightInd/>
              <w:jc w:val="center"/>
              <w:rPr>
                <w:rFonts w:ascii="Times New Roman" w:eastAsia="Times New Roman"/>
                <w:color w:val="000000"/>
              </w:rPr>
            </w:pPr>
            <w:r w:rsidRPr="00E456DB">
              <w:rPr>
                <w:rFonts w:ascii="Times New Roman" w:eastAsia="Times New Roman"/>
                <w:color w:val="000000" w:themeColor="text1"/>
              </w:rPr>
              <w:t>29.60</w:t>
            </w:r>
            <w:r w:rsidR="008371DC">
              <w:rPr>
                <w:rFonts w:ascii="Times New Roman" w:eastAsia="Times New Roman"/>
                <w:color w:val="000000" w:themeColor="text1"/>
              </w:rPr>
              <w:t>%</w:t>
            </w:r>
          </w:p>
        </w:tc>
        <w:tc>
          <w:tcPr>
            <w:tcW w:w="2280" w:type="dxa"/>
            <w:tcBorders>
              <w:top w:val="single" w:sz="4" w:space="0" w:color="auto"/>
              <w:left w:val="nil"/>
              <w:bottom w:val="single" w:sz="8" w:space="0" w:color="auto"/>
              <w:right w:val="single" w:sz="8" w:space="0" w:color="auto"/>
            </w:tcBorders>
            <w:shd w:val="clear" w:color="auto" w:fill="F2F2F2" w:themeFill="background1" w:themeFillShade="F2"/>
            <w:vAlign w:val="center"/>
            <w:hideMark/>
          </w:tcPr>
          <w:p w:rsidR="00DD52FB" w:rsidRPr="00DD52FB" w:rsidP="00DD52FB" w14:paraId="20F555AA" w14:textId="4DDB6245">
            <w:pPr>
              <w:widowControl/>
              <w:autoSpaceDE/>
              <w:autoSpaceDN/>
              <w:adjustRightInd/>
              <w:jc w:val="center"/>
              <w:rPr>
                <w:rFonts w:ascii="Times New Roman" w:eastAsia="Times New Roman"/>
                <w:color w:val="000000"/>
              </w:rPr>
            </w:pPr>
            <w:r w:rsidRPr="00DD52FB">
              <w:rPr>
                <w:rFonts w:ascii="Times New Roman" w:eastAsia="Times New Roman"/>
                <w:color w:val="000000"/>
              </w:rPr>
              <w:t>$3</w:t>
            </w:r>
            <w:r w:rsidR="008371DC">
              <w:rPr>
                <w:rFonts w:ascii="Times New Roman" w:eastAsia="Times New Roman"/>
                <w:color w:val="000000"/>
              </w:rPr>
              <w:t>2.74</w:t>
            </w:r>
          </w:p>
        </w:tc>
      </w:tr>
    </w:tbl>
    <w:p w:rsidR="00DD52FB" w:rsidRPr="007428F5" w14:paraId="5C9C2943" w14:textId="77777777">
      <w:pPr>
        <w:rPr>
          <w:rFonts w:ascii="Times New Roman" w:eastAsia="Times New Roman"/>
        </w:rPr>
      </w:pPr>
    </w:p>
    <w:p w:rsidR="00606D2D" w:rsidP="00606D2D" w14:paraId="4FDC3AA8" w14:textId="6E26816C">
      <w:pPr>
        <w:widowControl/>
        <w:rPr>
          <w:rFonts w:ascii="Times New Roman"/>
        </w:rPr>
      </w:pPr>
      <w:bookmarkStart w:id="2" w:name="_Hlk190076366"/>
      <w:r>
        <w:rPr>
          <w:rFonts w:ascii="Times New Roman"/>
        </w:rPr>
        <w:t>E</w:t>
      </w:r>
      <w:r w:rsidRPr="00201D6D">
        <w:rPr>
          <w:rFonts w:ascii="Times New Roman"/>
        </w:rPr>
        <w:t xml:space="preserve">stimates of the number of establishments and exposed </w:t>
      </w:r>
      <w:r>
        <w:rPr>
          <w:rFonts w:ascii="Times New Roman"/>
        </w:rPr>
        <w:t>worker</w:t>
      </w:r>
      <w:r w:rsidRPr="00201D6D">
        <w:rPr>
          <w:rFonts w:ascii="Times New Roman"/>
        </w:rPr>
        <w:t xml:space="preserve">s covered by the </w:t>
      </w:r>
      <w:r w:rsidR="00C46F11">
        <w:rPr>
          <w:rFonts w:ascii="Times New Roman"/>
        </w:rPr>
        <w:t>s</w:t>
      </w:r>
      <w:r w:rsidRPr="00201D6D">
        <w:rPr>
          <w:rFonts w:ascii="Times New Roman"/>
        </w:rPr>
        <w:t xml:space="preserve">tandard have been revised to reflect the most recent available data. </w:t>
      </w:r>
      <w:r w:rsidR="008F63BF">
        <w:rPr>
          <w:rFonts w:ascii="Times New Roman"/>
        </w:rPr>
        <w:t>Table B</w:t>
      </w:r>
      <w:r w:rsidR="006C13C5">
        <w:rPr>
          <w:rFonts w:ascii="Times New Roman"/>
        </w:rPr>
        <w:t xml:space="preserve"> below</w:t>
      </w:r>
      <w:r>
        <w:rPr>
          <w:rFonts w:ascii="Times New Roman"/>
        </w:rPr>
        <w:t xml:space="preserve"> contains </w:t>
      </w:r>
      <w:r w:rsidR="0036116B">
        <w:rPr>
          <w:rFonts w:ascii="Times New Roman"/>
        </w:rPr>
        <w:t>revised</w:t>
      </w:r>
      <w:r w:rsidR="00623500">
        <w:rPr>
          <w:rFonts w:ascii="Times New Roman"/>
        </w:rPr>
        <w:t xml:space="preserve"> </w:t>
      </w:r>
      <w:r w:rsidRPr="00201D6D">
        <w:rPr>
          <w:rFonts w:ascii="Times New Roman"/>
        </w:rPr>
        <w:t>figures from the U.S. Census Bureau, the Bureau of Labor Statistics</w:t>
      </w:r>
      <w:r w:rsidR="00902EC9">
        <w:rPr>
          <w:rFonts w:ascii="Times New Roman"/>
        </w:rPr>
        <w:t>,</w:t>
      </w:r>
      <w:r w:rsidRPr="00201D6D">
        <w:rPr>
          <w:rFonts w:ascii="Times New Roman"/>
        </w:rPr>
        <w:t xml:space="preserve"> and other sources cited below</w:t>
      </w:r>
      <w:r w:rsidR="00902EC9">
        <w:rPr>
          <w:rFonts w:ascii="Times New Roman"/>
        </w:rPr>
        <w:t>.</w:t>
      </w:r>
    </w:p>
    <w:p w:rsidR="006F4AFE" w:rsidP="00606D2D" w14:paraId="20ABF889" w14:textId="77777777">
      <w:pPr>
        <w:widowControl/>
        <w:rPr>
          <w:rFonts w:ascii="Times New Roman"/>
        </w:rPr>
      </w:pPr>
    </w:p>
    <w:tbl>
      <w:tblPr>
        <w:tblW w:w="9723" w:type="dxa"/>
        <w:tblLook w:val="04A0"/>
      </w:tblPr>
      <w:tblGrid>
        <w:gridCol w:w="1372"/>
        <w:gridCol w:w="1360"/>
        <w:gridCol w:w="1139"/>
        <w:gridCol w:w="1720"/>
        <w:gridCol w:w="1272"/>
        <w:gridCol w:w="1320"/>
        <w:gridCol w:w="1540"/>
      </w:tblGrid>
      <w:tr w14:paraId="545F5FED" w14:textId="77777777" w:rsidTr="004A2AAC">
        <w:tblPrEx>
          <w:tblW w:w="9723" w:type="dxa"/>
          <w:tblLook w:val="04A0"/>
        </w:tblPrEx>
        <w:trPr>
          <w:trHeight w:val="300"/>
          <w:tblHeader/>
        </w:trPr>
        <w:tc>
          <w:tcPr>
            <w:tcW w:w="9723" w:type="dxa"/>
            <w:gridSpan w:val="7"/>
            <w:tcBorders>
              <w:top w:val="single" w:sz="4" w:space="0" w:color="auto"/>
              <w:left w:val="single" w:sz="4" w:space="0" w:color="auto"/>
              <w:bottom w:val="single" w:sz="4" w:space="0" w:color="auto"/>
              <w:right w:val="single" w:sz="4" w:space="0" w:color="000000"/>
            </w:tcBorders>
            <w:shd w:val="clear" w:color="auto" w:fill="CAD3B8" w:themeFill="accent3" w:themeFillTint="99"/>
            <w:noWrap/>
            <w:vAlign w:val="center"/>
            <w:hideMark/>
          </w:tcPr>
          <w:p w:rsidR="005E2356" w:rsidRPr="005E2356" w:rsidP="005E2356" w14:paraId="5B6532EC"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Table B – Estimated Number of Employers and Exposed Workers</w:t>
            </w:r>
          </w:p>
        </w:tc>
      </w:tr>
      <w:tr w14:paraId="14829A98" w14:textId="77777777" w:rsidTr="004A2AAC">
        <w:tblPrEx>
          <w:tblW w:w="9723" w:type="dxa"/>
          <w:tblLook w:val="04A0"/>
        </w:tblPrEx>
        <w:trPr>
          <w:trHeight w:val="315"/>
          <w:tblHeader/>
        </w:trPr>
        <w:tc>
          <w:tcPr>
            <w:tcW w:w="1372" w:type="dxa"/>
            <w:vMerge w:val="restart"/>
            <w:tcBorders>
              <w:top w:val="nil"/>
              <w:left w:val="single" w:sz="4" w:space="0" w:color="auto"/>
              <w:bottom w:val="single" w:sz="4" w:space="0" w:color="auto"/>
              <w:right w:val="single" w:sz="4" w:space="0" w:color="auto"/>
            </w:tcBorders>
            <w:shd w:val="clear" w:color="000000" w:fill="FCE4D6"/>
            <w:vAlign w:val="center"/>
            <w:hideMark/>
          </w:tcPr>
          <w:p w:rsidR="005E2356" w:rsidRPr="005E2356" w:rsidP="005E2356" w14:paraId="69EFD8EB"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Industrial Sector</w:t>
            </w:r>
          </w:p>
        </w:tc>
        <w:tc>
          <w:tcPr>
            <w:tcW w:w="4219" w:type="dxa"/>
            <w:gridSpan w:val="3"/>
            <w:tcBorders>
              <w:top w:val="single" w:sz="4" w:space="0" w:color="auto"/>
              <w:left w:val="nil"/>
              <w:bottom w:val="single" w:sz="4" w:space="0" w:color="auto"/>
              <w:right w:val="single" w:sz="4" w:space="0" w:color="auto"/>
            </w:tcBorders>
            <w:shd w:val="clear" w:color="000000" w:fill="F4B084"/>
            <w:vAlign w:val="center"/>
            <w:hideMark/>
          </w:tcPr>
          <w:p w:rsidR="005E2356" w:rsidRPr="005E2356" w:rsidP="005E2356" w14:paraId="316196B3"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2022 ICR Estimates</w:t>
            </w:r>
          </w:p>
        </w:tc>
        <w:tc>
          <w:tcPr>
            <w:tcW w:w="4132" w:type="dxa"/>
            <w:gridSpan w:val="3"/>
            <w:tcBorders>
              <w:top w:val="single" w:sz="4" w:space="0" w:color="auto"/>
              <w:left w:val="nil"/>
              <w:bottom w:val="single" w:sz="4" w:space="0" w:color="auto"/>
              <w:right w:val="single" w:sz="4" w:space="0" w:color="auto"/>
            </w:tcBorders>
            <w:shd w:val="clear" w:color="000000" w:fill="A9D08E"/>
            <w:vAlign w:val="center"/>
            <w:hideMark/>
          </w:tcPr>
          <w:p w:rsidR="005E2356" w:rsidRPr="005E2356" w:rsidP="005E2356" w14:paraId="07DF1704"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2025 New Estimates</w:t>
            </w:r>
          </w:p>
        </w:tc>
      </w:tr>
      <w:tr w14:paraId="321CDA38" w14:textId="77777777" w:rsidTr="004A2AAC">
        <w:tblPrEx>
          <w:tblW w:w="9723" w:type="dxa"/>
          <w:tblLook w:val="04A0"/>
        </w:tblPrEx>
        <w:trPr>
          <w:trHeight w:val="1770"/>
          <w:tblHeader/>
        </w:trPr>
        <w:tc>
          <w:tcPr>
            <w:tcW w:w="1372" w:type="dxa"/>
            <w:vMerge/>
            <w:tcBorders>
              <w:top w:val="nil"/>
              <w:left w:val="single" w:sz="4" w:space="0" w:color="auto"/>
              <w:bottom w:val="single" w:sz="4" w:space="0" w:color="auto"/>
              <w:right w:val="single" w:sz="4" w:space="0" w:color="auto"/>
            </w:tcBorders>
            <w:vAlign w:val="center"/>
            <w:hideMark/>
          </w:tcPr>
          <w:p w:rsidR="005E2356" w:rsidRPr="005E2356" w:rsidP="005E2356" w14:paraId="71717E26" w14:textId="77777777">
            <w:pPr>
              <w:widowControl/>
              <w:autoSpaceDE/>
              <w:autoSpaceDN/>
              <w:adjustRightInd/>
              <w:rPr>
                <w:rFonts w:ascii="Times New Roman" w:eastAsia="Times New Roman"/>
                <w:b/>
                <w:bCs/>
                <w:color w:val="000000"/>
                <w:sz w:val="20"/>
                <w:szCs w:val="20"/>
              </w:rPr>
            </w:pPr>
          </w:p>
        </w:tc>
        <w:tc>
          <w:tcPr>
            <w:tcW w:w="1360" w:type="dxa"/>
            <w:tcBorders>
              <w:top w:val="single" w:sz="4" w:space="0" w:color="auto"/>
              <w:left w:val="nil"/>
              <w:bottom w:val="single" w:sz="4" w:space="0" w:color="auto"/>
              <w:right w:val="single" w:sz="4" w:space="0" w:color="auto"/>
            </w:tcBorders>
            <w:shd w:val="clear" w:color="000000" w:fill="FCE4D6"/>
            <w:vAlign w:val="center"/>
            <w:hideMark/>
          </w:tcPr>
          <w:p w:rsidR="005E2356" w:rsidRPr="005E2356" w:rsidP="005E2356" w14:paraId="2A017C34"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 xml:space="preserve">Estimated </w:t>
            </w:r>
            <w:r w:rsidRPr="005E2356">
              <w:rPr>
                <w:rFonts w:ascii="Times New Roman" w:eastAsia="Times New Roman"/>
                <w:b/>
                <w:bCs/>
                <w:color w:val="000000"/>
                <w:sz w:val="20"/>
                <w:szCs w:val="20"/>
              </w:rPr>
              <w:t># of Facilities</w:t>
            </w:r>
            <w:r w:rsidRPr="005E2356">
              <w:rPr>
                <w:rFonts w:ascii="Times New Roman" w:eastAsia="Times New Roman"/>
                <w:b/>
                <w:bCs/>
                <w:color w:val="000000"/>
                <w:sz w:val="20"/>
                <w:szCs w:val="20"/>
              </w:rPr>
              <w:t xml:space="preserve"> (Employers)</w:t>
            </w:r>
          </w:p>
        </w:tc>
        <w:tc>
          <w:tcPr>
            <w:tcW w:w="1139" w:type="dxa"/>
            <w:tcBorders>
              <w:top w:val="nil"/>
              <w:left w:val="nil"/>
              <w:bottom w:val="single" w:sz="4" w:space="0" w:color="auto"/>
              <w:right w:val="single" w:sz="4" w:space="0" w:color="auto"/>
            </w:tcBorders>
            <w:shd w:val="clear" w:color="000000" w:fill="FCE4D6"/>
            <w:vAlign w:val="center"/>
            <w:hideMark/>
          </w:tcPr>
          <w:p w:rsidR="005E2356" w:rsidRPr="005E2356" w:rsidP="005E2356" w14:paraId="1606AF3C"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Estimated # Exposed Employees</w:t>
            </w:r>
          </w:p>
        </w:tc>
        <w:tc>
          <w:tcPr>
            <w:tcW w:w="1720" w:type="dxa"/>
            <w:tcBorders>
              <w:top w:val="nil"/>
              <w:left w:val="nil"/>
              <w:bottom w:val="single" w:sz="4" w:space="0" w:color="auto"/>
              <w:right w:val="single" w:sz="12" w:space="0" w:color="auto"/>
            </w:tcBorders>
            <w:shd w:val="clear" w:color="000000" w:fill="FCE4D6"/>
            <w:vAlign w:val="center"/>
            <w:hideMark/>
          </w:tcPr>
          <w:p w:rsidR="005E2356" w:rsidRPr="005E2356" w:rsidP="005E2356" w14:paraId="197D4A32"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Estimated # Employees Exposed Above the Action Level, but Below the PEL</w:t>
            </w:r>
          </w:p>
        </w:tc>
        <w:tc>
          <w:tcPr>
            <w:tcW w:w="1272" w:type="dxa"/>
            <w:tcBorders>
              <w:top w:val="nil"/>
              <w:left w:val="nil"/>
              <w:bottom w:val="single" w:sz="4" w:space="0" w:color="auto"/>
              <w:right w:val="single" w:sz="4" w:space="0" w:color="auto"/>
            </w:tcBorders>
            <w:shd w:val="clear" w:color="000000" w:fill="E2EFDA"/>
            <w:vAlign w:val="center"/>
            <w:hideMark/>
          </w:tcPr>
          <w:p w:rsidR="005E2356" w:rsidRPr="005E2356" w:rsidP="005E2356" w14:paraId="769418E2"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Estimated # Facilities (Employers)</w:t>
            </w:r>
          </w:p>
        </w:tc>
        <w:tc>
          <w:tcPr>
            <w:tcW w:w="1320" w:type="dxa"/>
            <w:tcBorders>
              <w:top w:val="nil"/>
              <w:left w:val="nil"/>
              <w:bottom w:val="single" w:sz="4" w:space="0" w:color="auto"/>
              <w:right w:val="single" w:sz="4" w:space="0" w:color="auto"/>
            </w:tcBorders>
            <w:shd w:val="clear" w:color="000000" w:fill="E2EFDA"/>
            <w:vAlign w:val="center"/>
            <w:hideMark/>
          </w:tcPr>
          <w:p w:rsidR="005E2356" w:rsidRPr="005E2356" w:rsidP="005E2356" w14:paraId="2A8B8333"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Estimated # of Exposed Employees [</w:t>
            </w:r>
            <w:r w:rsidRPr="005E2356">
              <w:rPr>
                <w:rFonts w:ascii="Times New Roman" w:eastAsia="Times New Roman"/>
                <w:b/>
                <w:bCs/>
                <w:color w:val="000000"/>
                <w:sz w:val="20"/>
                <w:szCs w:val="20"/>
              </w:rPr>
              <w:t>i</w:t>
            </w:r>
            <w:r w:rsidRPr="005E2356">
              <w:rPr>
                <w:rFonts w:ascii="Times New Roman" w:eastAsia="Times New Roman"/>
                <w:b/>
                <w:bCs/>
                <w:color w:val="000000"/>
                <w:sz w:val="20"/>
                <w:szCs w:val="20"/>
              </w:rPr>
              <w:t>]</w:t>
            </w:r>
          </w:p>
        </w:tc>
        <w:tc>
          <w:tcPr>
            <w:tcW w:w="1540" w:type="dxa"/>
            <w:tcBorders>
              <w:top w:val="nil"/>
              <w:left w:val="nil"/>
              <w:bottom w:val="single" w:sz="4" w:space="0" w:color="auto"/>
              <w:right w:val="single" w:sz="4" w:space="0" w:color="auto"/>
            </w:tcBorders>
            <w:shd w:val="clear" w:color="000000" w:fill="E2EFDA"/>
            <w:vAlign w:val="center"/>
            <w:hideMark/>
          </w:tcPr>
          <w:p w:rsidR="005E2356" w:rsidRPr="005E2356" w:rsidP="005E2356" w14:paraId="453500FC"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Estimated # Employees Exposed Above the Action Level, but Below the PEL [ii]</w:t>
            </w:r>
          </w:p>
        </w:tc>
      </w:tr>
      <w:tr w14:paraId="43BA5243" w14:textId="77777777" w:rsidTr="00A44189">
        <w:tblPrEx>
          <w:tblW w:w="9723" w:type="dxa"/>
          <w:tblLook w:val="04A0"/>
        </w:tblPrEx>
        <w:trPr>
          <w:trHeight w:val="510"/>
        </w:trPr>
        <w:tc>
          <w:tcPr>
            <w:tcW w:w="1372" w:type="dxa"/>
            <w:tcBorders>
              <w:top w:val="nil"/>
              <w:left w:val="single" w:sz="4" w:space="0" w:color="auto"/>
              <w:bottom w:val="single" w:sz="4" w:space="0" w:color="auto"/>
              <w:right w:val="single" w:sz="4" w:space="0" w:color="auto"/>
            </w:tcBorders>
            <w:vAlign w:val="center"/>
            <w:hideMark/>
          </w:tcPr>
          <w:p w:rsidR="005E2356" w:rsidRPr="005E2356" w:rsidP="005E2356" w14:paraId="799A376A" w14:textId="77777777">
            <w:pPr>
              <w:widowControl/>
              <w:autoSpaceDE/>
              <w:autoSpaceDN/>
              <w:adjustRightInd/>
              <w:jc w:val="center"/>
              <w:rPr>
                <w:rFonts w:ascii="Times New Roman" w:eastAsia="Times New Roman"/>
                <w:i/>
                <w:iCs/>
                <w:color w:val="000000"/>
                <w:sz w:val="20"/>
                <w:szCs w:val="20"/>
              </w:rPr>
            </w:pPr>
            <w:r w:rsidRPr="005E2356">
              <w:rPr>
                <w:rFonts w:ascii="Times New Roman" w:eastAsia="Times New Roman"/>
                <w:i/>
                <w:iCs/>
                <w:color w:val="000000"/>
                <w:sz w:val="20"/>
                <w:szCs w:val="20"/>
              </w:rPr>
              <w:t>Primary Smelting [iii]</w:t>
            </w:r>
          </w:p>
        </w:tc>
        <w:tc>
          <w:tcPr>
            <w:tcW w:w="1360" w:type="dxa"/>
            <w:tcBorders>
              <w:top w:val="single" w:sz="4" w:space="0" w:color="auto"/>
              <w:left w:val="nil"/>
              <w:bottom w:val="single" w:sz="4" w:space="0" w:color="auto"/>
              <w:right w:val="single" w:sz="4" w:space="0" w:color="auto"/>
            </w:tcBorders>
            <w:noWrap/>
            <w:vAlign w:val="center"/>
            <w:hideMark/>
          </w:tcPr>
          <w:p w:rsidR="005E2356" w:rsidRPr="005E2356" w:rsidP="005E2356" w14:paraId="2C4CDF49"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0</w:t>
            </w:r>
          </w:p>
        </w:tc>
        <w:tc>
          <w:tcPr>
            <w:tcW w:w="1139" w:type="dxa"/>
            <w:tcBorders>
              <w:top w:val="nil"/>
              <w:left w:val="nil"/>
              <w:bottom w:val="single" w:sz="4" w:space="0" w:color="auto"/>
              <w:right w:val="single" w:sz="4" w:space="0" w:color="auto"/>
            </w:tcBorders>
            <w:vAlign w:val="center"/>
            <w:hideMark/>
          </w:tcPr>
          <w:p w:rsidR="005E2356" w:rsidRPr="005E2356" w:rsidP="005E2356" w14:paraId="1C1EBE13"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0</w:t>
            </w:r>
          </w:p>
        </w:tc>
        <w:tc>
          <w:tcPr>
            <w:tcW w:w="1720" w:type="dxa"/>
            <w:tcBorders>
              <w:top w:val="nil"/>
              <w:left w:val="nil"/>
              <w:bottom w:val="single" w:sz="4" w:space="0" w:color="auto"/>
              <w:right w:val="single" w:sz="12" w:space="0" w:color="auto"/>
            </w:tcBorders>
            <w:noWrap/>
            <w:vAlign w:val="center"/>
            <w:hideMark/>
          </w:tcPr>
          <w:p w:rsidR="005E2356" w:rsidRPr="005E2356" w:rsidP="005E2356" w14:paraId="626EAE79"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0</w:t>
            </w:r>
          </w:p>
        </w:tc>
        <w:tc>
          <w:tcPr>
            <w:tcW w:w="1272" w:type="dxa"/>
            <w:tcBorders>
              <w:top w:val="nil"/>
              <w:left w:val="nil"/>
              <w:bottom w:val="single" w:sz="4" w:space="0" w:color="auto"/>
              <w:right w:val="single" w:sz="4" w:space="0" w:color="auto"/>
            </w:tcBorders>
            <w:vAlign w:val="center"/>
            <w:hideMark/>
          </w:tcPr>
          <w:p w:rsidR="005E2356" w:rsidRPr="005E2356" w:rsidP="005E2356" w14:paraId="4B28546A"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0</w:t>
            </w:r>
          </w:p>
        </w:tc>
        <w:tc>
          <w:tcPr>
            <w:tcW w:w="1320" w:type="dxa"/>
            <w:tcBorders>
              <w:top w:val="nil"/>
              <w:left w:val="nil"/>
              <w:bottom w:val="single" w:sz="4" w:space="0" w:color="auto"/>
              <w:right w:val="single" w:sz="4" w:space="0" w:color="auto"/>
            </w:tcBorders>
            <w:noWrap/>
            <w:vAlign w:val="center"/>
            <w:hideMark/>
          </w:tcPr>
          <w:p w:rsidR="005E2356" w:rsidRPr="005E2356" w:rsidP="005E2356" w14:paraId="653B3508"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0</w:t>
            </w:r>
          </w:p>
        </w:tc>
        <w:tc>
          <w:tcPr>
            <w:tcW w:w="1540" w:type="dxa"/>
            <w:tcBorders>
              <w:top w:val="nil"/>
              <w:left w:val="nil"/>
              <w:bottom w:val="single" w:sz="4" w:space="0" w:color="auto"/>
              <w:right w:val="single" w:sz="4" w:space="0" w:color="auto"/>
            </w:tcBorders>
            <w:noWrap/>
            <w:vAlign w:val="center"/>
            <w:hideMark/>
          </w:tcPr>
          <w:p w:rsidR="005E2356" w:rsidRPr="005E2356" w:rsidP="005E2356" w14:paraId="2B6E5B89"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0</w:t>
            </w:r>
          </w:p>
        </w:tc>
      </w:tr>
      <w:tr w14:paraId="42DA144E" w14:textId="77777777" w:rsidTr="00A44189">
        <w:tblPrEx>
          <w:tblW w:w="9723" w:type="dxa"/>
          <w:tblLook w:val="04A0"/>
        </w:tblPrEx>
        <w:trPr>
          <w:trHeight w:val="510"/>
        </w:trPr>
        <w:tc>
          <w:tcPr>
            <w:tcW w:w="1372" w:type="dxa"/>
            <w:tcBorders>
              <w:top w:val="nil"/>
              <w:left w:val="single" w:sz="4" w:space="0" w:color="auto"/>
              <w:bottom w:val="single" w:sz="4" w:space="0" w:color="auto"/>
              <w:right w:val="single" w:sz="4" w:space="0" w:color="auto"/>
            </w:tcBorders>
            <w:vAlign w:val="center"/>
            <w:hideMark/>
          </w:tcPr>
          <w:p w:rsidR="005E2356" w:rsidRPr="005E2356" w:rsidP="005E2356" w14:paraId="5DF2B6B8" w14:textId="77777777">
            <w:pPr>
              <w:widowControl/>
              <w:autoSpaceDE/>
              <w:autoSpaceDN/>
              <w:adjustRightInd/>
              <w:jc w:val="center"/>
              <w:rPr>
                <w:rFonts w:ascii="Times New Roman" w:eastAsia="Times New Roman"/>
                <w:i/>
                <w:iCs/>
                <w:color w:val="000000"/>
                <w:sz w:val="20"/>
                <w:szCs w:val="20"/>
              </w:rPr>
            </w:pPr>
            <w:r w:rsidRPr="005E2356">
              <w:rPr>
                <w:rFonts w:ascii="Times New Roman" w:eastAsia="Times New Roman"/>
                <w:i/>
                <w:iCs/>
                <w:color w:val="000000"/>
                <w:sz w:val="20"/>
                <w:szCs w:val="20"/>
              </w:rPr>
              <w:t>Secondary Smelting [iv]</w:t>
            </w:r>
          </w:p>
        </w:tc>
        <w:tc>
          <w:tcPr>
            <w:tcW w:w="1360" w:type="dxa"/>
            <w:tcBorders>
              <w:top w:val="single" w:sz="4" w:space="0" w:color="auto"/>
              <w:left w:val="nil"/>
              <w:bottom w:val="single" w:sz="4" w:space="0" w:color="auto"/>
              <w:right w:val="single" w:sz="4" w:space="0" w:color="auto"/>
            </w:tcBorders>
            <w:noWrap/>
            <w:vAlign w:val="center"/>
            <w:hideMark/>
          </w:tcPr>
          <w:p w:rsidR="005E2356" w:rsidRPr="005E2356" w:rsidP="005E2356" w14:paraId="43589DA4"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22</w:t>
            </w:r>
          </w:p>
        </w:tc>
        <w:tc>
          <w:tcPr>
            <w:tcW w:w="1139" w:type="dxa"/>
            <w:tcBorders>
              <w:top w:val="nil"/>
              <w:left w:val="nil"/>
              <w:bottom w:val="single" w:sz="4" w:space="0" w:color="auto"/>
              <w:right w:val="single" w:sz="4" w:space="0" w:color="auto"/>
            </w:tcBorders>
            <w:vAlign w:val="center"/>
            <w:hideMark/>
          </w:tcPr>
          <w:p w:rsidR="005E2356" w:rsidRPr="005E2356" w:rsidP="005E2356" w14:paraId="39A46C87"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1,880</w:t>
            </w:r>
          </w:p>
        </w:tc>
        <w:tc>
          <w:tcPr>
            <w:tcW w:w="1720" w:type="dxa"/>
            <w:tcBorders>
              <w:top w:val="nil"/>
              <w:left w:val="nil"/>
              <w:bottom w:val="single" w:sz="4" w:space="0" w:color="auto"/>
              <w:right w:val="single" w:sz="12" w:space="0" w:color="auto"/>
            </w:tcBorders>
            <w:noWrap/>
            <w:vAlign w:val="center"/>
            <w:hideMark/>
          </w:tcPr>
          <w:p w:rsidR="005E2356" w:rsidRPr="005E2356" w:rsidP="005E2356" w14:paraId="73E4499C"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912</w:t>
            </w:r>
          </w:p>
        </w:tc>
        <w:tc>
          <w:tcPr>
            <w:tcW w:w="1272" w:type="dxa"/>
            <w:tcBorders>
              <w:top w:val="nil"/>
              <w:left w:val="nil"/>
              <w:bottom w:val="single" w:sz="4" w:space="0" w:color="auto"/>
              <w:right w:val="single" w:sz="4" w:space="0" w:color="auto"/>
            </w:tcBorders>
            <w:vAlign w:val="center"/>
            <w:hideMark/>
          </w:tcPr>
          <w:p w:rsidR="005E2356" w:rsidRPr="005E2356" w:rsidP="005E2356" w14:paraId="17E8EC52"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22</w:t>
            </w:r>
          </w:p>
        </w:tc>
        <w:tc>
          <w:tcPr>
            <w:tcW w:w="1320" w:type="dxa"/>
            <w:tcBorders>
              <w:top w:val="nil"/>
              <w:left w:val="nil"/>
              <w:bottom w:val="single" w:sz="4" w:space="0" w:color="auto"/>
              <w:right w:val="single" w:sz="4" w:space="0" w:color="auto"/>
            </w:tcBorders>
            <w:noWrap/>
            <w:vAlign w:val="center"/>
            <w:hideMark/>
          </w:tcPr>
          <w:p w:rsidR="005E2356" w:rsidRPr="005E2356" w:rsidP="005E2356" w14:paraId="5DBEC900"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1,880</w:t>
            </w:r>
          </w:p>
        </w:tc>
        <w:tc>
          <w:tcPr>
            <w:tcW w:w="1540" w:type="dxa"/>
            <w:tcBorders>
              <w:top w:val="nil"/>
              <w:left w:val="nil"/>
              <w:bottom w:val="single" w:sz="4" w:space="0" w:color="auto"/>
              <w:right w:val="single" w:sz="4" w:space="0" w:color="auto"/>
            </w:tcBorders>
            <w:noWrap/>
            <w:vAlign w:val="center"/>
            <w:hideMark/>
          </w:tcPr>
          <w:p w:rsidR="005E2356" w:rsidRPr="005E2356" w:rsidP="005E2356" w14:paraId="7B31DC37"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912</w:t>
            </w:r>
          </w:p>
        </w:tc>
      </w:tr>
      <w:tr w14:paraId="418888D8" w14:textId="77777777" w:rsidTr="00A44189">
        <w:tblPrEx>
          <w:tblW w:w="9723" w:type="dxa"/>
          <w:tblLook w:val="04A0"/>
        </w:tblPrEx>
        <w:trPr>
          <w:trHeight w:val="765"/>
        </w:trPr>
        <w:tc>
          <w:tcPr>
            <w:tcW w:w="1372" w:type="dxa"/>
            <w:tcBorders>
              <w:top w:val="nil"/>
              <w:left w:val="single" w:sz="4" w:space="0" w:color="auto"/>
              <w:bottom w:val="single" w:sz="4" w:space="0" w:color="auto"/>
              <w:right w:val="single" w:sz="4" w:space="0" w:color="auto"/>
            </w:tcBorders>
            <w:vAlign w:val="center"/>
            <w:hideMark/>
          </w:tcPr>
          <w:p w:rsidR="005E2356" w:rsidRPr="005E2356" w:rsidP="005E2356" w14:paraId="4349C496" w14:textId="77777777">
            <w:pPr>
              <w:widowControl/>
              <w:autoSpaceDE/>
              <w:autoSpaceDN/>
              <w:adjustRightInd/>
              <w:jc w:val="center"/>
              <w:rPr>
                <w:rFonts w:ascii="Times New Roman" w:eastAsia="Times New Roman"/>
                <w:i/>
                <w:iCs/>
                <w:color w:val="000000"/>
                <w:sz w:val="20"/>
                <w:szCs w:val="20"/>
              </w:rPr>
            </w:pPr>
            <w:r w:rsidRPr="005E2356">
              <w:rPr>
                <w:rFonts w:ascii="Times New Roman" w:eastAsia="Times New Roman"/>
                <w:i/>
                <w:iCs/>
                <w:color w:val="000000"/>
                <w:sz w:val="20"/>
                <w:szCs w:val="20"/>
              </w:rPr>
              <w:t>Battery Manufacture [v]</w:t>
            </w:r>
          </w:p>
        </w:tc>
        <w:tc>
          <w:tcPr>
            <w:tcW w:w="1360" w:type="dxa"/>
            <w:tcBorders>
              <w:top w:val="single" w:sz="4" w:space="0" w:color="auto"/>
              <w:left w:val="nil"/>
              <w:bottom w:val="single" w:sz="4" w:space="0" w:color="auto"/>
              <w:right w:val="single" w:sz="4" w:space="0" w:color="auto"/>
            </w:tcBorders>
            <w:noWrap/>
            <w:vAlign w:val="center"/>
            <w:hideMark/>
          </w:tcPr>
          <w:p w:rsidR="005E2356" w:rsidRPr="005E2356" w:rsidP="005E2356" w14:paraId="00077694"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70</w:t>
            </w:r>
          </w:p>
        </w:tc>
        <w:tc>
          <w:tcPr>
            <w:tcW w:w="1139" w:type="dxa"/>
            <w:tcBorders>
              <w:top w:val="nil"/>
              <w:left w:val="nil"/>
              <w:bottom w:val="single" w:sz="4" w:space="0" w:color="auto"/>
              <w:right w:val="single" w:sz="4" w:space="0" w:color="auto"/>
            </w:tcBorders>
            <w:vAlign w:val="center"/>
            <w:hideMark/>
          </w:tcPr>
          <w:p w:rsidR="005E2356" w:rsidRPr="005E2356" w:rsidP="005E2356" w14:paraId="395CB534"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9,467</w:t>
            </w:r>
          </w:p>
        </w:tc>
        <w:tc>
          <w:tcPr>
            <w:tcW w:w="1720" w:type="dxa"/>
            <w:tcBorders>
              <w:top w:val="nil"/>
              <w:left w:val="nil"/>
              <w:bottom w:val="single" w:sz="4" w:space="0" w:color="auto"/>
              <w:right w:val="single" w:sz="12" w:space="0" w:color="auto"/>
            </w:tcBorders>
            <w:noWrap/>
            <w:vAlign w:val="center"/>
            <w:hideMark/>
          </w:tcPr>
          <w:p w:rsidR="005E2356" w:rsidRPr="005E2356" w:rsidP="005E2356" w14:paraId="34A05087"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6,249</w:t>
            </w:r>
          </w:p>
        </w:tc>
        <w:tc>
          <w:tcPr>
            <w:tcW w:w="1272" w:type="dxa"/>
            <w:tcBorders>
              <w:top w:val="nil"/>
              <w:left w:val="nil"/>
              <w:bottom w:val="single" w:sz="4" w:space="0" w:color="auto"/>
              <w:right w:val="single" w:sz="4" w:space="0" w:color="auto"/>
            </w:tcBorders>
            <w:vAlign w:val="center"/>
            <w:hideMark/>
          </w:tcPr>
          <w:p w:rsidR="005E2356" w:rsidRPr="005E2356" w:rsidP="005E2356" w14:paraId="053E1AD8"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65</w:t>
            </w:r>
          </w:p>
        </w:tc>
        <w:tc>
          <w:tcPr>
            <w:tcW w:w="1320" w:type="dxa"/>
            <w:tcBorders>
              <w:top w:val="nil"/>
              <w:left w:val="nil"/>
              <w:bottom w:val="single" w:sz="4" w:space="0" w:color="auto"/>
              <w:right w:val="single" w:sz="4" w:space="0" w:color="auto"/>
            </w:tcBorders>
            <w:noWrap/>
            <w:vAlign w:val="center"/>
            <w:hideMark/>
          </w:tcPr>
          <w:p w:rsidR="005E2356" w:rsidRPr="005E2356" w:rsidP="005E2356" w14:paraId="3A98951B"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8,775</w:t>
            </w:r>
          </w:p>
        </w:tc>
        <w:tc>
          <w:tcPr>
            <w:tcW w:w="1540" w:type="dxa"/>
            <w:tcBorders>
              <w:top w:val="nil"/>
              <w:left w:val="nil"/>
              <w:bottom w:val="single" w:sz="4" w:space="0" w:color="auto"/>
              <w:right w:val="single" w:sz="4" w:space="0" w:color="auto"/>
            </w:tcBorders>
            <w:noWrap/>
            <w:vAlign w:val="center"/>
            <w:hideMark/>
          </w:tcPr>
          <w:p w:rsidR="005E2356" w:rsidRPr="005E2356" w:rsidP="005E2356" w14:paraId="0A9CEEF9"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5,785</w:t>
            </w:r>
          </w:p>
        </w:tc>
      </w:tr>
      <w:tr w14:paraId="792406C5" w14:textId="77777777" w:rsidTr="00A44189">
        <w:tblPrEx>
          <w:tblW w:w="9723" w:type="dxa"/>
          <w:tblLook w:val="04A0"/>
        </w:tblPrEx>
        <w:trPr>
          <w:trHeight w:val="510"/>
        </w:trPr>
        <w:tc>
          <w:tcPr>
            <w:tcW w:w="1372" w:type="dxa"/>
            <w:tcBorders>
              <w:top w:val="nil"/>
              <w:left w:val="single" w:sz="4" w:space="0" w:color="auto"/>
              <w:bottom w:val="single" w:sz="4" w:space="0" w:color="auto"/>
              <w:right w:val="single" w:sz="4" w:space="0" w:color="auto"/>
            </w:tcBorders>
            <w:vAlign w:val="center"/>
            <w:hideMark/>
          </w:tcPr>
          <w:p w:rsidR="005E2356" w:rsidRPr="005E2356" w:rsidP="005E2356" w14:paraId="2DF69DC3" w14:textId="77777777">
            <w:pPr>
              <w:widowControl/>
              <w:autoSpaceDE/>
              <w:autoSpaceDN/>
              <w:adjustRightInd/>
              <w:jc w:val="center"/>
              <w:rPr>
                <w:rFonts w:ascii="Times New Roman" w:eastAsia="Times New Roman"/>
                <w:i/>
                <w:iCs/>
                <w:color w:val="000000"/>
                <w:sz w:val="20"/>
                <w:szCs w:val="20"/>
              </w:rPr>
            </w:pPr>
            <w:r w:rsidRPr="005E2356">
              <w:rPr>
                <w:rFonts w:ascii="Times New Roman" w:eastAsia="Times New Roman"/>
                <w:i/>
                <w:iCs/>
                <w:color w:val="000000"/>
                <w:sz w:val="20"/>
                <w:szCs w:val="20"/>
              </w:rPr>
              <w:t>Nonferrous Foundries [vi]</w:t>
            </w:r>
          </w:p>
        </w:tc>
        <w:tc>
          <w:tcPr>
            <w:tcW w:w="1360" w:type="dxa"/>
            <w:tcBorders>
              <w:top w:val="single" w:sz="4" w:space="0" w:color="auto"/>
              <w:left w:val="nil"/>
              <w:bottom w:val="single" w:sz="4" w:space="0" w:color="auto"/>
              <w:right w:val="single" w:sz="4" w:space="0" w:color="auto"/>
            </w:tcBorders>
            <w:noWrap/>
            <w:vAlign w:val="center"/>
            <w:hideMark/>
          </w:tcPr>
          <w:p w:rsidR="005E2356" w:rsidRPr="005E2356" w:rsidP="005E2356" w14:paraId="690F0CC4"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609</w:t>
            </w:r>
          </w:p>
        </w:tc>
        <w:tc>
          <w:tcPr>
            <w:tcW w:w="1139" w:type="dxa"/>
            <w:tcBorders>
              <w:top w:val="nil"/>
              <w:left w:val="nil"/>
              <w:bottom w:val="single" w:sz="4" w:space="0" w:color="auto"/>
              <w:right w:val="single" w:sz="4" w:space="0" w:color="auto"/>
            </w:tcBorders>
            <w:vAlign w:val="center"/>
            <w:hideMark/>
          </w:tcPr>
          <w:p w:rsidR="005E2356" w:rsidRPr="005E2356" w:rsidP="005E2356" w14:paraId="0169AD9F"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26,159</w:t>
            </w:r>
          </w:p>
        </w:tc>
        <w:tc>
          <w:tcPr>
            <w:tcW w:w="1720" w:type="dxa"/>
            <w:tcBorders>
              <w:top w:val="nil"/>
              <w:left w:val="nil"/>
              <w:bottom w:val="single" w:sz="4" w:space="0" w:color="auto"/>
              <w:right w:val="single" w:sz="12" w:space="0" w:color="auto"/>
            </w:tcBorders>
            <w:noWrap/>
            <w:vAlign w:val="center"/>
            <w:hideMark/>
          </w:tcPr>
          <w:p w:rsidR="005E2356" w:rsidRPr="005E2356" w:rsidP="005E2356" w14:paraId="4E366E40"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14,648</w:t>
            </w:r>
          </w:p>
        </w:tc>
        <w:tc>
          <w:tcPr>
            <w:tcW w:w="1272" w:type="dxa"/>
            <w:tcBorders>
              <w:top w:val="nil"/>
              <w:left w:val="nil"/>
              <w:bottom w:val="single" w:sz="4" w:space="0" w:color="auto"/>
              <w:right w:val="single" w:sz="4" w:space="0" w:color="auto"/>
            </w:tcBorders>
            <w:vAlign w:val="center"/>
            <w:hideMark/>
          </w:tcPr>
          <w:p w:rsidR="005E2356" w:rsidRPr="005E2356" w:rsidP="005E2356" w14:paraId="19305DA7"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558</w:t>
            </w:r>
          </w:p>
        </w:tc>
        <w:tc>
          <w:tcPr>
            <w:tcW w:w="1320" w:type="dxa"/>
            <w:tcBorders>
              <w:top w:val="nil"/>
              <w:left w:val="nil"/>
              <w:bottom w:val="single" w:sz="4" w:space="0" w:color="auto"/>
              <w:right w:val="single" w:sz="4" w:space="0" w:color="auto"/>
            </w:tcBorders>
            <w:noWrap/>
            <w:vAlign w:val="center"/>
            <w:hideMark/>
          </w:tcPr>
          <w:p w:rsidR="005E2356" w:rsidRPr="005E2356" w:rsidP="005E2356" w14:paraId="6F858AC9"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23,994</w:t>
            </w:r>
          </w:p>
        </w:tc>
        <w:tc>
          <w:tcPr>
            <w:tcW w:w="1540" w:type="dxa"/>
            <w:tcBorders>
              <w:top w:val="nil"/>
              <w:left w:val="nil"/>
              <w:bottom w:val="single" w:sz="4" w:space="0" w:color="auto"/>
              <w:right w:val="single" w:sz="4" w:space="0" w:color="auto"/>
            </w:tcBorders>
            <w:noWrap/>
            <w:vAlign w:val="center"/>
            <w:hideMark/>
          </w:tcPr>
          <w:p w:rsidR="005E2356" w:rsidRPr="005E2356" w:rsidP="005E2356" w14:paraId="712A26EB"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13,392</w:t>
            </w:r>
          </w:p>
        </w:tc>
      </w:tr>
      <w:tr w14:paraId="5DC78231" w14:textId="77777777" w:rsidTr="00A44189">
        <w:tblPrEx>
          <w:tblW w:w="9723" w:type="dxa"/>
          <w:tblLook w:val="04A0"/>
        </w:tblPrEx>
        <w:trPr>
          <w:trHeight w:val="765"/>
        </w:trPr>
        <w:tc>
          <w:tcPr>
            <w:tcW w:w="1372" w:type="dxa"/>
            <w:tcBorders>
              <w:top w:val="nil"/>
              <w:left w:val="single" w:sz="4" w:space="0" w:color="auto"/>
              <w:bottom w:val="single" w:sz="4" w:space="0" w:color="auto"/>
              <w:right w:val="single" w:sz="4" w:space="0" w:color="auto"/>
            </w:tcBorders>
            <w:vAlign w:val="center"/>
            <w:hideMark/>
          </w:tcPr>
          <w:p w:rsidR="005E2356" w:rsidRPr="005E2356" w:rsidP="005E2356" w14:paraId="7624A814" w14:textId="77777777">
            <w:pPr>
              <w:widowControl/>
              <w:autoSpaceDE/>
              <w:autoSpaceDN/>
              <w:adjustRightInd/>
              <w:jc w:val="center"/>
              <w:rPr>
                <w:rFonts w:ascii="Times New Roman" w:eastAsia="Times New Roman"/>
                <w:i/>
                <w:iCs/>
                <w:color w:val="000000"/>
                <w:sz w:val="20"/>
                <w:szCs w:val="20"/>
              </w:rPr>
            </w:pPr>
            <w:r w:rsidRPr="005E2356">
              <w:rPr>
                <w:rFonts w:ascii="Times New Roman" w:eastAsia="Times New Roman"/>
                <w:i/>
                <w:iCs/>
                <w:color w:val="000000"/>
                <w:sz w:val="20"/>
                <w:szCs w:val="20"/>
              </w:rPr>
              <w:t>Lead Pigment Manufacture [vii]</w:t>
            </w:r>
          </w:p>
        </w:tc>
        <w:tc>
          <w:tcPr>
            <w:tcW w:w="1360" w:type="dxa"/>
            <w:tcBorders>
              <w:top w:val="single" w:sz="4" w:space="0" w:color="auto"/>
              <w:left w:val="nil"/>
              <w:bottom w:val="single" w:sz="4" w:space="0" w:color="auto"/>
              <w:right w:val="single" w:sz="4" w:space="0" w:color="auto"/>
            </w:tcBorders>
            <w:noWrap/>
            <w:vAlign w:val="center"/>
            <w:hideMark/>
          </w:tcPr>
          <w:p w:rsidR="005E2356" w:rsidRPr="005E2356" w:rsidP="005E2356" w14:paraId="7750F27C"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8</w:t>
            </w:r>
          </w:p>
        </w:tc>
        <w:tc>
          <w:tcPr>
            <w:tcW w:w="1139" w:type="dxa"/>
            <w:tcBorders>
              <w:top w:val="nil"/>
              <w:left w:val="nil"/>
              <w:bottom w:val="single" w:sz="4" w:space="0" w:color="auto"/>
              <w:right w:val="single" w:sz="4" w:space="0" w:color="auto"/>
            </w:tcBorders>
            <w:vAlign w:val="center"/>
            <w:hideMark/>
          </w:tcPr>
          <w:p w:rsidR="005E2356" w:rsidRPr="005E2356" w:rsidP="005E2356" w14:paraId="77737C8C"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280</w:t>
            </w:r>
          </w:p>
        </w:tc>
        <w:tc>
          <w:tcPr>
            <w:tcW w:w="1720" w:type="dxa"/>
            <w:tcBorders>
              <w:top w:val="nil"/>
              <w:left w:val="nil"/>
              <w:bottom w:val="single" w:sz="4" w:space="0" w:color="auto"/>
              <w:right w:val="single" w:sz="12" w:space="0" w:color="auto"/>
            </w:tcBorders>
            <w:noWrap/>
            <w:vAlign w:val="center"/>
            <w:hideMark/>
          </w:tcPr>
          <w:p w:rsidR="005E2356" w:rsidRPr="005E2356" w:rsidP="005E2356" w14:paraId="247E10A8"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238</w:t>
            </w:r>
          </w:p>
        </w:tc>
        <w:tc>
          <w:tcPr>
            <w:tcW w:w="1272" w:type="dxa"/>
            <w:tcBorders>
              <w:top w:val="nil"/>
              <w:left w:val="nil"/>
              <w:bottom w:val="single" w:sz="4" w:space="0" w:color="auto"/>
              <w:right w:val="single" w:sz="4" w:space="0" w:color="auto"/>
            </w:tcBorders>
            <w:vAlign w:val="center"/>
            <w:hideMark/>
          </w:tcPr>
          <w:p w:rsidR="005E2356" w:rsidRPr="005E2356" w:rsidP="005E2356" w14:paraId="1351B202"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8</w:t>
            </w:r>
          </w:p>
        </w:tc>
        <w:tc>
          <w:tcPr>
            <w:tcW w:w="1320" w:type="dxa"/>
            <w:tcBorders>
              <w:top w:val="nil"/>
              <w:left w:val="nil"/>
              <w:bottom w:val="single" w:sz="4" w:space="0" w:color="auto"/>
              <w:right w:val="single" w:sz="4" w:space="0" w:color="auto"/>
            </w:tcBorders>
            <w:noWrap/>
            <w:vAlign w:val="center"/>
            <w:hideMark/>
          </w:tcPr>
          <w:p w:rsidR="005E2356" w:rsidRPr="005E2356" w:rsidP="005E2356" w14:paraId="4026BA50"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280</w:t>
            </w:r>
          </w:p>
        </w:tc>
        <w:tc>
          <w:tcPr>
            <w:tcW w:w="1540" w:type="dxa"/>
            <w:tcBorders>
              <w:top w:val="nil"/>
              <w:left w:val="nil"/>
              <w:bottom w:val="single" w:sz="4" w:space="0" w:color="auto"/>
              <w:right w:val="single" w:sz="4" w:space="0" w:color="auto"/>
            </w:tcBorders>
            <w:noWrap/>
            <w:vAlign w:val="center"/>
            <w:hideMark/>
          </w:tcPr>
          <w:p w:rsidR="005E2356" w:rsidRPr="005E2356" w:rsidP="005E2356" w14:paraId="28C662C2"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238</w:t>
            </w:r>
          </w:p>
        </w:tc>
      </w:tr>
      <w:tr w14:paraId="070E367D" w14:textId="77777777" w:rsidTr="00A44189">
        <w:tblPrEx>
          <w:tblW w:w="9723" w:type="dxa"/>
          <w:tblLook w:val="04A0"/>
        </w:tblPrEx>
        <w:trPr>
          <w:trHeight w:val="510"/>
        </w:trPr>
        <w:tc>
          <w:tcPr>
            <w:tcW w:w="1372" w:type="dxa"/>
            <w:tcBorders>
              <w:top w:val="nil"/>
              <w:left w:val="single" w:sz="4" w:space="0" w:color="auto"/>
              <w:bottom w:val="single" w:sz="4" w:space="0" w:color="auto"/>
              <w:right w:val="single" w:sz="4" w:space="0" w:color="auto"/>
            </w:tcBorders>
            <w:vAlign w:val="center"/>
            <w:hideMark/>
          </w:tcPr>
          <w:p w:rsidR="005E2356" w:rsidRPr="005E2356" w:rsidP="005E2356" w14:paraId="49DA8A36" w14:textId="77777777">
            <w:pPr>
              <w:widowControl/>
              <w:autoSpaceDE/>
              <w:autoSpaceDN/>
              <w:adjustRightInd/>
              <w:jc w:val="center"/>
              <w:rPr>
                <w:rFonts w:ascii="Times New Roman" w:eastAsia="Times New Roman"/>
                <w:i/>
                <w:iCs/>
                <w:color w:val="000000"/>
                <w:sz w:val="20"/>
                <w:szCs w:val="20"/>
              </w:rPr>
            </w:pPr>
            <w:r w:rsidRPr="005E2356">
              <w:rPr>
                <w:rFonts w:ascii="Times New Roman" w:eastAsia="Times New Roman"/>
                <w:i/>
                <w:iCs/>
                <w:color w:val="000000"/>
                <w:sz w:val="20"/>
                <w:szCs w:val="20"/>
              </w:rPr>
              <w:t>Additional 5 Sector [viii]</w:t>
            </w:r>
          </w:p>
        </w:tc>
        <w:tc>
          <w:tcPr>
            <w:tcW w:w="1360" w:type="dxa"/>
            <w:tcBorders>
              <w:top w:val="single" w:sz="4" w:space="0" w:color="auto"/>
              <w:left w:val="nil"/>
              <w:bottom w:val="single" w:sz="4" w:space="0" w:color="auto"/>
              <w:right w:val="single" w:sz="4" w:space="0" w:color="auto"/>
            </w:tcBorders>
            <w:noWrap/>
            <w:vAlign w:val="center"/>
            <w:hideMark/>
          </w:tcPr>
          <w:p w:rsidR="005E2356" w:rsidRPr="005E2356" w:rsidP="005E2356" w14:paraId="5FF50F7C"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18</w:t>
            </w:r>
          </w:p>
        </w:tc>
        <w:tc>
          <w:tcPr>
            <w:tcW w:w="1139" w:type="dxa"/>
            <w:tcBorders>
              <w:top w:val="nil"/>
              <w:left w:val="nil"/>
              <w:bottom w:val="single" w:sz="4" w:space="0" w:color="auto"/>
              <w:right w:val="single" w:sz="4" w:space="0" w:color="auto"/>
            </w:tcBorders>
            <w:vAlign w:val="center"/>
            <w:hideMark/>
          </w:tcPr>
          <w:p w:rsidR="005E2356" w:rsidRPr="005E2356" w:rsidP="005E2356" w14:paraId="575FE807"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1,222</w:t>
            </w:r>
          </w:p>
        </w:tc>
        <w:tc>
          <w:tcPr>
            <w:tcW w:w="1720" w:type="dxa"/>
            <w:tcBorders>
              <w:top w:val="nil"/>
              <w:left w:val="nil"/>
              <w:bottom w:val="single" w:sz="4" w:space="0" w:color="auto"/>
              <w:right w:val="single" w:sz="12" w:space="0" w:color="auto"/>
            </w:tcBorders>
            <w:noWrap/>
            <w:vAlign w:val="center"/>
            <w:hideMark/>
          </w:tcPr>
          <w:p w:rsidR="005E2356" w:rsidRPr="005E2356" w:rsidP="005E2356" w14:paraId="15554889"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746</w:t>
            </w:r>
          </w:p>
        </w:tc>
        <w:tc>
          <w:tcPr>
            <w:tcW w:w="1272" w:type="dxa"/>
            <w:tcBorders>
              <w:top w:val="nil"/>
              <w:left w:val="nil"/>
              <w:bottom w:val="single" w:sz="4" w:space="0" w:color="auto"/>
              <w:right w:val="single" w:sz="4" w:space="0" w:color="auto"/>
            </w:tcBorders>
            <w:vAlign w:val="center"/>
            <w:hideMark/>
          </w:tcPr>
          <w:p w:rsidR="005E2356" w:rsidRPr="005E2356" w:rsidP="005E2356" w14:paraId="03CC6A25"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18</w:t>
            </w:r>
          </w:p>
        </w:tc>
        <w:tc>
          <w:tcPr>
            <w:tcW w:w="1320" w:type="dxa"/>
            <w:tcBorders>
              <w:top w:val="nil"/>
              <w:left w:val="nil"/>
              <w:bottom w:val="single" w:sz="4" w:space="0" w:color="auto"/>
              <w:right w:val="single" w:sz="4" w:space="0" w:color="auto"/>
            </w:tcBorders>
            <w:noWrap/>
            <w:vAlign w:val="center"/>
            <w:hideMark/>
          </w:tcPr>
          <w:p w:rsidR="005E2356" w:rsidRPr="005E2356" w:rsidP="005E2356" w14:paraId="5410ADA9"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1,222</w:t>
            </w:r>
          </w:p>
        </w:tc>
        <w:tc>
          <w:tcPr>
            <w:tcW w:w="1540" w:type="dxa"/>
            <w:tcBorders>
              <w:top w:val="nil"/>
              <w:left w:val="nil"/>
              <w:bottom w:val="single" w:sz="4" w:space="0" w:color="auto"/>
              <w:right w:val="single" w:sz="4" w:space="0" w:color="auto"/>
            </w:tcBorders>
            <w:noWrap/>
            <w:vAlign w:val="center"/>
            <w:hideMark/>
          </w:tcPr>
          <w:p w:rsidR="005E2356" w:rsidRPr="005E2356" w:rsidP="005E2356" w14:paraId="1EE30A48"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746</w:t>
            </w:r>
          </w:p>
        </w:tc>
      </w:tr>
      <w:tr w14:paraId="733DF929" w14:textId="77777777" w:rsidTr="00A44189">
        <w:tblPrEx>
          <w:tblW w:w="9723" w:type="dxa"/>
          <w:tblLook w:val="04A0"/>
        </w:tblPrEx>
        <w:trPr>
          <w:trHeight w:val="510"/>
        </w:trPr>
        <w:tc>
          <w:tcPr>
            <w:tcW w:w="1372" w:type="dxa"/>
            <w:tcBorders>
              <w:top w:val="nil"/>
              <w:left w:val="single" w:sz="4" w:space="0" w:color="auto"/>
              <w:bottom w:val="single" w:sz="4" w:space="0" w:color="auto"/>
              <w:right w:val="single" w:sz="4" w:space="0" w:color="auto"/>
            </w:tcBorders>
            <w:vAlign w:val="center"/>
            <w:hideMark/>
          </w:tcPr>
          <w:p w:rsidR="005E2356" w:rsidRPr="005E2356" w:rsidP="005E2356" w14:paraId="474D1414" w14:textId="77777777">
            <w:pPr>
              <w:widowControl/>
              <w:autoSpaceDE/>
              <w:autoSpaceDN/>
              <w:adjustRightInd/>
              <w:jc w:val="center"/>
              <w:rPr>
                <w:rFonts w:ascii="Times New Roman" w:eastAsia="Times New Roman"/>
                <w:i/>
                <w:iCs/>
                <w:color w:val="000000"/>
                <w:sz w:val="20"/>
                <w:szCs w:val="20"/>
              </w:rPr>
            </w:pPr>
            <w:r w:rsidRPr="005E2356">
              <w:rPr>
                <w:rFonts w:ascii="Times New Roman" w:eastAsia="Times New Roman"/>
                <w:i/>
                <w:iCs/>
                <w:color w:val="000000"/>
                <w:sz w:val="20"/>
                <w:szCs w:val="20"/>
              </w:rPr>
              <w:t>Miscellaneous Sectors [viii]</w:t>
            </w:r>
          </w:p>
        </w:tc>
        <w:tc>
          <w:tcPr>
            <w:tcW w:w="1360" w:type="dxa"/>
            <w:tcBorders>
              <w:top w:val="single" w:sz="4" w:space="0" w:color="auto"/>
              <w:left w:val="nil"/>
              <w:bottom w:val="single" w:sz="4" w:space="0" w:color="auto"/>
              <w:right w:val="single" w:sz="4" w:space="0" w:color="auto"/>
            </w:tcBorders>
            <w:noWrap/>
            <w:vAlign w:val="center"/>
            <w:hideMark/>
          </w:tcPr>
          <w:p w:rsidR="005E2356" w:rsidRPr="005E2356" w:rsidP="005E2356" w14:paraId="730825B8"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53,504</w:t>
            </w:r>
          </w:p>
        </w:tc>
        <w:tc>
          <w:tcPr>
            <w:tcW w:w="1139" w:type="dxa"/>
            <w:tcBorders>
              <w:top w:val="nil"/>
              <w:left w:val="nil"/>
              <w:bottom w:val="single" w:sz="4" w:space="0" w:color="auto"/>
              <w:right w:val="single" w:sz="4" w:space="0" w:color="auto"/>
            </w:tcBorders>
            <w:vAlign w:val="center"/>
            <w:hideMark/>
          </w:tcPr>
          <w:p w:rsidR="005E2356" w:rsidRPr="005E2356" w:rsidP="005E2356" w14:paraId="1A9BF79C"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732,864</w:t>
            </w:r>
          </w:p>
        </w:tc>
        <w:tc>
          <w:tcPr>
            <w:tcW w:w="1720" w:type="dxa"/>
            <w:tcBorders>
              <w:top w:val="nil"/>
              <w:left w:val="nil"/>
              <w:bottom w:val="single" w:sz="4" w:space="0" w:color="auto"/>
              <w:right w:val="single" w:sz="12" w:space="0" w:color="auto"/>
            </w:tcBorders>
            <w:noWrap/>
            <w:vAlign w:val="center"/>
            <w:hideMark/>
          </w:tcPr>
          <w:p w:rsidR="005E2356" w:rsidRPr="005E2356" w:rsidP="005E2356" w14:paraId="6C76E792"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308,665</w:t>
            </w:r>
          </w:p>
        </w:tc>
        <w:tc>
          <w:tcPr>
            <w:tcW w:w="1272" w:type="dxa"/>
            <w:tcBorders>
              <w:top w:val="nil"/>
              <w:left w:val="nil"/>
              <w:bottom w:val="single" w:sz="4" w:space="0" w:color="auto"/>
              <w:right w:val="single" w:sz="4" w:space="0" w:color="auto"/>
            </w:tcBorders>
            <w:vAlign w:val="center"/>
            <w:hideMark/>
          </w:tcPr>
          <w:p w:rsidR="005E2356" w:rsidRPr="005E2356" w:rsidP="005E2356" w14:paraId="289ECC51"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57,046</w:t>
            </w:r>
          </w:p>
        </w:tc>
        <w:tc>
          <w:tcPr>
            <w:tcW w:w="1320" w:type="dxa"/>
            <w:tcBorders>
              <w:top w:val="nil"/>
              <w:left w:val="nil"/>
              <w:bottom w:val="single" w:sz="4" w:space="0" w:color="auto"/>
              <w:right w:val="single" w:sz="4" w:space="0" w:color="auto"/>
            </w:tcBorders>
            <w:vAlign w:val="center"/>
            <w:hideMark/>
          </w:tcPr>
          <w:p w:rsidR="005E2356" w:rsidRPr="005E2356" w:rsidP="005E2356" w14:paraId="6F111810"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781,380</w:t>
            </w:r>
          </w:p>
        </w:tc>
        <w:tc>
          <w:tcPr>
            <w:tcW w:w="1540" w:type="dxa"/>
            <w:tcBorders>
              <w:top w:val="nil"/>
              <w:left w:val="nil"/>
              <w:bottom w:val="single" w:sz="4" w:space="0" w:color="auto"/>
              <w:right w:val="single" w:sz="4" w:space="0" w:color="auto"/>
            </w:tcBorders>
            <w:vAlign w:val="center"/>
            <w:hideMark/>
          </w:tcPr>
          <w:p w:rsidR="005E2356" w:rsidRPr="005E2356" w:rsidP="005E2356" w14:paraId="7DD51971"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329,099</w:t>
            </w:r>
          </w:p>
        </w:tc>
      </w:tr>
      <w:tr w14:paraId="45AADC74" w14:textId="77777777" w:rsidTr="00A44189">
        <w:tblPrEx>
          <w:tblW w:w="9723" w:type="dxa"/>
          <w:tblLook w:val="04A0"/>
        </w:tblPrEx>
        <w:trPr>
          <w:trHeight w:val="1275"/>
        </w:trPr>
        <w:tc>
          <w:tcPr>
            <w:tcW w:w="1372" w:type="dxa"/>
            <w:tcBorders>
              <w:top w:val="nil"/>
              <w:left w:val="single" w:sz="4" w:space="0" w:color="auto"/>
              <w:bottom w:val="single" w:sz="4" w:space="0" w:color="auto"/>
              <w:right w:val="single" w:sz="4" w:space="0" w:color="auto"/>
            </w:tcBorders>
            <w:vAlign w:val="center"/>
            <w:hideMark/>
          </w:tcPr>
          <w:p w:rsidR="005E2356" w:rsidRPr="005E2356" w:rsidP="005E2356" w14:paraId="2B8C9680" w14:textId="77777777">
            <w:pPr>
              <w:widowControl/>
              <w:autoSpaceDE/>
              <w:autoSpaceDN/>
              <w:adjustRightInd/>
              <w:jc w:val="center"/>
              <w:rPr>
                <w:rFonts w:ascii="Times New Roman" w:eastAsia="Times New Roman"/>
                <w:i/>
                <w:iCs/>
                <w:color w:val="000000"/>
                <w:sz w:val="20"/>
                <w:szCs w:val="20"/>
              </w:rPr>
            </w:pPr>
            <w:r w:rsidRPr="005E2356">
              <w:rPr>
                <w:rFonts w:ascii="Times New Roman" w:eastAsia="Times New Roman"/>
                <w:i/>
                <w:iCs/>
                <w:color w:val="000000"/>
                <w:sz w:val="20"/>
                <w:szCs w:val="20"/>
              </w:rPr>
              <w:t>Additional Miscellaneous Sector Estimates [viii]</w:t>
            </w:r>
          </w:p>
        </w:tc>
        <w:tc>
          <w:tcPr>
            <w:tcW w:w="1360" w:type="dxa"/>
            <w:tcBorders>
              <w:top w:val="single" w:sz="4" w:space="0" w:color="auto"/>
              <w:left w:val="nil"/>
              <w:bottom w:val="single" w:sz="4" w:space="0" w:color="auto"/>
              <w:right w:val="single" w:sz="4" w:space="0" w:color="auto"/>
            </w:tcBorders>
            <w:vAlign w:val="center"/>
            <w:hideMark/>
          </w:tcPr>
          <w:p w:rsidR="005E2356" w:rsidRPr="005E2356" w:rsidP="005E2356" w14:paraId="4B768909" w14:textId="0EB49764">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2</w:t>
            </w:r>
            <w:r w:rsidR="007D62A6">
              <w:rPr>
                <w:rFonts w:ascii="Times New Roman" w:eastAsia="Times New Roman"/>
                <w:color w:val="000000"/>
                <w:sz w:val="20"/>
                <w:szCs w:val="20"/>
              </w:rPr>
              <w:t>,</w:t>
            </w:r>
            <w:r w:rsidRPr="005E2356">
              <w:rPr>
                <w:rFonts w:ascii="Times New Roman" w:eastAsia="Times New Roman"/>
                <w:color w:val="000000"/>
                <w:sz w:val="20"/>
                <w:szCs w:val="20"/>
              </w:rPr>
              <w:t>675</w:t>
            </w:r>
          </w:p>
        </w:tc>
        <w:tc>
          <w:tcPr>
            <w:tcW w:w="1139" w:type="dxa"/>
            <w:tcBorders>
              <w:top w:val="nil"/>
              <w:left w:val="nil"/>
              <w:bottom w:val="single" w:sz="4" w:space="0" w:color="auto"/>
              <w:right w:val="single" w:sz="4" w:space="0" w:color="auto"/>
            </w:tcBorders>
            <w:vAlign w:val="center"/>
            <w:hideMark/>
          </w:tcPr>
          <w:p w:rsidR="005E2356" w:rsidRPr="005E2356" w:rsidP="005E2356" w14:paraId="1D7404A0"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42,171</w:t>
            </w:r>
          </w:p>
        </w:tc>
        <w:tc>
          <w:tcPr>
            <w:tcW w:w="1720" w:type="dxa"/>
            <w:tcBorders>
              <w:top w:val="nil"/>
              <w:left w:val="nil"/>
              <w:bottom w:val="single" w:sz="4" w:space="0" w:color="auto"/>
              <w:right w:val="single" w:sz="12" w:space="0" w:color="auto"/>
            </w:tcBorders>
            <w:noWrap/>
            <w:vAlign w:val="center"/>
            <w:hideMark/>
          </w:tcPr>
          <w:p w:rsidR="005E2356" w:rsidRPr="005E2356" w:rsidP="005E2356" w14:paraId="06E22640"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15,436</w:t>
            </w:r>
          </w:p>
        </w:tc>
        <w:tc>
          <w:tcPr>
            <w:tcW w:w="1272" w:type="dxa"/>
            <w:tcBorders>
              <w:top w:val="nil"/>
              <w:left w:val="nil"/>
              <w:bottom w:val="single" w:sz="4" w:space="0" w:color="auto"/>
              <w:right w:val="single" w:sz="4" w:space="0" w:color="auto"/>
            </w:tcBorders>
            <w:vAlign w:val="center"/>
            <w:hideMark/>
          </w:tcPr>
          <w:p w:rsidR="005E2356" w:rsidRPr="005E2356" w:rsidP="005E2356" w14:paraId="2CE21A9A"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2,852</w:t>
            </w:r>
          </w:p>
        </w:tc>
        <w:tc>
          <w:tcPr>
            <w:tcW w:w="1320" w:type="dxa"/>
            <w:tcBorders>
              <w:top w:val="nil"/>
              <w:left w:val="nil"/>
              <w:bottom w:val="single" w:sz="4" w:space="0" w:color="auto"/>
              <w:right w:val="single" w:sz="4" w:space="0" w:color="auto"/>
            </w:tcBorders>
            <w:vAlign w:val="center"/>
            <w:hideMark/>
          </w:tcPr>
          <w:p w:rsidR="005E2356" w:rsidRPr="005E2356" w:rsidP="005E2356" w14:paraId="79234601"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44,963</w:t>
            </w:r>
          </w:p>
        </w:tc>
        <w:tc>
          <w:tcPr>
            <w:tcW w:w="1540" w:type="dxa"/>
            <w:tcBorders>
              <w:top w:val="nil"/>
              <w:left w:val="nil"/>
              <w:bottom w:val="single" w:sz="4" w:space="0" w:color="auto"/>
              <w:right w:val="single" w:sz="4" w:space="0" w:color="auto"/>
            </w:tcBorders>
            <w:vAlign w:val="center"/>
            <w:hideMark/>
          </w:tcPr>
          <w:p w:rsidR="005E2356" w:rsidRPr="005E2356" w:rsidP="005E2356" w14:paraId="5941A02E" w14:textId="77777777">
            <w:pPr>
              <w:widowControl/>
              <w:autoSpaceDE/>
              <w:autoSpaceDN/>
              <w:adjustRightInd/>
              <w:jc w:val="center"/>
              <w:rPr>
                <w:rFonts w:ascii="Times New Roman" w:eastAsia="Times New Roman"/>
                <w:color w:val="000000"/>
                <w:sz w:val="20"/>
                <w:szCs w:val="20"/>
              </w:rPr>
            </w:pPr>
            <w:r w:rsidRPr="005E2356">
              <w:rPr>
                <w:rFonts w:ascii="Times New Roman" w:eastAsia="Times New Roman"/>
                <w:color w:val="000000"/>
                <w:sz w:val="20"/>
                <w:szCs w:val="20"/>
              </w:rPr>
              <w:t>16,458</w:t>
            </w:r>
          </w:p>
        </w:tc>
      </w:tr>
      <w:tr w14:paraId="322670A2" w14:textId="77777777" w:rsidTr="00AF445F">
        <w:tblPrEx>
          <w:tblW w:w="9723" w:type="dxa"/>
          <w:tblLook w:val="04A0"/>
        </w:tblPrEx>
        <w:trPr>
          <w:trHeight w:val="300"/>
        </w:trPr>
        <w:tc>
          <w:tcPr>
            <w:tcW w:w="1372" w:type="dxa"/>
            <w:tcBorders>
              <w:top w:val="nil"/>
              <w:left w:val="single" w:sz="4" w:space="0" w:color="auto"/>
              <w:bottom w:val="single" w:sz="4" w:space="0" w:color="auto"/>
              <w:right w:val="single" w:sz="4" w:space="0" w:color="auto"/>
            </w:tcBorders>
            <w:shd w:val="clear" w:color="000000" w:fill="F2F2F2"/>
            <w:vAlign w:val="center"/>
            <w:hideMark/>
          </w:tcPr>
          <w:p w:rsidR="005E2356" w:rsidRPr="005E2356" w:rsidP="005E2356" w14:paraId="46D81C84"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Total</w:t>
            </w:r>
          </w:p>
        </w:tc>
        <w:tc>
          <w:tcPr>
            <w:tcW w:w="1360" w:type="dxa"/>
            <w:tcBorders>
              <w:top w:val="single" w:sz="4" w:space="0" w:color="auto"/>
              <w:left w:val="nil"/>
              <w:bottom w:val="single" w:sz="4" w:space="0" w:color="auto"/>
              <w:right w:val="single" w:sz="4" w:space="0" w:color="auto"/>
            </w:tcBorders>
            <w:vAlign w:val="center"/>
            <w:hideMark/>
          </w:tcPr>
          <w:p w:rsidR="005E2356" w:rsidRPr="005E2356" w:rsidP="005E2356" w14:paraId="6BCACDA4"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56,906</w:t>
            </w:r>
          </w:p>
        </w:tc>
        <w:tc>
          <w:tcPr>
            <w:tcW w:w="1139" w:type="dxa"/>
            <w:tcBorders>
              <w:top w:val="nil"/>
              <w:left w:val="nil"/>
              <w:bottom w:val="single" w:sz="4" w:space="0" w:color="auto"/>
              <w:right w:val="single" w:sz="4" w:space="0" w:color="auto"/>
            </w:tcBorders>
            <w:vAlign w:val="center"/>
            <w:hideMark/>
          </w:tcPr>
          <w:p w:rsidR="005E2356" w:rsidRPr="005E2356" w:rsidP="005E2356" w14:paraId="5E3FF6AD"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814,043</w:t>
            </w:r>
          </w:p>
        </w:tc>
        <w:tc>
          <w:tcPr>
            <w:tcW w:w="1720" w:type="dxa"/>
            <w:tcBorders>
              <w:top w:val="nil"/>
              <w:left w:val="nil"/>
              <w:bottom w:val="single" w:sz="4" w:space="0" w:color="auto"/>
              <w:right w:val="single" w:sz="12" w:space="0" w:color="auto"/>
            </w:tcBorders>
            <w:shd w:val="clear" w:color="000000" w:fill="F2F2F2"/>
            <w:vAlign w:val="center"/>
            <w:hideMark/>
          </w:tcPr>
          <w:p w:rsidR="005E2356" w:rsidRPr="005E2356" w:rsidP="005E2356" w14:paraId="56E72C7A"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346,894</w:t>
            </w:r>
          </w:p>
        </w:tc>
        <w:tc>
          <w:tcPr>
            <w:tcW w:w="1272" w:type="dxa"/>
            <w:tcBorders>
              <w:top w:val="nil"/>
              <w:left w:val="nil"/>
              <w:bottom w:val="single" w:sz="4" w:space="0" w:color="auto"/>
              <w:right w:val="single" w:sz="4" w:space="0" w:color="auto"/>
            </w:tcBorders>
            <w:shd w:val="clear" w:color="000000" w:fill="F2F2F2"/>
            <w:vAlign w:val="center"/>
            <w:hideMark/>
          </w:tcPr>
          <w:p w:rsidR="005E2356" w:rsidRPr="005E2356" w:rsidP="005E2356" w14:paraId="7DA23828"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60,569</w:t>
            </w:r>
          </w:p>
        </w:tc>
        <w:tc>
          <w:tcPr>
            <w:tcW w:w="1320" w:type="dxa"/>
            <w:tcBorders>
              <w:top w:val="nil"/>
              <w:left w:val="nil"/>
              <w:bottom w:val="single" w:sz="4" w:space="0" w:color="auto"/>
              <w:right w:val="single" w:sz="4" w:space="0" w:color="auto"/>
            </w:tcBorders>
            <w:vAlign w:val="center"/>
            <w:hideMark/>
          </w:tcPr>
          <w:p w:rsidR="005E2356" w:rsidRPr="005E2356" w:rsidP="005E2356" w14:paraId="53514FB0"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862,493</w:t>
            </w:r>
          </w:p>
        </w:tc>
        <w:tc>
          <w:tcPr>
            <w:tcW w:w="1540" w:type="dxa"/>
            <w:tcBorders>
              <w:top w:val="nil"/>
              <w:left w:val="nil"/>
              <w:bottom w:val="single" w:sz="4" w:space="0" w:color="auto"/>
              <w:right w:val="single" w:sz="4" w:space="0" w:color="auto"/>
            </w:tcBorders>
            <w:shd w:val="clear" w:color="000000" w:fill="F2F2F2"/>
            <w:vAlign w:val="center"/>
            <w:hideMark/>
          </w:tcPr>
          <w:p w:rsidR="005E2356" w:rsidRPr="005E2356" w:rsidP="005E2356" w14:paraId="716B0833" w14:textId="77777777">
            <w:pPr>
              <w:widowControl/>
              <w:autoSpaceDE/>
              <w:autoSpaceDN/>
              <w:adjustRightInd/>
              <w:jc w:val="center"/>
              <w:rPr>
                <w:rFonts w:ascii="Times New Roman" w:eastAsia="Times New Roman"/>
                <w:b/>
                <w:bCs/>
                <w:color w:val="000000"/>
                <w:sz w:val="20"/>
                <w:szCs w:val="20"/>
              </w:rPr>
            </w:pPr>
            <w:r w:rsidRPr="005E2356">
              <w:rPr>
                <w:rFonts w:ascii="Times New Roman" w:eastAsia="Times New Roman"/>
                <w:b/>
                <w:bCs/>
                <w:color w:val="000000"/>
                <w:sz w:val="20"/>
                <w:szCs w:val="20"/>
              </w:rPr>
              <w:t>366,629</w:t>
            </w:r>
          </w:p>
        </w:tc>
      </w:tr>
    </w:tbl>
    <w:p w:rsidR="00F31829" w:rsidP="3080DAE6" w14:paraId="745D2178" w14:textId="7A75136B">
      <w:pPr>
        <w:widowControl/>
        <w:autoSpaceDE/>
        <w:autoSpaceDN/>
        <w:adjustRightInd/>
      </w:pPr>
    </w:p>
    <w:p w:rsidR="00113EDF" w:rsidRPr="00113EDF" w:rsidP="56E51CD7" w14:paraId="19B3A4A6" w14:textId="07065C86">
      <w:pPr>
        <w:widowControl/>
        <w:ind w:firstLine="720"/>
        <w:rPr>
          <w:rFonts w:ascii="Times New Roman" w:eastAsia="Times New Roman"/>
          <w:sz w:val="20"/>
          <w:szCs w:val="20"/>
          <w:vertAlign w:val="superscript"/>
        </w:rPr>
      </w:pPr>
      <w:r w:rsidRPr="56E51CD7">
        <w:rPr>
          <w:rFonts w:ascii="Times New Roman" w:eastAsia="Times New Roman"/>
          <w:sz w:val="20"/>
          <w:szCs w:val="20"/>
          <w:vertAlign w:val="superscript"/>
        </w:rPr>
        <w:t>[</w:t>
      </w:r>
      <w:r w:rsidRPr="56E51CD7">
        <w:rPr>
          <w:rFonts w:ascii="Times New Roman" w:eastAsia="Times New Roman"/>
          <w:sz w:val="20"/>
          <w:szCs w:val="20"/>
          <w:vertAlign w:val="superscript"/>
        </w:rPr>
        <w:t>i</w:t>
      </w:r>
      <w:r w:rsidRPr="56E51CD7">
        <w:rPr>
          <w:rFonts w:ascii="Times New Roman" w:eastAsia="Times New Roman"/>
          <w:sz w:val="20"/>
          <w:szCs w:val="20"/>
          <w:vertAlign w:val="superscript"/>
        </w:rPr>
        <w:t xml:space="preserve">] </w:t>
      </w:r>
      <w:r w:rsidRPr="56E51CD7">
        <w:rPr>
          <w:rFonts w:ascii="Times New Roman" w:eastAsia="Times New Roman"/>
          <w:sz w:val="20"/>
          <w:szCs w:val="20"/>
          <w:vertAlign w:val="superscript"/>
        </w:rPr>
        <w:t>The</w:t>
      </w:r>
      <w:r w:rsidRPr="56E51CD7">
        <w:rPr>
          <w:rFonts w:ascii="Times New Roman" w:eastAsia="Times New Roman"/>
          <w:sz w:val="20"/>
          <w:szCs w:val="20"/>
          <w:vertAlign w:val="superscript"/>
        </w:rPr>
        <w:t xml:space="preserve"> ratio of estimated number of exposed workers to the estimated number of facilities has been retained from the previous ICR. Values presented in this column reflect this original ratio and updated facility data.</w:t>
      </w:r>
    </w:p>
    <w:p w:rsidR="00113EDF" w:rsidRPr="00113EDF" w:rsidP="56E51CD7" w14:paraId="1BC031AC" w14:textId="77777777">
      <w:pPr>
        <w:widowControl/>
        <w:ind w:firstLine="720"/>
        <w:rPr>
          <w:rFonts w:ascii="Times New Roman" w:eastAsia="Times New Roman"/>
          <w:sz w:val="20"/>
          <w:szCs w:val="20"/>
          <w:vertAlign w:val="superscript"/>
        </w:rPr>
      </w:pPr>
      <w:r w:rsidRPr="56E51CD7">
        <w:rPr>
          <w:rFonts w:ascii="Times New Roman" w:eastAsia="Times New Roman"/>
          <w:sz w:val="20"/>
          <w:szCs w:val="20"/>
          <w:vertAlign w:val="superscript"/>
        </w:rPr>
        <w:t xml:space="preserve">[ii] </w:t>
      </w:r>
      <w:r w:rsidRPr="56E51CD7">
        <w:rPr>
          <w:rFonts w:ascii="Times New Roman" w:eastAsia="Times New Roman"/>
          <w:sz w:val="20"/>
          <w:szCs w:val="20"/>
          <w:vertAlign w:val="superscript"/>
        </w:rPr>
        <w:t>The</w:t>
      </w:r>
      <w:r w:rsidRPr="56E51CD7">
        <w:rPr>
          <w:rFonts w:ascii="Times New Roman" w:eastAsia="Times New Roman"/>
          <w:sz w:val="20"/>
          <w:szCs w:val="20"/>
          <w:vertAlign w:val="superscript"/>
        </w:rPr>
        <w:t xml:space="preserve"> ratio of estimated number of workers exposed at or above the action level, but below the permissible exposure limit has been retained from the previous ICR.</w:t>
      </w:r>
    </w:p>
    <w:p w:rsidR="00A50111" w:rsidRPr="00113EDF" w:rsidP="56E51CD7" w14:paraId="0FAE51E8" w14:textId="5F4A6FBE">
      <w:pPr>
        <w:widowControl/>
        <w:ind w:firstLine="720"/>
        <w:rPr>
          <w:rFonts w:ascii="Times New Roman" w:eastAsia="Times New Roman"/>
          <w:sz w:val="20"/>
          <w:szCs w:val="20"/>
          <w:vertAlign w:val="superscript"/>
        </w:rPr>
      </w:pPr>
      <w:r w:rsidRPr="56E51CD7">
        <w:rPr>
          <w:rFonts w:ascii="Times New Roman" w:eastAsia="Times New Roman"/>
          <w:sz w:val="20"/>
          <w:szCs w:val="20"/>
          <w:vertAlign w:val="superscript"/>
        </w:rPr>
        <w:t>[iii] Source: U.S. Geological Survey (USGS), “Mineral Commodity Summaries 20</w:t>
      </w:r>
      <w:r w:rsidRPr="56E51CD7" w:rsidR="72CE63D6">
        <w:rPr>
          <w:rFonts w:ascii="Times New Roman" w:eastAsia="Times New Roman"/>
          <w:sz w:val="20"/>
          <w:szCs w:val="20"/>
          <w:vertAlign w:val="superscript"/>
        </w:rPr>
        <w:t>2</w:t>
      </w:r>
      <w:r w:rsidR="006E6B99">
        <w:rPr>
          <w:rFonts w:ascii="Times New Roman" w:eastAsia="Times New Roman"/>
          <w:sz w:val="20"/>
          <w:szCs w:val="20"/>
          <w:vertAlign w:val="superscript"/>
        </w:rPr>
        <w:t>5</w:t>
      </w:r>
      <w:r w:rsidRPr="56E51CD7">
        <w:rPr>
          <w:rFonts w:ascii="Times New Roman" w:eastAsia="Times New Roman"/>
          <w:sz w:val="20"/>
          <w:szCs w:val="20"/>
          <w:vertAlign w:val="superscript"/>
        </w:rPr>
        <w:t>.”</w:t>
      </w:r>
      <w:r w:rsidRPr="56E51CD7" w:rsidR="2CD7BE93">
        <w:rPr>
          <w:rFonts w:ascii="Times New Roman" w:eastAsia="Times New Roman"/>
          <w:sz w:val="20"/>
          <w:szCs w:val="20"/>
          <w:vertAlign w:val="superscript"/>
        </w:rPr>
        <w:t xml:space="preserve"> </w:t>
      </w:r>
      <w:r w:rsidRPr="56E51CD7">
        <w:rPr>
          <w:rFonts w:ascii="Times New Roman" w:eastAsia="Times New Roman"/>
          <w:sz w:val="20"/>
          <w:szCs w:val="20"/>
          <w:vertAlign w:val="superscript"/>
        </w:rPr>
        <w:t>The USGS report</w:t>
      </w:r>
      <w:r w:rsidR="00EA60BF">
        <w:rPr>
          <w:rFonts w:ascii="Times New Roman" w:eastAsia="Times New Roman"/>
          <w:sz w:val="20"/>
          <w:szCs w:val="20"/>
          <w:vertAlign w:val="superscript"/>
        </w:rPr>
        <w:t xml:space="preserve"> </w:t>
      </w:r>
      <w:r w:rsidR="006E6B99">
        <w:rPr>
          <w:rFonts w:ascii="Times New Roman" w:eastAsia="Times New Roman"/>
          <w:sz w:val="20"/>
          <w:szCs w:val="20"/>
          <w:vertAlign w:val="superscript"/>
        </w:rPr>
        <w:t>e</w:t>
      </w:r>
      <w:r w:rsidRPr="006E6B99" w:rsidR="006E6B99">
        <w:rPr>
          <w:rFonts w:ascii="Times New Roman" w:eastAsia="Times New Roman"/>
          <w:sz w:val="20"/>
          <w:szCs w:val="20"/>
          <w:vertAlign w:val="superscript"/>
        </w:rPr>
        <w:t>stimated</w:t>
      </w:r>
      <w:r w:rsidR="009F58C7">
        <w:rPr>
          <w:rFonts w:ascii="Times New Roman" w:eastAsia="Times New Roman"/>
          <w:sz w:val="20"/>
          <w:szCs w:val="20"/>
          <w:vertAlign w:val="superscript"/>
        </w:rPr>
        <w:t xml:space="preserve"> the</w:t>
      </w:r>
      <w:r w:rsidRPr="006E6B99" w:rsidR="006E6B99">
        <w:rPr>
          <w:rFonts w:ascii="Times New Roman" w:eastAsia="Times New Roman"/>
          <w:sz w:val="20"/>
          <w:szCs w:val="20"/>
          <w:vertAlign w:val="superscript"/>
        </w:rPr>
        <w:t xml:space="preserve"> U.S</w:t>
      </w:r>
      <w:r w:rsidR="009111BE">
        <w:rPr>
          <w:rFonts w:ascii="Times New Roman" w:eastAsia="Times New Roman"/>
          <w:sz w:val="20"/>
          <w:szCs w:val="20"/>
          <w:vertAlign w:val="superscript"/>
        </w:rPr>
        <w:t>.</w:t>
      </w:r>
      <w:r w:rsidRPr="006E6B99" w:rsidR="006E6B99">
        <w:rPr>
          <w:rFonts w:ascii="Times New Roman" w:eastAsia="Times New Roman"/>
          <w:sz w:val="20"/>
          <w:szCs w:val="20"/>
          <w:vertAlign w:val="superscript"/>
        </w:rPr>
        <w:t xml:space="preserve"> </w:t>
      </w:r>
      <w:r w:rsidR="009F58C7">
        <w:rPr>
          <w:rFonts w:ascii="Times New Roman" w:eastAsia="Times New Roman"/>
          <w:sz w:val="20"/>
          <w:szCs w:val="20"/>
          <w:vertAlign w:val="superscript"/>
        </w:rPr>
        <w:t xml:space="preserve">apparent </w:t>
      </w:r>
      <w:r w:rsidRPr="006E6B99" w:rsidR="006E6B99">
        <w:rPr>
          <w:rFonts w:ascii="Times New Roman" w:eastAsia="Times New Roman"/>
          <w:sz w:val="20"/>
          <w:szCs w:val="20"/>
          <w:vertAlign w:val="superscript"/>
        </w:rPr>
        <w:t>consumption of refined lead decreased by 7% from that in 2023, and the net import reliance decreased to 28% from 33%</w:t>
      </w:r>
      <w:r w:rsidR="00EA60BF">
        <w:rPr>
          <w:rFonts w:ascii="Times New Roman" w:eastAsia="Times New Roman"/>
          <w:sz w:val="20"/>
          <w:szCs w:val="20"/>
          <w:vertAlign w:val="superscript"/>
        </w:rPr>
        <w:t>.</w:t>
      </w:r>
      <w:r w:rsidR="005566DC">
        <w:rPr>
          <w:rFonts w:ascii="Times New Roman" w:eastAsia="Times New Roman"/>
          <w:sz w:val="20"/>
          <w:szCs w:val="20"/>
          <w:vertAlign w:val="superscript"/>
        </w:rPr>
        <w:t xml:space="preserve"> </w:t>
      </w:r>
      <w:r w:rsidR="00EA60BF">
        <w:rPr>
          <w:rFonts w:ascii="Times New Roman" w:eastAsia="Times New Roman"/>
          <w:sz w:val="20"/>
          <w:szCs w:val="20"/>
          <w:vertAlign w:val="superscript"/>
        </w:rPr>
        <w:t>T</w:t>
      </w:r>
      <w:r w:rsidRPr="56E51CD7">
        <w:rPr>
          <w:rFonts w:ascii="Times New Roman" w:eastAsia="Times New Roman"/>
          <w:sz w:val="20"/>
          <w:szCs w:val="20"/>
          <w:vertAlign w:val="superscript"/>
        </w:rPr>
        <w:t>he last primary lead smelter</w:t>
      </w:r>
      <w:r w:rsidR="00EA60BF">
        <w:rPr>
          <w:rFonts w:ascii="Times New Roman" w:eastAsia="Times New Roman"/>
          <w:sz w:val="20"/>
          <w:szCs w:val="20"/>
          <w:vertAlign w:val="superscript"/>
        </w:rPr>
        <w:t xml:space="preserve"> closed</w:t>
      </w:r>
      <w:r w:rsidRPr="56E51CD7">
        <w:rPr>
          <w:rFonts w:ascii="Times New Roman" w:eastAsia="Times New Roman"/>
          <w:sz w:val="20"/>
          <w:szCs w:val="20"/>
          <w:vertAlign w:val="superscript"/>
        </w:rPr>
        <w:t xml:space="preserve"> in 2013</w:t>
      </w:r>
      <w:r w:rsidRPr="56E51CD7" w:rsidR="410A3DD8">
        <w:rPr>
          <w:rFonts w:ascii="Times New Roman" w:eastAsia="Times New Roman"/>
          <w:sz w:val="20"/>
          <w:szCs w:val="20"/>
          <w:vertAlign w:val="superscript"/>
        </w:rPr>
        <w:t xml:space="preserve"> and a secondary smelter, in South Carolina, in 2021</w:t>
      </w:r>
      <w:r w:rsidRPr="56E51CD7">
        <w:rPr>
          <w:rFonts w:ascii="Times New Roman" w:eastAsia="Times New Roman"/>
          <w:sz w:val="20"/>
          <w:szCs w:val="20"/>
          <w:vertAlign w:val="superscript"/>
        </w:rPr>
        <w:t>. (</w:t>
      </w:r>
      <w:r w:rsidRPr="56E51CD7">
        <w:rPr>
          <w:rFonts w:ascii="Times New Roman" w:eastAsia="Times New Roman"/>
          <w:i/>
          <w:iCs/>
          <w:sz w:val="20"/>
          <w:szCs w:val="20"/>
          <w:vertAlign w:val="superscript"/>
        </w:rPr>
        <w:t>See</w:t>
      </w:r>
      <w:r w:rsidRPr="56E51CD7">
        <w:rPr>
          <w:rFonts w:ascii="Times New Roman" w:eastAsia="Times New Roman"/>
          <w:sz w:val="20"/>
          <w:szCs w:val="20"/>
          <w:vertAlign w:val="superscript"/>
        </w:rPr>
        <w:t xml:space="preserve"> USGS’s “Mineral Commodity Summaries 20</w:t>
      </w:r>
      <w:r w:rsidRPr="56E51CD7" w:rsidR="7972C993">
        <w:rPr>
          <w:rFonts w:ascii="Times New Roman" w:eastAsia="Times New Roman"/>
          <w:sz w:val="20"/>
          <w:szCs w:val="20"/>
          <w:vertAlign w:val="superscript"/>
        </w:rPr>
        <w:t>22</w:t>
      </w:r>
      <w:r w:rsidRPr="56E51CD7">
        <w:rPr>
          <w:rFonts w:ascii="Times New Roman" w:eastAsia="Times New Roman"/>
          <w:sz w:val="20"/>
          <w:szCs w:val="20"/>
          <w:vertAlign w:val="superscript"/>
        </w:rPr>
        <w:t>,” (</w:t>
      </w:r>
      <w:r w:rsidRPr="56E51CD7">
        <w:rPr>
          <w:rFonts w:ascii="Times New Roman" w:eastAsia="Times New Roman"/>
          <w:sz w:val="20"/>
          <w:szCs w:val="20"/>
          <w:u w:val="single"/>
          <w:vertAlign w:val="superscript"/>
        </w:rPr>
        <w:t>https://minerals.usgs.gov/minerals/pubs/mcs/20</w:t>
      </w:r>
      <w:r w:rsidRPr="56E51CD7" w:rsidR="7972C993">
        <w:rPr>
          <w:rFonts w:ascii="Times New Roman" w:eastAsia="Times New Roman"/>
          <w:sz w:val="20"/>
          <w:szCs w:val="20"/>
          <w:u w:val="single"/>
          <w:vertAlign w:val="superscript"/>
        </w:rPr>
        <w:t>22</w:t>
      </w:r>
      <w:r w:rsidRPr="56E51CD7">
        <w:rPr>
          <w:rFonts w:ascii="Times New Roman" w:eastAsia="Times New Roman"/>
          <w:sz w:val="20"/>
          <w:szCs w:val="20"/>
          <w:u w:val="single"/>
          <w:vertAlign w:val="superscript"/>
        </w:rPr>
        <w:t>/mcs20</w:t>
      </w:r>
      <w:r w:rsidRPr="56E51CD7" w:rsidR="7972C993">
        <w:rPr>
          <w:rFonts w:ascii="Times New Roman" w:eastAsia="Times New Roman"/>
          <w:sz w:val="20"/>
          <w:szCs w:val="20"/>
          <w:u w:val="single"/>
          <w:vertAlign w:val="superscript"/>
        </w:rPr>
        <w:t>22</w:t>
      </w:r>
      <w:r w:rsidRPr="56E51CD7">
        <w:rPr>
          <w:rFonts w:ascii="Times New Roman" w:eastAsia="Times New Roman"/>
          <w:sz w:val="20"/>
          <w:szCs w:val="20"/>
          <w:u w:val="single"/>
          <w:vertAlign w:val="superscript"/>
        </w:rPr>
        <w:t>.pdf</w:t>
      </w:r>
      <w:r w:rsidRPr="56E51CD7">
        <w:rPr>
          <w:rFonts w:ascii="Times New Roman" w:eastAsia="Times New Roman"/>
          <w:sz w:val="20"/>
          <w:szCs w:val="20"/>
          <w:vertAlign w:val="superscript"/>
        </w:rPr>
        <w:t>)</w:t>
      </w:r>
      <w:r w:rsidR="009111BE">
        <w:rPr>
          <w:rFonts w:ascii="Times New Roman" w:eastAsia="Times New Roman"/>
          <w:sz w:val="20"/>
          <w:szCs w:val="20"/>
          <w:vertAlign w:val="superscript"/>
        </w:rPr>
        <w:t>)</w:t>
      </w:r>
      <w:r w:rsidR="009F58C7">
        <w:rPr>
          <w:rFonts w:ascii="Times New Roman" w:eastAsia="Times New Roman"/>
          <w:sz w:val="20"/>
          <w:szCs w:val="20"/>
          <w:vertAlign w:val="superscript"/>
        </w:rPr>
        <w:t xml:space="preserve"> and </w:t>
      </w:r>
      <w:hyperlink r:id="rId12" w:history="1">
        <w:r w:rsidRPr="009F58C7" w:rsidR="009F58C7">
          <w:rPr>
            <w:rStyle w:val="Hyperlink"/>
            <w:rFonts w:ascii="Times New Roman" w:eastAsia="Times New Roman"/>
            <w:sz w:val="20"/>
            <w:szCs w:val="20"/>
            <w:vertAlign w:val="superscript"/>
          </w:rPr>
          <w:t>mcs2025.pdf - Mineral Commodity Summaries 2025</w:t>
        </w:r>
      </w:hyperlink>
      <w:r w:rsidRPr="56E51CD7" w:rsidR="2DCCB2B3">
        <w:rPr>
          <w:rFonts w:ascii="Times New Roman" w:eastAsia="Times New Roman"/>
          <w:sz w:val="20"/>
          <w:szCs w:val="20"/>
          <w:vertAlign w:val="superscript"/>
        </w:rPr>
        <w:t>.</w:t>
      </w:r>
    </w:p>
    <w:p w:rsidR="00A50111" w:rsidRPr="001438C5" w:rsidP="56E51CD7" w14:paraId="7EDDE4D8" w14:textId="4BC87522">
      <w:pPr>
        <w:widowControl/>
        <w:ind w:firstLine="720"/>
        <w:rPr>
          <w:rFonts w:ascii="Times New Roman" w:eastAsia="Times New Roman"/>
          <w:sz w:val="20"/>
          <w:szCs w:val="20"/>
          <w:u w:val="single"/>
          <w:vertAlign w:val="superscript"/>
        </w:rPr>
      </w:pPr>
      <w:r w:rsidRPr="56E51CD7">
        <w:rPr>
          <w:rFonts w:ascii="Times New Roman" w:eastAsia="Times New Roman"/>
          <w:sz w:val="20"/>
          <w:szCs w:val="20"/>
          <w:vertAlign w:val="superscript"/>
        </w:rPr>
        <w:t>[iv] The USGS’s “Mineral Commodity Summaries 20</w:t>
      </w:r>
      <w:r w:rsidRPr="56E51CD7" w:rsidR="462024AD">
        <w:rPr>
          <w:rFonts w:ascii="Times New Roman" w:eastAsia="Times New Roman"/>
          <w:sz w:val="20"/>
          <w:szCs w:val="20"/>
          <w:vertAlign w:val="superscript"/>
        </w:rPr>
        <w:t>2</w:t>
      </w:r>
      <w:r w:rsidR="00FE3634">
        <w:rPr>
          <w:rFonts w:ascii="Times New Roman" w:eastAsia="Times New Roman"/>
          <w:sz w:val="20"/>
          <w:szCs w:val="20"/>
          <w:vertAlign w:val="superscript"/>
        </w:rPr>
        <w:t>5</w:t>
      </w:r>
      <w:r w:rsidRPr="56E51CD7">
        <w:rPr>
          <w:rFonts w:ascii="Times New Roman" w:eastAsia="Times New Roman"/>
          <w:sz w:val="20"/>
          <w:szCs w:val="20"/>
          <w:vertAlign w:val="superscript"/>
        </w:rPr>
        <w:t>”</w:t>
      </w:r>
      <w:r w:rsidR="00FE3634">
        <w:rPr>
          <w:rFonts w:ascii="Times New Roman" w:eastAsia="Times New Roman"/>
          <w:sz w:val="20"/>
          <w:szCs w:val="20"/>
          <w:vertAlign w:val="superscript"/>
        </w:rPr>
        <w:t xml:space="preserve"> did not report any </w:t>
      </w:r>
      <w:r w:rsidR="00486768">
        <w:rPr>
          <w:rFonts w:ascii="Times New Roman" w:eastAsia="Times New Roman"/>
          <w:sz w:val="20"/>
          <w:szCs w:val="20"/>
          <w:vertAlign w:val="superscript"/>
        </w:rPr>
        <w:t xml:space="preserve">changes to the number of </w:t>
      </w:r>
      <w:r w:rsidRPr="56E51CD7" w:rsidR="462024AD">
        <w:rPr>
          <w:rFonts w:ascii="Times New Roman" w:eastAsia="Times New Roman"/>
          <w:sz w:val="20"/>
          <w:szCs w:val="20"/>
          <w:vertAlign w:val="superscript"/>
        </w:rPr>
        <w:t xml:space="preserve">a </w:t>
      </w:r>
      <w:r w:rsidRPr="56E51CD7">
        <w:rPr>
          <w:rFonts w:ascii="Times New Roman" w:eastAsia="Times New Roman"/>
          <w:sz w:val="20"/>
          <w:szCs w:val="20"/>
          <w:vertAlign w:val="superscript"/>
        </w:rPr>
        <w:t xml:space="preserve">secondary lead </w:t>
      </w:r>
      <w:r w:rsidRPr="56E51CD7">
        <w:rPr>
          <w:rFonts w:ascii="Times New Roman" w:eastAsia="Times New Roman"/>
          <w:sz w:val="20"/>
          <w:szCs w:val="20"/>
          <w:vertAlign w:val="superscript"/>
        </w:rPr>
        <w:t>refiner</w:t>
      </w:r>
      <w:r w:rsidR="00486768">
        <w:rPr>
          <w:rFonts w:ascii="Times New Roman" w:eastAsia="Times New Roman"/>
          <w:sz w:val="20"/>
          <w:szCs w:val="20"/>
          <w:vertAlign w:val="superscript"/>
        </w:rPr>
        <w:t>ies</w:t>
      </w:r>
      <w:r w:rsidRPr="56E51CD7">
        <w:rPr>
          <w:rFonts w:ascii="Times New Roman" w:eastAsia="Times New Roman"/>
          <w:sz w:val="20"/>
          <w:szCs w:val="20"/>
          <w:vertAlign w:val="superscript"/>
        </w:rPr>
        <w:t xml:space="preserve">. </w:t>
      </w:r>
      <w:r w:rsidR="00EB0806">
        <w:rPr>
          <w:rFonts w:ascii="Times New Roman" w:eastAsia="Times New Roman"/>
          <w:sz w:val="20"/>
          <w:szCs w:val="20"/>
          <w:vertAlign w:val="superscript"/>
        </w:rPr>
        <w:t>Therefore</w:t>
      </w:r>
      <w:r w:rsidR="00EA60BF">
        <w:rPr>
          <w:rFonts w:ascii="Times New Roman" w:eastAsia="Times New Roman"/>
          <w:sz w:val="20"/>
          <w:szCs w:val="20"/>
          <w:vertAlign w:val="superscript"/>
        </w:rPr>
        <w:t>,</w:t>
      </w:r>
      <w:r w:rsidR="00EB0806">
        <w:rPr>
          <w:rFonts w:ascii="Times New Roman" w:eastAsia="Times New Roman"/>
          <w:sz w:val="20"/>
          <w:szCs w:val="20"/>
          <w:vertAlign w:val="superscript"/>
        </w:rPr>
        <w:t xml:space="preserve"> this IC</w:t>
      </w:r>
      <w:r w:rsidR="00486768">
        <w:rPr>
          <w:rFonts w:ascii="Times New Roman" w:eastAsia="Times New Roman"/>
          <w:sz w:val="20"/>
          <w:szCs w:val="20"/>
          <w:vertAlign w:val="superscript"/>
        </w:rPr>
        <w:t>R</w:t>
      </w:r>
      <w:r w:rsidR="00EB0806">
        <w:rPr>
          <w:rFonts w:ascii="Times New Roman" w:eastAsia="Times New Roman"/>
          <w:sz w:val="20"/>
          <w:szCs w:val="20"/>
          <w:vertAlign w:val="superscript"/>
        </w:rPr>
        <w:t xml:space="preserve"> maintains </w:t>
      </w:r>
      <w:r w:rsidR="00A8635C">
        <w:rPr>
          <w:rFonts w:ascii="Times New Roman" w:eastAsia="Times New Roman"/>
          <w:sz w:val="20"/>
          <w:szCs w:val="20"/>
          <w:vertAlign w:val="superscript"/>
        </w:rPr>
        <w:t>t</w:t>
      </w:r>
      <w:r w:rsidRPr="56E51CD7">
        <w:rPr>
          <w:rFonts w:ascii="Times New Roman" w:eastAsia="Times New Roman"/>
          <w:sz w:val="20"/>
          <w:szCs w:val="20"/>
          <w:vertAlign w:val="superscript"/>
        </w:rPr>
        <w:t>he  previous</w:t>
      </w:r>
      <w:r w:rsidRPr="56E51CD7">
        <w:rPr>
          <w:rFonts w:ascii="Times New Roman" w:eastAsia="Times New Roman"/>
          <w:sz w:val="20"/>
          <w:szCs w:val="20"/>
          <w:vertAlign w:val="superscript"/>
        </w:rPr>
        <w:t xml:space="preserve"> ICR</w:t>
      </w:r>
      <w:r w:rsidR="00AE0680">
        <w:rPr>
          <w:rFonts w:ascii="Times New Roman" w:eastAsia="Times New Roman"/>
          <w:sz w:val="20"/>
          <w:szCs w:val="20"/>
          <w:vertAlign w:val="superscript"/>
        </w:rPr>
        <w:t xml:space="preserve"> of 22.</w:t>
      </w:r>
      <w:r w:rsidRPr="56E51CD7">
        <w:rPr>
          <w:rFonts w:ascii="Times New Roman" w:eastAsia="Times New Roman"/>
          <w:sz w:val="20"/>
          <w:szCs w:val="20"/>
          <w:vertAlign w:val="superscript"/>
        </w:rPr>
        <w:t xml:space="preserve"> (</w:t>
      </w:r>
      <w:r w:rsidRPr="56E51CD7" w:rsidR="21EC9E3A">
        <w:rPr>
          <w:rFonts w:ascii="Times New Roman" w:eastAsia="Times New Roman"/>
          <w:i/>
          <w:iCs/>
          <w:sz w:val="20"/>
          <w:szCs w:val="20"/>
          <w:vertAlign w:val="superscript"/>
        </w:rPr>
        <w:t>See</w:t>
      </w:r>
      <w:r w:rsidR="00EA60BF">
        <w:rPr>
          <w:rFonts w:ascii="Times New Roman" w:eastAsia="Times New Roman"/>
          <w:i/>
          <w:iCs/>
          <w:sz w:val="20"/>
          <w:szCs w:val="20"/>
          <w:vertAlign w:val="superscript"/>
        </w:rPr>
        <w:t xml:space="preserve"> </w:t>
      </w:r>
      <w:hyperlink r:id="rId12" w:history="1">
        <w:r w:rsidRPr="00EA60BF" w:rsidR="00EA60BF">
          <w:rPr>
            <w:rStyle w:val="Hyperlink"/>
            <w:rFonts w:ascii="Times New Roman" w:eastAsia="Times New Roman"/>
            <w:sz w:val="20"/>
            <w:szCs w:val="20"/>
            <w:vertAlign w:val="superscript"/>
          </w:rPr>
          <w:t>mcs2025.pdf - Mineral Commodity Summaries 2025</w:t>
        </w:r>
      </w:hyperlink>
    </w:p>
    <w:p w:rsidR="00A50111" w:rsidRPr="00113EDF" w:rsidP="56E51CD7" w14:paraId="28FCCCCE" w14:textId="64426819">
      <w:pPr>
        <w:widowControl/>
        <w:ind w:firstLine="720"/>
        <w:rPr>
          <w:rFonts w:ascii="Times New Roman" w:eastAsia="Times New Roman"/>
          <w:sz w:val="20"/>
          <w:szCs w:val="20"/>
          <w:vertAlign w:val="superscript"/>
        </w:rPr>
      </w:pPr>
      <w:r w:rsidRPr="56E51CD7">
        <w:rPr>
          <w:rFonts w:ascii="Times New Roman" w:eastAsia="Times New Roman"/>
          <w:sz w:val="20"/>
          <w:szCs w:val="20"/>
          <w:vertAlign w:val="superscript"/>
        </w:rPr>
        <w:t>[v] Source: U.S. Geological Survey (USGS), “Mineral Commodity Summaries 20</w:t>
      </w:r>
      <w:r w:rsidRPr="56E51CD7" w:rsidR="361337EC">
        <w:rPr>
          <w:rFonts w:ascii="Times New Roman" w:eastAsia="Times New Roman"/>
          <w:sz w:val="20"/>
          <w:szCs w:val="20"/>
          <w:vertAlign w:val="superscript"/>
        </w:rPr>
        <w:t>2</w:t>
      </w:r>
      <w:r w:rsidR="00486768">
        <w:rPr>
          <w:rFonts w:ascii="Times New Roman" w:eastAsia="Times New Roman"/>
          <w:sz w:val="20"/>
          <w:szCs w:val="20"/>
          <w:vertAlign w:val="superscript"/>
        </w:rPr>
        <w:t>5</w:t>
      </w:r>
      <w:r w:rsidRPr="56E51CD7">
        <w:rPr>
          <w:rFonts w:ascii="Times New Roman" w:eastAsia="Times New Roman"/>
          <w:sz w:val="20"/>
          <w:szCs w:val="20"/>
          <w:vertAlign w:val="superscript"/>
        </w:rPr>
        <w:t>.”</w:t>
      </w:r>
      <w:r w:rsidRPr="56E51CD7" w:rsidR="2CD7BE93">
        <w:rPr>
          <w:rFonts w:ascii="Times New Roman" w:eastAsia="Times New Roman"/>
          <w:sz w:val="20"/>
          <w:szCs w:val="20"/>
          <w:vertAlign w:val="superscript"/>
        </w:rPr>
        <w:t xml:space="preserve"> </w:t>
      </w:r>
      <w:r w:rsidRPr="56E51CD7">
        <w:rPr>
          <w:rFonts w:ascii="Times New Roman" w:eastAsia="Times New Roman"/>
          <w:sz w:val="20"/>
          <w:szCs w:val="20"/>
          <w:vertAlign w:val="superscript"/>
        </w:rPr>
        <w:t>The USGS 20</w:t>
      </w:r>
      <w:r w:rsidRPr="56E51CD7" w:rsidR="361337EC">
        <w:rPr>
          <w:rFonts w:ascii="Times New Roman" w:eastAsia="Times New Roman"/>
          <w:sz w:val="20"/>
          <w:szCs w:val="20"/>
          <w:vertAlign w:val="superscript"/>
        </w:rPr>
        <w:t>2</w:t>
      </w:r>
      <w:r w:rsidR="000D4F0A">
        <w:rPr>
          <w:rFonts w:ascii="Times New Roman" w:eastAsia="Times New Roman"/>
          <w:sz w:val="20"/>
          <w:szCs w:val="20"/>
          <w:vertAlign w:val="superscript"/>
        </w:rPr>
        <w:t>5</w:t>
      </w:r>
      <w:r w:rsidRPr="56E51CD7">
        <w:rPr>
          <w:rFonts w:ascii="Times New Roman" w:eastAsia="Times New Roman"/>
          <w:sz w:val="20"/>
          <w:szCs w:val="20"/>
          <w:vertAlign w:val="superscript"/>
        </w:rPr>
        <w:t xml:space="preserve"> does not indicate the number of manufacturing plants that use lead. </w:t>
      </w:r>
      <w:r w:rsidRPr="009F58C7">
        <w:rPr>
          <w:rFonts w:ascii="Times New Roman" w:eastAsia="Times New Roman"/>
          <w:sz w:val="20"/>
          <w:szCs w:val="20"/>
          <w:vertAlign w:val="superscript"/>
        </w:rPr>
        <w:t>T</w:t>
      </w:r>
      <w:r w:rsidRPr="009F58C7" w:rsidR="5C296B7C">
        <w:rPr>
          <w:rFonts w:ascii="Times New Roman" w:eastAsia="Times New Roman"/>
          <w:sz w:val="20"/>
          <w:szCs w:val="20"/>
          <w:vertAlign w:val="superscript"/>
        </w:rPr>
        <w:t>h</w:t>
      </w:r>
      <w:r w:rsidRPr="009F58C7">
        <w:rPr>
          <w:rFonts w:ascii="Times New Roman" w:eastAsia="Times New Roman"/>
          <w:sz w:val="20"/>
          <w:szCs w:val="20"/>
          <w:vertAlign w:val="superscript"/>
        </w:rPr>
        <w:t xml:space="preserve">e </w:t>
      </w:r>
      <w:r w:rsidRPr="009F58C7" w:rsidR="5C296B7C">
        <w:rPr>
          <w:rFonts w:ascii="Times New Roman" w:eastAsia="Times New Roman"/>
          <w:sz w:val="20"/>
          <w:szCs w:val="20"/>
          <w:vertAlign w:val="superscript"/>
        </w:rPr>
        <w:t>a</w:t>
      </w:r>
      <w:r w:rsidRPr="009F58C7">
        <w:rPr>
          <w:rFonts w:ascii="Times New Roman" w:eastAsia="Times New Roman"/>
          <w:sz w:val="20"/>
          <w:szCs w:val="20"/>
          <w:vertAlign w:val="superscript"/>
        </w:rPr>
        <w:t>gency continues to assume that, as reported by the USGS in 2011, there are approximately 76 manufacturing plants consuming lead in the U.S.</w:t>
      </w:r>
      <w:r w:rsidRPr="56E51CD7">
        <w:rPr>
          <w:rFonts w:ascii="Times New Roman" w:eastAsia="Times New Roman"/>
          <w:sz w:val="20"/>
          <w:szCs w:val="20"/>
          <w:vertAlign w:val="superscript"/>
        </w:rPr>
        <w:t xml:space="preserve"> The lead-acid battery </w:t>
      </w:r>
      <w:r w:rsidRPr="56E51CD7">
        <w:rPr>
          <w:rFonts w:ascii="Times New Roman" w:eastAsia="Times New Roman"/>
          <w:sz w:val="20"/>
          <w:szCs w:val="20"/>
          <w:vertAlign w:val="superscript"/>
        </w:rPr>
        <w:t>industry accounted for more than 8</w:t>
      </w:r>
      <w:r w:rsidR="00AE3BB8">
        <w:rPr>
          <w:rFonts w:ascii="Times New Roman" w:eastAsia="Times New Roman"/>
          <w:sz w:val="20"/>
          <w:szCs w:val="20"/>
          <w:vertAlign w:val="superscript"/>
        </w:rPr>
        <w:t>6</w:t>
      </w:r>
      <w:r w:rsidRPr="56E51CD7">
        <w:rPr>
          <w:rFonts w:ascii="Times New Roman" w:eastAsia="Times New Roman"/>
          <w:sz w:val="20"/>
          <w:szCs w:val="20"/>
          <w:vertAlign w:val="superscript"/>
        </w:rPr>
        <w:t xml:space="preserve"> percent of the reported domestic lead consumption </w:t>
      </w:r>
      <w:r w:rsidR="00AE3BB8">
        <w:rPr>
          <w:rFonts w:ascii="Times New Roman" w:eastAsia="Times New Roman"/>
          <w:sz w:val="20"/>
          <w:szCs w:val="20"/>
          <w:vertAlign w:val="superscript"/>
        </w:rPr>
        <w:t>durin</w:t>
      </w:r>
      <w:r w:rsidR="000C2CF5">
        <w:rPr>
          <w:rFonts w:ascii="Times New Roman" w:eastAsia="Times New Roman"/>
          <w:sz w:val="20"/>
          <w:szCs w:val="20"/>
          <w:vertAlign w:val="superscript"/>
        </w:rPr>
        <w:t>g 2024</w:t>
      </w:r>
      <w:r w:rsidRPr="56E51CD7">
        <w:rPr>
          <w:rFonts w:ascii="Times New Roman" w:eastAsia="Times New Roman"/>
          <w:sz w:val="20"/>
          <w:szCs w:val="20"/>
          <w:vertAlign w:val="superscript"/>
        </w:rPr>
        <w:t xml:space="preserve"> (USGS, 20</w:t>
      </w:r>
      <w:r w:rsidR="000C2CF5">
        <w:rPr>
          <w:rFonts w:ascii="Times New Roman" w:eastAsia="Times New Roman"/>
          <w:sz w:val="20"/>
          <w:szCs w:val="20"/>
          <w:vertAlign w:val="superscript"/>
        </w:rPr>
        <w:t>25</w:t>
      </w:r>
      <w:r w:rsidRPr="56E51CD7">
        <w:rPr>
          <w:rFonts w:ascii="Times New Roman" w:eastAsia="Times New Roman"/>
          <w:sz w:val="20"/>
          <w:szCs w:val="20"/>
          <w:vertAlign w:val="superscript"/>
        </w:rPr>
        <w:t>).</w:t>
      </w:r>
      <w:r w:rsidRPr="56E51CD7" w:rsidR="2CD7BE93">
        <w:rPr>
          <w:rFonts w:ascii="Times New Roman" w:eastAsia="Times New Roman"/>
          <w:sz w:val="20"/>
          <w:szCs w:val="20"/>
          <w:vertAlign w:val="superscript"/>
        </w:rPr>
        <w:t xml:space="preserve"> </w:t>
      </w:r>
      <w:r w:rsidRPr="56E51CD7">
        <w:rPr>
          <w:rFonts w:ascii="Times New Roman" w:eastAsia="Times New Roman"/>
          <w:sz w:val="20"/>
          <w:szCs w:val="20"/>
          <w:vertAlign w:val="superscript"/>
        </w:rPr>
        <w:t xml:space="preserve">The </w:t>
      </w:r>
      <w:r w:rsidRPr="56E51CD7" w:rsidR="1418E47E">
        <w:rPr>
          <w:rFonts w:ascii="Times New Roman" w:eastAsia="Times New Roman"/>
          <w:sz w:val="20"/>
          <w:szCs w:val="20"/>
          <w:vertAlign w:val="superscript"/>
        </w:rPr>
        <w:t>a</w:t>
      </w:r>
      <w:r w:rsidRPr="56E51CD7">
        <w:rPr>
          <w:rFonts w:ascii="Times New Roman" w:eastAsia="Times New Roman"/>
          <w:sz w:val="20"/>
          <w:szCs w:val="20"/>
          <w:vertAlign w:val="superscript"/>
        </w:rPr>
        <w:t xml:space="preserve">gency assumed that </w:t>
      </w:r>
      <w:r w:rsidR="00BF230B">
        <w:rPr>
          <w:rFonts w:ascii="Times New Roman" w:eastAsia="Times New Roman"/>
          <w:sz w:val="20"/>
          <w:szCs w:val="20"/>
          <w:vertAlign w:val="superscript"/>
        </w:rPr>
        <w:t>86</w:t>
      </w:r>
      <w:r w:rsidRPr="56E51CD7">
        <w:rPr>
          <w:rFonts w:ascii="Times New Roman" w:eastAsia="Times New Roman"/>
          <w:sz w:val="20"/>
          <w:szCs w:val="20"/>
          <w:vertAlign w:val="superscript"/>
        </w:rPr>
        <w:t xml:space="preserve"> percent of the</w:t>
      </w:r>
      <w:r w:rsidR="00486768">
        <w:rPr>
          <w:rFonts w:ascii="Times New Roman" w:eastAsia="Times New Roman"/>
          <w:sz w:val="20"/>
          <w:szCs w:val="20"/>
          <w:vertAlign w:val="superscript"/>
        </w:rPr>
        <w:t xml:space="preserve"> 7</w:t>
      </w:r>
      <w:r w:rsidR="00EA60BF">
        <w:rPr>
          <w:rFonts w:ascii="Times New Roman" w:eastAsia="Times New Roman"/>
          <w:sz w:val="20"/>
          <w:szCs w:val="20"/>
          <w:vertAlign w:val="superscript"/>
        </w:rPr>
        <w:t xml:space="preserve">6 </w:t>
      </w:r>
      <w:r w:rsidRPr="56E51CD7">
        <w:rPr>
          <w:rFonts w:ascii="Times New Roman" w:eastAsia="Times New Roman"/>
          <w:sz w:val="20"/>
          <w:szCs w:val="20"/>
          <w:vertAlign w:val="superscript"/>
        </w:rPr>
        <w:t xml:space="preserve">manufacturing facilities </w:t>
      </w:r>
      <w:r w:rsidR="001F13D6">
        <w:rPr>
          <w:rFonts w:ascii="Times New Roman" w:eastAsia="Times New Roman"/>
          <w:sz w:val="20"/>
          <w:szCs w:val="20"/>
          <w:vertAlign w:val="superscript"/>
        </w:rPr>
        <w:t>are</w:t>
      </w:r>
      <w:r w:rsidRPr="56E51CD7">
        <w:rPr>
          <w:rFonts w:ascii="Times New Roman" w:eastAsia="Times New Roman"/>
          <w:sz w:val="20"/>
          <w:szCs w:val="20"/>
          <w:vertAlign w:val="superscript"/>
        </w:rPr>
        <w:t xml:space="preserve"> in the lead-acid battery industry. (</w:t>
      </w:r>
      <w:r w:rsidRPr="56E51CD7">
        <w:rPr>
          <w:rFonts w:ascii="Times New Roman" w:eastAsia="Times New Roman"/>
          <w:i/>
          <w:iCs/>
          <w:sz w:val="20"/>
          <w:szCs w:val="20"/>
          <w:vertAlign w:val="superscript"/>
        </w:rPr>
        <w:t>See</w:t>
      </w:r>
      <w:r w:rsidRPr="56E51CD7" w:rsidR="2CD7BE93">
        <w:rPr>
          <w:rFonts w:ascii="Times New Roman" w:eastAsia="Times New Roman"/>
          <w:sz w:val="20"/>
          <w:szCs w:val="20"/>
          <w:vertAlign w:val="superscript"/>
        </w:rPr>
        <w:t xml:space="preserve"> </w:t>
      </w:r>
      <w:hyperlink r:id="rId13">
        <w:r w:rsidRPr="56E51CD7" w:rsidR="61FDD6D6">
          <w:rPr>
            <w:rStyle w:val="Hyperlink"/>
            <w:rFonts w:ascii="Times New Roman" w:eastAsia="Times New Roman"/>
            <w:sz w:val="20"/>
            <w:szCs w:val="20"/>
            <w:vertAlign w:val="superscript"/>
          </w:rPr>
          <w:t>http://minerals.usgs.gov/minerals/pubs/mcs/2011/mcs2011.pdf</w:t>
        </w:r>
      </w:hyperlink>
      <w:r w:rsidR="009F58C7">
        <w:t xml:space="preserve"> </w:t>
      </w:r>
      <w:r w:rsidRPr="56E51CD7" w:rsidR="2DCCB2B3">
        <w:rPr>
          <w:rFonts w:ascii="Times New Roman" w:eastAsia="Times New Roman"/>
          <w:sz w:val="20"/>
          <w:szCs w:val="20"/>
          <w:vertAlign w:val="superscript"/>
        </w:rPr>
        <w:t>and</w:t>
      </w:r>
      <w:r w:rsidR="009F58C7">
        <w:rPr>
          <w:rFonts w:ascii="Times New Roman" w:eastAsia="Times New Roman"/>
          <w:sz w:val="20"/>
          <w:szCs w:val="20"/>
          <w:vertAlign w:val="superscript"/>
        </w:rPr>
        <w:t xml:space="preserve"> </w:t>
      </w:r>
      <w:hyperlink r:id="rId12" w:history="1">
        <w:r w:rsidRPr="009F58C7" w:rsidR="009F58C7">
          <w:rPr>
            <w:rStyle w:val="Hyperlink"/>
            <w:rFonts w:ascii="Times New Roman" w:eastAsia="Times New Roman"/>
            <w:sz w:val="20"/>
            <w:szCs w:val="20"/>
            <w:vertAlign w:val="superscript"/>
          </w:rPr>
          <w:t>mcs2025.pdf - Mineral Commodity Summaries 2025</w:t>
        </w:r>
      </w:hyperlink>
      <w:r w:rsidR="007A4126">
        <w:rPr>
          <w:rFonts w:ascii="Times New Roman" w:eastAsia="Times New Roman"/>
          <w:sz w:val="20"/>
          <w:szCs w:val="20"/>
          <w:vertAlign w:val="superscript"/>
        </w:rPr>
        <w:t xml:space="preserve"> .</w:t>
      </w:r>
    </w:p>
    <w:p w:rsidR="00A50111" w:rsidRPr="00113EDF" w:rsidP="56E51CD7" w14:paraId="37A50053" w14:textId="17688977">
      <w:pPr>
        <w:widowControl/>
        <w:ind w:firstLine="720"/>
        <w:rPr>
          <w:rFonts w:ascii="Times New Roman" w:eastAsia="Times New Roman"/>
          <w:sz w:val="20"/>
          <w:szCs w:val="20"/>
          <w:vertAlign w:val="superscript"/>
        </w:rPr>
      </w:pPr>
      <w:r w:rsidRPr="56E51CD7">
        <w:rPr>
          <w:rFonts w:ascii="Times New Roman" w:eastAsia="Times New Roman"/>
          <w:sz w:val="20"/>
          <w:szCs w:val="20"/>
          <w:vertAlign w:val="superscript"/>
        </w:rPr>
        <w:t>[vi] According to the U.S. Census County Business Pattern (CBP) data for 20</w:t>
      </w:r>
      <w:r w:rsidR="00714F1E">
        <w:rPr>
          <w:rFonts w:ascii="Times New Roman" w:eastAsia="Times New Roman"/>
          <w:sz w:val="20"/>
          <w:szCs w:val="20"/>
          <w:vertAlign w:val="superscript"/>
        </w:rPr>
        <w:t>2</w:t>
      </w:r>
      <w:r w:rsidR="005566DC">
        <w:rPr>
          <w:rFonts w:ascii="Times New Roman" w:eastAsia="Times New Roman"/>
          <w:sz w:val="20"/>
          <w:szCs w:val="20"/>
          <w:vertAlign w:val="superscript"/>
        </w:rPr>
        <w:t>1</w:t>
      </w:r>
      <w:r w:rsidRPr="56E51CD7">
        <w:rPr>
          <w:rFonts w:ascii="Times New Roman" w:eastAsia="Times New Roman"/>
          <w:sz w:val="20"/>
          <w:szCs w:val="20"/>
          <w:vertAlign w:val="superscript"/>
        </w:rPr>
        <w:t>, the</w:t>
      </w:r>
      <w:r w:rsidRPr="56E51CD7" w:rsidR="361408E8">
        <w:rPr>
          <w:rFonts w:ascii="Times New Roman" w:eastAsia="Times New Roman"/>
          <w:sz w:val="20"/>
          <w:szCs w:val="20"/>
          <w:vertAlign w:val="superscript"/>
        </w:rPr>
        <w:t>re were</w:t>
      </w:r>
      <w:r w:rsidR="00A34941">
        <w:rPr>
          <w:rFonts w:ascii="Times New Roman" w:eastAsia="Times New Roman"/>
          <w:sz w:val="20"/>
          <w:szCs w:val="20"/>
          <w:vertAlign w:val="superscript"/>
        </w:rPr>
        <w:t xml:space="preserve"> </w:t>
      </w:r>
      <w:r w:rsidRPr="009F58C7" w:rsidR="000738A2">
        <w:rPr>
          <w:rFonts w:ascii="Times New Roman" w:eastAsia="Times New Roman"/>
          <w:sz w:val="20"/>
          <w:szCs w:val="20"/>
          <w:vertAlign w:val="superscript"/>
        </w:rPr>
        <w:t>343</w:t>
      </w:r>
      <w:r w:rsidRPr="009F58C7">
        <w:rPr>
          <w:rFonts w:ascii="Times New Roman" w:eastAsia="Times New Roman"/>
          <w:sz w:val="20"/>
          <w:szCs w:val="20"/>
          <w:vertAlign w:val="superscript"/>
        </w:rPr>
        <w:t xml:space="preserve"> e</w:t>
      </w:r>
      <w:r w:rsidRPr="56E51CD7">
        <w:rPr>
          <w:rFonts w:ascii="Times New Roman" w:eastAsia="Times New Roman"/>
          <w:sz w:val="20"/>
          <w:szCs w:val="20"/>
          <w:vertAlign w:val="superscript"/>
        </w:rPr>
        <w:t xml:space="preserve">stablishments in NAICS 331523 Nonferrous Metal Die-Casting Foundries and </w:t>
      </w:r>
      <w:r w:rsidRPr="009F58C7" w:rsidR="0076367A">
        <w:rPr>
          <w:rFonts w:ascii="Times New Roman" w:eastAsia="Times New Roman"/>
          <w:sz w:val="20"/>
          <w:szCs w:val="20"/>
          <w:vertAlign w:val="superscript"/>
        </w:rPr>
        <w:t>234</w:t>
      </w:r>
      <w:r w:rsidR="0076367A">
        <w:rPr>
          <w:rFonts w:ascii="Times New Roman" w:eastAsia="Times New Roman"/>
          <w:sz w:val="20"/>
          <w:szCs w:val="20"/>
          <w:vertAlign w:val="superscript"/>
        </w:rPr>
        <w:t xml:space="preserve"> </w:t>
      </w:r>
      <w:r w:rsidRPr="56E51CD7" w:rsidR="493C4A6A">
        <w:rPr>
          <w:rFonts w:ascii="Times New Roman" w:eastAsia="Times New Roman"/>
          <w:sz w:val="20"/>
          <w:szCs w:val="20"/>
          <w:vertAlign w:val="superscript"/>
        </w:rPr>
        <w:t xml:space="preserve">establishments in </w:t>
      </w:r>
      <w:r w:rsidRPr="56E51CD7">
        <w:rPr>
          <w:rFonts w:ascii="Times New Roman" w:eastAsia="Times New Roman"/>
          <w:sz w:val="20"/>
          <w:szCs w:val="20"/>
          <w:vertAlign w:val="superscript"/>
        </w:rPr>
        <w:t>NAICS 331529 Other Nonferrous Metal Foundries (except Die-Casting)</w:t>
      </w:r>
      <w:r w:rsidRPr="56E51CD7" w:rsidR="493C4A6A">
        <w:rPr>
          <w:rFonts w:ascii="Times New Roman" w:eastAsia="Times New Roman"/>
          <w:sz w:val="20"/>
          <w:szCs w:val="20"/>
          <w:vertAlign w:val="superscript"/>
        </w:rPr>
        <w:t xml:space="preserve">, for a total of </w:t>
      </w:r>
      <w:r w:rsidR="00820B11">
        <w:rPr>
          <w:rFonts w:ascii="Times New Roman" w:eastAsia="Times New Roman"/>
          <w:sz w:val="20"/>
          <w:szCs w:val="20"/>
          <w:vertAlign w:val="superscript"/>
        </w:rPr>
        <w:t>577</w:t>
      </w:r>
      <w:r w:rsidRPr="56E51CD7" w:rsidR="0076C1F9">
        <w:rPr>
          <w:rFonts w:ascii="Times New Roman" w:eastAsia="Times New Roman"/>
          <w:sz w:val="20"/>
          <w:szCs w:val="20"/>
          <w:vertAlign w:val="superscript"/>
        </w:rPr>
        <w:t xml:space="preserve"> establishments.</w:t>
      </w:r>
      <w:r w:rsidRPr="56E51CD7">
        <w:rPr>
          <w:rFonts w:ascii="Times New Roman" w:eastAsia="Times New Roman"/>
          <w:sz w:val="20"/>
          <w:szCs w:val="20"/>
          <w:vertAlign w:val="superscript"/>
        </w:rPr>
        <w:t xml:space="preserve"> This represents a</w:t>
      </w:r>
      <w:r w:rsidRPr="56E51CD7" w:rsidR="65121D77">
        <w:rPr>
          <w:rFonts w:ascii="Times New Roman" w:eastAsia="Times New Roman"/>
          <w:sz w:val="20"/>
          <w:szCs w:val="20"/>
          <w:vertAlign w:val="superscript"/>
        </w:rPr>
        <w:t xml:space="preserve">n </w:t>
      </w:r>
      <w:r w:rsidR="00D46BC8">
        <w:rPr>
          <w:rFonts w:ascii="Times New Roman" w:eastAsia="Times New Roman"/>
          <w:sz w:val="20"/>
          <w:szCs w:val="20"/>
          <w:vertAlign w:val="superscript"/>
        </w:rPr>
        <w:t>approxim</w:t>
      </w:r>
      <w:r w:rsidR="00F86342">
        <w:rPr>
          <w:rFonts w:ascii="Times New Roman" w:eastAsia="Times New Roman"/>
          <w:sz w:val="20"/>
          <w:szCs w:val="20"/>
          <w:vertAlign w:val="superscript"/>
        </w:rPr>
        <w:t xml:space="preserve">ate </w:t>
      </w:r>
      <w:r w:rsidRPr="56E51CD7" w:rsidR="7E5E8F7D">
        <w:rPr>
          <w:rFonts w:ascii="Times New Roman" w:eastAsia="Times New Roman"/>
          <w:sz w:val="20"/>
          <w:szCs w:val="20"/>
          <w:vertAlign w:val="superscript"/>
        </w:rPr>
        <w:t>8.</w:t>
      </w:r>
      <w:r w:rsidR="00D46BC8">
        <w:rPr>
          <w:rFonts w:ascii="Times New Roman" w:eastAsia="Times New Roman"/>
          <w:sz w:val="20"/>
          <w:szCs w:val="20"/>
          <w:vertAlign w:val="superscript"/>
        </w:rPr>
        <w:t>41</w:t>
      </w:r>
      <w:r w:rsidRPr="56E51CD7">
        <w:rPr>
          <w:rFonts w:ascii="Times New Roman" w:eastAsia="Times New Roman"/>
          <w:sz w:val="20"/>
          <w:szCs w:val="20"/>
          <w:vertAlign w:val="superscript"/>
        </w:rPr>
        <w:t xml:space="preserve"> percent decrease in the number of establishments from 201</w:t>
      </w:r>
      <w:r w:rsidR="00F86342">
        <w:rPr>
          <w:rFonts w:ascii="Times New Roman" w:eastAsia="Times New Roman"/>
          <w:sz w:val="20"/>
          <w:szCs w:val="20"/>
          <w:vertAlign w:val="superscript"/>
        </w:rPr>
        <w:t>9</w:t>
      </w:r>
      <w:r w:rsidRPr="56E51CD7">
        <w:rPr>
          <w:rFonts w:ascii="Times New Roman" w:eastAsia="Times New Roman"/>
          <w:sz w:val="20"/>
          <w:szCs w:val="20"/>
          <w:vertAlign w:val="superscript"/>
        </w:rPr>
        <w:t xml:space="preserve"> data</w:t>
      </w:r>
      <w:r w:rsidRPr="56E51CD7" w:rsidR="01F81C3D">
        <w:rPr>
          <w:rFonts w:ascii="Times New Roman" w:eastAsia="Times New Roman"/>
          <w:sz w:val="20"/>
          <w:szCs w:val="20"/>
          <w:vertAlign w:val="superscript"/>
        </w:rPr>
        <w:t xml:space="preserve"> (6</w:t>
      </w:r>
      <w:r w:rsidR="00676120">
        <w:rPr>
          <w:rFonts w:ascii="Times New Roman" w:eastAsia="Times New Roman"/>
          <w:sz w:val="20"/>
          <w:szCs w:val="20"/>
          <w:vertAlign w:val="superscript"/>
        </w:rPr>
        <w:t>30</w:t>
      </w:r>
      <w:r w:rsidRPr="56E51CD7" w:rsidR="01F81C3D">
        <w:rPr>
          <w:rFonts w:ascii="Times New Roman" w:eastAsia="Times New Roman"/>
          <w:sz w:val="20"/>
          <w:szCs w:val="20"/>
          <w:vertAlign w:val="superscript"/>
        </w:rPr>
        <w:t xml:space="preserve"> establishments)</w:t>
      </w:r>
      <w:r w:rsidRPr="56E51CD7">
        <w:rPr>
          <w:rFonts w:ascii="Times New Roman" w:eastAsia="Times New Roman"/>
          <w:sz w:val="20"/>
          <w:szCs w:val="20"/>
          <w:vertAlign w:val="superscript"/>
        </w:rPr>
        <w:t>.</w:t>
      </w:r>
      <w:r w:rsidRPr="00023EDA" w:rsidR="00023EDA">
        <w:rPr>
          <w:rFonts w:ascii="Times New Roman" w:eastAsia="Times New Roman"/>
          <w:sz w:val="20"/>
          <w:szCs w:val="20"/>
        </w:rPr>
        <w:t xml:space="preserve"> </w:t>
      </w:r>
      <w:r w:rsidRPr="00023EDA" w:rsidR="00023EDA">
        <w:rPr>
          <w:rFonts w:ascii="Times New Roman" w:eastAsia="Times New Roman"/>
          <w:sz w:val="20"/>
          <w:szCs w:val="20"/>
          <w:vertAlign w:val="superscript"/>
        </w:rPr>
        <w:t>The Agency applied th</w:t>
      </w:r>
      <w:r w:rsidR="0090443E">
        <w:rPr>
          <w:rFonts w:ascii="Times New Roman" w:eastAsia="Times New Roman"/>
          <w:sz w:val="20"/>
          <w:szCs w:val="20"/>
          <w:vertAlign w:val="superscript"/>
        </w:rPr>
        <w:t xml:space="preserve">e 8.41% </w:t>
      </w:r>
      <w:r w:rsidR="003D498C">
        <w:rPr>
          <w:rFonts w:ascii="Times New Roman" w:eastAsia="Times New Roman"/>
          <w:sz w:val="20"/>
          <w:szCs w:val="20"/>
          <w:vertAlign w:val="superscript"/>
        </w:rPr>
        <w:t>de</w:t>
      </w:r>
      <w:r w:rsidRPr="00023EDA" w:rsidR="003D498C">
        <w:rPr>
          <w:rFonts w:ascii="Times New Roman" w:eastAsia="Times New Roman"/>
          <w:sz w:val="20"/>
          <w:szCs w:val="20"/>
          <w:vertAlign w:val="superscript"/>
        </w:rPr>
        <w:t>crease</w:t>
      </w:r>
      <w:r w:rsidRPr="00023EDA" w:rsidR="00023EDA">
        <w:rPr>
          <w:rFonts w:ascii="Times New Roman" w:eastAsia="Times New Roman"/>
          <w:sz w:val="20"/>
          <w:szCs w:val="20"/>
          <w:vertAlign w:val="superscript"/>
        </w:rPr>
        <w:t xml:space="preserve"> to the 20</w:t>
      </w:r>
      <w:r w:rsidR="00023EDA">
        <w:rPr>
          <w:rFonts w:ascii="Times New Roman" w:eastAsia="Times New Roman"/>
          <w:sz w:val="20"/>
          <w:szCs w:val="20"/>
          <w:vertAlign w:val="superscript"/>
        </w:rPr>
        <w:t>23</w:t>
      </w:r>
      <w:r w:rsidRPr="00023EDA" w:rsidR="00023EDA">
        <w:rPr>
          <w:rFonts w:ascii="Times New Roman" w:eastAsia="Times New Roman"/>
          <w:sz w:val="20"/>
          <w:szCs w:val="20"/>
          <w:vertAlign w:val="superscript"/>
        </w:rPr>
        <w:t xml:space="preserve"> ICR facilities estimate</w:t>
      </w:r>
      <w:r w:rsidRPr="56E51CD7" w:rsidR="2CD7BE93">
        <w:rPr>
          <w:rFonts w:ascii="Times New Roman" w:eastAsia="Times New Roman"/>
          <w:sz w:val="20"/>
          <w:szCs w:val="20"/>
          <w:vertAlign w:val="superscript"/>
        </w:rPr>
        <w:t xml:space="preserve"> </w:t>
      </w:r>
      <w:r w:rsidR="00531463">
        <w:rPr>
          <w:rFonts w:ascii="Times New Roman" w:eastAsia="Times New Roman"/>
          <w:sz w:val="20"/>
          <w:szCs w:val="20"/>
          <w:vertAlign w:val="superscript"/>
        </w:rPr>
        <w:t>(609)</w:t>
      </w:r>
      <w:r w:rsidRPr="56E51CD7">
        <w:rPr>
          <w:rFonts w:ascii="Times New Roman" w:eastAsia="Times New Roman"/>
          <w:sz w:val="20"/>
          <w:szCs w:val="20"/>
          <w:vertAlign w:val="superscript"/>
        </w:rPr>
        <w:t xml:space="preserve">. </w:t>
      </w:r>
      <w:r w:rsidRPr="56E51CD7" w:rsidR="73FF0B8D">
        <w:rPr>
          <w:rFonts w:ascii="Times New Roman" w:eastAsia="Times New Roman"/>
          <w:sz w:val="20"/>
          <w:szCs w:val="20"/>
          <w:vertAlign w:val="superscript"/>
        </w:rPr>
        <w:t>(</w:t>
      </w:r>
      <w:r w:rsidRPr="56E51CD7" w:rsidR="73FF0B8D">
        <w:rPr>
          <w:rFonts w:ascii="Times New Roman" w:eastAsia="Times New Roman"/>
          <w:i/>
          <w:iCs/>
          <w:sz w:val="20"/>
          <w:szCs w:val="20"/>
          <w:vertAlign w:val="superscript"/>
        </w:rPr>
        <w:t>See</w:t>
      </w:r>
      <w:r w:rsidRPr="56E51CD7" w:rsidR="73FF0B8D">
        <w:rPr>
          <w:rFonts w:ascii="Times New Roman" w:eastAsia="Times New Roman"/>
          <w:sz w:val="20"/>
          <w:szCs w:val="20"/>
          <w:vertAlign w:val="superscript"/>
        </w:rPr>
        <w:t xml:space="preserve"> </w:t>
      </w:r>
      <w:hyperlink r:id="rId14" w:history="1">
        <w:r w:rsidRPr="00831A33" w:rsidR="6A5CE1C8">
          <w:rPr>
            <w:rStyle w:val="Hyperlink"/>
            <w:rFonts w:ascii="Times New Roman" w:eastAsia="Times New Roman"/>
            <w:sz w:val="20"/>
            <w:szCs w:val="20"/>
            <w:vertAlign w:val="superscript"/>
          </w:rPr>
          <w:t>https://www.census.gov/programs-surveys/cbp/data/tables.All.List_1592946817.html)</w:t>
        </w:r>
      </w:hyperlink>
    </w:p>
    <w:p w:rsidR="00A50111" w:rsidRPr="009111BE" w:rsidP="56E51CD7" w14:paraId="0D1784CE" w14:textId="02D1E3D0">
      <w:pPr>
        <w:widowControl/>
        <w:ind w:firstLine="720"/>
        <w:rPr>
          <w:rFonts w:ascii="Times New Roman" w:eastAsia="Times New Roman"/>
          <w:sz w:val="20"/>
          <w:szCs w:val="20"/>
          <w:vertAlign w:val="superscript"/>
        </w:rPr>
      </w:pPr>
      <w:r w:rsidRPr="009111BE">
        <w:rPr>
          <w:rFonts w:ascii="Times New Roman" w:eastAsia="Times New Roman"/>
          <w:sz w:val="20"/>
          <w:szCs w:val="20"/>
          <w:vertAlign w:val="superscript"/>
        </w:rPr>
        <w:t>[vii] According to the U.S. Census County Business Pattern, 20</w:t>
      </w:r>
      <w:r w:rsidRPr="009111BE" w:rsidR="005E76D9">
        <w:rPr>
          <w:rFonts w:ascii="Times New Roman" w:eastAsia="Times New Roman"/>
          <w:sz w:val="20"/>
          <w:szCs w:val="20"/>
          <w:vertAlign w:val="superscript"/>
        </w:rPr>
        <w:t>21</w:t>
      </w:r>
      <w:r w:rsidRPr="009111BE">
        <w:rPr>
          <w:rFonts w:ascii="Times New Roman" w:eastAsia="Times New Roman"/>
          <w:sz w:val="20"/>
          <w:szCs w:val="20"/>
          <w:vertAlign w:val="superscript"/>
        </w:rPr>
        <w:t xml:space="preserve">, there were </w:t>
      </w:r>
      <w:r w:rsidRPr="009111BE" w:rsidR="2438D010">
        <w:rPr>
          <w:rFonts w:ascii="Times New Roman" w:eastAsia="Times New Roman"/>
          <w:sz w:val="20"/>
          <w:szCs w:val="20"/>
          <w:vertAlign w:val="superscript"/>
        </w:rPr>
        <w:t>13</w:t>
      </w:r>
      <w:r w:rsidRPr="009111BE" w:rsidR="005E76D9">
        <w:rPr>
          <w:rFonts w:ascii="Times New Roman" w:eastAsia="Times New Roman"/>
          <w:sz w:val="20"/>
          <w:szCs w:val="20"/>
          <w:vertAlign w:val="superscript"/>
        </w:rPr>
        <w:t>5</w:t>
      </w:r>
      <w:r w:rsidRPr="009111BE">
        <w:rPr>
          <w:rFonts w:ascii="Times New Roman" w:eastAsia="Times New Roman"/>
          <w:sz w:val="20"/>
          <w:szCs w:val="20"/>
          <w:vertAlign w:val="superscript"/>
        </w:rPr>
        <w:t xml:space="preserve"> total establishments in the NAICS 325130 </w:t>
      </w:r>
      <w:r w:rsidRPr="009111BE" w:rsidR="2438D010">
        <w:rPr>
          <w:rFonts w:ascii="Times New Roman" w:eastAsia="Times New Roman"/>
          <w:sz w:val="20"/>
          <w:szCs w:val="20"/>
          <w:vertAlign w:val="superscript"/>
        </w:rPr>
        <w:t>Synthetic</w:t>
      </w:r>
      <w:r w:rsidRPr="009111BE">
        <w:rPr>
          <w:rFonts w:ascii="Times New Roman" w:eastAsia="Times New Roman"/>
          <w:sz w:val="20"/>
          <w:szCs w:val="20"/>
          <w:vertAlign w:val="superscript"/>
        </w:rPr>
        <w:t xml:space="preserve"> dye and pigment manufacturing industry in 20</w:t>
      </w:r>
      <w:r w:rsidRPr="009111BE" w:rsidR="005E76D9">
        <w:rPr>
          <w:rFonts w:ascii="Times New Roman" w:eastAsia="Times New Roman"/>
          <w:sz w:val="20"/>
          <w:szCs w:val="20"/>
          <w:vertAlign w:val="superscript"/>
        </w:rPr>
        <w:t>21</w:t>
      </w:r>
      <w:r w:rsidRPr="009111BE">
        <w:rPr>
          <w:rFonts w:ascii="Times New Roman" w:eastAsia="Times New Roman"/>
          <w:sz w:val="20"/>
          <w:szCs w:val="20"/>
          <w:vertAlign w:val="superscript"/>
        </w:rPr>
        <w:t xml:space="preserve">. The </w:t>
      </w:r>
      <w:r w:rsidRPr="009111BE" w:rsidR="1FC06749">
        <w:rPr>
          <w:rFonts w:ascii="Times New Roman" w:eastAsia="Times New Roman"/>
          <w:sz w:val="20"/>
          <w:szCs w:val="20"/>
          <w:vertAlign w:val="superscript"/>
        </w:rPr>
        <w:t>a</w:t>
      </w:r>
      <w:r w:rsidRPr="009111BE">
        <w:rPr>
          <w:rFonts w:ascii="Times New Roman" w:eastAsia="Times New Roman"/>
          <w:sz w:val="20"/>
          <w:szCs w:val="20"/>
          <w:vertAlign w:val="superscript"/>
        </w:rPr>
        <w:t xml:space="preserve">gency is unable to locate data regarding the number of firms manufacturing lead-containing pigment (or the extent to which this pigment is used today, if at all), </w:t>
      </w:r>
      <w:r w:rsidRPr="009111BE" w:rsidR="00A61C1D">
        <w:rPr>
          <w:rFonts w:ascii="Times New Roman" w:eastAsia="Times New Roman"/>
          <w:sz w:val="20"/>
          <w:szCs w:val="20"/>
          <w:vertAlign w:val="superscript"/>
        </w:rPr>
        <w:t>however, it</w:t>
      </w:r>
      <w:r w:rsidRPr="009111BE" w:rsidR="009F58C7">
        <w:rPr>
          <w:rFonts w:ascii="Times New Roman" w:eastAsia="Times New Roman"/>
          <w:sz w:val="20"/>
          <w:szCs w:val="20"/>
          <w:vertAlign w:val="superscript"/>
        </w:rPr>
        <w:t xml:space="preserve"> is assumed </w:t>
      </w:r>
      <w:r w:rsidRPr="009111BE">
        <w:rPr>
          <w:rFonts w:ascii="Times New Roman" w:eastAsia="Times New Roman"/>
          <w:sz w:val="20"/>
          <w:szCs w:val="20"/>
          <w:vertAlign w:val="superscript"/>
        </w:rPr>
        <w:t xml:space="preserve">that manufacturing and use have declined significantly in recent years given government regulation and public health concerns. The U.S. Geological Survey (USGS), “Mineral Commodity Summaries 2009” reported that in 2008 about 10 percent of lead was used in ammunition; casting material; sheets (including radiation shielding), </w:t>
      </w:r>
      <w:r w:rsidRPr="009111BE">
        <w:rPr>
          <w:rFonts w:ascii="Times New Roman" w:eastAsia="Times New Roman"/>
          <w:sz w:val="20"/>
          <w:szCs w:val="20"/>
          <w:vertAlign w:val="superscript"/>
        </w:rPr>
        <w:t>pipes, traps and extruded products; cable covering, caulking lead, and building construction; solder; and oxides for glass, ceramics, pigments, and chemicals.</w:t>
      </w:r>
      <w:r w:rsidRPr="009111BE" w:rsidR="00D120EE">
        <w:rPr>
          <w:rFonts w:ascii="Times New Roman" w:eastAsia="Times New Roman"/>
          <w:sz w:val="20"/>
          <w:szCs w:val="20"/>
          <w:vertAlign w:val="superscript"/>
        </w:rPr>
        <w:t xml:space="preserve"> The 2009 Mineral Commodity Summary was the last Summary that contained the 10% breakout</w:t>
      </w:r>
      <w:r w:rsidRPr="009111BE" w:rsidR="009F58C7">
        <w:rPr>
          <w:rFonts w:ascii="Times New Roman" w:eastAsia="Times New Roman"/>
          <w:sz w:val="20"/>
          <w:szCs w:val="20"/>
          <w:vertAlign w:val="superscript"/>
        </w:rPr>
        <w:t xml:space="preserve">.  </w:t>
      </w:r>
      <w:r w:rsidRPr="009111BE">
        <w:rPr>
          <w:rFonts w:ascii="Times New Roman" w:eastAsia="Times New Roman"/>
          <w:sz w:val="20"/>
          <w:szCs w:val="20"/>
          <w:vertAlign w:val="superscript"/>
        </w:rPr>
        <w:t xml:space="preserve">Conservatively, if all ten percent of lead used in manufacturing plants consuming lead was used in lead oxide pigment manufacturing, the </w:t>
      </w:r>
      <w:r w:rsidRPr="009111BE" w:rsidR="1FC06749">
        <w:rPr>
          <w:rFonts w:ascii="Times New Roman" w:eastAsia="Times New Roman"/>
          <w:sz w:val="20"/>
          <w:szCs w:val="20"/>
          <w:vertAlign w:val="superscript"/>
        </w:rPr>
        <w:t>a</w:t>
      </w:r>
      <w:r w:rsidRPr="009111BE">
        <w:rPr>
          <w:rFonts w:ascii="Times New Roman" w:eastAsia="Times New Roman"/>
          <w:sz w:val="20"/>
          <w:szCs w:val="20"/>
          <w:vertAlign w:val="superscript"/>
        </w:rPr>
        <w:t xml:space="preserve">gency estimates that this industry would be comprised of 8 firms (10 percent of </w:t>
      </w:r>
      <w:r w:rsidRPr="009111BE" w:rsidR="5035E926">
        <w:rPr>
          <w:rFonts w:ascii="Times New Roman" w:eastAsia="Times New Roman"/>
          <w:sz w:val="20"/>
          <w:szCs w:val="20"/>
          <w:vertAlign w:val="superscript"/>
        </w:rPr>
        <w:t xml:space="preserve">the </w:t>
      </w:r>
      <w:r w:rsidRPr="009111BE">
        <w:rPr>
          <w:rFonts w:ascii="Times New Roman" w:eastAsia="Times New Roman"/>
          <w:sz w:val="20"/>
          <w:szCs w:val="20"/>
          <w:vertAlign w:val="superscript"/>
        </w:rPr>
        <w:t>76 manufacturing plants that consume lead</w:t>
      </w:r>
      <w:r w:rsidRPr="009111BE">
        <w:rPr>
          <w:rFonts w:ascii="Times New Roman" w:eastAsia="Times New Roman"/>
          <w:sz w:val="20"/>
          <w:szCs w:val="20"/>
          <w:vertAlign w:val="superscript"/>
        </w:rPr>
        <w:t>).</w:t>
      </w:r>
      <w:r w:rsidRPr="009111BE" w:rsidR="29C0BE61">
        <w:rPr>
          <w:rFonts w:ascii="Times New Roman" w:eastAsia="Times New Roman"/>
          <w:sz w:val="20"/>
          <w:szCs w:val="20"/>
          <w:vertAlign w:val="superscript"/>
        </w:rPr>
        <w:t xml:space="preserve"> (</w:t>
      </w:r>
      <w:r w:rsidRPr="009111BE" w:rsidR="29C0BE61">
        <w:rPr>
          <w:rFonts w:ascii="Times New Roman" w:eastAsia="Times New Roman"/>
          <w:i/>
          <w:iCs/>
          <w:sz w:val="20"/>
          <w:szCs w:val="20"/>
          <w:vertAlign w:val="superscript"/>
        </w:rPr>
        <w:t>See</w:t>
      </w:r>
      <w:r w:rsidRPr="009111BE" w:rsidR="37AD1611">
        <w:rPr>
          <w:rFonts w:ascii="Times New Roman" w:eastAsia="Times New Roman"/>
          <w:sz w:val="20"/>
          <w:szCs w:val="20"/>
          <w:vertAlign w:val="superscript"/>
        </w:rPr>
        <w:t xml:space="preserve"> </w:t>
      </w:r>
      <w:hyperlink r:id="rId15" w:history="1">
        <w:r w:rsidRPr="009111BE" w:rsidR="0DB673A6">
          <w:rPr>
            <w:rStyle w:val="Hyperlink"/>
            <w:rFonts w:ascii="Times New Roman" w:eastAsia="Times New Roman"/>
            <w:sz w:val="18"/>
            <w:szCs w:val="18"/>
            <w:vertAlign w:val="superscript"/>
          </w:rPr>
          <w:t>http://minerals.usgs.gov/minerals/pubs/mcs/2009/mcs2009.pdf</w:t>
        </w:r>
        <w:r w:rsidRPr="009111BE" w:rsidR="6857960E">
          <w:rPr>
            <w:rStyle w:val="Hyperlink"/>
            <w:rFonts w:ascii="Times New Roman" w:eastAsia="Times New Roman"/>
            <w:sz w:val="18"/>
            <w:szCs w:val="18"/>
            <w:vertAlign w:val="superscript"/>
          </w:rPr>
          <w:t>,</w:t>
        </w:r>
      </w:hyperlink>
      <w:r w:rsidRPr="009111BE" w:rsidR="2DCCB2B3">
        <w:rPr>
          <w:rStyle w:val="Hyperlink"/>
          <w:rFonts w:ascii="Times New Roman Bold" w:eastAsia="Times New Roman Bold" w:hAnsi="Times New Roman Bold" w:cs="Times New Roman Bold"/>
          <w:color w:val="auto"/>
          <w:sz w:val="18"/>
          <w:szCs w:val="18"/>
          <w:u w:val="none"/>
          <w:vertAlign w:val="superscript"/>
        </w:rPr>
        <w:t xml:space="preserve"> </w:t>
      </w:r>
      <w:r w:rsidRPr="009111BE" w:rsidR="2DCCB2B3">
        <w:rPr>
          <w:rStyle w:val="Hyperlink"/>
          <w:rFonts w:ascii="Times New Roman" w:eastAsia="Times New Roman"/>
          <w:color w:val="auto"/>
          <w:sz w:val="20"/>
          <w:szCs w:val="20"/>
          <w:u w:val="none"/>
          <w:vertAlign w:val="superscript"/>
        </w:rPr>
        <w:t>and</w:t>
      </w:r>
      <w:r w:rsidRPr="009111BE" w:rsidR="29C0BE61">
        <w:rPr>
          <w:rFonts w:ascii="Times New Roman" w:eastAsia="Times New Roman"/>
          <w:sz w:val="20"/>
          <w:szCs w:val="20"/>
          <w:vertAlign w:val="superscript"/>
        </w:rPr>
        <w:t xml:space="preserve"> https://www.census.gov/programs-surveys/cbp/data/tables.All.List_1592946817.html)</w:t>
      </w:r>
    </w:p>
    <w:p w:rsidR="005754FE" w:rsidRPr="00113EDF" w:rsidP="56E51CD7" w14:paraId="50116B8F" w14:textId="618ADA98">
      <w:pPr>
        <w:widowControl/>
        <w:ind w:firstLine="720"/>
        <w:rPr>
          <w:rFonts w:ascii="Times New Roman" w:eastAsia="Times New Roman"/>
          <w:sz w:val="20"/>
          <w:szCs w:val="20"/>
          <w:vertAlign w:val="superscript"/>
        </w:rPr>
      </w:pPr>
      <w:r w:rsidRPr="009111BE">
        <w:rPr>
          <w:rFonts w:ascii="Times New Roman" w:eastAsia="Times New Roman"/>
          <w:sz w:val="20"/>
          <w:szCs w:val="20"/>
          <w:vertAlign w:val="superscript"/>
        </w:rPr>
        <w:t xml:space="preserve">[viii] </w:t>
      </w:r>
      <w:r w:rsidRPr="009111BE" w:rsidR="0EAD694C">
        <w:rPr>
          <w:rFonts w:ascii="Times New Roman" w:eastAsia="Times New Roman"/>
          <w:sz w:val="20"/>
          <w:szCs w:val="20"/>
          <w:vertAlign w:val="superscript"/>
        </w:rPr>
        <w:t>According to the U.S. Census Bureau, the total number of establishments in NAICS 31-33 (Manufacturing in 2020 was 567</w:t>
      </w:r>
      <w:r w:rsidRPr="009111BE" w:rsidR="0B04BC20">
        <w:rPr>
          <w:rFonts w:ascii="Times New Roman" w:eastAsia="Times New Roman"/>
          <w:sz w:val="20"/>
          <w:szCs w:val="20"/>
          <w:vertAlign w:val="superscript"/>
        </w:rPr>
        <w:t>,048. This represents a</w:t>
      </w:r>
      <w:r w:rsidRPr="009111BE" w:rsidR="57138221">
        <w:rPr>
          <w:rFonts w:ascii="Times New Roman" w:eastAsia="Times New Roman"/>
          <w:sz w:val="20"/>
          <w:szCs w:val="20"/>
          <w:vertAlign w:val="superscript"/>
        </w:rPr>
        <w:t xml:space="preserve"> 6.62%</w:t>
      </w:r>
      <w:r w:rsidRPr="009111BE" w:rsidR="0B04BC20">
        <w:rPr>
          <w:rFonts w:ascii="Times New Roman" w:eastAsia="Times New Roman"/>
          <w:sz w:val="20"/>
          <w:szCs w:val="20"/>
          <w:vertAlign w:val="superscript"/>
        </w:rPr>
        <w:t xml:space="preserve"> increase in the number of establishments from the 2016</w:t>
      </w:r>
      <w:r w:rsidRPr="009111BE" w:rsidR="347F620B">
        <w:rPr>
          <w:rFonts w:ascii="Times New Roman" w:eastAsia="Times New Roman"/>
          <w:sz w:val="20"/>
          <w:szCs w:val="20"/>
          <w:vertAlign w:val="superscript"/>
        </w:rPr>
        <w:t xml:space="preserve"> NAICS 31-33 (531,836</w:t>
      </w:r>
      <w:r w:rsidRPr="009111BE" w:rsidR="347F620B">
        <w:rPr>
          <w:rFonts w:ascii="Times New Roman" w:eastAsia="Times New Roman"/>
          <w:sz w:val="20"/>
          <w:szCs w:val="20"/>
          <w:vertAlign w:val="superscript"/>
        </w:rPr>
        <w:t xml:space="preserve">) </w:t>
      </w:r>
      <w:r w:rsidRPr="009111BE" w:rsidR="0B04BC20">
        <w:rPr>
          <w:rFonts w:ascii="Times New Roman" w:eastAsia="Times New Roman"/>
          <w:sz w:val="20"/>
          <w:szCs w:val="20"/>
          <w:vertAlign w:val="superscript"/>
        </w:rPr>
        <w:t>.</w:t>
      </w:r>
      <w:r w:rsidRPr="009111BE" w:rsidR="0B04BC20">
        <w:rPr>
          <w:rFonts w:ascii="Times New Roman" w:eastAsia="Times New Roman"/>
          <w:sz w:val="20"/>
          <w:szCs w:val="20"/>
          <w:vertAlign w:val="superscript"/>
        </w:rPr>
        <w:t xml:space="preserve"> The agency applied this increase to the facilities estimate from the previous ICR. </w:t>
      </w:r>
      <w:r w:rsidRPr="009111BE" w:rsidR="60AA08AE">
        <w:rPr>
          <w:rFonts w:ascii="Times New Roman" w:eastAsia="Times New Roman"/>
          <w:sz w:val="20"/>
          <w:szCs w:val="20"/>
          <w:vertAlign w:val="superscript"/>
        </w:rPr>
        <w:t xml:space="preserve">Source: </w:t>
      </w:r>
      <w:hyperlink r:id="rId16">
        <w:r w:rsidRPr="009111BE" w:rsidR="6F6FB5D9">
          <w:rPr>
            <w:rStyle w:val="Hyperlink"/>
            <w:rFonts w:ascii="Times New Roman"/>
            <w:sz w:val="20"/>
            <w:szCs w:val="20"/>
            <w:vertAlign w:val="superscript"/>
          </w:rPr>
          <w:t>https://data.census.gov/cedsci/table?q=NAICS%2031-33&amp;tid=CBP2020.CB2000CBP</w:t>
        </w:r>
      </w:hyperlink>
    </w:p>
    <w:p w:rsidR="008F707C" w:rsidP="001438C5" w14:paraId="63A1931A"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rPr>
      </w:pPr>
    </w:p>
    <w:bookmarkEnd w:id="2"/>
    <w:p w:rsidR="00606D2D" w:rsidRPr="001438C5" w:rsidP="3D161A59" w14:paraId="4895278F" w14:textId="7FDCD83B">
      <w:pPr>
        <w:widowControl/>
        <w:rPr>
          <w:rFonts w:ascii="Times New Roman"/>
        </w:rPr>
      </w:pPr>
      <w:r w:rsidRPr="56E51CD7">
        <w:rPr>
          <w:rFonts w:ascii="Times New Roman"/>
          <w:b/>
          <w:bCs/>
        </w:rPr>
        <w:t xml:space="preserve">A. </w:t>
      </w:r>
      <w:r w:rsidRPr="56E51CD7" w:rsidR="049474F3">
        <w:rPr>
          <w:rFonts w:ascii="Times New Roman"/>
          <w:b/>
          <w:bCs/>
        </w:rPr>
        <w:t>Exposure Monitoring</w:t>
      </w:r>
      <w:r w:rsidRPr="56E51CD7" w:rsidR="049474F3">
        <w:rPr>
          <w:rFonts w:ascii="Times New Roman"/>
        </w:rPr>
        <w:t xml:space="preserve"> </w:t>
      </w:r>
      <w:r w:rsidRPr="56E51CD7" w:rsidR="049474F3">
        <w:rPr>
          <w:rFonts w:ascii="Times New Roman"/>
          <w:b/>
          <w:bCs/>
        </w:rPr>
        <w:t>(</w:t>
      </w:r>
      <w:r w:rsidRPr="56E51CD7" w:rsidR="0AFFCAB6">
        <w:rPr>
          <w:rFonts w:ascii="Times New Roman"/>
          <w:b/>
          <w:bCs/>
        </w:rPr>
        <w:t>§</w:t>
      </w:r>
      <w:r w:rsidRPr="56E51CD7">
        <w:rPr>
          <w:rFonts w:ascii="Times New Roman"/>
          <w:b/>
          <w:bCs/>
        </w:rPr>
        <w:t xml:space="preserve"> </w:t>
      </w:r>
      <w:r w:rsidRPr="56E51CD7" w:rsidR="0AFFCAB6">
        <w:rPr>
          <w:rFonts w:ascii="Times New Roman"/>
          <w:b/>
          <w:bCs/>
        </w:rPr>
        <w:t>1</w:t>
      </w:r>
      <w:r w:rsidRPr="56E51CD7" w:rsidR="049474F3">
        <w:rPr>
          <w:rFonts w:ascii="Times New Roman"/>
          <w:b/>
          <w:bCs/>
        </w:rPr>
        <w:t>910.1025(d))</w:t>
      </w:r>
    </w:p>
    <w:p w:rsidR="00606D2D" w:rsidRPr="00EC7DB5" w:rsidP="00606D2D" w14:paraId="1D1B6DFF" w14:textId="77777777">
      <w:pPr>
        <w:widowControl/>
        <w:rPr>
          <w:rFonts w:ascii="Times New Roman"/>
        </w:rPr>
      </w:pPr>
    </w:p>
    <w:p w:rsidR="002009F1" w:rsidP="00606D2D" w14:paraId="21A1C552" w14:textId="1716BD3F">
      <w:pPr>
        <w:widowControl/>
        <w:rPr>
          <w:rFonts w:ascii="Times New Roman"/>
        </w:rPr>
      </w:pPr>
      <w:r w:rsidRPr="00EC7DB5">
        <w:rPr>
          <w:rFonts w:ascii="Times New Roman"/>
        </w:rPr>
        <w:t xml:space="preserve">The cost of exposure monitoring is based on the cost per sample and the number of samples that must be taken. </w:t>
      </w:r>
      <w:r w:rsidR="00BC5570">
        <w:rPr>
          <w:rFonts w:ascii="Times New Roman"/>
        </w:rPr>
        <w:t>Costs also consider that</w:t>
      </w:r>
      <w:r w:rsidRPr="00EC7DB5">
        <w:rPr>
          <w:rFonts w:ascii="Times New Roman"/>
        </w:rPr>
        <w:t xml:space="preserve"> employers would have in-house industrial hygiene technicians take the samples and </w:t>
      </w:r>
      <w:r w:rsidR="00627EE4">
        <w:rPr>
          <w:rFonts w:ascii="Times New Roman"/>
        </w:rPr>
        <w:t xml:space="preserve">then </w:t>
      </w:r>
      <w:r w:rsidRPr="00EC7DB5">
        <w:rPr>
          <w:rFonts w:ascii="Times New Roman"/>
        </w:rPr>
        <w:t>send them to a</w:t>
      </w:r>
      <w:r w:rsidR="009B4939">
        <w:rPr>
          <w:rFonts w:ascii="Times New Roman"/>
        </w:rPr>
        <w:t>n external</w:t>
      </w:r>
      <w:r w:rsidRPr="00EC7DB5">
        <w:rPr>
          <w:rFonts w:ascii="Times New Roman"/>
        </w:rPr>
        <w:t xml:space="preserve"> lab to be analyzed.</w:t>
      </w:r>
    </w:p>
    <w:p w:rsidR="00040986" w:rsidRPr="00EC7DB5" w:rsidP="00606D2D" w14:paraId="10ACC490" w14:textId="77777777">
      <w:pPr>
        <w:widowControl/>
        <w:rPr>
          <w:rFonts w:ascii="Times New Roman"/>
        </w:rPr>
      </w:pPr>
    </w:p>
    <w:p w:rsidR="00606D2D" w:rsidRPr="00EC7DB5" w:rsidP="00606D2D" w14:paraId="1ACE3C92" w14:textId="5893CC95">
      <w:pPr>
        <w:keepNext/>
        <w:widowControl/>
        <w:rPr>
          <w:rFonts w:ascii="Times New Roman"/>
        </w:rPr>
      </w:pPr>
      <w:r w:rsidRPr="001438C5">
        <w:rPr>
          <w:rFonts w:ascii="Times New Roman"/>
        </w:rPr>
        <w:t xml:space="preserve">(1) </w:t>
      </w:r>
      <w:r w:rsidRPr="00EC7DB5">
        <w:rPr>
          <w:rFonts w:ascii="Times New Roman"/>
          <w:u w:val="single"/>
        </w:rPr>
        <w:t>Initial Exposure Measurement</w:t>
      </w:r>
    </w:p>
    <w:p w:rsidR="00606D2D" w:rsidRPr="00956D56" w:rsidP="00606D2D" w14:paraId="74F673FE" w14:textId="77777777">
      <w:pPr>
        <w:keepNext/>
        <w:widowControl/>
        <w:rPr>
          <w:rFonts w:ascii="Times New Roman"/>
          <w:sz w:val="22"/>
          <w:szCs w:val="22"/>
        </w:rPr>
      </w:pPr>
    </w:p>
    <w:p w:rsidR="002217D6" w:rsidP="001438C5" w14:paraId="3634B79F" w14:textId="6B34B5A3">
      <w:pPr>
        <w:widowControl/>
        <w:rPr>
          <w:rFonts w:ascii="Times New Roman"/>
        </w:rPr>
      </w:pPr>
      <w:r>
        <w:rPr>
          <w:rFonts w:ascii="Times New Roman"/>
        </w:rPr>
        <w:t xml:space="preserve">Employers must determine if any workers are exposed to lead at or above </w:t>
      </w:r>
      <w:r w:rsidR="00A419B9">
        <w:rPr>
          <w:rFonts w:ascii="Times New Roman"/>
        </w:rPr>
        <w:t>the action level.</w:t>
      </w:r>
      <w:r w:rsidR="00120497">
        <w:rPr>
          <w:rFonts w:ascii="Times New Roman"/>
        </w:rPr>
        <w:t xml:space="preserve"> </w:t>
      </w:r>
      <w:r w:rsidRPr="00B81BD1" w:rsidR="00120497">
        <w:rPr>
          <w:rFonts w:ascii="Times New Roman"/>
        </w:rPr>
        <w:t xml:space="preserve">In Table </w:t>
      </w:r>
      <w:r w:rsidRPr="00981E38" w:rsidR="00120497">
        <w:rPr>
          <w:rFonts w:ascii="Times New Roman"/>
        </w:rPr>
        <w:t>B</w:t>
      </w:r>
      <w:r w:rsidRPr="00B81BD1" w:rsidR="00120497">
        <w:rPr>
          <w:rFonts w:ascii="Times New Roman"/>
        </w:rPr>
        <w:t xml:space="preserve"> above, the</w:t>
      </w:r>
      <w:r w:rsidR="004846F9">
        <w:rPr>
          <w:rFonts w:ascii="Times New Roman"/>
        </w:rPr>
        <w:t>re were no new s</w:t>
      </w:r>
      <w:r w:rsidRPr="00B81BD1" w:rsidR="00120497">
        <w:rPr>
          <w:rFonts w:ascii="Times New Roman"/>
        </w:rPr>
        <w:t>econdary smelter facilit</w:t>
      </w:r>
      <w:r w:rsidR="00AE754B">
        <w:rPr>
          <w:rFonts w:ascii="Times New Roman"/>
        </w:rPr>
        <w:t>ies</w:t>
      </w:r>
      <w:r w:rsidRPr="00B81BD1" w:rsidR="00120497">
        <w:rPr>
          <w:rFonts w:ascii="Times New Roman"/>
        </w:rPr>
        <w:t xml:space="preserve"> </w:t>
      </w:r>
      <w:r w:rsidR="004846F9">
        <w:rPr>
          <w:rFonts w:ascii="Times New Roman"/>
        </w:rPr>
        <w:t xml:space="preserve">identified </w:t>
      </w:r>
      <w:r w:rsidRPr="00B81BD1" w:rsidR="00120497">
        <w:rPr>
          <w:rFonts w:ascii="Times New Roman"/>
        </w:rPr>
        <w:t xml:space="preserve">since the last ICR was prepared. Therefore, no new </w:t>
      </w:r>
      <w:r w:rsidR="009939B9">
        <w:rPr>
          <w:rFonts w:ascii="Times New Roman"/>
        </w:rPr>
        <w:t>workers</w:t>
      </w:r>
      <w:r w:rsidRPr="00B81BD1" w:rsidR="00120497">
        <w:rPr>
          <w:rFonts w:ascii="Times New Roman"/>
        </w:rPr>
        <w:t xml:space="preserve"> will be accounted for, and no burden will be taken for initial exposure </w:t>
      </w:r>
      <w:r w:rsidRPr="00B81BD1" w:rsidR="00120497">
        <w:rPr>
          <w:rFonts w:ascii="Times New Roman"/>
        </w:rPr>
        <w:t>measurements</w:t>
      </w:r>
      <w:r w:rsidRPr="00B81BD1" w:rsidR="00120497">
        <w:rPr>
          <w:rFonts w:ascii="Times New Roman"/>
        </w:rPr>
        <w:t>.</w:t>
      </w:r>
      <w:r w:rsidR="00120497">
        <w:rPr>
          <w:rFonts w:ascii="Times New Roman"/>
        </w:rPr>
        <w:t xml:space="preserve"> </w:t>
      </w:r>
    </w:p>
    <w:p w:rsidR="00AC6E61" w:rsidP="00606D2D" w14:paraId="4080D34A" w14:textId="77777777">
      <w:pPr>
        <w:widowControl/>
        <w:rPr>
          <w:rFonts w:ascii="Times New Roman"/>
          <w:sz w:val="22"/>
          <w:szCs w:val="22"/>
          <w:u w:val="single"/>
        </w:rPr>
      </w:pPr>
    </w:p>
    <w:p w:rsidR="00606D2D" w:rsidRPr="0080157B" w:rsidP="00606D2D" w14:paraId="29368C09" w14:textId="2241CFE3">
      <w:pPr>
        <w:widowControl/>
        <w:rPr>
          <w:rFonts w:ascii="Times New Roman"/>
        </w:rPr>
      </w:pPr>
      <w:r w:rsidRPr="001438C5">
        <w:rPr>
          <w:rFonts w:ascii="Times New Roman"/>
        </w:rPr>
        <w:t xml:space="preserve">(2) </w:t>
      </w:r>
      <w:r w:rsidRPr="0080157B">
        <w:rPr>
          <w:rFonts w:ascii="Times New Roman"/>
          <w:u w:val="single"/>
        </w:rPr>
        <w:t>Periodic Exposure Measurement</w:t>
      </w:r>
    </w:p>
    <w:p w:rsidR="00606D2D" w:rsidRPr="0080157B" w:rsidP="00606D2D" w14:paraId="2CA6FA0E" w14:textId="77777777">
      <w:pPr>
        <w:widowControl/>
        <w:rPr>
          <w:rFonts w:ascii="Times New Roman"/>
        </w:rPr>
      </w:pPr>
    </w:p>
    <w:p w:rsidR="00606D2D" w:rsidRPr="0080157B" w:rsidP="00606D2D" w14:paraId="1CD3BB30" w14:textId="5AC70E7B">
      <w:pPr>
        <w:widowControl/>
        <w:rPr>
          <w:rFonts w:ascii="Times New Roman"/>
        </w:rPr>
      </w:pPr>
      <w:r w:rsidRPr="0080157B">
        <w:rPr>
          <w:rFonts w:ascii="Times New Roman"/>
        </w:rPr>
        <w:t xml:space="preserve">Based on the initial monitoring results, periodic monitoring is required every six months if </w:t>
      </w:r>
      <w:r>
        <w:rPr>
          <w:rFonts w:ascii="Times New Roman"/>
        </w:rPr>
        <w:t>worker</w:t>
      </w:r>
      <w:r w:rsidRPr="0080157B">
        <w:rPr>
          <w:rFonts w:ascii="Times New Roman"/>
        </w:rPr>
        <w:t xml:space="preserve">s are exposed </w:t>
      </w:r>
      <w:r w:rsidR="00772A4A">
        <w:rPr>
          <w:rFonts w:ascii="Times New Roman"/>
        </w:rPr>
        <w:t xml:space="preserve">at or </w:t>
      </w:r>
      <w:r w:rsidRPr="0080157B">
        <w:rPr>
          <w:rFonts w:ascii="Times New Roman"/>
        </w:rPr>
        <w:t xml:space="preserve">above the action level but below the PEL, and quarterly if </w:t>
      </w:r>
      <w:r>
        <w:rPr>
          <w:rFonts w:ascii="Times New Roman"/>
        </w:rPr>
        <w:t>worker</w:t>
      </w:r>
      <w:r w:rsidRPr="0080157B">
        <w:rPr>
          <w:rFonts w:ascii="Times New Roman"/>
        </w:rPr>
        <w:t xml:space="preserve">s are exposed to lead above the PEL. For purposes of estimating burden hours and costs in this ICR, no employers are exposing their </w:t>
      </w:r>
      <w:r>
        <w:rPr>
          <w:rFonts w:ascii="Times New Roman"/>
        </w:rPr>
        <w:t>worker</w:t>
      </w:r>
      <w:r w:rsidRPr="0080157B">
        <w:rPr>
          <w:rFonts w:ascii="Times New Roman"/>
        </w:rPr>
        <w:t>s to lead levels above the PEL, and therefore, there are no burden hours and costs for quarterly monitoring.</w:t>
      </w:r>
    </w:p>
    <w:p w:rsidR="00606D2D" w:rsidRPr="0080157B" w:rsidP="00606D2D" w14:paraId="01C0DA96" w14:textId="77777777">
      <w:pPr>
        <w:widowControl/>
        <w:rPr>
          <w:rFonts w:ascii="Times New Roman"/>
        </w:rPr>
      </w:pPr>
    </w:p>
    <w:p w:rsidR="00606D2D" w:rsidRPr="00D63942" w:rsidP="00606D2D" w14:paraId="5E8E5E2B" w14:textId="15791833">
      <w:pPr>
        <w:widowControl/>
        <w:rPr>
          <w:rFonts w:ascii="Times New Roman"/>
        </w:rPr>
      </w:pPr>
      <w:r w:rsidRPr="56E51CD7">
        <w:rPr>
          <w:rFonts w:ascii="Times New Roman"/>
        </w:rPr>
        <w:t xml:space="preserve">OSHA estimates </w:t>
      </w:r>
      <w:r w:rsidR="000B76EE">
        <w:rPr>
          <w:rFonts w:ascii="Times New Roman"/>
        </w:rPr>
        <w:t>366,</w:t>
      </w:r>
      <w:r w:rsidRPr="00D41BC1" w:rsidR="000B76EE">
        <w:rPr>
          <w:rFonts w:ascii="Times New Roman"/>
        </w:rPr>
        <w:t>629</w:t>
      </w:r>
      <w:r w:rsidRPr="56E51CD7" w:rsidR="0E72310B">
        <w:rPr>
          <w:rFonts w:ascii="Times New Roman"/>
        </w:rPr>
        <w:t xml:space="preserve"> </w:t>
      </w:r>
      <w:r w:rsidRPr="56E51CD7">
        <w:rPr>
          <w:rFonts w:ascii="Times New Roman"/>
        </w:rPr>
        <w:t xml:space="preserve">workers may be exposed to lead at levels between the action level and the PEL, requiring employers to </w:t>
      </w:r>
      <w:r w:rsidRPr="00D63942">
        <w:rPr>
          <w:rFonts w:ascii="Times New Roman"/>
        </w:rPr>
        <w:t xml:space="preserve">conduct periodic monitoring at </w:t>
      </w:r>
      <w:r w:rsidRPr="00D63942" w:rsidR="39EC3DE6">
        <w:rPr>
          <w:rFonts w:ascii="Times New Roman"/>
        </w:rPr>
        <w:t>six-month</w:t>
      </w:r>
      <w:r w:rsidRPr="00D63942">
        <w:rPr>
          <w:rFonts w:ascii="Times New Roman"/>
        </w:rPr>
        <w:t xml:space="preserve"> intervals.</w:t>
      </w:r>
      <w:r w:rsidRPr="00D63942" w:rsidR="5C54B1F2">
        <w:rPr>
          <w:rFonts w:ascii="Times New Roman"/>
        </w:rPr>
        <w:t xml:space="preserve"> </w:t>
      </w:r>
      <w:r w:rsidRPr="00D63942">
        <w:rPr>
          <w:rFonts w:ascii="Times New Roman"/>
        </w:rPr>
        <w:t xml:space="preserve">Approximately one in four workers </w:t>
      </w:r>
      <w:r w:rsidRPr="00D63942" w:rsidR="5C54B1F2">
        <w:rPr>
          <w:rFonts w:ascii="Times New Roman"/>
        </w:rPr>
        <w:t>(</w:t>
      </w:r>
      <w:r w:rsidRPr="00D63942" w:rsidR="004846F9">
        <w:rPr>
          <w:rFonts w:ascii="Times New Roman"/>
        </w:rPr>
        <w:t>91,6</w:t>
      </w:r>
      <w:r w:rsidRPr="00D63942" w:rsidR="008C46B1">
        <w:rPr>
          <w:rFonts w:ascii="Times New Roman"/>
        </w:rPr>
        <w:t>57</w:t>
      </w:r>
      <w:r w:rsidRPr="00D63942" w:rsidR="41F2BAB8">
        <w:rPr>
          <w:rFonts w:ascii="Times New Roman"/>
        </w:rPr>
        <w:t xml:space="preserve"> workers) </w:t>
      </w:r>
      <w:r w:rsidRPr="00D63942" w:rsidR="761923E7">
        <w:rPr>
          <w:rFonts w:ascii="Times New Roman"/>
        </w:rPr>
        <w:t>are</w:t>
      </w:r>
      <w:r w:rsidRPr="00D63942">
        <w:rPr>
          <w:rFonts w:ascii="Times New Roman"/>
        </w:rPr>
        <w:t xml:space="preserve"> sampled.</w:t>
      </w:r>
      <w:r w:rsidRPr="00D63942" w:rsidR="2E7AD955">
        <w:rPr>
          <w:rFonts w:ascii="Times New Roman"/>
        </w:rPr>
        <w:t xml:space="preserve"> </w:t>
      </w:r>
      <w:r w:rsidRPr="00D63942">
        <w:rPr>
          <w:rFonts w:ascii="Times New Roman"/>
        </w:rPr>
        <w:t>One technician takes eight samples per day</w:t>
      </w:r>
      <w:r w:rsidRPr="00D63942" w:rsidR="1EA2344A">
        <w:rPr>
          <w:rFonts w:ascii="Times New Roman"/>
        </w:rPr>
        <w:t>;</w:t>
      </w:r>
      <w:r w:rsidRPr="00D63942">
        <w:rPr>
          <w:rFonts w:ascii="Times New Roman"/>
        </w:rPr>
        <w:t xml:space="preserve"> </w:t>
      </w:r>
      <w:r w:rsidRPr="00D63942" w:rsidR="42DACC19">
        <w:rPr>
          <w:rFonts w:ascii="Times New Roman"/>
        </w:rPr>
        <w:t>thus,</w:t>
      </w:r>
      <w:r w:rsidRPr="00D63942">
        <w:rPr>
          <w:rFonts w:ascii="Times New Roman"/>
        </w:rPr>
        <w:t xml:space="preserve"> OSHA assumes a technician </w:t>
      </w:r>
      <w:r w:rsidRPr="00D63942" w:rsidR="00335A04">
        <w:rPr>
          <w:rFonts w:ascii="Times New Roman"/>
        </w:rPr>
        <w:t xml:space="preserve">takes one hour </w:t>
      </w:r>
      <w:r w:rsidRPr="00D63942">
        <w:rPr>
          <w:rFonts w:ascii="Times New Roman"/>
        </w:rPr>
        <w:t xml:space="preserve">to sample and </w:t>
      </w:r>
      <w:r w:rsidRPr="00D63942">
        <w:rPr>
          <w:rFonts w:ascii="Times New Roman"/>
        </w:rPr>
        <w:t>document</w:t>
      </w:r>
      <w:r w:rsidRPr="00D63942" w:rsidR="004D163E">
        <w:rPr>
          <w:rFonts w:ascii="Times New Roman"/>
        </w:rPr>
        <w:t xml:space="preserve"> the repres</w:t>
      </w:r>
      <w:r w:rsidRPr="00D63942" w:rsidR="0030512E">
        <w:rPr>
          <w:rFonts w:ascii="Times New Roman"/>
        </w:rPr>
        <w:t>entative exposure monitoring</w:t>
      </w:r>
      <w:r w:rsidRPr="00D63942">
        <w:rPr>
          <w:rFonts w:ascii="Times New Roman"/>
        </w:rPr>
        <w:t xml:space="preserve"> results.</w:t>
      </w:r>
      <w:r w:rsidRPr="00D63942" w:rsidR="2CD7BE93">
        <w:rPr>
          <w:rFonts w:ascii="Times New Roman"/>
        </w:rPr>
        <w:t xml:space="preserve"> </w:t>
      </w:r>
      <w:r w:rsidRPr="00D63942">
        <w:rPr>
          <w:rFonts w:ascii="Times New Roman"/>
        </w:rPr>
        <w:t>Hours involved in periodic exposure monitoring are estimated as follows:</w:t>
      </w:r>
    </w:p>
    <w:p w:rsidR="00606D2D" w:rsidRPr="00D63942" w:rsidP="00606D2D" w14:paraId="16BF81E0" w14:textId="77777777">
      <w:pPr>
        <w:widowControl/>
        <w:rPr>
          <w:rFonts w:ascii="Times New Roman"/>
        </w:rPr>
      </w:pPr>
    </w:p>
    <w:p w:rsidR="00606D2D" w:rsidRPr="00D45A82" w:rsidP="001438C5" w14:paraId="4BE62838" w14:textId="308A35AD">
      <w:pPr>
        <w:widowControl/>
        <w:ind w:left="2880" w:hanging="2160"/>
        <w:rPr>
          <w:rFonts w:ascii="Times New Roman"/>
        </w:rPr>
      </w:pPr>
      <w:r w:rsidRPr="00D63942">
        <w:rPr>
          <w:rFonts w:ascii="Times New Roman"/>
          <w:b/>
          <w:bCs/>
        </w:rPr>
        <w:t>Burden hours</w:t>
      </w:r>
      <w:r w:rsidRPr="00D63942">
        <w:rPr>
          <w:rFonts w:ascii="Times New Roman"/>
        </w:rPr>
        <w:t>:</w:t>
      </w:r>
      <w:r w:rsidRPr="00D63942">
        <w:tab/>
      </w:r>
      <w:r w:rsidRPr="00D63942" w:rsidR="004846F9">
        <w:rPr>
          <w:rFonts w:ascii="Times New Roman"/>
        </w:rPr>
        <w:t>91,6</w:t>
      </w:r>
      <w:r w:rsidRPr="00D63942" w:rsidR="007A543F">
        <w:rPr>
          <w:rFonts w:ascii="Times New Roman"/>
        </w:rPr>
        <w:t>57</w:t>
      </w:r>
      <w:r w:rsidRPr="56E51CD7" w:rsidR="47BBEBCF">
        <w:rPr>
          <w:rFonts w:ascii="Times New Roman"/>
        </w:rPr>
        <w:t xml:space="preserve"> workers</w:t>
      </w:r>
      <w:r w:rsidRPr="56E51CD7">
        <w:rPr>
          <w:rFonts w:ascii="Times New Roman"/>
        </w:rPr>
        <w:t xml:space="preserve"> </w:t>
      </w:r>
      <w:r w:rsidRPr="56E51CD7" w:rsidR="4457F593">
        <w:rPr>
          <w:rFonts w:ascii="Times New Roman"/>
        </w:rPr>
        <w:t>x 2 samples/year</w:t>
      </w:r>
      <w:r w:rsidR="00644DC2">
        <w:rPr>
          <w:rFonts w:ascii="Times New Roman"/>
        </w:rPr>
        <w:t xml:space="preserve"> </w:t>
      </w:r>
      <w:r w:rsidRPr="00435813" w:rsidR="00435813">
        <w:rPr>
          <w:rFonts w:ascii="Times New Roman"/>
        </w:rPr>
        <w:t>× 1 hour</w:t>
      </w:r>
      <w:r w:rsidRPr="56E51CD7">
        <w:rPr>
          <w:rFonts w:ascii="Times New Roman"/>
        </w:rPr>
        <w:t xml:space="preserve"> = </w:t>
      </w:r>
      <w:r w:rsidRPr="56E51CD7" w:rsidR="69758CFD">
        <w:rPr>
          <w:rFonts w:ascii="Times New Roman"/>
        </w:rPr>
        <w:t>1</w:t>
      </w:r>
      <w:r w:rsidR="009359E5">
        <w:rPr>
          <w:rFonts w:ascii="Times New Roman"/>
        </w:rPr>
        <w:t>83,3</w:t>
      </w:r>
      <w:r w:rsidR="007A543F">
        <w:rPr>
          <w:rFonts w:ascii="Times New Roman"/>
        </w:rPr>
        <w:t>14</w:t>
      </w:r>
      <w:r w:rsidRPr="56E51CD7" w:rsidR="329AC5A3">
        <w:rPr>
          <w:rFonts w:ascii="Times New Roman"/>
        </w:rPr>
        <w:t xml:space="preserve"> </w:t>
      </w:r>
      <w:r w:rsidRPr="56E51CD7">
        <w:rPr>
          <w:rFonts w:ascii="Times New Roman"/>
        </w:rPr>
        <w:t>hours</w:t>
      </w:r>
    </w:p>
    <w:p w:rsidR="00267586" w:rsidRPr="00267586" w:rsidP="00267586" w14:paraId="39D84F4F" w14:textId="3A440D1D">
      <w:pPr>
        <w:widowControl/>
        <w:ind w:left="720" w:firstLine="720"/>
        <w:rPr>
          <w:rFonts w:ascii="Times New Roman"/>
        </w:rPr>
      </w:pPr>
      <w:r w:rsidRPr="56E51CD7">
        <w:rPr>
          <w:rFonts w:ascii="Times New Roman"/>
          <w:b/>
          <w:bCs/>
        </w:rPr>
        <w:t xml:space="preserve"> </w:t>
      </w:r>
      <w:r w:rsidRPr="56E51CD7" w:rsidR="2CD7BE93">
        <w:rPr>
          <w:rFonts w:ascii="Times New Roman"/>
          <w:b/>
          <w:bCs/>
        </w:rPr>
        <w:t xml:space="preserve"> </w:t>
      </w:r>
      <w:r w:rsidRPr="56E51CD7" w:rsidR="049474F3">
        <w:rPr>
          <w:rFonts w:ascii="Times New Roman"/>
          <w:b/>
          <w:bCs/>
        </w:rPr>
        <w:t>Costs</w:t>
      </w:r>
      <w:r w:rsidRPr="00161CCD" w:rsidR="049474F3">
        <w:rPr>
          <w:rFonts w:ascii="Times New Roman"/>
        </w:rPr>
        <w:t>:</w:t>
      </w:r>
      <w:r w:rsidR="009224EB">
        <w:tab/>
      </w:r>
      <w:r w:rsidR="009359E5">
        <w:rPr>
          <w:rFonts w:ascii="Times New Roman"/>
        </w:rPr>
        <w:t>183,3</w:t>
      </w:r>
      <w:r w:rsidR="007A543F">
        <w:rPr>
          <w:rFonts w:ascii="Times New Roman"/>
        </w:rPr>
        <w:t>14</w:t>
      </w:r>
      <w:r w:rsidRPr="56E51CD7" w:rsidR="329AC5A3">
        <w:rPr>
          <w:rFonts w:ascii="Times New Roman"/>
        </w:rPr>
        <w:t xml:space="preserve"> </w:t>
      </w:r>
      <w:r w:rsidRPr="56E51CD7" w:rsidR="049474F3">
        <w:rPr>
          <w:rFonts w:ascii="Times New Roman"/>
        </w:rPr>
        <w:t>hours × $</w:t>
      </w:r>
      <w:r w:rsidR="00B070B3">
        <w:rPr>
          <w:rFonts w:ascii="Times New Roman"/>
        </w:rPr>
        <w:t>43.49</w:t>
      </w:r>
      <w:r w:rsidRPr="56E51CD7" w:rsidR="049474F3">
        <w:rPr>
          <w:rFonts w:ascii="Times New Roman"/>
        </w:rPr>
        <w:t xml:space="preserve"> = </w:t>
      </w:r>
      <w:r w:rsidRPr="00267586">
        <w:rPr>
          <w:rFonts w:ascii="Times New Roman"/>
        </w:rPr>
        <w:t>$</w:t>
      </w:r>
      <w:r w:rsidR="006C206E">
        <w:rPr>
          <w:rFonts w:ascii="Times New Roman"/>
        </w:rPr>
        <w:t>7</w:t>
      </w:r>
      <w:r w:rsidRPr="00267586">
        <w:rPr>
          <w:rFonts w:ascii="Times New Roman"/>
        </w:rPr>
        <w:t>,972,</w:t>
      </w:r>
      <w:r w:rsidR="007A543F">
        <w:rPr>
          <w:rFonts w:ascii="Times New Roman"/>
        </w:rPr>
        <w:t>326</w:t>
      </w:r>
    </w:p>
    <w:p w:rsidR="00606D2D" w:rsidRPr="0080157B" w:rsidP="00A44189" w14:paraId="758A3BBE" w14:textId="77777777">
      <w:pPr>
        <w:widowControl/>
        <w:ind w:left="720" w:firstLine="720"/>
        <w:rPr>
          <w:rFonts w:ascii="Times New Roman"/>
        </w:rPr>
      </w:pPr>
    </w:p>
    <w:p w:rsidR="00606D2D" w:rsidRPr="0080157B" w:rsidP="00606D2D" w14:paraId="5322D618" w14:textId="75DB1B02">
      <w:pPr>
        <w:widowControl/>
        <w:rPr>
          <w:rFonts w:ascii="Times New Roman"/>
        </w:rPr>
      </w:pPr>
      <w:r w:rsidRPr="0080157B">
        <w:rPr>
          <w:rFonts w:ascii="Times New Roman"/>
        </w:rPr>
        <w:t xml:space="preserve">Periodic monitoring is also required whenever </w:t>
      </w:r>
      <w:r w:rsidR="000149BF">
        <w:rPr>
          <w:rFonts w:ascii="Times New Roman"/>
        </w:rPr>
        <w:t xml:space="preserve">a production, process, control, or personnel change </w:t>
      </w:r>
      <w:r w:rsidRPr="0080157B">
        <w:rPr>
          <w:rFonts w:ascii="Times New Roman"/>
        </w:rPr>
        <w:t xml:space="preserve">may result in new or additional exposures to lead. OSHA has not included any burden estimate for such additional monitoring since it is likely that the estimates given for periodic monitoring above </w:t>
      </w:r>
      <w:r w:rsidR="009359E5">
        <w:rPr>
          <w:rFonts w:ascii="Times New Roman"/>
        </w:rPr>
        <w:t xml:space="preserve">the AL </w:t>
      </w:r>
      <w:r w:rsidRPr="0080157B">
        <w:rPr>
          <w:rFonts w:ascii="Times New Roman"/>
        </w:rPr>
        <w:t>are too high</w:t>
      </w:r>
      <w:r w:rsidR="009359E5">
        <w:rPr>
          <w:rFonts w:ascii="Times New Roman"/>
        </w:rPr>
        <w:t>.</w:t>
      </w:r>
      <w:r w:rsidRPr="0080157B">
        <w:rPr>
          <w:rFonts w:ascii="Times New Roman"/>
        </w:rPr>
        <w:t xml:space="preserve"> </w:t>
      </w:r>
      <w:r w:rsidR="009359E5">
        <w:rPr>
          <w:rFonts w:ascii="Times New Roman"/>
        </w:rPr>
        <w:t xml:space="preserve">The exposure monitoring calculation does not account for employers who may have </w:t>
      </w:r>
      <w:r w:rsidR="009359E5">
        <w:rPr>
          <w:rFonts w:ascii="Times New Roman"/>
        </w:rPr>
        <w:t>stopped exposure</w:t>
      </w:r>
      <w:r w:rsidR="009359E5">
        <w:rPr>
          <w:rFonts w:ascii="Times New Roman"/>
        </w:rPr>
        <w:t xml:space="preserve"> monitoring for those</w:t>
      </w:r>
      <w:r w:rsidRPr="0080157B">
        <w:rPr>
          <w:rFonts w:ascii="Times New Roman"/>
        </w:rPr>
        <w:t xml:space="preserve"> </w:t>
      </w:r>
      <w:r>
        <w:rPr>
          <w:rFonts w:ascii="Times New Roman"/>
        </w:rPr>
        <w:t>worker</w:t>
      </w:r>
      <w:r w:rsidR="009359E5">
        <w:rPr>
          <w:rFonts w:ascii="Times New Roman"/>
        </w:rPr>
        <w:t>s whose</w:t>
      </w:r>
      <w:r w:rsidRPr="0080157B">
        <w:rPr>
          <w:rFonts w:ascii="Times New Roman"/>
        </w:rPr>
        <w:t xml:space="preserve"> exposures</w:t>
      </w:r>
      <w:r w:rsidR="009359E5">
        <w:rPr>
          <w:rFonts w:ascii="Times New Roman"/>
        </w:rPr>
        <w:t xml:space="preserve"> are</w:t>
      </w:r>
      <w:r w:rsidRPr="0080157B">
        <w:rPr>
          <w:rFonts w:ascii="Times New Roman"/>
        </w:rPr>
        <w:t xml:space="preserve"> below the action level since 1978</w:t>
      </w:r>
      <w:r w:rsidR="009359E5">
        <w:rPr>
          <w:rFonts w:ascii="Times New Roman"/>
        </w:rPr>
        <w:t xml:space="preserve">. </w:t>
      </w:r>
      <w:r w:rsidRPr="0080157B">
        <w:rPr>
          <w:rFonts w:ascii="Times New Roman"/>
        </w:rPr>
        <w:t>The hours estimated above represent total periodic and additional monitoring burdens.</w:t>
      </w:r>
    </w:p>
    <w:p w:rsidR="00606D2D" w:rsidRPr="0080157B" w:rsidP="00606D2D" w14:paraId="7A7C2A1C" w14:textId="77777777">
      <w:pPr>
        <w:widowControl/>
        <w:rPr>
          <w:rFonts w:ascii="Times New Roman"/>
        </w:rPr>
      </w:pPr>
    </w:p>
    <w:p w:rsidR="00606D2D" w:rsidRPr="0080157B" w:rsidP="0054277E" w14:paraId="08687ABF" w14:textId="7F1EAC8E">
      <w:pPr>
        <w:widowControl/>
        <w:autoSpaceDE/>
        <w:autoSpaceDN/>
        <w:adjustRightInd/>
        <w:rPr>
          <w:rFonts w:ascii="Times New Roman"/>
        </w:rPr>
      </w:pPr>
      <w:r w:rsidRPr="001438C5">
        <w:rPr>
          <w:rFonts w:ascii="Times New Roman"/>
        </w:rPr>
        <w:t xml:space="preserve">(3) </w:t>
      </w:r>
      <w:r w:rsidRPr="0080157B">
        <w:rPr>
          <w:rFonts w:ascii="Times New Roman"/>
          <w:u w:val="single"/>
        </w:rPr>
        <w:t>Employee Notification of Monitoring Results</w:t>
      </w:r>
      <w:r w:rsidRPr="0080157B">
        <w:rPr>
          <w:rFonts w:ascii="Times New Roman"/>
        </w:rPr>
        <w:t xml:space="preserve"> </w:t>
      </w:r>
    </w:p>
    <w:p w:rsidR="00606D2D" w:rsidRPr="00956D56" w:rsidP="00606D2D" w14:paraId="2B39AD8E" w14:textId="77777777">
      <w:pPr>
        <w:widowControl/>
        <w:rPr>
          <w:rFonts w:ascii="Times New Roman"/>
          <w:sz w:val="22"/>
          <w:szCs w:val="22"/>
        </w:rPr>
      </w:pPr>
    </w:p>
    <w:p w:rsidR="00606D2D" w:rsidRPr="0080157B" w:rsidP="00606D2D" w14:paraId="5EC3F4F4" w14:textId="42840DEB">
      <w:pPr>
        <w:widowControl/>
        <w:rPr>
          <w:rFonts w:ascii="Times New Roman"/>
        </w:rPr>
      </w:pPr>
      <w:r w:rsidRPr="56E51CD7">
        <w:rPr>
          <w:rFonts w:ascii="Times New Roman"/>
        </w:rPr>
        <w:t>The standard requires that employers notify workers of monitoring results, individually in writing or by posting the results, within 15 working days of the employer's receipt of the results.</w:t>
      </w:r>
      <w:r w:rsidRPr="56E51CD7" w:rsidR="2CD7BE93">
        <w:rPr>
          <w:rFonts w:ascii="Times New Roman"/>
        </w:rPr>
        <w:t xml:space="preserve"> </w:t>
      </w:r>
      <w:r w:rsidRPr="56E51CD7">
        <w:rPr>
          <w:rFonts w:ascii="Times New Roman"/>
        </w:rPr>
        <w:t xml:space="preserve">A clerk takes </w:t>
      </w:r>
      <w:r w:rsidR="00A32944">
        <w:rPr>
          <w:rFonts w:ascii="Times New Roman"/>
        </w:rPr>
        <w:t>five</w:t>
      </w:r>
      <w:r w:rsidRPr="56E51CD7">
        <w:rPr>
          <w:rFonts w:ascii="Times New Roman"/>
        </w:rPr>
        <w:t xml:space="preserve"> minutes (</w:t>
      </w:r>
      <w:r w:rsidRPr="56E51CD7" w:rsidR="720D2A1A">
        <w:rPr>
          <w:rFonts w:ascii="Times New Roman"/>
        </w:rPr>
        <w:t>5/60</w:t>
      </w:r>
      <w:r w:rsidRPr="56E51CD7">
        <w:rPr>
          <w:rFonts w:ascii="Times New Roman"/>
        </w:rPr>
        <w:t xml:space="preserve"> hour</w:t>
      </w:r>
      <w:r w:rsidR="000149BF">
        <w:rPr>
          <w:rFonts w:ascii="Times New Roman"/>
        </w:rPr>
        <w:t>s</w:t>
      </w:r>
      <w:r w:rsidRPr="56E51CD7">
        <w:rPr>
          <w:rFonts w:ascii="Times New Roman"/>
        </w:rPr>
        <w:t>) to notify workers of their exposure-monitoring results.</w:t>
      </w:r>
      <w:r w:rsidRPr="56E51CD7" w:rsidR="2CD7BE93">
        <w:rPr>
          <w:rFonts w:ascii="Times New Roman"/>
        </w:rPr>
        <w:t xml:space="preserve"> </w:t>
      </w:r>
      <w:r w:rsidRPr="56E51CD7">
        <w:rPr>
          <w:rFonts w:ascii="Times New Roman"/>
        </w:rPr>
        <w:t xml:space="preserve">OSHA assumes </w:t>
      </w:r>
      <w:r w:rsidR="002B5ECF">
        <w:rPr>
          <w:rFonts w:ascii="Times New Roman"/>
        </w:rPr>
        <w:t>60,569</w:t>
      </w:r>
      <w:r w:rsidR="00F16B95">
        <w:rPr>
          <w:rFonts w:ascii="Times New Roman"/>
        </w:rPr>
        <w:t xml:space="preserve"> </w:t>
      </w:r>
      <w:r w:rsidRPr="56E51CD7" w:rsidR="193F4E69">
        <w:rPr>
          <w:rFonts w:ascii="Times New Roman"/>
        </w:rPr>
        <w:t xml:space="preserve">existing </w:t>
      </w:r>
      <w:r w:rsidRPr="56E51CD7">
        <w:rPr>
          <w:rFonts w:ascii="Times New Roman"/>
        </w:rPr>
        <w:t xml:space="preserve">employers conduct periodic semiannual monitoring, taking </w:t>
      </w:r>
      <w:r w:rsidR="00A32944">
        <w:rPr>
          <w:rFonts w:ascii="Times New Roman"/>
        </w:rPr>
        <w:t>five</w:t>
      </w:r>
      <w:r w:rsidRPr="56E51CD7">
        <w:rPr>
          <w:rFonts w:ascii="Times New Roman"/>
        </w:rPr>
        <w:t xml:space="preserve"> minutes (</w:t>
      </w:r>
      <w:r w:rsidRPr="56E51CD7" w:rsidR="36E93C31">
        <w:rPr>
          <w:rFonts w:ascii="Times New Roman"/>
        </w:rPr>
        <w:t>5/60</w:t>
      </w:r>
      <w:r w:rsidRPr="56E51CD7">
        <w:rPr>
          <w:rFonts w:ascii="Times New Roman"/>
        </w:rPr>
        <w:t xml:space="preserve"> </w:t>
      </w:r>
      <w:r w:rsidRPr="56E51CD7">
        <w:rPr>
          <w:rFonts w:ascii="Times New Roman"/>
        </w:rPr>
        <w:t>hour</w:t>
      </w:r>
      <w:r w:rsidRPr="56E51CD7">
        <w:rPr>
          <w:rFonts w:ascii="Times New Roman"/>
        </w:rPr>
        <w:t>) to post the results.</w:t>
      </w:r>
      <w:r w:rsidRPr="56E51CD7" w:rsidR="2CD7BE93">
        <w:rPr>
          <w:rFonts w:ascii="Times New Roman"/>
        </w:rPr>
        <w:t xml:space="preserve"> </w:t>
      </w:r>
    </w:p>
    <w:p w:rsidR="00606D2D" w:rsidRPr="0080157B" w:rsidP="00606D2D" w14:paraId="1E9922B6" w14:textId="77777777">
      <w:pPr>
        <w:widowControl/>
        <w:rPr>
          <w:rFonts w:ascii="Times New Roman"/>
        </w:rPr>
      </w:pPr>
    </w:p>
    <w:p w:rsidR="00606D2D" w:rsidRPr="008503F0" w:rsidP="3080DAE6" w14:paraId="73D5736F" w14:textId="04CCD6CD">
      <w:pPr>
        <w:widowControl/>
        <w:ind w:firstLine="720"/>
        <w:rPr>
          <w:rFonts w:ascii="Times New Roman"/>
        </w:rPr>
      </w:pPr>
      <w:r w:rsidRPr="008503F0">
        <w:rPr>
          <w:rFonts w:ascii="Times New Roman"/>
          <w:b/>
          <w:bCs/>
        </w:rPr>
        <w:t>Burden hours</w:t>
      </w:r>
      <w:r w:rsidRPr="008503F0">
        <w:rPr>
          <w:rFonts w:ascii="Times New Roman"/>
        </w:rPr>
        <w:t>:</w:t>
      </w:r>
      <w:r w:rsidRPr="008503F0">
        <w:tab/>
      </w:r>
      <w:r w:rsidRPr="008503F0">
        <w:rPr>
          <w:rFonts w:ascii="Times New Roman"/>
        </w:rPr>
        <w:t>(</w:t>
      </w:r>
      <w:r w:rsidRPr="008503F0" w:rsidR="005A3E42">
        <w:rPr>
          <w:rFonts w:ascii="Times New Roman"/>
        </w:rPr>
        <w:t>60,569</w:t>
      </w:r>
      <w:r w:rsidRPr="008503F0">
        <w:rPr>
          <w:rFonts w:ascii="Times New Roman"/>
        </w:rPr>
        <w:t xml:space="preserve"> employers) × 2 (semiannual)) × </w:t>
      </w:r>
      <w:r w:rsidRPr="008503F0" w:rsidR="005B0CC8">
        <w:rPr>
          <w:rFonts w:ascii="Times New Roman"/>
        </w:rPr>
        <w:t>5/60</w:t>
      </w:r>
      <w:r w:rsidRPr="008503F0">
        <w:rPr>
          <w:rFonts w:ascii="Times New Roman"/>
        </w:rPr>
        <w:t xml:space="preserve"> hour </w:t>
      </w:r>
      <w:r w:rsidRPr="008503F0">
        <w:br/>
      </w:r>
      <w:r w:rsidRPr="008503F0">
        <w:tab/>
      </w:r>
      <w:r w:rsidRPr="008503F0">
        <w:tab/>
      </w:r>
      <w:r w:rsidRPr="008503F0">
        <w:tab/>
      </w:r>
      <w:r w:rsidRPr="008503F0">
        <w:tab/>
      </w:r>
      <w:r w:rsidRPr="008503F0">
        <w:tab/>
      </w:r>
      <w:r w:rsidRPr="008503F0">
        <w:rPr>
          <w:rFonts w:ascii="Times New Roman"/>
        </w:rPr>
        <w:t xml:space="preserve">= </w:t>
      </w:r>
      <w:r w:rsidRPr="008503F0" w:rsidR="0025225C">
        <w:rPr>
          <w:rFonts w:ascii="Times New Roman"/>
        </w:rPr>
        <w:t>10</w:t>
      </w:r>
      <w:r w:rsidRPr="008503F0" w:rsidR="00E900DB">
        <w:rPr>
          <w:rFonts w:ascii="Times New Roman"/>
        </w:rPr>
        <w:t>,095</w:t>
      </w:r>
      <w:r w:rsidRPr="008503F0">
        <w:rPr>
          <w:rFonts w:ascii="Times New Roman"/>
        </w:rPr>
        <w:t xml:space="preserve"> hours</w:t>
      </w:r>
    </w:p>
    <w:p w:rsidR="00875785" w:rsidRPr="00D55B47" w:rsidP="56E51CD7" w14:paraId="38A8481A" w14:textId="0D8D12B2">
      <w:pPr>
        <w:widowControl/>
        <w:ind w:left="720" w:firstLine="720"/>
        <w:rPr>
          <w:rFonts w:ascii="Times New Roman"/>
        </w:rPr>
      </w:pPr>
      <w:r w:rsidRPr="008503F0">
        <w:rPr>
          <w:rFonts w:ascii="Times New Roman"/>
          <w:b/>
          <w:bCs/>
        </w:rPr>
        <w:t xml:space="preserve"> </w:t>
      </w:r>
      <w:r w:rsidRPr="008503F0" w:rsidR="2CD7BE93">
        <w:rPr>
          <w:rFonts w:ascii="Times New Roman"/>
          <w:b/>
          <w:bCs/>
        </w:rPr>
        <w:t xml:space="preserve"> </w:t>
      </w:r>
      <w:r w:rsidRPr="008503F0" w:rsidR="049474F3">
        <w:rPr>
          <w:rFonts w:ascii="Times New Roman"/>
          <w:b/>
          <w:bCs/>
        </w:rPr>
        <w:t>Costs</w:t>
      </w:r>
      <w:r w:rsidRPr="008503F0" w:rsidR="049474F3">
        <w:rPr>
          <w:rFonts w:ascii="Times New Roman"/>
        </w:rPr>
        <w:t>:</w:t>
      </w:r>
      <w:r w:rsidRPr="008503F0" w:rsidR="00B24363">
        <w:tab/>
      </w:r>
      <w:r w:rsidRPr="008503F0" w:rsidR="19E15981">
        <w:rPr>
          <w:rFonts w:ascii="Times New Roman"/>
        </w:rPr>
        <w:t>1</w:t>
      </w:r>
      <w:r w:rsidRPr="008503F0" w:rsidR="009506AD">
        <w:rPr>
          <w:rFonts w:ascii="Times New Roman"/>
        </w:rPr>
        <w:t>0,095</w:t>
      </w:r>
      <w:r w:rsidRPr="008503F0" w:rsidR="329AC5A3">
        <w:rPr>
          <w:rFonts w:ascii="Times New Roman"/>
        </w:rPr>
        <w:t xml:space="preserve"> </w:t>
      </w:r>
      <w:r w:rsidRPr="008503F0" w:rsidR="049474F3">
        <w:rPr>
          <w:rFonts w:ascii="Times New Roman"/>
        </w:rPr>
        <w:t>hours × $</w:t>
      </w:r>
      <w:r w:rsidRPr="008503F0" w:rsidR="19E15981">
        <w:rPr>
          <w:rFonts w:ascii="Times New Roman"/>
        </w:rPr>
        <w:t>3</w:t>
      </w:r>
      <w:r w:rsidRPr="008503F0" w:rsidR="00A42F80">
        <w:rPr>
          <w:rFonts w:ascii="Times New Roman"/>
        </w:rPr>
        <w:t>2.74</w:t>
      </w:r>
      <w:r w:rsidRPr="008503F0" w:rsidR="049474F3">
        <w:rPr>
          <w:rFonts w:ascii="Times New Roman"/>
        </w:rPr>
        <w:t xml:space="preserve"> = $</w:t>
      </w:r>
      <w:r w:rsidRPr="008503F0" w:rsidR="19E15981">
        <w:rPr>
          <w:rFonts w:ascii="Times New Roman"/>
        </w:rPr>
        <w:t>3</w:t>
      </w:r>
      <w:r w:rsidRPr="008503F0" w:rsidR="005B4BA4">
        <w:rPr>
          <w:rFonts w:ascii="Times New Roman"/>
        </w:rPr>
        <w:t>3</w:t>
      </w:r>
      <w:r w:rsidRPr="008503F0" w:rsidR="00074785">
        <w:rPr>
          <w:rFonts w:ascii="Times New Roman"/>
        </w:rPr>
        <w:t>0,510</w:t>
      </w:r>
    </w:p>
    <w:p w:rsidR="00906A16" w:rsidP="00530278" w14:paraId="5A3303E4" w14:textId="77777777">
      <w:pPr>
        <w:widowControl/>
        <w:rPr>
          <w:rFonts w:ascii="Times New Roman"/>
          <w:b/>
          <w:bCs/>
        </w:rPr>
      </w:pPr>
    </w:p>
    <w:p w:rsidR="00606D2D" w:rsidRPr="0080157B" w:rsidP="00530278" w14:paraId="2AE2D740" w14:textId="3D708A2C">
      <w:pPr>
        <w:widowControl/>
        <w:rPr>
          <w:rFonts w:ascii="Times New Roman"/>
          <w:bCs/>
        </w:rPr>
      </w:pPr>
      <w:r>
        <w:rPr>
          <w:rFonts w:ascii="Times New Roman"/>
          <w:b/>
          <w:bCs/>
        </w:rPr>
        <w:t xml:space="preserve">B. </w:t>
      </w:r>
      <w:r w:rsidRPr="0080157B">
        <w:rPr>
          <w:rFonts w:ascii="Times New Roman"/>
          <w:b/>
          <w:bCs/>
        </w:rPr>
        <w:t>Written Compliance Program</w:t>
      </w:r>
      <w:r w:rsidRPr="0080157B">
        <w:rPr>
          <w:rFonts w:ascii="Times New Roman"/>
        </w:rPr>
        <w:t xml:space="preserve"> </w:t>
      </w:r>
      <w:r w:rsidRPr="0080157B">
        <w:rPr>
          <w:rFonts w:ascii="Times New Roman"/>
          <w:b/>
          <w:bCs/>
        </w:rPr>
        <w:t>(</w:t>
      </w:r>
      <w:r w:rsidR="002F0D40">
        <w:rPr>
          <w:rFonts w:ascii="Times New Roman"/>
          <w:b/>
          <w:bCs/>
        </w:rPr>
        <w:t>§ 1</w:t>
      </w:r>
      <w:r w:rsidRPr="0080157B">
        <w:rPr>
          <w:rFonts w:ascii="Times New Roman"/>
          <w:b/>
          <w:bCs/>
        </w:rPr>
        <w:t>910.1025(e))</w:t>
      </w:r>
    </w:p>
    <w:p w:rsidR="00606D2D" w:rsidRPr="0080157B" w:rsidP="00606D2D" w14:paraId="5B6888DE" w14:textId="77777777">
      <w:pPr>
        <w:widowControl/>
        <w:rPr>
          <w:rFonts w:ascii="Times New Roman"/>
          <w:bCs/>
        </w:rPr>
      </w:pPr>
    </w:p>
    <w:p w:rsidR="00343F15" w:rsidP="00606D2D" w14:paraId="45D03755" w14:textId="78C797CC">
      <w:pPr>
        <w:widowControl/>
        <w:rPr>
          <w:rFonts w:ascii="Times New Roman"/>
        </w:rPr>
      </w:pPr>
      <w:r w:rsidRPr="0080157B">
        <w:rPr>
          <w:rFonts w:ascii="Times New Roman"/>
        </w:rPr>
        <w:t xml:space="preserve">The standard requires that each employer establish and implement a written compliance program to reduce </w:t>
      </w:r>
      <w:r>
        <w:rPr>
          <w:rFonts w:ascii="Times New Roman"/>
        </w:rPr>
        <w:t>worker</w:t>
      </w:r>
      <w:r w:rsidRPr="0080157B">
        <w:rPr>
          <w:rFonts w:ascii="Times New Roman"/>
        </w:rPr>
        <w:t xml:space="preserve"> exposures to or below the PEL (and interim levels, if applicable) solely </w:t>
      </w:r>
      <w:r w:rsidR="00250791">
        <w:rPr>
          <w:rFonts w:ascii="Times New Roman"/>
        </w:rPr>
        <w:t xml:space="preserve">utilizing </w:t>
      </w:r>
      <w:r w:rsidRPr="0080157B">
        <w:rPr>
          <w:rFonts w:ascii="Times New Roman"/>
        </w:rPr>
        <w:t xml:space="preserve">engineering and work practice controls. Such plans must be revised and updated annually to reflect the </w:t>
      </w:r>
      <w:r w:rsidR="00746A85">
        <w:rPr>
          <w:rFonts w:ascii="Times New Roman"/>
        </w:rPr>
        <w:t xml:space="preserve">program's </w:t>
      </w:r>
      <w:r w:rsidR="00746A85">
        <w:rPr>
          <w:rFonts w:ascii="Times New Roman"/>
        </w:rPr>
        <w:t>current status</w:t>
      </w:r>
      <w:r w:rsidRPr="0080157B">
        <w:rPr>
          <w:rFonts w:ascii="Times New Roman"/>
        </w:rPr>
        <w:t xml:space="preserve"> until all </w:t>
      </w:r>
      <w:r>
        <w:rPr>
          <w:rFonts w:ascii="Times New Roman"/>
        </w:rPr>
        <w:t>worker</w:t>
      </w:r>
      <w:r w:rsidRPr="0080157B">
        <w:rPr>
          <w:rFonts w:ascii="Times New Roman"/>
        </w:rPr>
        <w:t xml:space="preserve"> exposures are reduced to or below the PEL solely by engineering and work practice control methods. The standard required compliance with this provision be achieved no later than </w:t>
      </w:r>
      <w:r w:rsidR="00BB4935">
        <w:rPr>
          <w:rFonts w:ascii="Times New Roman"/>
        </w:rPr>
        <w:t xml:space="preserve">the compliance dates </w:t>
      </w:r>
      <w:r w:rsidR="00BB4935">
        <w:rPr>
          <w:rFonts w:ascii="Times New Roman"/>
        </w:rPr>
        <w:t>in</w:t>
      </w:r>
      <w:r w:rsidR="00BB4935">
        <w:rPr>
          <w:rFonts w:ascii="Times New Roman"/>
        </w:rPr>
        <w:t xml:space="preserve"> the implementation table</w:t>
      </w:r>
      <w:r w:rsidR="00560CF0">
        <w:rPr>
          <w:rFonts w:ascii="Times New Roman"/>
        </w:rPr>
        <w:t xml:space="preserve"> (</w:t>
      </w:r>
      <w:r w:rsidR="00BB4935">
        <w:rPr>
          <w:rFonts w:ascii="Times New Roman"/>
        </w:rPr>
        <w:t>199</w:t>
      </w:r>
      <w:r w:rsidR="00560CF0">
        <w:rPr>
          <w:rFonts w:ascii="Times New Roman"/>
        </w:rPr>
        <w:t>6 or earlier, depending on the industry)</w:t>
      </w:r>
      <w:r w:rsidRPr="0080157B">
        <w:rPr>
          <w:rFonts w:ascii="Times New Roman"/>
        </w:rPr>
        <w:t>.</w:t>
      </w:r>
      <w:r w:rsidR="00D15FE6">
        <w:rPr>
          <w:rFonts w:ascii="Times New Roman"/>
        </w:rPr>
        <w:t xml:space="preserve"> </w:t>
      </w:r>
      <w:r w:rsidRPr="0080157B">
        <w:rPr>
          <w:rFonts w:ascii="Times New Roman"/>
        </w:rPr>
        <w:t>Ther</w:t>
      </w:r>
      <w:r w:rsidRPr="0080157B">
        <w:rPr>
          <w:rFonts w:ascii="Times New Roman"/>
        </w:rPr>
        <w:t xml:space="preserve">efore, all firms that were in existence </w:t>
      </w:r>
      <w:r w:rsidR="00746A85">
        <w:rPr>
          <w:rFonts w:ascii="Times New Roman"/>
        </w:rPr>
        <w:t>before</w:t>
      </w:r>
      <w:r w:rsidRPr="0080157B">
        <w:rPr>
          <w:rFonts w:ascii="Times New Roman"/>
        </w:rPr>
        <w:t xml:space="preserve"> </w:t>
      </w:r>
      <w:r w:rsidR="00BB4935">
        <w:rPr>
          <w:rFonts w:ascii="Times New Roman"/>
        </w:rPr>
        <w:t>1996</w:t>
      </w:r>
      <w:r w:rsidR="006D7046">
        <w:rPr>
          <w:rFonts w:ascii="Times New Roman"/>
        </w:rPr>
        <w:t xml:space="preserve"> </w:t>
      </w:r>
      <w:r w:rsidRPr="0080157B">
        <w:rPr>
          <w:rFonts w:ascii="Times New Roman"/>
        </w:rPr>
        <w:t xml:space="preserve">have already prepared their written plans. In addition, existing firms that have successfully reduced </w:t>
      </w:r>
      <w:r>
        <w:rPr>
          <w:rFonts w:ascii="Times New Roman"/>
        </w:rPr>
        <w:t>worker</w:t>
      </w:r>
      <w:r w:rsidRPr="0080157B">
        <w:rPr>
          <w:rFonts w:ascii="Times New Roman"/>
        </w:rPr>
        <w:t xml:space="preserve"> exposure below </w:t>
      </w:r>
      <w:r w:rsidRPr="0080157B">
        <w:rPr>
          <w:rFonts w:ascii="Times New Roman"/>
        </w:rPr>
        <w:t>the PEL</w:t>
      </w:r>
      <w:r w:rsidRPr="0080157B">
        <w:rPr>
          <w:rFonts w:ascii="Times New Roman"/>
        </w:rPr>
        <w:t xml:space="preserve"> are not required to </w:t>
      </w:r>
      <w:r w:rsidR="0026249C">
        <w:rPr>
          <w:rFonts w:ascii="Times New Roman"/>
        </w:rPr>
        <w:t xml:space="preserve">maintain </w:t>
      </w:r>
      <w:r w:rsidRPr="0080157B">
        <w:rPr>
          <w:rFonts w:ascii="Times New Roman"/>
        </w:rPr>
        <w:t xml:space="preserve">their </w:t>
      </w:r>
      <w:r w:rsidR="00C14236">
        <w:rPr>
          <w:rFonts w:ascii="Times New Roman"/>
        </w:rPr>
        <w:t>w</w:t>
      </w:r>
      <w:r w:rsidRPr="0080157B">
        <w:rPr>
          <w:rFonts w:ascii="Times New Roman"/>
        </w:rPr>
        <w:t>ritten compliance plans.</w:t>
      </w:r>
      <w:r w:rsidRPr="00C12691" w:rsidR="00C12691">
        <w:rPr>
          <w:rFonts w:ascii="Times New Roman"/>
        </w:rPr>
        <w:t xml:space="preserve"> </w:t>
      </w:r>
    </w:p>
    <w:p w:rsidR="00343F15" w:rsidP="00606D2D" w14:paraId="40325978" w14:textId="77777777">
      <w:pPr>
        <w:widowControl/>
        <w:rPr>
          <w:rFonts w:ascii="Times New Roman"/>
        </w:rPr>
      </w:pPr>
    </w:p>
    <w:p w:rsidR="009E3FF5" w:rsidRPr="00673FB1" w:rsidP="00606D2D" w14:paraId="359E58D3" w14:textId="336782EB">
      <w:pPr>
        <w:widowControl/>
        <w:rPr>
          <w:rFonts w:ascii="Times New Roman"/>
        </w:rPr>
      </w:pPr>
      <w:r>
        <w:rPr>
          <w:rFonts w:ascii="Times New Roman"/>
        </w:rPr>
        <w:t xml:space="preserve">The </w:t>
      </w:r>
      <w:r w:rsidR="004E7369">
        <w:rPr>
          <w:rFonts w:ascii="Times New Roman"/>
        </w:rPr>
        <w:t>a</w:t>
      </w:r>
      <w:r>
        <w:rPr>
          <w:rFonts w:ascii="Times New Roman"/>
        </w:rPr>
        <w:t>gency</w:t>
      </w:r>
      <w:r w:rsidR="00910080">
        <w:rPr>
          <w:rFonts w:ascii="Times New Roman"/>
        </w:rPr>
        <w:t xml:space="preserve"> </w:t>
      </w:r>
      <w:r>
        <w:rPr>
          <w:rFonts w:ascii="Times New Roman"/>
        </w:rPr>
        <w:t>identified new firms since the last ICR</w:t>
      </w:r>
      <w:r w:rsidR="001F2908">
        <w:rPr>
          <w:rFonts w:ascii="Times New Roman"/>
        </w:rPr>
        <w:t xml:space="preserve">. However, new firms </w:t>
      </w:r>
      <w:r w:rsidR="00AF4DF3">
        <w:rPr>
          <w:rFonts w:ascii="Times New Roman"/>
        </w:rPr>
        <w:t>started after these compliance dates may not expose their employ</w:t>
      </w:r>
      <w:r w:rsidR="00343F15">
        <w:rPr>
          <w:rFonts w:ascii="Times New Roman"/>
        </w:rPr>
        <w:t>e</w:t>
      </w:r>
      <w:r w:rsidR="00AF4DF3">
        <w:rPr>
          <w:rFonts w:ascii="Times New Roman"/>
        </w:rPr>
        <w:t xml:space="preserve">es to lead levels </w:t>
      </w:r>
      <w:r w:rsidR="00AF4DF3">
        <w:rPr>
          <w:rFonts w:ascii="Times New Roman"/>
        </w:rPr>
        <w:t>in excess of</w:t>
      </w:r>
      <w:r w:rsidR="00AF4DF3">
        <w:rPr>
          <w:rFonts w:ascii="Times New Roman"/>
        </w:rPr>
        <w:t xml:space="preserve"> </w:t>
      </w:r>
      <w:r w:rsidR="00AF4DF3">
        <w:rPr>
          <w:rFonts w:ascii="Times New Roman"/>
        </w:rPr>
        <w:t>the PEL</w:t>
      </w:r>
      <w:r w:rsidR="00AF4DF3">
        <w:rPr>
          <w:rFonts w:ascii="Times New Roman"/>
        </w:rPr>
        <w:t xml:space="preserve">. Therefore, they are assumed to have worker lead exposure levels </w:t>
      </w:r>
      <w:r w:rsidR="00C26FA9">
        <w:rPr>
          <w:rFonts w:ascii="Times New Roman"/>
        </w:rPr>
        <w:t xml:space="preserve">below </w:t>
      </w:r>
      <w:r w:rsidR="00C26FA9">
        <w:rPr>
          <w:rFonts w:ascii="Times New Roman"/>
        </w:rPr>
        <w:t>the PEL</w:t>
      </w:r>
      <w:r w:rsidR="00C26FA9">
        <w:rPr>
          <w:rFonts w:ascii="Times New Roman"/>
        </w:rPr>
        <w:t xml:space="preserve"> and are not required to develop compliance plans.</w:t>
      </w:r>
    </w:p>
    <w:p w:rsidR="002D75F2" w:rsidRPr="000610D2" w:rsidP="00606D2D" w14:paraId="3CACBCA2" w14:textId="77777777">
      <w:pPr>
        <w:widowControl/>
        <w:rPr>
          <w:rFonts w:ascii="Times New Roman"/>
        </w:rPr>
      </w:pPr>
    </w:p>
    <w:p w:rsidR="00606D2D" w:rsidRPr="0080157B" w:rsidP="3080DAE6" w14:paraId="49CD7755" w14:textId="46288AB4">
      <w:pPr>
        <w:widowControl/>
        <w:rPr>
          <w:rFonts w:ascii="Times New Roman"/>
          <w:b/>
          <w:bCs/>
        </w:rPr>
      </w:pPr>
      <w:r w:rsidRPr="3080DAE6">
        <w:rPr>
          <w:rFonts w:ascii="Times New Roman"/>
          <w:b/>
          <w:bCs/>
        </w:rPr>
        <w:t>C. Administrative Controls</w:t>
      </w:r>
      <w:r w:rsidRPr="3080DAE6">
        <w:rPr>
          <w:rFonts w:ascii="Times New Roman"/>
        </w:rPr>
        <w:t xml:space="preserve"> </w:t>
      </w:r>
      <w:r w:rsidRPr="3080DAE6" w:rsidR="07D432DC">
        <w:rPr>
          <w:rFonts w:ascii="Times New Roman"/>
          <w:b/>
          <w:bCs/>
        </w:rPr>
        <w:t>(§ 1910.1025(e)(6))</w:t>
      </w:r>
    </w:p>
    <w:p w:rsidR="00606D2D" w:rsidRPr="0080157B" w:rsidP="00606D2D" w14:paraId="6A67C19B" w14:textId="77777777">
      <w:pPr>
        <w:widowControl/>
        <w:rPr>
          <w:rFonts w:ascii="Times New Roman"/>
        </w:rPr>
      </w:pPr>
    </w:p>
    <w:p w:rsidR="009E3FF5" w:rsidP="00606D2D" w14:paraId="04962224" w14:textId="326E60FF">
      <w:pPr>
        <w:widowControl/>
        <w:rPr>
          <w:rFonts w:ascii="Times New Roman"/>
        </w:rPr>
      </w:pPr>
      <w:r w:rsidRPr="0080157B">
        <w:rPr>
          <w:rFonts w:ascii="Times New Roman"/>
        </w:rPr>
        <w:t xml:space="preserve">Although the standard permits the use of </w:t>
      </w:r>
      <w:r>
        <w:rPr>
          <w:rFonts w:ascii="Times New Roman"/>
        </w:rPr>
        <w:t>worker</w:t>
      </w:r>
      <w:r w:rsidRPr="0080157B">
        <w:rPr>
          <w:rFonts w:ascii="Times New Roman"/>
        </w:rPr>
        <w:t xml:space="preserve"> rotation to control exposure to lead, OSHA assumes that the establishment and implementation of such job rotation schedules are not widely used because of the administrative difficulties inherent in such a practice. There may be some </w:t>
      </w:r>
      <w:r w:rsidRPr="0080157B">
        <w:rPr>
          <w:rFonts w:ascii="Times New Roman"/>
        </w:rPr>
        <w:t xml:space="preserve">operations where such practice is feasible; however, OSHA has no indication of the number of employers or </w:t>
      </w:r>
      <w:r>
        <w:rPr>
          <w:rFonts w:ascii="Times New Roman"/>
        </w:rPr>
        <w:t>worker</w:t>
      </w:r>
      <w:r w:rsidRPr="0080157B">
        <w:rPr>
          <w:rFonts w:ascii="Times New Roman"/>
        </w:rPr>
        <w:t xml:space="preserve">s who will be involved. </w:t>
      </w:r>
    </w:p>
    <w:p w:rsidR="009E3FF5" w:rsidP="00606D2D" w14:paraId="78ADFB63" w14:textId="77777777">
      <w:pPr>
        <w:widowControl/>
        <w:rPr>
          <w:rFonts w:ascii="Times New Roman"/>
        </w:rPr>
      </w:pPr>
    </w:p>
    <w:p w:rsidR="00606D2D" w:rsidP="00606D2D" w14:paraId="297B4D53" w14:textId="58E35570">
      <w:pPr>
        <w:widowControl/>
        <w:rPr>
          <w:rFonts w:ascii="Times New Roman"/>
        </w:rPr>
      </w:pPr>
      <w:r>
        <w:rPr>
          <w:rFonts w:ascii="Times New Roman"/>
        </w:rPr>
        <w:t>Therefore, OSHA has included one hour of supervisory time at a cost of $74.26 as the burden of this requirement</w:t>
      </w:r>
      <w:r w:rsidRPr="0080157B" w:rsidR="00DE7D9E">
        <w:rPr>
          <w:rFonts w:ascii="Times New Roman"/>
        </w:rPr>
        <w:t>.</w:t>
      </w:r>
    </w:p>
    <w:p w:rsidR="00673FB1" w:rsidP="00606D2D" w14:paraId="3D0F4C0A" w14:textId="12A942E8">
      <w:pPr>
        <w:widowControl/>
        <w:rPr>
          <w:rFonts w:ascii="Times New Roman"/>
        </w:rPr>
      </w:pPr>
    </w:p>
    <w:p w:rsidR="00673FB1" w:rsidP="00673FB1" w14:paraId="34B93A3F" w14:textId="1CD67BDC">
      <w:pPr>
        <w:widowControl/>
        <w:rPr>
          <w:rFonts w:ascii="Times New Roman"/>
        </w:rPr>
      </w:pPr>
      <w:r>
        <w:rPr>
          <w:rFonts w:ascii="Times New Roman"/>
        </w:rPr>
        <w:tab/>
      </w:r>
      <w:r>
        <w:rPr>
          <w:rFonts w:ascii="Times New Roman"/>
          <w:b/>
          <w:bCs/>
        </w:rPr>
        <w:t>Burden hours</w:t>
      </w:r>
      <w:r w:rsidRPr="00EA3C8A">
        <w:rPr>
          <w:rFonts w:ascii="Times New Roman"/>
        </w:rPr>
        <w:t>:</w:t>
      </w:r>
      <w:r>
        <w:rPr>
          <w:rFonts w:ascii="Times New Roman"/>
          <w:b/>
          <w:bCs/>
        </w:rPr>
        <w:t xml:space="preserve"> </w:t>
      </w:r>
      <w:r>
        <w:rPr>
          <w:rFonts w:ascii="Times New Roman"/>
        </w:rPr>
        <w:tab/>
        <w:t>1</w:t>
      </w:r>
      <w:r>
        <w:rPr>
          <w:rFonts w:ascii="Times New Roman"/>
        </w:rPr>
        <w:t xml:space="preserve"> </w:t>
      </w:r>
      <w:r w:rsidR="001E2BCD">
        <w:rPr>
          <w:rFonts w:ascii="Times New Roman"/>
        </w:rPr>
        <w:t xml:space="preserve">estimated </w:t>
      </w:r>
      <w:r w:rsidR="009E3FF5">
        <w:rPr>
          <w:rFonts w:ascii="Times New Roman"/>
        </w:rPr>
        <w:t>establishment</w:t>
      </w:r>
      <w:r>
        <w:rPr>
          <w:rFonts w:ascii="Times New Roman"/>
        </w:rPr>
        <w:t xml:space="preserve"> x 1 hour = 1 hour</w:t>
      </w:r>
    </w:p>
    <w:p w:rsidR="00673FB1" w:rsidRPr="00673FB1" w:rsidP="00673FB1" w14:paraId="40FC58C1" w14:textId="611CDAAD">
      <w:pPr>
        <w:widowControl/>
        <w:rPr>
          <w:rFonts w:ascii="Times New Roman"/>
        </w:rPr>
      </w:pPr>
      <w:r w:rsidRPr="56E51CD7">
        <w:rPr>
          <w:rFonts w:ascii="Times New Roman"/>
        </w:rPr>
        <w:t xml:space="preserve"> </w:t>
      </w:r>
      <w:r>
        <w:tab/>
      </w:r>
      <w:r w:rsidRPr="56E51CD7" w:rsidR="7ED76A97">
        <w:rPr>
          <w:rFonts w:ascii="Times New Roman"/>
        </w:rPr>
        <w:t xml:space="preserve"> </w:t>
      </w:r>
      <w:r>
        <w:tab/>
      </w:r>
      <w:r w:rsidRPr="56E51CD7" w:rsidR="210F82E9">
        <w:rPr>
          <w:rFonts w:ascii="Times New Roman"/>
        </w:rPr>
        <w:t xml:space="preserve"> </w:t>
      </w:r>
      <w:r w:rsidRPr="56E51CD7">
        <w:rPr>
          <w:rFonts w:ascii="Times New Roman"/>
        </w:rPr>
        <w:t xml:space="preserve"> </w:t>
      </w:r>
      <w:r w:rsidRPr="56E51CD7" w:rsidR="7ED76A97">
        <w:rPr>
          <w:rFonts w:ascii="Times New Roman"/>
          <w:b/>
          <w:bCs/>
        </w:rPr>
        <w:t>Costs</w:t>
      </w:r>
      <w:r w:rsidRPr="00EA3C8A" w:rsidR="7ED76A97">
        <w:rPr>
          <w:rFonts w:ascii="Times New Roman"/>
        </w:rPr>
        <w:t>:</w:t>
      </w:r>
      <w:r>
        <w:tab/>
      </w:r>
      <w:r w:rsidRPr="56E51CD7" w:rsidR="7ED76A97">
        <w:rPr>
          <w:rFonts w:ascii="Times New Roman"/>
        </w:rPr>
        <w:t>1 hour x $</w:t>
      </w:r>
      <w:r w:rsidR="00AA5A5A">
        <w:rPr>
          <w:rFonts w:ascii="Times New Roman"/>
        </w:rPr>
        <w:t>7</w:t>
      </w:r>
      <w:r w:rsidR="00516ADF">
        <w:rPr>
          <w:rFonts w:ascii="Times New Roman"/>
        </w:rPr>
        <w:t>4</w:t>
      </w:r>
      <w:r w:rsidR="00AA5A5A">
        <w:rPr>
          <w:rFonts w:ascii="Times New Roman"/>
        </w:rPr>
        <w:t>.26</w:t>
      </w:r>
      <w:r w:rsidRPr="56E51CD7" w:rsidR="7ED76A97">
        <w:rPr>
          <w:rFonts w:ascii="Times New Roman"/>
        </w:rPr>
        <w:t xml:space="preserve"> = $</w:t>
      </w:r>
      <w:r w:rsidR="00082376">
        <w:rPr>
          <w:rFonts w:ascii="Times New Roman"/>
        </w:rPr>
        <w:t>7</w:t>
      </w:r>
      <w:r w:rsidR="009675D2">
        <w:rPr>
          <w:rFonts w:ascii="Times New Roman"/>
        </w:rPr>
        <w:t>4</w:t>
      </w:r>
    </w:p>
    <w:p w:rsidR="009E3FF5" w:rsidRPr="0080157B" w:rsidP="00606D2D" w14:paraId="6B4313DB" w14:textId="77777777">
      <w:pPr>
        <w:widowControl/>
        <w:rPr>
          <w:rFonts w:ascii="Times New Roman"/>
        </w:rPr>
      </w:pPr>
    </w:p>
    <w:p w:rsidR="00606D2D" w:rsidRPr="0080157B" w:rsidP="3080DAE6" w14:paraId="3B9CB89A" w14:textId="3060ACA1">
      <w:pPr>
        <w:widowControl/>
        <w:rPr>
          <w:b/>
          <w:bCs/>
        </w:rPr>
      </w:pPr>
      <w:r w:rsidRPr="3080DAE6">
        <w:rPr>
          <w:rFonts w:ascii="Times New Roman"/>
          <w:b/>
          <w:bCs/>
        </w:rPr>
        <w:t xml:space="preserve">D. Respiratory Protection </w:t>
      </w:r>
      <w:r w:rsidRPr="3080DAE6" w:rsidR="50DDDDED">
        <w:rPr>
          <w:rFonts w:ascii="Times New Roman"/>
          <w:b/>
          <w:bCs/>
        </w:rPr>
        <w:t>(§ 1910.1025(f)(2))</w:t>
      </w:r>
    </w:p>
    <w:p w:rsidR="009E3FF5" w:rsidP="00606D2D" w14:paraId="3B7B8DBC" w14:textId="77777777">
      <w:pPr>
        <w:widowControl/>
        <w:rPr>
          <w:rFonts w:ascii="Times New Roman"/>
        </w:rPr>
      </w:pPr>
    </w:p>
    <w:p w:rsidR="00606D2D" w:rsidRPr="0080157B" w:rsidP="00606D2D" w14:paraId="12ACEB56" w14:textId="15CB2EA7">
      <w:pPr>
        <w:widowControl/>
        <w:rPr>
          <w:rFonts w:ascii="Times New Roman"/>
        </w:rPr>
      </w:pPr>
      <w:r w:rsidRPr="56E51CD7">
        <w:rPr>
          <w:rFonts w:ascii="Times New Roman"/>
        </w:rPr>
        <w:t>The standard requires the employer to institute a respiratory protection program in accordance with 29 CFR 1910.134. No burden is taken for this requirement.</w:t>
      </w:r>
      <w:r w:rsidRPr="56E51CD7" w:rsidR="2CD7BE93">
        <w:rPr>
          <w:rFonts w:ascii="Times New Roman"/>
        </w:rPr>
        <w:t xml:space="preserve"> </w:t>
      </w:r>
      <w:r w:rsidRPr="56E51CD7" w:rsidR="79235ACB">
        <w:rPr>
          <w:rFonts w:ascii="Times New Roman"/>
        </w:rPr>
        <w:t>T</w:t>
      </w:r>
      <w:r w:rsidRPr="56E51CD7">
        <w:rPr>
          <w:rFonts w:ascii="Times New Roman"/>
        </w:rPr>
        <w:t xml:space="preserve">he burden is taken in the Respiratory </w:t>
      </w:r>
      <w:r w:rsidRPr="56E51CD7" w:rsidR="43081EB2">
        <w:rPr>
          <w:rFonts w:ascii="Times New Roman"/>
        </w:rPr>
        <w:t>P</w:t>
      </w:r>
      <w:r w:rsidRPr="56E51CD7">
        <w:rPr>
          <w:rFonts w:ascii="Times New Roman"/>
        </w:rPr>
        <w:t xml:space="preserve">rotection paperwork package for </w:t>
      </w:r>
      <w:r w:rsidRPr="56E51CD7" w:rsidR="0AFFCAB6">
        <w:rPr>
          <w:rFonts w:ascii="Times New Roman"/>
        </w:rPr>
        <w:t>§ 1</w:t>
      </w:r>
      <w:r w:rsidRPr="56E51CD7">
        <w:rPr>
          <w:rFonts w:ascii="Times New Roman"/>
        </w:rPr>
        <w:t>910.134 (OMB Control Number 1218-0099).</w:t>
      </w:r>
    </w:p>
    <w:p w:rsidR="00606D2D" w:rsidRPr="0080157B" w:rsidP="00606D2D" w14:paraId="0ECD0BE6" w14:textId="77777777">
      <w:pPr>
        <w:widowControl/>
        <w:rPr>
          <w:rFonts w:ascii="Times New Roman"/>
        </w:rPr>
      </w:pPr>
    </w:p>
    <w:p w:rsidR="00606D2D" w:rsidRPr="0080157B" w:rsidP="3080DAE6" w14:paraId="6B4E3F3C" w14:textId="2F0F009E">
      <w:pPr>
        <w:widowControl/>
        <w:autoSpaceDE/>
        <w:autoSpaceDN/>
        <w:adjustRightInd/>
        <w:rPr>
          <w:rFonts w:ascii="Times New Roman"/>
          <w:b/>
          <w:bCs/>
        </w:rPr>
      </w:pPr>
      <w:r w:rsidRPr="3080DAE6">
        <w:rPr>
          <w:rFonts w:ascii="Times New Roman"/>
          <w:b/>
          <w:bCs/>
        </w:rPr>
        <w:t>E. Notifying the Laundry</w:t>
      </w:r>
      <w:r w:rsidRPr="3080DAE6">
        <w:rPr>
          <w:rFonts w:ascii="Times New Roman"/>
        </w:rPr>
        <w:t xml:space="preserve"> </w:t>
      </w:r>
      <w:r w:rsidRPr="3080DAE6" w:rsidR="7CF27A44">
        <w:rPr>
          <w:rFonts w:ascii="Times New Roman"/>
          <w:b/>
          <w:bCs/>
        </w:rPr>
        <w:t>(§ 1910.1025(g)(2)(vi))</w:t>
      </w:r>
    </w:p>
    <w:p w:rsidR="00606D2D" w:rsidRPr="0080157B" w:rsidP="00606D2D" w14:paraId="33DCC1FB" w14:textId="77777777">
      <w:pPr>
        <w:widowControl/>
        <w:rPr>
          <w:rFonts w:ascii="Times New Roman"/>
        </w:rPr>
      </w:pPr>
    </w:p>
    <w:p w:rsidR="00606D2D" w:rsidRPr="0080157B" w:rsidP="00606D2D" w14:paraId="370A844A" w14:textId="13F46323">
      <w:pPr>
        <w:widowControl/>
        <w:rPr>
          <w:rFonts w:ascii="Times New Roman"/>
        </w:rPr>
      </w:pPr>
      <w:r w:rsidRPr="0080157B">
        <w:rPr>
          <w:rFonts w:ascii="Times New Roman"/>
        </w:rPr>
        <w:t xml:space="preserve">This ICR assumes no employers have </w:t>
      </w:r>
      <w:r>
        <w:rPr>
          <w:rFonts w:ascii="Times New Roman"/>
        </w:rPr>
        <w:t>worker</w:t>
      </w:r>
      <w:r w:rsidRPr="0080157B">
        <w:rPr>
          <w:rFonts w:ascii="Times New Roman"/>
        </w:rPr>
        <w:t xml:space="preserve">s exposed </w:t>
      </w:r>
      <w:r w:rsidRPr="0080157B">
        <w:rPr>
          <w:rFonts w:ascii="Times New Roman"/>
        </w:rPr>
        <w:t>over</w:t>
      </w:r>
      <w:r w:rsidRPr="0080157B">
        <w:rPr>
          <w:rFonts w:ascii="Times New Roman"/>
        </w:rPr>
        <w:t xml:space="preserve"> </w:t>
      </w:r>
      <w:r w:rsidRPr="0080157B">
        <w:rPr>
          <w:rFonts w:ascii="Times New Roman"/>
        </w:rPr>
        <w:t>the PEL</w:t>
      </w:r>
      <w:r w:rsidR="00513128">
        <w:rPr>
          <w:rFonts w:ascii="Times New Roman"/>
        </w:rPr>
        <w:t>.</w:t>
      </w:r>
      <w:r w:rsidRPr="0080157B">
        <w:rPr>
          <w:rFonts w:ascii="Times New Roman"/>
        </w:rPr>
        <w:t xml:space="preserve"> </w:t>
      </w:r>
      <w:r w:rsidR="00513128">
        <w:rPr>
          <w:rFonts w:ascii="Times New Roman"/>
        </w:rPr>
        <w:t>T</w:t>
      </w:r>
      <w:r w:rsidRPr="0080157B">
        <w:rPr>
          <w:rFonts w:ascii="Times New Roman"/>
        </w:rPr>
        <w:t>herefore</w:t>
      </w:r>
      <w:r w:rsidR="00A10BD0">
        <w:rPr>
          <w:rFonts w:ascii="Times New Roman"/>
        </w:rPr>
        <w:t>,</w:t>
      </w:r>
      <w:r w:rsidRPr="0080157B">
        <w:rPr>
          <w:rFonts w:ascii="Times New Roman"/>
        </w:rPr>
        <w:t xml:space="preserve"> there are no burden </w:t>
      </w:r>
      <w:r w:rsidRPr="0080157B">
        <w:rPr>
          <w:rFonts w:ascii="Times New Roman"/>
        </w:rPr>
        <w:t>hours</w:t>
      </w:r>
      <w:r w:rsidRPr="0080157B">
        <w:rPr>
          <w:rFonts w:ascii="Times New Roman"/>
        </w:rPr>
        <w:t xml:space="preserve"> and no costs associated with this provision.</w:t>
      </w:r>
    </w:p>
    <w:p w:rsidR="00606D2D" w:rsidP="00606D2D" w14:paraId="2981D703" w14:textId="77777777">
      <w:pPr>
        <w:widowControl/>
        <w:rPr>
          <w:rFonts w:ascii="Times New Roman"/>
        </w:rPr>
      </w:pPr>
    </w:p>
    <w:p w:rsidR="00894766" w:rsidRPr="00894766" w:rsidP="3080DAE6" w14:paraId="7522568B" w14:textId="7C2F546F">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b/>
          <w:bCs/>
        </w:rPr>
      </w:pPr>
      <w:r w:rsidRPr="3080DAE6">
        <w:rPr>
          <w:rFonts w:ascii="Times New Roman"/>
          <w:b/>
          <w:bCs/>
        </w:rPr>
        <w:t xml:space="preserve">F. Labeling of Contaminated Protective Clothing and Equipment </w:t>
      </w:r>
      <w:r w:rsidRPr="3080DAE6" w:rsidR="1073FD19">
        <w:rPr>
          <w:rFonts w:ascii="Times New Roman"/>
          <w:b/>
          <w:bCs/>
        </w:rPr>
        <w:t>(§ 1910.1025(g)(2)(vii))</w:t>
      </w:r>
    </w:p>
    <w:p w:rsidR="00894766" w:rsidP="00894766" w14:paraId="415F0523"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p>
    <w:p w:rsidR="00894766" w:rsidRPr="0036475A" w:rsidP="00530278" w14:paraId="7554E641" w14:textId="218BEBBE">
      <w:pPr>
        <w:widowControl/>
        <w:autoSpaceDE/>
        <w:autoSpaceDN/>
        <w:adjustRightInd/>
        <w:rPr>
          <w:rFonts w:ascii="Times New Roman"/>
        </w:rPr>
      </w:pPr>
      <w:r w:rsidRPr="0036475A">
        <w:rPr>
          <w:rFonts w:ascii="Times New Roman" w:eastAsia="Times New Roman" w:cs="Melior"/>
        </w:rPr>
        <w:t xml:space="preserve">Since this provision provides specific </w:t>
      </w:r>
      <w:r w:rsidRPr="0036475A">
        <w:rPr>
          <w:rFonts w:ascii="Times New Roman" w:eastAsia="Times New Roman" w:cs="Melior"/>
        </w:rPr>
        <w:t>language for</w:t>
      </w:r>
      <w:r w:rsidRPr="0036475A">
        <w:rPr>
          <w:rFonts w:ascii="Times New Roman" w:eastAsia="Times New Roman" w:cs="Melior"/>
        </w:rPr>
        <w:t xml:space="preserve"> labels of contaminated protective clothing and equipment, the </w:t>
      </w:r>
      <w:r w:rsidR="004E7369">
        <w:rPr>
          <w:rFonts w:ascii="Times New Roman" w:eastAsia="Times New Roman" w:cs="Melior"/>
        </w:rPr>
        <w:t>a</w:t>
      </w:r>
      <w:r w:rsidRPr="0036475A">
        <w:rPr>
          <w:rFonts w:ascii="Times New Roman" w:eastAsia="Times New Roman" w:cs="Melior"/>
        </w:rPr>
        <w:t>gency is exempted from taking burden hours and costs for these provisions. (</w:t>
      </w:r>
      <w:r w:rsidRPr="0036475A">
        <w:rPr>
          <w:rFonts w:ascii="Times New Roman" w:eastAsia="Times New Roman" w:cs="Melior-Italic"/>
          <w:i/>
          <w:iCs/>
        </w:rPr>
        <w:t xml:space="preserve">See </w:t>
      </w:r>
      <w:r w:rsidRPr="0036475A">
        <w:rPr>
          <w:rFonts w:ascii="Times New Roman" w:eastAsia="Times New Roman" w:cs="Melior"/>
        </w:rPr>
        <w:t>5 CFR 1320.2(c)(2) (</w:t>
      </w:r>
      <w:r w:rsidR="00E60B7A">
        <w:rPr>
          <w:rFonts w:ascii="Times New Roman" w:eastAsia="Times New Roman" w:cs="Melior"/>
        </w:rPr>
        <w:t>“</w:t>
      </w:r>
      <w:r w:rsidRPr="0036475A">
        <w:rPr>
          <w:rFonts w:ascii="Times New Roman" w:eastAsia="Times New Roman" w:cs="Melior"/>
        </w:rPr>
        <w:t>Controlling paperwork burden on the public</w:t>
      </w:r>
      <w:r w:rsidR="00E60B7A">
        <w:rPr>
          <w:rFonts w:ascii="Times New Roman" w:eastAsia="Times New Roman" w:cs="Melior"/>
        </w:rPr>
        <w:t>”</w:t>
      </w:r>
      <w:r w:rsidRPr="0036475A">
        <w:rPr>
          <w:rFonts w:ascii="Times New Roman" w:eastAsia="Times New Roman" w:cs="Melior"/>
        </w:rPr>
        <w:t>)).</w:t>
      </w:r>
      <w:r w:rsidRPr="0036475A">
        <w:rPr>
          <w:rFonts w:ascii="Times New Roman"/>
        </w:rPr>
        <w:t xml:space="preserve"> </w:t>
      </w:r>
    </w:p>
    <w:p w:rsidR="00894766" w:rsidRPr="0080157B" w:rsidP="00530278" w14:paraId="551243F2" w14:textId="77777777">
      <w:pPr>
        <w:widowControl/>
        <w:autoSpaceDE/>
        <w:autoSpaceDN/>
        <w:adjustRightInd/>
        <w:rPr>
          <w:rFonts w:ascii="Times New Roman"/>
        </w:rPr>
      </w:pPr>
    </w:p>
    <w:p w:rsidR="00606D2D" w:rsidRPr="0080157B" w:rsidP="3080DAE6" w14:paraId="0357DF0F" w14:textId="0FD7EC97">
      <w:pPr>
        <w:widowControl/>
        <w:autoSpaceDE/>
        <w:autoSpaceDN/>
        <w:adjustRightInd/>
        <w:rPr>
          <w:rFonts w:ascii="Times New Roman"/>
          <w:b/>
          <w:bCs/>
        </w:rPr>
      </w:pPr>
      <w:r w:rsidRPr="3080DAE6">
        <w:rPr>
          <w:rFonts w:ascii="Times New Roman"/>
          <w:b/>
          <w:bCs/>
        </w:rPr>
        <w:t>G</w:t>
      </w:r>
      <w:r w:rsidRPr="3080DAE6" w:rsidR="00115AA9">
        <w:rPr>
          <w:rFonts w:ascii="Times New Roman"/>
          <w:b/>
          <w:bCs/>
        </w:rPr>
        <w:t xml:space="preserve">. </w:t>
      </w:r>
      <w:r w:rsidRPr="3080DAE6" w:rsidR="00C14236">
        <w:rPr>
          <w:rFonts w:ascii="Times New Roman"/>
          <w:b/>
          <w:bCs/>
        </w:rPr>
        <w:t>Medical Surveillance</w:t>
      </w:r>
      <w:r w:rsidRPr="3080DAE6" w:rsidR="10896691">
        <w:rPr>
          <w:rFonts w:ascii="Times New Roman"/>
          <w:b/>
          <w:bCs/>
        </w:rPr>
        <w:t xml:space="preserve"> (§ 1910.1025(j))</w:t>
      </w:r>
    </w:p>
    <w:p w:rsidR="00606D2D" w:rsidRPr="0080157B" w:rsidP="00530278" w14:paraId="5D14F540" w14:textId="77777777">
      <w:pPr>
        <w:widowControl/>
        <w:autoSpaceDE/>
        <w:autoSpaceDN/>
        <w:adjustRightInd/>
        <w:rPr>
          <w:rFonts w:ascii="Times New Roman"/>
        </w:rPr>
      </w:pPr>
    </w:p>
    <w:p w:rsidR="00606D2D" w:rsidRPr="0080157B" w:rsidP="00530278" w14:paraId="385F5F68" w14:textId="751DEBBF">
      <w:pPr>
        <w:widowControl/>
        <w:autoSpaceDE/>
        <w:autoSpaceDN/>
        <w:adjustRightInd/>
        <w:rPr>
          <w:rFonts w:ascii="Times New Roman"/>
        </w:rPr>
      </w:pPr>
      <w:r>
        <w:rPr>
          <w:rFonts w:ascii="Times New Roman"/>
        </w:rPr>
        <w:t xml:space="preserve">(1) </w:t>
      </w:r>
      <w:r w:rsidRPr="0080157B">
        <w:rPr>
          <w:rFonts w:ascii="Times New Roman"/>
          <w:u w:val="single"/>
        </w:rPr>
        <w:t>Biological Monitoring</w:t>
      </w:r>
    </w:p>
    <w:p w:rsidR="00606D2D" w:rsidRPr="0080157B" w:rsidP="00530278" w14:paraId="3DDBDDDE" w14:textId="77777777">
      <w:pPr>
        <w:widowControl/>
        <w:autoSpaceDE/>
        <w:autoSpaceDN/>
        <w:adjustRightInd/>
        <w:rPr>
          <w:rFonts w:ascii="Times New Roman"/>
        </w:rPr>
      </w:pPr>
    </w:p>
    <w:p w:rsidR="00606D2D" w:rsidRPr="00680D43" w:rsidP="00530278" w14:paraId="36DB5342" w14:textId="29575B83">
      <w:pPr>
        <w:widowControl/>
        <w:autoSpaceDE/>
        <w:autoSpaceDN/>
        <w:adjustRightInd/>
        <w:rPr>
          <w:rFonts w:ascii="Times New Roman"/>
        </w:rPr>
      </w:pPr>
      <w:r w:rsidRPr="0080157B">
        <w:rPr>
          <w:rFonts w:ascii="Times New Roman"/>
        </w:rPr>
        <w:t xml:space="preserve">The employer must make available biological monitoring in the form of blood sampling and analysis for lead and zinc protoporphyrin (ZPP) levels to each </w:t>
      </w:r>
      <w:r>
        <w:rPr>
          <w:rFonts w:ascii="Times New Roman"/>
        </w:rPr>
        <w:t>worker</w:t>
      </w:r>
      <w:r w:rsidRPr="0080157B">
        <w:rPr>
          <w:rFonts w:ascii="Times New Roman"/>
        </w:rPr>
        <w:t xml:space="preserve"> who may be exposed to lead </w:t>
      </w:r>
      <w:r w:rsidR="00B24363">
        <w:rPr>
          <w:rFonts w:ascii="Times New Roman"/>
        </w:rPr>
        <w:t xml:space="preserve">at or </w:t>
      </w:r>
      <w:r w:rsidRPr="0080157B">
        <w:rPr>
          <w:rFonts w:ascii="Times New Roman"/>
        </w:rPr>
        <w:t>above the action level for more than 30 days per year. Such monitoring must be made available at least every six months. OSHA assumes that the</w:t>
      </w:r>
      <w:r w:rsidR="009F7AB4">
        <w:rPr>
          <w:rFonts w:ascii="Times New Roman"/>
        </w:rPr>
        <w:t xml:space="preserve"> </w:t>
      </w:r>
      <w:r w:rsidR="000B76EE">
        <w:rPr>
          <w:rFonts w:ascii="Times New Roman"/>
        </w:rPr>
        <w:t>366,629</w:t>
      </w:r>
      <w:r w:rsidRPr="0080157B">
        <w:rPr>
          <w:rFonts w:ascii="Times New Roman"/>
        </w:rPr>
        <w:t xml:space="preserve"> </w:t>
      </w:r>
      <w:r>
        <w:rPr>
          <w:rFonts w:ascii="Times New Roman"/>
        </w:rPr>
        <w:t>worker</w:t>
      </w:r>
      <w:r w:rsidRPr="0080157B">
        <w:rPr>
          <w:rFonts w:ascii="Times New Roman"/>
        </w:rPr>
        <w:t xml:space="preserve">s exposed </w:t>
      </w:r>
      <w:r w:rsidR="00341E56">
        <w:rPr>
          <w:rFonts w:ascii="Times New Roman"/>
        </w:rPr>
        <w:t xml:space="preserve">at or </w:t>
      </w:r>
      <w:r w:rsidRPr="0080157B">
        <w:rPr>
          <w:rFonts w:ascii="Times New Roman"/>
        </w:rPr>
        <w:t>above the action level in existing industries (</w:t>
      </w:r>
      <w:r w:rsidRPr="001438C5" w:rsidR="00456C59">
        <w:rPr>
          <w:rFonts w:ascii="Times New Roman"/>
          <w:i/>
          <w:iCs/>
        </w:rPr>
        <w:t>S</w:t>
      </w:r>
      <w:r w:rsidRPr="001438C5">
        <w:rPr>
          <w:rFonts w:ascii="Times New Roman"/>
          <w:i/>
          <w:iCs/>
        </w:rPr>
        <w:t>ee</w:t>
      </w:r>
      <w:r w:rsidRPr="0080157B">
        <w:rPr>
          <w:rFonts w:ascii="Times New Roman"/>
        </w:rPr>
        <w:t xml:space="preserve"> Table </w:t>
      </w:r>
      <w:r w:rsidR="00456C59">
        <w:rPr>
          <w:rFonts w:ascii="Times New Roman"/>
        </w:rPr>
        <w:t>B</w:t>
      </w:r>
      <w:r w:rsidRPr="0080157B">
        <w:rPr>
          <w:rFonts w:ascii="Times New Roman"/>
        </w:rPr>
        <w:t>) require such monitoring. OSHA has estimated that blood sampling requires approximately 15 minutes (</w:t>
      </w:r>
      <w:r w:rsidR="0076170B">
        <w:rPr>
          <w:rFonts w:ascii="Times New Roman"/>
        </w:rPr>
        <w:t>15/60</w:t>
      </w:r>
      <w:r w:rsidRPr="0080157B">
        <w:rPr>
          <w:rFonts w:ascii="Times New Roman"/>
        </w:rPr>
        <w:t xml:space="preserve"> </w:t>
      </w:r>
      <w:r w:rsidRPr="0080157B" w:rsidR="00B61AF4">
        <w:rPr>
          <w:rFonts w:ascii="Times New Roman"/>
        </w:rPr>
        <w:t>hours</w:t>
      </w:r>
      <w:r w:rsidRPr="0080157B">
        <w:rPr>
          <w:rFonts w:ascii="Times New Roman"/>
        </w:rPr>
        <w:t xml:space="preserve">) of the </w:t>
      </w:r>
      <w:r>
        <w:rPr>
          <w:rFonts w:ascii="Times New Roman"/>
        </w:rPr>
        <w:t>worker</w:t>
      </w:r>
      <w:r w:rsidRPr="0080157B">
        <w:rPr>
          <w:rFonts w:ascii="Times New Roman"/>
        </w:rPr>
        <w:t xml:space="preserve">'s time and of the occupational </w:t>
      </w:r>
      <w:r w:rsidRPr="00680D43">
        <w:rPr>
          <w:rFonts w:ascii="Times New Roman"/>
        </w:rPr>
        <w:t>health nurse's time.</w:t>
      </w:r>
    </w:p>
    <w:p w:rsidR="00606D2D" w:rsidRPr="00680D43" w:rsidP="00530278" w14:paraId="1715DB01" w14:textId="77777777">
      <w:pPr>
        <w:widowControl/>
        <w:autoSpaceDE/>
        <w:autoSpaceDN/>
        <w:adjustRightInd/>
        <w:rPr>
          <w:rFonts w:ascii="Times New Roman"/>
        </w:rPr>
      </w:pPr>
    </w:p>
    <w:p w:rsidR="00606D2D" w:rsidRPr="00224DB3" w:rsidP="00530278" w14:paraId="3C7F688A" w14:textId="58D414BE">
      <w:pPr>
        <w:widowControl/>
        <w:ind w:left="2880" w:hanging="2160"/>
        <w:rPr>
          <w:rFonts w:ascii="Times New Roman"/>
        </w:rPr>
      </w:pPr>
      <w:r w:rsidRPr="00680D43">
        <w:rPr>
          <w:rFonts w:ascii="Times New Roman"/>
          <w:b/>
          <w:bCs/>
        </w:rPr>
        <w:t>Burden hours</w:t>
      </w:r>
      <w:r w:rsidRPr="00680D43">
        <w:rPr>
          <w:rFonts w:ascii="Times New Roman"/>
        </w:rPr>
        <w:t>:</w:t>
      </w:r>
      <w:r w:rsidRPr="00680D43">
        <w:tab/>
      </w:r>
      <w:bookmarkStart w:id="3" w:name="_Hlk190611750"/>
      <w:r w:rsidRPr="00680D43" w:rsidR="000B76EE">
        <w:rPr>
          <w:rFonts w:ascii="Times New Roman"/>
        </w:rPr>
        <w:t>366,629</w:t>
      </w:r>
      <w:r w:rsidRPr="00680D43">
        <w:rPr>
          <w:rFonts w:ascii="Times New Roman"/>
        </w:rPr>
        <w:t xml:space="preserve"> workers × 2 </w:t>
      </w:r>
      <w:r w:rsidRPr="00680D43" w:rsidR="117984A0">
        <w:rPr>
          <w:rFonts w:ascii="Times New Roman"/>
        </w:rPr>
        <w:t xml:space="preserve">annual </w:t>
      </w:r>
      <w:r w:rsidRPr="00680D43">
        <w:rPr>
          <w:rFonts w:ascii="Times New Roman"/>
        </w:rPr>
        <w:t xml:space="preserve">samples × </w:t>
      </w:r>
      <w:r w:rsidRPr="00680D43" w:rsidR="06577FDA">
        <w:rPr>
          <w:rFonts w:ascii="Times New Roman"/>
        </w:rPr>
        <w:t>15/60</w:t>
      </w:r>
      <w:r w:rsidRPr="00680D43">
        <w:rPr>
          <w:rFonts w:ascii="Times New Roman"/>
        </w:rPr>
        <w:t xml:space="preserve"> hour</w:t>
      </w:r>
      <w:r w:rsidR="00547FAD">
        <w:rPr>
          <w:rFonts w:ascii="Times New Roman"/>
        </w:rPr>
        <w:t>s</w:t>
      </w:r>
      <w:r w:rsidRPr="00680D43">
        <w:rPr>
          <w:rFonts w:ascii="Times New Roman"/>
        </w:rPr>
        <w:t xml:space="preserve"> </w:t>
      </w:r>
      <w:r w:rsidRPr="00680D43">
        <w:br/>
      </w:r>
      <w:r w:rsidRPr="00680D43" w:rsidR="309BACF8">
        <w:rPr>
          <w:rFonts w:ascii="Times New Roman"/>
        </w:rPr>
        <w:t xml:space="preserve">  </w:t>
      </w:r>
      <w:r w:rsidRPr="00680D43">
        <w:rPr>
          <w:rFonts w:ascii="Times New Roman"/>
        </w:rPr>
        <w:t xml:space="preserve">= </w:t>
      </w:r>
      <w:r w:rsidRPr="00680D43" w:rsidR="1C7626E0">
        <w:rPr>
          <w:rFonts w:ascii="Times New Roman"/>
        </w:rPr>
        <w:t>1</w:t>
      </w:r>
      <w:r w:rsidRPr="00680D43" w:rsidR="00E31020">
        <w:rPr>
          <w:rFonts w:ascii="Times New Roman"/>
        </w:rPr>
        <w:t>83,</w:t>
      </w:r>
      <w:r w:rsidRPr="00680D43" w:rsidR="00976B3F">
        <w:rPr>
          <w:rFonts w:ascii="Times New Roman"/>
        </w:rPr>
        <w:t>315</w:t>
      </w:r>
      <w:r w:rsidRPr="00680D43" w:rsidR="1C7626E0">
        <w:rPr>
          <w:rFonts w:ascii="Times New Roman"/>
        </w:rPr>
        <w:t xml:space="preserve"> </w:t>
      </w:r>
      <w:r w:rsidRPr="00680D43">
        <w:rPr>
          <w:rFonts w:ascii="Times New Roman"/>
        </w:rPr>
        <w:t>hour</w:t>
      </w:r>
      <w:bookmarkEnd w:id="3"/>
      <w:r w:rsidRPr="00680D43">
        <w:rPr>
          <w:rFonts w:ascii="Times New Roman"/>
        </w:rPr>
        <w:t>s</w:t>
      </w:r>
    </w:p>
    <w:p w:rsidR="00606D2D" w:rsidRPr="0080157B" w:rsidP="00530278" w14:paraId="7EDA524B" w14:textId="470D737F">
      <w:pPr>
        <w:widowControl/>
        <w:ind w:left="720" w:firstLine="720"/>
        <w:rPr>
          <w:rFonts w:ascii="Times New Roman"/>
        </w:rPr>
      </w:pPr>
      <w:r w:rsidRPr="56E51CD7">
        <w:rPr>
          <w:rFonts w:ascii="Times New Roman"/>
          <w:b/>
          <w:bCs/>
        </w:rPr>
        <w:t xml:space="preserve"> </w:t>
      </w:r>
      <w:r w:rsidRPr="56E51CD7" w:rsidR="2CD7BE93">
        <w:rPr>
          <w:rFonts w:ascii="Times New Roman"/>
          <w:b/>
          <w:bCs/>
        </w:rPr>
        <w:t xml:space="preserve"> </w:t>
      </w:r>
      <w:r w:rsidRPr="56E51CD7" w:rsidR="049474F3">
        <w:rPr>
          <w:rFonts w:ascii="Times New Roman"/>
          <w:b/>
          <w:bCs/>
        </w:rPr>
        <w:t>Costs</w:t>
      </w:r>
      <w:r w:rsidRPr="00EA3C8A" w:rsidR="049474F3">
        <w:rPr>
          <w:rFonts w:ascii="Times New Roman"/>
        </w:rPr>
        <w:t>:</w:t>
      </w:r>
      <w:r w:rsidR="00224DB3">
        <w:tab/>
      </w:r>
      <w:r w:rsidRPr="56E51CD7" w:rsidR="1C7626E0">
        <w:rPr>
          <w:rFonts w:ascii="Times New Roman"/>
        </w:rPr>
        <w:t>1</w:t>
      </w:r>
      <w:r w:rsidR="00E31020">
        <w:rPr>
          <w:rFonts w:ascii="Times New Roman"/>
        </w:rPr>
        <w:t>8</w:t>
      </w:r>
      <w:r w:rsidR="00A10BDF">
        <w:rPr>
          <w:rFonts w:ascii="Times New Roman"/>
        </w:rPr>
        <w:t>3,</w:t>
      </w:r>
      <w:r w:rsidR="00F21F2E">
        <w:rPr>
          <w:rFonts w:ascii="Times New Roman"/>
        </w:rPr>
        <w:t>315</w:t>
      </w:r>
      <w:r w:rsidRPr="56E51CD7" w:rsidR="1C7626E0">
        <w:rPr>
          <w:rFonts w:ascii="Times New Roman"/>
        </w:rPr>
        <w:t xml:space="preserve"> </w:t>
      </w:r>
      <w:r w:rsidRPr="56E51CD7" w:rsidR="049474F3">
        <w:rPr>
          <w:rFonts w:ascii="Times New Roman"/>
        </w:rPr>
        <w:t>hours × $</w:t>
      </w:r>
      <w:r w:rsidR="00A10BDF">
        <w:rPr>
          <w:rFonts w:ascii="Times New Roman"/>
        </w:rPr>
        <w:t>43.4</w:t>
      </w:r>
      <w:r w:rsidR="003E3F48">
        <w:rPr>
          <w:rFonts w:ascii="Times New Roman"/>
        </w:rPr>
        <w:t>9</w:t>
      </w:r>
      <w:r w:rsidRPr="56E51CD7" w:rsidR="049474F3">
        <w:rPr>
          <w:rFonts w:ascii="Times New Roman"/>
        </w:rPr>
        <w:t xml:space="preserve"> = $</w:t>
      </w:r>
      <w:r w:rsidRPr="56E51CD7" w:rsidR="24A32AD5">
        <w:rPr>
          <w:rFonts w:ascii="Times New Roman"/>
        </w:rPr>
        <w:t>7</w:t>
      </w:r>
      <w:r w:rsidR="003E3F48">
        <w:rPr>
          <w:rFonts w:ascii="Times New Roman"/>
        </w:rPr>
        <w:t>,9</w:t>
      </w:r>
      <w:r w:rsidR="00EB23D2">
        <w:rPr>
          <w:rFonts w:ascii="Times New Roman"/>
        </w:rPr>
        <w:t>72,369</w:t>
      </w:r>
    </w:p>
    <w:p w:rsidR="00606D2D" w:rsidRPr="0080157B" w:rsidP="00530278" w14:paraId="1893F11F" w14:textId="77777777">
      <w:pPr>
        <w:widowControl/>
        <w:rPr>
          <w:rFonts w:ascii="Times New Roman"/>
        </w:rPr>
      </w:pPr>
    </w:p>
    <w:p w:rsidR="00606D2D" w:rsidRPr="00717787" w:rsidP="00530278" w14:paraId="7E95FF0F" w14:textId="6A14A6E0">
      <w:pPr>
        <w:widowControl/>
        <w:rPr>
          <w:rFonts w:ascii="Times New Roman"/>
        </w:rPr>
      </w:pPr>
      <w:r w:rsidRPr="0080157B">
        <w:rPr>
          <w:rFonts w:ascii="Times New Roman"/>
        </w:rPr>
        <w:t xml:space="preserve">The standard requires blood sampling and analysis every two months for </w:t>
      </w:r>
      <w:r>
        <w:rPr>
          <w:rFonts w:ascii="Times New Roman"/>
        </w:rPr>
        <w:t>worker</w:t>
      </w:r>
      <w:r w:rsidRPr="0080157B">
        <w:rPr>
          <w:rFonts w:ascii="Times New Roman"/>
        </w:rPr>
        <w:t xml:space="preserve">s found to have blood lead levels at or above 40 </w:t>
      </w:r>
      <w:r w:rsidRPr="0080157B">
        <w:rPr>
          <w:rFonts w:ascii="Times New Roman"/>
        </w:rPr>
        <w:t>µg</w:t>
      </w:r>
      <w:r w:rsidRPr="0080157B">
        <w:rPr>
          <w:rFonts w:ascii="Times New Roman"/>
        </w:rPr>
        <w:t xml:space="preserve">/100 g and at least monthly for </w:t>
      </w:r>
      <w:r>
        <w:rPr>
          <w:rFonts w:ascii="Times New Roman"/>
        </w:rPr>
        <w:t>worker</w:t>
      </w:r>
      <w:r w:rsidRPr="0080157B">
        <w:rPr>
          <w:rFonts w:ascii="Times New Roman"/>
        </w:rPr>
        <w:t>s who are removed from exposure to lead due to elevated blood lead levels (</w:t>
      </w:r>
      <w:r w:rsidR="006B2517">
        <w:rPr>
          <w:rFonts w:ascii="Times New Roman"/>
        </w:rPr>
        <w:t>more than</w:t>
      </w:r>
      <w:r w:rsidRPr="0080157B">
        <w:rPr>
          <w:rFonts w:ascii="Times New Roman"/>
        </w:rPr>
        <w:t xml:space="preserve"> 50 </w:t>
      </w:r>
      <w:r w:rsidRPr="0080157B">
        <w:rPr>
          <w:rFonts w:ascii="Times New Roman"/>
        </w:rPr>
        <w:t>µg</w:t>
      </w:r>
      <w:r w:rsidRPr="0080157B">
        <w:rPr>
          <w:rFonts w:ascii="Times New Roman"/>
        </w:rPr>
        <w:t xml:space="preserve">/100 g). According to </w:t>
      </w:r>
      <w:r w:rsidRPr="0080157B">
        <w:rPr>
          <w:rFonts w:ascii="Times New Roman"/>
        </w:rPr>
        <w:t xml:space="preserve">information gathered by OSHA during the rulemaking process for lead, even achievement of the PEL of 50 </w:t>
      </w:r>
      <w:r w:rsidRPr="0080157B">
        <w:rPr>
          <w:rFonts w:ascii="Times New Roman"/>
        </w:rPr>
        <w:t>µg</w:t>
      </w:r>
      <w:r w:rsidRPr="0080157B">
        <w:rPr>
          <w:rFonts w:ascii="Times New Roman"/>
        </w:rPr>
        <w:t>/m</w:t>
      </w:r>
      <w:r w:rsidRPr="0080157B">
        <w:rPr>
          <w:rFonts w:ascii="Times New Roman"/>
          <w:vertAlign w:val="superscript"/>
        </w:rPr>
        <w:t>3</w:t>
      </w:r>
      <w:r w:rsidRPr="0080157B">
        <w:rPr>
          <w:rFonts w:ascii="Times New Roman"/>
        </w:rPr>
        <w:t xml:space="preserve"> will not result in maintaining the blood lead levels of all occupationally exposed </w:t>
      </w:r>
      <w:r>
        <w:rPr>
          <w:rFonts w:ascii="Times New Roman"/>
        </w:rPr>
        <w:t>worker</w:t>
      </w:r>
      <w:r w:rsidRPr="0080157B">
        <w:rPr>
          <w:rFonts w:ascii="Times New Roman"/>
        </w:rPr>
        <w:t xml:space="preserve">s below 40 </w:t>
      </w:r>
      <w:r w:rsidRPr="0080157B">
        <w:rPr>
          <w:rFonts w:ascii="Times New Roman"/>
        </w:rPr>
        <w:t>µg</w:t>
      </w:r>
      <w:r w:rsidRPr="0080157B">
        <w:rPr>
          <w:rFonts w:ascii="Times New Roman"/>
        </w:rPr>
        <w:t>/100 g.</w:t>
      </w:r>
      <w:r w:rsidR="00CA711A">
        <w:rPr>
          <w:rFonts w:ascii="Times New Roman"/>
        </w:rPr>
        <w:t xml:space="preserve"> </w:t>
      </w:r>
      <w:r w:rsidRPr="0080157B">
        <w:rPr>
          <w:rFonts w:ascii="Times New Roman"/>
        </w:rPr>
        <w:t xml:space="preserve">Even in those industries achieving compliance with the PEL, OSHA predicts that 0.5 percent of </w:t>
      </w:r>
      <w:r>
        <w:rPr>
          <w:rFonts w:ascii="Times New Roman"/>
        </w:rPr>
        <w:t>worker</w:t>
      </w:r>
      <w:r w:rsidRPr="0080157B">
        <w:rPr>
          <w:rFonts w:ascii="Times New Roman"/>
        </w:rPr>
        <w:t xml:space="preserve"> blood leads will </w:t>
      </w:r>
      <w:r w:rsidR="00B24363">
        <w:rPr>
          <w:rFonts w:ascii="Times New Roman"/>
        </w:rPr>
        <w:t xml:space="preserve">meet or </w:t>
      </w:r>
      <w:r w:rsidRPr="0080157B">
        <w:rPr>
          <w:rFonts w:ascii="Times New Roman"/>
        </w:rPr>
        <w:t>exceed 60 µg/100 g; 5.5 percent will have blood leads between 50</w:t>
      </w:r>
      <w:r w:rsidRPr="0080157B">
        <w:rPr>
          <w:rFonts w:ascii="Times New Roman"/>
        </w:rPr>
        <w:noBreakHyphen/>
        <w:t>60 µg/100 g; and 23.3 percent will be between 40</w:t>
      </w:r>
      <w:r w:rsidRPr="0080157B">
        <w:rPr>
          <w:rFonts w:ascii="Times New Roman"/>
        </w:rPr>
        <w:noBreakHyphen/>
        <w:t xml:space="preserve">50 µg/100 g. Overall, 29.3 percent of exposed </w:t>
      </w:r>
      <w:r>
        <w:rPr>
          <w:rFonts w:ascii="Times New Roman"/>
        </w:rPr>
        <w:t>worker</w:t>
      </w:r>
      <w:r w:rsidRPr="0080157B">
        <w:rPr>
          <w:rFonts w:ascii="Times New Roman"/>
        </w:rPr>
        <w:t xml:space="preserve">s will have blood lead levels </w:t>
      </w:r>
      <w:r w:rsidR="00B24363">
        <w:rPr>
          <w:rFonts w:ascii="Times New Roman"/>
        </w:rPr>
        <w:t xml:space="preserve">at or </w:t>
      </w:r>
      <w:r w:rsidRPr="0080157B">
        <w:rPr>
          <w:rFonts w:ascii="Times New Roman"/>
        </w:rPr>
        <w:t>above 40 µg/100</w:t>
      </w:r>
      <w:r w:rsidR="00940901">
        <w:rPr>
          <w:rFonts w:ascii="Times New Roman"/>
        </w:rPr>
        <w:t xml:space="preserve"> </w:t>
      </w:r>
      <w:r w:rsidRPr="0080157B">
        <w:rPr>
          <w:rFonts w:ascii="Times New Roman"/>
        </w:rPr>
        <w:t xml:space="preserve">g at any one </w:t>
      </w:r>
      <w:r w:rsidRPr="00717787">
        <w:rPr>
          <w:rFonts w:ascii="Times New Roman"/>
        </w:rPr>
        <w:t>time.</w:t>
      </w:r>
    </w:p>
    <w:p w:rsidR="00606D2D" w:rsidRPr="00717787" w:rsidP="00530278" w14:paraId="5B66E99E" w14:textId="77777777">
      <w:pPr>
        <w:widowControl/>
        <w:rPr>
          <w:rFonts w:ascii="Times New Roman"/>
        </w:rPr>
      </w:pPr>
    </w:p>
    <w:p w:rsidR="00606D2D" w:rsidRPr="00717787" w:rsidP="00530278" w14:paraId="161D4651" w14:textId="2E4D12CF">
      <w:pPr>
        <w:widowControl/>
        <w:rPr>
          <w:rFonts w:ascii="Times New Roman"/>
        </w:rPr>
      </w:pPr>
      <w:r w:rsidRPr="00717787">
        <w:rPr>
          <w:rFonts w:ascii="Times New Roman"/>
        </w:rPr>
        <w:t xml:space="preserve">With the above estimates in mind, OSHA estimates 6 percent (or </w:t>
      </w:r>
      <w:r w:rsidRPr="00717787" w:rsidR="00712E5C">
        <w:rPr>
          <w:rFonts w:ascii="Times New Roman"/>
        </w:rPr>
        <w:t>2</w:t>
      </w:r>
      <w:r w:rsidRPr="00717787" w:rsidR="00CB2822">
        <w:rPr>
          <w:rFonts w:ascii="Times New Roman"/>
        </w:rPr>
        <w:t>1,</w:t>
      </w:r>
      <w:r w:rsidRPr="00717787" w:rsidR="008663BC">
        <w:rPr>
          <w:rFonts w:ascii="Times New Roman"/>
        </w:rPr>
        <w:t>998</w:t>
      </w:r>
      <w:r w:rsidRPr="00717787" w:rsidR="009538AD">
        <w:rPr>
          <w:rFonts w:ascii="Times New Roman"/>
        </w:rPr>
        <w:t xml:space="preserve"> </w:t>
      </w:r>
      <w:r w:rsidRPr="00717787">
        <w:rPr>
          <w:rFonts w:ascii="Times New Roman"/>
        </w:rPr>
        <w:t xml:space="preserve">workers) of the </w:t>
      </w:r>
      <w:r w:rsidRPr="00717787" w:rsidR="000B76EE">
        <w:rPr>
          <w:rFonts w:ascii="Times New Roman"/>
        </w:rPr>
        <w:t>366,629</w:t>
      </w:r>
      <w:r w:rsidRPr="00717787" w:rsidR="00462751">
        <w:rPr>
          <w:rFonts w:ascii="Times New Roman"/>
        </w:rPr>
        <w:t xml:space="preserve"> </w:t>
      </w:r>
      <w:r w:rsidRPr="00717787">
        <w:rPr>
          <w:rFonts w:ascii="Times New Roman"/>
        </w:rPr>
        <w:t xml:space="preserve">workers may have blood lead levels which would require removal from further lead exposure and monthly biological monitoring. </w:t>
      </w:r>
      <w:r w:rsidRPr="00717787" w:rsidR="00C543D7">
        <w:rPr>
          <w:rFonts w:ascii="Times New Roman"/>
        </w:rPr>
        <w:t>As</w:t>
      </w:r>
      <w:r w:rsidRPr="00717787">
        <w:rPr>
          <w:rFonts w:ascii="Times New Roman"/>
        </w:rPr>
        <w:t xml:space="preserve"> two months of sampling have </w:t>
      </w:r>
      <w:r w:rsidRPr="00717787" w:rsidR="00C543D7">
        <w:rPr>
          <w:rFonts w:ascii="Times New Roman"/>
        </w:rPr>
        <w:t xml:space="preserve">already </w:t>
      </w:r>
      <w:r w:rsidRPr="00717787">
        <w:rPr>
          <w:rFonts w:ascii="Times New Roman"/>
        </w:rPr>
        <w:t>been accounted for under the biological monitoring estimates discussed above, only 10 additional blood samples must be taken for these workers.</w:t>
      </w:r>
    </w:p>
    <w:p w:rsidR="00606D2D" w:rsidRPr="00717787" w:rsidP="00530278" w14:paraId="7C1F44D3" w14:textId="77777777">
      <w:pPr>
        <w:widowControl/>
        <w:rPr>
          <w:rFonts w:ascii="Times New Roman"/>
        </w:rPr>
      </w:pPr>
    </w:p>
    <w:p w:rsidR="00606D2D" w:rsidRPr="00717787" w:rsidP="00530278" w14:paraId="56A043B8" w14:textId="3C6EEE42">
      <w:pPr>
        <w:widowControl/>
        <w:ind w:firstLine="720"/>
        <w:rPr>
          <w:rFonts w:ascii="Times New Roman"/>
        </w:rPr>
      </w:pPr>
      <w:r w:rsidRPr="00717787">
        <w:rPr>
          <w:rFonts w:ascii="Times New Roman"/>
          <w:b/>
          <w:bCs/>
        </w:rPr>
        <w:t>Burden hours</w:t>
      </w:r>
      <w:r w:rsidRPr="00717787">
        <w:rPr>
          <w:rFonts w:ascii="Times New Roman"/>
        </w:rPr>
        <w:t>:</w:t>
      </w:r>
      <w:r w:rsidRPr="00717787">
        <w:rPr>
          <w:rFonts w:ascii="Times New Roman"/>
        </w:rPr>
        <w:tab/>
      </w:r>
      <w:r w:rsidRPr="00717787" w:rsidR="00712E5C">
        <w:rPr>
          <w:rFonts w:ascii="Times New Roman"/>
        </w:rPr>
        <w:t>2</w:t>
      </w:r>
      <w:r w:rsidRPr="00717787" w:rsidR="00373CE3">
        <w:rPr>
          <w:rFonts w:ascii="Times New Roman"/>
        </w:rPr>
        <w:t>1,998</w:t>
      </w:r>
      <w:r w:rsidRPr="00717787" w:rsidR="009538AD">
        <w:rPr>
          <w:rFonts w:ascii="Times New Roman"/>
        </w:rPr>
        <w:t xml:space="preserve"> </w:t>
      </w:r>
      <w:r w:rsidRPr="00717787">
        <w:rPr>
          <w:rFonts w:ascii="Times New Roman"/>
        </w:rPr>
        <w:t xml:space="preserve">workers × 10 samples × </w:t>
      </w:r>
      <w:r w:rsidRPr="00717787" w:rsidR="00C7422B">
        <w:rPr>
          <w:rFonts w:ascii="Times New Roman"/>
        </w:rPr>
        <w:t>1</w:t>
      </w:r>
      <w:r w:rsidRPr="00717787" w:rsidR="00D70535">
        <w:rPr>
          <w:rFonts w:ascii="Times New Roman"/>
        </w:rPr>
        <w:t>5/60</w:t>
      </w:r>
      <w:r w:rsidRPr="00717787" w:rsidR="00C7422B">
        <w:rPr>
          <w:rFonts w:ascii="Times New Roman"/>
        </w:rPr>
        <w:t xml:space="preserve"> </w:t>
      </w:r>
      <w:r w:rsidRPr="00717787" w:rsidR="00B61AF4">
        <w:rPr>
          <w:rFonts w:ascii="Times New Roman"/>
        </w:rPr>
        <w:t>hours</w:t>
      </w:r>
      <w:r w:rsidRPr="00717787">
        <w:rPr>
          <w:rFonts w:ascii="Times New Roman"/>
        </w:rPr>
        <w:t xml:space="preserve"> = </w:t>
      </w:r>
      <w:r w:rsidRPr="00717787" w:rsidR="00D70535">
        <w:rPr>
          <w:rFonts w:ascii="Times New Roman"/>
        </w:rPr>
        <w:t>5</w:t>
      </w:r>
      <w:r w:rsidRPr="00717787" w:rsidR="00196EC0">
        <w:rPr>
          <w:rFonts w:ascii="Times New Roman"/>
        </w:rPr>
        <w:t>4,</w:t>
      </w:r>
      <w:r w:rsidRPr="00717787" w:rsidR="004C526D">
        <w:rPr>
          <w:rFonts w:ascii="Times New Roman"/>
        </w:rPr>
        <w:t>99</w:t>
      </w:r>
      <w:r w:rsidRPr="00717787" w:rsidR="007D4213">
        <w:rPr>
          <w:rFonts w:ascii="Times New Roman"/>
        </w:rPr>
        <w:t>6</w:t>
      </w:r>
      <w:r w:rsidRPr="00717787" w:rsidR="00D70535">
        <w:rPr>
          <w:rFonts w:ascii="Times New Roman"/>
        </w:rPr>
        <w:t xml:space="preserve"> </w:t>
      </w:r>
      <w:r w:rsidRPr="00717787">
        <w:rPr>
          <w:rFonts w:ascii="Times New Roman"/>
        </w:rPr>
        <w:t>hours</w:t>
      </w:r>
    </w:p>
    <w:p w:rsidR="00606D2D" w:rsidRPr="00717787" w:rsidP="00530278" w14:paraId="5D52C76D" w14:textId="6E5CD74F">
      <w:pPr>
        <w:widowControl/>
        <w:ind w:left="720" w:firstLine="720"/>
        <w:rPr>
          <w:rFonts w:ascii="Times New Roman"/>
        </w:rPr>
      </w:pPr>
      <w:r w:rsidRPr="00717787">
        <w:rPr>
          <w:rFonts w:ascii="Times New Roman"/>
          <w:b/>
          <w:bCs/>
        </w:rPr>
        <w:t xml:space="preserve"> </w:t>
      </w:r>
      <w:r w:rsidRPr="00717787" w:rsidR="2CD7BE93">
        <w:rPr>
          <w:rFonts w:ascii="Times New Roman"/>
          <w:b/>
          <w:bCs/>
        </w:rPr>
        <w:t xml:space="preserve"> </w:t>
      </w:r>
      <w:r w:rsidRPr="00717787" w:rsidR="049474F3">
        <w:rPr>
          <w:rFonts w:ascii="Times New Roman"/>
          <w:b/>
          <w:bCs/>
        </w:rPr>
        <w:t>Costs</w:t>
      </w:r>
      <w:r w:rsidRPr="00717787" w:rsidR="049474F3">
        <w:rPr>
          <w:rFonts w:ascii="Times New Roman"/>
        </w:rPr>
        <w:t>:</w:t>
      </w:r>
      <w:r w:rsidRPr="00717787" w:rsidR="00B24363">
        <w:tab/>
      </w:r>
      <w:r w:rsidRPr="00717787" w:rsidR="699C6131">
        <w:rPr>
          <w:rFonts w:ascii="Times New Roman"/>
        </w:rPr>
        <w:t>5</w:t>
      </w:r>
      <w:r w:rsidRPr="00717787" w:rsidR="004C526D">
        <w:rPr>
          <w:rFonts w:ascii="Times New Roman"/>
        </w:rPr>
        <w:t>4,99</w:t>
      </w:r>
      <w:r w:rsidRPr="00717787" w:rsidR="00DB2F35">
        <w:rPr>
          <w:rFonts w:ascii="Times New Roman"/>
        </w:rPr>
        <w:t>6</w:t>
      </w:r>
      <w:r w:rsidRPr="00717787" w:rsidR="699C6131">
        <w:rPr>
          <w:rFonts w:ascii="Times New Roman"/>
        </w:rPr>
        <w:t xml:space="preserve"> </w:t>
      </w:r>
      <w:r w:rsidRPr="00717787" w:rsidR="049474F3">
        <w:rPr>
          <w:rFonts w:ascii="Times New Roman"/>
        </w:rPr>
        <w:t>hours × $</w:t>
      </w:r>
      <w:r w:rsidRPr="00717787" w:rsidR="0F51CC56">
        <w:rPr>
          <w:rFonts w:ascii="Times New Roman"/>
        </w:rPr>
        <w:t>4</w:t>
      </w:r>
      <w:r w:rsidRPr="00717787" w:rsidR="004C526D">
        <w:rPr>
          <w:rFonts w:ascii="Times New Roman"/>
        </w:rPr>
        <w:t>3.49</w:t>
      </w:r>
      <w:r w:rsidRPr="00717787" w:rsidR="456D8B58">
        <w:rPr>
          <w:rFonts w:ascii="Times New Roman"/>
        </w:rPr>
        <w:t xml:space="preserve"> =</w:t>
      </w:r>
      <w:r w:rsidRPr="00717787" w:rsidR="049474F3">
        <w:rPr>
          <w:rFonts w:ascii="Times New Roman"/>
        </w:rPr>
        <w:t xml:space="preserve"> $</w:t>
      </w:r>
      <w:r w:rsidRPr="00717787" w:rsidR="0F51CC56">
        <w:rPr>
          <w:rFonts w:ascii="Times New Roman"/>
        </w:rPr>
        <w:t>2</w:t>
      </w:r>
      <w:r w:rsidRPr="00717787" w:rsidR="00A91CEB">
        <w:rPr>
          <w:rFonts w:ascii="Times New Roman"/>
        </w:rPr>
        <w:t>,391,7</w:t>
      </w:r>
      <w:r w:rsidRPr="00717787" w:rsidR="00DB2F35">
        <w:rPr>
          <w:rFonts w:ascii="Times New Roman"/>
        </w:rPr>
        <w:t>7</w:t>
      </w:r>
      <w:r w:rsidRPr="00717787" w:rsidR="00125E6E">
        <w:rPr>
          <w:rFonts w:ascii="Times New Roman"/>
        </w:rPr>
        <w:t>6</w:t>
      </w:r>
    </w:p>
    <w:p w:rsidR="00606D2D" w:rsidRPr="00717787" w:rsidP="00530278" w14:paraId="4BB99BC8" w14:textId="77777777">
      <w:pPr>
        <w:widowControl/>
        <w:rPr>
          <w:rFonts w:ascii="Times New Roman"/>
        </w:rPr>
      </w:pPr>
    </w:p>
    <w:p w:rsidR="00606D2D" w:rsidRPr="0080157B" w:rsidP="00530278" w14:paraId="2A9A12D0" w14:textId="311CC367">
      <w:pPr>
        <w:widowControl/>
        <w:rPr>
          <w:rFonts w:ascii="Times New Roman"/>
        </w:rPr>
      </w:pPr>
      <w:r w:rsidRPr="00717787">
        <w:rPr>
          <w:rFonts w:ascii="Times New Roman"/>
        </w:rPr>
        <w:t xml:space="preserve">Approximately 23.3 percent of the </w:t>
      </w:r>
      <w:r w:rsidRPr="00717787" w:rsidR="000B76EE">
        <w:rPr>
          <w:rFonts w:ascii="Times New Roman"/>
        </w:rPr>
        <w:t>366,629</w:t>
      </w:r>
      <w:r w:rsidRPr="00717787">
        <w:rPr>
          <w:rFonts w:ascii="Times New Roman"/>
        </w:rPr>
        <w:t xml:space="preserve"> </w:t>
      </w:r>
      <w:r w:rsidRPr="00717787" w:rsidR="00B54445">
        <w:rPr>
          <w:rFonts w:ascii="Times New Roman"/>
        </w:rPr>
        <w:t>(or 8</w:t>
      </w:r>
      <w:r w:rsidRPr="00717787" w:rsidR="00E7461F">
        <w:rPr>
          <w:rFonts w:ascii="Times New Roman"/>
        </w:rPr>
        <w:t>5,</w:t>
      </w:r>
      <w:r w:rsidRPr="00717787" w:rsidR="00C66EC4">
        <w:rPr>
          <w:rFonts w:ascii="Times New Roman"/>
        </w:rPr>
        <w:t>42</w:t>
      </w:r>
      <w:r w:rsidRPr="00717787" w:rsidR="00240EE9">
        <w:rPr>
          <w:rFonts w:ascii="Times New Roman"/>
        </w:rPr>
        <w:t>5</w:t>
      </w:r>
      <w:r w:rsidRPr="00717787" w:rsidR="00B54445">
        <w:rPr>
          <w:rFonts w:ascii="Times New Roman"/>
        </w:rPr>
        <w:t xml:space="preserve"> workers)</w:t>
      </w:r>
      <w:r w:rsidRPr="00717787" w:rsidR="00121479">
        <w:rPr>
          <w:rFonts w:ascii="Times New Roman"/>
        </w:rPr>
        <w:t xml:space="preserve"> </w:t>
      </w:r>
      <w:r w:rsidRPr="00717787">
        <w:rPr>
          <w:rFonts w:ascii="Times New Roman"/>
        </w:rPr>
        <w:t xml:space="preserve">workers employed in those industries may have blood lead levels </w:t>
      </w:r>
      <w:r w:rsidRPr="00717787" w:rsidR="00CB2021">
        <w:rPr>
          <w:rFonts w:ascii="Times New Roman"/>
        </w:rPr>
        <w:t>that</w:t>
      </w:r>
      <w:r w:rsidRPr="00717787">
        <w:rPr>
          <w:rFonts w:ascii="Times New Roman"/>
        </w:rPr>
        <w:t xml:space="preserve"> require biological monitoring</w:t>
      </w:r>
      <w:r w:rsidRPr="00550E3F">
        <w:rPr>
          <w:rFonts w:ascii="Times New Roman"/>
        </w:rPr>
        <w:t xml:space="preserve"> every two months. Since OSHA has already accounted for</w:t>
      </w:r>
      <w:r w:rsidRPr="0080157B">
        <w:rPr>
          <w:rFonts w:ascii="Times New Roman"/>
        </w:rPr>
        <w:t xml:space="preserve"> two months of such monitoring above, only 4 additional blood samples must be taken for these </w:t>
      </w:r>
      <w:r>
        <w:rPr>
          <w:rFonts w:ascii="Times New Roman"/>
        </w:rPr>
        <w:t>worker</w:t>
      </w:r>
      <w:r w:rsidRPr="0080157B">
        <w:rPr>
          <w:rFonts w:ascii="Times New Roman"/>
        </w:rPr>
        <w:t>s:</w:t>
      </w:r>
    </w:p>
    <w:p w:rsidR="00606D2D" w:rsidRPr="0080157B" w:rsidP="00530278" w14:paraId="73D07027" w14:textId="77777777">
      <w:pPr>
        <w:widowControl/>
        <w:rPr>
          <w:rFonts w:ascii="Times New Roman"/>
        </w:rPr>
      </w:pPr>
    </w:p>
    <w:p w:rsidR="00606D2D" w:rsidRPr="00717787" w:rsidP="00530278" w14:paraId="1E6B8A05" w14:textId="2AB93F9F">
      <w:pPr>
        <w:widowControl/>
        <w:ind w:firstLine="720"/>
        <w:rPr>
          <w:rFonts w:ascii="Times New Roman"/>
        </w:rPr>
      </w:pPr>
      <w:r w:rsidRPr="00400BA0">
        <w:rPr>
          <w:rFonts w:ascii="Times New Roman"/>
          <w:b/>
          <w:bCs/>
        </w:rPr>
        <w:t>Burden hours</w:t>
      </w:r>
      <w:r w:rsidRPr="00EA3C8A">
        <w:rPr>
          <w:rFonts w:ascii="Times New Roman"/>
        </w:rPr>
        <w:t>:</w:t>
      </w:r>
      <w:r w:rsidRPr="00400BA0">
        <w:rPr>
          <w:rFonts w:ascii="Times New Roman"/>
        </w:rPr>
        <w:tab/>
      </w:r>
      <w:r w:rsidRPr="00717787" w:rsidR="009646DA">
        <w:rPr>
          <w:rFonts w:ascii="Times New Roman"/>
        </w:rPr>
        <w:t>8</w:t>
      </w:r>
      <w:r w:rsidRPr="00717787" w:rsidR="000929F9">
        <w:rPr>
          <w:rFonts w:ascii="Times New Roman"/>
        </w:rPr>
        <w:t>5,</w:t>
      </w:r>
      <w:r w:rsidRPr="00717787" w:rsidR="001369F1">
        <w:rPr>
          <w:rFonts w:ascii="Times New Roman"/>
        </w:rPr>
        <w:t>42</w:t>
      </w:r>
      <w:r w:rsidRPr="00717787" w:rsidR="00C54A4E">
        <w:rPr>
          <w:rFonts w:ascii="Times New Roman"/>
        </w:rPr>
        <w:t>5</w:t>
      </w:r>
      <w:r w:rsidRPr="00717787" w:rsidR="00F968FC">
        <w:rPr>
          <w:rFonts w:ascii="Times New Roman"/>
        </w:rPr>
        <w:t xml:space="preserve"> </w:t>
      </w:r>
      <w:r w:rsidRPr="00717787">
        <w:rPr>
          <w:rFonts w:ascii="Times New Roman"/>
        </w:rPr>
        <w:t xml:space="preserve">workers × 4 samples × </w:t>
      </w:r>
      <w:r w:rsidRPr="00717787" w:rsidR="005B0CC8">
        <w:rPr>
          <w:rFonts w:ascii="Times New Roman"/>
        </w:rPr>
        <w:t>15/60</w:t>
      </w:r>
      <w:r w:rsidRPr="00717787">
        <w:rPr>
          <w:rFonts w:ascii="Times New Roman"/>
        </w:rPr>
        <w:t xml:space="preserve"> hour</w:t>
      </w:r>
      <w:r w:rsidRPr="00717787" w:rsidR="00C7422B">
        <w:rPr>
          <w:rFonts w:ascii="Times New Roman"/>
        </w:rPr>
        <w:t>s</w:t>
      </w:r>
      <w:r w:rsidRPr="00717787">
        <w:rPr>
          <w:rFonts w:ascii="Times New Roman"/>
        </w:rPr>
        <w:t xml:space="preserve"> = </w:t>
      </w:r>
      <w:r w:rsidRPr="00717787" w:rsidR="00223F8E">
        <w:rPr>
          <w:rFonts w:ascii="Times New Roman"/>
        </w:rPr>
        <w:t>85,42</w:t>
      </w:r>
      <w:r w:rsidRPr="00717787" w:rsidR="00C54A4E">
        <w:rPr>
          <w:rFonts w:ascii="Times New Roman"/>
        </w:rPr>
        <w:t>5</w:t>
      </w:r>
      <w:r w:rsidRPr="00717787" w:rsidR="006675AC">
        <w:rPr>
          <w:rFonts w:ascii="Times New Roman"/>
        </w:rPr>
        <w:t xml:space="preserve"> </w:t>
      </w:r>
      <w:r w:rsidRPr="00717787">
        <w:rPr>
          <w:rFonts w:ascii="Times New Roman"/>
        </w:rPr>
        <w:t>hours</w:t>
      </w:r>
    </w:p>
    <w:p w:rsidR="00606D2D" w:rsidRPr="00717787" w:rsidP="00530278" w14:paraId="1E9AB36A" w14:textId="73BF2D1D">
      <w:pPr>
        <w:widowControl/>
        <w:ind w:left="720" w:firstLine="720"/>
        <w:rPr>
          <w:rFonts w:ascii="Times New Roman"/>
        </w:rPr>
      </w:pPr>
      <w:r w:rsidRPr="00717787">
        <w:rPr>
          <w:rFonts w:ascii="Times New Roman"/>
          <w:b/>
          <w:bCs/>
        </w:rPr>
        <w:t xml:space="preserve"> </w:t>
      </w:r>
      <w:r w:rsidRPr="00717787" w:rsidR="2CD7BE93">
        <w:rPr>
          <w:rFonts w:ascii="Times New Roman"/>
          <w:b/>
          <w:bCs/>
        </w:rPr>
        <w:t xml:space="preserve"> </w:t>
      </w:r>
      <w:r w:rsidRPr="00717787" w:rsidR="049474F3">
        <w:rPr>
          <w:rFonts w:ascii="Times New Roman"/>
          <w:b/>
          <w:bCs/>
        </w:rPr>
        <w:t>Costs</w:t>
      </w:r>
      <w:r w:rsidRPr="00717787" w:rsidR="049474F3">
        <w:rPr>
          <w:rFonts w:ascii="Times New Roman"/>
        </w:rPr>
        <w:t>:</w:t>
      </w:r>
      <w:r w:rsidRPr="00717787" w:rsidR="00B24363">
        <w:tab/>
      </w:r>
      <w:r w:rsidRPr="00717787" w:rsidR="00B9619B">
        <w:rPr>
          <w:rFonts w:ascii="Times New Roman"/>
        </w:rPr>
        <w:t>85,42</w:t>
      </w:r>
      <w:r w:rsidRPr="00717787" w:rsidR="00C54A4E">
        <w:rPr>
          <w:rFonts w:ascii="Times New Roman"/>
        </w:rPr>
        <w:t>5</w:t>
      </w:r>
      <w:r w:rsidRPr="00717787" w:rsidR="545BD1B3">
        <w:rPr>
          <w:rFonts w:ascii="Times New Roman"/>
        </w:rPr>
        <w:t xml:space="preserve"> hours</w:t>
      </w:r>
      <w:r w:rsidRPr="00717787" w:rsidR="1C7626E0">
        <w:rPr>
          <w:rFonts w:ascii="Times New Roman"/>
        </w:rPr>
        <w:t xml:space="preserve"> </w:t>
      </w:r>
      <w:r w:rsidRPr="00717787" w:rsidR="049474F3">
        <w:rPr>
          <w:rFonts w:ascii="Times New Roman"/>
        </w:rPr>
        <w:t>× $</w:t>
      </w:r>
      <w:r w:rsidRPr="00717787" w:rsidR="00D926AF">
        <w:rPr>
          <w:rFonts w:ascii="Times New Roman"/>
        </w:rPr>
        <w:t>43.49</w:t>
      </w:r>
      <w:r w:rsidRPr="00717787" w:rsidR="049474F3">
        <w:rPr>
          <w:rFonts w:ascii="Times New Roman"/>
        </w:rPr>
        <w:t xml:space="preserve"> = </w:t>
      </w:r>
      <w:r w:rsidRPr="00717787" w:rsidR="00C9591B">
        <w:rPr>
          <w:rFonts w:ascii="Times New Roman"/>
        </w:rPr>
        <w:t>$3,715,</w:t>
      </w:r>
      <w:r w:rsidRPr="00717787" w:rsidR="00C54A4E">
        <w:rPr>
          <w:rFonts w:ascii="Times New Roman"/>
        </w:rPr>
        <w:t>133</w:t>
      </w:r>
    </w:p>
    <w:p w:rsidR="00832DF1" w:rsidRPr="00717787" w:rsidP="3080DAE6" w14:paraId="0F6846CF" w14:textId="4F3B897A">
      <w:pPr>
        <w:widowControl/>
        <w:rPr>
          <w:u w:val="single"/>
        </w:rPr>
      </w:pPr>
    </w:p>
    <w:p w:rsidR="00606D2D" w:rsidRPr="00717787" w:rsidP="00530278" w14:paraId="01F36BD0" w14:textId="0832963E">
      <w:pPr>
        <w:widowControl/>
        <w:rPr>
          <w:rFonts w:ascii="Times New Roman"/>
          <w:u w:val="single"/>
        </w:rPr>
      </w:pPr>
      <w:r w:rsidRPr="00717787">
        <w:rPr>
          <w:rFonts w:ascii="Times New Roman"/>
        </w:rPr>
        <w:t xml:space="preserve">(2) </w:t>
      </w:r>
      <w:r w:rsidRPr="00717787">
        <w:rPr>
          <w:rFonts w:ascii="Times New Roman"/>
          <w:u w:val="single"/>
        </w:rPr>
        <w:t>Employee</w:t>
      </w:r>
      <w:r w:rsidRPr="00717787" w:rsidR="00722895">
        <w:rPr>
          <w:rFonts w:ascii="Times New Roman"/>
          <w:u w:val="single"/>
        </w:rPr>
        <w:t xml:space="preserve"> Medical </w:t>
      </w:r>
      <w:r w:rsidRPr="00717787">
        <w:rPr>
          <w:rFonts w:ascii="Times New Roman"/>
          <w:u w:val="single"/>
        </w:rPr>
        <w:t>Notification</w:t>
      </w:r>
    </w:p>
    <w:p w:rsidR="00606D2D" w:rsidRPr="00717787" w:rsidP="00530278" w14:paraId="727BAF93" w14:textId="77777777">
      <w:pPr>
        <w:widowControl/>
        <w:rPr>
          <w:rFonts w:ascii="Times New Roman"/>
        </w:rPr>
      </w:pPr>
    </w:p>
    <w:p w:rsidR="00606D2D" w:rsidRPr="00717787" w:rsidP="00530278" w14:paraId="0E0B9045" w14:textId="26E46FFA">
      <w:pPr>
        <w:widowControl/>
        <w:rPr>
          <w:rFonts w:ascii="Times New Roman"/>
        </w:rPr>
      </w:pPr>
      <w:r w:rsidRPr="00717787">
        <w:rPr>
          <w:rFonts w:ascii="Times New Roman"/>
        </w:rPr>
        <w:t>The lead standard requires the employer</w:t>
      </w:r>
      <w:r w:rsidRPr="00717787" w:rsidR="00AF5C6A">
        <w:rPr>
          <w:rFonts w:ascii="Times New Roman"/>
        </w:rPr>
        <w:t xml:space="preserve"> to</w:t>
      </w:r>
      <w:r w:rsidRPr="00717787">
        <w:rPr>
          <w:rFonts w:ascii="Times New Roman"/>
        </w:rPr>
        <w:t xml:space="preserve"> notify, in writing, within </w:t>
      </w:r>
      <w:r w:rsidRPr="00717787" w:rsidR="00AF5C6A">
        <w:rPr>
          <w:rFonts w:ascii="Times New Roman"/>
        </w:rPr>
        <w:t>five</w:t>
      </w:r>
      <w:r w:rsidRPr="00717787">
        <w:rPr>
          <w:rFonts w:ascii="Times New Roman"/>
        </w:rPr>
        <w:t xml:space="preserve"> working days after the receipt of biological monitoring results, each worker whose blood lead level exceeds 40 </w:t>
      </w:r>
      <w:r w:rsidRPr="00717787">
        <w:rPr>
          <w:rFonts w:ascii="Times New Roman"/>
        </w:rPr>
        <w:t>µg</w:t>
      </w:r>
      <w:r w:rsidRPr="00717787">
        <w:rPr>
          <w:rFonts w:ascii="Times New Roman"/>
        </w:rPr>
        <w:t xml:space="preserve">/100 g of whole blood. Based on the above information, OSHA estimates </w:t>
      </w:r>
      <w:r w:rsidRPr="00717787" w:rsidR="00330F0E">
        <w:rPr>
          <w:rFonts w:ascii="Times New Roman"/>
        </w:rPr>
        <w:t>2</w:t>
      </w:r>
      <w:r w:rsidRPr="00717787" w:rsidR="00A542E6">
        <w:rPr>
          <w:rFonts w:ascii="Times New Roman"/>
        </w:rPr>
        <w:t>1,9</w:t>
      </w:r>
      <w:r w:rsidRPr="00717787" w:rsidR="00F759BA">
        <w:rPr>
          <w:rFonts w:ascii="Times New Roman"/>
        </w:rPr>
        <w:t>9</w:t>
      </w:r>
      <w:r w:rsidRPr="00717787" w:rsidR="00A542E6">
        <w:rPr>
          <w:rFonts w:ascii="Times New Roman"/>
        </w:rPr>
        <w:t>8</w:t>
      </w:r>
      <w:r w:rsidRPr="00717787" w:rsidR="002A3810">
        <w:rPr>
          <w:rFonts w:ascii="Times New Roman"/>
        </w:rPr>
        <w:t xml:space="preserve"> </w:t>
      </w:r>
      <w:r w:rsidRPr="00717787">
        <w:rPr>
          <w:rFonts w:ascii="Times New Roman"/>
        </w:rPr>
        <w:t xml:space="preserve">workers require monthly </w:t>
      </w:r>
      <w:r w:rsidRPr="00717787" w:rsidR="00D808D0">
        <w:rPr>
          <w:rFonts w:ascii="Times New Roman"/>
        </w:rPr>
        <w:t>notification,</w:t>
      </w:r>
      <w:r w:rsidRPr="00717787">
        <w:rPr>
          <w:rFonts w:ascii="Times New Roman"/>
        </w:rPr>
        <w:t xml:space="preserve"> and </w:t>
      </w:r>
      <w:r w:rsidRPr="00717787" w:rsidR="00330F0E">
        <w:rPr>
          <w:rFonts w:ascii="Times New Roman"/>
        </w:rPr>
        <w:t>8</w:t>
      </w:r>
      <w:r w:rsidRPr="00717787" w:rsidR="00D31A8F">
        <w:rPr>
          <w:rFonts w:ascii="Times New Roman"/>
        </w:rPr>
        <w:t>5,42</w:t>
      </w:r>
      <w:r w:rsidRPr="00717787" w:rsidR="00F242AA">
        <w:rPr>
          <w:rFonts w:ascii="Times New Roman"/>
        </w:rPr>
        <w:t>5</w:t>
      </w:r>
      <w:r w:rsidRPr="00717787" w:rsidR="00A419B9">
        <w:rPr>
          <w:rFonts w:ascii="Times New Roman"/>
        </w:rPr>
        <w:t xml:space="preserve"> </w:t>
      </w:r>
      <w:r w:rsidRPr="00717787">
        <w:rPr>
          <w:rFonts w:ascii="Times New Roman"/>
        </w:rPr>
        <w:t xml:space="preserve">workers require bi-monthly notifications. </w:t>
      </w:r>
      <w:r w:rsidRPr="00717787" w:rsidR="002818EE">
        <w:rPr>
          <w:rFonts w:ascii="Times New Roman"/>
        </w:rPr>
        <w:t>Based on</w:t>
      </w:r>
      <w:r w:rsidRPr="00717787">
        <w:rPr>
          <w:rFonts w:ascii="Times New Roman"/>
        </w:rPr>
        <w:t xml:space="preserve"> these estimates, </w:t>
      </w:r>
      <w:r w:rsidRPr="00717787" w:rsidR="004B32E1">
        <w:rPr>
          <w:rFonts w:ascii="Times New Roman"/>
        </w:rPr>
        <w:t>107,4</w:t>
      </w:r>
      <w:r w:rsidRPr="00717787" w:rsidR="009F2E69">
        <w:rPr>
          <w:rFonts w:ascii="Times New Roman"/>
        </w:rPr>
        <w:t>2</w:t>
      </w:r>
      <w:r w:rsidRPr="00717787" w:rsidR="003D3DA2">
        <w:rPr>
          <w:rFonts w:ascii="Times New Roman"/>
        </w:rPr>
        <w:t>3</w:t>
      </w:r>
      <w:r w:rsidRPr="00717787" w:rsidR="004B32E1">
        <w:rPr>
          <w:rFonts w:ascii="Times New Roman"/>
        </w:rPr>
        <w:t xml:space="preserve"> </w:t>
      </w:r>
      <w:r w:rsidRPr="00717787">
        <w:rPr>
          <w:rFonts w:ascii="Times New Roman"/>
        </w:rPr>
        <w:t>(</w:t>
      </w:r>
      <w:bookmarkStart w:id="4" w:name="_Hlk190356235"/>
      <w:r w:rsidRPr="00717787" w:rsidR="00330F0E">
        <w:rPr>
          <w:rFonts w:ascii="Times New Roman"/>
        </w:rPr>
        <w:t>2</w:t>
      </w:r>
      <w:r w:rsidRPr="00717787" w:rsidR="00DE4B04">
        <w:rPr>
          <w:rFonts w:ascii="Times New Roman"/>
        </w:rPr>
        <w:t>1,9</w:t>
      </w:r>
      <w:r w:rsidRPr="00717787" w:rsidR="009E6652">
        <w:rPr>
          <w:rFonts w:ascii="Times New Roman"/>
        </w:rPr>
        <w:t>9</w:t>
      </w:r>
      <w:r w:rsidRPr="00717787" w:rsidR="00DE4B04">
        <w:rPr>
          <w:rFonts w:ascii="Times New Roman"/>
        </w:rPr>
        <w:t>8</w:t>
      </w:r>
      <w:r w:rsidRPr="00717787" w:rsidR="002A3810">
        <w:rPr>
          <w:rFonts w:ascii="Times New Roman"/>
        </w:rPr>
        <w:t xml:space="preserve"> </w:t>
      </w:r>
      <w:bookmarkEnd w:id="4"/>
      <w:r w:rsidRPr="00717787">
        <w:rPr>
          <w:rFonts w:ascii="Times New Roman"/>
        </w:rPr>
        <w:t xml:space="preserve">monthly notifications + </w:t>
      </w:r>
      <w:r w:rsidRPr="00717787" w:rsidR="00330F0E">
        <w:rPr>
          <w:rFonts w:ascii="Times New Roman"/>
        </w:rPr>
        <w:t>8</w:t>
      </w:r>
      <w:r w:rsidRPr="00717787" w:rsidR="00DE4B04">
        <w:rPr>
          <w:rFonts w:ascii="Times New Roman"/>
        </w:rPr>
        <w:t>5,42</w:t>
      </w:r>
      <w:r w:rsidRPr="00717787" w:rsidR="00EE65A7">
        <w:rPr>
          <w:rFonts w:ascii="Times New Roman"/>
        </w:rPr>
        <w:t>5</w:t>
      </w:r>
      <w:r w:rsidRPr="00717787" w:rsidR="00A419B9">
        <w:rPr>
          <w:rFonts w:ascii="Times New Roman"/>
        </w:rPr>
        <w:t xml:space="preserve"> </w:t>
      </w:r>
      <w:r w:rsidRPr="00717787">
        <w:rPr>
          <w:rFonts w:ascii="Times New Roman"/>
        </w:rPr>
        <w:t xml:space="preserve">bi-monthly </w:t>
      </w:r>
      <w:r w:rsidRPr="00717787" w:rsidR="00927FFE">
        <w:rPr>
          <w:rFonts w:ascii="Times New Roman"/>
        </w:rPr>
        <w:t>n</w:t>
      </w:r>
      <w:r w:rsidRPr="00717787">
        <w:rPr>
          <w:rFonts w:ascii="Times New Roman"/>
        </w:rPr>
        <w:t>otification</w:t>
      </w:r>
      <w:r w:rsidRPr="00717787" w:rsidR="00A419B9">
        <w:rPr>
          <w:rFonts w:ascii="Times New Roman"/>
        </w:rPr>
        <w:t>s</w:t>
      </w:r>
      <w:r w:rsidRPr="00717787">
        <w:rPr>
          <w:rFonts w:ascii="Times New Roman"/>
        </w:rPr>
        <w:t xml:space="preserve">) workers </w:t>
      </w:r>
      <w:r w:rsidRPr="00717787" w:rsidR="007D4431">
        <w:rPr>
          <w:rFonts w:ascii="Times New Roman"/>
        </w:rPr>
        <w:t xml:space="preserve">are </w:t>
      </w:r>
      <w:r w:rsidRPr="00717787">
        <w:rPr>
          <w:rFonts w:ascii="Times New Roman"/>
        </w:rPr>
        <w:t xml:space="preserve">assumed to be exposed </w:t>
      </w:r>
      <w:r w:rsidRPr="00717787">
        <w:rPr>
          <w:rFonts w:ascii="Times New Roman"/>
        </w:rPr>
        <w:t>at</w:t>
      </w:r>
      <w:r w:rsidRPr="00717787">
        <w:rPr>
          <w:rFonts w:ascii="Times New Roman"/>
        </w:rPr>
        <w:t xml:space="preserve"> levels </w:t>
      </w:r>
      <w:r w:rsidRPr="00717787" w:rsidR="00B24363">
        <w:rPr>
          <w:rFonts w:ascii="Times New Roman"/>
        </w:rPr>
        <w:t xml:space="preserve">at or </w:t>
      </w:r>
      <w:r w:rsidRPr="00717787">
        <w:rPr>
          <w:rFonts w:ascii="Times New Roman"/>
        </w:rPr>
        <w:t xml:space="preserve">above 40 </w:t>
      </w:r>
      <w:r w:rsidRPr="00717787">
        <w:rPr>
          <w:rFonts w:ascii="Times New Roman"/>
        </w:rPr>
        <w:t>µg</w:t>
      </w:r>
      <w:r w:rsidRPr="00717787">
        <w:rPr>
          <w:rFonts w:ascii="Times New Roman"/>
        </w:rPr>
        <w:t>/100g of whole blood, will require notification of biological monitoring results.</w:t>
      </w:r>
    </w:p>
    <w:p w:rsidR="00606D2D" w:rsidRPr="00717787" w:rsidP="00530278" w14:paraId="6CAA66D4" w14:textId="77777777">
      <w:pPr>
        <w:widowControl/>
        <w:rPr>
          <w:rFonts w:ascii="Times New Roman"/>
        </w:rPr>
      </w:pPr>
    </w:p>
    <w:p w:rsidR="00606D2D" w:rsidRPr="00717787" w:rsidP="00530278" w14:paraId="563F193A" w14:textId="06B72595">
      <w:pPr>
        <w:widowControl/>
        <w:rPr>
          <w:rFonts w:ascii="Times New Roman"/>
        </w:rPr>
      </w:pPr>
      <w:r w:rsidRPr="00717787">
        <w:rPr>
          <w:rFonts w:ascii="Times New Roman"/>
        </w:rPr>
        <w:t>Such notification takes five minutes (</w:t>
      </w:r>
      <w:r w:rsidRPr="00717787" w:rsidR="005F70DE">
        <w:rPr>
          <w:rFonts w:ascii="Times New Roman"/>
        </w:rPr>
        <w:t>5/60</w:t>
      </w:r>
      <w:r w:rsidRPr="00717787">
        <w:rPr>
          <w:rFonts w:ascii="Times New Roman"/>
        </w:rPr>
        <w:t xml:space="preserve"> </w:t>
      </w:r>
      <w:r w:rsidRPr="00717787" w:rsidR="00E74475">
        <w:rPr>
          <w:rFonts w:ascii="Times New Roman"/>
        </w:rPr>
        <w:t>hours</w:t>
      </w:r>
      <w:r w:rsidRPr="00717787">
        <w:rPr>
          <w:rFonts w:ascii="Times New Roman"/>
        </w:rPr>
        <w:t xml:space="preserve">) of </w:t>
      </w:r>
      <w:r w:rsidRPr="00717787" w:rsidR="00A91BE4">
        <w:rPr>
          <w:rFonts w:ascii="Times New Roman"/>
        </w:rPr>
        <w:t>supervisor</w:t>
      </w:r>
      <w:r w:rsidRPr="00717787" w:rsidR="00A91BE4">
        <w:rPr>
          <w:rFonts w:ascii="Times New Roman"/>
        </w:rPr>
        <w:t xml:space="preserve"> </w:t>
      </w:r>
      <w:r w:rsidRPr="00717787">
        <w:rPr>
          <w:rFonts w:ascii="Times New Roman"/>
        </w:rPr>
        <w:t>time</w:t>
      </w:r>
      <w:r w:rsidRPr="00717787" w:rsidR="13316314">
        <w:rPr>
          <w:rFonts w:ascii="Times New Roman"/>
        </w:rPr>
        <w:t>.</w:t>
      </w:r>
      <w:r w:rsidRPr="00717787">
        <w:rPr>
          <w:rFonts w:ascii="Times New Roman"/>
        </w:rPr>
        <w:t xml:space="preserve"> </w:t>
      </w:r>
      <w:r w:rsidR="001E537D">
        <w:rPr>
          <w:rFonts w:ascii="Times New Roman"/>
        </w:rPr>
        <w:t>The total burden hours for</w:t>
      </w:r>
      <w:r w:rsidRPr="00717787">
        <w:rPr>
          <w:rFonts w:ascii="Times New Roman"/>
        </w:rPr>
        <w:t xml:space="preserve"> this requirement are shown below.</w:t>
      </w:r>
    </w:p>
    <w:p w:rsidR="00C361C9" w:rsidRPr="00717787" w:rsidP="00530278" w14:paraId="6F98F816" w14:textId="77777777">
      <w:pPr>
        <w:widowControl/>
        <w:rPr>
          <w:rFonts w:ascii="Times New Roman"/>
        </w:rPr>
      </w:pPr>
    </w:p>
    <w:p w:rsidR="00606D2D" w:rsidRPr="00717787" w:rsidP="00530278" w14:paraId="4DB7B94F" w14:textId="3B29832C">
      <w:pPr>
        <w:keepLines/>
        <w:widowControl/>
        <w:ind w:left="2880" w:hanging="2160"/>
        <w:rPr>
          <w:rFonts w:ascii="Times New Roman"/>
        </w:rPr>
      </w:pPr>
      <w:r w:rsidRPr="00717787">
        <w:rPr>
          <w:rFonts w:ascii="Times New Roman"/>
          <w:b/>
          <w:bCs/>
        </w:rPr>
        <w:t>Burden hours</w:t>
      </w:r>
      <w:r w:rsidRPr="00717787">
        <w:rPr>
          <w:rFonts w:ascii="Times New Roman"/>
        </w:rPr>
        <w:t>:</w:t>
      </w:r>
      <w:r w:rsidRPr="00717787">
        <w:tab/>
      </w:r>
      <w:r w:rsidRPr="00717787" w:rsidR="4A0EC1AA">
        <w:rPr>
          <w:rFonts w:ascii="Times New Roman"/>
        </w:rPr>
        <w:t>2</w:t>
      </w:r>
      <w:r w:rsidRPr="00717787" w:rsidR="00CF0907">
        <w:rPr>
          <w:rFonts w:ascii="Times New Roman"/>
        </w:rPr>
        <w:t>1,</w:t>
      </w:r>
      <w:r w:rsidRPr="00717787" w:rsidR="00782D85">
        <w:rPr>
          <w:rFonts w:ascii="Times New Roman"/>
        </w:rPr>
        <w:t>998</w:t>
      </w:r>
      <w:r w:rsidRPr="00717787" w:rsidR="20731D56">
        <w:rPr>
          <w:rFonts w:ascii="Times New Roman"/>
        </w:rPr>
        <w:t xml:space="preserve"> x 12 </w:t>
      </w:r>
      <w:r w:rsidRPr="00717787" w:rsidR="042887A3">
        <w:rPr>
          <w:rFonts w:ascii="Times New Roman"/>
        </w:rPr>
        <w:t xml:space="preserve">monthly </w:t>
      </w:r>
      <w:r w:rsidRPr="00717787">
        <w:rPr>
          <w:rFonts w:ascii="Times New Roman"/>
        </w:rPr>
        <w:t xml:space="preserve">notifications × </w:t>
      </w:r>
      <w:r w:rsidRPr="00717787" w:rsidR="06577FDA">
        <w:rPr>
          <w:rFonts w:ascii="Times New Roman"/>
        </w:rPr>
        <w:t>5/60</w:t>
      </w:r>
      <w:r w:rsidRPr="00717787">
        <w:rPr>
          <w:rFonts w:ascii="Times New Roman"/>
        </w:rPr>
        <w:t xml:space="preserve"> </w:t>
      </w:r>
      <w:r w:rsidRPr="00717787" w:rsidR="00E74475">
        <w:rPr>
          <w:rFonts w:ascii="Times New Roman"/>
        </w:rPr>
        <w:t>hours</w:t>
      </w:r>
      <w:r w:rsidRPr="00717787">
        <w:rPr>
          <w:rFonts w:ascii="Times New Roman"/>
        </w:rPr>
        <w:t xml:space="preserve"> = </w:t>
      </w:r>
      <w:r w:rsidRPr="00717787" w:rsidR="6D7EA290">
        <w:rPr>
          <w:rFonts w:ascii="Times New Roman"/>
        </w:rPr>
        <w:t>2</w:t>
      </w:r>
      <w:r w:rsidRPr="00717787" w:rsidR="00782D85">
        <w:rPr>
          <w:rFonts w:ascii="Times New Roman"/>
        </w:rPr>
        <w:t xml:space="preserve">1,998 </w:t>
      </w:r>
      <w:r w:rsidRPr="00717787">
        <w:rPr>
          <w:rFonts w:ascii="Times New Roman"/>
        </w:rPr>
        <w:t>hours</w:t>
      </w:r>
    </w:p>
    <w:p w:rsidR="00606D2D" w:rsidRPr="00717787" w:rsidP="00530278" w14:paraId="1C4CF37A" w14:textId="6698FC0C">
      <w:pPr>
        <w:keepLines/>
        <w:widowControl/>
        <w:ind w:left="720" w:firstLine="720"/>
        <w:rPr>
          <w:rFonts w:ascii="Times New Roman"/>
        </w:rPr>
      </w:pPr>
      <w:r w:rsidRPr="00717787">
        <w:rPr>
          <w:rFonts w:ascii="Times New Roman"/>
          <w:b/>
          <w:bCs/>
        </w:rPr>
        <w:t xml:space="preserve"> </w:t>
      </w:r>
      <w:r w:rsidRPr="00717787" w:rsidR="2CD7BE93">
        <w:rPr>
          <w:rFonts w:ascii="Times New Roman"/>
          <w:b/>
          <w:bCs/>
        </w:rPr>
        <w:t xml:space="preserve"> </w:t>
      </w:r>
      <w:r w:rsidRPr="00717787" w:rsidR="049474F3">
        <w:rPr>
          <w:rFonts w:ascii="Times New Roman"/>
          <w:b/>
          <w:bCs/>
        </w:rPr>
        <w:t>Costs</w:t>
      </w:r>
      <w:r w:rsidRPr="00717787" w:rsidR="049474F3">
        <w:rPr>
          <w:rFonts w:ascii="Times New Roman"/>
        </w:rPr>
        <w:t>:</w:t>
      </w:r>
      <w:r w:rsidRPr="00717787" w:rsidR="00B24363">
        <w:tab/>
      </w:r>
      <w:r w:rsidRPr="00717787" w:rsidR="6D7EA290">
        <w:rPr>
          <w:rFonts w:ascii="Times New Roman"/>
        </w:rPr>
        <w:t>2</w:t>
      </w:r>
      <w:r w:rsidRPr="00717787" w:rsidR="00782D85">
        <w:rPr>
          <w:rFonts w:ascii="Times New Roman"/>
        </w:rPr>
        <w:t>1,</w:t>
      </w:r>
      <w:r w:rsidRPr="00717787" w:rsidR="00F0382C">
        <w:rPr>
          <w:rFonts w:ascii="Times New Roman"/>
        </w:rPr>
        <w:t>998</w:t>
      </w:r>
      <w:r w:rsidRPr="00717787" w:rsidR="4E5411B8">
        <w:rPr>
          <w:rFonts w:ascii="Times New Roman"/>
        </w:rPr>
        <w:t xml:space="preserve"> </w:t>
      </w:r>
      <w:r w:rsidRPr="00717787" w:rsidR="049474F3">
        <w:rPr>
          <w:rFonts w:ascii="Times New Roman"/>
        </w:rPr>
        <w:t>hours × $</w:t>
      </w:r>
      <w:r w:rsidRPr="00717787" w:rsidR="00F0382C">
        <w:rPr>
          <w:rFonts w:ascii="Times New Roman"/>
        </w:rPr>
        <w:t>74.26</w:t>
      </w:r>
      <w:r w:rsidRPr="00717787" w:rsidR="22F831E1">
        <w:rPr>
          <w:rFonts w:ascii="Times New Roman"/>
        </w:rPr>
        <w:t xml:space="preserve"> </w:t>
      </w:r>
      <w:r w:rsidRPr="00717787" w:rsidR="049474F3">
        <w:rPr>
          <w:rFonts w:ascii="Times New Roman"/>
        </w:rPr>
        <w:t>= $</w:t>
      </w:r>
      <w:r w:rsidRPr="00717787" w:rsidR="005675D9">
        <w:rPr>
          <w:rFonts w:ascii="Times New Roman"/>
        </w:rPr>
        <w:t>1,</w:t>
      </w:r>
      <w:r w:rsidRPr="00717787" w:rsidR="0009493D">
        <w:rPr>
          <w:rFonts w:ascii="Times New Roman"/>
        </w:rPr>
        <w:t>633,571</w:t>
      </w:r>
    </w:p>
    <w:p w:rsidR="005829CF" w:rsidRPr="00717787" w:rsidP="00530278" w14:paraId="217550AE" w14:textId="44AA8EB1">
      <w:pPr>
        <w:keepLines/>
        <w:widowControl/>
        <w:ind w:left="720" w:firstLine="720"/>
        <w:rPr>
          <w:rFonts w:ascii="Times New Roman"/>
        </w:rPr>
      </w:pPr>
    </w:p>
    <w:p w:rsidR="00E56373" w:rsidRPr="00717787" w:rsidP="005829CF" w14:paraId="7AB7FF6A" w14:textId="204E7F0A">
      <w:pPr>
        <w:keepLines/>
        <w:widowControl/>
        <w:ind w:firstLine="720"/>
        <w:rPr>
          <w:rFonts w:ascii="Times New Roman"/>
        </w:rPr>
      </w:pPr>
      <w:r w:rsidRPr="00717787">
        <w:rPr>
          <w:rFonts w:ascii="Times New Roman"/>
          <w:b/>
          <w:bCs/>
        </w:rPr>
        <w:t>Burden hours</w:t>
      </w:r>
      <w:r w:rsidRPr="00717787">
        <w:rPr>
          <w:rFonts w:ascii="Times New Roman"/>
        </w:rPr>
        <w:t xml:space="preserve">: </w:t>
      </w:r>
      <w:r w:rsidRPr="00717787" w:rsidR="005829CF">
        <w:tab/>
      </w:r>
      <w:r w:rsidRPr="00717787" w:rsidR="005324CD">
        <w:rPr>
          <w:rFonts w:ascii="Times New Roman"/>
        </w:rPr>
        <w:t>85,42</w:t>
      </w:r>
      <w:r w:rsidRPr="00717787" w:rsidR="00247F68">
        <w:rPr>
          <w:rFonts w:ascii="Times New Roman"/>
        </w:rPr>
        <w:t>5</w:t>
      </w:r>
      <w:r w:rsidRPr="00717787">
        <w:rPr>
          <w:rFonts w:ascii="Times New Roman"/>
        </w:rPr>
        <w:t xml:space="preserve"> </w:t>
      </w:r>
      <w:r w:rsidRPr="00717787" w:rsidR="042887A3">
        <w:rPr>
          <w:rFonts w:ascii="Times New Roman"/>
        </w:rPr>
        <w:t>worker</w:t>
      </w:r>
      <w:r w:rsidRPr="00717787" w:rsidR="59AB8AE5">
        <w:rPr>
          <w:rFonts w:ascii="Times New Roman"/>
        </w:rPr>
        <w:t xml:space="preserve">s x 6 </w:t>
      </w:r>
      <w:r w:rsidRPr="00717787" w:rsidR="042887A3">
        <w:rPr>
          <w:rFonts w:ascii="Times New Roman"/>
        </w:rPr>
        <w:t xml:space="preserve">bi-monthly </w:t>
      </w:r>
      <w:r w:rsidRPr="00717787">
        <w:rPr>
          <w:rFonts w:ascii="Times New Roman"/>
        </w:rPr>
        <w:t>notifications × 5/60 hour</w:t>
      </w:r>
      <w:r w:rsidRPr="00717787" w:rsidR="042887A3">
        <w:rPr>
          <w:rFonts w:ascii="Times New Roman"/>
        </w:rPr>
        <w:t xml:space="preserve"> </w:t>
      </w:r>
    </w:p>
    <w:p w:rsidR="005829CF" w:rsidRPr="00717787" w:rsidP="00E56373" w14:paraId="5E30E3A2" w14:textId="7E6C56EE">
      <w:pPr>
        <w:keepLines/>
        <w:widowControl/>
        <w:ind w:left="2160" w:firstLine="720"/>
        <w:rPr>
          <w:rFonts w:ascii="Times New Roman"/>
        </w:rPr>
      </w:pPr>
      <w:r w:rsidRPr="00717787">
        <w:rPr>
          <w:rFonts w:ascii="Times New Roman"/>
        </w:rPr>
        <w:t xml:space="preserve">  </w:t>
      </w:r>
      <w:r w:rsidRPr="00717787" w:rsidR="042887A3">
        <w:rPr>
          <w:rFonts w:ascii="Times New Roman"/>
        </w:rPr>
        <w:t xml:space="preserve">= </w:t>
      </w:r>
      <w:r w:rsidRPr="00717787" w:rsidR="4FD42513">
        <w:rPr>
          <w:rFonts w:ascii="Times New Roman"/>
        </w:rPr>
        <w:t>4</w:t>
      </w:r>
      <w:r w:rsidRPr="00717787" w:rsidR="000428D4">
        <w:rPr>
          <w:rFonts w:ascii="Times New Roman"/>
        </w:rPr>
        <w:t>2,71</w:t>
      </w:r>
      <w:r w:rsidRPr="00717787" w:rsidR="00247F68">
        <w:rPr>
          <w:rFonts w:ascii="Times New Roman"/>
        </w:rPr>
        <w:t>2</w:t>
      </w:r>
      <w:r w:rsidRPr="00717787" w:rsidR="4FD42513">
        <w:rPr>
          <w:rFonts w:ascii="Times New Roman"/>
        </w:rPr>
        <w:t xml:space="preserve"> hours</w:t>
      </w:r>
    </w:p>
    <w:p w:rsidR="00E56373" w:rsidRPr="00717787" w:rsidP="00321A95" w14:paraId="7E9DCBAC" w14:textId="5EEF1C3F">
      <w:pPr>
        <w:keepLines/>
        <w:widowControl/>
        <w:ind w:left="720" w:firstLine="720"/>
        <w:rPr>
          <w:rFonts w:ascii="Times New Roman"/>
        </w:rPr>
      </w:pPr>
      <w:r w:rsidRPr="00717787">
        <w:rPr>
          <w:rFonts w:ascii="Times New Roman"/>
          <w:b/>
          <w:bCs/>
        </w:rPr>
        <w:t xml:space="preserve">  </w:t>
      </w:r>
      <w:r w:rsidRPr="00717787" w:rsidR="02E6BA97">
        <w:rPr>
          <w:rFonts w:ascii="Times New Roman"/>
          <w:b/>
          <w:bCs/>
        </w:rPr>
        <w:t>Costs</w:t>
      </w:r>
      <w:r w:rsidRPr="00717787" w:rsidR="02E6BA97">
        <w:rPr>
          <w:rFonts w:ascii="Times New Roman"/>
        </w:rPr>
        <w:t>:</w:t>
      </w:r>
      <w:r w:rsidRPr="00717787" w:rsidR="00321A95">
        <w:tab/>
      </w:r>
      <w:r w:rsidRPr="00717787" w:rsidR="02E6BA97">
        <w:rPr>
          <w:rFonts w:ascii="Times New Roman"/>
        </w:rPr>
        <w:t>4</w:t>
      </w:r>
      <w:r w:rsidRPr="00717787" w:rsidR="002413B9">
        <w:rPr>
          <w:rFonts w:ascii="Times New Roman"/>
        </w:rPr>
        <w:t>2,71</w:t>
      </w:r>
      <w:r w:rsidRPr="00717787" w:rsidR="00247F68">
        <w:rPr>
          <w:rFonts w:ascii="Times New Roman"/>
        </w:rPr>
        <w:t>2</w:t>
      </w:r>
      <w:r w:rsidRPr="00717787" w:rsidR="02E6BA97">
        <w:rPr>
          <w:rFonts w:ascii="Times New Roman"/>
        </w:rPr>
        <w:t xml:space="preserve"> hours x $</w:t>
      </w:r>
      <w:r w:rsidRPr="00717787" w:rsidR="001B2C4A">
        <w:rPr>
          <w:rFonts w:ascii="Times New Roman"/>
        </w:rPr>
        <w:t>74.26</w:t>
      </w:r>
      <w:r w:rsidRPr="00717787" w:rsidR="00A33D74">
        <w:rPr>
          <w:rFonts w:ascii="Times New Roman"/>
        </w:rPr>
        <w:t xml:space="preserve"> </w:t>
      </w:r>
      <w:r w:rsidRPr="00717787" w:rsidR="02E6BA97">
        <w:rPr>
          <w:rFonts w:ascii="Times New Roman"/>
        </w:rPr>
        <w:t>= $</w:t>
      </w:r>
      <w:r w:rsidRPr="00717787" w:rsidR="0009493D">
        <w:rPr>
          <w:rFonts w:ascii="Times New Roman"/>
        </w:rPr>
        <w:t>3,</w:t>
      </w:r>
      <w:r w:rsidRPr="00717787" w:rsidR="002413B9">
        <w:rPr>
          <w:rFonts w:ascii="Times New Roman"/>
        </w:rPr>
        <w:t>171</w:t>
      </w:r>
      <w:r w:rsidRPr="00717787" w:rsidR="003E32D8">
        <w:rPr>
          <w:rFonts w:ascii="Times New Roman"/>
        </w:rPr>
        <w:t>,</w:t>
      </w:r>
      <w:r w:rsidRPr="00717787" w:rsidR="00E62A04">
        <w:rPr>
          <w:rFonts w:ascii="Times New Roman"/>
        </w:rPr>
        <w:t>793</w:t>
      </w:r>
    </w:p>
    <w:p w:rsidR="00C009C8" w:rsidRPr="00717787" w:rsidP="00DE3B0A" w14:paraId="38EAF840" w14:textId="77777777">
      <w:pPr>
        <w:keepLines/>
        <w:widowControl/>
        <w:rPr>
          <w:rFonts w:ascii="Times New Roman"/>
        </w:rPr>
      </w:pPr>
    </w:p>
    <w:p w:rsidR="00D166DD" w:rsidRPr="00717787" w:rsidP="00DE3B0A" w14:paraId="63DA5720" w14:textId="337892C4">
      <w:pPr>
        <w:keepLines/>
        <w:widowControl/>
        <w:rPr>
          <w:rFonts w:ascii="Times New Roman"/>
          <w:i/>
          <w:iCs/>
        </w:rPr>
      </w:pPr>
      <w:r w:rsidRPr="00717787">
        <w:rPr>
          <w:rFonts w:ascii="Times New Roman"/>
          <w:i/>
          <w:iCs/>
        </w:rPr>
        <w:t>Subt</w:t>
      </w:r>
      <w:r w:rsidRPr="00717787" w:rsidR="00D34CFA">
        <w:rPr>
          <w:rFonts w:ascii="Times New Roman"/>
          <w:i/>
          <w:iCs/>
        </w:rPr>
        <w:t>otal</w:t>
      </w:r>
      <w:r w:rsidRPr="00717787">
        <w:rPr>
          <w:rFonts w:ascii="Times New Roman"/>
          <w:i/>
          <w:iCs/>
        </w:rPr>
        <w:t xml:space="preserve"> of</w:t>
      </w:r>
      <w:r w:rsidRPr="00717787" w:rsidR="00D34CFA">
        <w:rPr>
          <w:rFonts w:ascii="Times New Roman"/>
          <w:i/>
          <w:iCs/>
        </w:rPr>
        <w:t xml:space="preserve"> Burden hours:</w:t>
      </w:r>
      <w:r w:rsidRPr="00717787" w:rsidR="00D34CFA">
        <w:rPr>
          <w:rFonts w:ascii="Times New Roman"/>
          <w:i/>
          <w:iCs/>
        </w:rPr>
        <w:tab/>
        <w:t>2</w:t>
      </w:r>
      <w:r w:rsidRPr="00717787" w:rsidR="0053587D">
        <w:rPr>
          <w:rFonts w:ascii="Times New Roman"/>
          <w:i/>
          <w:iCs/>
        </w:rPr>
        <w:t>1,998</w:t>
      </w:r>
      <w:r w:rsidRPr="00717787" w:rsidR="00D34CFA">
        <w:rPr>
          <w:rFonts w:ascii="Times New Roman"/>
          <w:i/>
          <w:iCs/>
        </w:rPr>
        <w:t xml:space="preserve"> hours + 4</w:t>
      </w:r>
      <w:r w:rsidRPr="00717787" w:rsidR="003E32D8">
        <w:rPr>
          <w:rFonts w:ascii="Times New Roman"/>
          <w:i/>
          <w:iCs/>
        </w:rPr>
        <w:t>2</w:t>
      </w:r>
      <w:r w:rsidRPr="00717787" w:rsidR="00E57189">
        <w:rPr>
          <w:rFonts w:ascii="Times New Roman"/>
          <w:i/>
          <w:iCs/>
        </w:rPr>
        <w:t>,</w:t>
      </w:r>
      <w:r w:rsidRPr="00717787" w:rsidR="00B80EA9">
        <w:rPr>
          <w:rFonts w:ascii="Times New Roman"/>
          <w:i/>
          <w:iCs/>
        </w:rPr>
        <w:t>712</w:t>
      </w:r>
      <w:r w:rsidRPr="00717787" w:rsidR="00D34CFA">
        <w:rPr>
          <w:rFonts w:ascii="Times New Roman"/>
          <w:i/>
          <w:iCs/>
        </w:rPr>
        <w:t xml:space="preserve"> hours = </w:t>
      </w:r>
      <w:r w:rsidRPr="00717787" w:rsidR="00EF2AE8">
        <w:rPr>
          <w:rFonts w:ascii="Times New Roman"/>
          <w:i/>
          <w:iCs/>
        </w:rPr>
        <w:t>64,710</w:t>
      </w:r>
      <w:r w:rsidRPr="00717787">
        <w:rPr>
          <w:rFonts w:ascii="Times New Roman"/>
          <w:i/>
          <w:iCs/>
        </w:rPr>
        <w:t xml:space="preserve"> hours</w:t>
      </w:r>
    </w:p>
    <w:p w:rsidR="00D34CFA" w:rsidRPr="00717787" w:rsidP="00D34CFA" w14:paraId="55215331" w14:textId="7900E92F">
      <w:pPr>
        <w:keepLines/>
        <w:widowControl/>
        <w:ind w:firstLine="720"/>
        <w:rPr>
          <w:rFonts w:ascii="Times New Roman"/>
          <w:i/>
          <w:iCs/>
        </w:rPr>
      </w:pPr>
      <w:r w:rsidRPr="00717787">
        <w:rPr>
          <w:rFonts w:ascii="Times New Roman"/>
          <w:i/>
          <w:iCs/>
        </w:rPr>
        <w:t xml:space="preserve"> </w:t>
      </w:r>
      <w:r w:rsidRPr="00717787" w:rsidR="00C009C8">
        <w:rPr>
          <w:rFonts w:ascii="Times New Roman"/>
          <w:i/>
          <w:iCs/>
        </w:rPr>
        <w:t>Subt</w:t>
      </w:r>
      <w:r w:rsidRPr="00717787">
        <w:rPr>
          <w:rFonts w:ascii="Times New Roman"/>
          <w:i/>
          <w:iCs/>
        </w:rPr>
        <w:t>otal</w:t>
      </w:r>
      <w:r w:rsidRPr="00717787" w:rsidR="00C009C8">
        <w:rPr>
          <w:rFonts w:ascii="Times New Roman"/>
          <w:i/>
          <w:iCs/>
        </w:rPr>
        <w:t xml:space="preserve"> of</w:t>
      </w:r>
      <w:r w:rsidRPr="00717787">
        <w:rPr>
          <w:rFonts w:ascii="Times New Roman"/>
          <w:i/>
          <w:iCs/>
        </w:rPr>
        <w:t xml:space="preserve"> Costs:</w:t>
      </w:r>
      <w:r w:rsidRPr="00717787">
        <w:rPr>
          <w:rFonts w:ascii="Times New Roman"/>
          <w:i/>
          <w:iCs/>
        </w:rPr>
        <w:tab/>
        <w:t>$1</w:t>
      </w:r>
      <w:r w:rsidRPr="00717787" w:rsidR="001A2B5D">
        <w:rPr>
          <w:rFonts w:ascii="Times New Roman"/>
          <w:i/>
          <w:iCs/>
        </w:rPr>
        <w:t>,</w:t>
      </w:r>
      <w:r w:rsidRPr="00717787" w:rsidR="00251855">
        <w:rPr>
          <w:rFonts w:ascii="Times New Roman"/>
          <w:i/>
          <w:iCs/>
        </w:rPr>
        <w:t>633,571</w:t>
      </w:r>
      <w:r w:rsidRPr="00717787">
        <w:rPr>
          <w:rFonts w:ascii="Times New Roman"/>
          <w:i/>
          <w:iCs/>
        </w:rPr>
        <w:t xml:space="preserve"> + $</w:t>
      </w:r>
      <w:r w:rsidRPr="00717787" w:rsidR="00E441B1">
        <w:rPr>
          <w:rFonts w:ascii="Times New Roman"/>
          <w:i/>
          <w:iCs/>
        </w:rPr>
        <w:t>3</w:t>
      </w:r>
      <w:r w:rsidRPr="00717787" w:rsidR="001A2B5D">
        <w:rPr>
          <w:rFonts w:ascii="Times New Roman"/>
          <w:i/>
          <w:iCs/>
        </w:rPr>
        <w:t>,</w:t>
      </w:r>
      <w:r w:rsidRPr="00717787" w:rsidR="00C00AE9">
        <w:rPr>
          <w:rFonts w:ascii="Times New Roman"/>
          <w:i/>
          <w:iCs/>
        </w:rPr>
        <w:t>171,</w:t>
      </w:r>
      <w:r w:rsidRPr="00717787" w:rsidR="00A20E93">
        <w:rPr>
          <w:rFonts w:ascii="Times New Roman"/>
          <w:i/>
          <w:iCs/>
        </w:rPr>
        <w:t>793</w:t>
      </w:r>
      <w:r w:rsidRPr="00717787" w:rsidR="004D1A4E">
        <w:rPr>
          <w:rFonts w:ascii="Times New Roman"/>
          <w:i/>
          <w:iCs/>
        </w:rPr>
        <w:t xml:space="preserve"> = </w:t>
      </w:r>
      <w:r w:rsidRPr="00717787" w:rsidR="001D53E4">
        <w:rPr>
          <w:rFonts w:ascii="Times New Roman"/>
          <w:i/>
          <w:iCs/>
        </w:rPr>
        <w:t>$4,</w:t>
      </w:r>
      <w:r w:rsidRPr="00717787" w:rsidR="00DF07B3">
        <w:rPr>
          <w:rFonts w:ascii="Times New Roman"/>
          <w:i/>
          <w:iCs/>
        </w:rPr>
        <w:t>805,</w:t>
      </w:r>
      <w:r w:rsidRPr="00717787" w:rsidR="00A20E93">
        <w:rPr>
          <w:rFonts w:ascii="Times New Roman"/>
          <w:i/>
          <w:iCs/>
        </w:rPr>
        <w:t>364</w:t>
      </w:r>
    </w:p>
    <w:p w:rsidR="000978A4" w:rsidRPr="00717787" w:rsidP="001438C5" w14:paraId="2F9F8A12" w14:textId="77777777">
      <w:pPr>
        <w:keepLines/>
        <w:widowControl/>
        <w:ind w:firstLine="720"/>
        <w:rPr>
          <w:rFonts w:ascii="Times New Roman"/>
          <w:b/>
          <w:bCs/>
        </w:rPr>
      </w:pPr>
    </w:p>
    <w:p w:rsidR="00606D2D" w:rsidRPr="00717787" w:rsidP="00530278" w14:paraId="66CA97E3" w14:textId="4DD00155">
      <w:pPr>
        <w:widowControl/>
        <w:rPr>
          <w:rFonts w:ascii="Times New Roman"/>
          <w:u w:val="single"/>
        </w:rPr>
      </w:pPr>
      <w:r w:rsidRPr="00717787">
        <w:rPr>
          <w:rFonts w:ascii="Times New Roman"/>
        </w:rPr>
        <w:t xml:space="preserve">(3) </w:t>
      </w:r>
      <w:r w:rsidRPr="00717787">
        <w:rPr>
          <w:rFonts w:ascii="Times New Roman"/>
          <w:u w:val="single"/>
        </w:rPr>
        <w:t>Medical Examinations and Consultations</w:t>
      </w:r>
    </w:p>
    <w:p w:rsidR="00606D2D" w:rsidRPr="00717787" w:rsidP="00530278" w14:paraId="0531CD04" w14:textId="07FDCC69">
      <w:pPr>
        <w:widowControl/>
        <w:rPr>
          <w:rFonts w:ascii="Times New Roman"/>
          <w:u w:val="single"/>
        </w:rPr>
      </w:pPr>
    </w:p>
    <w:p w:rsidR="00FD3338" w:rsidP="00530278" w14:paraId="2E978C85" w14:textId="3854BB0C">
      <w:pPr>
        <w:widowControl/>
        <w:rPr>
          <w:rFonts w:ascii="Times New Roman"/>
          <w:u w:val="single"/>
        </w:rPr>
      </w:pPr>
      <w:r w:rsidRPr="00717787">
        <w:rPr>
          <w:rFonts w:ascii="Times New Roman"/>
        </w:rPr>
        <w:t>The lead standard requires that employers make medical</w:t>
      </w:r>
      <w:r w:rsidRPr="0080157B">
        <w:rPr>
          <w:rFonts w:ascii="Times New Roman"/>
        </w:rPr>
        <w:t xml:space="preserve"> examinations and consultations available to each </w:t>
      </w:r>
      <w:r>
        <w:rPr>
          <w:rFonts w:ascii="Times New Roman"/>
        </w:rPr>
        <w:t>worker</w:t>
      </w:r>
      <w:r w:rsidRPr="0080157B">
        <w:rPr>
          <w:rFonts w:ascii="Times New Roman"/>
        </w:rPr>
        <w:t xml:space="preserve"> who may be exposed </w:t>
      </w:r>
      <w:r>
        <w:rPr>
          <w:rFonts w:ascii="Times New Roman"/>
        </w:rPr>
        <w:t xml:space="preserve">at or </w:t>
      </w:r>
      <w:r w:rsidRPr="0080157B">
        <w:rPr>
          <w:rFonts w:ascii="Times New Roman"/>
        </w:rPr>
        <w:t>above the action level for more than 30 days per year.</w:t>
      </w:r>
      <w:r w:rsidR="001E2E72">
        <w:rPr>
          <w:rFonts w:ascii="Times New Roman"/>
        </w:rPr>
        <w:t xml:space="preserve"> </w:t>
      </w:r>
      <w:r w:rsidRPr="0080157B" w:rsidR="001E2E72">
        <w:rPr>
          <w:rFonts w:ascii="Times New Roman"/>
        </w:rPr>
        <w:t xml:space="preserve">Such examinations and consultations must be provided annually for each worker for whom </w:t>
      </w:r>
      <w:r w:rsidRPr="00A217D3" w:rsidR="001E2E72">
        <w:rPr>
          <w:rFonts w:ascii="Times New Roman"/>
        </w:rPr>
        <w:t xml:space="preserve">a blood sampling test conducted at any time during the preceding 12 months indicates a blood lead level at or above 40 </w:t>
      </w:r>
      <w:r w:rsidRPr="00A217D3" w:rsidR="001E2E72">
        <w:rPr>
          <w:rFonts w:ascii="Times New Roman"/>
        </w:rPr>
        <w:t>µg</w:t>
      </w:r>
      <w:r w:rsidRPr="00A217D3" w:rsidR="001E2E72">
        <w:rPr>
          <w:rFonts w:ascii="Times New Roman"/>
        </w:rPr>
        <w:t>/100 g of whole blood.</w:t>
      </w:r>
    </w:p>
    <w:p w:rsidR="0083482D" w:rsidRPr="0080157B" w:rsidP="00530278" w14:paraId="245B09DD" w14:textId="77777777">
      <w:pPr>
        <w:widowControl/>
        <w:rPr>
          <w:rFonts w:ascii="Times New Roman"/>
          <w:u w:val="single"/>
        </w:rPr>
      </w:pPr>
    </w:p>
    <w:p w:rsidR="00606D2D" w:rsidRPr="0080157B" w:rsidP="00530278" w14:paraId="6292B4FE" w14:textId="091C5491">
      <w:pPr>
        <w:widowControl/>
        <w:rPr>
          <w:rFonts w:ascii="Times New Roman"/>
        </w:rPr>
      </w:pPr>
      <w:r>
        <w:rPr>
          <w:rFonts w:ascii="Times New Roman"/>
        </w:rPr>
        <w:t xml:space="preserve">Based on the discussion above, </w:t>
      </w:r>
      <w:r w:rsidRPr="00A217D3">
        <w:rPr>
          <w:rFonts w:ascii="Times New Roman"/>
        </w:rPr>
        <w:t xml:space="preserve">OSHA assumes </w:t>
      </w:r>
      <w:r w:rsidR="006B1348">
        <w:rPr>
          <w:rFonts w:ascii="Times New Roman"/>
        </w:rPr>
        <w:t>10</w:t>
      </w:r>
      <w:r w:rsidR="00B110DF">
        <w:rPr>
          <w:rFonts w:ascii="Times New Roman"/>
        </w:rPr>
        <w:t>7,42</w:t>
      </w:r>
      <w:r w:rsidR="004D18CB">
        <w:rPr>
          <w:rFonts w:ascii="Times New Roman"/>
        </w:rPr>
        <w:t>3</w:t>
      </w:r>
      <w:r w:rsidR="00431CC9">
        <w:rPr>
          <w:rFonts w:ascii="Times New Roman"/>
        </w:rPr>
        <w:t xml:space="preserve"> </w:t>
      </w:r>
      <w:r w:rsidR="008134C9">
        <w:rPr>
          <w:rFonts w:ascii="Times New Roman"/>
        </w:rPr>
        <w:t>workers</w:t>
      </w:r>
      <w:r w:rsidR="00F62BBB">
        <w:rPr>
          <w:rFonts w:ascii="Times New Roman"/>
        </w:rPr>
        <w:t xml:space="preserve"> </w:t>
      </w:r>
      <w:r w:rsidRPr="0080157B">
        <w:rPr>
          <w:rFonts w:ascii="Times New Roman"/>
        </w:rPr>
        <w:t xml:space="preserve">experience blood levels at or above 40 </w:t>
      </w:r>
      <w:r w:rsidRPr="0080157B">
        <w:rPr>
          <w:rFonts w:ascii="Times New Roman"/>
        </w:rPr>
        <w:t>µg</w:t>
      </w:r>
      <w:r w:rsidRPr="0080157B">
        <w:rPr>
          <w:rFonts w:ascii="Times New Roman"/>
        </w:rPr>
        <w:t>/100 g, thus</w:t>
      </w:r>
      <w:r w:rsidR="003A603D">
        <w:rPr>
          <w:rFonts w:ascii="Times New Roman"/>
        </w:rPr>
        <w:t xml:space="preserve"> requiring a medical examination. Medical examinations are assumed to require two hours of worker time, including</w:t>
      </w:r>
      <w:r w:rsidRPr="0080157B">
        <w:rPr>
          <w:rFonts w:ascii="Times New Roman"/>
        </w:rPr>
        <w:t xml:space="preserve"> time away from their workstation.</w:t>
      </w:r>
    </w:p>
    <w:p w:rsidR="00606D2D" w:rsidRPr="0080157B" w:rsidP="00530278" w14:paraId="31366A5D" w14:textId="77777777">
      <w:pPr>
        <w:widowControl/>
        <w:rPr>
          <w:rFonts w:ascii="Times New Roman"/>
        </w:rPr>
      </w:pPr>
    </w:p>
    <w:p w:rsidR="00606D2D" w:rsidRPr="00AE4C9D" w:rsidP="00530278" w14:paraId="0F9B2F74" w14:textId="18636045">
      <w:pPr>
        <w:widowControl/>
        <w:ind w:firstLine="720"/>
        <w:rPr>
          <w:rFonts w:ascii="Times New Roman"/>
        </w:rPr>
      </w:pPr>
      <w:r w:rsidRPr="3080DAE6">
        <w:rPr>
          <w:rFonts w:ascii="Times New Roman"/>
          <w:b/>
          <w:bCs/>
        </w:rPr>
        <w:t>Burden hours</w:t>
      </w:r>
      <w:r w:rsidRPr="001E6B32">
        <w:rPr>
          <w:rFonts w:ascii="Times New Roman"/>
        </w:rPr>
        <w:t>:</w:t>
      </w:r>
      <w:r>
        <w:tab/>
      </w:r>
      <w:r w:rsidRPr="3080DAE6" w:rsidR="006B1348">
        <w:rPr>
          <w:rFonts w:ascii="Times New Roman"/>
        </w:rPr>
        <w:t>1</w:t>
      </w:r>
      <w:r w:rsidR="00290061">
        <w:rPr>
          <w:rFonts w:ascii="Times New Roman"/>
        </w:rPr>
        <w:t>07,42</w:t>
      </w:r>
      <w:r w:rsidR="004D18CB">
        <w:rPr>
          <w:rFonts w:ascii="Times New Roman"/>
        </w:rPr>
        <w:t>3</w:t>
      </w:r>
      <w:r w:rsidRPr="3080DAE6" w:rsidR="00A419B9">
        <w:rPr>
          <w:rFonts w:ascii="Times New Roman"/>
        </w:rPr>
        <w:t xml:space="preserve"> </w:t>
      </w:r>
      <w:r w:rsidRPr="3080DAE6">
        <w:rPr>
          <w:rFonts w:ascii="Times New Roman"/>
        </w:rPr>
        <w:t xml:space="preserve">exams × 2 hours worker time = </w:t>
      </w:r>
      <w:r w:rsidRPr="3080DAE6" w:rsidR="00D30A3C">
        <w:rPr>
          <w:rFonts w:ascii="Times New Roman"/>
        </w:rPr>
        <w:t>2</w:t>
      </w:r>
      <w:r w:rsidR="00B110DF">
        <w:rPr>
          <w:rFonts w:ascii="Times New Roman"/>
        </w:rPr>
        <w:t>14,8</w:t>
      </w:r>
      <w:r w:rsidR="002215D3">
        <w:rPr>
          <w:rFonts w:ascii="Times New Roman"/>
        </w:rPr>
        <w:t>46</w:t>
      </w:r>
      <w:r w:rsidRPr="3080DAE6" w:rsidR="002A3810">
        <w:rPr>
          <w:rFonts w:ascii="Times New Roman"/>
        </w:rPr>
        <w:t xml:space="preserve"> </w:t>
      </w:r>
      <w:r w:rsidRPr="3080DAE6">
        <w:rPr>
          <w:rFonts w:ascii="Times New Roman"/>
        </w:rPr>
        <w:t>hours</w:t>
      </w:r>
    </w:p>
    <w:p w:rsidR="00606D2D" w:rsidP="00530278" w14:paraId="4F783B6C" w14:textId="73665559">
      <w:pPr>
        <w:widowControl/>
        <w:ind w:left="720" w:firstLine="720"/>
        <w:rPr>
          <w:rFonts w:ascii="Times New Roman"/>
        </w:rPr>
      </w:pPr>
      <w:r w:rsidRPr="56E51CD7">
        <w:rPr>
          <w:rFonts w:ascii="Times New Roman"/>
          <w:b/>
          <w:bCs/>
        </w:rPr>
        <w:t xml:space="preserve"> </w:t>
      </w:r>
      <w:r w:rsidRPr="56E51CD7" w:rsidR="2CD7BE93">
        <w:rPr>
          <w:rFonts w:ascii="Times New Roman"/>
          <w:b/>
          <w:bCs/>
        </w:rPr>
        <w:t xml:space="preserve"> </w:t>
      </w:r>
      <w:r w:rsidRPr="56E51CD7" w:rsidR="049474F3">
        <w:rPr>
          <w:rFonts w:ascii="Times New Roman"/>
          <w:b/>
          <w:bCs/>
        </w:rPr>
        <w:t>Costs</w:t>
      </w:r>
      <w:r w:rsidRPr="001E6B32" w:rsidR="049474F3">
        <w:rPr>
          <w:rFonts w:ascii="Times New Roman"/>
        </w:rPr>
        <w:t>:</w:t>
      </w:r>
      <w:r w:rsidR="00B24363">
        <w:tab/>
      </w:r>
      <w:r w:rsidRPr="56E51CD7" w:rsidR="1E874D77">
        <w:rPr>
          <w:rFonts w:ascii="Times New Roman"/>
        </w:rPr>
        <w:t>2</w:t>
      </w:r>
      <w:r w:rsidR="00B110DF">
        <w:rPr>
          <w:rFonts w:ascii="Times New Roman"/>
        </w:rPr>
        <w:t>14</w:t>
      </w:r>
      <w:r w:rsidR="00D82405">
        <w:rPr>
          <w:rFonts w:ascii="Times New Roman"/>
        </w:rPr>
        <w:t>,8</w:t>
      </w:r>
      <w:r w:rsidR="002215D3">
        <w:rPr>
          <w:rFonts w:ascii="Times New Roman"/>
        </w:rPr>
        <w:t>46</w:t>
      </w:r>
      <w:r w:rsidRPr="56E51CD7" w:rsidR="049474F3">
        <w:rPr>
          <w:rFonts w:ascii="Times New Roman"/>
        </w:rPr>
        <w:t xml:space="preserve"> hours × $</w:t>
      </w:r>
      <w:r w:rsidRPr="56E51CD7" w:rsidR="1E874D77">
        <w:rPr>
          <w:rFonts w:ascii="Times New Roman"/>
        </w:rPr>
        <w:t>4</w:t>
      </w:r>
      <w:r w:rsidR="006A36CE">
        <w:rPr>
          <w:rFonts w:ascii="Times New Roman"/>
        </w:rPr>
        <w:t>3.49</w:t>
      </w:r>
      <w:r w:rsidRPr="56E51CD7" w:rsidR="049474F3">
        <w:rPr>
          <w:rFonts w:ascii="Times New Roman"/>
        </w:rPr>
        <w:t xml:space="preserve"> = $</w:t>
      </w:r>
      <w:r w:rsidR="00BB402F">
        <w:rPr>
          <w:rFonts w:ascii="Times New Roman"/>
        </w:rPr>
        <w:t>9</w:t>
      </w:r>
      <w:r w:rsidR="00F9145F">
        <w:rPr>
          <w:rFonts w:ascii="Times New Roman"/>
        </w:rPr>
        <w:t>,34</w:t>
      </w:r>
      <w:r w:rsidR="00B116F6">
        <w:rPr>
          <w:rFonts w:ascii="Times New Roman"/>
        </w:rPr>
        <w:t>3,</w:t>
      </w:r>
      <w:r w:rsidR="002215D3">
        <w:rPr>
          <w:rFonts w:ascii="Times New Roman"/>
        </w:rPr>
        <w:t>653</w:t>
      </w:r>
    </w:p>
    <w:p w:rsidR="006028DF" w:rsidRPr="0080157B" w:rsidP="00530278" w14:paraId="5B9D54CE" w14:textId="77777777">
      <w:pPr>
        <w:widowControl/>
        <w:ind w:left="720" w:firstLine="720"/>
        <w:rPr>
          <w:rFonts w:ascii="Times New Roman"/>
        </w:rPr>
      </w:pPr>
    </w:p>
    <w:p w:rsidR="0083482D" w:rsidRPr="0080157B" w:rsidP="00530278" w14:paraId="483029A7" w14:textId="77777777">
      <w:pPr>
        <w:widowControl/>
        <w:rPr>
          <w:rFonts w:ascii="Times New Roman"/>
        </w:rPr>
      </w:pPr>
    </w:p>
    <w:p w:rsidR="00606D2D" w:rsidRPr="00717787" w:rsidP="00530278" w14:paraId="7414E97B" w14:textId="38D8158D">
      <w:pPr>
        <w:widowControl/>
        <w:rPr>
          <w:rFonts w:ascii="Times New Roman"/>
        </w:rPr>
      </w:pPr>
      <w:r w:rsidRPr="3D161A59">
        <w:rPr>
          <w:rFonts w:ascii="Times New Roman"/>
        </w:rPr>
        <w:t xml:space="preserve">OSHA estimates a worker turnover rate of approximately </w:t>
      </w:r>
      <w:r w:rsidRPr="00717787" w:rsidR="00937A63">
        <w:rPr>
          <w:rFonts w:ascii="Times New Roman"/>
        </w:rPr>
        <w:t>3</w:t>
      </w:r>
      <w:r w:rsidRPr="00C2350F" w:rsidR="007B6456">
        <w:rPr>
          <w:rFonts w:ascii="Times New Roman"/>
        </w:rPr>
        <w:t>9</w:t>
      </w:r>
      <w:r w:rsidRPr="00C2350F" w:rsidR="008D1834">
        <w:rPr>
          <w:rFonts w:ascii="Times New Roman"/>
        </w:rPr>
        <w:t xml:space="preserve"> </w:t>
      </w:r>
      <w:r w:rsidRPr="00717787">
        <w:rPr>
          <w:rFonts w:ascii="Times New Roman"/>
        </w:rPr>
        <w:t>percent</w:t>
      </w:r>
      <w:r w:rsidR="00D10D65">
        <w:rPr>
          <w:rFonts w:ascii="Times New Roman"/>
        </w:rPr>
        <w:t>,</w:t>
      </w:r>
      <w:r>
        <w:rPr>
          <w:rStyle w:val="FootnoteReference"/>
          <w:rFonts w:ascii="Times New Roman"/>
          <w:vertAlign w:val="superscript"/>
        </w:rPr>
        <w:footnoteReference w:id="7"/>
      </w:r>
      <w:r w:rsidRPr="00717787">
        <w:rPr>
          <w:rFonts w:ascii="Times New Roman"/>
        </w:rPr>
        <w:t xml:space="preserve"> therefore</w:t>
      </w:r>
      <w:r w:rsidRPr="00717787" w:rsidR="004E496A">
        <w:rPr>
          <w:rFonts w:ascii="Times New Roman"/>
        </w:rPr>
        <w:t>,</w:t>
      </w:r>
      <w:r w:rsidRPr="00717787">
        <w:rPr>
          <w:rFonts w:ascii="Times New Roman"/>
        </w:rPr>
        <w:t xml:space="preserve"> </w:t>
      </w:r>
      <w:r w:rsidRPr="00717787" w:rsidR="00143B92">
        <w:rPr>
          <w:rFonts w:ascii="Times New Roman"/>
        </w:rPr>
        <w:t>142,985</w:t>
      </w:r>
      <w:r w:rsidRPr="00717787" w:rsidR="00937A63">
        <w:rPr>
          <w:rFonts w:ascii="Times New Roman"/>
        </w:rPr>
        <w:t xml:space="preserve"> </w:t>
      </w:r>
      <w:r w:rsidRPr="00717787">
        <w:rPr>
          <w:rFonts w:ascii="Times New Roman"/>
        </w:rPr>
        <w:t xml:space="preserve">workers </w:t>
      </w:r>
      <w:r w:rsidRPr="00717787" w:rsidR="00341E56">
        <w:rPr>
          <w:rFonts w:ascii="Times New Roman"/>
        </w:rPr>
        <w:t xml:space="preserve">at or </w:t>
      </w:r>
      <w:r w:rsidRPr="00717787">
        <w:rPr>
          <w:rFonts w:ascii="Times New Roman"/>
        </w:rPr>
        <w:t>above the action level but below the PEL in the existing lead</w:t>
      </w:r>
      <w:r w:rsidRPr="00717787" w:rsidR="28193AB1">
        <w:rPr>
          <w:rFonts w:ascii="Times New Roman"/>
        </w:rPr>
        <w:t xml:space="preserve"> </w:t>
      </w:r>
      <w:r w:rsidRPr="00717787">
        <w:rPr>
          <w:rFonts w:ascii="Times New Roman"/>
        </w:rPr>
        <w:t>using/producing industries require an initial medical examination.</w:t>
      </w:r>
    </w:p>
    <w:p w:rsidR="00606D2D" w:rsidRPr="00717787" w:rsidP="00530278" w14:paraId="614E1994" w14:textId="77777777">
      <w:pPr>
        <w:widowControl/>
        <w:rPr>
          <w:rFonts w:ascii="Times New Roman"/>
        </w:rPr>
      </w:pPr>
    </w:p>
    <w:p w:rsidR="00606D2D" w:rsidRPr="00717787" w:rsidP="00530278" w14:paraId="0C383363" w14:textId="75CAA3F1">
      <w:pPr>
        <w:widowControl/>
        <w:ind w:firstLine="720"/>
        <w:rPr>
          <w:rFonts w:ascii="Times New Roman"/>
        </w:rPr>
      </w:pPr>
      <w:r w:rsidRPr="00717787">
        <w:rPr>
          <w:rFonts w:ascii="Times New Roman"/>
          <w:b/>
          <w:bCs/>
        </w:rPr>
        <w:t>Burden hours</w:t>
      </w:r>
      <w:r w:rsidRPr="00717787">
        <w:rPr>
          <w:rFonts w:ascii="Times New Roman"/>
        </w:rPr>
        <w:t>:</w:t>
      </w:r>
      <w:r w:rsidRPr="00717787">
        <w:rPr>
          <w:rFonts w:ascii="Times New Roman"/>
          <w:b/>
          <w:bCs/>
        </w:rPr>
        <w:tab/>
      </w:r>
      <w:r w:rsidRPr="00717787" w:rsidR="00143B92">
        <w:rPr>
          <w:rFonts w:ascii="Times New Roman"/>
        </w:rPr>
        <w:t>142,985</w:t>
      </w:r>
      <w:r w:rsidRPr="00717787" w:rsidR="00673D5F">
        <w:rPr>
          <w:rFonts w:ascii="Times New Roman"/>
        </w:rPr>
        <w:t xml:space="preserve"> </w:t>
      </w:r>
      <w:r w:rsidRPr="00717787">
        <w:rPr>
          <w:rFonts w:ascii="Times New Roman"/>
        </w:rPr>
        <w:t xml:space="preserve">exams × 2 hours = </w:t>
      </w:r>
      <w:r w:rsidRPr="00717787" w:rsidR="00386B97">
        <w:rPr>
          <w:rFonts w:ascii="Times New Roman"/>
        </w:rPr>
        <w:t>285,971</w:t>
      </w:r>
      <w:r w:rsidRPr="00717787" w:rsidR="00937A63">
        <w:rPr>
          <w:rFonts w:ascii="Times New Roman"/>
        </w:rPr>
        <w:t xml:space="preserve"> </w:t>
      </w:r>
      <w:r w:rsidRPr="00717787">
        <w:rPr>
          <w:rFonts w:ascii="Times New Roman"/>
        </w:rPr>
        <w:t>hours</w:t>
      </w:r>
    </w:p>
    <w:p w:rsidR="00AA5E97" w:rsidRPr="00717787" w:rsidP="00AA5E97" w14:paraId="6C035C49" w14:textId="7A783994">
      <w:pPr>
        <w:widowControl/>
        <w:rPr>
          <w:rFonts w:ascii="Times New Roman"/>
        </w:rPr>
      </w:pPr>
      <w:r w:rsidRPr="00717787">
        <w:rPr>
          <w:rFonts w:ascii="Times New Roman"/>
          <w:b/>
          <w:bCs/>
        </w:rPr>
        <w:t xml:space="preserve"> </w:t>
      </w:r>
      <w:r w:rsidRPr="00717787">
        <w:rPr>
          <w:rFonts w:ascii="Times New Roman"/>
          <w:b/>
          <w:bCs/>
        </w:rPr>
        <w:tab/>
      </w:r>
      <w:r w:rsidRPr="00717787">
        <w:rPr>
          <w:rFonts w:ascii="Times New Roman"/>
          <w:b/>
          <w:bCs/>
        </w:rPr>
        <w:tab/>
        <w:t xml:space="preserve"> </w:t>
      </w:r>
      <w:r w:rsidRPr="00717787" w:rsidR="2CD7BE93">
        <w:rPr>
          <w:rFonts w:ascii="Times New Roman"/>
          <w:b/>
          <w:bCs/>
        </w:rPr>
        <w:t xml:space="preserve"> </w:t>
      </w:r>
      <w:r w:rsidRPr="00717787" w:rsidR="049474F3">
        <w:rPr>
          <w:rFonts w:ascii="Times New Roman"/>
          <w:b/>
          <w:bCs/>
        </w:rPr>
        <w:t>Costs</w:t>
      </w:r>
      <w:r w:rsidRPr="00717787" w:rsidR="049474F3">
        <w:rPr>
          <w:rFonts w:ascii="Times New Roman"/>
        </w:rPr>
        <w:t>:</w:t>
      </w:r>
      <w:r w:rsidRPr="00717787" w:rsidR="00B24363">
        <w:tab/>
      </w:r>
      <w:r w:rsidRPr="00717787" w:rsidR="6E78EEBA">
        <w:rPr>
          <w:rFonts w:ascii="Times New Roman"/>
        </w:rPr>
        <w:t>2</w:t>
      </w:r>
      <w:r w:rsidRPr="00717787">
        <w:rPr>
          <w:rFonts w:ascii="Times New Roman"/>
        </w:rPr>
        <w:t>85,791</w:t>
      </w:r>
      <w:r w:rsidRPr="00717787" w:rsidR="3683C611">
        <w:rPr>
          <w:rFonts w:ascii="Times New Roman"/>
        </w:rPr>
        <w:t xml:space="preserve"> </w:t>
      </w:r>
      <w:r w:rsidRPr="00717787" w:rsidR="049474F3">
        <w:rPr>
          <w:rFonts w:ascii="Times New Roman"/>
        </w:rPr>
        <w:t>hours × $</w:t>
      </w:r>
      <w:r w:rsidRPr="00717787" w:rsidR="5FE29104">
        <w:rPr>
          <w:rFonts w:ascii="Times New Roman"/>
        </w:rPr>
        <w:t>4</w:t>
      </w:r>
      <w:r w:rsidRPr="00717787" w:rsidR="00C249DE">
        <w:rPr>
          <w:rFonts w:ascii="Times New Roman"/>
        </w:rPr>
        <w:t>3.49</w:t>
      </w:r>
      <w:r w:rsidRPr="00717787" w:rsidR="049474F3">
        <w:rPr>
          <w:rFonts w:ascii="Times New Roman"/>
        </w:rPr>
        <w:t xml:space="preserve"> = </w:t>
      </w:r>
      <w:r w:rsidRPr="00717787">
        <w:rPr>
          <w:rFonts w:ascii="Times New Roman"/>
        </w:rPr>
        <w:t>$12,436,879</w:t>
      </w:r>
    </w:p>
    <w:p w:rsidR="008C7DBB" w:rsidRPr="00717787" w:rsidP="00530278" w14:paraId="55C05C02" w14:textId="77777777">
      <w:pPr>
        <w:widowControl/>
        <w:rPr>
          <w:rFonts w:ascii="Times New Roman"/>
        </w:rPr>
      </w:pPr>
    </w:p>
    <w:p w:rsidR="00606D2D" w:rsidRPr="00717787" w:rsidP="00530278" w14:paraId="2BFF2045" w14:textId="5C9D227E">
      <w:pPr>
        <w:widowControl/>
        <w:rPr>
          <w:rFonts w:ascii="Times New Roman"/>
        </w:rPr>
      </w:pPr>
      <w:r w:rsidRPr="00717787">
        <w:rPr>
          <w:rFonts w:ascii="Times New Roman"/>
        </w:rPr>
        <w:t>In accordance with the lead standard, each employer must also make medical examinations available to those worker</w:t>
      </w:r>
      <w:r w:rsidRPr="00717787" w:rsidR="22671515">
        <w:rPr>
          <w:rFonts w:ascii="Times New Roman"/>
        </w:rPr>
        <w:t>s</w:t>
      </w:r>
      <w:r w:rsidRPr="00717787">
        <w:rPr>
          <w:rFonts w:ascii="Times New Roman"/>
        </w:rPr>
        <w:t xml:space="preserve"> who have developed signs or symptoms commonly associated with lead intoxication, to those worker</w:t>
      </w:r>
      <w:r w:rsidRPr="00717787" w:rsidR="22671515">
        <w:rPr>
          <w:rFonts w:ascii="Times New Roman"/>
        </w:rPr>
        <w:t>s</w:t>
      </w:r>
      <w:r w:rsidRPr="00717787">
        <w:rPr>
          <w:rFonts w:ascii="Times New Roman"/>
        </w:rPr>
        <w:t xml:space="preserve"> who desire medical advice concerning the effects of current or past exposures to lead on the worker's ability to produce healthy children</w:t>
      </w:r>
      <w:r w:rsidRPr="00717787" w:rsidR="44ED8985">
        <w:rPr>
          <w:rFonts w:ascii="Times New Roman"/>
        </w:rPr>
        <w:t>,</w:t>
      </w:r>
      <w:r w:rsidRPr="00717787">
        <w:rPr>
          <w:rFonts w:ascii="Times New Roman"/>
        </w:rPr>
        <w:t xml:space="preserve"> or to those worker</w:t>
      </w:r>
      <w:r w:rsidRPr="00717787" w:rsidR="44ED8985">
        <w:rPr>
          <w:rFonts w:ascii="Times New Roman"/>
        </w:rPr>
        <w:t>s</w:t>
      </w:r>
      <w:r w:rsidRPr="00717787">
        <w:rPr>
          <w:rFonts w:ascii="Times New Roman"/>
        </w:rPr>
        <w:t xml:space="preserve"> who demonstrate difficulty in breathing during respirator fit testing or during respirator use.</w:t>
      </w:r>
      <w:r w:rsidRPr="00717787" w:rsidR="2CD7BE93">
        <w:rPr>
          <w:rFonts w:ascii="Times New Roman"/>
        </w:rPr>
        <w:t xml:space="preserve"> </w:t>
      </w:r>
      <w:r w:rsidRPr="00717787">
        <w:rPr>
          <w:rFonts w:ascii="Times New Roman"/>
        </w:rPr>
        <w:t xml:space="preserve">OSHA estimates that no more than </w:t>
      </w:r>
      <w:r w:rsidRPr="00717787" w:rsidR="00767091">
        <w:rPr>
          <w:rFonts w:ascii="Times New Roman"/>
        </w:rPr>
        <w:t>five</w:t>
      </w:r>
      <w:r w:rsidRPr="00717787">
        <w:rPr>
          <w:rFonts w:ascii="Times New Roman"/>
        </w:rPr>
        <w:t xml:space="preserve"> percent (or</w:t>
      </w:r>
      <w:r w:rsidRPr="00717787" w:rsidR="3683C611">
        <w:rPr>
          <w:rFonts w:ascii="Times New Roman"/>
        </w:rPr>
        <w:t xml:space="preserve"> 1</w:t>
      </w:r>
      <w:r w:rsidRPr="00717787" w:rsidR="00195301">
        <w:rPr>
          <w:rFonts w:ascii="Times New Roman"/>
        </w:rPr>
        <w:t>8</w:t>
      </w:r>
      <w:r w:rsidRPr="00717787" w:rsidR="005F585C">
        <w:rPr>
          <w:rFonts w:ascii="Times New Roman"/>
        </w:rPr>
        <w:t>,33</w:t>
      </w:r>
      <w:r w:rsidRPr="00717787" w:rsidR="007B0B93">
        <w:rPr>
          <w:rFonts w:ascii="Times New Roman"/>
        </w:rPr>
        <w:t>1</w:t>
      </w:r>
      <w:r w:rsidRPr="00717787">
        <w:rPr>
          <w:rFonts w:ascii="Times New Roman"/>
        </w:rPr>
        <w:t>) of worker</w:t>
      </w:r>
      <w:r w:rsidRPr="00717787" w:rsidR="44ED8985">
        <w:rPr>
          <w:rFonts w:ascii="Times New Roman"/>
        </w:rPr>
        <w:t>s</w:t>
      </w:r>
      <w:r w:rsidRPr="00717787">
        <w:rPr>
          <w:rFonts w:ascii="Times New Roman"/>
        </w:rPr>
        <w:t xml:space="preserve"> exposed </w:t>
      </w:r>
      <w:r w:rsidRPr="00717787" w:rsidR="40DE234E">
        <w:rPr>
          <w:rFonts w:ascii="Times New Roman"/>
        </w:rPr>
        <w:t>at</w:t>
      </w:r>
      <w:r w:rsidRPr="00717787" w:rsidR="40DE234E">
        <w:rPr>
          <w:rFonts w:ascii="Times New Roman"/>
        </w:rPr>
        <w:t xml:space="preserve"> or </w:t>
      </w:r>
      <w:r w:rsidRPr="00717787">
        <w:rPr>
          <w:rFonts w:ascii="Times New Roman"/>
        </w:rPr>
        <w:t>above the action level in each industrial sector receive medical examinati</w:t>
      </w:r>
      <w:r w:rsidRPr="00717787">
        <w:rPr>
          <w:rFonts w:ascii="Times New Roman"/>
        </w:rPr>
        <w:t xml:space="preserve">ons </w:t>
      </w:r>
      <w:r w:rsidRPr="00717787" w:rsidR="008134C9">
        <w:rPr>
          <w:rFonts w:ascii="Times New Roman"/>
        </w:rPr>
        <w:t>because of</w:t>
      </w:r>
      <w:r w:rsidRPr="00717787">
        <w:rPr>
          <w:rFonts w:ascii="Times New Roman"/>
        </w:rPr>
        <w:t xml:space="preserve"> these specified circumstances.</w:t>
      </w:r>
    </w:p>
    <w:p w:rsidR="00606D2D" w:rsidRPr="00717787" w:rsidP="00530278" w14:paraId="7585C66A" w14:textId="77777777">
      <w:pPr>
        <w:widowControl/>
        <w:rPr>
          <w:rFonts w:ascii="Times New Roman"/>
        </w:rPr>
      </w:pPr>
    </w:p>
    <w:p w:rsidR="00606D2D" w:rsidRPr="00717787" w:rsidP="00530278" w14:paraId="2819B80F" w14:textId="45E3974E">
      <w:pPr>
        <w:widowControl/>
        <w:ind w:firstLine="720"/>
        <w:rPr>
          <w:rFonts w:ascii="Times New Roman"/>
        </w:rPr>
      </w:pPr>
      <w:r w:rsidRPr="00717787">
        <w:rPr>
          <w:rFonts w:ascii="Times New Roman"/>
          <w:b/>
          <w:bCs/>
        </w:rPr>
        <w:t>Burden hours</w:t>
      </w:r>
      <w:r w:rsidRPr="00717787">
        <w:rPr>
          <w:rFonts w:ascii="Times New Roman"/>
        </w:rPr>
        <w:t>:</w:t>
      </w:r>
      <w:r w:rsidRPr="00717787">
        <w:rPr>
          <w:rFonts w:ascii="Times New Roman"/>
        </w:rPr>
        <w:tab/>
      </w:r>
      <w:r w:rsidRPr="00717787" w:rsidR="00AC10FD">
        <w:rPr>
          <w:rFonts w:ascii="Times New Roman"/>
        </w:rPr>
        <w:t>1</w:t>
      </w:r>
      <w:r w:rsidRPr="00717787" w:rsidR="005F585C">
        <w:rPr>
          <w:rFonts w:ascii="Times New Roman"/>
        </w:rPr>
        <w:t>8,33</w:t>
      </w:r>
      <w:r w:rsidRPr="00717787" w:rsidR="007B0B93">
        <w:rPr>
          <w:rFonts w:ascii="Times New Roman"/>
        </w:rPr>
        <w:t>1</w:t>
      </w:r>
      <w:r w:rsidRPr="00717787" w:rsidR="003B6049">
        <w:rPr>
          <w:rFonts w:ascii="Times New Roman"/>
        </w:rPr>
        <w:t xml:space="preserve"> </w:t>
      </w:r>
      <w:r w:rsidRPr="00717787">
        <w:rPr>
          <w:rFonts w:ascii="Times New Roman"/>
        </w:rPr>
        <w:t xml:space="preserve">exams × 2 hours = </w:t>
      </w:r>
      <w:r w:rsidRPr="00717787" w:rsidR="003B6049">
        <w:rPr>
          <w:rFonts w:ascii="Times New Roman"/>
        </w:rPr>
        <w:t>3</w:t>
      </w:r>
      <w:r w:rsidRPr="00717787" w:rsidR="005F585C">
        <w:rPr>
          <w:rFonts w:ascii="Times New Roman"/>
        </w:rPr>
        <w:t>6,66</w:t>
      </w:r>
      <w:r w:rsidRPr="00717787" w:rsidR="007B0B93">
        <w:rPr>
          <w:rFonts w:ascii="Times New Roman"/>
        </w:rPr>
        <w:t>3</w:t>
      </w:r>
      <w:r w:rsidRPr="00717787" w:rsidR="003B6049">
        <w:rPr>
          <w:rFonts w:ascii="Times New Roman"/>
        </w:rPr>
        <w:t xml:space="preserve"> </w:t>
      </w:r>
      <w:r w:rsidRPr="00717787">
        <w:rPr>
          <w:rFonts w:ascii="Times New Roman"/>
        </w:rPr>
        <w:t>hours</w:t>
      </w:r>
    </w:p>
    <w:p w:rsidR="00606D2D" w:rsidRPr="00717787" w:rsidP="00530278" w14:paraId="7DB6F27C" w14:textId="2568E707">
      <w:pPr>
        <w:widowControl/>
        <w:ind w:left="720" w:firstLine="720"/>
        <w:rPr>
          <w:rFonts w:ascii="Times New Roman"/>
        </w:rPr>
      </w:pPr>
      <w:r w:rsidRPr="00717787">
        <w:rPr>
          <w:rFonts w:ascii="Times New Roman"/>
          <w:b/>
          <w:bCs/>
        </w:rPr>
        <w:t xml:space="preserve"> </w:t>
      </w:r>
      <w:r w:rsidRPr="00717787" w:rsidR="2CD7BE93">
        <w:rPr>
          <w:rFonts w:ascii="Times New Roman"/>
          <w:b/>
          <w:bCs/>
        </w:rPr>
        <w:t xml:space="preserve"> </w:t>
      </w:r>
      <w:r w:rsidRPr="00717787" w:rsidR="049474F3">
        <w:rPr>
          <w:rFonts w:ascii="Times New Roman"/>
          <w:b/>
          <w:bCs/>
        </w:rPr>
        <w:t>Costs</w:t>
      </w:r>
      <w:r w:rsidRPr="00717787" w:rsidR="049474F3">
        <w:rPr>
          <w:rFonts w:ascii="Times New Roman"/>
        </w:rPr>
        <w:t>:</w:t>
      </w:r>
      <w:r w:rsidRPr="00717787" w:rsidR="00B24363">
        <w:tab/>
      </w:r>
      <w:r w:rsidRPr="00717787" w:rsidR="3683C611">
        <w:rPr>
          <w:rFonts w:ascii="Times New Roman"/>
        </w:rPr>
        <w:t>3</w:t>
      </w:r>
      <w:r w:rsidRPr="00717787" w:rsidR="005F585C">
        <w:rPr>
          <w:rFonts w:ascii="Times New Roman"/>
        </w:rPr>
        <w:t>6,66</w:t>
      </w:r>
      <w:r w:rsidRPr="00717787" w:rsidR="007B0B93">
        <w:rPr>
          <w:rFonts w:ascii="Times New Roman"/>
        </w:rPr>
        <w:t>3</w:t>
      </w:r>
      <w:r w:rsidRPr="00717787" w:rsidR="3683C611">
        <w:rPr>
          <w:rFonts w:ascii="Times New Roman"/>
        </w:rPr>
        <w:t xml:space="preserve"> </w:t>
      </w:r>
      <w:r w:rsidRPr="00717787" w:rsidR="049474F3">
        <w:rPr>
          <w:rFonts w:ascii="Times New Roman"/>
        </w:rPr>
        <w:t>worker hours × $</w:t>
      </w:r>
      <w:r w:rsidRPr="00717787" w:rsidR="5794B0DA">
        <w:rPr>
          <w:rFonts w:ascii="Times New Roman"/>
        </w:rPr>
        <w:t>4</w:t>
      </w:r>
      <w:r w:rsidRPr="00717787" w:rsidR="005F585C">
        <w:rPr>
          <w:rFonts w:ascii="Times New Roman"/>
        </w:rPr>
        <w:t>3.49</w:t>
      </w:r>
      <w:r w:rsidRPr="00717787" w:rsidR="049474F3">
        <w:rPr>
          <w:rFonts w:ascii="Times New Roman"/>
        </w:rPr>
        <w:t xml:space="preserve"> = $</w:t>
      </w:r>
      <w:r w:rsidRPr="00717787" w:rsidR="46D803F0">
        <w:rPr>
          <w:rFonts w:ascii="Times New Roman"/>
        </w:rPr>
        <w:t>1,</w:t>
      </w:r>
      <w:r w:rsidRPr="00717787" w:rsidR="005F585C">
        <w:rPr>
          <w:rFonts w:ascii="Times New Roman"/>
        </w:rPr>
        <w:t>594</w:t>
      </w:r>
      <w:r w:rsidRPr="00717787" w:rsidR="00A91ED9">
        <w:rPr>
          <w:rFonts w:ascii="Times New Roman"/>
        </w:rPr>
        <w:t>,</w:t>
      </w:r>
      <w:r w:rsidRPr="00717787" w:rsidR="00A01D10">
        <w:rPr>
          <w:rFonts w:ascii="Times New Roman"/>
        </w:rPr>
        <w:t>474</w:t>
      </w:r>
    </w:p>
    <w:p w:rsidR="008C7DBB" w:rsidRPr="00717787" w:rsidP="00530278" w14:paraId="6A711364" w14:textId="77777777">
      <w:pPr>
        <w:widowControl/>
        <w:rPr>
          <w:rFonts w:ascii="Times New Roman"/>
        </w:rPr>
      </w:pPr>
    </w:p>
    <w:p w:rsidR="00606D2D" w:rsidRPr="00717787" w:rsidP="00530278" w14:paraId="7738405F" w14:textId="371086CD">
      <w:pPr>
        <w:widowControl/>
        <w:rPr>
          <w:rFonts w:ascii="Times New Roman"/>
        </w:rPr>
      </w:pPr>
      <w:r w:rsidRPr="00717787">
        <w:rPr>
          <w:rFonts w:ascii="Times New Roman"/>
        </w:rPr>
        <w:t xml:space="preserve">In accordance with the lead standard, each employer must provide a medical examination as medically appropriate for each worker either removed from exposure to lead due to a risk of sustaining material impairment to health or otherwise limited </w:t>
      </w:r>
      <w:r w:rsidRPr="00717787" w:rsidR="71C853D8">
        <w:rPr>
          <w:rFonts w:ascii="Times New Roman"/>
        </w:rPr>
        <w:t>under</w:t>
      </w:r>
      <w:r w:rsidRPr="00717787">
        <w:rPr>
          <w:rFonts w:ascii="Times New Roman"/>
        </w:rPr>
        <w:t xml:space="preserve"> a final medical </w:t>
      </w:r>
      <w:r w:rsidRPr="00717787">
        <w:rPr>
          <w:rFonts w:ascii="Times New Roman"/>
        </w:rPr>
        <w:t>determination.</w:t>
      </w:r>
      <w:r w:rsidRPr="00717787" w:rsidR="2CD7BE93">
        <w:rPr>
          <w:rFonts w:ascii="Times New Roman"/>
        </w:rPr>
        <w:t xml:space="preserve"> </w:t>
      </w:r>
      <w:r w:rsidRPr="00717787">
        <w:rPr>
          <w:rFonts w:ascii="Times New Roman"/>
        </w:rPr>
        <w:t>Based on the information collected during the rulemaking proceedings for this standard, OSHA estimate</w:t>
      </w:r>
      <w:r w:rsidRPr="00717787" w:rsidR="00916555">
        <w:rPr>
          <w:rFonts w:ascii="Times New Roman"/>
        </w:rPr>
        <w:t>s</w:t>
      </w:r>
      <w:r w:rsidRPr="00717787">
        <w:rPr>
          <w:rFonts w:ascii="Times New Roman"/>
        </w:rPr>
        <w:t xml:space="preserve"> </w:t>
      </w:r>
      <w:r w:rsidRPr="00717787" w:rsidR="004245F8">
        <w:rPr>
          <w:rFonts w:ascii="Times New Roman"/>
        </w:rPr>
        <w:t xml:space="preserve">21,998 </w:t>
      </w:r>
      <w:r w:rsidRPr="00717787">
        <w:rPr>
          <w:rFonts w:ascii="Times New Roman"/>
        </w:rPr>
        <w:t>worker</w:t>
      </w:r>
      <w:r w:rsidRPr="00717787" w:rsidR="1FC17709">
        <w:rPr>
          <w:rFonts w:ascii="Times New Roman"/>
        </w:rPr>
        <w:t>s</w:t>
      </w:r>
      <w:r w:rsidRPr="00717787">
        <w:rPr>
          <w:rFonts w:ascii="Times New Roman"/>
        </w:rPr>
        <w:t xml:space="preserve"> may require some additional medical examinations </w:t>
      </w:r>
      <w:r w:rsidRPr="00717787" w:rsidR="003E1115">
        <w:rPr>
          <w:rFonts w:ascii="Times New Roman"/>
        </w:rPr>
        <w:t>because of</w:t>
      </w:r>
      <w:r w:rsidRPr="00717787">
        <w:rPr>
          <w:rFonts w:ascii="Times New Roman"/>
        </w:rPr>
        <w:t xml:space="preserve"> their being removed from lead exposure because of their high blood lead levels. OSHA </w:t>
      </w:r>
      <w:r w:rsidRPr="00717787" w:rsidR="00733D5B">
        <w:rPr>
          <w:rFonts w:ascii="Times New Roman"/>
        </w:rPr>
        <w:t xml:space="preserve">estimates </w:t>
      </w:r>
      <w:r w:rsidRPr="00717787">
        <w:rPr>
          <w:rFonts w:ascii="Times New Roman"/>
        </w:rPr>
        <w:t xml:space="preserve">that approximately five percent (or </w:t>
      </w:r>
      <w:r w:rsidRPr="00717787" w:rsidR="3C57E12C">
        <w:rPr>
          <w:rFonts w:ascii="Times New Roman"/>
        </w:rPr>
        <w:t>1,</w:t>
      </w:r>
      <w:r w:rsidRPr="00717787" w:rsidR="00473761">
        <w:rPr>
          <w:rFonts w:ascii="Times New Roman"/>
        </w:rPr>
        <w:t>100</w:t>
      </w:r>
      <w:r w:rsidRPr="00717787">
        <w:rPr>
          <w:rFonts w:ascii="Times New Roman"/>
        </w:rPr>
        <w:t>) of these workers may require additional medical examinations.</w:t>
      </w:r>
    </w:p>
    <w:p w:rsidR="00606D2D" w:rsidRPr="00717787" w:rsidP="00530278" w14:paraId="440A851B" w14:textId="77777777">
      <w:pPr>
        <w:widowControl/>
        <w:rPr>
          <w:rFonts w:ascii="Times New Roman"/>
        </w:rPr>
      </w:pPr>
    </w:p>
    <w:p w:rsidR="00606D2D" w:rsidRPr="00717787" w:rsidP="00530278" w14:paraId="62A13BBE" w14:textId="024A9276">
      <w:pPr>
        <w:widowControl/>
        <w:ind w:firstLine="720"/>
        <w:rPr>
          <w:rFonts w:ascii="Times New Roman"/>
        </w:rPr>
      </w:pPr>
      <w:r w:rsidRPr="00717787">
        <w:rPr>
          <w:rFonts w:ascii="Times New Roman"/>
          <w:b/>
          <w:bCs/>
        </w:rPr>
        <w:t>Burden hours</w:t>
      </w:r>
      <w:r w:rsidRPr="00717787">
        <w:rPr>
          <w:rFonts w:ascii="Times New Roman"/>
        </w:rPr>
        <w:t>:</w:t>
      </w:r>
      <w:r w:rsidRPr="00717787">
        <w:rPr>
          <w:rFonts w:ascii="Times New Roman"/>
        </w:rPr>
        <w:tab/>
      </w:r>
      <w:r w:rsidRPr="00717787" w:rsidR="002C6706">
        <w:rPr>
          <w:rFonts w:ascii="Times New Roman"/>
        </w:rPr>
        <w:t>1,</w:t>
      </w:r>
      <w:r w:rsidRPr="00717787" w:rsidR="00CE3AEE">
        <w:rPr>
          <w:rFonts w:ascii="Times New Roman"/>
        </w:rPr>
        <w:t>100</w:t>
      </w:r>
      <w:r w:rsidRPr="00717787" w:rsidR="004F4C0E">
        <w:rPr>
          <w:rFonts w:ascii="Times New Roman"/>
        </w:rPr>
        <w:t xml:space="preserve"> </w:t>
      </w:r>
      <w:r w:rsidRPr="00717787">
        <w:rPr>
          <w:rFonts w:ascii="Times New Roman"/>
        </w:rPr>
        <w:t xml:space="preserve">exams × 2 hours = </w:t>
      </w:r>
      <w:r w:rsidRPr="00717787" w:rsidR="007E531E">
        <w:rPr>
          <w:rFonts w:ascii="Times New Roman"/>
        </w:rPr>
        <w:t>2</w:t>
      </w:r>
      <w:r w:rsidRPr="00717787" w:rsidR="005377D2">
        <w:rPr>
          <w:rFonts w:ascii="Times New Roman"/>
        </w:rPr>
        <w:t>,200</w:t>
      </w:r>
      <w:r w:rsidRPr="00717787" w:rsidR="007C4025">
        <w:rPr>
          <w:rFonts w:ascii="Times New Roman"/>
        </w:rPr>
        <w:t xml:space="preserve"> </w:t>
      </w:r>
      <w:r w:rsidRPr="00717787">
        <w:rPr>
          <w:rFonts w:ascii="Times New Roman"/>
        </w:rPr>
        <w:t>hours</w:t>
      </w:r>
    </w:p>
    <w:p w:rsidR="00606D2D" w:rsidP="00530278" w14:paraId="5E7DC72E" w14:textId="3AE5E93B">
      <w:pPr>
        <w:widowControl/>
        <w:ind w:left="720" w:firstLine="720"/>
        <w:rPr>
          <w:rFonts w:ascii="Times New Roman"/>
        </w:rPr>
      </w:pPr>
      <w:r w:rsidRPr="00717787">
        <w:rPr>
          <w:rFonts w:ascii="Times New Roman"/>
          <w:b/>
          <w:bCs/>
        </w:rPr>
        <w:t xml:space="preserve"> </w:t>
      </w:r>
      <w:r w:rsidRPr="00717787" w:rsidR="2CD7BE93">
        <w:rPr>
          <w:rFonts w:ascii="Times New Roman"/>
          <w:b/>
          <w:bCs/>
        </w:rPr>
        <w:t xml:space="preserve"> </w:t>
      </w:r>
      <w:r w:rsidRPr="00717787" w:rsidR="049474F3">
        <w:rPr>
          <w:rFonts w:ascii="Times New Roman"/>
          <w:b/>
          <w:bCs/>
        </w:rPr>
        <w:t>Costs</w:t>
      </w:r>
      <w:r w:rsidRPr="00717787" w:rsidR="049474F3">
        <w:rPr>
          <w:rFonts w:ascii="Times New Roman"/>
        </w:rPr>
        <w:t>:</w:t>
      </w:r>
      <w:r w:rsidRPr="00717787" w:rsidR="00B24363">
        <w:tab/>
      </w:r>
      <w:r w:rsidRPr="00717787" w:rsidR="48BE886D">
        <w:rPr>
          <w:rFonts w:ascii="Times New Roman"/>
        </w:rPr>
        <w:t>2,</w:t>
      </w:r>
      <w:r w:rsidRPr="00717787" w:rsidR="005377D2">
        <w:rPr>
          <w:rFonts w:ascii="Times New Roman"/>
        </w:rPr>
        <w:t xml:space="preserve">200 </w:t>
      </w:r>
      <w:r w:rsidRPr="00717787" w:rsidR="049474F3">
        <w:rPr>
          <w:rFonts w:ascii="Times New Roman"/>
        </w:rPr>
        <w:t>worker</w:t>
      </w:r>
      <w:r w:rsidRPr="00717787" w:rsidR="049474F3">
        <w:rPr>
          <w:rFonts w:ascii="Times New Roman"/>
        </w:rPr>
        <w:t xml:space="preserve"> hours × $</w:t>
      </w:r>
      <w:r w:rsidRPr="00717787" w:rsidR="48BE886D">
        <w:rPr>
          <w:rFonts w:ascii="Times New Roman"/>
        </w:rPr>
        <w:t>4</w:t>
      </w:r>
      <w:r w:rsidRPr="00717787" w:rsidR="005377D2">
        <w:rPr>
          <w:rFonts w:ascii="Times New Roman"/>
        </w:rPr>
        <w:t>3.4</w:t>
      </w:r>
      <w:r w:rsidRPr="00717787" w:rsidR="00DE553D">
        <w:rPr>
          <w:rFonts w:ascii="Times New Roman"/>
        </w:rPr>
        <w:t>9</w:t>
      </w:r>
      <w:r w:rsidRPr="00717787" w:rsidR="049474F3">
        <w:rPr>
          <w:rFonts w:ascii="Times New Roman"/>
        </w:rPr>
        <w:t xml:space="preserve"> = $</w:t>
      </w:r>
      <w:r w:rsidRPr="00717787" w:rsidR="00DE553D">
        <w:rPr>
          <w:rFonts w:ascii="Times New Roman"/>
        </w:rPr>
        <w:t>95,678</w:t>
      </w:r>
    </w:p>
    <w:p w:rsidR="00F967E7" w:rsidP="00A0147D" w14:paraId="082414F8" w14:textId="77777777">
      <w:pPr>
        <w:widowControl/>
        <w:rPr>
          <w:rFonts w:ascii="Times New Roman"/>
        </w:rPr>
      </w:pPr>
    </w:p>
    <w:p w:rsidR="00606D2D" w:rsidRPr="0080157B" w:rsidP="00530278" w14:paraId="691C4AA1" w14:textId="3D5C21F4">
      <w:pPr>
        <w:widowControl/>
        <w:rPr>
          <w:rFonts w:ascii="Times New Roman"/>
        </w:rPr>
      </w:pPr>
      <w:r w:rsidRPr="00717787">
        <w:rPr>
          <w:rFonts w:ascii="Times New Roman"/>
        </w:rPr>
        <w:t xml:space="preserve">(4) </w:t>
      </w:r>
      <w:r w:rsidRPr="00717787">
        <w:rPr>
          <w:rFonts w:ascii="Times New Roman"/>
          <w:u w:val="single"/>
        </w:rPr>
        <w:t>Multiple Physician Review</w:t>
      </w:r>
    </w:p>
    <w:p w:rsidR="00606D2D" w:rsidRPr="0080157B" w:rsidP="00530278" w14:paraId="7D67EB4F" w14:textId="77777777">
      <w:pPr>
        <w:widowControl/>
        <w:rPr>
          <w:rFonts w:ascii="Times New Roman"/>
        </w:rPr>
      </w:pPr>
    </w:p>
    <w:p w:rsidR="00606D2D" w:rsidP="00530278" w14:paraId="16BB3A53" w14:textId="6A040F5E">
      <w:pPr>
        <w:widowControl/>
        <w:rPr>
          <w:rFonts w:ascii="Times New Roman"/>
        </w:rPr>
      </w:pPr>
      <w:r w:rsidRPr="56E51CD7">
        <w:rPr>
          <w:rFonts w:ascii="Times New Roman"/>
        </w:rPr>
        <w:t xml:space="preserve">The lead standard requires that each employer promptly notify each worker of </w:t>
      </w:r>
      <w:r w:rsidRPr="56E51CD7" w:rsidR="3BC61B33">
        <w:rPr>
          <w:rFonts w:ascii="Times New Roman"/>
        </w:rPr>
        <w:t>their</w:t>
      </w:r>
      <w:r w:rsidRPr="56E51CD7">
        <w:rPr>
          <w:rFonts w:ascii="Times New Roman"/>
        </w:rPr>
        <w:t xml:space="preserve"> right to seek a second medical opinion after each occasion a physician conducts a medical examination or consultation. This requirement can be fulfilled by including a photocopy of such notification with the physician's </w:t>
      </w:r>
      <w:r w:rsidRPr="00717787">
        <w:rPr>
          <w:rFonts w:ascii="Times New Roman"/>
        </w:rPr>
        <w:t xml:space="preserve">written medical opinion that the employer must provide to each worker after each medical examination. OSHA estimates that </w:t>
      </w:r>
      <w:r w:rsidR="009B4397">
        <w:rPr>
          <w:rFonts w:ascii="Times New Roman"/>
        </w:rPr>
        <w:t>including</w:t>
      </w:r>
      <w:r w:rsidRPr="00717787">
        <w:rPr>
          <w:rFonts w:ascii="Times New Roman"/>
        </w:rPr>
        <w:t xml:space="preserve"> this notification form will require no more than </w:t>
      </w:r>
      <w:r w:rsidRPr="00717787" w:rsidR="00B803E2">
        <w:rPr>
          <w:rFonts w:ascii="Times New Roman"/>
        </w:rPr>
        <w:t>one</w:t>
      </w:r>
      <w:r w:rsidRPr="00717787">
        <w:rPr>
          <w:rFonts w:ascii="Times New Roman"/>
        </w:rPr>
        <w:t xml:space="preserve"> minute (</w:t>
      </w:r>
      <w:r w:rsidRPr="00717787" w:rsidR="5AFFEA78">
        <w:rPr>
          <w:rFonts w:ascii="Times New Roman"/>
        </w:rPr>
        <w:t>1/60</w:t>
      </w:r>
      <w:r w:rsidRPr="00717787">
        <w:rPr>
          <w:rFonts w:ascii="Times New Roman"/>
        </w:rPr>
        <w:t xml:space="preserve"> hour) of </w:t>
      </w:r>
      <w:r w:rsidRPr="00717787" w:rsidR="22F831E1">
        <w:rPr>
          <w:rFonts w:ascii="Times New Roman"/>
        </w:rPr>
        <w:t xml:space="preserve">supervisor </w:t>
      </w:r>
      <w:r w:rsidRPr="00717787">
        <w:rPr>
          <w:rFonts w:ascii="Times New Roman"/>
        </w:rPr>
        <w:t>time.</w:t>
      </w:r>
      <w:r w:rsidRPr="00717787" w:rsidR="2CD7BE93">
        <w:rPr>
          <w:rFonts w:ascii="Times New Roman"/>
        </w:rPr>
        <w:t xml:space="preserve"> </w:t>
      </w:r>
      <w:r w:rsidRPr="00717787">
        <w:rPr>
          <w:rFonts w:ascii="Times New Roman"/>
        </w:rPr>
        <w:t xml:space="preserve">According to the estimates made above, employers will provide </w:t>
      </w:r>
      <w:r w:rsidRPr="00717787">
        <w:rPr>
          <w:rFonts w:ascii="Times New Roman"/>
        </w:rPr>
        <w:t xml:space="preserve">approximately </w:t>
      </w:r>
      <w:r w:rsidRPr="00717787" w:rsidR="01B69926">
        <w:rPr>
          <w:rFonts w:ascii="Times New Roman"/>
        </w:rPr>
        <w:t>2</w:t>
      </w:r>
      <w:r w:rsidRPr="00717787" w:rsidR="00B5783F">
        <w:rPr>
          <w:rFonts w:ascii="Times New Roman"/>
        </w:rPr>
        <w:t>69,840</w:t>
      </w:r>
      <w:r w:rsidRPr="00717787" w:rsidR="586ADF93">
        <w:rPr>
          <w:rFonts w:ascii="Times New Roman"/>
        </w:rPr>
        <w:t xml:space="preserve"> </w:t>
      </w:r>
      <w:r w:rsidRPr="00717787">
        <w:rPr>
          <w:rFonts w:ascii="Times New Roman"/>
        </w:rPr>
        <w:t xml:space="preserve">medical examinations </w:t>
      </w:r>
      <w:r w:rsidRPr="00717787">
        <w:rPr>
          <w:rFonts w:ascii="Times New Roman"/>
          <w:color w:val="000000" w:themeColor="text1"/>
        </w:rPr>
        <w:t>(</w:t>
      </w:r>
      <w:r w:rsidRPr="00717787" w:rsidR="5AFFEA78">
        <w:rPr>
          <w:rFonts w:ascii="Times New Roman"/>
          <w:color w:val="000000" w:themeColor="text1"/>
        </w:rPr>
        <w:t>10</w:t>
      </w:r>
      <w:r w:rsidRPr="00717787" w:rsidR="00B874AE">
        <w:rPr>
          <w:rFonts w:ascii="Times New Roman"/>
          <w:color w:val="000000" w:themeColor="text1"/>
        </w:rPr>
        <w:t>7</w:t>
      </w:r>
      <w:r w:rsidRPr="00717787" w:rsidR="00247DC1">
        <w:rPr>
          <w:rFonts w:ascii="Times New Roman"/>
          <w:color w:val="000000" w:themeColor="text1"/>
        </w:rPr>
        <w:t>,42</w:t>
      </w:r>
      <w:r w:rsidRPr="00717787" w:rsidR="00FE4715">
        <w:rPr>
          <w:rFonts w:ascii="Times New Roman"/>
          <w:color w:val="000000" w:themeColor="text1"/>
        </w:rPr>
        <w:t>3</w:t>
      </w:r>
      <w:r w:rsidRPr="00717787" w:rsidR="6E78EEBA">
        <w:rPr>
          <w:rFonts w:ascii="Times New Roman"/>
          <w:color w:val="000000" w:themeColor="text1"/>
        </w:rPr>
        <w:t xml:space="preserve"> </w:t>
      </w:r>
      <w:r w:rsidRPr="00717787">
        <w:rPr>
          <w:rFonts w:ascii="Times New Roman"/>
        </w:rPr>
        <w:t xml:space="preserve">+ </w:t>
      </w:r>
      <w:r w:rsidRPr="00717787" w:rsidR="00143B92">
        <w:rPr>
          <w:rFonts w:ascii="Times New Roman"/>
        </w:rPr>
        <w:t>142,985</w:t>
      </w:r>
      <w:r w:rsidRPr="00717787" w:rsidR="17140C6A">
        <w:rPr>
          <w:rFonts w:ascii="Times New Roman"/>
        </w:rPr>
        <w:t xml:space="preserve"> </w:t>
      </w:r>
      <w:r w:rsidRPr="00717787">
        <w:rPr>
          <w:rFonts w:ascii="Times New Roman"/>
        </w:rPr>
        <w:t xml:space="preserve">+ </w:t>
      </w:r>
      <w:r w:rsidRPr="00717787" w:rsidR="4B31B54A">
        <w:rPr>
          <w:rFonts w:ascii="Times New Roman"/>
        </w:rPr>
        <w:t>1</w:t>
      </w:r>
      <w:r w:rsidRPr="00717787" w:rsidR="008541B2">
        <w:rPr>
          <w:rFonts w:ascii="Times New Roman"/>
        </w:rPr>
        <w:t>8,3</w:t>
      </w:r>
      <w:r w:rsidRPr="00717787" w:rsidR="000376B0">
        <w:rPr>
          <w:rFonts w:ascii="Times New Roman"/>
        </w:rPr>
        <w:t>3</w:t>
      </w:r>
      <w:r w:rsidRPr="00717787" w:rsidR="009671C8">
        <w:rPr>
          <w:rFonts w:ascii="Times New Roman"/>
        </w:rPr>
        <w:t>1</w:t>
      </w:r>
      <w:r w:rsidRPr="00717787">
        <w:rPr>
          <w:rFonts w:ascii="Times New Roman"/>
        </w:rPr>
        <w:t xml:space="preserve">+ </w:t>
      </w:r>
      <w:r w:rsidRPr="00717787" w:rsidR="5AFFEA78">
        <w:rPr>
          <w:rFonts w:ascii="Times New Roman"/>
        </w:rPr>
        <w:t>1,</w:t>
      </w:r>
      <w:r w:rsidRPr="00717787" w:rsidR="008541B2">
        <w:rPr>
          <w:rFonts w:ascii="Times New Roman"/>
        </w:rPr>
        <w:t>100</w:t>
      </w:r>
      <w:r w:rsidRPr="00717787">
        <w:rPr>
          <w:rFonts w:ascii="Times New Roman"/>
        </w:rPr>
        <w:t>) each year which will require the insertion of this notification in each worker's medical opinion.</w:t>
      </w:r>
    </w:p>
    <w:p w:rsidR="0088624A" w:rsidRPr="00717787" w:rsidP="00530278" w14:paraId="5DA2698A" w14:textId="54E48BCB">
      <w:pPr>
        <w:widowControl/>
        <w:rPr>
          <w:rFonts w:ascii="Times New Roman"/>
        </w:rPr>
      </w:pPr>
    </w:p>
    <w:p w:rsidR="00606D2D" w:rsidRPr="00717787" w:rsidP="00530278" w14:paraId="27B9491C" w14:textId="77777777">
      <w:pPr>
        <w:widowControl/>
        <w:rPr>
          <w:rFonts w:ascii="Times New Roman"/>
        </w:rPr>
      </w:pPr>
    </w:p>
    <w:p w:rsidR="00606D2D" w:rsidRPr="00717787" w:rsidP="00530278" w14:paraId="0A36918A" w14:textId="4CB273B7">
      <w:pPr>
        <w:widowControl/>
        <w:ind w:firstLine="720"/>
        <w:rPr>
          <w:rFonts w:ascii="Times New Roman"/>
        </w:rPr>
      </w:pPr>
      <w:r w:rsidRPr="00717787">
        <w:rPr>
          <w:rFonts w:ascii="Times New Roman"/>
          <w:b/>
          <w:bCs/>
        </w:rPr>
        <w:t>Burden hours</w:t>
      </w:r>
      <w:r w:rsidRPr="00717787">
        <w:rPr>
          <w:rFonts w:ascii="Times New Roman"/>
        </w:rPr>
        <w:t>:</w:t>
      </w:r>
      <w:r w:rsidRPr="00717787">
        <w:rPr>
          <w:rFonts w:ascii="Times New Roman"/>
          <w:b/>
          <w:bCs/>
        </w:rPr>
        <w:tab/>
      </w:r>
      <w:r w:rsidRPr="00717787" w:rsidR="00ED5B41">
        <w:rPr>
          <w:rFonts w:ascii="Times New Roman"/>
        </w:rPr>
        <w:t>2</w:t>
      </w:r>
      <w:r w:rsidRPr="00717787" w:rsidR="00FE41CF">
        <w:rPr>
          <w:rFonts w:ascii="Times New Roman"/>
        </w:rPr>
        <w:t>6</w:t>
      </w:r>
      <w:r w:rsidRPr="00717787" w:rsidR="00717A82">
        <w:rPr>
          <w:rFonts w:ascii="Times New Roman"/>
        </w:rPr>
        <w:t>9,840</w:t>
      </w:r>
      <w:r w:rsidRPr="00717787" w:rsidR="00937A63">
        <w:rPr>
          <w:rFonts w:ascii="Times New Roman"/>
        </w:rPr>
        <w:t xml:space="preserve"> </w:t>
      </w:r>
      <w:r w:rsidRPr="00717787">
        <w:rPr>
          <w:rFonts w:ascii="Times New Roman"/>
        </w:rPr>
        <w:t xml:space="preserve">exams × </w:t>
      </w:r>
      <w:r w:rsidRPr="00717787" w:rsidR="005B0CC8">
        <w:rPr>
          <w:rFonts w:ascii="Times New Roman"/>
        </w:rPr>
        <w:t>1/60</w:t>
      </w:r>
      <w:r w:rsidRPr="00717787">
        <w:rPr>
          <w:rFonts w:ascii="Times New Roman"/>
        </w:rPr>
        <w:t xml:space="preserve"> hour = </w:t>
      </w:r>
      <w:r w:rsidRPr="00717787" w:rsidR="00194519">
        <w:rPr>
          <w:rFonts w:ascii="Times New Roman"/>
        </w:rPr>
        <w:t>4,497</w:t>
      </w:r>
      <w:r w:rsidRPr="00717787" w:rsidR="005B0CC8">
        <w:rPr>
          <w:rFonts w:ascii="Times New Roman"/>
        </w:rPr>
        <w:t xml:space="preserve"> </w:t>
      </w:r>
      <w:r w:rsidRPr="00717787">
        <w:rPr>
          <w:rFonts w:ascii="Times New Roman"/>
        </w:rPr>
        <w:t>hours</w:t>
      </w:r>
    </w:p>
    <w:p w:rsidR="00606D2D" w:rsidRPr="0080157B" w:rsidP="00530278" w14:paraId="6A7A10DB" w14:textId="680F13E2">
      <w:pPr>
        <w:widowControl/>
        <w:ind w:left="720" w:firstLine="720"/>
        <w:rPr>
          <w:rFonts w:ascii="Times New Roman"/>
        </w:rPr>
      </w:pPr>
      <w:r w:rsidRPr="00717787">
        <w:rPr>
          <w:rFonts w:ascii="Times New Roman"/>
          <w:b/>
          <w:bCs/>
        </w:rPr>
        <w:t xml:space="preserve"> </w:t>
      </w:r>
      <w:r w:rsidRPr="00717787" w:rsidR="2CD7BE93">
        <w:rPr>
          <w:rFonts w:ascii="Times New Roman"/>
          <w:b/>
          <w:bCs/>
        </w:rPr>
        <w:t xml:space="preserve"> </w:t>
      </w:r>
      <w:r w:rsidRPr="00717787" w:rsidR="049474F3">
        <w:rPr>
          <w:rFonts w:ascii="Times New Roman"/>
          <w:b/>
          <w:bCs/>
        </w:rPr>
        <w:t>Costs</w:t>
      </w:r>
      <w:r w:rsidRPr="00717787" w:rsidR="049474F3">
        <w:rPr>
          <w:rFonts w:ascii="Times New Roman"/>
          <w:i/>
          <w:iCs/>
        </w:rPr>
        <w:t>:</w:t>
      </w:r>
      <w:r w:rsidRPr="00717787" w:rsidR="00B24363">
        <w:tab/>
      </w:r>
      <w:r w:rsidRPr="00717787" w:rsidR="00DD3C82">
        <w:rPr>
          <w:rFonts w:ascii="Times New Roman"/>
        </w:rPr>
        <w:t>4,497</w:t>
      </w:r>
      <w:r w:rsidRPr="00717787" w:rsidR="049474F3">
        <w:rPr>
          <w:rFonts w:ascii="Times New Roman"/>
        </w:rPr>
        <w:t xml:space="preserve"> hours × $</w:t>
      </w:r>
      <w:r w:rsidRPr="00717787" w:rsidR="00675390">
        <w:rPr>
          <w:rFonts w:ascii="Times New Roman"/>
        </w:rPr>
        <w:t>74.26</w:t>
      </w:r>
      <w:r w:rsidRPr="00717787" w:rsidR="22F831E1">
        <w:rPr>
          <w:rFonts w:ascii="Times New Roman"/>
        </w:rPr>
        <w:t xml:space="preserve"> </w:t>
      </w:r>
      <w:r w:rsidRPr="00717787" w:rsidR="049474F3">
        <w:rPr>
          <w:rFonts w:ascii="Times New Roman"/>
        </w:rPr>
        <w:t>= $</w:t>
      </w:r>
      <w:r w:rsidRPr="00717787" w:rsidR="00194519">
        <w:rPr>
          <w:rFonts w:ascii="Times New Roman"/>
        </w:rPr>
        <w:t>333,947</w:t>
      </w:r>
    </w:p>
    <w:p w:rsidR="00606D2D" w:rsidRPr="0080157B" w:rsidP="00530278" w14:paraId="67E58476" w14:textId="77777777">
      <w:pPr>
        <w:widowControl/>
        <w:rPr>
          <w:rFonts w:ascii="Times New Roman"/>
          <w:u w:val="single"/>
        </w:rPr>
      </w:pPr>
    </w:p>
    <w:p w:rsidR="00A0147D" w:rsidP="00530278" w14:paraId="0CA95349" w14:textId="77777777">
      <w:pPr>
        <w:widowControl/>
        <w:rPr>
          <w:rFonts w:ascii="Times New Roman"/>
        </w:rPr>
      </w:pPr>
    </w:p>
    <w:p w:rsidR="00606D2D" w:rsidRPr="0080157B" w:rsidP="00530278" w14:paraId="6B179A13" w14:textId="658078DB">
      <w:pPr>
        <w:widowControl/>
        <w:rPr>
          <w:rFonts w:ascii="Times New Roman"/>
        </w:rPr>
      </w:pPr>
      <w:r>
        <w:rPr>
          <w:rFonts w:ascii="Times New Roman"/>
        </w:rPr>
        <w:t xml:space="preserve">(5) </w:t>
      </w:r>
      <w:r w:rsidRPr="0080157B">
        <w:rPr>
          <w:rFonts w:ascii="Times New Roman"/>
          <w:u w:val="single"/>
        </w:rPr>
        <w:t>Information Provided to Examining and Consulting Physicians</w:t>
      </w:r>
    </w:p>
    <w:p w:rsidR="00606D2D" w:rsidRPr="0080157B" w:rsidP="00530278" w14:paraId="037ECABC" w14:textId="77777777">
      <w:pPr>
        <w:widowControl/>
        <w:rPr>
          <w:rFonts w:ascii="Times New Roman"/>
        </w:rPr>
      </w:pPr>
    </w:p>
    <w:p w:rsidR="00606D2D" w:rsidRPr="00717787" w:rsidP="00530278" w14:paraId="32343D47" w14:textId="48690641">
      <w:pPr>
        <w:widowControl/>
        <w:rPr>
          <w:rFonts w:ascii="Times New Roman"/>
        </w:rPr>
      </w:pPr>
      <w:r w:rsidRPr="00717787">
        <w:rPr>
          <w:rFonts w:ascii="Times New Roman"/>
        </w:rPr>
        <w:t xml:space="preserve">Information must be provided to physicians </w:t>
      </w:r>
      <w:r w:rsidRPr="00717787">
        <w:rPr>
          <w:rFonts w:ascii="Times New Roman"/>
        </w:rPr>
        <w:t>who will</w:t>
      </w:r>
      <w:r w:rsidRPr="00717787">
        <w:rPr>
          <w:rFonts w:ascii="Times New Roman"/>
        </w:rPr>
        <w:t xml:space="preserve"> conduct medical examinations of worker</w:t>
      </w:r>
      <w:r w:rsidRPr="00717787" w:rsidR="003640F4">
        <w:rPr>
          <w:rFonts w:ascii="Times New Roman"/>
        </w:rPr>
        <w:t>s</w:t>
      </w:r>
      <w:r w:rsidRPr="00717787">
        <w:rPr>
          <w:rFonts w:ascii="Times New Roman"/>
        </w:rPr>
        <w:t xml:space="preserve"> under the requirements of the lead standard. A </w:t>
      </w:r>
      <w:r w:rsidRPr="00717787" w:rsidR="0031126E">
        <w:rPr>
          <w:rFonts w:ascii="Times New Roman"/>
        </w:rPr>
        <w:t>supervisor</w:t>
      </w:r>
      <w:r w:rsidRPr="00717787">
        <w:rPr>
          <w:rFonts w:ascii="Times New Roman"/>
        </w:rPr>
        <w:t xml:space="preserve"> takes </w:t>
      </w:r>
      <w:r w:rsidRPr="00717787" w:rsidR="00767091">
        <w:rPr>
          <w:rFonts w:ascii="Times New Roman"/>
        </w:rPr>
        <w:t>five</w:t>
      </w:r>
      <w:r w:rsidRPr="00717787">
        <w:rPr>
          <w:rFonts w:ascii="Times New Roman"/>
        </w:rPr>
        <w:t xml:space="preserve"> minutes (</w:t>
      </w:r>
      <w:r w:rsidRPr="00717787" w:rsidR="00140749">
        <w:rPr>
          <w:rFonts w:ascii="Times New Roman"/>
        </w:rPr>
        <w:t>5/60</w:t>
      </w:r>
      <w:r w:rsidRPr="00717787">
        <w:rPr>
          <w:rFonts w:ascii="Times New Roman"/>
        </w:rPr>
        <w:t xml:space="preserve"> </w:t>
      </w:r>
      <w:r w:rsidRPr="00717787">
        <w:rPr>
          <w:rFonts w:ascii="Times New Roman"/>
        </w:rPr>
        <w:t>hour</w:t>
      </w:r>
      <w:r w:rsidRPr="00717787">
        <w:rPr>
          <w:rFonts w:ascii="Times New Roman"/>
        </w:rPr>
        <w:t xml:space="preserve">) to provide the required information to physicians. Based on the analysis above there are </w:t>
      </w:r>
      <w:r w:rsidRPr="00717787" w:rsidR="00C61DE3">
        <w:rPr>
          <w:rFonts w:ascii="Times New Roman"/>
        </w:rPr>
        <w:t>269,840</w:t>
      </w:r>
      <w:r w:rsidRPr="00717787" w:rsidR="00595554">
        <w:rPr>
          <w:rFonts w:ascii="Times New Roman"/>
        </w:rPr>
        <w:t xml:space="preserve"> </w:t>
      </w:r>
      <w:r w:rsidRPr="00717787">
        <w:rPr>
          <w:rFonts w:ascii="Times New Roman"/>
        </w:rPr>
        <w:t>examinations to be performed annually.</w:t>
      </w:r>
    </w:p>
    <w:p w:rsidR="00606D2D" w:rsidRPr="00717787" w:rsidP="00530278" w14:paraId="191FA25D" w14:textId="77777777">
      <w:pPr>
        <w:widowControl/>
        <w:rPr>
          <w:rFonts w:ascii="Times New Roman"/>
        </w:rPr>
      </w:pPr>
    </w:p>
    <w:p w:rsidR="00606D2D" w:rsidRPr="00717787" w:rsidP="00530278" w14:paraId="6DA48DE4" w14:textId="188D4063">
      <w:pPr>
        <w:widowControl/>
        <w:ind w:firstLine="720"/>
        <w:rPr>
          <w:rFonts w:ascii="Times New Roman"/>
        </w:rPr>
      </w:pPr>
      <w:r w:rsidRPr="00717787">
        <w:rPr>
          <w:rFonts w:ascii="Times New Roman"/>
          <w:b/>
          <w:bCs/>
        </w:rPr>
        <w:t>Burden hours</w:t>
      </w:r>
      <w:r w:rsidRPr="00717787">
        <w:rPr>
          <w:rFonts w:ascii="Times New Roman"/>
        </w:rPr>
        <w:t>:</w:t>
      </w:r>
      <w:r w:rsidRPr="00717787">
        <w:rPr>
          <w:rFonts w:ascii="Times New Roman"/>
          <w:b/>
          <w:bCs/>
        </w:rPr>
        <w:tab/>
      </w:r>
      <w:r w:rsidRPr="00717787" w:rsidR="001A0502">
        <w:rPr>
          <w:rFonts w:ascii="Times New Roman"/>
        </w:rPr>
        <w:t>269,840</w:t>
      </w:r>
      <w:r w:rsidRPr="00717787" w:rsidR="00ED5B41">
        <w:rPr>
          <w:rFonts w:ascii="Times New Roman"/>
        </w:rPr>
        <w:t xml:space="preserve"> </w:t>
      </w:r>
      <w:r w:rsidRPr="00717787">
        <w:rPr>
          <w:rFonts w:ascii="Times New Roman"/>
        </w:rPr>
        <w:t xml:space="preserve">exams × </w:t>
      </w:r>
      <w:r w:rsidRPr="00717787" w:rsidR="005B0CC8">
        <w:rPr>
          <w:rFonts w:ascii="Times New Roman"/>
        </w:rPr>
        <w:t>5/60</w:t>
      </w:r>
      <w:r w:rsidRPr="00717787">
        <w:rPr>
          <w:rFonts w:ascii="Times New Roman"/>
        </w:rPr>
        <w:t xml:space="preserve"> hours = </w:t>
      </w:r>
      <w:r w:rsidRPr="00717787" w:rsidR="006E0E6D">
        <w:rPr>
          <w:rFonts w:ascii="Times New Roman"/>
        </w:rPr>
        <w:t>22,487</w:t>
      </w:r>
      <w:r w:rsidRPr="00717787" w:rsidR="00ED5B41">
        <w:rPr>
          <w:rFonts w:ascii="Times New Roman"/>
        </w:rPr>
        <w:t xml:space="preserve"> </w:t>
      </w:r>
      <w:r w:rsidRPr="00717787">
        <w:rPr>
          <w:rFonts w:ascii="Times New Roman"/>
        </w:rPr>
        <w:t>hours</w:t>
      </w:r>
    </w:p>
    <w:p w:rsidR="0022685C" w:rsidRPr="00717787" w:rsidP="00530278" w14:paraId="434971DD" w14:textId="0E07F880">
      <w:pPr>
        <w:widowControl/>
        <w:ind w:left="720" w:firstLine="720"/>
        <w:rPr>
          <w:rFonts w:ascii="Times New Roman"/>
        </w:rPr>
      </w:pPr>
      <w:r w:rsidRPr="00717787">
        <w:rPr>
          <w:rFonts w:ascii="Times New Roman"/>
          <w:b/>
          <w:bCs/>
        </w:rPr>
        <w:t xml:space="preserve"> </w:t>
      </w:r>
      <w:r w:rsidRPr="00717787" w:rsidR="2CD7BE93">
        <w:rPr>
          <w:rFonts w:ascii="Times New Roman"/>
          <w:b/>
          <w:bCs/>
        </w:rPr>
        <w:t xml:space="preserve"> </w:t>
      </w:r>
      <w:r w:rsidRPr="00717787" w:rsidR="049474F3">
        <w:rPr>
          <w:rFonts w:ascii="Times New Roman"/>
          <w:b/>
          <w:bCs/>
        </w:rPr>
        <w:t>Costs</w:t>
      </w:r>
      <w:r w:rsidRPr="00717787" w:rsidR="049474F3">
        <w:rPr>
          <w:rFonts w:ascii="Times New Roman"/>
        </w:rPr>
        <w:t>:</w:t>
      </w:r>
      <w:r w:rsidRPr="00717787" w:rsidR="00B24363">
        <w:tab/>
      </w:r>
      <w:r w:rsidRPr="00717787" w:rsidR="006E0E6D">
        <w:rPr>
          <w:rFonts w:ascii="Times New Roman"/>
        </w:rPr>
        <w:t>22,487</w:t>
      </w:r>
      <w:r w:rsidRPr="00717787" w:rsidR="17140C6A">
        <w:rPr>
          <w:rFonts w:ascii="Times New Roman"/>
        </w:rPr>
        <w:t xml:space="preserve"> </w:t>
      </w:r>
      <w:r w:rsidRPr="00717787" w:rsidR="049474F3">
        <w:rPr>
          <w:rFonts w:ascii="Times New Roman"/>
        </w:rPr>
        <w:t>hours × $</w:t>
      </w:r>
      <w:r w:rsidRPr="00717787" w:rsidR="009F5B6D">
        <w:rPr>
          <w:rFonts w:ascii="Times New Roman"/>
        </w:rPr>
        <w:t>74.26</w:t>
      </w:r>
      <w:r w:rsidRPr="00717787" w:rsidR="5BD39723">
        <w:rPr>
          <w:rFonts w:ascii="Times New Roman"/>
        </w:rPr>
        <w:t xml:space="preserve"> </w:t>
      </w:r>
      <w:r w:rsidRPr="00717787" w:rsidR="049474F3">
        <w:rPr>
          <w:rFonts w:ascii="Times New Roman"/>
        </w:rPr>
        <w:t>= $</w:t>
      </w:r>
      <w:r w:rsidRPr="00717787" w:rsidR="55C05121">
        <w:rPr>
          <w:rFonts w:ascii="Times New Roman"/>
        </w:rPr>
        <w:t>1,</w:t>
      </w:r>
      <w:r w:rsidRPr="00717787" w:rsidR="00B50FAC">
        <w:rPr>
          <w:rFonts w:ascii="Times New Roman"/>
        </w:rPr>
        <w:t>669,885</w:t>
      </w:r>
    </w:p>
    <w:p w:rsidR="001E2E72" w:rsidRPr="00717787" w:rsidP="00A26F77" w14:paraId="7DFD8FCB" w14:textId="77777777">
      <w:pPr>
        <w:widowControl/>
        <w:ind w:left="720" w:firstLine="720"/>
        <w:rPr>
          <w:rFonts w:ascii="Times New Roman"/>
          <w:u w:val="single"/>
        </w:rPr>
      </w:pPr>
    </w:p>
    <w:p w:rsidR="00606D2D" w:rsidRPr="00717787" w:rsidP="00530278" w14:paraId="3AA692EC" w14:textId="4CCB374D">
      <w:pPr>
        <w:widowControl/>
        <w:rPr>
          <w:rFonts w:ascii="Times New Roman"/>
        </w:rPr>
      </w:pPr>
      <w:r w:rsidRPr="00717787">
        <w:rPr>
          <w:rFonts w:ascii="Times New Roman"/>
        </w:rPr>
        <w:t xml:space="preserve">(6) </w:t>
      </w:r>
      <w:r w:rsidRPr="00717787">
        <w:rPr>
          <w:rFonts w:ascii="Times New Roman"/>
          <w:u w:val="single"/>
        </w:rPr>
        <w:t>Physician's Written Opinion</w:t>
      </w:r>
    </w:p>
    <w:p w:rsidR="00606D2D" w:rsidRPr="00717787" w:rsidP="00530278" w14:paraId="235F4B51" w14:textId="77777777">
      <w:pPr>
        <w:widowControl/>
        <w:rPr>
          <w:rFonts w:ascii="Times New Roman"/>
        </w:rPr>
      </w:pPr>
    </w:p>
    <w:p w:rsidR="00606D2D" w:rsidRPr="00717787" w:rsidP="00530278" w14:paraId="19D92544" w14:textId="477AD3ED">
      <w:pPr>
        <w:widowControl/>
        <w:rPr>
          <w:rFonts w:ascii="Times New Roman"/>
        </w:rPr>
      </w:pPr>
      <w:r w:rsidRPr="00717787">
        <w:rPr>
          <w:rFonts w:ascii="Times New Roman"/>
        </w:rPr>
        <w:t xml:space="preserve">OSHA estimates </w:t>
      </w:r>
      <w:r w:rsidR="00192283">
        <w:rPr>
          <w:rFonts w:ascii="Times New Roman"/>
        </w:rPr>
        <w:t>that five minutes (5/60 hours</w:t>
      </w:r>
      <w:r w:rsidRPr="00717787">
        <w:rPr>
          <w:rFonts w:ascii="Times New Roman"/>
        </w:rPr>
        <w:t xml:space="preserve">) of </w:t>
      </w:r>
      <w:r w:rsidRPr="00717787" w:rsidR="0031126E">
        <w:rPr>
          <w:rFonts w:ascii="Times New Roman"/>
        </w:rPr>
        <w:t xml:space="preserve">supervisor </w:t>
      </w:r>
      <w:r w:rsidRPr="00717787">
        <w:rPr>
          <w:rFonts w:ascii="Times New Roman"/>
        </w:rPr>
        <w:t>time is needed to give each examined worker a copy of the physician's written opinion.</w:t>
      </w:r>
    </w:p>
    <w:p w:rsidR="00606D2D" w:rsidRPr="00717787" w:rsidP="00530278" w14:paraId="3A775614" w14:textId="77777777">
      <w:pPr>
        <w:widowControl/>
        <w:rPr>
          <w:rFonts w:ascii="Times New Roman"/>
        </w:rPr>
      </w:pPr>
    </w:p>
    <w:p w:rsidR="00606D2D" w:rsidRPr="00717787" w:rsidP="00530278" w14:paraId="0F2E15D6" w14:textId="22638704">
      <w:pPr>
        <w:widowControl/>
        <w:ind w:firstLine="720"/>
        <w:rPr>
          <w:rFonts w:ascii="Times New Roman"/>
        </w:rPr>
      </w:pPr>
      <w:r w:rsidRPr="00717787">
        <w:rPr>
          <w:rFonts w:ascii="Times New Roman"/>
          <w:b/>
          <w:bCs/>
        </w:rPr>
        <w:t>Burden hours</w:t>
      </w:r>
      <w:r w:rsidRPr="00717787">
        <w:rPr>
          <w:rFonts w:ascii="Times New Roman"/>
        </w:rPr>
        <w:t>:</w:t>
      </w:r>
      <w:r w:rsidRPr="00717787">
        <w:rPr>
          <w:rFonts w:ascii="Times New Roman"/>
        </w:rPr>
        <w:tab/>
      </w:r>
      <w:r w:rsidRPr="00717787" w:rsidR="00ED5B41">
        <w:rPr>
          <w:rFonts w:ascii="Times New Roman"/>
        </w:rPr>
        <w:t>2</w:t>
      </w:r>
      <w:r w:rsidRPr="00717787" w:rsidR="00E06C00">
        <w:rPr>
          <w:rFonts w:ascii="Times New Roman"/>
        </w:rPr>
        <w:t>69,840</w:t>
      </w:r>
      <w:r w:rsidRPr="00717787" w:rsidR="00ED5B41">
        <w:rPr>
          <w:rFonts w:ascii="Times New Roman"/>
        </w:rPr>
        <w:t xml:space="preserve"> </w:t>
      </w:r>
      <w:r w:rsidRPr="00717787">
        <w:rPr>
          <w:rFonts w:ascii="Times New Roman"/>
        </w:rPr>
        <w:t xml:space="preserve">exams × </w:t>
      </w:r>
      <w:r w:rsidRPr="00717787" w:rsidR="005B0CC8">
        <w:rPr>
          <w:rFonts w:ascii="Times New Roman"/>
        </w:rPr>
        <w:t>5/60</w:t>
      </w:r>
      <w:r w:rsidRPr="00717787">
        <w:rPr>
          <w:rFonts w:ascii="Times New Roman"/>
        </w:rPr>
        <w:t xml:space="preserve"> </w:t>
      </w:r>
      <w:r w:rsidRPr="00717787">
        <w:rPr>
          <w:rFonts w:ascii="Times New Roman"/>
        </w:rPr>
        <w:t>hour</w:t>
      </w:r>
      <w:r w:rsidRPr="00717787">
        <w:rPr>
          <w:rFonts w:ascii="Times New Roman"/>
        </w:rPr>
        <w:t xml:space="preserve"> = </w:t>
      </w:r>
      <w:r w:rsidRPr="00717787" w:rsidR="00BE33F6">
        <w:rPr>
          <w:rFonts w:ascii="Times New Roman"/>
        </w:rPr>
        <w:t>22,487</w:t>
      </w:r>
      <w:r w:rsidRPr="00717787" w:rsidR="005B0CC8">
        <w:rPr>
          <w:rFonts w:ascii="Times New Roman"/>
        </w:rPr>
        <w:t xml:space="preserve"> </w:t>
      </w:r>
      <w:r w:rsidRPr="00717787">
        <w:rPr>
          <w:rFonts w:ascii="Times New Roman"/>
        </w:rPr>
        <w:t>hours</w:t>
      </w:r>
    </w:p>
    <w:p w:rsidR="00606D2D" w:rsidRPr="00717787" w:rsidP="00D55B47" w14:paraId="398B97EF" w14:textId="69D817C9">
      <w:pPr>
        <w:widowControl/>
        <w:ind w:left="720" w:firstLine="720"/>
        <w:rPr>
          <w:rFonts w:ascii="Times New Roman"/>
        </w:rPr>
      </w:pPr>
      <w:r w:rsidRPr="00717787">
        <w:rPr>
          <w:rFonts w:ascii="Times New Roman"/>
          <w:b/>
          <w:bCs/>
        </w:rPr>
        <w:t xml:space="preserve"> </w:t>
      </w:r>
      <w:r w:rsidRPr="00717787" w:rsidR="2CD7BE93">
        <w:rPr>
          <w:rFonts w:ascii="Times New Roman"/>
          <w:b/>
          <w:bCs/>
        </w:rPr>
        <w:t xml:space="preserve"> </w:t>
      </w:r>
      <w:r w:rsidRPr="00717787" w:rsidR="049474F3">
        <w:rPr>
          <w:rFonts w:ascii="Times New Roman"/>
          <w:b/>
          <w:bCs/>
        </w:rPr>
        <w:t>Costs</w:t>
      </w:r>
      <w:r w:rsidRPr="00717787" w:rsidR="049474F3">
        <w:rPr>
          <w:rFonts w:ascii="Times New Roman"/>
        </w:rPr>
        <w:t>:</w:t>
      </w:r>
      <w:r w:rsidRPr="00717787" w:rsidR="00B24363">
        <w:tab/>
      </w:r>
      <w:r w:rsidRPr="00717787" w:rsidR="00BE33F6">
        <w:rPr>
          <w:rFonts w:ascii="Times New Roman"/>
        </w:rPr>
        <w:t>22,487</w:t>
      </w:r>
      <w:r w:rsidRPr="00717787" w:rsidR="002B797B">
        <w:rPr>
          <w:rFonts w:ascii="Times New Roman"/>
        </w:rPr>
        <w:t xml:space="preserve"> </w:t>
      </w:r>
      <w:r w:rsidRPr="00717787" w:rsidR="049474F3">
        <w:rPr>
          <w:rFonts w:ascii="Times New Roman"/>
        </w:rPr>
        <w:t>hours × $</w:t>
      </w:r>
      <w:r w:rsidRPr="00717787" w:rsidR="00C30FFC">
        <w:rPr>
          <w:rFonts w:ascii="Times New Roman"/>
        </w:rPr>
        <w:t>74.26</w:t>
      </w:r>
      <w:r w:rsidRPr="00717787" w:rsidR="5BD39723">
        <w:rPr>
          <w:rFonts w:ascii="Times New Roman"/>
        </w:rPr>
        <w:t xml:space="preserve"> </w:t>
      </w:r>
      <w:r w:rsidRPr="00717787" w:rsidR="049474F3">
        <w:rPr>
          <w:rFonts w:ascii="Times New Roman"/>
        </w:rPr>
        <w:t>=</w:t>
      </w:r>
      <w:r w:rsidRPr="00717787" w:rsidR="00966C50">
        <w:rPr>
          <w:rFonts w:ascii="Times New Roman"/>
        </w:rPr>
        <w:t xml:space="preserve"> </w:t>
      </w:r>
      <w:r w:rsidRPr="00717787" w:rsidR="00C30FFC">
        <w:rPr>
          <w:rFonts w:ascii="Times New Roman"/>
        </w:rPr>
        <w:t>$1,</w:t>
      </w:r>
      <w:r w:rsidRPr="00717787" w:rsidR="00BE33F6">
        <w:rPr>
          <w:rFonts w:ascii="Times New Roman"/>
        </w:rPr>
        <w:t>669,885</w:t>
      </w:r>
      <w:r w:rsidRPr="00717787" w:rsidR="049474F3">
        <w:rPr>
          <w:rFonts w:ascii="Times New Roman"/>
        </w:rPr>
        <w:t xml:space="preserve"> </w:t>
      </w:r>
    </w:p>
    <w:p w:rsidR="006451FE" w:rsidRPr="00717787" w:rsidP="00530278" w14:paraId="10E2E72E" w14:textId="422D38EB">
      <w:pPr>
        <w:widowControl/>
        <w:rPr>
          <w:rFonts w:ascii="Times New Roman"/>
          <w:u w:val="single"/>
        </w:rPr>
      </w:pPr>
    </w:p>
    <w:p w:rsidR="00606D2D" w:rsidRPr="00717787" w:rsidP="00530278" w14:paraId="3B5073AE" w14:textId="4D3FCAC2">
      <w:pPr>
        <w:widowControl/>
        <w:rPr>
          <w:rFonts w:ascii="Times New Roman"/>
        </w:rPr>
      </w:pPr>
      <w:r w:rsidRPr="00717787">
        <w:rPr>
          <w:rFonts w:ascii="Times New Roman"/>
        </w:rPr>
        <w:t xml:space="preserve">(7) </w:t>
      </w:r>
      <w:r w:rsidRPr="00717787">
        <w:rPr>
          <w:rFonts w:ascii="Times New Roman"/>
          <w:u w:val="single"/>
        </w:rPr>
        <w:t>Chelation Notification</w:t>
      </w:r>
      <w:r w:rsidRPr="00717787" w:rsidR="00C30FFC">
        <w:rPr>
          <w:rFonts w:ascii="Times New Roman"/>
          <w:u w:val="single"/>
        </w:rPr>
        <w:t xml:space="preserve"> </w:t>
      </w:r>
    </w:p>
    <w:p w:rsidR="00606D2D" w:rsidRPr="00717787" w:rsidP="00530278" w14:paraId="1872BB78" w14:textId="77777777">
      <w:pPr>
        <w:widowControl/>
        <w:rPr>
          <w:rFonts w:ascii="Times New Roman"/>
        </w:rPr>
      </w:pPr>
    </w:p>
    <w:p w:rsidR="00606D2D" w:rsidRPr="00717787" w:rsidP="00530278" w14:paraId="048EBB98" w14:textId="3E90FBD1">
      <w:pPr>
        <w:widowControl/>
        <w:rPr>
          <w:rFonts w:ascii="Times New Roman"/>
        </w:rPr>
      </w:pPr>
      <w:r w:rsidRPr="00717787">
        <w:rPr>
          <w:rFonts w:ascii="Times New Roman"/>
        </w:rPr>
        <w:t>In accordance with the lead standard, each employer must notify each worker in writing prior to therapeutic or diagnostic chelation. OSHA has prohibited the use of prophylactic chelation and permits diagnostic and therapeutic</w:t>
      </w:r>
      <w:r w:rsidRPr="00717787" w:rsidR="00181655">
        <w:rPr>
          <w:rFonts w:ascii="Times New Roman"/>
        </w:rPr>
        <w:t xml:space="preserve"> care</w:t>
      </w:r>
      <w:r w:rsidRPr="00717787">
        <w:rPr>
          <w:rFonts w:ascii="Times New Roman"/>
        </w:rPr>
        <w:t xml:space="preserve"> only under the supervision of a licensed physician with appropriate medical monitoring in an acceptable clinical setting. In general, chelation is only performed in severe cases of lead intoxication. Unless severe symptoms are present, therapeutic chelation is not recommended given the opportunity to remove a worker from exposure and to allow the body to naturally excrete accumulated lead. For this reason, OSHA does not anticipate much use of chelation and, consequently, does not foresee the need for </w:t>
      </w:r>
      <w:r w:rsidRPr="00717787">
        <w:rPr>
          <w:rFonts w:ascii="Times New Roman"/>
        </w:rPr>
        <w:t>large</w:t>
      </w:r>
      <w:r w:rsidRPr="00717787" w:rsidR="00B71A86">
        <w:rPr>
          <w:rFonts w:ascii="Times New Roman"/>
        </w:rPr>
        <w:t>-</w:t>
      </w:r>
      <w:r w:rsidRPr="00717787">
        <w:rPr>
          <w:rFonts w:ascii="Times New Roman"/>
        </w:rPr>
        <w:t>scale notification of worker</w:t>
      </w:r>
      <w:r w:rsidRPr="00717787" w:rsidR="00B71A86">
        <w:rPr>
          <w:rFonts w:ascii="Times New Roman"/>
        </w:rPr>
        <w:t>s</w:t>
      </w:r>
      <w:r w:rsidRPr="00717787">
        <w:rPr>
          <w:rFonts w:ascii="Times New Roman"/>
        </w:rPr>
        <w:t>.</w:t>
      </w:r>
      <w:r w:rsidRPr="00717787" w:rsidR="008F5EEA">
        <w:rPr>
          <w:rFonts w:ascii="Times New Roman"/>
        </w:rPr>
        <w:t xml:space="preserve"> </w:t>
      </w:r>
      <w:r w:rsidRPr="00717787">
        <w:rPr>
          <w:rFonts w:ascii="Times New Roman"/>
        </w:rPr>
        <w:t xml:space="preserve">Therefore, we have estimated that one hour of </w:t>
      </w:r>
      <w:r w:rsidRPr="00717787" w:rsidR="0031126E">
        <w:rPr>
          <w:rFonts w:ascii="Times New Roman"/>
        </w:rPr>
        <w:t xml:space="preserve">supervisor </w:t>
      </w:r>
      <w:r w:rsidRPr="00717787">
        <w:rPr>
          <w:rFonts w:ascii="Times New Roman"/>
        </w:rPr>
        <w:t>time</w:t>
      </w:r>
      <w:r w:rsidRPr="00717787" w:rsidR="00231866">
        <w:rPr>
          <w:rFonts w:ascii="Times New Roman"/>
        </w:rPr>
        <w:t>.</w:t>
      </w:r>
    </w:p>
    <w:p w:rsidR="00857660" w:rsidRPr="00717787" w14:paraId="72BF7741" w14:textId="366F8B9A">
      <w:pPr>
        <w:widowControl/>
        <w:autoSpaceDE/>
        <w:autoSpaceDN/>
        <w:adjustRightInd/>
        <w:rPr>
          <w:rFonts w:ascii="Times New Roman"/>
          <w:b/>
          <w:bCs/>
        </w:rPr>
      </w:pPr>
    </w:p>
    <w:p w:rsidR="00231866" w:rsidRPr="00717787" w:rsidP="00231866" w14:paraId="1749FE81" w14:textId="77777777">
      <w:pPr>
        <w:widowControl/>
        <w:rPr>
          <w:rFonts w:ascii="Times New Roman"/>
        </w:rPr>
      </w:pPr>
      <w:r w:rsidRPr="00717787">
        <w:rPr>
          <w:rFonts w:ascii="Times New Roman"/>
        </w:rPr>
        <w:tab/>
      </w:r>
      <w:r w:rsidRPr="00717787">
        <w:rPr>
          <w:rFonts w:ascii="Times New Roman"/>
          <w:b/>
          <w:bCs/>
        </w:rPr>
        <w:t>Burden hours</w:t>
      </w:r>
      <w:r w:rsidRPr="00717787">
        <w:rPr>
          <w:rFonts w:ascii="Times New Roman"/>
        </w:rPr>
        <w:t>:</w:t>
      </w:r>
      <w:r w:rsidRPr="00717787">
        <w:rPr>
          <w:rFonts w:ascii="Times New Roman"/>
          <w:b/>
          <w:bCs/>
        </w:rPr>
        <w:t xml:space="preserve"> </w:t>
      </w:r>
      <w:r w:rsidRPr="00717787">
        <w:rPr>
          <w:rFonts w:ascii="Times New Roman"/>
        </w:rPr>
        <w:tab/>
        <w:t>1</w:t>
      </w:r>
      <w:r w:rsidRPr="00717787">
        <w:rPr>
          <w:rFonts w:ascii="Times New Roman"/>
        </w:rPr>
        <w:t xml:space="preserve"> estimated establishment x 1 hour = 1 hour</w:t>
      </w:r>
    </w:p>
    <w:p w:rsidR="00231866" w:rsidRPr="00717787" w:rsidP="00231866" w14:paraId="0CB5461A" w14:textId="2BB13D62">
      <w:pPr>
        <w:widowControl/>
        <w:rPr>
          <w:rFonts w:ascii="Times New Roman"/>
        </w:rPr>
      </w:pPr>
      <w:r w:rsidRPr="00717787">
        <w:rPr>
          <w:rFonts w:ascii="Times New Roman"/>
        </w:rPr>
        <w:t xml:space="preserve"> </w:t>
      </w:r>
      <w:r w:rsidRPr="00717787">
        <w:tab/>
      </w:r>
      <w:r w:rsidRPr="00717787" w:rsidR="78D07622">
        <w:rPr>
          <w:rFonts w:ascii="Times New Roman"/>
        </w:rPr>
        <w:t xml:space="preserve"> </w:t>
      </w:r>
      <w:r w:rsidRPr="00717787">
        <w:tab/>
      </w:r>
      <w:r w:rsidRPr="00717787" w:rsidR="614E59A7">
        <w:rPr>
          <w:rFonts w:ascii="Times New Roman"/>
        </w:rPr>
        <w:t xml:space="preserve"> </w:t>
      </w:r>
      <w:r w:rsidRPr="00717787">
        <w:rPr>
          <w:rFonts w:ascii="Times New Roman"/>
        </w:rPr>
        <w:t xml:space="preserve"> </w:t>
      </w:r>
      <w:r w:rsidRPr="00717787" w:rsidR="78D07622">
        <w:rPr>
          <w:rFonts w:ascii="Times New Roman"/>
          <w:b/>
          <w:bCs/>
        </w:rPr>
        <w:t>Costs</w:t>
      </w:r>
      <w:r w:rsidRPr="00717787" w:rsidR="78D07622">
        <w:rPr>
          <w:rFonts w:ascii="Times New Roman"/>
        </w:rPr>
        <w:t>:</w:t>
      </w:r>
      <w:r w:rsidRPr="00717787">
        <w:tab/>
      </w:r>
      <w:r w:rsidRPr="00717787" w:rsidR="78D07622">
        <w:rPr>
          <w:rFonts w:ascii="Times New Roman"/>
        </w:rPr>
        <w:t>1 hour x $</w:t>
      </w:r>
      <w:r w:rsidRPr="00717787" w:rsidR="00966C50">
        <w:rPr>
          <w:rFonts w:ascii="Times New Roman"/>
        </w:rPr>
        <w:t>74.26</w:t>
      </w:r>
      <w:r w:rsidRPr="00717787" w:rsidR="78D07622">
        <w:rPr>
          <w:rFonts w:ascii="Times New Roman"/>
        </w:rPr>
        <w:t xml:space="preserve"> = $</w:t>
      </w:r>
      <w:r w:rsidRPr="00717787" w:rsidR="00966C50">
        <w:rPr>
          <w:rFonts w:ascii="Times New Roman"/>
        </w:rPr>
        <w:t>74</w:t>
      </w:r>
    </w:p>
    <w:p w:rsidR="008F5EEA" w:rsidRPr="00717787" w14:paraId="43B68B65" w14:textId="77777777">
      <w:pPr>
        <w:widowControl/>
        <w:autoSpaceDE/>
        <w:autoSpaceDN/>
        <w:adjustRightInd/>
        <w:rPr>
          <w:rFonts w:ascii="Times New Roman"/>
          <w:b/>
          <w:bCs/>
        </w:rPr>
      </w:pPr>
    </w:p>
    <w:p w:rsidR="00513ACE" w:rsidRPr="00717787" w:rsidP="3080DAE6" w14:paraId="2209184B" w14:textId="49F929DB">
      <w:pPr>
        <w:widowControl/>
        <w:autoSpaceDE/>
        <w:autoSpaceDN/>
        <w:adjustRightInd/>
        <w:rPr>
          <w:b/>
          <w:bCs/>
        </w:rPr>
      </w:pPr>
      <w:r w:rsidRPr="00717787">
        <w:rPr>
          <w:rFonts w:ascii="Times New Roman"/>
          <w:b/>
          <w:bCs/>
        </w:rPr>
        <w:t xml:space="preserve">H. Signs </w:t>
      </w:r>
      <w:r w:rsidRPr="00717787" w:rsidR="0B15CAF9">
        <w:rPr>
          <w:rFonts w:ascii="Times New Roman"/>
          <w:b/>
          <w:bCs/>
        </w:rPr>
        <w:t>(§ 1910.1025(m))</w:t>
      </w:r>
    </w:p>
    <w:p w:rsidR="00513ACE" w:rsidRPr="00717787" w:rsidP="00513ACE" w14:paraId="51F5BFF3" w14:textId="77777777">
      <w:pPr>
        <w:widowControl/>
        <w:autoSpaceDE/>
        <w:autoSpaceDN/>
        <w:adjustRightInd/>
        <w:rPr>
          <w:rFonts w:ascii="Times New Roman"/>
        </w:rPr>
      </w:pPr>
    </w:p>
    <w:p w:rsidR="00513ACE" w:rsidRPr="00717787" w:rsidP="001438C5" w14:paraId="457760C7" w14:textId="277B4BCE">
      <w:pPr>
        <w:widowControl/>
        <w:autoSpaceDE/>
        <w:autoSpaceDN/>
        <w:adjustRightInd/>
        <w:rPr>
          <w:rFonts w:ascii="Times New Roman"/>
        </w:rPr>
      </w:pPr>
      <w:r w:rsidRPr="00717787">
        <w:rPr>
          <w:rFonts w:ascii="Times New Roman"/>
        </w:rPr>
        <w:t xml:space="preserve">This ICR assumes no employers have workers exposed </w:t>
      </w:r>
      <w:r w:rsidRPr="00717787">
        <w:rPr>
          <w:rFonts w:ascii="Times New Roman"/>
        </w:rPr>
        <w:t>over</w:t>
      </w:r>
      <w:r w:rsidRPr="00717787">
        <w:rPr>
          <w:rFonts w:ascii="Times New Roman"/>
        </w:rPr>
        <w:t xml:space="preserve"> </w:t>
      </w:r>
      <w:r w:rsidRPr="00717787">
        <w:rPr>
          <w:rFonts w:ascii="Times New Roman"/>
        </w:rPr>
        <w:t>the PEL</w:t>
      </w:r>
      <w:r w:rsidRPr="00717787">
        <w:rPr>
          <w:rFonts w:ascii="Times New Roman"/>
        </w:rPr>
        <w:t xml:space="preserve">; therefore, there are no burden </w:t>
      </w:r>
      <w:r w:rsidRPr="00717787">
        <w:rPr>
          <w:rFonts w:ascii="Times New Roman"/>
        </w:rPr>
        <w:t>hours</w:t>
      </w:r>
      <w:r w:rsidRPr="00717787">
        <w:rPr>
          <w:rFonts w:ascii="Times New Roman"/>
        </w:rPr>
        <w:t xml:space="preserve"> and no costs associated with this provision. Furthermore, since this provision provides specific language for warning signs, the agency is exempted from taking burden hours and costs for these provisions. (</w:t>
      </w:r>
      <w:r w:rsidRPr="00717787">
        <w:rPr>
          <w:rFonts w:ascii="Times New Roman"/>
          <w:i/>
          <w:iCs/>
        </w:rPr>
        <w:t xml:space="preserve">See </w:t>
      </w:r>
      <w:r w:rsidRPr="00717787">
        <w:rPr>
          <w:rFonts w:ascii="Times New Roman"/>
        </w:rPr>
        <w:t>5 CFR 1320.2(c)(2) (“Controlling paperwork burden on the public”)).</w:t>
      </w:r>
    </w:p>
    <w:p w:rsidR="00513ACE" w:rsidP="00606D2D" w14:paraId="5B860D0B" w14:textId="77777777">
      <w:pPr>
        <w:widowControl/>
        <w:rPr>
          <w:rFonts w:ascii="Times New Roman"/>
          <w:b/>
          <w:bCs/>
        </w:rPr>
      </w:pPr>
    </w:p>
    <w:p w:rsidR="00606D2D" w:rsidRPr="0080157B" w:rsidP="00606D2D" w14:paraId="6DD46EC0" w14:textId="161BD998">
      <w:pPr>
        <w:widowControl/>
        <w:rPr>
          <w:rFonts w:ascii="Times New Roman"/>
        </w:rPr>
      </w:pPr>
      <w:r w:rsidRPr="00717787">
        <w:rPr>
          <w:rFonts w:ascii="Times New Roman"/>
          <w:b/>
          <w:bCs/>
        </w:rPr>
        <w:t>I. Recordkeeping</w:t>
      </w:r>
    </w:p>
    <w:p w:rsidR="00606D2D" w:rsidRPr="0080157B" w:rsidP="00606D2D" w14:paraId="09A9BB0F" w14:textId="77777777">
      <w:pPr>
        <w:widowControl/>
        <w:rPr>
          <w:rFonts w:ascii="Times New Roman"/>
        </w:rPr>
      </w:pPr>
    </w:p>
    <w:p w:rsidR="00606D2D" w:rsidRPr="0080157B" w:rsidP="00606D2D" w14:paraId="4F79D2F0" w14:textId="63BA2738">
      <w:pPr>
        <w:widowControl/>
        <w:rPr>
          <w:rFonts w:ascii="Times New Roman"/>
        </w:rPr>
      </w:pPr>
      <w:r w:rsidRPr="001438C5">
        <w:rPr>
          <w:rFonts w:ascii="Times New Roman"/>
        </w:rPr>
        <w:t xml:space="preserve">(1) </w:t>
      </w:r>
      <w:r w:rsidRPr="0080157B">
        <w:rPr>
          <w:rFonts w:ascii="Times New Roman"/>
          <w:u w:val="single"/>
        </w:rPr>
        <w:t>Exposure Monitoring Records</w:t>
      </w:r>
    </w:p>
    <w:p w:rsidR="00606D2D" w:rsidRPr="0080157B" w:rsidP="00606D2D" w14:paraId="0F9E2CA3" w14:textId="77777777">
      <w:pPr>
        <w:widowControl/>
        <w:rPr>
          <w:rFonts w:ascii="Times New Roman"/>
        </w:rPr>
      </w:pPr>
    </w:p>
    <w:p w:rsidR="00606D2D" w:rsidRPr="00717787" w:rsidP="00606D2D" w14:paraId="42232ED3" w14:textId="6623CDE2">
      <w:pPr>
        <w:widowControl/>
        <w:rPr>
          <w:rFonts w:ascii="Times New Roman"/>
        </w:rPr>
      </w:pPr>
      <w:r w:rsidRPr="56E51CD7">
        <w:rPr>
          <w:rFonts w:ascii="Times New Roman"/>
        </w:rPr>
        <w:t xml:space="preserve">OSHA estimates </w:t>
      </w:r>
      <w:r w:rsidR="00B60912">
        <w:rPr>
          <w:rFonts w:ascii="Times New Roman"/>
        </w:rPr>
        <w:t>a secretary</w:t>
      </w:r>
      <w:r w:rsidRPr="56E51CD7">
        <w:rPr>
          <w:rFonts w:ascii="Times New Roman"/>
        </w:rPr>
        <w:t xml:space="preserve"> take</w:t>
      </w:r>
      <w:r w:rsidR="00B60912">
        <w:rPr>
          <w:rFonts w:ascii="Times New Roman"/>
        </w:rPr>
        <w:t>s</w:t>
      </w:r>
      <w:r w:rsidRPr="56E51CD7">
        <w:rPr>
          <w:rFonts w:ascii="Times New Roman"/>
        </w:rPr>
        <w:t xml:space="preserve"> </w:t>
      </w:r>
      <w:r w:rsidR="00767091">
        <w:rPr>
          <w:rFonts w:ascii="Times New Roman"/>
        </w:rPr>
        <w:t>five</w:t>
      </w:r>
      <w:r w:rsidRPr="56E51CD7">
        <w:rPr>
          <w:rFonts w:ascii="Times New Roman"/>
        </w:rPr>
        <w:t xml:space="preserve"> minutes (</w:t>
      </w:r>
      <w:r w:rsidRPr="56E51CD7" w:rsidR="7CDE3F37">
        <w:rPr>
          <w:rFonts w:ascii="Times New Roman"/>
        </w:rPr>
        <w:t>5/60</w:t>
      </w:r>
      <w:r w:rsidRPr="56E51CD7">
        <w:rPr>
          <w:rFonts w:ascii="Times New Roman"/>
        </w:rPr>
        <w:t xml:space="preserve"> </w:t>
      </w:r>
      <w:r w:rsidRPr="56E51CD7">
        <w:rPr>
          <w:rFonts w:ascii="Times New Roman"/>
        </w:rPr>
        <w:t>hour</w:t>
      </w:r>
      <w:r w:rsidRPr="56E51CD7">
        <w:rPr>
          <w:rFonts w:ascii="Times New Roman"/>
        </w:rPr>
        <w:t xml:space="preserve">) </w:t>
      </w:r>
      <w:r w:rsidR="00001EDB">
        <w:rPr>
          <w:rFonts w:ascii="Times New Roman"/>
        </w:rPr>
        <w:t xml:space="preserve">annually </w:t>
      </w:r>
      <w:r w:rsidRPr="56E51CD7">
        <w:rPr>
          <w:rFonts w:ascii="Times New Roman"/>
        </w:rPr>
        <w:t xml:space="preserve">to update and maintain </w:t>
      </w:r>
      <w:r w:rsidRPr="00717787" w:rsidR="00E211A1">
        <w:rPr>
          <w:rFonts w:ascii="Times New Roman"/>
        </w:rPr>
        <w:t>worker’s</w:t>
      </w:r>
      <w:r w:rsidRPr="00717787" w:rsidR="003747D6">
        <w:rPr>
          <w:rFonts w:ascii="Times New Roman"/>
        </w:rPr>
        <w:t xml:space="preserve"> representative exposure monitoring records</w:t>
      </w:r>
      <w:r w:rsidRPr="00717787" w:rsidR="00E211A1">
        <w:rPr>
          <w:rFonts w:ascii="Times New Roman"/>
        </w:rPr>
        <w:t>.</w:t>
      </w:r>
      <w:r w:rsidRPr="00717787">
        <w:rPr>
          <w:rFonts w:ascii="Times New Roman"/>
        </w:rPr>
        <w:t xml:space="preserve"> The number of </w:t>
      </w:r>
      <w:r w:rsidRPr="00717787" w:rsidR="00DC5DC9">
        <w:rPr>
          <w:rFonts w:ascii="Times New Roman"/>
        </w:rPr>
        <w:t xml:space="preserve">representative </w:t>
      </w:r>
      <w:r w:rsidRPr="00717787" w:rsidR="00BF1180">
        <w:rPr>
          <w:rFonts w:ascii="Times New Roman"/>
        </w:rPr>
        <w:t xml:space="preserve">employee </w:t>
      </w:r>
      <w:r w:rsidRPr="00717787" w:rsidR="00DC5DC9">
        <w:rPr>
          <w:rFonts w:ascii="Times New Roman"/>
        </w:rPr>
        <w:t xml:space="preserve">exposure monitoring records </w:t>
      </w:r>
      <w:r w:rsidRPr="00717787" w:rsidR="00BF1180">
        <w:rPr>
          <w:rFonts w:ascii="Times New Roman"/>
        </w:rPr>
        <w:t xml:space="preserve">in existing facilities </w:t>
      </w:r>
      <w:r w:rsidRPr="00717787" w:rsidR="00DC5DC9">
        <w:rPr>
          <w:rFonts w:ascii="Times New Roman"/>
        </w:rPr>
        <w:t>totals 183,3</w:t>
      </w:r>
      <w:r w:rsidRPr="00717787" w:rsidR="00994B9E">
        <w:rPr>
          <w:rFonts w:ascii="Times New Roman"/>
        </w:rPr>
        <w:t>20</w:t>
      </w:r>
      <w:r w:rsidRPr="00717787" w:rsidR="009A3B28">
        <w:rPr>
          <w:rFonts w:ascii="Times New Roman"/>
        </w:rPr>
        <w:t>.</w:t>
      </w:r>
      <w:r w:rsidRPr="00717787" w:rsidR="2CD7BE93">
        <w:rPr>
          <w:rFonts w:ascii="Times New Roman"/>
        </w:rPr>
        <w:t xml:space="preserve"> </w:t>
      </w:r>
    </w:p>
    <w:p w:rsidR="00606D2D" w:rsidRPr="00717787" w:rsidP="00606D2D" w14:paraId="5AC824AD" w14:textId="77777777">
      <w:pPr>
        <w:widowControl/>
        <w:rPr>
          <w:rFonts w:ascii="Times New Roman"/>
        </w:rPr>
      </w:pPr>
    </w:p>
    <w:p w:rsidR="00606D2D" w:rsidRPr="00717787" w:rsidP="00606D2D" w14:paraId="4B33DA63" w14:textId="492CA951">
      <w:pPr>
        <w:widowControl/>
        <w:ind w:firstLine="720"/>
        <w:rPr>
          <w:rFonts w:ascii="Times New Roman"/>
        </w:rPr>
      </w:pPr>
      <w:r w:rsidRPr="00717787">
        <w:rPr>
          <w:rFonts w:ascii="Times New Roman"/>
          <w:b/>
          <w:bCs/>
        </w:rPr>
        <w:t>Burden hours</w:t>
      </w:r>
      <w:r w:rsidRPr="00717787">
        <w:rPr>
          <w:rFonts w:ascii="Times New Roman"/>
        </w:rPr>
        <w:t>:</w:t>
      </w:r>
      <w:r w:rsidRPr="00717787">
        <w:rPr>
          <w:rFonts w:ascii="Times New Roman"/>
        </w:rPr>
        <w:tab/>
      </w:r>
      <w:r w:rsidRPr="00717787" w:rsidR="00E211A1">
        <w:rPr>
          <w:rFonts w:ascii="Times New Roman"/>
        </w:rPr>
        <w:t>183</w:t>
      </w:r>
      <w:r w:rsidRPr="00717787" w:rsidR="00F06E50">
        <w:rPr>
          <w:rFonts w:ascii="Times New Roman"/>
        </w:rPr>
        <w:t>,320</w:t>
      </w:r>
      <w:r w:rsidRPr="00717787" w:rsidR="00D06921">
        <w:rPr>
          <w:rFonts w:ascii="Times New Roman"/>
        </w:rPr>
        <w:t xml:space="preserve"> records</w:t>
      </w:r>
      <w:r w:rsidRPr="00717787">
        <w:rPr>
          <w:rFonts w:ascii="Times New Roman"/>
        </w:rPr>
        <w:t xml:space="preserve"> × </w:t>
      </w:r>
      <w:r w:rsidRPr="00717787" w:rsidR="005B0CC8">
        <w:rPr>
          <w:rFonts w:ascii="Times New Roman"/>
        </w:rPr>
        <w:t>5/60</w:t>
      </w:r>
      <w:r w:rsidRPr="00717787">
        <w:rPr>
          <w:rFonts w:ascii="Times New Roman"/>
        </w:rPr>
        <w:t xml:space="preserve"> hour</w:t>
      </w:r>
      <w:r w:rsidRPr="00717787" w:rsidR="00C7422B">
        <w:rPr>
          <w:rFonts w:ascii="Times New Roman"/>
        </w:rPr>
        <w:t>s</w:t>
      </w:r>
      <w:r w:rsidRPr="00717787">
        <w:rPr>
          <w:rFonts w:ascii="Times New Roman"/>
        </w:rPr>
        <w:t xml:space="preserve"> = </w:t>
      </w:r>
      <w:r w:rsidRPr="00717787" w:rsidR="00F06E50">
        <w:rPr>
          <w:rFonts w:ascii="Times New Roman"/>
        </w:rPr>
        <w:t>15,277</w:t>
      </w:r>
      <w:r w:rsidRPr="00717787" w:rsidR="005B0CC8">
        <w:rPr>
          <w:rFonts w:ascii="Times New Roman"/>
        </w:rPr>
        <w:t xml:space="preserve"> </w:t>
      </w:r>
      <w:r w:rsidRPr="00717787">
        <w:rPr>
          <w:rFonts w:ascii="Times New Roman"/>
        </w:rPr>
        <w:t>hours</w:t>
      </w:r>
    </w:p>
    <w:p w:rsidR="000726CF" w:rsidRPr="00717787" w:rsidP="000726CF" w14:paraId="0D6D0476" w14:textId="2B1B9FB7">
      <w:pPr>
        <w:widowControl/>
        <w:ind w:left="720" w:firstLine="720"/>
        <w:rPr>
          <w:rFonts w:ascii="Times New Roman"/>
        </w:rPr>
      </w:pPr>
      <w:r w:rsidRPr="00717787">
        <w:rPr>
          <w:rFonts w:ascii="Times New Roman"/>
          <w:b/>
          <w:bCs/>
        </w:rPr>
        <w:t xml:space="preserve"> </w:t>
      </w:r>
      <w:r w:rsidRPr="00717787" w:rsidR="2CD7BE93">
        <w:rPr>
          <w:rFonts w:ascii="Times New Roman"/>
          <w:b/>
          <w:bCs/>
        </w:rPr>
        <w:t xml:space="preserve"> </w:t>
      </w:r>
      <w:r w:rsidRPr="00717787" w:rsidR="049474F3">
        <w:rPr>
          <w:rFonts w:ascii="Times New Roman"/>
          <w:b/>
          <w:bCs/>
        </w:rPr>
        <w:t>Costs</w:t>
      </w:r>
      <w:r w:rsidRPr="00717787" w:rsidR="049474F3">
        <w:rPr>
          <w:rFonts w:ascii="Times New Roman"/>
        </w:rPr>
        <w:t>:</w:t>
      </w:r>
      <w:r w:rsidRPr="00717787" w:rsidR="00515D3B">
        <w:tab/>
      </w:r>
      <w:r w:rsidRPr="00717787" w:rsidR="00F06E50">
        <w:rPr>
          <w:rFonts w:ascii="Times New Roman"/>
        </w:rPr>
        <w:t>15,277</w:t>
      </w:r>
      <w:r w:rsidRPr="00717787" w:rsidR="06577FDA">
        <w:rPr>
          <w:rFonts w:ascii="Times New Roman"/>
        </w:rPr>
        <w:t xml:space="preserve"> </w:t>
      </w:r>
      <w:r w:rsidRPr="00717787" w:rsidR="049474F3">
        <w:rPr>
          <w:rFonts w:ascii="Times New Roman"/>
        </w:rPr>
        <w:t>hours × $</w:t>
      </w:r>
      <w:r w:rsidRPr="00717787" w:rsidR="6C3039C6">
        <w:rPr>
          <w:rFonts w:ascii="Times New Roman"/>
        </w:rPr>
        <w:t>3</w:t>
      </w:r>
      <w:r w:rsidRPr="00717787" w:rsidR="00A35141">
        <w:rPr>
          <w:rFonts w:ascii="Times New Roman"/>
        </w:rPr>
        <w:t>2.74</w:t>
      </w:r>
      <w:r w:rsidRPr="00717787" w:rsidR="049474F3">
        <w:rPr>
          <w:rFonts w:ascii="Times New Roman"/>
        </w:rPr>
        <w:t xml:space="preserve"> = </w:t>
      </w:r>
      <w:r w:rsidRPr="00717787" w:rsidR="000C002B">
        <w:rPr>
          <w:rFonts w:ascii="Times New Roman"/>
        </w:rPr>
        <w:t>$500,1</w:t>
      </w:r>
      <w:r w:rsidRPr="00717787" w:rsidR="00134F79">
        <w:rPr>
          <w:rFonts w:ascii="Times New Roman"/>
        </w:rPr>
        <w:t>69</w:t>
      </w:r>
    </w:p>
    <w:p w:rsidR="00606D2D" w:rsidRPr="00717787" w:rsidP="00606D2D" w14:paraId="1F4DE421" w14:textId="169B7FCA">
      <w:pPr>
        <w:widowControl/>
        <w:ind w:left="720" w:firstLine="720"/>
        <w:rPr>
          <w:rFonts w:ascii="Times New Roman"/>
        </w:rPr>
      </w:pPr>
    </w:p>
    <w:p w:rsidR="00606D2D" w:rsidRPr="00717787" w:rsidP="00606D2D" w14:paraId="4C7509B4" w14:textId="69CCB589">
      <w:pPr>
        <w:widowControl/>
        <w:rPr>
          <w:rFonts w:ascii="Times New Roman"/>
        </w:rPr>
      </w:pPr>
      <w:r w:rsidRPr="00717787">
        <w:rPr>
          <w:rFonts w:ascii="Times New Roman"/>
        </w:rPr>
        <w:t xml:space="preserve">(2) </w:t>
      </w:r>
      <w:r w:rsidRPr="00717787">
        <w:rPr>
          <w:rFonts w:ascii="Times New Roman"/>
          <w:u w:val="single"/>
        </w:rPr>
        <w:t>Medical Surveillance Records</w:t>
      </w:r>
    </w:p>
    <w:p w:rsidR="00606D2D" w:rsidRPr="00717787" w:rsidP="00606D2D" w14:paraId="41020B1E" w14:textId="77777777">
      <w:pPr>
        <w:widowControl/>
        <w:rPr>
          <w:rFonts w:ascii="Times New Roman"/>
        </w:rPr>
      </w:pPr>
    </w:p>
    <w:p w:rsidR="00606D2D" w:rsidRPr="00717787" w:rsidP="00606D2D" w14:paraId="067157BE" w14:textId="09141892">
      <w:pPr>
        <w:widowControl/>
        <w:rPr>
          <w:rFonts w:ascii="Times New Roman"/>
        </w:rPr>
      </w:pPr>
      <w:r w:rsidRPr="00717787">
        <w:rPr>
          <w:rFonts w:ascii="Times New Roman"/>
        </w:rPr>
        <w:t xml:space="preserve">OSHA estimates </w:t>
      </w:r>
      <w:r w:rsidRPr="00717787" w:rsidR="00A76F6F">
        <w:rPr>
          <w:rFonts w:ascii="Times New Roman"/>
        </w:rPr>
        <w:t>s supervisor</w:t>
      </w:r>
      <w:r w:rsidRPr="00717787">
        <w:rPr>
          <w:rFonts w:ascii="Times New Roman"/>
        </w:rPr>
        <w:t xml:space="preserve"> take</w:t>
      </w:r>
      <w:r w:rsidRPr="00717787" w:rsidR="00A76F6F">
        <w:rPr>
          <w:rFonts w:ascii="Times New Roman"/>
        </w:rPr>
        <w:t>s</w:t>
      </w:r>
      <w:r w:rsidRPr="00717787">
        <w:rPr>
          <w:rFonts w:ascii="Times New Roman"/>
        </w:rPr>
        <w:t xml:space="preserve"> 10 minutes (</w:t>
      </w:r>
      <w:r w:rsidRPr="00717787" w:rsidR="00A96BC7">
        <w:rPr>
          <w:rFonts w:ascii="Times New Roman"/>
        </w:rPr>
        <w:t>10/60</w:t>
      </w:r>
      <w:r w:rsidRPr="00717787">
        <w:rPr>
          <w:rFonts w:ascii="Times New Roman"/>
        </w:rPr>
        <w:t xml:space="preserve"> </w:t>
      </w:r>
      <w:r w:rsidRPr="00717787">
        <w:rPr>
          <w:rFonts w:ascii="Times New Roman"/>
        </w:rPr>
        <w:t>hour</w:t>
      </w:r>
      <w:r w:rsidRPr="00717787">
        <w:rPr>
          <w:rFonts w:ascii="Times New Roman"/>
        </w:rPr>
        <w:t xml:space="preserve">) to establish, update, and maintain worker medical surveillance records. The number of records to be created and maintained in each industrial sector is based on the number of workers exposed who must be </w:t>
      </w:r>
      <w:r w:rsidRPr="00717787">
        <w:rPr>
          <w:rFonts w:ascii="Times New Roman"/>
        </w:rPr>
        <w:t>provided</w:t>
      </w:r>
      <w:r w:rsidRPr="00717787">
        <w:rPr>
          <w:rFonts w:ascii="Times New Roman"/>
        </w:rPr>
        <w:t xml:space="preserve"> medical examinations due to their occupational exposure to lead.</w:t>
      </w:r>
    </w:p>
    <w:p w:rsidR="005235EF" w:rsidRPr="00717787" w:rsidP="00606D2D" w14:paraId="65761535" w14:textId="77777777">
      <w:pPr>
        <w:widowControl/>
        <w:rPr>
          <w:rFonts w:ascii="Times New Roman"/>
        </w:rPr>
      </w:pPr>
    </w:p>
    <w:p w:rsidR="00606D2D" w:rsidRPr="00717787" w:rsidP="00606D2D" w14:paraId="399BF945" w14:textId="7452AEA2">
      <w:pPr>
        <w:widowControl/>
        <w:ind w:firstLine="720"/>
        <w:rPr>
          <w:rFonts w:ascii="Times New Roman"/>
        </w:rPr>
      </w:pPr>
      <w:r w:rsidRPr="00717787">
        <w:rPr>
          <w:rFonts w:ascii="Times New Roman"/>
          <w:b/>
          <w:bCs/>
        </w:rPr>
        <w:t>Burden hours</w:t>
      </w:r>
      <w:r w:rsidRPr="00717787">
        <w:rPr>
          <w:rFonts w:ascii="Times New Roman"/>
        </w:rPr>
        <w:t>:</w:t>
      </w:r>
      <w:r w:rsidRPr="00717787">
        <w:rPr>
          <w:rFonts w:ascii="Times New Roman"/>
        </w:rPr>
        <w:tab/>
      </w:r>
      <w:r w:rsidRPr="00717787" w:rsidR="000B76EE">
        <w:rPr>
          <w:rFonts w:ascii="Times New Roman"/>
        </w:rPr>
        <w:t>366,629</w:t>
      </w:r>
      <w:r w:rsidRPr="00717787">
        <w:rPr>
          <w:rFonts w:ascii="Times New Roman"/>
        </w:rPr>
        <w:t xml:space="preserve"> </w:t>
      </w:r>
      <w:r w:rsidRPr="00717787" w:rsidR="00B91C41">
        <w:rPr>
          <w:rFonts w:ascii="Times New Roman"/>
        </w:rPr>
        <w:t>records</w:t>
      </w:r>
      <w:r w:rsidRPr="00717787">
        <w:rPr>
          <w:rFonts w:ascii="Times New Roman"/>
        </w:rPr>
        <w:t xml:space="preserve"> × </w:t>
      </w:r>
      <w:r w:rsidRPr="00717787" w:rsidR="005B0CC8">
        <w:rPr>
          <w:rFonts w:ascii="Times New Roman"/>
        </w:rPr>
        <w:t>10/60</w:t>
      </w:r>
      <w:r w:rsidRPr="00717787">
        <w:rPr>
          <w:rFonts w:ascii="Times New Roman"/>
        </w:rPr>
        <w:t xml:space="preserve"> hour = </w:t>
      </w:r>
      <w:r w:rsidRPr="00717787" w:rsidR="00D7150D">
        <w:rPr>
          <w:rFonts w:ascii="Times New Roman"/>
        </w:rPr>
        <w:t>61,10</w:t>
      </w:r>
      <w:r w:rsidRPr="00717787" w:rsidR="0094745A">
        <w:rPr>
          <w:rFonts w:ascii="Times New Roman"/>
        </w:rPr>
        <w:t>5</w:t>
      </w:r>
      <w:r w:rsidRPr="00717787" w:rsidR="005B0CC8">
        <w:rPr>
          <w:rFonts w:ascii="Times New Roman"/>
        </w:rPr>
        <w:t xml:space="preserve"> </w:t>
      </w:r>
      <w:r w:rsidRPr="00717787">
        <w:rPr>
          <w:rFonts w:ascii="Times New Roman"/>
        </w:rPr>
        <w:t>hours</w:t>
      </w:r>
    </w:p>
    <w:p w:rsidR="00C00804" w:rsidRPr="00717787" w:rsidP="00C00804" w14:paraId="15963EFE" w14:textId="3F3A56D6">
      <w:pPr>
        <w:widowControl/>
        <w:ind w:left="720" w:firstLine="720"/>
        <w:rPr>
          <w:rFonts w:ascii="Times New Roman"/>
        </w:rPr>
      </w:pPr>
      <w:r w:rsidRPr="00717787">
        <w:rPr>
          <w:rFonts w:ascii="Times New Roman"/>
          <w:b/>
          <w:bCs/>
        </w:rPr>
        <w:t xml:space="preserve"> </w:t>
      </w:r>
      <w:r w:rsidRPr="00717787" w:rsidR="510988DD">
        <w:rPr>
          <w:rFonts w:ascii="Times New Roman"/>
          <w:b/>
          <w:bCs/>
        </w:rPr>
        <w:t xml:space="preserve"> </w:t>
      </w:r>
      <w:r w:rsidRPr="00717787" w:rsidR="049474F3">
        <w:rPr>
          <w:rFonts w:ascii="Times New Roman"/>
          <w:b/>
          <w:bCs/>
        </w:rPr>
        <w:t>Costs</w:t>
      </w:r>
      <w:r w:rsidRPr="00717787" w:rsidR="049474F3">
        <w:rPr>
          <w:rFonts w:ascii="Times New Roman"/>
        </w:rPr>
        <w:t>:</w:t>
      </w:r>
      <w:r w:rsidRPr="00717787" w:rsidR="00515D3B">
        <w:tab/>
      </w:r>
      <w:r w:rsidRPr="00717787" w:rsidR="005071FE">
        <w:rPr>
          <w:rFonts w:ascii="Times New Roman"/>
        </w:rPr>
        <w:t>61,10</w:t>
      </w:r>
      <w:r w:rsidRPr="00717787" w:rsidR="0094745A">
        <w:rPr>
          <w:rFonts w:ascii="Times New Roman"/>
        </w:rPr>
        <w:t>5</w:t>
      </w:r>
      <w:r w:rsidRPr="00717787" w:rsidR="06577FDA">
        <w:rPr>
          <w:rFonts w:ascii="Times New Roman"/>
        </w:rPr>
        <w:t xml:space="preserve"> </w:t>
      </w:r>
      <w:r w:rsidRPr="00717787" w:rsidR="049474F3">
        <w:rPr>
          <w:rFonts w:ascii="Times New Roman"/>
        </w:rPr>
        <w:t>hours × $</w:t>
      </w:r>
      <w:r w:rsidRPr="00717787">
        <w:rPr>
          <w:rFonts w:ascii="Times New Roman"/>
        </w:rPr>
        <w:t>74.26</w:t>
      </w:r>
      <w:r w:rsidRPr="00717787" w:rsidR="5BD39723">
        <w:rPr>
          <w:rFonts w:ascii="Times New Roman"/>
        </w:rPr>
        <w:t xml:space="preserve"> </w:t>
      </w:r>
      <w:r w:rsidRPr="00717787" w:rsidR="049474F3">
        <w:rPr>
          <w:rFonts w:ascii="Times New Roman"/>
        </w:rPr>
        <w:t xml:space="preserve">= </w:t>
      </w:r>
      <w:r w:rsidRPr="00717787">
        <w:rPr>
          <w:rFonts w:ascii="Times New Roman"/>
        </w:rPr>
        <w:t>$4,</w:t>
      </w:r>
      <w:r w:rsidRPr="00717787" w:rsidR="004B7B66">
        <w:rPr>
          <w:rFonts w:ascii="Times New Roman"/>
        </w:rPr>
        <w:t>537,</w:t>
      </w:r>
      <w:r w:rsidRPr="00717787" w:rsidR="00835562">
        <w:rPr>
          <w:rFonts w:ascii="Times New Roman"/>
        </w:rPr>
        <w:t>657</w:t>
      </w:r>
    </w:p>
    <w:p w:rsidR="00C361C9" w:rsidRPr="00717787" w:rsidP="00A26F77" w14:paraId="2ADC4A61" w14:textId="77777777">
      <w:pPr>
        <w:widowControl/>
        <w:ind w:left="720" w:firstLine="720"/>
        <w:rPr>
          <w:rFonts w:ascii="Times New Roman"/>
        </w:rPr>
      </w:pPr>
    </w:p>
    <w:p w:rsidR="00606D2D" w:rsidRPr="00717787" w:rsidP="000F5893" w14:paraId="302EFAFB" w14:textId="3B643820">
      <w:pPr>
        <w:widowControl/>
        <w:autoSpaceDE/>
        <w:autoSpaceDN/>
        <w:adjustRightInd/>
        <w:rPr>
          <w:rFonts w:ascii="Times New Roman"/>
        </w:rPr>
      </w:pPr>
      <w:r w:rsidRPr="00717787">
        <w:rPr>
          <w:rFonts w:ascii="Times New Roman"/>
        </w:rPr>
        <w:t xml:space="preserve">(3) </w:t>
      </w:r>
      <w:r w:rsidRPr="00717787">
        <w:rPr>
          <w:rFonts w:ascii="Times New Roman"/>
          <w:u w:val="single"/>
        </w:rPr>
        <w:t>Medical Removal Records</w:t>
      </w:r>
    </w:p>
    <w:p w:rsidR="00606D2D" w:rsidRPr="00717787" w:rsidP="00606D2D" w14:paraId="155F29B5" w14:textId="77777777">
      <w:pPr>
        <w:widowControl/>
        <w:rPr>
          <w:rFonts w:ascii="Times New Roman"/>
        </w:rPr>
      </w:pPr>
    </w:p>
    <w:p w:rsidR="00606D2D" w:rsidRPr="00717787" w:rsidP="00606D2D" w14:paraId="7ECFB2E8" w14:textId="4C946D0F">
      <w:pPr>
        <w:widowControl/>
        <w:rPr>
          <w:rFonts w:ascii="Times New Roman"/>
        </w:rPr>
      </w:pPr>
      <w:r w:rsidRPr="00717787">
        <w:rPr>
          <w:rFonts w:ascii="Times New Roman"/>
        </w:rPr>
        <w:t>Approximately five percent</w:t>
      </w:r>
      <w:r w:rsidRPr="00717787" w:rsidR="1482271C">
        <w:rPr>
          <w:rFonts w:ascii="Times New Roman"/>
        </w:rPr>
        <w:t xml:space="preserve"> (</w:t>
      </w:r>
      <w:r w:rsidRPr="004A2AAC" w:rsidR="1482271C">
        <w:rPr>
          <w:rFonts w:ascii="Times New Roman"/>
          <w:u w:val="single"/>
        </w:rPr>
        <w:t>1,</w:t>
      </w:r>
      <w:r w:rsidRPr="004A2AAC" w:rsidR="002C0CC6">
        <w:rPr>
          <w:rFonts w:ascii="Times New Roman"/>
          <w:u w:val="single"/>
        </w:rPr>
        <w:t>100</w:t>
      </w:r>
      <w:r w:rsidRPr="004A2AAC" w:rsidR="1482271C">
        <w:rPr>
          <w:rFonts w:ascii="Times New Roman"/>
          <w:u w:val="single"/>
        </w:rPr>
        <w:t xml:space="preserve"> workers</w:t>
      </w:r>
      <w:r w:rsidRPr="00717787" w:rsidR="1482271C">
        <w:rPr>
          <w:rFonts w:ascii="Times New Roman"/>
        </w:rPr>
        <w:t>)</w:t>
      </w:r>
      <w:r w:rsidRPr="00717787">
        <w:rPr>
          <w:rFonts w:ascii="Times New Roman"/>
        </w:rPr>
        <w:t xml:space="preserve"> of the </w:t>
      </w:r>
      <w:r w:rsidRPr="00717787" w:rsidR="54F3CFFB">
        <w:rPr>
          <w:rFonts w:ascii="Times New Roman"/>
        </w:rPr>
        <w:t>2</w:t>
      </w:r>
      <w:r w:rsidRPr="00717787" w:rsidR="00114920">
        <w:rPr>
          <w:rFonts w:ascii="Times New Roman"/>
        </w:rPr>
        <w:t>1,9</w:t>
      </w:r>
      <w:r w:rsidRPr="00717787" w:rsidR="00B27548">
        <w:rPr>
          <w:rFonts w:ascii="Times New Roman"/>
        </w:rPr>
        <w:t>9</w:t>
      </w:r>
      <w:r w:rsidRPr="00717787" w:rsidR="00114920">
        <w:rPr>
          <w:rFonts w:ascii="Times New Roman"/>
        </w:rPr>
        <w:t>8</w:t>
      </w:r>
      <w:r w:rsidRPr="00717787" w:rsidR="6A1C4161">
        <w:rPr>
          <w:rFonts w:ascii="Times New Roman"/>
        </w:rPr>
        <w:t xml:space="preserve"> </w:t>
      </w:r>
      <w:r w:rsidRPr="00717787">
        <w:rPr>
          <w:rFonts w:ascii="Times New Roman"/>
        </w:rPr>
        <w:t xml:space="preserve">workers </w:t>
      </w:r>
      <w:r w:rsidR="0076519D">
        <w:rPr>
          <w:rFonts w:ascii="Times New Roman"/>
        </w:rPr>
        <w:t xml:space="preserve">were removed from lead exposure because their blood lead levels were more than 50 </w:t>
      </w:r>
      <w:r w:rsidR="0076519D">
        <w:rPr>
          <w:rFonts w:ascii="Times New Roman"/>
        </w:rPr>
        <w:t>µg</w:t>
      </w:r>
      <w:r w:rsidR="0076519D">
        <w:rPr>
          <w:rFonts w:ascii="Times New Roman"/>
        </w:rPr>
        <w:t xml:space="preserve"> /100 g. OSHA estimates that approximately five minutes (5/60 hours</w:t>
      </w:r>
      <w:r w:rsidRPr="00717787">
        <w:rPr>
          <w:rFonts w:ascii="Times New Roman"/>
        </w:rPr>
        <w:t>) will be required to establish and maintain medical removal records.</w:t>
      </w:r>
    </w:p>
    <w:p w:rsidR="00606D2D" w:rsidRPr="00717787" w:rsidP="00606D2D" w14:paraId="010F6A4B" w14:textId="77777777">
      <w:pPr>
        <w:widowControl/>
        <w:rPr>
          <w:rFonts w:ascii="Times New Roman"/>
        </w:rPr>
      </w:pPr>
    </w:p>
    <w:p w:rsidR="00606D2D" w:rsidRPr="00717787" w:rsidP="00606D2D" w14:paraId="476D6409" w14:textId="4E5C4966">
      <w:pPr>
        <w:widowControl/>
        <w:ind w:firstLine="720"/>
        <w:rPr>
          <w:rFonts w:ascii="Times New Roman"/>
        </w:rPr>
      </w:pPr>
      <w:r w:rsidRPr="00717787">
        <w:rPr>
          <w:rFonts w:ascii="Times New Roman"/>
          <w:b/>
          <w:bCs/>
        </w:rPr>
        <w:t>Burden hours</w:t>
      </w:r>
      <w:r w:rsidRPr="00717787">
        <w:rPr>
          <w:rFonts w:ascii="Times New Roman"/>
        </w:rPr>
        <w:t>:</w:t>
      </w:r>
      <w:r w:rsidRPr="00717787">
        <w:rPr>
          <w:rFonts w:ascii="Times New Roman"/>
        </w:rPr>
        <w:tab/>
      </w:r>
      <w:r w:rsidRPr="00717787" w:rsidR="007D592B">
        <w:rPr>
          <w:rFonts w:ascii="Times New Roman"/>
        </w:rPr>
        <w:t>1</w:t>
      </w:r>
      <w:r w:rsidRPr="00717787" w:rsidR="00057603">
        <w:rPr>
          <w:rFonts w:ascii="Times New Roman"/>
        </w:rPr>
        <w:t>,</w:t>
      </w:r>
      <w:r w:rsidRPr="00717787" w:rsidR="00095D64">
        <w:rPr>
          <w:rFonts w:ascii="Times New Roman"/>
        </w:rPr>
        <w:t>100</w:t>
      </w:r>
      <w:r w:rsidRPr="00717787" w:rsidR="00E92AD2">
        <w:rPr>
          <w:rFonts w:ascii="Times New Roman"/>
        </w:rPr>
        <w:t xml:space="preserve"> records</w:t>
      </w:r>
      <w:r w:rsidRPr="00717787">
        <w:rPr>
          <w:rFonts w:ascii="Times New Roman"/>
        </w:rPr>
        <w:t xml:space="preserve"> × </w:t>
      </w:r>
      <w:r w:rsidRPr="00717787" w:rsidR="005B0CC8">
        <w:rPr>
          <w:rFonts w:ascii="Times New Roman"/>
        </w:rPr>
        <w:t>5/60</w:t>
      </w:r>
      <w:r w:rsidRPr="00717787">
        <w:rPr>
          <w:rFonts w:ascii="Times New Roman"/>
        </w:rPr>
        <w:t xml:space="preserve"> </w:t>
      </w:r>
      <w:r w:rsidRPr="00717787">
        <w:rPr>
          <w:rFonts w:ascii="Times New Roman"/>
        </w:rPr>
        <w:t>hour</w:t>
      </w:r>
      <w:r w:rsidRPr="00717787">
        <w:rPr>
          <w:rFonts w:ascii="Times New Roman"/>
        </w:rPr>
        <w:t xml:space="preserve"> = </w:t>
      </w:r>
      <w:r w:rsidRPr="00717787" w:rsidR="004B7B66">
        <w:rPr>
          <w:rFonts w:ascii="Times New Roman"/>
        </w:rPr>
        <w:t>92</w:t>
      </w:r>
      <w:r w:rsidRPr="00717787" w:rsidR="007D592B">
        <w:rPr>
          <w:rFonts w:ascii="Times New Roman"/>
        </w:rPr>
        <w:t xml:space="preserve"> </w:t>
      </w:r>
      <w:r w:rsidRPr="00717787">
        <w:rPr>
          <w:rFonts w:ascii="Times New Roman"/>
        </w:rPr>
        <w:t>hours</w:t>
      </w:r>
    </w:p>
    <w:p w:rsidR="00606D2D" w:rsidRPr="0080157B" w:rsidP="00606D2D" w14:paraId="4AA38E3A" w14:textId="4D21045A">
      <w:pPr>
        <w:widowControl/>
        <w:ind w:left="720" w:firstLine="720"/>
        <w:rPr>
          <w:rFonts w:ascii="Times New Roman"/>
        </w:rPr>
      </w:pPr>
      <w:r w:rsidRPr="00717787">
        <w:rPr>
          <w:rFonts w:ascii="Times New Roman"/>
          <w:b/>
          <w:bCs/>
        </w:rPr>
        <w:t xml:space="preserve"> </w:t>
      </w:r>
      <w:r w:rsidRPr="00717787" w:rsidR="52F65224">
        <w:rPr>
          <w:rFonts w:ascii="Times New Roman"/>
          <w:b/>
          <w:bCs/>
        </w:rPr>
        <w:t xml:space="preserve"> </w:t>
      </w:r>
      <w:r w:rsidRPr="00717787" w:rsidR="049474F3">
        <w:rPr>
          <w:rFonts w:ascii="Times New Roman"/>
          <w:b/>
          <w:bCs/>
        </w:rPr>
        <w:t>Costs</w:t>
      </w:r>
      <w:r w:rsidRPr="00717787" w:rsidR="049474F3">
        <w:rPr>
          <w:rFonts w:ascii="Times New Roman"/>
        </w:rPr>
        <w:t>:</w:t>
      </w:r>
      <w:r w:rsidRPr="00717787" w:rsidR="00515D3B">
        <w:tab/>
      </w:r>
      <w:r w:rsidRPr="00717787" w:rsidR="004B7B66">
        <w:rPr>
          <w:rFonts w:ascii="Times New Roman"/>
        </w:rPr>
        <w:t>92</w:t>
      </w:r>
      <w:r w:rsidRPr="00717787" w:rsidR="00253911">
        <w:rPr>
          <w:rFonts w:ascii="Times New Roman"/>
        </w:rPr>
        <w:t xml:space="preserve"> </w:t>
      </w:r>
      <w:r w:rsidRPr="00717787" w:rsidR="049474F3">
        <w:rPr>
          <w:rFonts w:ascii="Times New Roman"/>
        </w:rPr>
        <w:t>hours × $</w:t>
      </w:r>
      <w:r w:rsidRPr="00717787" w:rsidR="00FE6ED5">
        <w:rPr>
          <w:rFonts w:ascii="Times New Roman"/>
        </w:rPr>
        <w:t>74.26</w:t>
      </w:r>
      <w:r w:rsidRPr="00717787" w:rsidR="5BD39723">
        <w:rPr>
          <w:rFonts w:ascii="Times New Roman"/>
        </w:rPr>
        <w:t xml:space="preserve"> </w:t>
      </w:r>
      <w:r w:rsidRPr="00717787" w:rsidR="049474F3">
        <w:rPr>
          <w:rFonts w:ascii="Times New Roman"/>
        </w:rPr>
        <w:t>= $</w:t>
      </w:r>
      <w:r w:rsidRPr="00717787" w:rsidR="39E4D3C5">
        <w:rPr>
          <w:rFonts w:ascii="Times New Roman"/>
        </w:rPr>
        <w:t>6</w:t>
      </w:r>
      <w:r w:rsidRPr="00717787" w:rsidR="00942222">
        <w:rPr>
          <w:rFonts w:ascii="Times New Roman"/>
        </w:rPr>
        <w:t>,</w:t>
      </w:r>
      <w:r w:rsidRPr="00717787" w:rsidR="004B7B66">
        <w:rPr>
          <w:rFonts w:ascii="Times New Roman"/>
        </w:rPr>
        <w:t>8</w:t>
      </w:r>
      <w:r w:rsidRPr="00717787" w:rsidR="00253911">
        <w:rPr>
          <w:rFonts w:ascii="Times New Roman"/>
        </w:rPr>
        <w:t>32</w:t>
      </w:r>
    </w:p>
    <w:p w:rsidR="00606D2D" w:rsidRPr="0080157B" w:rsidP="00606D2D" w14:paraId="7F942E05" w14:textId="77777777">
      <w:pPr>
        <w:widowControl/>
        <w:rPr>
          <w:rFonts w:ascii="Times New Roman"/>
          <w:u w:val="single"/>
        </w:rPr>
      </w:pPr>
    </w:p>
    <w:p w:rsidR="00606D2D" w:rsidRPr="0080157B" w:rsidP="00606D2D" w14:paraId="72B665AE" w14:textId="1262FEE0">
      <w:pPr>
        <w:widowControl/>
        <w:rPr>
          <w:rFonts w:ascii="Times New Roman"/>
        </w:rPr>
      </w:pPr>
      <w:r w:rsidRPr="001438C5">
        <w:rPr>
          <w:rFonts w:ascii="Times New Roman"/>
        </w:rPr>
        <w:t xml:space="preserve">(4) </w:t>
      </w:r>
      <w:r w:rsidRPr="0080157B">
        <w:rPr>
          <w:rFonts w:ascii="Times New Roman"/>
          <w:u w:val="single"/>
        </w:rPr>
        <w:t>Employee Access</w:t>
      </w:r>
      <w:r>
        <w:rPr>
          <w:rFonts w:ascii="Times New Roman"/>
          <w:u w:val="single"/>
        </w:rPr>
        <w:t xml:space="preserve"> to Records</w:t>
      </w:r>
    </w:p>
    <w:p w:rsidR="00606D2D" w:rsidRPr="0080157B" w:rsidP="00606D2D" w14:paraId="5A67CBC1" w14:textId="77777777">
      <w:pPr>
        <w:widowControl/>
        <w:rPr>
          <w:rFonts w:ascii="Times New Roman"/>
        </w:rPr>
      </w:pPr>
    </w:p>
    <w:p w:rsidR="00606D2D" w:rsidRPr="0080157B" w:rsidP="00606D2D" w14:paraId="5B009B94" w14:textId="3D23B752">
      <w:pPr>
        <w:widowControl/>
        <w:rPr>
          <w:rFonts w:ascii="Times New Roman"/>
        </w:rPr>
      </w:pPr>
      <w:r w:rsidRPr="0080157B">
        <w:rPr>
          <w:rFonts w:ascii="Times New Roman"/>
        </w:rPr>
        <w:t xml:space="preserve">OSHA has no information that permits </w:t>
      </w:r>
      <w:r w:rsidR="0076519D">
        <w:rPr>
          <w:rFonts w:ascii="Times New Roman"/>
        </w:rPr>
        <w:t>a confident determination of the number of workers who request access to their exposure monitoring, medical, and/or medical removal records each year. Therefore, OSHA</w:t>
      </w:r>
      <w:r w:rsidRPr="0080157B">
        <w:rPr>
          <w:rFonts w:ascii="Times New Roman"/>
        </w:rPr>
        <w:t xml:space="preserve"> assumes that approximately 10 percent of </w:t>
      </w:r>
      <w:r w:rsidR="007E3B48">
        <w:rPr>
          <w:rFonts w:ascii="Times New Roman"/>
        </w:rPr>
        <w:t xml:space="preserve">366,629 </w:t>
      </w:r>
      <w:r>
        <w:rPr>
          <w:rFonts w:ascii="Times New Roman"/>
        </w:rPr>
        <w:t>worker</w:t>
      </w:r>
      <w:r w:rsidRPr="0080157B">
        <w:rPr>
          <w:rFonts w:ascii="Times New Roman"/>
        </w:rPr>
        <w:t xml:space="preserve">s </w:t>
      </w:r>
      <w:r w:rsidR="00EB1AFC">
        <w:rPr>
          <w:rFonts w:ascii="Times New Roman"/>
        </w:rPr>
        <w:t>(3</w:t>
      </w:r>
      <w:r w:rsidR="00E57640">
        <w:rPr>
          <w:rFonts w:ascii="Times New Roman"/>
        </w:rPr>
        <w:t>6,66</w:t>
      </w:r>
      <w:r w:rsidR="00767BA6">
        <w:rPr>
          <w:rFonts w:ascii="Times New Roman"/>
        </w:rPr>
        <w:t>3</w:t>
      </w:r>
      <w:r w:rsidR="0067054C">
        <w:rPr>
          <w:rFonts w:ascii="Times New Roman"/>
        </w:rPr>
        <w:t xml:space="preserve"> </w:t>
      </w:r>
      <w:r w:rsidR="00EB1AFC">
        <w:rPr>
          <w:rFonts w:ascii="Times New Roman"/>
        </w:rPr>
        <w:t xml:space="preserve">workers) </w:t>
      </w:r>
      <w:r w:rsidRPr="0080157B">
        <w:rPr>
          <w:rFonts w:ascii="Times New Roman"/>
        </w:rPr>
        <w:t xml:space="preserve">exposed to lead </w:t>
      </w:r>
      <w:r w:rsidR="00341E56">
        <w:rPr>
          <w:rFonts w:ascii="Times New Roman"/>
        </w:rPr>
        <w:t xml:space="preserve">at or above the </w:t>
      </w:r>
      <w:r w:rsidRPr="0080157B">
        <w:rPr>
          <w:rFonts w:ascii="Times New Roman"/>
        </w:rPr>
        <w:t>action level will annually request access to these records. Providing access require</w:t>
      </w:r>
      <w:r w:rsidR="00761D62">
        <w:rPr>
          <w:rFonts w:ascii="Times New Roman"/>
        </w:rPr>
        <w:t>s</w:t>
      </w:r>
      <w:r w:rsidRPr="0080157B">
        <w:rPr>
          <w:rFonts w:ascii="Times New Roman"/>
        </w:rPr>
        <w:t xml:space="preserve"> approximately </w:t>
      </w:r>
      <w:r w:rsidR="00767091">
        <w:rPr>
          <w:rFonts w:ascii="Times New Roman"/>
        </w:rPr>
        <w:t>five</w:t>
      </w:r>
      <w:r w:rsidRPr="0080157B">
        <w:rPr>
          <w:rFonts w:ascii="Times New Roman"/>
        </w:rPr>
        <w:t xml:space="preserve"> minutes (</w:t>
      </w:r>
      <w:r w:rsidR="00EB1AFC">
        <w:rPr>
          <w:rFonts w:ascii="Times New Roman"/>
        </w:rPr>
        <w:t>5/60</w:t>
      </w:r>
      <w:r w:rsidRPr="0080157B">
        <w:rPr>
          <w:rFonts w:ascii="Times New Roman"/>
        </w:rPr>
        <w:t xml:space="preserve"> </w:t>
      </w:r>
      <w:r w:rsidRPr="0080157B">
        <w:rPr>
          <w:rFonts w:ascii="Times New Roman"/>
        </w:rPr>
        <w:t>hour</w:t>
      </w:r>
      <w:r w:rsidRPr="0080157B">
        <w:rPr>
          <w:rFonts w:ascii="Times New Roman"/>
        </w:rPr>
        <w:t>) per request.</w:t>
      </w:r>
    </w:p>
    <w:p w:rsidR="00606D2D" w:rsidRPr="0080157B" w:rsidP="00606D2D" w14:paraId="415D6F42" w14:textId="77777777">
      <w:pPr>
        <w:widowControl/>
        <w:rPr>
          <w:rFonts w:ascii="Times New Roman"/>
        </w:rPr>
      </w:pPr>
    </w:p>
    <w:p w:rsidR="00606D2D" w:rsidRPr="00717787" w:rsidP="00606D2D" w14:paraId="3881FF6F" w14:textId="60136908">
      <w:pPr>
        <w:widowControl/>
        <w:ind w:firstLine="720"/>
        <w:rPr>
          <w:rFonts w:ascii="Times New Roman"/>
        </w:rPr>
      </w:pPr>
      <w:r w:rsidRPr="00717787">
        <w:rPr>
          <w:rFonts w:ascii="Times New Roman"/>
          <w:b/>
          <w:bCs/>
        </w:rPr>
        <w:t>Burden hours</w:t>
      </w:r>
      <w:r w:rsidRPr="00717787">
        <w:rPr>
          <w:rFonts w:ascii="Times New Roman"/>
        </w:rPr>
        <w:t>:</w:t>
      </w:r>
      <w:r w:rsidRPr="00717787">
        <w:rPr>
          <w:rFonts w:ascii="Times New Roman"/>
        </w:rPr>
        <w:tab/>
      </w:r>
      <w:r w:rsidRPr="00717787" w:rsidR="00DE38E2">
        <w:rPr>
          <w:rFonts w:ascii="Times New Roman"/>
        </w:rPr>
        <w:t>3</w:t>
      </w:r>
      <w:r w:rsidRPr="00717787" w:rsidR="002C6542">
        <w:rPr>
          <w:rFonts w:ascii="Times New Roman"/>
        </w:rPr>
        <w:t>6,66</w:t>
      </w:r>
      <w:r w:rsidRPr="00717787" w:rsidR="00F36CA0">
        <w:rPr>
          <w:rFonts w:ascii="Times New Roman"/>
        </w:rPr>
        <w:t>3</w:t>
      </w:r>
      <w:r w:rsidRPr="00717787">
        <w:rPr>
          <w:rFonts w:ascii="Times New Roman"/>
        </w:rPr>
        <w:t xml:space="preserve"> workers </w:t>
      </w:r>
      <w:r w:rsidRPr="00717787" w:rsidR="00563872">
        <w:rPr>
          <w:rFonts w:ascii="Times New Roman"/>
        </w:rPr>
        <w:t>5/60</w:t>
      </w:r>
      <w:r w:rsidRPr="00717787">
        <w:rPr>
          <w:rFonts w:ascii="Times New Roman"/>
        </w:rPr>
        <w:t xml:space="preserve"> </w:t>
      </w:r>
      <w:r w:rsidRPr="00717787">
        <w:rPr>
          <w:rFonts w:ascii="Times New Roman"/>
        </w:rPr>
        <w:t>hour</w:t>
      </w:r>
      <w:r w:rsidRPr="00717787">
        <w:rPr>
          <w:rFonts w:ascii="Times New Roman"/>
        </w:rPr>
        <w:t xml:space="preserve"> = </w:t>
      </w:r>
      <w:r w:rsidRPr="00717787" w:rsidR="002C6542">
        <w:rPr>
          <w:rFonts w:ascii="Times New Roman"/>
        </w:rPr>
        <w:t>3,055</w:t>
      </w:r>
      <w:r w:rsidRPr="00717787">
        <w:rPr>
          <w:rFonts w:ascii="Times New Roman"/>
        </w:rPr>
        <w:t xml:space="preserve"> hours</w:t>
      </w:r>
    </w:p>
    <w:p w:rsidR="004E5FD5" w:rsidP="0046783D" w14:paraId="3610EDF1" w14:textId="1527D7A4">
      <w:pPr>
        <w:widowControl/>
        <w:ind w:left="720" w:firstLine="720"/>
        <w:rPr>
          <w:rFonts w:ascii="Times New Roman" w:eastAsia="Times New Roman"/>
          <w:b/>
        </w:rPr>
      </w:pPr>
      <w:r w:rsidRPr="00717787">
        <w:rPr>
          <w:rFonts w:ascii="Times New Roman"/>
          <w:b/>
          <w:bCs/>
        </w:rPr>
        <w:t xml:space="preserve"> </w:t>
      </w:r>
      <w:r w:rsidRPr="00717787" w:rsidR="2CD7BE93">
        <w:rPr>
          <w:rFonts w:ascii="Times New Roman"/>
          <w:b/>
          <w:bCs/>
        </w:rPr>
        <w:t xml:space="preserve"> </w:t>
      </w:r>
      <w:r w:rsidRPr="00717787" w:rsidR="049474F3">
        <w:rPr>
          <w:rFonts w:ascii="Times New Roman"/>
          <w:b/>
          <w:bCs/>
        </w:rPr>
        <w:t>Costs</w:t>
      </w:r>
      <w:r w:rsidRPr="00717787" w:rsidR="049474F3">
        <w:rPr>
          <w:rFonts w:ascii="Times New Roman"/>
        </w:rPr>
        <w:t>:</w:t>
      </w:r>
      <w:r w:rsidRPr="00717787" w:rsidR="00515D3B">
        <w:tab/>
      </w:r>
      <w:r w:rsidRPr="00717787" w:rsidR="006C010B">
        <w:rPr>
          <w:rFonts w:ascii="Times New Roman"/>
        </w:rPr>
        <w:t>3,055</w:t>
      </w:r>
      <w:r w:rsidRPr="00717787" w:rsidR="049474F3">
        <w:rPr>
          <w:rFonts w:ascii="Times New Roman"/>
        </w:rPr>
        <w:t xml:space="preserve"> hours × $</w:t>
      </w:r>
      <w:r w:rsidRPr="00717787" w:rsidR="6A3F9051">
        <w:rPr>
          <w:rFonts w:ascii="Times New Roman"/>
        </w:rPr>
        <w:t>4</w:t>
      </w:r>
      <w:r w:rsidRPr="00717787" w:rsidR="002C6542">
        <w:rPr>
          <w:rFonts w:ascii="Times New Roman"/>
        </w:rPr>
        <w:t>3</w:t>
      </w:r>
      <w:r w:rsidRPr="00717787" w:rsidR="00A55D27">
        <w:rPr>
          <w:rFonts w:ascii="Times New Roman"/>
        </w:rPr>
        <w:t>.49</w:t>
      </w:r>
      <w:r w:rsidRPr="00717787" w:rsidR="049474F3">
        <w:rPr>
          <w:rFonts w:ascii="Times New Roman"/>
        </w:rPr>
        <w:t xml:space="preserve"> = $</w:t>
      </w:r>
      <w:r w:rsidRPr="00717787" w:rsidR="00A55D27">
        <w:rPr>
          <w:rFonts w:ascii="Times New Roman"/>
        </w:rPr>
        <w:t>132,876</w:t>
      </w:r>
    </w:p>
    <w:p w:rsidR="004E5FD5" w:rsidP="00FC0CD2" w14:paraId="5D804658" w14:textId="77777777">
      <w:pPr>
        <w:rPr>
          <w:rFonts w:ascii="Times New Roman" w:eastAsia="Times New Roman"/>
          <w:b/>
        </w:rPr>
      </w:pPr>
    </w:p>
    <w:p w:rsidR="005D73E5" w:rsidP="00FC0CD2" w14:paraId="758EAD19" w14:textId="77777777">
      <w:pPr>
        <w:rPr>
          <w:rFonts w:ascii="Times New Roman" w:eastAsia="Times New Roman"/>
          <w:b/>
        </w:rPr>
      </w:pPr>
    </w:p>
    <w:p w:rsidR="006F0572" w:rsidP="00FC0CD2" w14:paraId="27316B89" w14:textId="77777777">
      <w:pPr>
        <w:rPr>
          <w:rFonts w:ascii="Times New Roman" w:eastAsia="Times New Roman"/>
          <w:b/>
        </w:rPr>
      </w:pPr>
    </w:p>
    <w:p w:rsidR="006F0572" w:rsidRPr="00FC0CD2" w:rsidP="00FC0CD2" w14:paraId="044CF1BC" w14:textId="39DC8AC9">
      <w:pPr>
        <w:rPr>
          <w:rFonts w:ascii="Times New Roman" w:eastAsia="Times New Roman"/>
          <w:b/>
        </w:rPr>
        <w:sectPr w:rsidSect="00FC0CD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576" w:footer="576" w:gutter="0"/>
          <w:cols w:space="720"/>
          <w:noEndnote/>
          <w:docGrid w:linePitch="360"/>
        </w:sectPr>
      </w:pPr>
    </w:p>
    <w:tbl>
      <w:tblPr>
        <w:tblW w:w="11520" w:type="dxa"/>
        <w:jc w:val="center"/>
        <w:tblLook w:val="04A0"/>
      </w:tblPr>
      <w:tblGrid>
        <w:gridCol w:w="1620"/>
        <w:gridCol w:w="457"/>
        <w:gridCol w:w="771"/>
        <w:gridCol w:w="1406"/>
        <w:gridCol w:w="1320"/>
        <w:gridCol w:w="1100"/>
        <w:gridCol w:w="1240"/>
        <w:gridCol w:w="1100"/>
        <w:gridCol w:w="1040"/>
        <w:gridCol w:w="1466"/>
      </w:tblGrid>
      <w:tr w14:paraId="2B258BF5" w14:textId="77777777" w:rsidTr="00B142A3">
        <w:tblPrEx>
          <w:tblW w:w="11520" w:type="dxa"/>
          <w:jc w:val="center"/>
          <w:tblLook w:val="04A0"/>
        </w:tblPrEx>
        <w:trPr>
          <w:trHeight w:val="440"/>
          <w:tblHeader/>
          <w:jc w:val="center"/>
        </w:trPr>
        <w:tc>
          <w:tcPr>
            <w:tcW w:w="11520" w:type="dxa"/>
            <w:gridSpan w:val="10"/>
            <w:tcBorders>
              <w:top w:val="single" w:sz="4" w:space="0" w:color="auto"/>
              <w:left w:val="single" w:sz="4" w:space="0" w:color="auto"/>
              <w:bottom w:val="single" w:sz="4" w:space="0" w:color="auto"/>
              <w:right w:val="single" w:sz="4" w:space="0" w:color="000000"/>
            </w:tcBorders>
            <w:shd w:val="clear" w:color="000000" w:fill="C6E0B4"/>
            <w:noWrap/>
            <w:vAlign w:val="center"/>
            <w:hideMark/>
          </w:tcPr>
          <w:p w:rsidR="00FA1DF6" w:rsidRPr="00FA1DF6" w:rsidP="00C40F8D" w14:paraId="5DF56B63"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Table C - Summary of Estimated Annualized Respondent Hour and Cost Burden</w:t>
            </w:r>
          </w:p>
        </w:tc>
      </w:tr>
      <w:tr w14:paraId="5554613A" w14:textId="77777777" w:rsidTr="00B142A3">
        <w:tblPrEx>
          <w:tblW w:w="11520" w:type="dxa"/>
          <w:jc w:val="center"/>
          <w:tblLook w:val="04A0"/>
        </w:tblPrEx>
        <w:trPr>
          <w:trHeight w:val="780"/>
          <w:tblHeader/>
          <w:jc w:val="center"/>
        </w:trPr>
        <w:tc>
          <w:tcPr>
            <w:tcW w:w="1620" w:type="dxa"/>
            <w:tcBorders>
              <w:top w:val="nil"/>
              <w:left w:val="single" w:sz="12" w:space="0" w:color="auto"/>
              <w:bottom w:val="single" w:sz="4" w:space="0" w:color="auto"/>
              <w:right w:val="single" w:sz="4" w:space="0" w:color="auto"/>
            </w:tcBorders>
            <w:shd w:val="clear" w:color="000000" w:fill="C6E0B4"/>
            <w:vAlign w:val="center"/>
            <w:hideMark/>
          </w:tcPr>
          <w:p w:rsidR="00FA1DF6" w:rsidRPr="00FA1DF6" w:rsidP="00E45769" w14:paraId="5A770B6C"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Collection of Information</w:t>
            </w:r>
          </w:p>
        </w:tc>
        <w:tc>
          <w:tcPr>
            <w:tcW w:w="1228" w:type="dxa"/>
            <w:gridSpan w:val="2"/>
            <w:tcBorders>
              <w:top w:val="nil"/>
              <w:left w:val="nil"/>
              <w:bottom w:val="single" w:sz="4" w:space="0" w:color="auto"/>
              <w:right w:val="single" w:sz="4" w:space="0" w:color="auto"/>
            </w:tcBorders>
            <w:shd w:val="clear" w:color="000000" w:fill="C6E0B4"/>
            <w:vAlign w:val="center"/>
            <w:hideMark/>
          </w:tcPr>
          <w:p w:rsidR="00FA1DF6" w:rsidRPr="00FA1DF6" w:rsidP="00E45769" w14:paraId="23FE0AC6"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Type of Respondent (Employer)</w:t>
            </w:r>
          </w:p>
        </w:tc>
        <w:tc>
          <w:tcPr>
            <w:tcW w:w="1406" w:type="dxa"/>
            <w:tcBorders>
              <w:top w:val="nil"/>
              <w:left w:val="nil"/>
              <w:bottom w:val="single" w:sz="4" w:space="0" w:color="auto"/>
              <w:right w:val="single" w:sz="4" w:space="0" w:color="auto"/>
            </w:tcBorders>
            <w:shd w:val="clear" w:color="000000" w:fill="C6E0B4"/>
            <w:vAlign w:val="center"/>
            <w:hideMark/>
          </w:tcPr>
          <w:p w:rsidR="00FA1DF6" w:rsidRPr="00FA1DF6" w:rsidP="00E45769" w14:paraId="63F00DEB" w14:textId="56B234B1">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No. of Respondents</w:t>
            </w:r>
            <w:r>
              <w:rPr>
                <w:rFonts w:ascii="Times New Roman" w:eastAsia="Times New Roman"/>
                <w:b/>
                <w:bCs/>
                <w:color w:val="000000"/>
                <w:sz w:val="20"/>
                <w:szCs w:val="20"/>
              </w:rPr>
              <w:t>*</w:t>
            </w:r>
          </w:p>
        </w:tc>
        <w:tc>
          <w:tcPr>
            <w:tcW w:w="1320" w:type="dxa"/>
            <w:tcBorders>
              <w:top w:val="nil"/>
              <w:left w:val="nil"/>
              <w:bottom w:val="single" w:sz="4" w:space="0" w:color="auto"/>
              <w:right w:val="single" w:sz="4" w:space="0" w:color="auto"/>
            </w:tcBorders>
            <w:shd w:val="clear" w:color="000000" w:fill="C6E0B4"/>
            <w:vAlign w:val="center"/>
            <w:hideMark/>
          </w:tcPr>
          <w:p w:rsidR="00FA1DF6" w:rsidRPr="00FA1DF6" w:rsidP="00E45769" w14:paraId="0B52CEDC" w14:textId="348869EC">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Responses per Respondent</w:t>
            </w:r>
          </w:p>
        </w:tc>
        <w:tc>
          <w:tcPr>
            <w:tcW w:w="1100" w:type="dxa"/>
            <w:tcBorders>
              <w:top w:val="nil"/>
              <w:left w:val="nil"/>
              <w:bottom w:val="single" w:sz="4" w:space="0" w:color="auto"/>
              <w:right w:val="single" w:sz="4" w:space="0" w:color="auto"/>
            </w:tcBorders>
            <w:shd w:val="clear" w:color="000000" w:fill="C6E0B4"/>
            <w:vAlign w:val="center"/>
            <w:hideMark/>
          </w:tcPr>
          <w:p w:rsidR="00FA1DF6" w:rsidRPr="00FA1DF6" w:rsidP="00E45769" w14:paraId="02D68346" w14:textId="7054572D">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xml:space="preserve">Total  </w:t>
            </w:r>
            <w:r w:rsidR="00371AA4">
              <w:rPr>
                <w:rFonts w:ascii="Times New Roman" w:eastAsia="Times New Roman"/>
                <w:b/>
                <w:bCs/>
                <w:color w:val="000000"/>
                <w:sz w:val="20"/>
                <w:szCs w:val="20"/>
              </w:rPr>
              <w:t xml:space="preserve"> </w:t>
            </w:r>
            <w:r w:rsidRPr="00FA1DF6">
              <w:rPr>
                <w:rFonts w:ascii="Times New Roman" w:eastAsia="Times New Roman"/>
                <w:b/>
                <w:bCs/>
                <w:color w:val="000000"/>
                <w:sz w:val="20"/>
                <w:szCs w:val="20"/>
              </w:rPr>
              <w:t>Responses</w:t>
            </w:r>
          </w:p>
        </w:tc>
        <w:tc>
          <w:tcPr>
            <w:tcW w:w="1240" w:type="dxa"/>
            <w:tcBorders>
              <w:top w:val="nil"/>
              <w:left w:val="nil"/>
              <w:bottom w:val="single" w:sz="4" w:space="0" w:color="auto"/>
              <w:right w:val="single" w:sz="4" w:space="0" w:color="auto"/>
            </w:tcBorders>
            <w:shd w:val="clear" w:color="000000" w:fill="C6E0B4"/>
            <w:vAlign w:val="center"/>
            <w:hideMark/>
          </w:tcPr>
          <w:p w:rsidR="00FA1DF6" w:rsidRPr="00FA1DF6" w:rsidP="00E45769" w14:paraId="7A76D47D" w14:textId="4530DE9F">
            <w:pPr>
              <w:widowControl/>
              <w:autoSpaceDE/>
              <w:autoSpaceDN/>
              <w:adjustRightInd/>
              <w:jc w:val="center"/>
              <w:rPr>
                <w:rFonts w:ascii="Times New Roman" w:eastAsia="Times New Roman"/>
                <w:b/>
                <w:bCs/>
                <w:color w:val="000000"/>
                <w:sz w:val="20"/>
                <w:szCs w:val="20"/>
              </w:rPr>
            </w:pPr>
            <w:r>
              <w:rPr>
                <w:rFonts w:ascii="Times New Roman" w:eastAsia="Times New Roman"/>
                <w:b/>
                <w:bCs/>
                <w:color w:val="000000"/>
                <w:sz w:val="20"/>
                <w:szCs w:val="20"/>
              </w:rPr>
              <w:t>Time</w:t>
            </w:r>
            <w:r w:rsidRPr="00FA1DF6">
              <w:rPr>
                <w:rFonts w:ascii="Times New Roman" w:eastAsia="Times New Roman"/>
                <w:b/>
                <w:bCs/>
                <w:color w:val="000000"/>
                <w:sz w:val="20"/>
                <w:szCs w:val="20"/>
              </w:rPr>
              <w:t xml:space="preserve"> per Response (hours)</w:t>
            </w:r>
          </w:p>
        </w:tc>
        <w:tc>
          <w:tcPr>
            <w:tcW w:w="1100" w:type="dxa"/>
            <w:tcBorders>
              <w:top w:val="nil"/>
              <w:left w:val="nil"/>
              <w:bottom w:val="single" w:sz="4" w:space="0" w:color="auto"/>
              <w:right w:val="single" w:sz="4" w:space="0" w:color="auto"/>
            </w:tcBorders>
            <w:shd w:val="clear" w:color="000000" w:fill="C6E0B4"/>
            <w:vAlign w:val="center"/>
            <w:hideMark/>
          </w:tcPr>
          <w:p w:rsidR="00FA1DF6" w:rsidRPr="00FA1DF6" w:rsidP="00E45769" w14:paraId="3BC2CB3B" w14:textId="6EA14E62">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xml:space="preserve"> Burden Hours</w:t>
            </w:r>
          </w:p>
        </w:tc>
        <w:tc>
          <w:tcPr>
            <w:tcW w:w="1040" w:type="dxa"/>
            <w:tcBorders>
              <w:top w:val="nil"/>
              <w:left w:val="nil"/>
              <w:bottom w:val="single" w:sz="4" w:space="0" w:color="auto"/>
              <w:right w:val="single" w:sz="4" w:space="0" w:color="auto"/>
            </w:tcBorders>
            <w:shd w:val="clear" w:color="000000" w:fill="C6E0B4"/>
            <w:vAlign w:val="center"/>
            <w:hideMark/>
          </w:tcPr>
          <w:p w:rsidR="00FA1DF6" w:rsidRPr="00FA1DF6" w:rsidP="00E45769" w14:paraId="3AFB5EBD" w14:textId="3D48FB50">
            <w:pPr>
              <w:widowControl/>
              <w:autoSpaceDE/>
              <w:autoSpaceDN/>
              <w:adjustRightInd/>
              <w:jc w:val="center"/>
              <w:rPr>
                <w:rFonts w:ascii="Times New Roman" w:eastAsia="Times New Roman"/>
                <w:b/>
                <w:bCs/>
                <w:color w:val="000000"/>
                <w:sz w:val="20"/>
                <w:szCs w:val="20"/>
              </w:rPr>
            </w:pPr>
            <w:r>
              <w:rPr>
                <w:rFonts w:ascii="Times New Roman" w:eastAsia="Times New Roman"/>
                <w:b/>
                <w:bCs/>
                <w:color w:val="000000"/>
                <w:sz w:val="20"/>
                <w:szCs w:val="20"/>
              </w:rPr>
              <w:t xml:space="preserve">Loaded </w:t>
            </w:r>
            <w:r w:rsidRPr="00FA1DF6">
              <w:rPr>
                <w:rFonts w:ascii="Times New Roman" w:eastAsia="Times New Roman"/>
                <w:b/>
                <w:bCs/>
                <w:color w:val="000000"/>
                <w:sz w:val="20"/>
                <w:szCs w:val="20"/>
              </w:rPr>
              <w:t xml:space="preserve">Hourly Wage </w:t>
            </w:r>
          </w:p>
        </w:tc>
        <w:tc>
          <w:tcPr>
            <w:tcW w:w="1466" w:type="dxa"/>
            <w:tcBorders>
              <w:top w:val="nil"/>
              <w:left w:val="nil"/>
              <w:bottom w:val="single" w:sz="4" w:space="0" w:color="auto"/>
              <w:right w:val="single" w:sz="12" w:space="0" w:color="auto"/>
            </w:tcBorders>
            <w:shd w:val="clear" w:color="000000" w:fill="C6E0B4"/>
            <w:vAlign w:val="center"/>
            <w:hideMark/>
          </w:tcPr>
          <w:p w:rsidR="00FA1DF6" w:rsidRPr="00FA1DF6" w:rsidP="00E45769" w14:paraId="586E5D5D" w14:textId="33DE13B0">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Burden Costs</w:t>
            </w:r>
          </w:p>
        </w:tc>
      </w:tr>
      <w:tr w14:paraId="08E38EDC" w14:textId="77777777" w:rsidTr="00B142A3">
        <w:tblPrEx>
          <w:tblW w:w="11520" w:type="dxa"/>
          <w:jc w:val="center"/>
          <w:tblLook w:val="04A0"/>
        </w:tblPrEx>
        <w:trPr>
          <w:trHeight w:val="465"/>
          <w:jc w:val="center"/>
        </w:trPr>
        <w:tc>
          <w:tcPr>
            <w:tcW w:w="1620" w:type="dxa"/>
            <w:tcBorders>
              <w:top w:val="nil"/>
              <w:left w:val="single" w:sz="12" w:space="0" w:color="auto"/>
              <w:bottom w:val="single" w:sz="8" w:space="0" w:color="auto"/>
              <w:right w:val="nil"/>
            </w:tcBorders>
            <w:shd w:val="clear" w:color="000000" w:fill="D9D9D9"/>
            <w:vAlign w:val="center"/>
            <w:hideMark/>
          </w:tcPr>
          <w:p w:rsidR="00FA1DF6" w:rsidRPr="00FA1DF6" w:rsidP="00C40F8D" w14:paraId="3ABDCD85"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Exposure Monitoring</w:t>
            </w:r>
          </w:p>
        </w:tc>
        <w:tc>
          <w:tcPr>
            <w:tcW w:w="1228" w:type="dxa"/>
            <w:gridSpan w:val="2"/>
            <w:tcBorders>
              <w:top w:val="nil"/>
              <w:left w:val="nil"/>
              <w:bottom w:val="single" w:sz="8" w:space="0" w:color="auto"/>
              <w:right w:val="nil"/>
            </w:tcBorders>
            <w:shd w:val="clear" w:color="000000" w:fill="D9D9D9"/>
            <w:vAlign w:val="center"/>
            <w:hideMark/>
          </w:tcPr>
          <w:p w:rsidR="00FA1DF6" w:rsidRPr="00FA1DF6" w:rsidP="00C40F8D" w14:paraId="1E82458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406" w:type="dxa"/>
            <w:tcBorders>
              <w:top w:val="nil"/>
              <w:left w:val="nil"/>
              <w:bottom w:val="single" w:sz="8" w:space="0" w:color="auto"/>
              <w:right w:val="nil"/>
            </w:tcBorders>
            <w:shd w:val="clear" w:color="000000" w:fill="D9D9D9"/>
            <w:vAlign w:val="center"/>
            <w:hideMark/>
          </w:tcPr>
          <w:p w:rsidR="00FA1DF6" w:rsidRPr="00FA1DF6" w:rsidP="00C40F8D" w14:paraId="06B125B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320" w:type="dxa"/>
            <w:tcBorders>
              <w:top w:val="nil"/>
              <w:left w:val="nil"/>
              <w:bottom w:val="single" w:sz="8" w:space="0" w:color="auto"/>
              <w:right w:val="nil"/>
            </w:tcBorders>
            <w:shd w:val="clear" w:color="000000" w:fill="D9D9D9"/>
            <w:vAlign w:val="center"/>
            <w:hideMark/>
          </w:tcPr>
          <w:p w:rsidR="00FA1DF6" w:rsidRPr="00FA1DF6" w:rsidP="00C40F8D" w14:paraId="55003AF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single" w:sz="8" w:space="0" w:color="auto"/>
              <w:right w:val="nil"/>
            </w:tcBorders>
            <w:shd w:val="clear" w:color="000000" w:fill="D9D9D9"/>
            <w:vAlign w:val="center"/>
            <w:hideMark/>
          </w:tcPr>
          <w:p w:rsidR="00FA1DF6" w:rsidRPr="00FA1DF6" w:rsidP="00C40F8D" w14:paraId="04E1ED2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240" w:type="dxa"/>
            <w:tcBorders>
              <w:top w:val="nil"/>
              <w:left w:val="nil"/>
              <w:bottom w:val="single" w:sz="8" w:space="0" w:color="auto"/>
              <w:right w:val="nil"/>
            </w:tcBorders>
            <w:shd w:val="clear" w:color="000000" w:fill="D9D9D9"/>
            <w:vAlign w:val="center"/>
            <w:hideMark/>
          </w:tcPr>
          <w:p w:rsidR="00FA1DF6" w:rsidRPr="00FA1DF6" w:rsidP="00C40F8D" w14:paraId="6A5363C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single" w:sz="8" w:space="0" w:color="auto"/>
              <w:right w:val="nil"/>
            </w:tcBorders>
            <w:shd w:val="clear" w:color="000000" w:fill="D9D9D9"/>
            <w:vAlign w:val="center"/>
            <w:hideMark/>
          </w:tcPr>
          <w:p w:rsidR="00FA1DF6" w:rsidRPr="00FA1DF6" w:rsidP="00C40F8D" w14:paraId="1C26CF9D"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040" w:type="dxa"/>
            <w:tcBorders>
              <w:top w:val="nil"/>
              <w:left w:val="nil"/>
              <w:bottom w:val="single" w:sz="8" w:space="0" w:color="auto"/>
              <w:right w:val="nil"/>
            </w:tcBorders>
            <w:shd w:val="clear" w:color="000000" w:fill="D9D9D9"/>
            <w:vAlign w:val="center"/>
            <w:hideMark/>
          </w:tcPr>
          <w:p w:rsidR="00FA1DF6" w:rsidRPr="00FA1DF6" w:rsidP="00C40F8D" w14:paraId="17F76E1D"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466" w:type="dxa"/>
            <w:tcBorders>
              <w:top w:val="nil"/>
              <w:left w:val="nil"/>
              <w:bottom w:val="single" w:sz="8" w:space="0" w:color="auto"/>
              <w:right w:val="single" w:sz="12" w:space="0" w:color="auto"/>
            </w:tcBorders>
            <w:shd w:val="clear" w:color="000000" w:fill="D9D9D9"/>
            <w:vAlign w:val="center"/>
            <w:hideMark/>
          </w:tcPr>
          <w:p w:rsidR="00FA1DF6" w:rsidRPr="00FA1DF6" w:rsidP="00C40F8D" w14:paraId="0A480B3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r>
      <w:tr w14:paraId="6703AC88" w14:textId="77777777" w:rsidTr="00B142A3">
        <w:tblPrEx>
          <w:tblW w:w="11520" w:type="dxa"/>
          <w:jc w:val="center"/>
          <w:tblLook w:val="04A0"/>
        </w:tblPrEx>
        <w:trPr>
          <w:trHeight w:val="51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1CEC38C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Initial Exposure Measurement</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2D4B269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Worker</w:t>
            </w:r>
          </w:p>
        </w:tc>
        <w:tc>
          <w:tcPr>
            <w:tcW w:w="1406" w:type="dxa"/>
            <w:tcBorders>
              <w:top w:val="nil"/>
              <w:left w:val="nil"/>
              <w:bottom w:val="single" w:sz="4" w:space="0" w:color="auto"/>
              <w:right w:val="single" w:sz="4" w:space="0" w:color="auto"/>
            </w:tcBorders>
            <w:vAlign w:val="center"/>
            <w:hideMark/>
          </w:tcPr>
          <w:p w:rsidR="00FA1DF6" w:rsidRPr="00FA1DF6" w:rsidP="00C40F8D" w14:paraId="3714A28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0</w:t>
            </w:r>
          </w:p>
        </w:tc>
        <w:tc>
          <w:tcPr>
            <w:tcW w:w="1320" w:type="dxa"/>
            <w:tcBorders>
              <w:top w:val="nil"/>
              <w:left w:val="nil"/>
              <w:bottom w:val="single" w:sz="4" w:space="0" w:color="auto"/>
              <w:right w:val="single" w:sz="4" w:space="0" w:color="auto"/>
            </w:tcBorders>
            <w:vAlign w:val="center"/>
            <w:hideMark/>
          </w:tcPr>
          <w:p w:rsidR="00FA1DF6" w:rsidRPr="00FA1DF6" w:rsidP="00C40F8D" w14:paraId="2DAC2B47"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4104FD8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0</w:t>
            </w:r>
          </w:p>
        </w:tc>
        <w:tc>
          <w:tcPr>
            <w:tcW w:w="1240" w:type="dxa"/>
            <w:tcBorders>
              <w:top w:val="nil"/>
              <w:left w:val="nil"/>
              <w:bottom w:val="single" w:sz="4" w:space="0" w:color="auto"/>
              <w:right w:val="single" w:sz="4" w:space="0" w:color="auto"/>
            </w:tcBorders>
            <w:vAlign w:val="center"/>
            <w:hideMark/>
          </w:tcPr>
          <w:p w:rsidR="00FA1DF6" w:rsidRPr="00FA1DF6" w:rsidP="00C40F8D" w14:paraId="777F5A3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6BB3F97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0</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727556C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$43.49</w:t>
            </w:r>
          </w:p>
        </w:tc>
        <w:tc>
          <w:tcPr>
            <w:tcW w:w="1466" w:type="dxa"/>
            <w:tcBorders>
              <w:top w:val="nil"/>
              <w:left w:val="nil"/>
              <w:bottom w:val="single" w:sz="4" w:space="0" w:color="auto"/>
              <w:right w:val="single" w:sz="12" w:space="0" w:color="auto"/>
            </w:tcBorders>
            <w:vAlign w:val="center"/>
            <w:hideMark/>
          </w:tcPr>
          <w:p w:rsidR="00FA1DF6" w:rsidRPr="00FA1DF6" w:rsidP="00C40F8D" w14:paraId="1A8E7AA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$0</w:t>
            </w:r>
          </w:p>
        </w:tc>
      </w:tr>
      <w:tr w14:paraId="3D281161" w14:textId="77777777" w:rsidTr="00B142A3">
        <w:tblPrEx>
          <w:tblW w:w="11520" w:type="dxa"/>
          <w:jc w:val="center"/>
          <w:tblLook w:val="04A0"/>
        </w:tblPrEx>
        <w:trPr>
          <w:trHeight w:val="51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12FEDE2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Periodic Exposure Measurement</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569C9A7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Worker</w:t>
            </w:r>
          </w:p>
        </w:tc>
        <w:tc>
          <w:tcPr>
            <w:tcW w:w="1406" w:type="dxa"/>
            <w:tcBorders>
              <w:top w:val="nil"/>
              <w:left w:val="nil"/>
              <w:bottom w:val="single" w:sz="4" w:space="0" w:color="auto"/>
              <w:right w:val="single" w:sz="4" w:space="0" w:color="auto"/>
            </w:tcBorders>
            <w:vAlign w:val="center"/>
            <w:hideMark/>
          </w:tcPr>
          <w:p w:rsidR="00FA1DF6" w:rsidRPr="00FA1DF6" w:rsidP="00C40F8D" w14:paraId="50DD9D9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91,657</w:t>
            </w:r>
          </w:p>
        </w:tc>
        <w:tc>
          <w:tcPr>
            <w:tcW w:w="1320" w:type="dxa"/>
            <w:tcBorders>
              <w:top w:val="nil"/>
              <w:left w:val="nil"/>
              <w:bottom w:val="single" w:sz="4" w:space="0" w:color="auto"/>
              <w:right w:val="single" w:sz="4" w:space="0" w:color="auto"/>
            </w:tcBorders>
            <w:vAlign w:val="center"/>
            <w:hideMark/>
          </w:tcPr>
          <w:p w:rsidR="00FA1DF6" w:rsidRPr="00FA1DF6" w:rsidP="00C40F8D" w14:paraId="60F3A11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w:t>
            </w:r>
          </w:p>
        </w:tc>
        <w:tc>
          <w:tcPr>
            <w:tcW w:w="1100" w:type="dxa"/>
            <w:tcBorders>
              <w:top w:val="nil"/>
              <w:left w:val="nil"/>
              <w:bottom w:val="single" w:sz="4" w:space="0" w:color="auto"/>
              <w:right w:val="single" w:sz="4" w:space="0" w:color="auto"/>
            </w:tcBorders>
            <w:vAlign w:val="center"/>
            <w:hideMark/>
          </w:tcPr>
          <w:p w:rsidR="00FA1DF6" w:rsidRPr="00FA1DF6" w:rsidP="00C40F8D" w14:paraId="7D76E2A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183,314</w:t>
            </w:r>
          </w:p>
        </w:tc>
        <w:tc>
          <w:tcPr>
            <w:tcW w:w="1240" w:type="dxa"/>
            <w:tcBorders>
              <w:top w:val="nil"/>
              <w:left w:val="nil"/>
              <w:bottom w:val="single" w:sz="4" w:space="0" w:color="auto"/>
              <w:right w:val="single" w:sz="4" w:space="0" w:color="auto"/>
            </w:tcBorders>
            <w:vAlign w:val="center"/>
            <w:hideMark/>
          </w:tcPr>
          <w:p w:rsidR="00FA1DF6" w:rsidRPr="00FA1DF6" w:rsidP="00C40F8D" w14:paraId="54E182C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6A62ADA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183,314</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66AC198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$43.49</w:t>
            </w:r>
          </w:p>
        </w:tc>
        <w:tc>
          <w:tcPr>
            <w:tcW w:w="1466" w:type="dxa"/>
            <w:tcBorders>
              <w:top w:val="nil"/>
              <w:left w:val="nil"/>
              <w:bottom w:val="single" w:sz="4" w:space="0" w:color="auto"/>
              <w:right w:val="single" w:sz="12" w:space="0" w:color="auto"/>
            </w:tcBorders>
            <w:vAlign w:val="center"/>
            <w:hideMark/>
          </w:tcPr>
          <w:p w:rsidR="00FA1DF6" w:rsidRPr="00FA1DF6" w:rsidP="00C40F8D" w14:paraId="735C760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$7,972,326</w:t>
            </w:r>
          </w:p>
        </w:tc>
      </w:tr>
      <w:tr w14:paraId="427EDA4F" w14:textId="77777777" w:rsidTr="00B142A3">
        <w:tblPrEx>
          <w:tblW w:w="11520" w:type="dxa"/>
          <w:jc w:val="center"/>
          <w:tblLook w:val="04A0"/>
        </w:tblPrEx>
        <w:trPr>
          <w:trHeight w:val="51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452F8A6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Employee Notification of Monitoring Results</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4BDCAAC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Clerical</w:t>
            </w:r>
          </w:p>
        </w:tc>
        <w:tc>
          <w:tcPr>
            <w:tcW w:w="1406" w:type="dxa"/>
            <w:tcBorders>
              <w:top w:val="nil"/>
              <w:left w:val="nil"/>
              <w:bottom w:val="single" w:sz="4" w:space="0" w:color="auto"/>
              <w:right w:val="single" w:sz="4" w:space="0" w:color="auto"/>
            </w:tcBorders>
            <w:vAlign w:val="center"/>
            <w:hideMark/>
          </w:tcPr>
          <w:p w:rsidR="00FA1DF6" w:rsidRPr="00FA1DF6" w:rsidP="00C40F8D" w14:paraId="6B9000E2" w14:textId="77777777">
            <w:pPr>
              <w:widowControl/>
              <w:autoSpaceDE/>
              <w:autoSpaceDN/>
              <w:adjustRightInd/>
              <w:jc w:val="center"/>
              <w:rPr>
                <w:rFonts w:ascii="Times New Roman" w:eastAsia="Times New Roman"/>
                <w:sz w:val="20"/>
                <w:szCs w:val="20"/>
              </w:rPr>
            </w:pPr>
            <w:r w:rsidRPr="00FA1DF6">
              <w:rPr>
                <w:rFonts w:ascii="Times New Roman" w:eastAsia="Times New Roman"/>
                <w:sz w:val="20"/>
                <w:szCs w:val="20"/>
              </w:rPr>
              <w:t>60,569</w:t>
            </w:r>
          </w:p>
        </w:tc>
        <w:tc>
          <w:tcPr>
            <w:tcW w:w="1320" w:type="dxa"/>
            <w:tcBorders>
              <w:top w:val="nil"/>
              <w:left w:val="nil"/>
              <w:bottom w:val="single" w:sz="4" w:space="0" w:color="auto"/>
              <w:right w:val="single" w:sz="4" w:space="0" w:color="auto"/>
            </w:tcBorders>
            <w:vAlign w:val="center"/>
            <w:hideMark/>
          </w:tcPr>
          <w:p w:rsidR="00FA1DF6" w:rsidRPr="00FA1DF6" w:rsidP="00C40F8D" w14:paraId="0E7EDC9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w:t>
            </w:r>
          </w:p>
        </w:tc>
        <w:tc>
          <w:tcPr>
            <w:tcW w:w="1100" w:type="dxa"/>
            <w:tcBorders>
              <w:top w:val="nil"/>
              <w:left w:val="nil"/>
              <w:bottom w:val="single" w:sz="4" w:space="0" w:color="auto"/>
              <w:right w:val="single" w:sz="4" w:space="0" w:color="auto"/>
            </w:tcBorders>
            <w:vAlign w:val="center"/>
            <w:hideMark/>
          </w:tcPr>
          <w:p w:rsidR="00FA1DF6" w:rsidRPr="00FA1DF6" w:rsidP="00C40F8D" w14:paraId="33E10AF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121,138</w:t>
            </w:r>
          </w:p>
        </w:tc>
        <w:tc>
          <w:tcPr>
            <w:tcW w:w="1240" w:type="dxa"/>
            <w:tcBorders>
              <w:top w:val="nil"/>
              <w:left w:val="nil"/>
              <w:bottom w:val="single" w:sz="4" w:space="0" w:color="auto"/>
              <w:right w:val="single" w:sz="4" w:space="0" w:color="auto"/>
            </w:tcBorders>
            <w:vAlign w:val="center"/>
            <w:hideMark/>
          </w:tcPr>
          <w:p w:rsidR="00FA1DF6" w:rsidRPr="00FA1DF6" w:rsidP="00C40F8D" w14:paraId="5B6F2AA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1/12 </w:t>
            </w:r>
          </w:p>
        </w:tc>
        <w:tc>
          <w:tcPr>
            <w:tcW w:w="1100" w:type="dxa"/>
            <w:tcBorders>
              <w:top w:val="nil"/>
              <w:left w:val="nil"/>
              <w:bottom w:val="single" w:sz="4" w:space="0" w:color="auto"/>
              <w:right w:val="single" w:sz="4" w:space="0" w:color="auto"/>
            </w:tcBorders>
            <w:vAlign w:val="center"/>
            <w:hideMark/>
          </w:tcPr>
          <w:p w:rsidR="00FA1DF6" w:rsidRPr="00FA1DF6" w:rsidP="00C40F8D" w14:paraId="52C34E76"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10,095</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29A5D4E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$32.74</w:t>
            </w:r>
          </w:p>
        </w:tc>
        <w:tc>
          <w:tcPr>
            <w:tcW w:w="1466" w:type="dxa"/>
            <w:tcBorders>
              <w:top w:val="nil"/>
              <w:left w:val="nil"/>
              <w:bottom w:val="single" w:sz="4" w:space="0" w:color="auto"/>
              <w:right w:val="single" w:sz="12" w:space="0" w:color="auto"/>
            </w:tcBorders>
            <w:vAlign w:val="center"/>
            <w:hideMark/>
          </w:tcPr>
          <w:p w:rsidR="00FA1DF6" w:rsidRPr="00FA1DF6" w:rsidP="00C40F8D" w14:paraId="59E5085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$330,510</w:t>
            </w:r>
          </w:p>
        </w:tc>
      </w:tr>
      <w:tr w14:paraId="318DE9DC" w14:textId="77777777" w:rsidTr="00B142A3">
        <w:tblPrEx>
          <w:tblW w:w="11520" w:type="dxa"/>
          <w:jc w:val="center"/>
          <w:tblLook w:val="04A0"/>
        </w:tblPrEx>
        <w:trPr>
          <w:trHeight w:val="51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1789F29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Administrative Controls</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222BBE2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Supervisor</w:t>
            </w:r>
          </w:p>
        </w:tc>
        <w:tc>
          <w:tcPr>
            <w:tcW w:w="1406" w:type="dxa"/>
            <w:tcBorders>
              <w:top w:val="nil"/>
              <w:left w:val="nil"/>
              <w:bottom w:val="single" w:sz="4" w:space="0" w:color="auto"/>
              <w:right w:val="single" w:sz="4" w:space="0" w:color="auto"/>
            </w:tcBorders>
            <w:vAlign w:val="center"/>
            <w:hideMark/>
          </w:tcPr>
          <w:p w:rsidR="00FA1DF6" w:rsidRPr="00FA1DF6" w:rsidP="00C40F8D" w14:paraId="0329D1D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320" w:type="dxa"/>
            <w:tcBorders>
              <w:top w:val="nil"/>
              <w:left w:val="nil"/>
              <w:bottom w:val="single" w:sz="4" w:space="0" w:color="auto"/>
              <w:right w:val="single" w:sz="4" w:space="0" w:color="auto"/>
            </w:tcBorders>
            <w:vAlign w:val="center"/>
            <w:hideMark/>
          </w:tcPr>
          <w:p w:rsidR="00FA1DF6" w:rsidRPr="00FA1DF6" w:rsidP="00C40F8D" w14:paraId="766383AF"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62BFD05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240" w:type="dxa"/>
            <w:tcBorders>
              <w:top w:val="nil"/>
              <w:left w:val="nil"/>
              <w:bottom w:val="single" w:sz="4" w:space="0" w:color="auto"/>
              <w:right w:val="single" w:sz="4" w:space="0" w:color="auto"/>
            </w:tcBorders>
            <w:vAlign w:val="center"/>
            <w:hideMark/>
          </w:tcPr>
          <w:p w:rsidR="00FA1DF6" w:rsidRPr="00FA1DF6" w:rsidP="00C40F8D" w14:paraId="73A80BB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10D7611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31B3E2D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$74.26</w:t>
            </w:r>
          </w:p>
        </w:tc>
        <w:tc>
          <w:tcPr>
            <w:tcW w:w="1466" w:type="dxa"/>
            <w:tcBorders>
              <w:top w:val="nil"/>
              <w:left w:val="nil"/>
              <w:bottom w:val="single" w:sz="4" w:space="0" w:color="auto"/>
              <w:right w:val="single" w:sz="12" w:space="0" w:color="auto"/>
            </w:tcBorders>
            <w:vAlign w:val="center"/>
            <w:hideMark/>
          </w:tcPr>
          <w:p w:rsidR="00FA1DF6" w:rsidRPr="00FA1DF6" w:rsidP="00C40F8D" w14:paraId="5D12B3F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$74</w:t>
            </w:r>
          </w:p>
        </w:tc>
      </w:tr>
      <w:tr w14:paraId="60522CDC" w14:textId="77777777" w:rsidTr="00B142A3">
        <w:tblPrEx>
          <w:tblW w:w="11520" w:type="dxa"/>
          <w:jc w:val="center"/>
          <w:tblLook w:val="04A0"/>
        </w:tblPrEx>
        <w:trPr>
          <w:trHeight w:val="300"/>
          <w:jc w:val="center"/>
        </w:trPr>
        <w:tc>
          <w:tcPr>
            <w:tcW w:w="4254" w:type="dxa"/>
            <w:gridSpan w:val="4"/>
            <w:tcBorders>
              <w:top w:val="single" w:sz="4" w:space="0" w:color="auto"/>
              <w:left w:val="single" w:sz="12" w:space="0" w:color="auto"/>
              <w:bottom w:val="single" w:sz="4" w:space="0" w:color="auto"/>
              <w:right w:val="single" w:sz="4" w:space="0" w:color="auto"/>
            </w:tcBorders>
            <w:shd w:val="clear" w:color="000000" w:fill="F2F2F2"/>
            <w:vAlign w:val="center"/>
            <w:hideMark/>
          </w:tcPr>
          <w:p w:rsidR="00FA1DF6" w:rsidRPr="005A6F2F" w:rsidP="00C40F8D" w14:paraId="2C517770" w14:textId="77777777">
            <w:pPr>
              <w:widowControl/>
              <w:autoSpaceDE/>
              <w:autoSpaceDN/>
              <w:adjustRightInd/>
              <w:jc w:val="right"/>
              <w:rPr>
                <w:rFonts w:ascii="Times New Roman" w:eastAsia="Times New Roman"/>
                <w:b/>
                <w:bCs/>
                <w:i/>
                <w:iCs/>
                <w:color w:val="000000"/>
                <w:sz w:val="20"/>
                <w:szCs w:val="20"/>
              </w:rPr>
            </w:pPr>
            <w:r w:rsidRPr="005A6F2F">
              <w:rPr>
                <w:rFonts w:ascii="Times New Roman" w:eastAsia="Times New Roman"/>
                <w:b/>
                <w:bCs/>
                <w:i/>
                <w:iCs/>
                <w:color w:val="000000"/>
                <w:sz w:val="20"/>
                <w:szCs w:val="20"/>
              </w:rPr>
              <w:t>Subtotal - Exposure Monitoring</w:t>
            </w:r>
          </w:p>
        </w:tc>
        <w:tc>
          <w:tcPr>
            <w:tcW w:w="1320" w:type="dxa"/>
            <w:tcBorders>
              <w:top w:val="nil"/>
              <w:left w:val="nil"/>
              <w:bottom w:val="single" w:sz="4" w:space="0" w:color="auto"/>
              <w:right w:val="single" w:sz="4" w:space="0" w:color="auto"/>
            </w:tcBorders>
            <w:shd w:val="clear" w:color="000000" w:fill="F2F2F2"/>
            <w:vAlign w:val="center"/>
            <w:hideMark/>
          </w:tcPr>
          <w:p w:rsidR="00FA1DF6" w:rsidRPr="00FA1DF6" w:rsidP="00C40F8D" w14:paraId="4C5FC759"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4" w:space="0" w:color="auto"/>
              <w:right w:val="single" w:sz="4" w:space="0" w:color="auto"/>
            </w:tcBorders>
            <w:shd w:val="clear" w:color="000000" w:fill="C6E0B4"/>
            <w:vAlign w:val="center"/>
            <w:hideMark/>
          </w:tcPr>
          <w:p w:rsidR="00FA1DF6" w:rsidRPr="00FA1DF6" w:rsidP="00C40F8D" w14:paraId="116F7C00"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304,453</w:t>
            </w:r>
          </w:p>
        </w:tc>
        <w:tc>
          <w:tcPr>
            <w:tcW w:w="1240" w:type="dxa"/>
            <w:tcBorders>
              <w:top w:val="nil"/>
              <w:left w:val="nil"/>
              <w:bottom w:val="single" w:sz="4" w:space="0" w:color="auto"/>
              <w:right w:val="single" w:sz="4" w:space="0" w:color="auto"/>
            </w:tcBorders>
            <w:shd w:val="clear" w:color="000000" w:fill="F2F2F2"/>
            <w:vAlign w:val="center"/>
            <w:hideMark/>
          </w:tcPr>
          <w:p w:rsidR="00FA1DF6" w:rsidRPr="00FA1DF6" w:rsidP="00C40F8D" w14:paraId="7CF4B73B"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4" w:space="0" w:color="auto"/>
              <w:right w:val="single" w:sz="4" w:space="0" w:color="auto"/>
            </w:tcBorders>
            <w:shd w:val="clear" w:color="000000" w:fill="C6E0B4"/>
            <w:vAlign w:val="center"/>
            <w:hideMark/>
          </w:tcPr>
          <w:p w:rsidR="00FA1DF6" w:rsidRPr="00FA1DF6" w:rsidP="00C40F8D" w14:paraId="53264B38"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193,410</w:t>
            </w:r>
          </w:p>
        </w:tc>
        <w:tc>
          <w:tcPr>
            <w:tcW w:w="1040" w:type="dxa"/>
            <w:tcBorders>
              <w:top w:val="nil"/>
              <w:left w:val="nil"/>
              <w:bottom w:val="single" w:sz="4" w:space="0" w:color="auto"/>
              <w:right w:val="single" w:sz="4" w:space="0" w:color="auto"/>
            </w:tcBorders>
            <w:shd w:val="clear" w:color="000000" w:fill="F2F2F2"/>
            <w:vAlign w:val="center"/>
            <w:hideMark/>
          </w:tcPr>
          <w:p w:rsidR="00FA1DF6" w:rsidRPr="00FA1DF6" w:rsidP="00C40F8D" w14:paraId="7F2075B0"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466" w:type="dxa"/>
            <w:tcBorders>
              <w:top w:val="nil"/>
              <w:left w:val="nil"/>
              <w:bottom w:val="single" w:sz="4" w:space="0" w:color="auto"/>
              <w:right w:val="single" w:sz="12" w:space="0" w:color="auto"/>
            </w:tcBorders>
            <w:shd w:val="clear" w:color="000000" w:fill="C6E0B4"/>
            <w:vAlign w:val="center"/>
            <w:hideMark/>
          </w:tcPr>
          <w:p w:rsidR="00FA1DF6" w:rsidRPr="00FA1DF6" w:rsidP="00C40F8D" w14:paraId="1B4FD2AE"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$8,302,910</w:t>
            </w:r>
          </w:p>
        </w:tc>
      </w:tr>
      <w:tr w14:paraId="79DC6FDA" w14:textId="77777777" w:rsidTr="00B142A3">
        <w:tblPrEx>
          <w:tblW w:w="11520" w:type="dxa"/>
          <w:jc w:val="center"/>
          <w:tblLook w:val="04A0"/>
        </w:tblPrEx>
        <w:trPr>
          <w:trHeight w:val="420"/>
          <w:jc w:val="center"/>
        </w:trPr>
        <w:tc>
          <w:tcPr>
            <w:tcW w:w="1620" w:type="dxa"/>
            <w:tcBorders>
              <w:top w:val="nil"/>
              <w:left w:val="single" w:sz="12" w:space="0" w:color="auto"/>
              <w:bottom w:val="single" w:sz="8" w:space="0" w:color="auto"/>
              <w:right w:val="nil"/>
            </w:tcBorders>
            <w:shd w:val="clear" w:color="000000" w:fill="AEAAAA"/>
            <w:vAlign w:val="center"/>
            <w:hideMark/>
          </w:tcPr>
          <w:p w:rsidR="00FA1DF6" w:rsidRPr="00FA1DF6" w:rsidP="00C40F8D" w14:paraId="4B8FD0FC"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228" w:type="dxa"/>
            <w:gridSpan w:val="2"/>
            <w:tcBorders>
              <w:top w:val="nil"/>
              <w:left w:val="nil"/>
              <w:bottom w:val="single" w:sz="8" w:space="0" w:color="auto"/>
              <w:right w:val="nil"/>
            </w:tcBorders>
            <w:shd w:val="clear" w:color="000000" w:fill="AEAAAA"/>
            <w:vAlign w:val="center"/>
            <w:hideMark/>
          </w:tcPr>
          <w:p w:rsidR="00FA1DF6" w:rsidRPr="00FA1DF6" w:rsidP="00C40F8D" w14:paraId="67511DF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406" w:type="dxa"/>
            <w:tcBorders>
              <w:top w:val="nil"/>
              <w:left w:val="nil"/>
              <w:bottom w:val="single" w:sz="8" w:space="0" w:color="auto"/>
              <w:right w:val="nil"/>
            </w:tcBorders>
            <w:shd w:val="clear" w:color="000000" w:fill="AEAAAA"/>
            <w:vAlign w:val="center"/>
            <w:hideMark/>
          </w:tcPr>
          <w:p w:rsidR="00FA1DF6" w:rsidRPr="00FA1DF6" w:rsidP="00C40F8D" w14:paraId="2DF6DB47"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320" w:type="dxa"/>
            <w:tcBorders>
              <w:top w:val="nil"/>
              <w:left w:val="nil"/>
              <w:bottom w:val="single" w:sz="8" w:space="0" w:color="auto"/>
              <w:right w:val="nil"/>
            </w:tcBorders>
            <w:shd w:val="clear" w:color="000000" w:fill="AEAAAA"/>
            <w:vAlign w:val="center"/>
            <w:hideMark/>
          </w:tcPr>
          <w:p w:rsidR="00FA1DF6" w:rsidRPr="00FA1DF6" w:rsidP="00C40F8D" w14:paraId="7247112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single" w:sz="8" w:space="0" w:color="auto"/>
              <w:right w:val="nil"/>
            </w:tcBorders>
            <w:shd w:val="clear" w:color="000000" w:fill="AEAAAA"/>
            <w:vAlign w:val="center"/>
            <w:hideMark/>
          </w:tcPr>
          <w:p w:rsidR="00FA1DF6" w:rsidRPr="00FA1DF6" w:rsidP="00C40F8D" w14:paraId="2B68ECC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240" w:type="dxa"/>
            <w:tcBorders>
              <w:top w:val="nil"/>
              <w:left w:val="nil"/>
              <w:bottom w:val="single" w:sz="8" w:space="0" w:color="auto"/>
              <w:right w:val="nil"/>
            </w:tcBorders>
            <w:shd w:val="clear" w:color="000000" w:fill="AEAAAA"/>
            <w:vAlign w:val="center"/>
            <w:hideMark/>
          </w:tcPr>
          <w:p w:rsidR="00FA1DF6" w:rsidRPr="00FA1DF6" w:rsidP="00C40F8D" w14:paraId="734FE3A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single" w:sz="8" w:space="0" w:color="auto"/>
              <w:right w:val="nil"/>
            </w:tcBorders>
            <w:shd w:val="clear" w:color="000000" w:fill="AEAAAA"/>
            <w:vAlign w:val="center"/>
            <w:hideMark/>
          </w:tcPr>
          <w:p w:rsidR="00FA1DF6" w:rsidRPr="00FA1DF6" w:rsidP="00C40F8D" w14:paraId="5ADD96A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040" w:type="dxa"/>
            <w:tcBorders>
              <w:top w:val="nil"/>
              <w:left w:val="nil"/>
              <w:bottom w:val="single" w:sz="8" w:space="0" w:color="auto"/>
              <w:right w:val="nil"/>
            </w:tcBorders>
            <w:shd w:val="clear" w:color="000000" w:fill="AEAAAA"/>
            <w:vAlign w:val="center"/>
            <w:hideMark/>
          </w:tcPr>
          <w:p w:rsidR="00FA1DF6" w:rsidRPr="00FA1DF6" w:rsidP="00C40F8D" w14:paraId="01EA1B0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466" w:type="dxa"/>
            <w:tcBorders>
              <w:top w:val="nil"/>
              <w:left w:val="nil"/>
              <w:bottom w:val="single" w:sz="8" w:space="0" w:color="auto"/>
              <w:right w:val="single" w:sz="12" w:space="0" w:color="auto"/>
            </w:tcBorders>
            <w:shd w:val="clear" w:color="000000" w:fill="AEAAAA"/>
            <w:vAlign w:val="center"/>
            <w:hideMark/>
          </w:tcPr>
          <w:p w:rsidR="00FA1DF6" w:rsidRPr="00FA1DF6" w:rsidP="00C40F8D" w14:paraId="0D1BAD8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r>
      <w:tr w14:paraId="39A32FBB" w14:textId="77777777" w:rsidTr="00B142A3">
        <w:tblPrEx>
          <w:tblW w:w="11520" w:type="dxa"/>
          <w:jc w:val="center"/>
          <w:tblLook w:val="04A0"/>
        </w:tblPrEx>
        <w:trPr>
          <w:trHeight w:val="315"/>
          <w:jc w:val="center"/>
        </w:trPr>
        <w:tc>
          <w:tcPr>
            <w:tcW w:w="1620" w:type="dxa"/>
            <w:tcBorders>
              <w:top w:val="nil"/>
              <w:left w:val="single" w:sz="12" w:space="0" w:color="auto"/>
              <w:bottom w:val="single" w:sz="8" w:space="0" w:color="auto"/>
              <w:right w:val="nil"/>
            </w:tcBorders>
            <w:shd w:val="clear" w:color="000000" w:fill="D9D9D9"/>
            <w:vAlign w:val="center"/>
            <w:hideMark/>
          </w:tcPr>
          <w:p w:rsidR="00FA1DF6" w:rsidRPr="00FA1DF6" w:rsidP="00C40F8D" w14:paraId="18BBF94C"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Medical Surveillance</w:t>
            </w:r>
          </w:p>
        </w:tc>
        <w:tc>
          <w:tcPr>
            <w:tcW w:w="1228" w:type="dxa"/>
            <w:gridSpan w:val="2"/>
            <w:tcBorders>
              <w:top w:val="nil"/>
              <w:left w:val="nil"/>
              <w:bottom w:val="single" w:sz="8" w:space="0" w:color="auto"/>
              <w:right w:val="nil"/>
            </w:tcBorders>
            <w:shd w:val="clear" w:color="000000" w:fill="D9D9D9"/>
            <w:vAlign w:val="center"/>
            <w:hideMark/>
          </w:tcPr>
          <w:p w:rsidR="00FA1DF6" w:rsidRPr="00FA1DF6" w:rsidP="00C40F8D" w14:paraId="7E578D9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406" w:type="dxa"/>
            <w:tcBorders>
              <w:top w:val="nil"/>
              <w:left w:val="nil"/>
              <w:bottom w:val="single" w:sz="8" w:space="0" w:color="auto"/>
              <w:right w:val="nil"/>
            </w:tcBorders>
            <w:shd w:val="clear" w:color="000000" w:fill="D9D9D9"/>
            <w:vAlign w:val="center"/>
            <w:hideMark/>
          </w:tcPr>
          <w:p w:rsidR="00FA1DF6" w:rsidRPr="00FA1DF6" w:rsidP="00C40F8D" w14:paraId="7FDF771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320" w:type="dxa"/>
            <w:tcBorders>
              <w:top w:val="nil"/>
              <w:left w:val="nil"/>
              <w:bottom w:val="single" w:sz="8" w:space="0" w:color="auto"/>
              <w:right w:val="nil"/>
            </w:tcBorders>
            <w:shd w:val="clear" w:color="000000" w:fill="D9D9D9"/>
            <w:vAlign w:val="center"/>
            <w:hideMark/>
          </w:tcPr>
          <w:p w:rsidR="00FA1DF6" w:rsidRPr="00FA1DF6" w:rsidP="00C40F8D" w14:paraId="3AE80E1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single" w:sz="8" w:space="0" w:color="auto"/>
              <w:right w:val="nil"/>
            </w:tcBorders>
            <w:shd w:val="clear" w:color="000000" w:fill="D9D9D9"/>
            <w:vAlign w:val="center"/>
            <w:hideMark/>
          </w:tcPr>
          <w:p w:rsidR="00FA1DF6" w:rsidRPr="00FA1DF6" w:rsidP="00C40F8D" w14:paraId="73722BE6"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240" w:type="dxa"/>
            <w:tcBorders>
              <w:top w:val="nil"/>
              <w:left w:val="nil"/>
              <w:bottom w:val="single" w:sz="8" w:space="0" w:color="auto"/>
              <w:right w:val="nil"/>
            </w:tcBorders>
            <w:shd w:val="clear" w:color="000000" w:fill="D9D9D9"/>
            <w:vAlign w:val="center"/>
            <w:hideMark/>
          </w:tcPr>
          <w:p w:rsidR="00FA1DF6" w:rsidRPr="00FA1DF6" w:rsidP="00C40F8D" w14:paraId="7E0B0DB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single" w:sz="8" w:space="0" w:color="auto"/>
              <w:right w:val="nil"/>
            </w:tcBorders>
            <w:shd w:val="clear" w:color="000000" w:fill="D9D9D9"/>
            <w:vAlign w:val="center"/>
            <w:hideMark/>
          </w:tcPr>
          <w:p w:rsidR="00FA1DF6" w:rsidRPr="00FA1DF6" w:rsidP="00C40F8D" w14:paraId="091911F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040" w:type="dxa"/>
            <w:tcBorders>
              <w:top w:val="nil"/>
              <w:left w:val="nil"/>
              <w:bottom w:val="single" w:sz="8" w:space="0" w:color="auto"/>
              <w:right w:val="nil"/>
            </w:tcBorders>
            <w:shd w:val="clear" w:color="000000" w:fill="D9D9D9"/>
            <w:vAlign w:val="center"/>
            <w:hideMark/>
          </w:tcPr>
          <w:p w:rsidR="00FA1DF6" w:rsidRPr="00FA1DF6" w:rsidP="00C40F8D" w14:paraId="21D2583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466" w:type="dxa"/>
            <w:tcBorders>
              <w:top w:val="nil"/>
              <w:left w:val="nil"/>
              <w:bottom w:val="single" w:sz="8" w:space="0" w:color="auto"/>
              <w:right w:val="single" w:sz="12" w:space="0" w:color="auto"/>
            </w:tcBorders>
            <w:shd w:val="clear" w:color="000000" w:fill="D9D9D9"/>
            <w:vAlign w:val="center"/>
            <w:hideMark/>
          </w:tcPr>
          <w:p w:rsidR="00FA1DF6" w:rsidRPr="00FA1DF6" w:rsidP="00C40F8D" w14:paraId="1D90088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r>
      <w:tr w14:paraId="0F76C4F8" w14:textId="77777777" w:rsidTr="00B142A3">
        <w:tblPrEx>
          <w:tblW w:w="11520" w:type="dxa"/>
          <w:jc w:val="center"/>
          <w:tblLook w:val="04A0"/>
        </w:tblPrEx>
        <w:trPr>
          <w:trHeight w:val="30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446ADDD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Biological Monitoring</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52CE6BAF"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406" w:type="dxa"/>
            <w:tcBorders>
              <w:top w:val="nil"/>
              <w:left w:val="nil"/>
              <w:bottom w:val="single" w:sz="4" w:space="0" w:color="auto"/>
              <w:right w:val="single" w:sz="4" w:space="0" w:color="auto"/>
            </w:tcBorders>
            <w:noWrap/>
            <w:vAlign w:val="bottom"/>
            <w:hideMark/>
          </w:tcPr>
          <w:p w:rsidR="00FA1DF6" w:rsidRPr="00FA1DF6" w:rsidP="00C40F8D" w14:paraId="5405F0D7" w14:textId="77777777">
            <w:pPr>
              <w:widowControl/>
              <w:autoSpaceDE/>
              <w:autoSpaceDN/>
              <w:adjustRightInd/>
              <w:rPr>
                <w:rFonts w:ascii="Calibri" w:eastAsia="Times New Roman" w:hAnsi="Calibri" w:cs="Calibri"/>
                <w:color w:val="000000"/>
                <w:sz w:val="22"/>
                <w:szCs w:val="22"/>
              </w:rPr>
            </w:pPr>
            <w:r w:rsidRPr="00FA1DF6">
              <w:rPr>
                <w:rFonts w:ascii="Calibri" w:eastAsia="Times New Roman" w:hAnsi="Calibri" w:cs="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rsidR="00FA1DF6" w:rsidRPr="00FA1DF6" w:rsidP="00C40F8D" w14:paraId="02F540E6" w14:textId="77777777">
            <w:pPr>
              <w:widowControl/>
              <w:autoSpaceDE/>
              <w:autoSpaceDN/>
              <w:adjustRightInd/>
              <w:rPr>
                <w:rFonts w:ascii="Calibri" w:eastAsia="Times New Roman" w:hAnsi="Calibri" w:cs="Calibri"/>
                <w:color w:val="000000"/>
                <w:sz w:val="22"/>
                <w:szCs w:val="22"/>
              </w:rPr>
            </w:pPr>
            <w:r w:rsidRPr="00FA1DF6">
              <w:rPr>
                <w:rFonts w:ascii="Calibri" w:eastAsia="Times New Roman" w:hAnsi="Calibri" w:cs="Calibri"/>
                <w:color w:val="000000"/>
                <w:sz w:val="22"/>
                <w:szCs w:val="22"/>
              </w:rPr>
              <w:t> </w:t>
            </w:r>
          </w:p>
        </w:tc>
        <w:tc>
          <w:tcPr>
            <w:tcW w:w="1100" w:type="dxa"/>
            <w:tcBorders>
              <w:top w:val="nil"/>
              <w:left w:val="nil"/>
              <w:bottom w:val="single" w:sz="4" w:space="0" w:color="auto"/>
              <w:right w:val="single" w:sz="4" w:space="0" w:color="auto"/>
            </w:tcBorders>
            <w:noWrap/>
            <w:vAlign w:val="bottom"/>
            <w:hideMark/>
          </w:tcPr>
          <w:p w:rsidR="00FA1DF6" w:rsidRPr="00FA1DF6" w:rsidP="00C40F8D" w14:paraId="15C77466" w14:textId="77777777">
            <w:pPr>
              <w:widowControl/>
              <w:autoSpaceDE/>
              <w:autoSpaceDN/>
              <w:adjustRightInd/>
              <w:rPr>
                <w:rFonts w:ascii="Calibri" w:eastAsia="Times New Roman" w:hAnsi="Calibri" w:cs="Calibri"/>
                <w:color w:val="000000"/>
                <w:sz w:val="22"/>
                <w:szCs w:val="22"/>
              </w:rPr>
            </w:pPr>
            <w:r w:rsidRPr="00FA1DF6">
              <w:rPr>
                <w:rFonts w:ascii="Calibri" w:eastAsia="Times New Roman" w:hAnsi="Calibri" w:cs="Calibri"/>
                <w:color w:val="000000"/>
                <w:sz w:val="22"/>
                <w:szCs w:val="22"/>
              </w:rPr>
              <w:t> </w:t>
            </w:r>
          </w:p>
        </w:tc>
        <w:tc>
          <w:tcPr>
            <w:tcW w:w="1240" w:type="dxa"/>
            <w:tcBorders>
              <w:top w:val="nil"/>
              <w:left w:val="nil"/>
              <w:bottom w:val="single" w:sz="4" w:space="0" w:color="auto"/>
              <w:right w:val="single" w:sz="4" w:space="0" w:color="auto"/>
            </w:tcBorders>
            <w:noWrap/>
            <w:vAlign w:val="bottom"/>
            <w:hideMark/>
          </w:tcPr>
          <w:p w:rsidR="00FA1DF6" w:rsidRPr="00FA1DF6" w:rsidP="00C40F8D" w14:paraId="1FC9336B" w14:textId="77777777">
            <w:pPr>
              <w:widowControl/>
              <w:autoSpaceDE/>
              <w:autoSpaceDN/>
              <w:adjustRightInd/>
              <w:rPr>
                <w:rFonts w:ascii="Calibri" w:eastAsia="Times New Roman" w:hAnsi="Calibri" w:cs="Calibri"/>
                <w:color w:val="000000"/>
                <w:sz w:val="22"/>
                <w:szCs w:val="22"/>
              </w:rPr>
            </w:pPr>
            <w:r w:rsidRPr="00FA1DF6">
              <w:rPr>
                <w:rFonts w:ascii="Calibri" w:eastAsia="Times New Roman" w:hAnsi="Calibri" w:cs="Calibri"/>
                <w:color w:val="000000"/>
                <w:sz w:val="22"/>
                <w:szCs w:val="22"/>
              </w:rPr>
              <w:t> </w:t>
            </w:r>
          </w:p>
        </w:tc>
        <w:tc>
          <w:tcPr>
            <w:tcW w:w="1100" w:type="dxa"/>
            <w:tcBorders>
              <w:top w:val="nil"/>
              <w:left w:val="nil"/>
              <w:bottom w:val="single" w:sz="4" w:space="0" w:color="auto"/>
              <w:right w:val="single" w:sz="4" w:space="0" w:color="auto"/>
            </w:tcBorders>
            <w:noWrap/>
            <w:vAlign w:val="bottom"/>
            <w:hideMark/>
          </w:tcPr>
          <w:p w:rsidR="00FA1DF6" w:rsidRPr="00FA1DF6" w:rsidP="00C40F8D" w14:paraId="04C6497F" w14:textId="77777777">
            <w:pPr>
              <w:widowControl/>
              <w:autoSpaceDE/>
              <w:autoSpaceDN/>
              <w:adjustRightInd/>
              <w:rPr>
                <w:rFonts w:ascii="Calibri" w:eastAsia="Times New Roman" w:hAnsi="Calibri" w:cs="Calibri"/>
                <w:color w:val="000000"/>
                <w:sz w:val="22"/>
                <w:szCs w:val="22"/>
              </w:rPr>
            </w:pPr>
            <w:r w:rsidRPr="00FA1DF6">
              <w:rPr>
                <w:rFonts w:ascii="Calibri" w:eastAsia="Times New Roman" w:hAnsi="Calibri" w:cs="Calibri"/>
                <w:color w:val="000000"/>
                <w:sz w:val="22"/>
                <w:szCs w:val="22"/>
              </w:rPr>
              <w:t> </w:t>
            </w:r>
          </w:p>
        </w:tc>
        <w:tc>
          <w:tcPr>
            <w:tcW w:w="1040" w:type="dxa"/>
            <w:tcBorders>
              <w:top w:val="nil"/>
              <w:left w:val="nil"/>
              <w:bottom w:val="single" w:sz="4" w:space="0" w:color="auto"/>
              <w:right w:val="single" w:sz="4" w:space="0" w:color="auto"/>
            </w:tcBorders>
            <w:noWrap/>
            <w:vAlign w:val="bottom"/>
            <w:hideMark/>
          </w:tcPr>
          <w:p w:rsidR="00FA1DF6" w:rsidRPr="00FA1DF6" w:rsidP="00C40F8D" w14:paraId="45FE3466" w14:textId="77777777">
            <w:pPr>
              <w:widowControl/>
              <w:autoSpaceDE/>
              <w:autoSpaceDN/>
              <w:adjustRightInd/>
              <w:rPr>
                <w:rFonts w:ascii="Times New Roman" w:eastAsia="Times New Roman"/>
                <w:color w:val="000000"/>
                <w:sz w:val="20"/>
                <w:szCs w:val="20"/>
              </w:rPr>
            </w:pPr>
            <w:r w:rsidRPr="00FA1DF6">
              <w:rPr>
                <w:rFonts w:ascii="Times New Roman" w:eastAsia="Times New Roman"/>
                <w:color w:val="000000"/>
                <w:sz w:val="20"/>
                <w:szCs w:val="20"/>
              </w:rPr>
              <w:t> </w:t>
            </w:r>
          </w:p>
        </w:tc>
        <w:tc>
          <w:tcPr>
            <w:tcW w:w="1466" w:type="dxa"/>
            <w:tcBorders>
              <w:top w:val="nil"/>
              <w:left w:val="nil"/>
              <w:bottom w:val="single" w:sz="4" w:space="0" w:color="auto"/>
              <w:right w:val="single" w:sz="12" w:space="0" w:color="auto"/>
            </w:tcBorders>
            <w:noWrap/>
            <w:vAlign w:val="bottom"/>
            <w:hideMark/>
          </w:tcPr>
          <w:p w:rsidR="00FA1DF6" w:rsidRPr="00FA1DF6" w:rsidP="00C40F8D" w14:paraId="442D0DCA" w14:textId="77777777">
            <w:pPr>
              <w:widowControl/>
              <w:autoSpaceDE/>
              <w:autoSpaceDN/>
              <w:adjustRightInd/>
              <w:rPr>
                <w:rFonts w:ascii="Calibri" w:eastAsia="Times New Roman" w:hAnsi="Calibri" w:cs="Calibri"/>
                <w:color w:val="000000"/>
                <w:sz w:val="22"/>
                <w:szCs w:val="22"/>
              </w:rPr>
            </w:pPr>
            <w:r w:rsidRPr="00FA1DF6">
              <w:rPr>
                <w:rFonts w:ascii="Calibri" w:eastAsia="Times New Roman" w:hAnsi="Calibri" w:cs="Calibri"/>
                <w:color w:val="000000"/>
                <w:sz w:val="22"/>
                <w:szCs w:val="22"/>
              </w:rPr>
              <w:t> </w:t>
            </w:r>
          </w:p>
        </w:tc>
      </w:tr>
      <w:tr w14:paraId="45007ACB" w14:textId="77777777" w:rsidTr="00B142A3">
        <w:tblPrEx>
          <w:tblW w:w="11520" w:type="dxa"/>
          <w:jc w:val="center"/>
          <w:tblLook w:val="04A0"/>
        </w:tblPrEx>
        <w:trPr>
          <w:trHeight w:val="30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5A6F159D"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Biannual (ZPP)</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729D18B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Worker</w:t>
            </w:r>
          </w:p>
        </w:tc>
        <w:tc>
          <w:tcPr>
            <w:tcW w:w="1406" w:type="dxa"/>
            <w:tcBorders>
              <w:top w:val="nil"/>
              <w:left w:val="nil"/>
              <w:bottom w:val="single" w:sz="4" w:space="0" w:color="auto"/>
              <w:right w:val="single" w:sz="4" w:space="0" w:color="auto"/>
            </w:tcBorders>
            <w:vAlign w:val="center"/>
            <w:hideMark/>
          </w:tcPr>
          <w:p w:rsidR="00FA1DF6" w:rsidRPr="00FA1DF6" w:rsidP="00C40F8D" w14:paraId="0FCA789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366,629</w:t>
            </w:r>
          </w:p>
        </w:tc>
        <w:tc>
          <w:tcPr>
            <w:tcW w:w="1320" w:type="dxa"/>
            <w:tcBorders>
              <w:top w:val="nil"/>
              <w:left w:val="nil"/>
              <w:bottom w:val="single" w:sz="4" w:space="0" w:color="auto"/>
              <w:right w:val="single" w:sz="4" w:space="0" w:color="auto"/>
            </w:tcBorders>
            <w:vAlign w:val="center"/>
            <w:hideMark/>
          </w:tcPr>
          <w:p w:rsidR="00FA1DF6" w:rsidRPr="00FA1DF6" w:rsidP="00C40F8D" w14:paraId="65818E7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w:t>
            </w:r>
          </w:p>
        </w:tc>
        <w:tc>
          <w:tcPr>
            <w:tcW w:w="1100" w:type="dxa"/>
            <w:tcBorders>
              <w:top w:val="nil"/>
              <w:left w:val="nil"/>
              <w:bottom w:val="single" w:sz="4" w:space="0" w:color="auto"/>
              <w:right w:val="single" w:sz="4" w:space="0" w:color="auto"/>
            </w:tcBorders>
            <w:vAlign w:val="center"/>
            <w:hideMark/>
          </w:tcPr>
          <w:p w:rsidR="00FA1DF6" w:rsidRPr="00FA1DF6" w:rsidP="00C40F8D" w14:paraId="3643B2B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733,258</w:t>
            </w:r>
          </w:p>
        </w:tc>
        <w:tc>
          <w:tcPr>
            <w:tcW w:w="1240" w:type="dxa"/>
            <w:tcBorders>
              <w:top w:val="nil"/>
              <w:left w:val="nil"/>
              <w:bottom w:val="single" w:sz="4" w:space="0" w:color="auto"/>
              <w:right w:val="single" w:sz="4" w:space="0" w:color="auto"/>
            </w:tcBorders>
            <w:vAlign w:val="center"/>
            <w:hideMark/>
          </w:tcPr>
          <w:p w:rsidR="00FA1DF6" w:rsidRPr="00FA1DF6" w:rsidP="00C40F8D" w14:paraId="5E2AF80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1/4  </w:t>
            </w:r>
          </w:p>
        </w:tc>
        <w:tc>
          <w:tcPr>
            <w:tcW w:w="1100" w:type="dxa"/>
            <w:tcBorders>
              <w:top w:val="nil"/>
              <w:left w:val="nil"/>
              <w:bottom w:val="single" w:sz="4" w:space="0" w:color="auto"/>
              <w:right w:val="single" w:sz="4" w:space="0" w:color="auto"/>
            </w:tcBorders>
            <w:vAlign w:val="center"/>
            <w:hideMark/>
          </w:tcPr>
          <w:p w:rsidR="00FA1DF6" w:rsidRPr="00FA1DF6" w:rsidP="00C40F8D" w14:paraId="3179380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183,315</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1267FD9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$43.49</w:t>
            </w:r>
          </w:p>
        </w:tc>
        <w:tc>
          <w:tcPr>
            <w:tcW w:w="1466" w:type="dxa"/>
            <w:tcBorders>
              <w:top w:val="nil"/>
              <w:left w:val="nil"/>
              <w:bottom w:val="single" w:sz="4" w:space="0" w:color="auto"/>
              <w:right w:val="single" w:sz="12" w:space="0" w:color="auto"/>
            </w:tcBorders>
            <w:vAlign w:val="center"/>
            <w:hideMark/>
          </w:tcPr>
          <w:p w:rsidR="00FA1DF6" w:rsidRPr="00FA1DF6" w:rsidP="006B0A0B" w14:paraId="3A78BD3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$7,972,369</w:t>
            </w:r>
          </w:p>
        </w:tc>
      </w:tr>
      <w:tr w14:paraId="0E3F2886" w14:textId="77777777" w:rsidTr="00B142A3">
        <w:tblPrEx>
          <w:tblW w:w="11520" w:type="dxa"/>
          <w:jc w:val="center"/>
          <w:tblLook w:val="04A0"/>
        </w:tblPrEx>
        <w:trPr>
          <w:trHeight w:val="30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3E7388F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Monthly</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715AA06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Worker</w:t>
            </w:r>
          </w:p>
        </w:tc>
        <w:tc>
          <w:tcPr>
            <w:tcW w:w="1406" w:type="dxa"/>
            <w:tcBorders>
              <w:top w:val="nil"/>
              <w:left w:val="nil"/>
              <w:bottom w:val="single" w:sz="4" w:space="0" w:color="auto"/>
              <w:right w:val="single" w:sz="4" w:space="0" w:color="auto"/>
            </w:tcBorders>
            <w:vAlign w:val="center"/>
            <w:hideMark/>
          </w:tcPr>
          <w:p w:rsidR="00FA1DF6" w:rsidRPr="00FA1DF6" w:rsidP="00C40F8D" w14:paraId="3CC7A6F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21,998</w:t>
            </w:r>
          </w:p>
        </w:tc>
        <w:tc>
          <w:tcPr>
            <w:tcW w:w="1320" w:type="dxa"/>
            <w:tcBorders>
              <w:top w:val="nil"/>
              <w:left w:val="nil"/>
              <w:bottom w:val="single" w:sz="4" w:space="0" w:color="auto"/>
              <w:right w:val="single" w:sz="4" w:space="0" w:color="auto"/>
            </w:tcBorders>
            <w:vAlign w:val="center"/>
            <w:hideMark/>
          </w:tcPr>
          <w:p w:rsidR="00FA1DF6" w:rsidRPr="00FA1DF6" w:rsidP="00C40F8D" w14:paraId="525D4A2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10</w:t>
            </w:r>
          </w:p>
        </w:tc>
        <w:tc>
          <w:tcPr>
            <w:tcW w:w="1100" w:type="dxa"/>
            <w:tcBorders>
              <w:top w:val="nil"/>
              <w:left w:val="nil"/>
              <w:bottom w:val="single" w:sz="4" w:space="0" w:color="auto"/>
              <w:right w:val="single" w:sz="4" w:space="0" w:color="auto"/>
            </w:tcBorders>
            <w:vAlign w:val="center"/>
            <w:hideMark/>
          </w:tcPr>
          <w:p w:rsidR="00FA1DF6" w:rsidRPr="00FA1DF6" w:rsidP="00C40F8D" w14:paraId="5FF21CF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219,983</w:t>
            </w:r>
          </w:p>
        </w:tc>
        <w:tc>
          <w:tcPr>
            <w:tcW w:w="1240" w:type="dxa"/>
            <w:tcBorders>
              <w:top w:val="nil"/>
              <w:left w:val="nil"/>
              <w:bottom w:val="single" w:sz="4" w:space="0" w:color="auto"/>
              <w:right w:val="single" w:sz="4" w:space="0" w:color="auto"/>
            </w:tcBorders>
            <w:vAlign w:val="center"/>
            <w:hideMark/>
          </w:tcPr>
          <w:p w:rsidR="00FA1DF6" w:rsidRPr="00FA1DF6" w:rsidP="00C40F8D" w14:paraId="664D4FE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1/4  </w:t>
            </w:r>
          </w:p>
        </w:tc>
        <w:tc>
          <w:tcPr>
            <w:tcW w:w="1100" w:type="dxa"/>
            <w:tcBorders>
              <w:top w:val="nil"/>
              <w:left w:val="nil"/>
              <w:bottom w:val="single" w:sz="4" w:space="0" w:color="auto"/>
              <w:right w:val="single" w:sz="4" w:space="0" w:color="auto"/>
            </w:tcBorders>
            <w:vAlign w:val="center"/>
            <w:hideMark/>
          </w:tcPr>
          <w:p w:rsidR="00FA1DF6" w:rsidRPr="00FA1DF6" w:rsidP="00C40F8D" w14:paraId="3EFEF82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54,996</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5683DD7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$43.49</w:t>
            </w:r>
          </w:p>
        </w:tc>
        <w:tc>
          <w:tcPr>
            <w:tcW w:w="1466" w:type="dxa"/>
            <w:tcBorders>
              <w:top w:val="nil"/>
              <w:left w:val="nil"/>
              <w:bottom w:val="single" w:sz="4" w:space="0" w:color="auto"/>
              <w:right w:val="single" w:sz="12" w:space="0" w:color="auto"/>
            </w:tcBorders>
            <w:vAlign w:val="center"/>
            <w:hideMark/>
          </w:tcPr>
          <w:p w:rsidR="00FA1DF6" w:rsidRPr="00FA1DF6" w:rsidP="006B0A0B" w14:paraId="1BD3250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$2,391,776</w:t>
            </w:r>
          </w:p>
        </w:tc>
      </w:tr>
      <w:tr w14:paraId="0C9638D5" w14:textId="77777777" w:rsidTr="00B142A3">
        <w:tblPrEx>
          <w:tblW w:w="11520" w:type="dxa"/>
          <w:jc w:val="center"/>
          <w:tblLook w:val="04A0"/>
        </w:tblPrEx>
        <w:trPr>
          <w:trHeight w:val="30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2802670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Bi-Monthly</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7F3698C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Worker</w:t>
            </w:r>
          </w:p>
        </w:tc>
        <w:tc>
          <w:tcPr>
            <w:tcW w:w="1406" w:type="dxa"/>
            <w:tcBorders>
              <w:top w:val="nil"/>
              <w:left w:val="nil"/>
              <w:bottom w:val="single" w:sz="4" w:space="0" w:color="auto"/>
              <w:right w:val="single" w:sz="4" w:space="0" w:color="auto"/>
            </w:tcBorders>
            <w:vAlign w:val="center"/>
            <w:hideMark/>
          </w:tcPr>
          <w:p w:rsidR="00FA1DF6" w:rsidRPr="00FA1DF6" w:rsidP="00C40F8D" w14:paraId="6C8F2CE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85,425</w:t>
            </w:r>
          </w:p>
        </w:tc>
        <w:tc>
          <w:tcPr>
            <w:tcW w:w="1320" w:type="dxa"/>
            <w:tcBorders>
              <w:top w:val="nil"/>
              <w:left w:val="nil"/>
              <w:bottom w:val="single" w:sz="4" w:space="0" w:color="auto"/>
              <w:right w:val="single" w:sz="4" w:space="0" w:color="auto"/>
            </w:tcBorders>
            <w:vAlign w:val="center"/>
            <w:hideMark/>
          </w:tcPr>
          <w:p w:rsidR="00FA1DF6" w:rsidRPr="00FA1DF6" w:rsidP="00C40F8D" w14:paraId="4BBB9A6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w:t>
            </w:r>
          </w:p>
        </w:tc>
        <w:tc>
          <w:tcPr>
            <w:tcW w:w="1100" w:type="dxa"/>
            <w:tcBorders>
              <w:top w:val="nil"/>
              <w:left w:val="nil"/>
              <w:bottom w:val="single" w:sz="4" w:space="0" w:color="auto"/>
              <w:right w:val="single" w:sz="4" w:space="0" w:color="auto"/>
            </w:tcBorders>
            <w:vAlign w:val="center"/>
            <w:hideMark/>
          </w:tcPr>
          <w:p w:rsidR="00FA1DF6" w:rsidRPr="00FA1DF6" w:rsidP="00C40F8D" w14:paraId="771E2EB6"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341,698</w:t>
            </w:r>
          </w:p>
        </w:tc>
        <w:tc>
          <w:tcPr>
            <w:tcW w:w="1240" w:type="dxa"/>
            <w:tcBorders>
              <w:top w:val="nil"/>
              <w:left w:val="nil"/>
              <w:bottom w:val="single" w:sz="4" w:space="0" w:color="auto"/>
              <w:right w:val="single" w:sz="4" w:space="0" w:color="auto"/>
            </w:tcBorders>
            <w:vAlign w:val="center"/>
            <w:hideMark/>
          </w:tcPr>
          <w:p w:rsidR="00FA1DF6" w:rsidRPr="00FA1DF6" w:rsidP="00C40F8D" w14:paraId="5BF2F427"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1/4  </w:t>
            </w:r>
          </w:p>
        </w:tc>
        <w:tc>
          <w:tcPr>
            <w:tcW w:w="1100" w:type="dxa"/>
            <w:tcBorders>
              <w:top w:val="nil"/>
              <w:left w:val="nil"/>
              <w:bottom w:val="single" w:sz="4" w:space="0" w:color="auto"/>
              <w:right w:val="single" w:sz="4" w:space="0" w:color="auto"/>
            </w:tcBorders>
            <w:vAlign w:val="center"/>
            <w:hideMark/>
          </w:tcPr>
          <w:p w:rsidR="00FA1DF6" w:rsidRPr="00FA1DF6" w:rsidP="00C40F8D" w14:paraId="128D55B6"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85,425</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531DDCE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$43.49</w:t>
            </w:r>
          </w:p>
        </w:tc>
        <w:tc>
          <w:tcPr>
            <w:tcW w:w="1466" w:type="dxa"/>
            <w:tcBorders>
              <w:top w:val="nil"/>
              <w:left w:val="nil"/>
              <w:bottom w:val="single" w:sz="4" w:space="0" w:color="auto"/>
              <w:right w:val="single" w:sz="12" w:space="0" w:color="auto"/>
            </w:tcBorders>
            <w:vAlign w:val="center"/>
            <w:hideMark/>
          </w:tcPr>
          <w:p w:rsidR="00FA1DF6" w:rsidRPr="00FA1DF6" w:rsidP="006B0A0B" w14:paraId="3BB0E6E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$3,715,133</w:t>
            </w:r>
          </w:p>
        </w:tc>
      </w:tr>
      <w:tr w14:paraId="0CA48830" w14:textId="77777777" w:rsidTr="00B142A3">
        <w:tblPrEx>
          <w:tblW w:w="11520" w:type="dxa"/>
          <w:jc w:val="center"/>
          <w:tblLook w:val="04A0"/>
        </w:tblPrEx>
        <w:trPr>
          <w:trHeight w:val="300"/>
          <w:jc w:val="center"/>
        </w:trPr>
        <w:tc>
          <w:tcPr>
            <w:tcW w:w="4254" w:type="dxa"/>
            <w:gridSpan w:val="4"/>
            <w:tcBorders>
              <w:top w:val="single" w:sz="4" w:space="0" w:color="auto"/>
              <w:left w:val="single" w:sz="12" w:space="0" w:color="auto"/>
              <w:bottom w:val="single" w:sz="4" w:space="0" w:color="auto"/>
              <w:right w:val="single" w:sz="4" w:space="0" w:color="auto"/>
            </w:tcBorders>
            <w:shd w:val="clear" w:color="000000" w:fill="F2F2F2"/>
            <w:vAlign w:val="center"/>
            <w:hideMark/>
          </w:tcPr>
          <w:p w:rsidR="00FA1DF6" w:rsidRPr="00B25AA4" w:rsidP="00C40F8D" w14:paraId="7A0EF6DA" w14:textId="77777777">
            <w:pPr>
              <w:widowControl/>
              <w:autoSpaceDE/>
              <w:autoSpaceDN/>
              <w:adjustRightInd/>
              <w:jc w:val="right"/>
              <w:rPr>
                <w:rFonts w:ascii="Times New Roman" w:eastAsia="Times New Roman"/>
                <w:i/>
                <w:iCs/>
                <w:color w:val="000000"/>
                <w:sz w:val="20"/>
                <w:szCs w:val="20"/>
              </w:rPr>
            </w:pPr>
            <w:r w:rsidRPr="00B25AA4">
              <w:rPr>
                <w:rFonts w:ascii="Times New Roman" w:eastAsia="Times New Roman"/>
                <w:i/>
                <w:iCs/>
                <w:color w:val="000000"/>
                <w:sz w:val="20"/>
                <w:szCs w:val="20"/>
              </w:rPr>
              <w:t>Subtotal - Medical Surveillance</w:t>
            </w:r>
          </w:p>
        </w:tc>
        <w:tc>
          <w:tcPr>
            <w:tcW w:w="1320" w:type="dxa"/>
            <w:tcBorders>
              <w:top w:val="nil"/>
              <w:left w:val="nil"/>
              <w:bottom w:val="single" w:sz="4" w:space="0" w:color="auto"/>
              <w:right w:val="single" w:sz="4" w:space="0" w:color="auto"/>
            </w:tcBorders>
            <w:shd w:val="clear" w:color="000000" w:fill="F2F2F2"/>
            <w:vAlign w:val="center"/>
            <w:hideMark/>
          </w:tcPr>
          <w:p w:rsidR="00FA1DF6" w:rsidRPr="00FA1DF6" w:rsidP="00C40F8D" w14:paraId="2B21013B" w14:textId="77777777">
            <w:pPr>
              <w:widowControl/>
              <w:autoSpaceDE/>
              <w:autoSpaceDN/>
              <w:adjustRightInd/>
              <w:jc w:val="center"/>
              <w:rPr>
                <w:rFonts w:ascii="Times New Roman" w:eastAsia="Times New Roman"/>
                <w:i/>
                <w:iCs/>
                <w:color w:val="000000"/>
                <w:sz w:val="20"/>
                <w:szCs w:val="20"/>
              </w:rPr>
            </w:pPr>
            <w:r w:rsidRPr="00FA1DF6">
              <w:rPr>
                <w:rFonts w:ascii="Times New Roman" w:eastAsia="Times New Roman"/>
                <w:i/>
                <w:iCs/>
                <w:color w:val="000000"/>
                <w:sz w:val="20"/>
                <w:szCs w:val="20"/>
              </w:rPr>
              <w:t> </w:t>
            </w:r>
          </w:p>
        </w:tc>
        <w:tc>
          <w:tcPr>
            <w:tcW w:w="1100" w:type="dxa"/>
            <w:tcBorders>
              <w:top w:val="nil"/>
              <w:left w:val="nil"/>
              <w:bottom w:val="single" w:sz="4" w:space="0" w:color="auto"/>
              <w:right w:val="single" w:sz="4" w:space="0" w:color="auto"/>
            </w:tcBorders>
            <w:shd w:val="clear" w:color="000000" w:fill="E2EFDA"/>
            <w:vAlign w:val="center"/>
            <w:hideMark/>
          </w:tcPr>
          <w:p w:rsidR="00FA1DF6" w:rsidRPr="00FA1DF6" w:rsidP="00C40F8D" w14:paraId="2C390DF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1,294,940</w:t>
            </w:r>
          </w:p>
        </w:tc>
        <w:tc>
          <w:tcPr>
            <w:tcW w:w="1240" w:type="dxa"/>
            <w:tcBorders>
              <w:top w:val="nil"/>
              <w:left w:val="nil"/>
              <w:bottom w:val="single" w:sz="4" w:space="0" w:color="auto"/>
              <w:right w:val="single" w:sz="4" w:space="0" w:color="auto"/>
            </w:tcBorders>
            <w:shd w:val="clear" w:color="000000" w:fill="F2F2F2"/>
            <w:vAlign w:val="center"/>
            <w:hideMark/>
          </w:tcPr>
          <w:p w:rsidR="00FA1DF6" w:rsidRPr="00FA1DF6" w:rsidP="00C40F8D" w14:paraId="23D9E59F" w14:textId="77777777">
            <w:pPr>
              <w:widowControl/>
              <w:autoSpaceDE/>
              <w:autoSpaceDN/>
              <w:adjustRightInd/>
              <w:jc w:val="center"/>
              <w:rPr>
                <w:rFonts w:ascii="Times New Roman" w:eastAsia="Times New Roman"/>
                <w:i/>
                <w:iCs/>
                <w:color w:val="000000"/>
                <w:sz w:val="20"/>
                <w:szCs w:val="20"/>
              </w:rPr>
            </w:pPr>
            <w:r w:rsidRPr="00FA1DF6">
              <w:rPr>
                <w:rFonts w:ascii="Times New Roman" w:eastAsia="Times New Roman"/>
                <w:i/>
                <w:iCs/>
                <w:color w:val="000000"/>
                <w:sz w:val="20"/>
                <w:szCs w:val="20"/>
              </w:rPr>
              <w:t> </w:t>
            </w:r>
          </w:p>
        </w:tc>
        <w:tc>
          <w:tcPr>
            <w:tcW w:w="1100" w:type="dxa"/>
            <w:tcBorders>
              <w:top w:val="nil"/>
              <w:left w:val="nil"/>
              <w:bottom w:val="single" w:sz="4" w:space="0" w:color="auto"/>
              <w:right w:val="single" w:sz="4" w:space="0" w:color="auto"/>
            </w:tcBorders>
            <w:shd w:val="clear" w:color="000000" w:fill="E2EFDA"/>
            <w:vAlign w:val="center"/>
            <w:hideMark/>
          </w:tcPr>
          <w:p w:rsidR="00FA1DF6" w:rsidRPr="00FA1DF6" w:rsidP="00C40F8D" w14:paraId="794AC84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323,736</w:t>
            </w:r>
          </w:p>
        </w:tc>
        <w:tc>
          <w:tcPr>
            <w:tcW w:w="1040" w:type="dxa"/>
            <w:tcBorders>
              <w:top w:val="nil"/>
              <w:left w:val="nil"/>
              <w:bottom w:val="single" w:sz="4" w:space="0" w:color="auto"/>
              <w:right w:val="single" w:sz="4" w:space="0" w:color="auto"/>
            </w:tcBorders>
            <w:shd w:val="clear" w:color="000000" w:fill="F2F2F2"/>
            <w:vAlign w:val="center"/>
            <w:hideMark/>
          </w:tcPr>
          <w:p w:rsidR="00FA1DF6" w:rsidRPr="00FA1DF6" w:rsidP="006B0A0B" w14:paraId="44F1F228" w14:textId="71B3C98A">
            <w:pPr>
              <w:widowControl/>
              <w:autoSpaceDE/>
              <w:autoSpaceDN/>
              <w:adjustRightInd/>
              <w:jc w:val="center"/>
              <w:rPr>
                <w:rFonts w:ascii="Times New Roman" w:eastAsia="Times New Roman"/>
                <w:color w:val="000000"/>
                <w:sz w:val="20"/>
                <w:szCs w:val="20"/>
              </w:rPr>
            </w:pPr>
          </w:p>
        </w:tc>
        <w:tc>
          <w:tcPr>
            <w:tcW w:w="1466" w:type="dxa"/>
            <w:tcBorders>
              <w:top w:val="nil"/>
              <w:left w:val="nil"/>
              <w:bottom w:val="single" w:sz="4" w:space="0" w:color="auto"/>
              <w:right w:val="single" w:sz="12" w:space="0" w:color="auto"/>
            </w:tcBorders>
            <w:shd w:val="clear" w:color="000000" w:fill="E2EFDA"/>
            <w:vAlign w:val="center"/>
            <w:hideMark/>
          </w:tcPr>
          <w:p w:rsidR="00FA1DF6" w:rsidRPr="00FA1DF6" w:rsidP="006B0A0B" w14:paraId="10E3C26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$14,079,278</w:t>
            </w:r>
          </w:p>
        </w:tc>
      </w:tr>
      <w:tr w14:paraId="0FB5390C" w14:textId="77777777" w:rsidTr="00B142A3">
        <w:tblPrEx>
          <w:tblW w:w="11520" w:type="dxa"/>
          <w:jc w:val="center"/>
          <w:tblLook w:val="04A0"/>
        </w:tblPrEx>
        <w:trPr>
          <w:trHeight w:val="75"/>
          <w:jc w:val="center"/>
        </w:trPr>
        <w:tc>
          <w:tcPr>
            <w:tcW w:w="1620" w:type="dxa"/>
            <w:tcBorders>
              <w:top w:val="nil"/>
              <w:left w:val="single" w:sz="12" w:space="0" w:color="auto"/>
              <w:bottom w:val="single" w:sz="8" w:space="0" w:color="auto"/>
              <w:right w:val="nil"/>
            </w:tcBorders>
            <w:shd w:val="clear" w:color="000000" w:fill="A6A6A6"/>
            <w:vAlign w:val="center"/>
            <w:hideMark/>
          </w:tcPr>
          <w:p w:rsidR="00FA1DF6" w:rsidRPr="00FA1DF6" w:rsidP="00C40F8D" w14:paraId="1F094C77" w14:textId="77777777">
            <w:pPr>
              <w:widowControl/>
              <w:autoSpaceDE/>
              <w:autoSpaceDN/>
              <w:adjustRightInd/>
              <w:jc w:val="center"/>
              <w:rPr>
                <w:rFonts w:ascii="Times New Roman" w:eastAsia="Times New Roman"/>
                <w:i/>
                <w:iCs/>
                <w:color w:val="000000"/>
                <w:sz w:val="20"/>
                <w:szCs w:val="20"/>
              </w:rPr>
            </w:pPr>
            <w:r w:rsidRPr="00FA1DF6">
              <w:rPr>
                <w:rFonts w:ascii="Times New Roman" w:eastAsia="Times New Roman"/>
                <w:i/>
                <w:iCs/>
                <w:color w:val="000000"/>
                <w:sz w:val="20"/>
                <w:szCs w:val="20"/>
              </w:rPr>
              <w:t> </w:t>
            </w:r>
          </w:p>
        </w:tc>
        <w:tc>
          <w:tcPr>
            <w:tcW w:w="1228" w:type="dxa"/>
            <w:gridSpan w:val="2"/>
            <w:tcBorders>
              <w:top w:val="nil"/>
              <w:left w:val="nil"/>
              <w:bottom w:val="single" w:sz="8" w:space="0" w:color="auto"/>
              <w:right w:val="nil"/>
            </w:tcBorders>
            <w:shd w:val="clear" w:color="000000" w:fill="A6A6A6"/>
            <w:vAlign w:val="center"/>
            <w:hideMark/>
          </w:tcPr>
          <w:p w:rsidR="00FA1DF6" w:rsidRPr="00FA1DF6" w:rsidP="00C40F8D" w14:paraId="42C73F75" w14:textId="77777777">
            <w:pPr>
              <w:widowControl/>
              <w:autoSpaceDE/>
              <w:autoSpaceDN/>
              <w:adjustRightInd/>
              <w:jc w:val="center"/>
              <w:rPr>
                <w:rFonts w:ascii="Times New Roman" w:eastAsia="Times New Roman"/>
                <w:i/>
                <w:iCs/>
                <w:color w:val="000000"/>
                <w:sz w:val="20"/>
                <w:szCs w:val="20"/>
              </w:rPr>
            </w:pPr>
            <w:r w:rsidRPr="00FA1DF6">
              <w:rPr>
                <w:rFonts w:ascii="Times New Roman" w:eastAsia="Times New Roman"/>
                <w:i/>
                <w:iCs/>
                <w:color w:val="000000"/>
                <w:sz w:val="20"/>
                <w:szCs w:val="20"/>
              </w:rPr>
              <w:t> </w:t>
            </w:r>
          </w:p>
        </w:tc>
        <w:tc>
          <w:tcPr>
            <w:tcW w:w="1406" w:type="dxa"/>
            <w:tcBorders>
              <w:top w:val="nil"/>
              <w:left w:val="nil"/>
              <w:bottom w:val="single" w:sz="8" w:space="0" w:color="auto"/>
              <w:right w:val="nil"/>
            </w:tcBorders>
            <w:shd w:val="clear" w:color="000000" w:fill="A6A6A6"/>
            <w:vAlign w:val="center"/>
            <w:hideMark/>
          </w:tcPr>
          <w:p w:rsidR="00FA1DF6" w:rsidRPr="00FA1DF6" w:rsidP="00C40F8D" w14:paraId="70DA3741" w14:textId="77777777">
            <w:pPr>
              <w:widowControl/>
              <w:autoSpaceDE/>
              <w:autoSpaceDN/>
              <w:adjustRightInd/>
              <w:jc w:val="center"/>
              <w:rPr>
                <w:rFonts w:ascii="Times New Roman" w:eastAsia="Times New Roman"/>
                <w:i/>
                <w:iCs/>
                <w:color w:val="000000"/>
                <w:sz w:val="20"/>
                <w:szCs w:val="20"/>
              </w:rPr>
            </w:pPr>
            <w:r w:rsidRPr="00FA1DF6">
              <w:rPr>
                <w:rFonts w:ascii="Times New Roman" w:eastAsia="Times New Roman"/>
                <w:i/>
                <w:iCs/>
                <w:color w:val="000000"/>
                <w:sz w:val="20"/>
                <w:szCs w:val="20"/>
              </w:rPr>
              <w:t> </w:t>
            </w:r>
          </w:p>
        </w:tc>
        <w:tc>
          <w:tcPr>
            <w:tcW w:w="1320" w:type="dxa"/>
            <w:tcBorders>
              <w:top w:val="nil"/>
              <w:left w:val="nil"/>
              <w:bottom w:val="single" w:sz="8" w:space="0" w:color="auto"/>
              <w:right w:val="nil"/>
            </w:tcBorders>
            <w:shd w:val="clear" w:color="000000" w:fill="A6A6A6"/>
            <w:vAlign w:val="center"/>
            <w:hideMark/>
          </w:tcPr>
          <w:p w:rsidR="00FA1DF6" w:rsidRPr="00FA1DF6" w:rsidP="00C40F8D" w14:paraId="7E86AAF3" w14:textId="77777777">
            <w:pPr>
              <w:widowControl/>
              <w:autoSpaceDE/>
              <w:autoSpaceDN/>
              <w:adjustRightInd/>
              <w:jc w:val="center"/>
              <w:rPr>
                <w:rFonts w:ascii="Times New Roman" w:eastAsia="Times New Roman"/>
                <w:i/>
                <w:iCs/>
                <w:color w:val="000000"/>
                <w:sz w:val="20"/>
                <w:szCs w:val="20"/>
              </w:rPr>
            </w:pPr>
            <w:r w:rsidRPr="00FA1DF6">
              <w:rPr>
                <w:rFonts w:ascii="Times New Roman" w:eastAsia="Times New Roman"/>
                <w:i/>
                <w:iCs/>
                <w:color w:val="000000"/>
                <w:sz w:val="20"/>
                <w:szCs w:val="20"/>
              </w:rPr>
              <w:t> </w:t>
            </w:r>
          </w:p>
        </w:tc>
        <w:tc>
          <w:tcPr>
            <w:tcW w:w="1100" w:type="dxa"/>
            <w:tcBorders>
              <w:top w:val="nil"/>
              <w:left w:val="nil"/>
              <w:bottom w:val="single" w:sz="8" w:space="0" w:color="auto"/>
              <w:right w:val="nil"/>
            </w:tcBorders>
            <w:shd w:val="clear" w:color="000000" w:fill="A6A6A6"/>
            <w:vAlign w:val="center"/>
            <w:hideMark/>
          </w:tcPr>
          <w:p w:rsidR="00FA1DF6" w:rsidRPr="00FA1DF6" w:rsidP="00C40F8D" w14:paraId="0F5933AD"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240" w:type="dxa"/>
            <w:tcBorders>
              <w:top w:val="nil"/>
              <w:left w:val="nil"/>
              <w:bottom w:val="single" w:sz="8" w:space="0" w:color="auto"/>
              <w:right w:val="nil"/>
            </w:tcBorders>
            <w:shd w:val="clear" w:color="000000" w:fill="A6A6A6"/>
            <w:vAlign w:val="center"/>
            <w:hideMark/>
          </w:tcPr>
          <w:p w:rsidR="00FA1DF6" w:rsidRPr="00FA1DF6" w:rsidP="00C40F8D" w14:paraId="6C203003" w14:textId="77777777">
            <w:pPr>
              <w:widowControl/>
              <w:autoSpaceDE/>
              <w:autoSpaceDN/>
              <w:adjustRightInd/>
              <w:jc w:val="center"/>
              <w:rPr>
                <w:rFonts w:ascii="Times New Roman" w:eastAsia="Times New Roman"/>
                <w:i/>
                <w:iCs/>
                <w:color w:val="000000"/>
                <w:sz w:val="20"/>
                <w:szCs w:val="20"/>
              </w:rPr>
            </w:pPr>
            <w:r w:rsidRPr="00FA1DF6">
              <w:rPr>
                <w:rFonts w:ascii="Times New Roman" w:eastAsia="Times New Roman"/>
                <w:i/>
                <w:iCs/>
                <w:color w:val="000000"/>
                <w:sz w:val="20"/>
                <w:szCs w:val="20"/>
              </w:rPr>
              <w:t> </w:t>
            </w:r>
          </w:p>
        </w:tc>
        <w:tc>
          <w:tcPr>
            <w:tcW w:w="1100" w:type="dxa"/>
            <w:tcBorders>
              <w:top w:val="nil"/>
              <w:left w:val="nil"/>
              <w:bottom w:val="single" w:sz="8" w:space="0" w:color="auto"/>
              <w:right w:val="nil"/>
            </w:tcBorders>
            <w:shd w:val="clear" w:color="000000" w:fill="A6A6A6"/>
            <w:vAlign w:val="center"/>
            <w:hideMark/>
          </w:tcPr>
          <w:p w:rsidR="00FA1DF6" w:rsidRPr="00FA1DF6" w:rsidP="00C40F8D" w14:paraId="29DEDDD3" w14:textId="77777777">
            <w:pPr>
              <w:widowControl/>
              <w:autoSpaceDE/>
              <w:autoSpaceDN/>
              <w:adjustRightInd/>
              <w:jc w:val="center"/>
              <w:rPr>
                <w:rFonts w:ascii="Times New Roman" w:eastAsia="Times New Roman"/>
                <w:i/>
                <w:iCs/>
                <w:color w:val="000000"/>
                <w:sz w:val="20"/>
                <w:szCs w:val="20"/>
              </w:rPr>
            </w:pPr>
            <w:r w:rsidRPr="00FA1DF6">
              <w:rPr>
                <w:rFonts w:ascii="Times New Roman" w:eastAsia="Times New Roman"/>
                <w:i/>
                <w:iCs/>
                <w:color w:val="000000"/>
                <w:sz w:val="20"/>
                <w:szCs w:val="20"/>
              </w:rPr>
              <w:t> </w:t>
            </w:r>
          </w:p>
        </w:tc>
        <w:tc>
          <w:tcPr>
            <w:tcW w:w="1040" w:type="dxa"/>
            <w:tcBorders>
              <w:top w:val="nil"/>
              <w:left w:val="nil"/>
              <w:bottom w:val="single" w:sz="8" w:space="0" w:color="auto"/>
              <w:right w:val="nil"/>
            </w:tcBorders>
            <w:shd w:val="clear" w:color="000000" w:fill="A6A6A6"/>
            <w:vAlign w:val="center"/>
            <w:hideMark/>
          </w:tcPr>
          <w:p w:rsidR="00FA1DF6" w:rsidRPr="00FA1DF6" w:rsidP="006B0A0B" w14:paraId="65F0AF82" w14:textId="1947ABB2">
            <w:pPr>
              <w:widowControl/>
              <w:autoSpaceDE/>
              <w:autoSpaceDN/>
              <w:adjustRightInd/>
              <w:jc w:val="center"/>
              <w:rPr>
                <w:rFonts w:ascii="Times New Roman" w:eastAsia="Times New Roman"/>
                <w:i/>
                <w:iCs/>
                <w:color w:val="000000"/>
                <w:sz w:val="20"/>
                <w:szCs w:val="20"/>
              </w:rPr>
            </w:pPr>
          </w:p>
        </w:tc>
        <w:tc>
          <w:tcPr>
            <w:tcW w:w="1466" w:type="dxa"/>
            <w:tcBorders>
              <w:top w:val="nil"/>
              <w:left w:val="nil"/>
              <w:bottom w:val="single" w:sz="8" w:space="0" w:color="auto"/>
              <w:right w:val="single" w:sz="12" w:space="0" w:color="auto"/>
            </w:tcBorders>
            <w:shd w:val="clear" w:color="000000" w:fill="A6A6A6"/>
            <w:vAlign w:val="center"/>
            <w:hideMark/>
          </w:tcPr>
          <w:p w:rsidR="00FA1DF6" w:rsidRPr="00FA1DF6" w:rsidP="006B0A0B" w14:paraId="5D89EF7B" w14:textId="6D92892E">
            <w:pPr>
              <w:widowControl/>
              <w:autoSpaceDE/>
              <w:autoSpaceDN/>
              <w:adjustRightInd/>
              <w:jc w:val="center"/>
              <w:rPr>
                <w:rFonts w:ascii="Times New Roman" w:eastAsia="Times New Roman"/>
                <w:i/>
                <w:iCs/>
                <w:color w:val="000000"/>
                <w:sz w:val="20"/>
                <w:szCs w:val="20"/>
              </w:rPr>
            </w:pPr>
          </w:p>
        </w:tc>
      </w:tr>
      <w:tr w14:paraId="2DA2C338" w14:textId="77777777" w:rsidTr="00B142A3">
        <w:tblPrEx>
          <w:tblW w:w="11520" w:type="dxa"/>
          <w:jc w:val="center"/>
          <w:tblLook w:val="04A0"/>
        </w:tblPrEx>
        <w:trPr>
          <w:trHeight w:val="510"/>
          <w:jc w:val="center"/>
        </w:trPr>
        <w:tc>
          <w:tcPr>
            <w:tcW w:w="1620" w:type="dxa"/>
            <w:tcBorders>
              <w:top w:val="nil"/>
              <w:left w:val="single" w:sz="12" w:space="0" w:color="auto"/>
              <w:bottom w:val="single" w:sz="8" w:space="0" w:color="auto"/>
              <w:right w:val="nil"/>
            </w:tcBorders>
            <w:shd w:val="clear" w:color="000000" w:fill="D9D9D9"/>
            <w:vAlign w:val="center"/>
            <w:hideMark/>
          </w:tcPr>
          <w:p w:rsidR="00FA1DF6" w:rsidRPr="00FA1DF6" w:rsidP="00C40F8D" w14:paraId="365A4266"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Employee Notification</w:t>
            </w:r>
          </w:p>
        </w:tc>
        <w:tc>
          <w:tcPr>
            <w:tcW w:w="1228" w:type="dxa"/>
            <w:gridSpan w:val="2"/>
            <w:tcBorders>
              <w:top w:val="nil"/>
              <w:left w:val="nil"/>
              <w:bottom w:val="single" w:sz="8" w:space="0" w:color="auto"/>
              <w:right w:val="nil"/>
            </w:tcBorders>
            <w:shd w:val="clear" w:color="000000" w:fill="D9D9D9"/>
            <w:vAlign w:val="center"/>
            <w:hideMark/>
          </w:tcPr>
          <w:p w:rsidR="00FA1DF6" w:rsidRPr="00FA1DF6" w:rsidP="00C40F8D" w14:paraId="3FB21002"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406" w:type="dxa"/>
            <w:tcBorders>
              <w:top w:val="nil"/>
              <w:left w:val="nil"/>
              <w:bottom w:val="single" w:sz="8" w:space="0" w:color="auto"/>
              <w:right w:val="nil"/>
            </w:tcBorders>
            <w:shd w:val="clear" w:color="000000" w:fill="D9D9D9"/>
            <w:vAlign w:val="center"/>
            <w:hideMark/>
          </w:tcPr>
          <w:p w:rsidR="00FA1DF6" w:rsidRPr="00FA1DF6" w:rsidP="00C40F8D" w14:paraId="2D1CE51C"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320" w:type="dxa"/>
            <w:tcBorders>
              <w:top w:val="nil"/>
              <w:left w:val="nil"/>
              <w:bottom w:val="single" w:sz="8" w:space="0" w:color="auto"/>
              <w:right w:val="nil"/>
            </w:tcBorders>
            <w:shd w:val="clear" w:color="000000" w:fill="D9D9D9"/>
            <w:vAlign w:val="center"/>
            <w:hideMark/>
          </w:tcPr>
          <w:p w:rsidR="00FA1DF6" w:rsidRPr="00FA1DF6" w:rsidP="00C40F8D" w14:paraId="488E287B"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8" w:space="0" w:color="auto"/>
              <w:right w:val="nil"/>
            </w:tcBorders>
            <w:shd w:val="clear" w:color="000000" w:fill="D9D9D9"/>
            <w:vAlign w:val="center"/>
            <w:hideMark/>
          </w:tcPr>
          <w:p w:rsidR="00FA1DF6" w:rsidRPr="00FA1DF6" w:rsidP="00C40F8D" w14:paraId="10B3D13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240" w:type="dxa"/>
            <w:tcBorders>
              <w:top w:val="nil"/>
              <w:left w:val="nil"/>
              <w:bottom w:val="single" w:sz="8" w:space="0" w:color="auto"/>
              <w:right w:val="nil"/>
            </w:tcBorders>
            <w:shd w:val="clear" w:color="000000" w:fill="D9D9D9"/>
            <w:vAlign w:val="center"/>
            <w:hideMark/>
          </w:tcPr>
          <w:p w:rsidR="00FA1DF6" w:rsidRPr="00FA1DF6" w:rsidP="00C40F8D" w14:paraId="5D6D5530"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8" w:space="0" w:color="auto"/>
              <w:right w:val="nil"/>
            </w:tcBorders>
            <w:shd w:val="clear" w:color="000000" w:fill="D9D9D9"/>
            <w:vAlign w:val="center"/>
            <w:hideMark/>
          </w:tcPr>
          <w:p w:rsidR="00FA1DF6" w:rsidRPr="00FA1DF6" w:rsidP="00C40F8D" w14:paraId="4669ED1A"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040" w:type="dxa"/>
            <w:tcBorders>
              <w:top w:val="nil"/>
              <w:left w:val="nil"/>
              <w:bottom w:val="single" w:sz="8" w:space="0" w:color="auto"/>
              <w:right w:val="nil"/>
            </w:tcBorders>
            <w:shd w:val="clear" w:color="000000" w:fill="D9D9D9"/>
            <w:vAlign w:val="center"/>
            <w:hideMark/>
          </w:tcPr>
          <w:p w:rsidR="00FA1DF6" w:rsidRPr="00FA1DF6" w:rsidP="006B0A0B" w14:paraId="68B9D00A" w14:textId="29A5886C">
            <w:pPr>
              <w:widowControl/>
              <w:autoSpaceDE/>
              <w:autoSpaceDN/>
              <w:adjustRightInd/>
              <w:jc w:val="center"/>
              <w:rPr>
                <w:rFonts w:ascii="Times New Roman" w:eastAsia="Times New Roman"/>
                <w:b/>
                <w:bCs/>
                <w:color w:val="000000"/>
                <w:sz w:val="20"/>
                <w:szCs w:val="20"/>
              </w:rPr>
            </w:pPr>
          </w:p>
        </w:tc>
        <w:tc>
          <w:tcPr>
            <w:tcW w:w="1466" w:type="dxa"/>
            <w:tcBorders>
              <w:top w:val="nil"/>
              <w:left w:val="nil"/>
              <w:bottom w:val="nil"/>
              <w:right w:val="single" w:sz="12" w:space="0" w:color="auto"/>
            </w:tcBorders>
            <w:shd w:val="clear" w:color="000000" w:fill="D9D9D9"/>
            <w:vAlign w:val="center"/>
            <w:hideMark/>
          </w:tcPr>
          <w:p w:rsidR="00FA1DF6" w:rsidRPr="00FA1DF6" w:rsidP="006B0A0B" w14:paraId="3B6F086B" w14:textId="4E6F617D">
            <w:pPr>
              <w:widowControl/>
              <w:autoSpaceDE/>
              <w:autoSpaceDN/>
              <w:adjustRightInd/>
              <w:jc w:val="center"/>
              <w:rPr>
                <w:rFonts w:ascii="Times New Roman" w:eastAsia="Times New Roman"/>
                <w:b/>
                <w:bCs/>
                <w:color w:val="000000"/>
                <w:sz w:val="20"/>
                <w:szCs w:val="20"/>
              </w:rPr>
            </w:pPr>
          </w:p>
        </w:tc>
      </w:tr>
      <w:tr w14:paraId="40D46D05" w14:textId="77777777" w:rsidTr="00B142A3">
        <w:tblPrEx>
          <w:tblW w:w="11520" w:type="dxa"/>
          <w:jc w:val="center"/>
          <w:tblLook w:val="04A0"/>
        </w:tblPrEx>
        <w:trPr>
          <w:trHeight w:val="30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582806B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Monthly</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1296B6B6"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Supervisor</w:t>
            </w:r>
          </w:p>
        </w:tc>
        <w:tc>
          <w:tcPr>
            <w:tcW w:w="1406" w:type="dxa"/>
            <w:tcBorders>
              <w:top w:val="nil"/>
              <w:left w:val="nil"/>
              <w:bottom w:val="single" w:sz="4" w:space="0" w:color="auto"/>
              <w:right w:val="single" w:sz="4" w:space="0" w:color="auto"/>
            </w:tcBorders>
            <w:vAlign w:val="center"/>
            <w:hideMark/>
          </w:tcPr>
          <w:p w:rsidR="00FA1DF6" w:rsidRPr="00FA1DF6" w:rsidP="00C40F8D" w14:paraId="3AEC0CE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21,998</w:t>
            </w:r>
          </w:p>
        </w:tc>
        <w:tc>
          <w:tcPr>
            <w:tcW w:w="1320" w:type="dxa"/>
            <w:tcBorders>
              <w:top w:val="nil"/>
              <w:left w:val="nil"/>
              <w:bottom w:val="single" w:sz="4" w:space="0" w:color="auto"/>
              <w:right w:val="single" w:sz="4" w:space="0" w:color="auto"/>
            </w:tcBorders>
            <w:vAlign w:val="center"/>
            <w:hideMark/>
          </w:tcPr>
          <w:p w:rsidR="00FA1DF6" w:rsidRPr="00FA1DF6" w:rsidP="00C40F8D" w14:paraId="0CB6E66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12</w:t>
            </w:r>
          </w:p>
        </w:tc>
        <w:tc>
          <w:tcPr>
            <w:tcW w:w="1100" w:type="dxa"/>
            <w:tcBorders>
              <w:top w:val="nil"/>
              <w:left w:val="nil"/>
              <w:bottom w:val="single" w:sz="4" w:space="0" w:color="auto"/>
              <w:right w:val="single" w:sz="4" w:space="0" w:color="auto"/>
            </w:tcBorders>
            <w:vAlign w:val="center"/>
            <w:hideMark/>
          </w:tcPr>
          <w:p w:rsidR="00FA1DF6" w:rsidRPr="00FA1DF6" w:rsidP="00C40F8D" w14:paraId="5FB124D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263,976</w:t>
            </w:r>
          </w:p>
        </w:tc>
        <w:tc>
          <w:tcPr>
            <w:tcW w:w="1240" w:type="dxa"/>
            <w:tcBorders>
              <w:top w:val="nil"/>
              <w:left w:val="nil"/>
              <w:bottom w:val="single" w:sz="4" w:space="0" w:color="auto"/>
              <w:right w:val="single" w:sz="4" w:space="0" w:color="auto"/>
            </w:tcBorders>
            <w:vAlign w:val="center"/>
            <w:hideMark/>
          </w:tcPr>
          <w:p w:rsidR="00FA1DF6" w:rsidRPr="00FA1DF6" w:rsidP="00C40F8D" w14:paraId="29DFA49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1/12 </w:t>
            </w:r>
          </w:p>
        </w:tc>
        <w:tc>
          <w:tcPr>
            <w:tcW w:w="1100" w:type="dxa"/>
            <w:tcBorders>
              <w:top w:val="nil"/>
              <w:left w:val="nil"/>
              <w:bottom w:val="single" w:sz="4" w:space="0" w:color="auto"/>
              <w:right w:val="single" w:sz="4" w:space="0" w:color="auto"/>
            </w:tcBorders>
            <w:vAlign w:val="center"/>
            <w:hideMark/>
          </w:tcPr>
          <w:p w:rsidR="00FA1DF6" w:rsidRPr="00FA1DF6" w:rsidP="00C40F8D" w14:paraId="03B96C07"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21,998</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7B720D1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$74.26</w:t>
            </w:r>
          </w:p>
        </w:tc>
        <w:tc>
          <w:tcPr>
            <w:tcW w:w="1466" w:type="dxa"/>
            <w:tcBorders>
              <w:top w:val="single" w:sz="4" w:space="0" w:color="auto"/>
              <w:left w:val="nil"/>
              <w:bottom w:val="single" w:sz="4" w:space="0" w:color="auto"/>
              <w:right w:val="single" w:sz="12" w:space="0" w:color="auto"/>
            </w:tcBorders>
            <w:vAlign w:val="center"/>
            <w:hideMark/>
          </w:tcPr>
          <w:p w:rsidR="00FA1DF6" w:rsidRPr="00FA1DF6" w:rsidP="006B0A0B" w14:paraId="616D800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$1,633,571</w:t>
            </w:r>
          </w:p>
        </w:tc>
      </w:tr>
      <w:tr w14:paraId="100B54DF" w14:textId="77777777" w:rsidTr="00B142A3">
        <w:tblPrEx>
          <w:tblW w:w="11520" w:type="dxa"/>
          <w:jc w:val="center"/>
          <w:tblLook w:val="04A0"/>
        </w:tblPrEx>
        <w:trPr>
          <w:trHeight w:val="30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30673DA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Bi-Monthly</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03B5B5B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Supervisor</w:t>
            </w:r>
          </w:p>
        </w:tc>
        <w:tc>
          <w:tcPr>
            <w:tcW w:w="1406" w:type="dxa"/>
            <w:tcBorders>
              <w:top w:val="nil"/>
              <w:left w:val="nil"/>
              <w:bottom w:val="single" w:sz="4" w:space="0" w:color="auto"/>
              <w:right w:val="single" w:sz="4" w:space="0" w:color="auto"/>
            </w:tcBorders>
            <w:vAlign w:val="center"/>
            <w:hideMark/>
          </w:tcPr>
          <w:p w:rsidR="00FA1DF6" w:rsidRPr="00FA1DF6" w:rsidP="00C40F8D" w14:paraId="6D0828B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85,425</w:t>
            </w:r>
          </w:p>
        </w:tc>
        <w:tc>
          <w:tcPr>
            <w:tcW w:w="1320" w:type="dxa"/>
            <w:tcBorders>
              <w:top w:val="nil"/>
              <w:left w:val="nil"/>
              <w:bottom w:val="single" w:sz="4" w:space="0" w:color="auto"/>
              <w:right w:val="single" w:sz="4" w:space="0" w:color="auto"/>
            </w:tcBorders>
            <w:vAlign w:val="center"/>
            <w:hideMark/>
          </w:tcPr>
          <w:p w:rsidR="00FA1DF6" w:rsidRPr="00FA1DF6" w:rsidP="00C40F8D" w14:paraId="6D0E86B0" w14:textId="77777777">
            <w:pPr>
              <w:widowControl/>
              <w:autoSpaceDE/>
              <w:autoSpaceDN/>
              <w:adjustRightInd/>
              <w:jc w:val="center"/>
              <w:rPr>
                <w:rFonts w:ascii="Times New Roman" w:eastAsia="Times New Roman"/>
                <w:sz w:val="20"/>
                <w:szCs w:val="20"/>
              </w:rPr>
            </w:pPr>
            <w:r w:rsidRPr="00FA1DF6">
              <w:rPr>
                <w:rFonts w:ascii="Times New Roman" w:eastAsia="Times New Roman"/>
                <w:sz w:val="20"/>
                <w:szCs w:val="20"/>
              </w:rPr>
              <w:t>6</w:t>
            </w:r>
          </w:p>
        </w:tc>
        <w:tc>
          <w:tcPr>
            <w:tcW w:w="1100" w:type="dxa"/>
            <w:tcBorders>
              <w:top w:val="nil"/>
              <w:left w:val="nil"/>
              <w:bottom w:val="single" w:sz="4" w:space="0" w:color="auto"/>
              <w:right w:val="single" w:sz="4" w:space="0" w:color="auto"/>
            </w:tcBorders>
            <w:vAlign w:val="center"/>
            <w:hideMark/>
          </w:tcPr>
          <w:p w:rsidR="00FA1DF6" w:rsidRPr="00FA1DF6" w:rsidP="00C40F8D" w14:paraId="6151ED2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512,547</w:t>
            </w:r>
          </w:p>
        </w:tc>
        <w:tc>
          <w:tcPr>
            <w:tcW w:w="1240" w:type="dxa"/>
            <w:tcBorders>
              <w:top w:val="nil"/>
              <w:left w:val="nil"/>
              <w:bottom w:val="single" w:sz="4" w:space="0" w:color="auto"/>
              <w:right w:val="single" w:sz="4" w:space="0" w:color="auto"/>
            </w:tcBorders>
            <w:vAlign w:val="center"/>
            <w:hideMark/>
          </w:tcPr>
          <w:p w:rsidR="00FA1DF6" w:rsidRPr="00FA1DF6" w:rsidP="00C40F8D" w14:paraId="1F0485B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1/12 </w:t>
            </w:r>
          </w:p>
        </w:tc>
        <w:tc>
          <w:tcPr>
            <w:tcW w:w="1100" w:type="dxa"/>
            <w:tcBorders>
              <w:top w:val="nil"/>
              <w:left w:val="nil"/>
              <w:bottom w:val="single" w:sz="4" w:space="0" w:color="auto"/>
              <w:right w:val="single" w:sz="4" w:space="0" w:color="auto"/>
            </w:tcBorders>
            <w:vAlign w:val="center"/>
            <w:hideMark/>
          </w:tcPr>
          <w:p w:rsidR="00FA1DF6" w:rsidRPr="00FA1DF6" w:rsidP="00C40F8D" w14:paraId="0B8B1B1F" w14:textId="77777777">
            <w:pPr>
              <w:widowControl/>
              <w:autoSpaceDE/>
              <w:autoSpaceDN/>
              <w:adjustRightInd/>
              <w:jc w:val="center"/>
              <w:rPr>
                <w:rFonts w:ascii="Times New Roman" w:eastAsia="Times New Roman"/>
                <w:sz w:val="20"/>
                <w:szCs w:val="20"/>
              </w:rPr>
            </w:pPr>
            <w:r w:rsidRPr="00FA1DF6">
              <w:rPr>
                <w:rFonts w:ascii="Times New Roman" w:eastAsia="Times New Roman"/>
                <w:sz w:val="20"/>
                <w:szCs w:val="20"/>
              </w:rPr>
              <w:t>42,712</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729C32F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$74.26</w:t>
            </w:r>
          </w:p>
        </w:tc>
        <w:tc>
          <w:tcPr>
            <w:tcW w:w="1466" w:type="dxa"/>
            <w:tcBorders>
              <w:top w:val="nil"/>
              <w:left w:val="nil"/>
              <w:bottom w:val="single" w:sz="4" w:space="0" w:color="auto"/>
              <w:right w:val="single" w:sz="12" w:space="0" w:color="auto"/>
            </w:tcBorders>
            <w:vAlign w:val="center"/>
            <w:hideMark/>
          </w:tcPr>
          <w:p w:rsidR="00FA1DF6" w:rsidRPr="00FA1DF6" w:rsidP="006B0A0B" w14:paraId="6D5C7BE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$3,171,793</w:t>
            </w:r>
          </w:p>
        </w:tc>
      </w:tr>
      <w:tr w14:paraId="18B2F9DA" w14:textId="77777777" w:rsidTr="00B142A3">
        <w:tblPrEx>
          <w:tblW w:w="11520" w:type="dxa"/>
          <w:jc w:val="center"/>
          <w:tblLook w:val="04A0"/>
        </w:tblPrEx>
        <w:trPr>
          <w:trHeight w:val="300"/>
          <w:jc w:val="center"/>
        </w:trPr>
        <w:tc>
          <w:tcPr>
            <w:tcW w:w="4254" w:type="dxa"/>
            <w:gridSpan w:val="4"/>
            <w:tcBorders>
              <w:top w:val="single" w:sz="4" w:space="0" w:color="auto"/>
              <w:left w:val="single" w:sz="12" w:space="0" w:color="auto"/>
              <w:bottom w:val="single" w:sz="4" w:space="0" w:color="auto"/>
              <w:right w:val="single" w:sz="4" w:space="0" w:color="auto"/>
            </w:tcBorders>
            <w:vAlign w:val="center"/>
            <w:hideMark/>
          </w:tcPr>
          <w:p w:rsidR="00FA1DF6" w:rsidRPr="00FA1DF6" w:rsidP="00C40F8D" w14:paraId="1DC3A8C9" w14:textId="77777777">
            <w:pPr>
              <w:widowControl/>
              <w:autoSpaceDE/>
              <w:autoSpaceDN/>
              <w:adjustRightInd/>
              <w:jc w:val="right"/>
              <w:rPr>
                <w:rFonts w:ascii="Times New Roman" w:eastAsia="Times New Roman"/>
                <w:i/>
                <w:iCs/>
                <w:color w:val="000000"/>
                <w:sz w:val="20"/>
                <w:szCs w:val="20"/>
              </w:rPr>
            </w:pPr>
            <w:r w:rsidRPr="00FA1DF6">
              <w:rPr>
                <w:rFonts w:ascii="Times New Roman" w:eastAsia="Times New Roman"/>
                <w:i/>
                <w:iCs/>
                <w:color w:val="000000"/>
                <w:sz w:val="20"/>
                <w:szCs w:val="20"/>
              </w:rPr>
              <w:t>Subtotal- Employee Notification</w:t>
            </w:r>
          </w:p>
        </w:tc>
        <w:tc>
          <w:tcPr>
            <w:tcW w:w="1320" w:type="dxa"/>
            <w:tcBorders>
              <w:top w:val="nil"/>
              <w:left w:val="nil"/>
              <w:bottom w:val="single" w:sz="4" w:space="0" w:color="auto"/>
              <w:right w:val="single" w:sz="4" w:space="0" w:color="auto"/>
            </w:tcBorders>
            <w:vAlign w:val="center"/>
            <w:hideMark/>
          </w:tcPr>
          <w:p w:rsidR="00FA1DF6" w:rsidRPr="00FA1DF6" w:rsidP="00C40F8D" w14:paraId="762EDC37" w14:textId="77777777">
            <w:pPr>
              <w:widowControl/>
              <w:autoSpaceDE/>
              <w:autoSpaceDN/>
              <w:adjustRightInd/>
              <w:jc w:val="center"/>
              <w:rPr>
                <w:rFonts w:ascii="Times New Roman" w:eastAsia="Times New Roman"/>
                <w:i/>
                <w:iCs/>
                <w:color w:val="000000"/>
                <w:sz w:val="20"/>
                <w:szCs w:val="20"/>
              </w:rPr>
            </w:pPr>
            <w:r w:rsidRPr="00FA1DF6">
              <w:rPr>
                <w:rFonts w:ascii="Times New Roman" w:eastAsia="Times New Roman"/>
                <w:i/>
                <w:iCs/>
                <w:color w:val="000000"/>
                <w:sz w:val="20"/>
                <w:szCs w:val="20"/>
              </w:rPr>
              <w:t> </w:t>
            </w:r>
          </w:p>
        </w:tc>
        <w:tc>
          <w:tcPr>
            <w:tcW w:w="1100" w:type="dxa"/>
            <w:tcBorders>
              <w:top w:val="nil"/>
              <w:left w:val="nil"/>
              <w:bottom w:val="single" w:sz="4" w:space="0" w:color="auto"/>
              <w:right w:val="single" w:sz="4" w:space="0" w:color="auto"/>
            </w:tcBorders>
            <w:vAlign w:val="center"/>
            <w:hideMark/>
          </w:tcPr>
          <w:p w:rsidR="00FA1DF6" w:rsidRPr="00FA1DF6" w:rsidP="00C40F8D" w14:paraId="7EC328D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776,523</w:t>
            </w:r>
          </w:p>
        </w:tc>
        <w:tc>
          <w:tcPr>
            <w:tcW w:w="1240" w:type="dxa"/>
            <w:tcBorders>
              <w:top w:val="nil"/>
              <w:left w:val="nil"/>
              <w:bottom w:val="single" w:sz="4" w:space="0" w:color="auto"/>
              <w:right w:val="single" w:sz="4" w:space="0" w:color="auto"/>
            </w:tcBorders>
            <w:vAlign w:val="center"/>
            <w:hideMark/>
          </w:tcPr>
          <w:p w:rsidR="00FA1DF6" w:rsidRPr="00FA1DF6" w:rsidP="00C40F8D" w14:paraId="20026127"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single" w:sz="4" w:space="0" w:color="auto"/>
              <w:right w:val="single" w:sz="4" w:space="0" w:color="auto"/>
            </w:tcBorders>
            <w:vAlign w:val="center"/>
            <w:hideMark/>
          </w:tcPr>
          <w:p w:rsidR="00FA1DF6" w:rsidRPr="00FA1DF6" w:rsidP="00C40F8D" w14:paraId="1655CCB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64,710</w:t>
            </w:r>
          </w:p>
        </w:tc>
        <w:tc>
          <w:tcPr>
            <w:tcW w:w="1040" w:type="dxa"/>
            <w:tcBorders>
              <w:top w:val="nil"/>
              <w:left w:val="nil"/>
              <w:bottom w:val="single" w:sz="4" w:space="0" w:color="auto"/>
              <w:right w:val="single" w:sz="4" w:space="0" w:color="auto"/>
            </w:tcBorders>
            <w:vAlign w:val="center"/>
            <w:hideMark/>
          </w:tcPr>
          <w:p w:rsidR="00FA1DF6" w:rsidRPr="00FA1DF6" w:rsidP="006B0A0B" w14:paraId="749A6CA0" w14:textId="21FBD27A">
            <w:pPr>
              <w:widowControl/>
              <w:autoSpaceDE/>
              <w:autoSpaceDN/>
              <w:adjustRightInd/>
              <w:jc w:val="center"/>
              <w:rPr>
                <w:rFonts w:ascii="Times New Roman" w:eastAsia="Times New Roman"/>
                <w:color w:val="000000"/>
                <w:sz w:val="20"/>
                <w:szCs w:val="20"/>
              </w:rPr>
            </w:pPr>
          </w:p>
        </w:tc>
        <w:tc>
          <w:tcPr>
            <w:tcW w:w="1466" w:type="dxa"/>
            <w:tcBorders>
              <w:top w:val="nil"/>
              <w:left w:val="nil"/>
              <w:bottom w:val="single" w:sz="4" w:space="0" w:color="auto"/>
              <w:right w:val="single" w:sz="12" w:space="0" w:color="auto"/>
            </w:tcBorders>
            <w:vAlign w:val="center"/>
            <w:hideMark/>
          </w:tcPr>
          <w:p w:rsidR="00FA1DF6" w:rsidRPr="00FA1DF6" w:rsidP="006B0A0B" w14:paraId="63463D8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$4,805,364</w:t>
            </w:r>
          </w:p>
        </w:tc>
      </w:tr>
      <w:tr w14:paraId="1F927D75" w14:textId="77777777" w:rsidTr="00B142A3">
        <w:tblPrEx>
          <w:tblW w:w="11520" w:type="dxa"/>
          <w:jc w:val="center"/>
          <w:tblLook w:val="04A0"/>
        </w:tblPrEx>
        <w:trPr>
          <w:trHeight w:val="555"/>
          <w:jc w:val="center"/>
        </w:trPr>
        <w:tc>
          <w:tcPr>
            <w:tcW w:w="4254" w:type="dxa"/>
            <w:gridSpan w:val="4"/>
            <w:tcBorders>
              <w:top w:val="single" w:sz="4" w:space="0" w:color="auto"/>
              <w:left w:val="single" w:sz="12" w:space="0" w:color="auto"/>
              <w:bottom w:val="single" w:sz="4" w:space="0" w:color="auto"/>
              <w:right w:val="single" w:sz="4" w:space="0" w:color="auto"/>
            </w:tcBorders>
            <w:shd w:val="clear" w:color="000000" w:fill="F2F2F2"/>
            <w:vAlign w:val="center"/>
            <w:hideMark/>
          </w:tcPr>
          <w:p w:rsidR="00FA1DF6" w:rsidRPr="00B25AA4" w:rsidP="00C40F8D" w14:paraId="2527CE34" w14:textId="77777777">
            <w:pPr>
              <w:widowControl/>
              <w:autoSpaceDE/>
              <w:autoSpaceDN/>
              <w:adjustRightInd/>
              <w:jc w:val="right"/>
              <w:rPr>
                <w:rFonts w:ascii="Times New Roman" w:eastAsia="Times New Roman"/>
                <w:b/>
                <w:bCs/>
                <w:i/>
                <w:iCs/>
                <w:color w:val="000000"/>
                <w:sz w:val="20"/>
                <w:szCs w:val="20"/>
              </w:rPr>
            </w:pPr>
            <w:r w:rsidRPr="00B25AA4">
              <w:rPr>
                <w:rFonts w:ascii="Times New Roman" w:eastAsia="Times New Roman"/>
                <w:b/>
                <w:bCs/>
                <w:i/>
                <w:iCs/>
                <w:color w:val="000000"/>
                <w:sz w:val="20"/>
                <w:szCs w:val="20"/>
              </w:rPr>
              <w:t>Subtotal - Medical Surveillance                                                   and Employee Notification</w:t>
            </w:r>
          </w:p>
        </w:tc>
        <w:tc>
          <w:tcPr>
            <w:tcW w:w="1320" w:type="dxa"/>
            <w:tcBorders>
              <w:top w:val="nil"/>
              <w:left w:val="nil"/>
              <w:bottom w:val="single" w:sz="4" w:space="0" w:color="auto"/>
              <w:right w:val="single" w:sz="4" w:space="0" w:color="auto"/>
            </w:tcBorders>
            <w:shd w:val="clear" w:color="000000" w:fill="F2F2F2"/>
            <w:vAlign w:val="center"/>
            <w:hideMark/>
          </w:tcPr>
          <w:p w:rsidR="00FA1DF6" w:rsidRPr="00FA1DF6" w:rsidP="00C40F8D" w14:paraId="031E689A" w14:textId="77777777">
            <w:pPr>
              <w:widowControl/>
              <w:autoSpaceDE/>
              <w:autoSpaceDN/>
              <w:adjustRightInd/>
              <w:jc w:val="right"/>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single" w:sz="4" w:space="0" w:color="auto"/>
              <w:right w:val="single" w:sz="4" w:space="0" w:color="auto"/>
            </w:tcBorders>
            <w:shd w:val="clear" w:color="000000" w:fill="C6E0B4"/>
            <w:vAlign w:val="center"/>
            <w:hideMark/>
          </w:tcPr>
          <w:p w:rsidR="00FA1DF6" w:rsidRPr="00FA1DF6" w:rsidP="00C40F8D" w14:paraId="409F88E7"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2,071,463</w:t>
            </w:r>
          </w:p>
        </w:tc>
        <w:tc>
          <w:tcPr>
            <w:tcW w:w="1240" w:type="dxa"/>
            <w:tcBorders>
              <w:top w:val="nil"/>
              <w:left w:val="nil"/>
              <w:bottom w:val="single" w:sz="4" w:space="0" w:color="auto"/>
              <w:right w:val="single" w:sz="4" w:space="0" w:color="auto"/>
            </w:tcBorders>
            <w:shd w:val="clear" w:color="000000" w:fill="F2F2F2"/>
            <w:vAlign w:val="center"/>
            <w:hideMark/>
          </w:tcPr>
          <w:p w:rsidR="00FA1DF6" w:rsidRPr="00FA1DF6" w:rsidP="00C40F8D" w14:paraId="4353DF29"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4" w:space="0" w:color="auto"/>
              <w:right w:val="single" w:sz="4" w:space="0" w:color="auto"/>
            </w:tcBorders>
            <w:shd w:val="clear" w:color="000000" w:fill="C6E0B4"/>
            <w:vAlign w:val="center"/>
            <w:hideMark/>
          </w:tcPr>
          <w:p w:rsidR="00FA1DF6" w:rsidRPr="00FA1DF6" w:rsidP="00C40F8D" w14:paraId="03A4FF31"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388,446</w:t>
            </w:r>
          </w:p>
        </w:tc>
        <w:tc>
          <w:tcPr>
            <w:tcW w:w="1040" w:type="dxa"/>
            <w:tcBorders>
              <w:top w:val="nil"/>
              <w:left w:val="nil"/>
              <w:bottom w:val="single" w:sz="4" w:space="0" w:color="auto"/>
              <w:right w:val="single" w:sz="4" w:space="0" w:color="auto"/>
            </w:tcBorders>
            <w:shd w:val="clear" w:color="000000" w:fill="F2F2F2"/>
            <w:vAlign w:val="center"/>
            <w:hideMark/>
          </w:tcPr>
          <w:p w:rsidR="00FA1DF6" w:rsidRPr="00FA1DF6" w:rsidP="006B0A0B" w14:paraId="6BDE9F5D" w14:textId="54C65288">
            <w:pPr>
              <w:widowControl/>
              <w:autoSpaceDE/>
              <w:autoSpaceDN/>
              <w:adjustRightInd/>
              <w:jc w:val="center"/>
              <w:rPr>
                <w:rFonts w:ascii="Times New Roman" w:eastAsia="Times New Roman"/>
                <w:b/>
                <w:bCs/>
                <w:color w:val="000000"/>
                <w:sz w:val="20"/>
                <w:szCs w:val="20"/>
              </w:rPr>
            </w:pPr>
          </w:p>
        </w:tc>
        <w:tc>
          <w:tcPr>
            <w:tcW w:w="1466" w:type="dxa"/>
            <w:tcBorders>
              <w:top w:val="nil"/>
              <w:left w:val="nil"/>
              <w:bottom w:val="single" w:sz="4" w:space="0" w:color="auto"/>
              <w:right w:val="single" w:sz="12" w:space="0" w:color="auto"/>
            </w:tcBorders>
            <w:shd w:val="clear" w:color="000000" w:fill="C6E0B4"/>
            <w:vAlign w:val="center"/>
            <w:hideMark/>
          </w:tcPr>
          <w:p w:rsidR="00FA1DF6" w:rsidRPr="00FA1DF6" w:rsidP="006B0A0B" w14:paraId="5694A533" w14:textId="19D046A3">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$18,884,642</w:t>
            </w:r>
          </w:p>
        </w:tc>
      </w:tr>
      <w:tr w14:paraId="3354D274" w14:textId="77777777" w:rsidTr="00B142A3">
        <w:tblPrEx>
          <w:tblW w:w="11520" w:type="dxa"/>
          <w:jc w:val="center"/>
          <w:tblLook w:val="04A0"/>
        </w:tblPrEx>
        <w:trPr>
          <w:trHeight w:val="150"/>
          <w:jc w:val="center"/>
        </w:trPr>
        <w:tc>
          <w:tcPr>
            <w:tcW w:w="1620" w:type="dxa"/>
            <w:tcBorders>
              <w:top w:val="nil"/>
              <w:left w:val="single" w:sz="12" w:space="0" w:color="auto"/>
              <w:bottom w:val="single" w:sz="8" w:space="0" w:color="auto"/>
              <w:right w:val="nil"/>
            </w:tcBorders>
            <w:shd w:val="clear" w:color="000000" w:fill="AEAAAA"/>
            <w:vAlign w:val="center"/>
            <w:hideMark/>
          </w:tcPr>
          <w:p w:rsidR="00FA1DF6" w:rsidRPr="00B25AA4" w:rsidP="00C40F8D" w14:paraId="51E3A282" w14:textId="77777777">
            <w:pPr>
              <w:widowControl/>
              <w:autoSpaceDE/>
              <w:autoSpaceDN/>
              <w:adjustRightInd/>
              <w:jc w:val="center"/>
              <w:rPr>
                <w:rFonts w:ascii="Times New Roman" w:eastAsia="Times New Roman"/>
                <w:b/>
                <w:bCs/>
                <w:i/>
                <w:iCs/>
                <w:color w:val="000000"/>
                <w:sz w:val="20"/>
                <w:szCs w:val="20"/>
              </w:rPr>
            </w:pPr>
            <w:r w:rsidRPr="00B25AA4">
              <w:rPr>
                <w:rFonts w:ascii="Times New Roman" w:eastAsia="Times New Roman"/>
                <w:b/>
                <w:bCs/>
                <w:i/>
                <w:iCs/>
                <w:color w:val="000000"/>
                <w:sz w:val="20"/>
                <w:szCs w:val="20"/>
              </w:rPr>
              <w:t> </w:t>
            </w:r>
          </w:p>
        </w:tc>
        <w:tc>
          <w:tcPr>
            <w:tcW w:w="1228" w:type="dxa"/>
            <w:gridSpan w:val="2"/>
            <w:tcBorders>
              <w:top w:val="nil"/>
              <w:left w:val="nil"/>
              <w:bottom w:val="single" w:sz="8" w:space="0" w:color="auto"/>
              <w:right w:val="nil"/>
            </w:tcBorders>
            <w:shd w:val="clear" w:color="000000" w:fill="AEAAAA"/>
            <w:vAlign w:val="center"/>
            <w:hideMark/>
          </w:tcPr>
          <w:p w:rsidR="00FA1DF6" w:rsidRPr="00FA1DF6" w:rsidP="00C40F8D" w14:paraId="24DE2720"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406" w:type="dxa"/>
            <w:tcBorders>
              <w:top w:val="nil"/>
              <w:left w:val="nil"/>
              <w:bottom w:val="single" w:sz="8" w:space="0" w:color="auto"/>
              <w:right w:val="nil"/>
            </w:tcBorders>
            <w:shd w:val="clear" w:color="000000" w:fill="AEAAAA"/>
            <w:vAlign w:val="center"/>
            <w:hideMark/>
          </w:tcPr>
          <w:p w:rsidR="00FA1DF6" w:rsidRPr="00FA1DF6" w:rsidP="00C40F8D" w14:paraId="798FBE8E"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320" w:type="dxa"/>
            <w:tcBorders>
              <w:top w:val="nil"/>
              <w:left w:val="nil"/>
              <w:bottom w:val="single" w:sz="8" w:space="0" w:color="auto"/>
              <w:right w:val="nil"/>
            </w:tcBorders>
            <w:shd w:val="clear" w:color="000000" w:fill="AEAAAA"/>
            <w:vAlign w:val="center"/>
            <w:hideMark/>
          </w:tcPr>
          <w:p w:rsidR="00FA1DF6" w:rsidRPr="00FA1DF6" w:rsidP="00C40F8D" w14:paraId="1A8E35D0"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8" w:space="0" w:color="auto"/>
              <w:right w:val="nil"/>
            </w:tcBorders>
            <w:shd w:val="clear" w:color="000000" w:fill="AEAAAA"/>
            <w:vAlign w:val="center"/>
            <w:hideMark/>
          </w:tcPr>
          <w:p w:rsidR="00FA1DF6" w:rsidRPr="00FA1DF6" w:rsidP="00C40F8D" w14:paraId="5CB33983"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240" w:type="dxa"/>
            <w:tcBorders>
              <w:top w:val="nil"/>
              <w:left w:val="nil"/>
              <w:bottom w:val="single" w:sz="8" w:space="0" w:color="auto"/>
              <w:right w:val="nil"/>
            </w:tcBorders>
            <w:shd w:val="clear" w:color="000000" w:fill="AEAAAA"/>
            <w:vAlign w:val="center"/>
            <w:hideMark/>
          </w:tcPr>
          <w:p w:rsidR="00FA1DF6" w:rsidRPr="00FA1DF6" w:rsidP="00C40F8D" w14:paraId="62B24555"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8" w:space="0" w:color="auto"/>
              <w:right w:val="nil"/>
            </w:tcBorders>
            <w:shd w:val="clear" w:color="000000" w:fill="AEAAAA"/>
            <w:vAlign w:val="center"/>
            <w:hideMark/>
          </w:tcPr>
          <w:p w:rsidR="00FA1DF6" w:rsidRPr="00FA1DF6" w:rsidP="00C40F8D" w14:paraId="6C1AB98C"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040" w:type="dxa"/>
            <w:tcBorders>
              <w:top w:val="nil"/>
              <w:left w:val="nil"/>
              <w:bottom w:val="single" w:sz="8" w:space="0" w:color="auto"/>
              <w:right w:val="nil"/>
            </w:tcBorders>
            <w:shd w:val="clear" w:color="000000" w:fill="AEAAAA"/>
            <w:vAlign w:val="center"/>
            <w:hideMark/>
          </w:tcPr>
          <w:p w:rsidR="00FA1DF6" w:rsidRPr="00FA1DF6" w:rsidP="006B0A0B" w14:paraId="584D30BC" w14:textId="57591ECB">
            <w:pPr>
              <w:widowControl/>
              <w:autoSpaceDE/>
              <w:autoSpaceDN/>
              <w:adjustRightInd/>
              <w:jc w:val="center"/>
              <w:rPr>
                <w:rFonts w:ascii="Times New Roman" w:eastAsia="Times New Roman"/>
                <w:b/>
                <w:bCs/>
                <w:color w:val="000000"/>
                <w:sz w:val="20"/>
                <w:szCs w:val="20"/>
              </w:rPr>
            </w:pPr>
          </w:p>
        </w:tc>
        <w:tc>
          <w:tcPr>
            <w:tcW w:w="1466" w:type="dxa"/>
            <w:tcBorders>
              <w:top w:val="nil"/>
              <w:left w:val="nil"/>
              <w:bottom w:val="single" w:sz="8" w:space="0" w:color="auto"/>
              <w:right w:val="single" w:sz="12" w:space="0" w:color="auto"/>
            </w:tcBorders>
            <w:shd w:val="clear" w:color="000000" w:fill="AEAAAA"/>
            <w:vAlign w:val="center"/>
            <w:hideMark/>
          </w:tcPr>
          <w:p w:rsidR="00FA1DF6" w:rsidRPr="00FA1DF6" w:rsidP="006B0A0B" w14:paraId="24538653" w14:textId="10FF4776">
            <w:pPr>
              <w:widowControl/>
              <w:autoSpaceDE/>
              <w:autoSpaceDN/>
              <w:adjustRightInd/>
              <w:jc w:val="center"/>
              <w:rPr>
                <w:rFonts w:ascii="Times New Roman" w:eastAsia="Times New Roman"/>
                <w:b/>
                <w:bCs/>
                <w:color w:val="000000"/>
                <w:sz w:val="20"/>
                <w:szCs w:val="20"/>
              </w:rPr>
            </w:pPr>
          </w:p>
        </w:tc>
      </w:tr>
      <w:tr w14:paraId="2B35EBF1" w14:textId="77777777" w:rsidTr="00B142A3">
        <w:tblPrEx>
          <w:tblW w:w="11520" w:type="dxa"/>
          <w:jc w:val="center"/>
          <w:tblLook w:val="04A0"/>
        </w:tblPrEx>
        <w:trPr>
          <w:trHeight w:val="304"/>
          <w:jc w:val="center"/>
        </w:trPr>
        <w:tc>
          <w:tcPr>
            <w:tcW w:w="4254" w:type="dxa"/>
            <w:gridSpan w:val="4"/>
            <w:tcBorders>
              <w:top w:val="nil"/>
              <w:left w:val="single" w:sz="12" w:space="0" w:color="auto"/>
              <w:bottom w:val="nil"/>
              <w:right w:val="nil"/>
            </w:tcBorders>
            <w:shd w:val="clear" w:color="000000" w:fill="D0CECE"/>
            <w:vAlign w:val="center"/>
            <w:hideMark/>
          </w:tcPr>
          <w:p w:rsidR="007C46B3" w:rsidRPr="00FA1DF6" w:rsidP="004A2AAC" w14:paraId="12958DFA" w14:textId="6ABB8D80">
            <w:pPr>
              <w:widowControl/>
              <w:autoSpaceDE/>
              <w:autoSpaceDN/>
              <w:adjustRightInd/>
              <w:rPr>
                <w:rFonts w:ascii="Times New Roman" w:eastAsia="Times New Roman"/>
                <w:color w:val="000000"/>
                <w:sz w:val="20"/>
                <w:szCs w:val="20"/>
              </w:rPr>
            </w:pPr>
            <w:r w:rsidRPr="00FA1DF6">
              <w:rPr>
                <w:rFonts w:ascii="Times New Roman" w:eastAsia="Times New Roman"/>
                <w:b/>
                <w:bCs/>
                <w:color w:val="000000"/>
                <w:sz w:val="20"/>
                <w:szCs w:val="20"/>
              </w:rPr>
              <w:t>Medical Examinations</w:t>
            </w:r>
          </w:p>
        </w:tc>
        <w:tc>
          <w:tcPr>
            <w:tcW w:w="1320" w:type="dxa"/>
            <w:tcBorders>
              <w:top w:val="nil"/>
              <w:left w:val="nil"/>
              <w:bottom w:val="nil"/>
              <w:right w:val="nil"/>
            </w:tcBorders>
            <w:shd w:val="clear" w:color="000000" w:fill="D0CECE"/>
            <w:vAlign w:val="center"/>
            <w:hideMark/>
          </w:tcPr>
          <w:p w:rsidR="007C46B3" w:rsidRPr="00FA1DF6" w:rsidP="00C40F8D" w14:paraId="0E747B3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nil"/>
              <w:right w:val="nil"/>
            </w:tcBorders>
            <w:shd w:val="clear" w:color="000000" w:fill="D0CECE"/>
            <w:vAlign w:val="center"/>
            <w:hideMark/>
          </w:tcPr>
          <w:p w:rsidR="007C46B3" w:rsidRPr="00FA1DF6" w:rsidP="00C40F8D" w14:paraId="25A72307"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240" w:type="dxa"/>
            <w:tcBorders>
              <w:top w:val="nil"/>
              <w:left w:val="nil"/>
              <w:bottom w:val="nil"/>
              <w:right w:val="nil"/>
            </w:tcBorders>
            <w:shd w:val="clear" w:color="000000" w:fill="D0CECE"/>
            <w:vAlign w:val="center"/>
            <w:hideMark/>
          </w:tcPr>
          <w:p w:rsidR="007C46B3" w:rsidRPr="00FA1DF6" w:rsidP="00C40F8D" w14:paraId="17F792A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nil"/>
              <w:right w:val="nil"/>
            </w:tcBorders>
            <w:shd w:val="clear" w:color="000000" w:fill="D0CECE"/>
            <w:vAlign w:val="center"/>
            <w:hideMark/>
          </w:tcPr>
          <w:p w:rsidR="007C46B3" w:rsidRPr="00FA1DF6" w:rsidP="00C40F8D" w14:paraId="0FC27CC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040" w:type="dxa"/>
            <w:tcBorders>
              <w:top w:val="nil"/>
              <w:left w:val="nil"/>
              <w:bottom w:val="nil"/>
              <w:right w:val="nil"/>
            </w:tcBorders>
            <w:shd w:val="clear" w:color="000000" w:fill="D0CECE"/>
            <w:vAlign w:val="center"/>
            <w:hideMark/>
          </w:tcPr>
          <w:p w:rsidR="007C46B3" w:rsidRPr="00FA1DF6" w:rsidP="006B0A0B" w14:paraId="33395275" w14:textId="2C653B0E">
            <w:pPr>
              <w:widowControl/>
              <w:autoSpaceDE/>
              <w:autoSpaceDN/>
              <w:adjustRightInd/>
              <w:jc w:val="center"/>
              <w:rPr>
                <w:rFonts w:ascii="Times New Roman" w:eastAsia="Times New Roman"/>
                <w:color w:val="000000"/>
                <w:sz w:val="20"/>
                <w:szCs w:val="20"/>
              </w:rPr>
            </w:pPr>
          </w:p>
        </w:tc>
        <w:tc>
          <w:tcPr>
            <w:tcW w:w="1466" w:type="dxa"/>
            <w:tcBorders>
              <w:top w:val="nil"/>
              <w:left w:val="nil"/>
              <w:bottom w:val="nil"/>
              <w:right w:val="single" w:sz="12" w:space="0" w:color="auto"/>
            </w:tcBorders>
            <w:shd w:val="clear" w:color="000000" w:fill="D0CECE"/>
            <w:vAlign w:val="center"/>
            <w:hideMark/>
          </w:tcPr>
          <w:p w:rsidR="007C46B3" w:rsidRPr="00FA1DF6" w:rsidP="006B0A0B" w14:paraId="391D1185" w14:textId="429762F9">
            <w:pPr>
              <w:widowControl/>
              <w:autoSpaceDE/>
              <w:autoSpaceDN/>
              <w:adjustRightInd/>
              <w:jc w:val="center"/>
              <w:rPr>
                <w:rFonts w:ascii="Times New Roman" w:eastAsia="Times New Roman"/>
                <w:color w:val="000000"/>
                <w:sz w:val="20"/>
                <w:szCs w:val="20"/>
              </w:rPr>
            </w:pPr>
          </w:p>
        </w:tc>
      </w:tr>
      <w:tr w14:paraId="262C6CA3" w14:textId="77777777" w:rsidTr="00B142A3">
        <w:tblPrEx>
          <w:tblW w:w="11520" w:type="dxa"/>
          <w:jc w:val="center"/>
          <w:tblLook w:val="04A0"/>
        </w:tblPrEx>
        <w:trPr>
          <w:trHeight w:val="300"/>
          <w:jc w:val="center"/>
        </w:trPr>
        <w:tc>
          <w:tcPr>
            <w:tcW w:w="1620" w:type="dxa"/>
            <w:tcBorders>
              <w:top w:val="single" w:sz="4" w:space="0" w:color="auto"/>
              <w:left w:val="single" w:sz="12" w:space="0" w:color="auto"/>
              <w:bottom w:val="single" w:sz="4" w:space="0" w:color="auto"/>
              <w:right w:val="single" w:sz="4" w:space="0" w:color="auto"/>
            </w:tcBorders>
            <w:vAlign w:val="center"/>
            <w:hideMark/>
          </w:tcPr>
          <w:p w:rsidR="00FA1DF6" w:rsidRPr="00FA1DF6" w:rsidP="00C40F8D" w14:paraId="4EA9411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At or </w:t>
            </w:r>
            <w:r w:rsidRPr="00FA1DF6">
              <w:rPr>
                <w:rFonts w:ascii="Times New Roman" w:eastAsia="Times New Roman"/>
                <w:color w:val="000000"/>
                <w:sz w:val="20"/>
                <w:szCs w:val="20"/>
              </w:rPr>
              <w:t>Above</w:t>
            </w:r>
            <w:r w:rsidRPr="00FA1DF6">
              <w:rPr>
                <w:rFonts w:ascii="Times New Roman" w:eastAsia="Times New Roman"/>
                <w:color w:val="000000"/>
                <w:sz w:val="20"/>
                <w:szCs w:val="20"/>
              </w:rPr>
              <w:t xml:space="preserve"> the AL</w:t>
            </w:r>
          </w:p>
        </w:tc>
        <w:tc>
          <w:tcPr>
            <w:tcW w:w="1228" w:type="dxa"/>
            <w:gridSpan w:val="2"/>
            <w:tcBorders>
              <w:top w:val="single" w:sz="4" w:space="0" w:color="auto"/>
              <w:left w:val="nil"/>
              <w:bottom w:val="single" w:sz="4" w:space="0" w:color="auto"/>
              <w:right w:val="single" w:sz="4" w:space="0" w:color="auto"/>
            </w:tcBorders>
            <w:vAlign w:val="center"/>
            <w:hideMark/>
          </w:tcPr>
          <w:p w:rsidR="00FA1DF6" w:rsidRPr="00FA1DF6" w:rsidP="00C40F8D" w14:paraId="4E33B0B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Worker</w:t>
            </w:r>
          </w:p>
        </w:tc>
        <w:tc>
          <w:tcPr>
            <w:tcW w:w="1406" w:type="dxa"/>
            <w:tcBorders>
              <w:top w:val="single" w:sz="4" w:space="0" w:color="auto"/>
              <w:left w:val="nil"/>
              <w:bottom w:val="single" w:sz="4" w:space="0" w:color="auto"/>
              <w:right w:val="single" w:sz="4" w:space="0" w:color="auto"/>
            </w:tcBorders>
            <w:vAlign w:val="center"/>
            <w:hideMark/>
          </w:tcPr>
          <w:p w:rsidR="00FA1DF6" w:rsidRPr="00FA1DF6" w:rsidP="00C40F8D" w14:paraId="300FBC7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107,423</w:t>
            </w:r>
          </w:p>
        </w:tc>
        <w:tc>
          <w:tcPr>
            <w:tcW w:w="1320" w:type="dxa"/>
            <w:tcBorders>
              <w:top w:val="single" w:sz="4" w:space="0" w:color="auto"/>
              <w:left w:val="nil"/>
              <w:bottom w:val="single" w:sz="4" w:space="0" w:color="auto"/>
              <w:right w:val="single" w:sz="4" w:space="0" w:color="auto"/>
            </w:tcBorders>
            <w:vAlign w:val="center"/>
            <w:hideMark/>
          </w:tcPr>
          <w:p w:rsidR="00FA1DF6" w:rsidRPr="00FA1DF6" w:rsidP="00C40F8D" w14:paraId="66BD11F7"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single" w:sz="4" w:space="0" w:color="auto"/>
              <w:left w:val="nil"/>
              <w:bottom w:val="single" w:sz="4" w:space="0" w:color="auto"/>
              <w:right w:val="single" w:sz="4" w:space="0" w:color="auto"/>
            </w:tcBorders>
            <w:vAlign w:val="center"/>
            <w:hideMark/>
          </w:tcPr>
          <w:p w:rsidR="00FA1DF6" w:rsidRPr="00FA1DF6" w:rsidP="00C40F8D" w14:paraId="7E67258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107,423</w:t>
            </w:r>
          </w:p>
        </w:tc>
        <w:tc>
          <w:tcPr>
            <w:tcW w:w="1240" w:type="dxa"/>
            <w:tcBorders>
              <w:top w:val="single" w:sz="4" w:space="0" w:color="auto"/>
              <w:left w:val="nil"/>
              <w:bottom w:val="single" w:sz="4" w:space="0" w:color="auto"/>
              <w:right w:val="single" w:sz="4" w:space="0" w:color="auto"/>
            </w:tcBorders>
            <w:vAlign w:val="center"/>
            <w:hideMark/>
          </w:tcPr>
          <w:p w:rsidR="00FA1DF6" w:rsidRPr="00FA1DF6" w:rsidP="00C40F8D" w14:paraId="56182627"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2        </w:t>
            </w:r>
          </w:p>
        </w:tc>
        <w:tc>
          <w:tcPr>
            <w:tcW w:w="1100" w:type="dxa"/>
            <w:tcBorders>
              <w:top w:val="single" w:sz="4" w:space="0" w:color="auto"/>
              <w:left w:val="nil"/>
              <w:bottom w:val="single" w:sz="4" w:space="0" w:color="auto"/>
              <w:right w:val="single" w:sz="4" w:space="0" w:color="auto"/>
            </w:tcBorders>
            <w:vAlign w:val="center"/>
            <w:hideMark/>
          </w:tcPr>
          <w:p w:rsidR="00FA1DF6" w:rsidRPr="00FA1DF6" w:rsidP="00C40F8D" w14:paraId="777C8C4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214,846</w:t>
            </w:r>
          </w:p>
        </w:tc>
        <w:tc>
          <w:tcPr>
            <w:tcW w:w="1040" w:type="dxa"/>
            <w:tcBorders>
              <w:top w:val="single" w:sz="4" w:space="0" w:color="auto"/>
              <w:left w:val="nil"/>
              <w:bottom w:val="single" w:sz="4" w:space="0" w:color="auto"/>
              <w:right w:val="single" w:sz="4" w:space="0" w:color="auto"/>
            </w:tcBorders>
            <w:noWrap/>
            <w:vAlign w:val="center"/>
            <w:hideMark/>
          </w:tcPr>
          <w:p w:rsidR="00FA1DF6" w:rsidRPr="00FA1DF6" w:rsidP="004A2AAC" w14:paraId="001F093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$43.49</w:t>
            </w:r>
          </w:p>
        </w:tc>
        <w:tc>
          <w:tcPr>
            <w:tcW w:w="1466" w:type="dxa"/>
            <w:tcBorders>
              <w:top w:val="single" w:sz="4" w:space="0" w:color="auto"/>
              <w:left w:val="nil"/>
              <w:bottom w:val="single" w:sz="4" w:space="0" w:color="auto"/>
              <w:right w:val="single" w:sz="12" w:space="0" w:color="auto"/>
            </w:tcBorders>
            <w:vAlign w:val="center"/>
            <w:hideMark/>
          </w:tcPr>
          <w:p w:rsidR="00FA1DF6" w:rsidRPr="00FA1DF6" w:rsidP="006B0A0B" w14:paraId="41B05EA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$9,343,653</w:t>
            </w:r>
          </w:p>
        </w:tc>
      </w:tr>
      <w:tr w14:paraId="354B9ACF" w14:textId="77777777" w:rsidTr="00B142A3">
        <w:tblPrEx>
          <w:tblW w:w="11520" w:type="dxa"/>
          <w:jc w:val="center"/>
          <w:tblLook w:val="04A0"/>
        </w:tblPrEx>
        <w:trPr>
          <w:trHeight w:val="30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1150790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Initial</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573F5316"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Worker</w:t>
            </w:r>
          </w:p>
        </w:tc>
        <w:tc>
          <w:tcPr>
            <w:tcW w:w="1406" w:type="dxa"/>
            <w:tcBorders>
              <w:top w:val="nil"/>
              <w:left w:val="nil"/>
              <w:bottom w:val="single" w:sz="4" w:space="0" w:color="auto"/>
              <w:right w:val="single" w:sz="4" w:space="0" w:color="auto"/>
            </w:tcBorders>
            <w:vAlign w:val="center"/>
            <w:hideMark/>
          </w:tcPr>
          <w:p w:rsidR="00FA1DF6" w:rsidRPr="00FA1DF6" w:rsidP="00C40F8D" w14:paraId="33635B8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142,985</w:t>
            </w:r>
          </w:p>
        </w:tc>
        <w:tc>
          <w:tcPr>
            <w:tcW w:w="1320" w:type="dxa"/>
            <w:tcBorders>
              <w:top w:val="nil"/>
              <w:left w:val="nil"/>
              <w:bottom w:val="single" w:sz="4" w:space="0" w:color="auto"/>
              <w:right w:val="single" w:sz="4" w:space="0" w:color="auto"/>
            </w:tcBorders>
            <w:vAlign w:val="center"/>
            <w:hideMark/>
          </w:tcPr>
          <w:p w:rsidR="00FA1DF6" w:rsidRPr="00FA1DF6" w:rsidP="00C40F8D" w14:paraId="05BABFB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685933A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142,985</w:t>
            </w:r>
          </w:p>
        </w:tc>
        <w:tc>
          <w:tcPr>
            <w:tcW w:w="1240" w:type="dxa"/>
            <w:tcBorders>
              <w:top w:val="nil"/>
              <w:left w:val="nil"/>
              <w:bottom w:val="single" w:sz="4" w:space="0" w:color="auto"/>
              <w:right w:val="single" w:sz="4" w:space="0" w:color="auto"/>
            </w:tcBorders>
            <w:vAlign w:val="center"/>
            <w:hideMark/>
          </w:tcPr>
          <w:p w:rsidR="00FA1DF6" w:rsidRPr="00FA1DF6" w:rsidP="00C40F8D" w14:paraId="41208B8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2        </w:t>
            </w:r>
          </w:p>
        </w:tc>
        <w:tc>
          <w:tcPr>
            <w:tcW w:w="1100" w:type="dxa"/>
            <w:tcBorders>
              <w:top w:val="nil"/>
              <w:left w:val="nil"/>
              <w:bottom w:val="single" w:sz="4" w:space="0" w:color="auto"/>
              <w:right w:val="single" w:sz="4" w:space="0" w:color="auto"/>
            </w:tcBorders>
            <w:vAlign w:val="center"/>
            <w:hideMark/>
          </w:tcPr>
          <w:p w:rsidR="00FA1DF6" w:rsidRPr="00FA1DF6" w:rsidP="00C40F8D" w14:paraId="18949FE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285,971</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18C7BBD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$43.49</w:t>
            </w:r>
          </w:p>
        </w:tc>
        <w:tc>
          <w:tcPr>
            <w:tcW w:w="1466" w:type="dxa"/>
            <w:tcBorders>
              <w:top w:val="nil"/>
              <w:left w:val="nil"/>
              <w:bottom w:val="single" w:sz="4" w:space="0" w:color="auto"/>
              <w:right w:val="single" w:sz="12" w:space="0" w:color="auto"/>
            </w:tcBorders>
            <w:vAlign w:val="center"/>
            <w:hideMark/>
          </w:tcPr>
          <w:p w:rsidR="00FA1DF6" w:rsidRPr="00FA1DF6" w:rsidP="006B0A0B" w14:paraId="417EB75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$12,436,879</w:t>
            </w:r>
          </w:p>
        </w:tc>
      </w:tr>
      <w:tr w14:paraId="340B19A8" w14:textId="77777777" w:rsidTr="00B142A3">
        <w:tblPrEx>
          <w:tblW w:w="11520" w:type="dxa"/>
          <w:jc w:val="center"/>
          <w:tblLook w:val="04A0"/>
        </w:tblPrEx>
        <w:trPr>
          <w:trHeight w:val="51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307EBEC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Employee Signs and Symptoms</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0968DDDD"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Worker</w:t>
            </w:r>
          </w:p>
        </w:tc>
        <w:tc>
          <w:tcPr>
            <w:tcW w:w="1406" w:type="dxa"/>
            <w:tcBorders>
              <w:top w:val="nil"/>
              <w:left w:val="nil"/>
              <w:bottom w:val="single" w:sz="4" w:space="0" w:color="auto"/>
              <w:right w:val="single" w:sz="4" w:space="0" w:color="auto"/>
            </w:tcBorders>
            <w:vAlign w:val="center"/>
            <w:hideMark/>
          </w:tcPr>
          <w:p w:rsidR="00FA1DF6" w:rsidRPr="00FA1DF6" w:rsidP="00C40F8D" w14:paraId="1714226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18,331</w:t>
            </w:r>
          </w:p>
        </w:tc>
        <w:tc>
          <w:tcPr>
            <w:tcW w:w="1320" w:type="dxa"/>
            <w:tcBorders>
              <w:top w:val="nil"/>
              <w:left w:val="nil"/>
              <w:bottom w:val="single" w:sz="4" w:space="0" w:color="auto"/>
              <w:right w:val="single" w:sz="4" w:space="0" w:color="auto"/>
            </w:tcBorders>
            <w:vAlign w:val="center"/>
            <w:hideMark/>
          </w:tcPr>
          <w:p w:rsidR="00FA1DF6" w:rsidRPr="00FA1DF6" w:rsidP="00C40F8D" w14:paraId="7A78AF5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02EAB7D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18,331</w:t>
            </w:r>
          </w:p>
        </w:tc>
        <w:tc>
          <w:tcPr>
            <w:tcW w:w="1240" w:type="dxa"/>
            <w:tcBorders>
              <w:top w:val="nil"/>
              <w:left w:val="nil"/>
              <w:bottom w:val="single" w:sz="4" w:space="0" w:color="auto"/>
              <w:right w:val="single" w:sz="4" w:space="0" w:color="auto"/>
            </w:tcBorders>
            <w:vAlign w:val="center"/>
            <w:hideMark/>
          </w:tcPr>
          <w:p w:rsidR="00FA1DF6" w:rsidRPr="00FA1DF6" w:rsidP="00C40F8D" w14:paraId="019B0E2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2        </w:t>
            </w:r>
          </w:p>
        </w:tc>
        <w:tc>
          <w:tcPr>
            <w:tcW w:w="1100" w:type="dxa"/>
            <w:tcBorders>
              <w:top w:val="nil"/>
              <w:left w:val="nil"/>
              <w:bottom w:val="single" w:sz="4" w:space="0" w:color="auto"/>
              <w:right w:val="single" w:sz="4" w:space="0" w:color="auto"/>
            </w:tcBorders>
            <w:vAlign w:val="center"/>
            <w:hideMark/>
          </w:tcPr>
          <w:p w:rsidR="00FA1DF6" w:rsidRPr="00FA1DF6" w:rsidP="00C40F8D" w14:paraId="347B4C6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36,663</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792F18E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$43.49</w:t>
            </w:r>
          </w:p>
        </w:tc>
        <w:tc>
          <w:tcPr>
            <w:tcW w:w="1466" w:type="dxa"/>
            <w:tcBorders>
              <w:top w:val="nil"/>
              <w:left w:val="nil"/>
              <w:bottom w:val="single" w:sz="4" w:space="0" w:color="auto"/>
              <w:right w:val="single" w:sz="12" w:space="0" w:color="auto"/>
            </w:tcBorders>
            <w:vAlign w:val="center"/>
            <w:hideMark/>
          </w:tcPr>
          <w:p w:rsidR="00FA1DF6" w:rsidRPr="00FA1DF6" w:rsidP="006B0A0B" w14:paraId="1EDA340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$1,594,474</w:t>
            </w:r>
          </w:p>
        </w:tc>
      </w:tr>
      <w:tr w14:paraId="0A1DFF51" w14:textId="77777777" w:rsidTr="00B142A3">
        <w:tblPrEx>
          <w:tblW w:w="11520" w:type="dxa"/>
          <w:jc w:val="center"/>
          <w:tblLook w:val="04A0"/>
        </w:tblPrEx>
        <w:trPr>
          <w:trHeight w:val="30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28E41A7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Additional</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51D76E2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Worker</w:t>
            </w:r>
          </w:p>
        </w:tc>
        <w:tc>
          <w:tcPr>
            <w:tcW w:w="1406" w:type="dxa"/>
            <w:tcBorders>
              <w:top w:val="nil"/>
              <w:left w:val="nil"/>
              <w:bottom w:val="single" w:sz="4" w:space="0" w:color="auto"/>
              <w:right w:val="single" w:sz="4" w:space="0" w:color="auto"/>
            </w:tcBorders>
            <w:vAlign w:val="center"/>
            <w:hideMark/>
          </w:tcPr>
          <w:p w:rsidR="00FA1DF6" w:rsidRPr="00FA1DF6" w:rsidP="00C40F8D" w14:paraId="50A9360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1,100</w:t>
            </w:r>
          </w:p>
        </w:tc>
        <w:tc>
          <w:tcPr>
            <w:tcW w:w="1320" w:type="dxa"/>
            <w:tcBorders>
              <w:top w:val="nil"/>
              <w:left w:val="nil"/>
              <w:bottom w:val="single" w:sz="4" w:space="0" w:color="auto"/>
              <w:right w:val="single" w:sz="4" w:space="0" w:color="auto"/>
            </w:tcBorders>
            <w:vAlign w:val="center"/>
            <w:hideMark/>
          </w:tcPr>
          <w:p w:rsidR="00FA1DF6" w:rsidRPr="00FA1DF6" w:rsidP="00C40F8D" w14:paraId="068B0B1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1F35CCBF"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1,100</w:t>
            </w:r>
          </w:p>
        </w:tc>
        <w:tc>
          <w:tcPr>
            <w:tcW w:w="1240" w:type="dxa"/>
            <w:tcBorders>
              <w:top w:val="nil"/>
              <w:left w:val="nil"/>
              <w:bottom w:val="single" w:sz="4" w:space="0" w:color="auto"/>
              <w:right w:val="single" w:sz="4" w:space="0" w:color="auto"/>
            </w:tcBorders>
            <w:vAlign w:val="center"/>
            <w:hideMark/>
          </w:tcPr>
          <w:p w:rsidR="00FA1DF6" w:rsidRPr="00FA1DF6" w:rsidP="00C40F8D" w14:paraId="6DFC8F3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2        </w:t>
            </w:r>
          </w:p>
        </w:tc>
        <w:tc>
          <w:tcPr>
            <w:tcW w:w="1100" w:type="dxa"/>
            <w:tcBorders>
              <w:top w:val="nil"/>
              <w:left w:val="nil"/>
              <w:bottom w:val="single" w:sz="4" w:space="0" w:color="auto"/>
              <w:right w:val="single" w:sz="4" w:space="0" w:color="auto"/>
            </w:tcBorders>
            <w:vAlign w:val="center"/>
            <w:hideMark/>
          </w:tcPr>
          <w:p w:rsidR="00FA1DF6" w:rsidRPr="00FA1DF6" w:rsidP="00C40F8D" w14:paraId="0D0FAE17"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2,200</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2D96725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$43.49</w:t>
            </w:r>
          </w:p>
        </w:tc>
        <w:tc>
          <w:tcPr>
            <w:tcW w:w="1466" w:type="dxa"/>
            <w:tcBorders>
              <w:top w:val="nil"/>
              <w:left w:val="nil"/>
              <w:bottom w:val="single" w:sz="4" w:space="0" w:color="auto"/>
              <w:right w:val="single" w:sz="12" w:space="0" w:color="auto"/>
            </w:tcBorders>
            <w:vAlign w:val="center"/>
            <w:hideMark/>
          </w:tcPr>
          <w:p w:rsidR="00FA1DF6" w:rsidRPr="00FA1DF6" w:rsidP="006B0A0B" w14:paraId="7FAC254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$95,678</w:t>
            </w:r>
          </w:p>
        </w:tc>
      </w:tr>
      <w:tr w14:paraId="204EF53B" w14:textId="77777777" w:rsidTr="00B142A3">
        <w:tblPrEx>
          <w:tblW w:w="11520" w:type="dxa"/>
          <w:jc w:val="center"/>
          <w:tblLook w:val="04A0"/>
        </w:tblPrEx>
        <w:trPr>
          <w:trHeight w:val="48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3BD86BA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Multiple Physician Review </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78A73D2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Supervisor</w:t>
            </w:r>
          </w:p>
        </w:tc>
        <w:tc>
          <w:tcPr>
            <w:tcW w:w="1406" w:type="dxa"/>
            <w:tcBorders>
              <w:top w:val="nil"/>
              <w:left w:val="nil"/>
              <w:bottom w:val="single" w:sz="4" w:space="0" w:color="auto"/>
              <w:right w:val="single" w:sz="4" w:space="0" w:color="auto"/>
            </w:tcBorders>
            <w:vAlign w:val="center"/>
            <w:hideMark/>
          </w:tcPr>
          <w:p w:rsidR="00FA1DF6" w:rsidRPr="00FA1DF6" w:rsidP="00C40F8D" w14:paraId="42E2370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269,840</w:t>
            </w:r>
          </w:p>
        </w:tc>
        <w:tc>
          <w:tcPr>
            <w:tcW w:w="1320" w:type="dxa"/>
            <w:tcBorders>
              <w:top w:val="nil"/>
              <w:left w:val="nil"/>
              <w:bottom w:val="single" w:sz="4" w:space="0" w:color="auto"/>
              <w:right w:val="single" w:sz="4" w:space="0" w:color="auto"/>
            </w:tcBorders>
            <w:vAlign w:val="center"/>
            <w:hideMark/>
          </w:tcPr>
          <w:p w:rsidR="00FA1DF6" w:rsidRPr="00FA1DF6" w:rsidP="00C40F8D" w14:paraId="7B658EA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021ECD0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269,840</w:t>
            </w:r>
          </w:p>
        </w:tc>
        <w:tc>
          <w:tcPr>
            <w:tcW w:w="1240" w:type="dxa"/>
            <w:tcBorders>
              <w:top w:val="nil"/>
              <w:left w:val="nil"/>
              <w:bottom w:val="single" w:sz="4" w:space="0" w:color="auto"/>
              <w:right w:val="single" w:sz="4" w:space="0" w:color="auto"/>
            </w:tcBorders>
            <w:vAlign w:val="center"/>
            <w:hideMark/>
          </w:tcPr>
          <w:p w:rsidR="00FA1DF6" w:rsidRPr="00FA1DF6" w:rsidP="00C40F8D" w14:paraId="72AD35AD"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1/60 </w:t>
            </w:r>
          </w:p>
        </w:tc>
        <w:tc>
          <w:tcPr>
            <w:tcW w:w="1100" w:type="dxa"/>
            <w:tcBorders>
              <w:top w:val="nil"/>
              <w:left w:val="nil"/>
              <w:bottom w:val="single" w:sz="4" w:space="0" w:color="auto"/>
              <w:right w:val="single" w:sz="4" w:space="0" w:color="auto"/>
            </w:tcBorders>
            <w:vAlign w:val="center"/>
            <w:hideMark/>
          </w:tcPr>
          <w:p w:rsidR="00FA1DF6" w:rsidRPr="00FA1DF6" w:rsidP="00C40F8D" w14:paraId="79F11267" w14:textId="77777777">
            <w:pPr>
              <w:widowControl/>
              <w:autoSpaceDE/>
              <w:autoSpaceDN/>
              <w:adjustRightInd/>
              <w:jc w:val="center"/>
              <w:rPr>
                <w:rFonts w:ascii="Times New Roman" w:eastAsia="Times New Roman"/>
                <w:sz w:val="20"/>
                <w:szCs w:val="20"/>
              </w:rPr>
            </w:pPr>
            <w:r w:rsidRPr="00FA1DF6">
              <w:rPr>
                <w:rFonts w:ascii="Times New Roman" w:eastAsia="Times New Roman"/>
                <w:sz w:val="20"/>
                <w:szCs w:val="20"/>
              </w:rPr>
              <w:t>4,497</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305BE13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$74.26</w:t>
            </w:r>
          </w:p>
        </w:tc>
        <w:tc>
          <w:tcPr>
            <w:tcW w:w="1466" w:type="dxa"/>
            <w:tcBorders>
              <w:top w:val="nil"/>
              <w:left w:val="nil"/>
              <w:bottom w:val="single" w:sz="4" w:space="0" w:color="auto"/>
              <w:right w:val="single" w:sz="12" w:space="0" w:color="auto"/>
            </w:tcBorders>
            <w:vAlign w:val="center"/>
            <w:hideMark/>
          </w:tcPr>
          <w:p w:rsidR="00FA1DF6" w:rsidRPr="00FA1DF6" w:rsidP="006B0A0B" w14:paraId="4FDB04A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$333,947</w:t>
            </w:r>
          </w:p>
        </w:tc>
      </w:tr>
      <w:tr w14:paraId="07682056" w14:textId="77777777" w:rsidTr="00B142A3">
        <w:tblPrEx>
          <w:tblW w:w="11520" w:type="dxa"/>
          <w:jc w:val="center"/>
          <w:tblLook w:val="04A0"/>
        </w:tblPrEx>
        <w:trPr>
          <w:trHeight w:val="51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10229B7F"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Information to the Physician</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1AB4206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Supervisor</w:t>
            </w:r>
          </w:p>
        </w:tc>
        <w:tc>
          <w:tcPr>
            <w:tcW w:w="1406" w:type="dxa"/>
            <w:tcBorders>
              <w:top w:val="nil"/>
              <w:left w:val="nil"/>
              <w:bottom w:val="single" w:sz="4" w:space="0" w:color="auto"/>
              <w:right w:val="single" w:sz="4" w:space="0" w:color="auto"/>
            </w:tcBorders>
            <w:vAlign w:val="center"/>
            <w:hideMark/>
          </w:tcPr>
          <w:p w:rsidR="00FA1DF6" w:rsidRPr="00FA1DF6" w:rsidP="00C40F8D" w14:paraId="0B4C751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269,840</w:t>
            </w:r>
          </w:p>
        </w:tc>
        <w:tc>
          <w:tcPr>
            <w:tcW w:w="1320" w:type="dxa"/>
            <w:tcBorders>
              <w:top w:val="nil"/>
              <w:left w:val="nil"/>
              <w:bottom w:val="single" w:sz="4" w:space="0" w:color="auto"/>
              <w:right w:val="single" w:sz="4" w:space="0" w:color="auto"/>
            </w:tcBorders>
            <w:vAlign w:val="center"/>
            <w:hideMark/>
          </w:tcPr>
          <w:p w:rsidR="00FA1DF6" w:rsidRPr="00FA1DF6" w:rsidP="00C40F8D" w14:paraId="0F34295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5F2243A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269,840</w:t>
            </w:r>
          </w:p>
        </w:tc>
        <w:tc>
          <w:tcPr>
            <w:tcW w:w="1240" w:type="dxa"/>
            <w:tcBorders>
              <w:top w:val="nil"/>
              <w:left w:val="nil"/>
              <w:bottom w:val="single" w:sz="4" w:space="0" w:color="auto"/>
              <w:right w:val="single" w:sz="4" w:space="0" w:color="auto"/>
            </w:tcBorders>
            <w:vAlign w:val="center"/>
            <w:hideMark/>
          </w:tcPr>
          <w:p w:rsidR="00FA1DF6" w:rsidRPr="00FA1DF6" w:rsidP="00C40F8D" w14:paraId="408AF44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1/12 </w:t>
            </w:r>
          </w:p>
        </w:tc>
        <w:tc>
          <w:tcPr>
            <w:tcW w:w="1100" w:type="dxa"/>
            <w:tcBorders>
              <w:top w:val="nil"/>
              <w:left w:val="nil"/>
              <w:bottom w:val="single" w:sz="4" w:space="0" w:color="auto"/>
              <w:right w:val="single" w:sz="4" w:space="0" w:color="auto"/>
            </w:tcBorders>
            <w:vAlign w:val="center"/>
            <w:hideMark/>
          </w:tcPr>
          <w:p w:rsidR="00FA1DF6" w:rsidRPr="00FA1DF6" w:rsidP="00C40F8D" w14:paraId="2DC9222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22,487</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182F0E87"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$74.26</w:t>
            </w:r>
          </w:p>
        </w:tc>
        <w:tc>
          <w:tcPr>
            <w:tcW w:w="1466" w:type="dxa"/>
            <w:tcBorders>
              <w:top w:val="nil"/>
              <w:left w:val="nil"/>
              <w:bottom w:val="single" w:sz="4" w:space="0" w:color="auto"/>
              <w:right w:val="single" w:sz="12" w:space="0" w:color="auto"/>
            </w:tcBorders>
            <w:vAlign w:val="center"/>
            <w:hideMark/>
          </w:tcPr>
          <w:p w:rsidR="00FA1DF6" w:rsidRPr="00FA1DF6" w:rsidP="006B0A0B" w14:paraId="604D0FE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$1,669,885</w:t>
            </w:r>
          </w:p>
        </w:tc>
      </w:tr>
      <w:tr w14:paraId="287ED7B0" w14:textId="77777777" w:rsidTr="00B142A3">
        <w:tblPrEx>
          <w:tblW w:w="11520" w:type="dxa"/>
          <w:jc w:val="center"/>
          <w:tblLook w:val="04A0"/>
        </w:tblPrEx>
        <w:trPr>
          <w:trHeight w:val="51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40AD29A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Physician's Written Opinion</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4E24D90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Supervisor</w:t>
            </w:r>
          </w:p>
        </w:tc>
        <w:tc>
          <w:tcPr>
            <w:tcW w:w="1406" w:type="dxa"/>
            <w:tcBorders>
              <w:top w:val="nil"/>
              <w:left w:val="nil"/>
              <w:bottom w:val="single" w:sz="4" w:space="0" w:color="auto"/>
              <w:right w:val="single" w:sz="4" w:space="0" w:color="auto"/>
            </w:tcBorders>
            <w:vAlign w:val="center"/>
            <w:hideMark/>
          </w:tcPr>
          <w:p w:rsidR="00FA1DF6" w:rsidRPr="00FA1DF6" w:rsidP="00C40F8D" w14:paraId="76A6625D"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269,840</w:t>
            </w:r>
          </w:p>
        </w:tc>
        <w:tc>
          <w:tcPr>
            <w:tcW w:w="1320" w:type="dxa"/>
            <w:tcBorders>
              <w:top w:val="nil"/>
              <w:left w:val="nil"/>
              <w:bottom w:val="single" w:sz="4" w:space="0" w:color="auto"/>
              <w:right w:val="single" w:sz="4" w:space="0" w:color="auto"/>
            </w:tcBorders>
            <w:vAlign w:val="center"/>
            <w:hideMark/>
          </w:tcPr>
          <w:p w:rsidR="00FA1DF6" w:rsidRPr="00FA1DF6" w:rsidP="00C40F8D" w14:paraId="681889E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106FA0DD"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269,840</w:t>
            </w:r>
          </w:p>
        </w:tc>
        <w:tc>
          <w:tcPr>
            <w:tcW w:w="1240" w:type="dxa"/>
            <w:tcBorders>
              <w:top w:val="nil"/>
              <w:left w:val="nil"/>
              <w:bottom w:val="single" w:sz="4" w:space="0" w:color="auto"/>
              <w:right w:val="single" w:sz="4" w:space="0" w:color="auto"/>
            </w:tcBorders>
            <w:vAlign w:val="center"/>
            <w:hideMark/>
          </w:tcPr>
          <w:p w:rsidR="00FA1DF6" w:rsidRPr="00FA1DF6" w:rsidP="00C40F8D" w14:paraId="257B035F"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1/12 </w:t>
            </w:r>
          </w:p>
        </w:tc>
        <w:tc>
          <w:tcPr>
            <w:tcW w:w="1100" w:type="dxa"/>
            <w:tcBorders>
              <w:top w:val="nil"/>
              <w:left w:val="nil"/>
              <w:bottom w:val="single" w:sz="4" w:space="0" w:color="auto"/>
              <w:right w:val="single" w:sz="4" w:space="0" w:color="auto"/>
            </w:tcBorders>
            <w:vAlign w:val="center"/>
            <w:hideMark/>
          </w:tcPr>
          <w:p w:rsidR="00FA1DF6" w:rsidRPr="00FA1DF6" w:rsidP="00C40F8D" w14:paraId="7B3D191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22,487</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71F98A4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$74.26</w:t>
            </w:r>
          </w:p>
        </w:tc>
        <w:tc>
          <w:tcPr>
            <w:tcW w:w="1466" w:type="dxa"/>
            <w:tcBorders>
              <w:top w:val="nil"/>
              <w:left w:val="nil"/>
              <w:bottom w:val="single" w:sz="4" w:space="0" w:color="auto"/>
              <w:right w:val="single" w:sz="12" w:space="0" w:color="auto"/>
            </w:tcBorders>
            <w:vAlign w:val="center"/>
            <w:hideMark/>
          </w:tcPr>
          <w:p w:rsidR="00FA1DF6" w:rsidRPr="00FA1DF6" w:rsidP="006B0A0B" w14:paraId="0D3AEC1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$1,669,885</w:t>
            </w:r>
          </w:p>
        </w:tc>
      </w:tr>
      <w:tr w14:paraId="4D792462" w14:textId="77777777" w:rsidTr="00B142A3">
        <w:tblPrEx>
          <w:tblW w:w="11520" w:type="dxa"/>
          <w:jc w:val="center"/>
          <w:tblLook w:val="04A0"/>
        </w:tblPrEx>
        <w:trPr>
          <w:trHeight w:val="30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2525456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Chelation Notification </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21E4E27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Supervisor</w:t>
            </w:r>
          </w:p>
        </w:tc>
        <w:tc>
          <w:tcPr>
            <w:tcW w:w="1406" w:type="dxa"/>
            <w:tcBorders>
              <w:top w:val="nil"/>
              <w:left w:val="nil"/>
              <w:bottom w:val="single" w:sz="4" w:space="0" w:color="auto"/>
              <w:right w:val="single" w:sz="4" w:space="0" w:color="auto"/>
            </w:tcBorders>
            <w:vAlign w:val="center"/>
            <w:hideMark/>
          </w:tcPr>
          <w:p w:rsidR="00FA1DF6" w:rsidRPr="00FA1DF6" w:rsidP="00C40F8D" w14:paraId="64D13C8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320" w:type="dxa"/>
            <w:tcBorders>
              <w:top w:val="nil"/>
              <w:left w:val="nil"/>
              <w:bottom w:val="single" w:sz="4" w:space="0" w:color="auto"/>
              <w:right w:val="single" w:sz="4" w:space="0" w:color="auto"/>
            </w:tcBorders>
            <w:vAlign w:val="center"/>
            <w:hideMark/>
          </w:tcPr>
          <w:p w:rsidR="00FA1DF6" w:rsidRPr="00FA1DF6" w:rsidP="00C40F8D" w14:paraId="4A0C21E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4E7E1F8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240" w:type="dxa"/>
            <w:tcBorders>
              <w:top w:val="nil"/>
              <w:left w:val="nil"/>
              <w:bottom w:val="single" w:sz="4" w:space="0" w:color="auto"/>
              <w:right w:val="single" w:sz="4" w:space="0" w:color="auto"/>
            </w:tcBorders>
            <w:vAlign w:val="center"/>
            <w:hideMark/>
          </w:tcPr>
          <w:p w:rsidR="00FA1DF6" w:rsidRPr="00FA1DF6" w:rsidP="00C40F8D" w14:paraId="578C016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1        </w:t>
            </w:r>
          </w:p>
        </w:tc>
        <w:tc>
          <w:tcPr>
            <w:tcW w:w="1100" w:type="dxa"/>
            <w:tcBorders>
              <w:top w:val="nil"/>
              <w:left w:val="nil"/>
              <w:bottom w:val="single" w:sz="4" w:space="0" w:color="auto"/>
              <w:right w:val="single" w:sz="4" w:space="0" w:color="auto"/>
            </w:tcBorders>
            <w:vAlign w:val="center"/>
            <w:hideMark/>
          </w:tcPr>
          <w:p w:rsidR="00FA1DF6" w:rsidRPr="00FA1DF6" w:rsidP="00C40F8D" w14:paraId="311F200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121C117F"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$74.26</w:t>
            </w:r>
          </w:p>
        </w:tc>
        <w:tc>
          <w:tcPr>
            <w:tcW w:w="1466" w:type="dxa"/>
            <w:tcBorders>
              <w:top w:val="nil"/>
              <w:left w:val="nil"/>
              <w:bottom w:val="single" w:sz="4" w:space="0" w:color="auto"/>
              <w:right w:val="single" w:sz="12" w:space="0" w:color="auto"/>
            </w:tcBorders>
            <w:vAlign w:val="center"/>
            <w:hideMark/>
          </w:tcPr>
          <w:p w:rsidR="00FA1DF6" w:rsidRPr="00FA1DF6" w:rsidP="006B0A0B" w14:paraId="59D7F90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$74</w:t>
            </w:r>
          </w:p>
        </w:tc>
      </w:tr>
      <w:tr w14:paraId="5756F49F" w14:textId="77777777" w:rsidTr="00B142A3">
        <w:tblPrEx>
          <w:tblW w:w="11520" w:type="dxa"/>
          <w:jc w:val="center"/>
          <w:tblLook w:val="04A0"/>
        </w:tblPrEx>
        <w:trPr>
          <w:trHeight w:val="300"/>
          <w:jc w:val="center"/>
        </w:trPr>
        <w:tc>
          <w:tcPr>
            <w:tcW w:w="4254" w:type="dxa"/>
            <w:gridSpan w:val="4"/>
            <w:tcBorders>
              <w:top w:val="single" w:sz="4" w:space="0" w:color="auto"/>
              <w:left w:val="single" w:sz="12" w:space="0" w:color="auto"/>
              <w:bottom w:val="single" w:sz="4" w:space="0" w:color="auto"/>
              <w:right w:val="nil"/>
            </w:tcBorders>
            <w:shd w:val="clear" w:color="000000" w:fill="F2F2F2"/>
            <w:vAlign w:val="center"/>
            <w:hideMark/>
          </w:tcPr>
          <w:p w:rsidR="00FA1DF6" w:rsidRPr="00B25AA4" w:rsidP="00C40F8D" w14:paraId="3B75AF33" w14:textId="77777777">
            <w:pPr>
              <w:widowControl/>
              <w:autoSpaceDE/>
              <w:autoSpaceDN/>
              <w:adjustRightInd/>
              <w:jc w:val="right"/>
              <w:rPr>
                <w:rFonts w:ascii="Times New Roman" w:eastAsia="Times New Roman"/>
                <w:b/>
                <w:bCs/>
                <w:i/>
                <w:iCs/>
                <w:color w:val="000000"/>
                <w:sz w:val="20"/>
                <w:szCs w:val="20"/>
              </w:rPr>
            </w:pPr>
            <w:r w:rsidRPr="00B25AA4">
              <w:rPr>
                <w:rFonts w:ascii="Times New Roman" w:eastAsia="Times New Roman"/>
                <w:b/>
                <w:bCs/>
                <w:i/>
                <w:iCs/>
                <w:color w:val="000000"/>
                <w:sz w:val="20"/>
                <w:szCs w:val="20"/>
              </w:rPr>
              <w:t>Subtotal - Medical Examinations</w:t>
            </w:r>
          </w:p>
        </w:tc>
        <w:tc>
          <w:tcPr>
            <w:tcW w:w="1320" w:type="dxa"/>
            <w:tcBorders>
              <w:top w:val="nil"/>
              <w:left w:val="single" w:sz="4" w:space="0" w:color="auto"/>
              <w:bottom w:val="single" w:sz="4" w:space="0" w:color="auto"/>
              <w:right w:val="single" w:sz="4" w:space="0" w:color="auto"/>
            </w:tcBorders>
            <w:shd w:val="clear" w:color="000000" w:fill="F2F2F2"/>
            <w:vAlign w:val="center"/>
            <w:hideMark/>
          </w:tcPr>
          <w:p w:rsidR="00FA1DF6" w:rsidRPr="00FA1DF6" w:rsidP="00C40F8D" w14:paraId="2CCF0B13"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4" w:space="0" w:color="auto"/>
              <w:right w:val="single" w:sz="4" w:space="0" w:color="auto"/>
            </w:tcBorders>
            <w:shd w:val="clear" w:color="000000" w:fill="C6E0B4"/>
            <w:vAlign w:val="center"/>
            <w:hideMark/>
          </w:tcPr>
          <w:p w:rsidR="00FA1DF6" w:rsidRPr="00FA1DF6" w:rsidP="00C40F8D" w14:paraId="1DE89FB0"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1,079,360</w:t>
            </w:r>
          </w:p>
        </w:tc>
        <w:tc>
          <w:tcPr>
            <w:tcW w:w="1240" w:type="dxa"/>
            <w:tcBorders>
              <w:top w:val="nil"/>
              <w:left w:val="nil"/>
              <w:bottom w:val="single" w:sz="4" w:space="0" w:color="auto"/>
              <w:right w:val="single" w:sz="4" w:space="0" w:color="auto"/>
            </w:tcBorders>
            <w:shd w:val="clear" w:color="000000" w:fill="F2F2F2"/>
            <w:vAlign w:val="center"/>
            <w:hideMark/>
          </w:tcPr>
          <w:p w:rsidR="00FA1DF6" w:rsidRPr="00FA1DF6" w:rsidP="00C40F8D" w14:paraId="0042D6DE"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4" w:space="0" w:color="auto"/>
              <w:right w:val="single" w:sz="4" w:space="0" w:color="auto"/>
            </w:tcBorders>
            <w:shd w:val="clear" w:color="000000" w:fill="C6E0B4"/>
            <w:vAlign w:val="center"/>
            <w:hideMark/>
          </w:tcPr>
          <w:p w:rsidR="00FA1DF6" w:rsidRPr="00FA1DF6" w:rsidP="00C40F8D" w14:paraId="1F39B168"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589,152</w:t>
            </w:r>
          </w:p>
        </w:tc>
        <w:tc>
          <w:tcPr>
            <w:tcW w:w="1040" w:type="dxa"/>
            <w:tcBorders>
              <w:top w:val="nil"/>
              <w:left w:val="nil"/>
              <w:bottom w:val="single" w:sz="4" w:space="0" w:color="auto"/>
              <w:right w:val="single" w:sz="4" w:space="0" w:color="auto"/>
            </w:tcBorders>
            <w:shd w:val="clear" w:color="000000" w:fill="F2F2F2"/>
            <w:vAlign w:val="center"/>
            <w:hideMark/>
          </w:tcPr>
          <w:p w:rsidR="00FA1DF6" w:rsidRPr="00FA1DF6" w:rsidP="006B0A0B" w14:paraId="0357A373" w14:textId="44BCD0F5">
            <w:pPr>
              <w:widowControl/>
              <w:autoSpaceDE/>
              <w:autoSpaceDN/>
              <w:adjustRightInd/>
              <w:jc w:val="center"/>
              <w:rPr>
                <w:rFonts w:ascii="Times New Roman" w:eastAsia="Times New Roman"/>
                <w:b/>
                <w:bCs/>
                <w:color w:val="000000"/>
                <w:sz w:val="20"/>
                <w:szCs w:val="20"/>
              </w:rPr>
            </w:pPr>
          </w:p>
        </w:tc>
        <w:tc>
          <w:tcPr>
            <w:tcW w:w="1466" w:type="dxa"/>
            <w:tcBorders>
              <w:top w:val="nil"/>
              <w:left w:val="nil"/>
              <w:bottom w:val="single" w:sz="4" w:space="0" w:color="auto"/>
              <w:right w:val="single" w:sz="12" w:space="0" w:color="auto"/>
            </w:tcBorders>
            <w:shd w:val="clear" w:color="000000" w:fill="C6E0B4"/>
            <w:vAlign w:val="center"/>
            <w:hideMark/>
          </w:tcPr>
          <w:p w:rsidR="00FA1DF6" w:rsidRPr="00FA1DF6" w:rsidP="006B0A0B" w14:paraId="54262B46"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$27,144,475</w:t>
            </w:r>
          </w:p>
        </w:tc>
      </w:tr>
      <w:tr w14:paraId="68A02600" w14:textId="77777777" w:rsidTr="00B142A3">
        <w:tblPrEx>
          <w:tblW w:w="11520" w:type="dxa"/>
          <w:jc w:val="center"/>
          <w:tblLook w:val="04A0"/>
        </w:tblPrEx>
        <w:trPr>
          <w:trHeight w:val="150"/>
          <w:jc w:val="center"/>
        </w:trPr>
        <w:tc>
          <w:tcPr>
            <w:tcW w:w="1620" w:type="dxa"/>
            <w:tcBorders>
              <w:top w:val="nil"/>
              <w:left w:val="single" w:sz="12" w:space="0" w:color="auto"/>
              <w:bottom w:val="single" w:sz="8" w:space="0" w:color="auto"/>
              <w:right w:val="nil"/>
            </w:tcBorders>
            <w:shd w:val="clear" w:color="000000" w:fill="AEAAAA"/>
            <w:vAlign w:val="center"/>
            <w:hideMark/>
          </w:tcPr>
          <w:p w:rsidR="00FA1DF6" w:rsidRPr="00FA1DF6" w:rsidP="00C40F8D" w14:paraId="3DF34995"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228" w:type="dxa"/>
            <w:gridSpan w:val="2"/>
            <w:tcBorders>
              <w:top w:val="nil"/>
              <w:left w:val="nil"/>
              <w:bottom w:val="single" w:sz="8" w:space="0" w:color="auto"/>
              <w:right w:val="nil"/>
            </w:tcBorders>
            <w:shd w:val="clear" w:color="000000" w:fill="AEAAAA"/>
            <w:vAlign w:val="center"/>
            <w:hideMark/>
          </w:tcPr>
          <w:p w:rsidR="00FA1DF6" w:rsidRPr="00FA1DF6" w:rsidP="00C40F8D" w14:paraId="395AC075"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406" w:type="dxa"/>
            <w:tcBorders>
              <w:top w:val="nil"/>
              <w:left w:val="nil"/>
              <w:bottom w:val="single" w:sz="8" w:space="0" w:color="auto"/>
              <w:right w:val="nil"/>
            </w:tcBorders>
            <w:shd w:val="clear" w:color="000000" w:fill="AEAAAA"/>
            <w:vAlign w:val="center"/>
            <w:hideMark/>
          </w:tcPr>
          <w:p w:rsidR="00FA1DF6" w:rsidRPr="00FA1DF6" w:rsidP="00C40F8D" w14:paraId="69960E7C"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320" w:type="dxa"/>
            <w:tcBorders>
              <w:top w:val="nil"/>
              <w:left w:val="nil"/>
              <w:bottom w:val="single" w:sz="8" w:space="0" w:color="auto"/>
              <w:right w:val="nil"/>
            </w:tcBorders>
            <w:shd w:val="clear" w:color="000000" w:fill="AEAAAA"/>
            <w:vAlign w:val="center"/>
            <w:hideMark/>
          </w:tcPr>
          <w:p w:rsidR="00FA1DF6" w:rsidRPr="00FA1DF6" w:rsidP="00C40F8D" w14:paraId="3CB69DEA"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8" w:space="0" w:color="auto"/>
              <w:right w:val="nil"/>
            </w:tcBorders>
            <w:shd w:val="clear" w:color="000000" w:fill="AEAAAA"/>
            <w:vAlign w:val="center"/>
            <w:hideMark/>
          </w:tcPr>
          <w:p w:rsidR="00FA1DF6" w:rsidRPr="00FA1DF6" w:rsidP="00C40F8D" w14:paraId="44D4DEF1"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240" w:type="dxa"/>
            <w:tcBorders>
              <w:top w:val="nil"/>
              <w:left w:val="nil"/>
              <w:bottom w:val="single" w:sz="8" w:space="0" w:color="auto"/>
              <w:right w:val="nil"/>
            </w:tcBorders>
            <w:shd w:val="clear" w:color="000000" w:fill="AEAAAA"/>
            <w:vAlign w:val="center"/>
            <w:hideMark/>
          </w:tcPr>
          <w:p w:rsidR="00FA1DF6" w:rsidRPr="00FA1DF6" w:rsidP="00C40F8D" w14:paraId="3579A196"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8" w:space="0" w:color="auto"/>
              <w:right w:val="nil"/>
            </w:tcBorders>
            <w:shd w:val="clear" w:color="000000" w:fill="AEAAAA"/>
            <w:vAlign w:val="center"/>
            <w:hideMark/>
          </w:tcPr>
          <w:p w:rsidR="00FA1DF6" w:rsidRPr="00FA1DF6" w:rsidP="00C40F8D" w14:paraId="1638CFC3"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040" w:type="dxa"/>
            <w:tcBorders>
              <w:top w:val="nil"/>
              <w:left w:val="nil"/>
              <w:bottom w:val="single" w:sz="8" w:space="0" w:color="auto"/>
              <w:right w:val="nil"/>
            </w:tcBorders>
            <w:shd w:val="clear" w:color="000000" w:fill="AEAAAA"/>
            <w:vAlign w:val="center"/>
            <w:hideMark/>
          </w:tcPr>
          <w:p w:rsidR="00FA1DF6" w:rsidRPr="00FA1DF6" w:rsidP="006B0A0B" w14:paraId="1C871E45" w14:textId="1AA9336E">
            <w:pPr>
              <w:widowControl/>
              <w:autoSpaceDE/>
              <w:autoSpaceDN/>
              <w:adjustRightInd/>
              <w:jc w:val="center"/>
              <w:rPr>
                <w:rFonts w:ascii="Times New Roman" w:eastAsia="Times New Roman"/>
                <w:b/>
                <w:bCs/>
                <w:color w:val="000000"/>
                <w:sz w:val="20"/>
                <w:szCs w:val="20"/>
              </w:rPr>
            </w:pPr>
          </w:p>
        </w:tc>
        <w:tc>
          <w:tcPr>
            <w:tcW w:w="1466" w:type="dxa"/>
            <w:tcBorders>
              <w:top w:val="nil"/>
              <w:left w:val="nil"/>
              <w:bottom w:val="single" w:sz="8" w:space="0" w:color="auto"/>
              <w:right w:val="single" w:sz="12" w:space="0" w:color="auto"/>
            </w:tcBorders>
            <w:shd w:val="clear" w:color="000000" w:fill="AEAAAA"/>
            <w:vAlign w:val="center"/>
            <w:hideMark/>
          </w:tcPr>
          <w:p w:rsidR="00FA1DF6" w:rsidRPr="00FA1DF6" w:rsidP="006B0A0B" w14:paraId="06A0F9E9" w14:textId="6826B011">
            <w:pPr>
              <w:widowControl/>
              <w:autoSpaceDE/>
              <w:autoSpaceDN/>
              <w:adjustRightInd/>
              <w:jc w:val="center"/>
              <w:rPr>
                <w:rFonts w:ascii="Times New Roman" w:eastAsia="Times New Roman"/>
                <w:b/>
                <w:bCs/>
                <w:color w:val="000000"/>
                <w:sz w:val="20"/>
                <w:szCs w:val="20"/>
              </w:rPr>
            </w:pPr>
          </w:p>
        </w:tc>
      </w:tr>
      <w:tr w14:paraId="52652D19" w14:textId="77777777" w:rsidTr="00B142A3">
        <w:tblPrEx>
          <w:tblW w:w="11520" w:type="dxa"/>
          <w:jc w:val="center"/>
          <w:tblLook w:val="04A0"/>
        </w:tblPrEx>
        <w:trPr>
          <w:trHeight w:val="300"/>
          <w:jc w:val="center"/>
        </w:trPr>
        <w:tc>
          <w:tcPr>
            <w:tcW w:w="1620" w:type="dxa"/>
            <w:tcBorders>
              <w:top w:val="nil"/>
              <w:left w:val="single" w:sz="12" w:space="0" w:color="auto"/>
              <w:bottom w:val="nil"/>
              <w:right w:val="single" w:sz="8" w:space="0" w:color="auto"/>
            </w:tcBorders>
            <w:shd w:val="clear" w:color="000000" w:fill="D0CECE"/>
            <w:vAlign w:val="center"/>
            <w:hideMark/>
          </w:tcPr>
          <w:p w:rsidR="00FA1DF6" w:rsidRPr="00FA1DF6" w:rsidP="00C40F8D" w14:paraId="62DEBD57"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Recordkeeping</w:t>
            </w:r>
          </w:p>
        </w:tc>
        <w:tc>
          <w:tcPr>
            <w:tcW w:w="1228" w:type="dxa"/>
            <w:gridSpan w:val="2"/>
            <w:tcBorders>
              <w:top w:val="nil"/>
              <w:left w:val="nil"/>
              <w:bottom w:val="nil"/>
              <w:right w:val="single" w:sz="8" w:space="0" w:color="auto"/>
            </w:tcBorders>
            <w:shd w:val="clear" w:color="000000" w:fill="D0CECE"/>
            <w:vAlign w:val="center"/>
            <w:hideMark/>
          </w:tcPr>
          <w:p w:rsidR="00FA1DF6" w:rsidRPr="00FA1DF6" w:rsidP="00C40F8D" w14:paraId="1612AFA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406" w:type="dxa"/>
            <w:tcBorders>
              <w:top w:val="nil"/>
              <w:left w:val="nil"/>
              <w:bottom w:val="nil"/>
              <w:right w:val="single" w:sz="8" w:space="0" w:color="auto"/>
            </w:tcBorders>
            <w:shd w:val="clear" w:color="000000" w:fill="D0CECE"/>
            <w:vAlign w:val="center"/>
            <w:hideMark/>
          </w:tcPr>
          <w:p w:rsidR="00FA1DF6" w:rsidRPr="00FA1DF6" w:rsidP="00C40F8D" w14:paraId="65E9C64D"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320" w:type="dxa"/>
            <w:tcBorders>
              <w:top w:val="nil"/>
              <w:left w:val="nil"/>
              <w:bottom w:val="nil"/>
              <w:right w:val="single" w:sz="8" w:space="0" w:color="auto"/>
            </w:tcBorders>
            <w:shd w:val="clear" w:color="000000" w:fill="D0CECE"/>
            <w:vAlign w:val="center"/>
            <w:hideMark/>
          </w:tcPr>
          <w:p w:rsidR="00FA1DF6" w:rsidRPr="00FA1DF6" w:rsidP="00C40F8D" w14:paraId="546964F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nil"/>
              <w:right w:val="single" w:sz="8" w:space="0" w:color="auto"/>
            </w:tcBorders>
            <w:shd w:val="clear" w:color="000000" w:fill="D0CECE"/>
            <w:vAlign w:val="center"/>
            <w:hideMark/>
          </w:tcPr>
          <w:p w:rsidR="00FA1DF6" w:rsidRPr="00FA1DF6" w:rsidP="00C40F8D" w14:paraId="6A54492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240" w:type="dxa"/>
            <w:tcBorders>
              <w:top w:val="nil"/>
              <w:left w:val="nil"/>
              <w:bottom w:val="nil"/>
              <w:right w:val="single" w:sz="8" w:space="0" w:color="auto"/>
            </w:tcBorders>
            <w:shd w:val="clear" w:color="000000" w:fill="D0CECE"/>
            <w:vAlign w:val="center"/>
            <w:hideMark/>
          </w:tcPr>
          <w:p w:rsidR="00FA1DF6" w:rsidRPr="00FA1DF6" w:rsidP="00C40F8D" w14:paraId="3E863D3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nil"/>
              <w:right w:val="single" w:sz="8" w:space="0" w:color="auto"/>
            </w:tcBorders>
            <w:shd w:val="clear" w:color="000000" w:fill="D0CECE"/>
            <w:vAlign w:val="center"/>
            <w:hideMark/>
          </w:tcPr>
          <w:p w:rsidR="00FA1DF6" w:rsidRPr="00FA1DF6" w:rsidP="00C40F8D" w14:paraId="3EE6889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040" w:type="dxa"/>
            <w:tcBorders>
              <w:top w:val="nil"/>
              <w:left w:val="nil"/>
              <w:bottom w:val="nil"/>
              <w:right w:val="single" w:sz="8" w:space="0" w:color="auto"/>
            </w:tcBorders>
            <w:shd w:val="clear" w:color="000000" w:fill="D0CECE"/>
            <w:vAlign w:val="center"/>
            <w:hideMark/>
          </w:tcPr>
          <w:p w:rsidR="00FA1DF6" w:rsidRPr="00FA1DF6" w:rsidP="006B0A0B" w14:paraId="2D1227FA" w14:textId="2F3D635A">
            <w:pPr>
              <w:widowControl/>
              <w:autoSpaceDE/>
              <w:autoSpaceDN/>
              <w:adjustRightInd/>
              <w:jc w:val="center"/>
              <w:rPr>
                <w:rFonts w:ascii="Times New Roman" w:eastAsia="Times New Roman"/>
                <w:color w:val="000000"/>
                <w:sz w:val="20"/>
                <w:szCs w:val="20"/>
              </w:rPr>
            </w:pPr>
          </w:p>
        </w:tc>
        <w:tc>
          <w:tcPr>
            <w:tcW w:w="1466" w:type="dxa"/>
            <w:tcBorders>
              <w:top w:val="nil"/>
              <w:left w:val="nil"/>
              <w:bottom w:val="nil"/>
              <w:right w:val="single" w:sz="12" w:space="0" w:color="auto"/>
            </w:tcBorders>
            <w:shd w:val="clear" w:color="000000" w:fill="D0CECE"/>
            <w:vAlign w:val="center"/>
            <w:hideMark/>
          </w:tcPr>
          <w:p w:rsidR="00FA1DF6" w:rsidRPr="00FA1DF6" w:rsidP="006B0A0B" w14:paraId="2C945A9E" w14:textId="6119521A">
            <w:pPr>
              <w:widowControl/>
              <w:autoSpaceDE/>
              <w:autoSpaceDN/>
              <w:adjustRightInd/>
              <w:jc w:val="center"/>
              <w:rPr>
                <w:rFonts w:ascii="Times New Roman" w:eastAsia="Times New Roman"/>
                <w:color w:val="000000"/>
                <w:sz w:val="20"/>
                <w:szCs w:val="20"/>
              </w:rPr>
            </w:pPr>
          </w:p>
        </w:tc>
      </w:tr>
      <w:tr w14:paraId="553D7349" w14:textId="77777777" w:rsidTr="00B142A3">
        <w:tblPrEx>
          <w:tblW w:w="11520" w:type="dxa"/>
          <w:jc w:val="center"/>
          <w:tblLook w:val="04A0"/>
        </w:tblPrEx>
        <w:trPr>
          <w:trHeight w:val="300"/>
          <w:jc w:val="center"/>
        </w:trPr>
        <w:tc>
          <w:tcPr>
            <w:tcW w:w="1620" w:type="dxa"/>
            <w:tcBorders>
              <w:top w:val="single" w:sz="4" w:space="0" w:color="auto"/>
              <w:left w:val="single" w:sz="12" w:space="0" w:color="auto"/>
              <w:bottom w:val="single" w:sz="4" w:space="0" w:color="auto"/>
              <w:right w:val="single" w:sz="4" w:space="0" w:color="auto"/>
            </w:tcBorders>
            <w:vAlign w:val="center"/>
            <w:hideMark/>
          </w:tcPr>
          <w:p w:rsidR="00FA1DF6" w:rsidRPr="00FA1DF6" w:rsidP="00C40F8D" w14:paraId="0E7FFFC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Exposure Records</w:t>
            </w:r>
          </w:p>
        </w:tc>
        <w:tc>
          <w:tcPr>
            <w:tcW w:w="1228" w:type="dxa"/>
            <w:gridSpan w:val="2"/>
            <w:tcBorders>
              <w:top w:val="single" w:sz="4" w:space="0" w:color="auto"/>
              <w:left w:val="nil"/>
              <w:bottom w:val="single" w:sz="4" w:space="0" w:color="auto"/>
              <w:right w:val="single" w:sz="4" w:space="0" w:color="auto"/>
            </w:tcBorders>
            <w:vAlign w:val="center"/>
            <w:hideMark/>
          </w:tcPr>
          <w:p w:rsidR="00FA1DF6" w:rsidRPr="00FA1DF6" w:rsidP="00C40F8D" w14:paraId="5F84847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Clerical</w:t>
            </w:r>
          </w:p>
        </w:tc>
        <w:tc>
          <w:tcPr>
            <w:tcW w:w="1406" w:type="dxa"/>
            <w:tcBorders>
              <w:top w:val="single" w:sz="4" w:space="0" w:color="auto"/>
              <w:left w:val="nil"/>
              <w:bottom w:val="single" w:sz="4" w:space="0" w:color="auto"/>
              <w:right w:val="single" w:sz="4" w:space="0" w:color="auto"/>
            </w:tcBorders>
            <w:vAlign w:val="center"/>
            <w:hideMark/>
          </w:tcPr>
          <w:p w:rsidR="00FA1DF6" w:rsidRPr="00FA1DF6" w:rsidP="00C40F8D" w14:paraId="79DB40F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183,320</w:t>
            </w:r>
          </w:p>
        </w:tc>
        <w:tc>
          <w:tcPr>
            <w:tcW w:w="1320" w:type="dxa"/>
            <w:tcBorders>
              <w:top w:val="single" w:sz="4" w:space="0" w:color="auto"/>
              <w:left w:val="nil"/>
              <w:bottom w:val="single" w:sz="4" w:space="0" w:color="auto"/>
              <w:right w:val="single" w:sz="4" w:space="0" w:color="auto"/>
            </w:tcBorders>
            <w:vAlign w:val="center"/>
            <w:hideMark/>
          </w:tcPr>
          <w:p w:rsidR="00FA1DF6" w:rsidRPr="00FA1DF6" w:rsidP="00C40F8D" w14:paraId="6B574AB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single" w:sz="4" w:space="0" w:color="auto"/>
              <w:left w:val="nil"/>
              <w:bottom w:val="single" w:sz="4" w:space="0" w:color="auto"/>
              <w:right w:val="single" w:sz="4" w:space="0" w:color="auto"/>
            </w:tcBorders>
            <w:vAlign w:val="center"/>
            <w:hideMark/>
          </w:tcPr>
          <w:p w:rsidR="00FA1DF6" w:rsidRPr="00FA1DF6" w:rsidP="00C40F8D" w14:paraId="0EDA67B6"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183,320</w:t>
            </w:r>
          </w:p>
        </w:tc>
        <w:tc>
          <w:tcPr>
            <w:tcW w:w="1240" w:type="dxa"/>
            <w:tcBorders>
              <w:top w:val="single" w:sz="4" w:space="0" w:color="auto"/>
              <w:left w:val="nil"/>
              <w:bottom w:val="single" w:sz="4" w:space="0" w:color="auto"/>
              <w:right w:val="single" w:sz="4" w:space="0" w:color="auto"/>
            </w:tcBorders>
            <w:vAlign w:val="center"/>
            <w:hideMark/>
          </w:tcPr>
          <w:p w:rsidR="00FA1DF6" w:rsidRPr="00FA1DF6" w:rsidP="00C40F8D" w14:paraId="6BC9762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1/12 </w:t>
            </w:r>
          </w:p>
        </w:tc>
        <w:tc>
          <w:tcPr>
            <w:tcW w:w="1100" w:type="dxa"/>
            <w:tcBorders>
              <w:top w:val="single" w:sz="4" w:space="0" w:color="auto"/>
              <w:left w:val="nil"/>
              <w:bottom w:val="single" w:sz="4" w:space="0" w:color="auto"/>
              <w:right w:val="single" w:sz="4" w:space="0" w:color="auto"/>
            </w:tcBorders>
            <w:vAlign w:val="center"/>
            <w:hideMark/>
          </w:tcPr>
          <w:p w:rsidR="00FA1DF6" w:rsidRPr="00FA1DF6" w:rsidP="00C40F8D" w14:paraId="2AC58EA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15,277</w:t>
            </w:r>
          </w:p>
        </w:tc>
        <w:tc>
          <w:tcPr>
            <w:tcW w:w="1040" w:type="dxa"/>
            <w:tcBorders>
              <w:top w:val="single" w:sz="4" w:space="0" w:color="auto"/>
              <w:left w:val="nil"/>
              <w:bottom w:val="single" w:sz="4" w:space="0" w:color="auto"/>
              <w:right w:val="single" w:sz="4" w:space="0" w:color="auto"/>
            </w:tcBorders>
            <w:noWrap/>
            <w:vAlign w:val="center"/>
            <w:hideMark/>
          </w:tcPr>
          <w:p w:rsidR="00FA1DF6" w:rsidRPr="00FA1DF6" w:rsidP="004A2AAC" w14:paraId="77FD8AA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$32.74</w:t>
            </w:r>
          </w:p>
        </w:tc>
        <w:tc>
          <w:tcPr>
            <w:tcW w:w="1466" w:type="dxa"/>
            <w:tcBorders>
              <w:top w:val="single" w:sz="4" w:space="0" w:color="auto"/>
              <w:left w:val="nil"/>
              <w:bottom w:val="single" w:sz="4" w:space="0" w:color="auto"/>
              <w:right w:val="single" w:sz="12" w:space="0" w:color="auto"/>
            </w:tcBorders>
            <w:vAlign w:val="center"/>
            <w:hideMark/>
          </w:tcPr>
          <w:p w:rsidR="00FA1DF6" w:rsidRPr="00FA1DF6" w:rsidP="006B0A0B" w14:paraId="54BC420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$500,169</w:t>
            </w:r>
          </w:p>
        </w:tc>
      </w:tr>
      <w:tr w14:paraId="63272016" w14:textId="77777777" w:rsidTr="00B142A3">
        <w:tblPrEx>
          <w:tblW w:w="11520" w:type="dxa"/>
          <w:jc w:val="center"/>
          <w:tblLook w:val="04A0"/>
        </w:tblPrEx>
        <w:trPr>
          <w:trHeight w:val="30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317C9D93"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Medical Records</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14B5D30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Supervisor</w:t>
            </w:r>
          </w:p>
        </w:tc>
        <w:tc>
          <w:tcPr>
            <w:tcW w:w="1406" w:type="dxa"/>
            <w:tcBorders>
              <w:top w:val="nil"/>
              <w:left w:val="nil"/>
              <w:bottom w:val="single" w:sz="4" w:space="0" w:color="auto"/>
              <w:right w:val="single" w:sz="4" w:space="0" w:color="auto"/>
            </w:tcBorders>
            <w:vAlign w:val="center"/>
            <w:hideMark/>
          </w:tcPr>
          <w:p w:rsidR="00FA1DF6" w:rsidRPr="00FA1DF6" w:rsidP="00C40F8D" w14:paraId="1E6D064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366,629</w:t>
            </w:r>
          </w:p>
        </w:tc>
        <w:tc>
          <w:tcPr>
            <w:tcW w:w="1320" w:type="dxa"/>
            <w:tcBorders>
              <w:top w:val="nil"/>
              <w:left w:val="nil"/>
              <w:bottom w:val="single" w:sz="4" w:space="0" w:color="auto"/>
              <w:right w:val="single" w:sz="4" w:space="0" w:color="auto"/>
            </w:tcBorders>
            <w:vAlign w:val="center"/>
            <w:hideMark/>
          </w:tcPr>
          <w:p w:rsidR="00FA1DF6" w:rsidRPr="00FA1DF6" w:rsidP="00C40F8D" w14:paraId="5797037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576C1FF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366,629</w:t>
            </w:r>
          </w:p>
        </w:tc>
        <w:tc>
          <w:tcPr>
            <w:tcW w:w="1240" w:type="dxa"/>
            <w:tcBorders>
              <w:top w:val="nil"/>
              <w:left w:val="nil"/>
              <w:bottom w:val="single" w:sz="4" w:space="0" w:color="auto"/>
              <w:right w:val="single" w:sz="4" w:space="0" w:color="auto"/>
            </w:tcBorders>
            <w:vAlign w:val="center"/>
            <w:hideMark/>
          </w:tcPr>
          <w:p w:rsidR="00FA1DF6" w:rsidRPr="00FA1DF6" w:rsidP="00C40F8D" w14:paraId="6A12B0ED"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1/6  </w:t>
            </w:r>
          </w:p>
        </w:tc>
        <w:tc>
          <w:tcPr>
            <w:tcW w:w="1100" w:type="dxa"/>
            <w:tcBorders>
              <w:top w:val="nil"/>
              <w:left w:val="nil"/>
              <w:bottom w:val="single" w:sz="4" w:space="0" w:color="auto"/>
              <w:right w:val="single" w:sz="4" w:space="0" w:color="auto"/>
            </w:tcBorders>
            <w:vAlign w:val="center"/>
            <w:hideMark/>
          </w:tcPr>
          <w:p w:rsidR="00FA1DF6" w:rsidRPr="00FA1DF6" w:rsidP="00C40F8D" w14:paraId="6A1A5367" w14:textId="77777777">
            <w:pPr>
              <w:widowControl/>
              <w:autoSpaceDE/>
              <w:autoSpaceDN/>
              <w:adjustRightInd/>
              <w:jc w:val="center"/>
              <w:rPr>
                <w:rFonts w:ascii="Times New Roman" w:eastAsia="Times New Roman"/>
                <w:sz w:val="20"/>
                <w:szCs w:val="20"/>
              </w:rPr>
            </w:pPr>
            <w:r w:rsidRPr="00FA1DF6">
              <w:rPr>
                <w:rFonts w:ascii="Times New Roman" w:eastAsia="Times New Roman"/>
                <w:sz w:val="20"/>
                <w:szCs w:val="20"/>
              </w:rPr>
              <w:t>61,105</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0EFE986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$74.26</w:t>
            </w:r>
          </w:p>
        </w:tc>
        <w:tc>
          <w:tcPr>
            <w:tcW w:w="1466" w:type="dxa"/>
            <w:tcBorders>
              <w:top w:val="nil"/>
              <w:left w:val="nil"/>
              <w:bottom w:val="single" w:sz="4" w:space="0" w:color="auto"/>
              <w:right w:val="single" w:sz="12" w:space="0" w:color="auto"/>
            </w:tcBorders>
            <w:vAlign w:val="center"/>
            <w:hideMark/>
          </w:tcPr>
          <w:p w:rsidR="00FA1DF6" w:rsidRPr="00FA1DF6" w:rsidP="006B0A0B" w14:paraId="582A2054"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$4,537,657</w:t>
            </w:r>
          </w:p>
        </w:tc>
      </w:tr>
      <w:tr w14:paraId="5ABC8044" w14:textId="77777777" w:rsidTr="00B142A3">
        <w:tblPrEx>
          <w:tblW w:w="11520" w:type="dxa"/>
          <w:jc w:val="center"/>
          <w:tblLook w:val="04A0"/>
        </w:tblPrEx>
        <w:trPr>
          <w:trHeight w:val="30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6F06E99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Removal Records</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773B705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Supervisor</w:t>
            </w:r>
          </w:p>
        </w:tc>
        <w:tc>
          <w:tcPr>
            <w:tcW w:w="1406" w:type="dxa"/>
            <w:tcBorders>
              <w:top w:val="nil"/>
              <w:left w:val="nil"/>
              <w:bottom w:val="single" w:sz="4" w:space="0" w:color="auto"/>
              <w:right w:val="single" w:sz="4" w:space="0" w:color="auto"/>
            </w:tcBorders>
            <w:vAlign w:val="center"/>
            <w:hideMark/>
          </w:tcPr>
          <w:p w:rsidR="00FA1DF6" w:rsidRPr="00FA1DF6" w:rsidP="00C40F8D" w14:paraId="3E527009" w14:textId="6632A504">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r w:rsidR="003F57A0">
              <w:rPr>
                <w:rFonts w:ascii="Times New Roman" w:eastAsia="Times New Roman"/>
                <w:color w:val="000000"/>
                <w:sz w:val="20"/>
                <w:szCs w:val="20"/>
              </w:rPr>
              <w:t>100</w:t>
            </w:r>
          </w:p>
        </w:tc>
        <w:tc>
          <w:tcPr>
            <w:tcW w:w="1320" w:type="dxa"/>
            <w:tcBorders>
              <w:top w:val="nil"/>
              <w:left w:val="nil"/>
              <w:bottom w:val="single" w:sz="4" w:space="0" w:color="auto"/>
              <w:right w:val="single" w:sz="4" w:space="0" w:color="auto"/>
            </w:tcBorders>
            <w:vAlign w:val="center"/>
            <w:hideMark/>
          </w:tcPr>
          <w:p w:rsidR="00FA1DF6" w:rsidRPr="00FA1DF6" w:rsidP="00C40F8D" w14:paraId="7BA0D16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638F195D" w14:textId="7F993142">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r w:rsidR="008E01D4">
              <w:rPr>
                <w:rFonts w:ascii="Times New Roman" w:eastAsia="Times New Roman"/>
                <w:color w:val="000000"/>
                <w:sz w:val="20"/>
                <w:szCs w:val="20"/>
              </w:rPr>
              <w:t>100</w:t>
            </w:r>
          </w:p>
        </w:tc>
        <w:tc>
          <w:tcPr>
            <w:tcW w:w="1240" w:type="dxa"/>
            <w:tcBorders>
              <w:top w:val="nil"/>
              <w:left w:val="nil"/>
              <w:bottom w:val="single" w:sz="4" w:space="0" w:color="auto"/>
              <w:right w:val="single" w:sz="4" w:space="0" w:color="auto"/>
            </w:tcBorders>
            <w:vAlign w:val="center"/>
            <w:hideMark/>
          </w:tcPr>
          <w:p w:rsidR="00FA1DF6" w:rsidRPr="00FA1DF6" w:rsidP="00C40F8D" w14:paraId="03CCEBD1"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1/12 </w:t>
            </w:r>
          </w:p>
        </w:tc>
        <w:tc>
          <w:tcPr>
            <w:tcW w:w="1100" w:type="dxa"/>
            <w:tcBorders>
              <w:top w:val="nil"/>
              <w:left w:val="nil"/>
              <w:bottom w:val="single" w:sz="4" w:space="0" w:color="auto"/>
              <w:right w:val="single" w:sz="4" w:space="0" w:color="auto"/>
            </w:tcBorders>
            <w:vAlign w:val="center"/>
            <w:hideMark/>
          </w:tcPr>
          <w:p w:rsidR="00FA1DF6" w:rsidRPr="00FA1DF6" w:rsidP="00C40F8D" w14:paraId="677F5B09" w14:textId="77777777">
            <w:pPr>
              <w:widowControl/>
              <w:autoSpaceDE/>
              <w:autoSpaceDN/>
              <w:adjustRightInd/>
              <w:jc w:val="center"/>
              <w:rPr>
                <w:rFonts w:ascii="Times New Roman" w:eastAsia="Times New Roman"/>
                <w:sz w:val="20"/>
                <w:szCs w:val="20"/>
              </w:rPr>
            </w:pPr>
            <w:r w:rsidRPr="00FA1DF6">
              <w:rPr>
                <w:rFonts w:ascii="Times New Roman" w:eastAsia="Times New Roman"/>
                <w:sz w:val="20"/>
                <w:szCs w:val="20"/>
              </w:rPr>
              <w:t>92</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1BD44542"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$74.26</w:t>
            </w:r>
          </w:p>
        </w:tc>
        <w:tc>
          <w:tcPr>
            <w:tcW w:w="1466" w:type="dxa"/>
            <w:tcBorders>
              <w:top w:val="nil"/>
              <w:left w:val="nil"/>
              <w:bottom w:val="single" w:sz="4" w:space="0" w:color="auto"/>
              <w:right w:val="single" w:sz="12" w:space="0" w:color="auto"/>
            </w:tcBorders>
            <w:vAlign w:val="center"/>
            <w:hideMark/>
          </w:tcPr>
          <w:p w:rsidR="00FA1DF6" w:rsidRPr="00FA1DF6" w:rsidP="006B0A0B" w14:paraId="3971B86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$6,832</w:t>
            </w:r>
          </w:p>
        </w:tc>
      </w:tr>
      <w:tr w14:paraId="0DE25416" w14:textId="77777777" w:rsidTr="00B142A3">
        <w:tblPrEx>
          <w:tblW w:w="11520" w:type="dxa"/>
          <w:jc w:val="center"/>
          <w:tblLook w:val="04A0"/>
        </w:tblPrEx>
        <w:trPr>
          <w:trHeight w:val="300"/>
          <w:jc w:val="center"/>
        </w:trPr>
        <w:tc>
          <w:tcPr>
            <w:tcW w:w="1620" w:type="dxa"/>
            <w:tcBorders>
              <w:top w:val="nil"/>
              <w:left w:val="single" w:sz="12" w:space="0" w:color="auto"/>
              <w:bottom w:val="single" w:sz="4" w:space="0" w:color="auto"/>
              <w:right w:val="single" w:sz="4" w:space="0" w:color="auto"/>
            </w:tcBorders>
            <w:vAlign w:val="center"/>
            <w:hideMark/>
          </w:tcPr>
          <w:p w:rsidR="00FA1DF6" w:rsidRPr="00FA1DF6" w:rsidP="00C40F8D" w14:paraId="0C918EA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Access to Records</w:t>
            </w:r>
          </w:p>
        </w:tc>
        <w:tc>
          <w:tcPr>
            <w:tcW w:w="1228" w:type="dxa"/>
            <w:gridSpan w:val="2"/>
            <w:tcBorders>
              <w:top w:val="nil"/>
              <w:left w:val="nil"/>
              <w:bottom w:val="single" w:sz="4" w:space="0" w:color="auto"/>
              <w:right w:val="single" w:sz="4" w:space="0" w:color="auto"/>
            </w:tcBorders>
            <w:vAlign w:val="center"/>
            <w:hideMark/>
          </w:tcPr>
          <w:p w:rsidR="00FA1DF6" w:rsidRPr="00FA1DF6" w:rsidP="00C40F8D" w14:paraId="471AE10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Worker</w:t>
            </w:r>
          </w:p>
        </w:tc>
        <w:tc>
          <w:tcPr>
            <w:tcW w:w="1406" w:type="dxa"/>
            <w:tcBorders>
              <w:top w:val="nil"/>
              <w:left w:val="nil"/>
              <w:bottom w:val="single" w:sz="4" w:space="0" w:color="auto"/>
              <w:right w:val="single" w:sz="4" w:space="0" w:color="auto"/>
            </w:tcBorders>
            <w:vAlign w:val="center"/>
            <w:hideMark/>
          </w:tcPr>
          <w:p w:rsidR="00FA1DF6" w:rsidRPr="00FA1DF6" w:rsidP="00C40F8D" w14:paraId="6D38B2FF"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36,663</w:t>
            </w:r>
          </w:p>
        </w:tc>
        <w:tc>
          <w:tcPr>
            <w:tcW w:w="1320" w:type="dxa"/>
            <w:tcBorders>
              <w:top w:val="nil"/>
              <w:left w:val="nil"/>
              <w:bottom w:val="single" w:sz="4" w:space="0" w:color="auto"/>
              <w:right w:val="single" w:sz="4" w:space="0" w:color="auto"/>
            </w:tcBorders>
            <w:vAlign w:val="center"/>
            <w:hideMark/>
          </w:tcPr>
          <w:p w:rsidR="00FA1DF6" w:rsidRPr="00FA1DF6" w:rsidP="00C40F8D" w14:paraId="3337C378"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w:t>
            </w:r>
          </w:p>
        </w:tc>
        <w:tc>
          <w:tcPr>
            <w:tcW w:w="1100" w:type="dxa"/>
            <w:tcBorders>
              <w:top w:val="nil"/>
              <w:left w:val="nil"/>
              <w:bottom w:val="single" w:sz="4" w:space="0" w:color="auto"/>
              <w:right w:val="single" w:sz="4" w:space="0" w:color="auto"/>
            </w:tcBorders>
            <w:vAlign w:val="center"/>
            <w:hideMark/>
          </w:tcPr>
          <w:p w:rsidR="00FA1DF6" w:rsidRPr="00FA1DF6" w:rsidP="00C40F8D" w14:paraId="7D529C8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36,663</w:t>
            </w:r>
          </w:p>
        </w:tc>
        <w:tc>
          <w:tcPr>
            <w:tcW w:w="1240" w:type="dxa"/>
            <w:tcBorders>
              <w:top w:val="nil"/>
              <w:left w:val="nil"/>
              <w:bottom w:val="single" w:sz="4" w:space="0" w:color="auto"/>
              <w:right w:val="single" w:sz="4" w:space="0" w:color="auto"/>
            </w:tcBorders>
            <w:vAlign w:val="center"/>
            <w:hideMark/>
          </w:tcPr>
          <w:p w:rsidR="00FA1DF6" w:rsidRPr="00FA1DF6" w:rsidP="00C40F8D" w14:paraId="654C8B69"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xml:space="preserve">   1/12 </w:t>
            </w:r>
          </w:p>
        </w:tc>
        <w:tc>
          <w:tcPr>
            <w:tcW w:w="1100" w:type="dxa"/>
            <w:tcBorders>
              <w:top w:val="nil"/>
              <w:left w:val="nil"/>
              <w:bottom w:val="single" w:sz="4" w:space="0" w:color="auto"/>
              <w:right w:val="single" w:sz="4" w:space="0" w:color="auto"/>
            </w:tcBorders>
            <w:vAlign w:val="center"/>
            <w:hideMark/>
          </w:tcPr>
          <w:p w:rsidR="00FA1DF6" w:rsidRPr="00FA1DF6" w:rsidP="00C40F8D" w14:paraId="448D325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3,055</w:t>
            </w:r>
          </w:p>
        </w:tc>
        <w:tc>
          <w:tcPr>
            <w:tcW w:w="1040" w:type="dxa"/>
            <w:tcBorders>
              <w:top w:val="nil"/>
              <w:left w:val="nil"/>
              <w:bottom w:val="single" w:sz="4" w:space="0" w:color="auto"/>
              <w:right w:val="single" w:sz="4" w:space="0" w:color="auto"/>
            </w:tcBorders>
            <w:noWrap/>
            <w:vAlign w:val="center"/>
            <w:hideMark/>
          </w:tcPr>
          <w:p w:rsidR="00FA1DF6" w:rsidRPr="00FA1DF6" w:rsidP="004A2AAC" w14:paraId="77D1A68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$43.49</w:t>
            </w:r>
          </w:p>
        </w:tc>
        <w:tc>
          <w:tcPr>
            <w:tcW w:w="1466" w:type="dxa"/>
            <w:tcBorders>
              <w:top w:val="nil"/>
              <w:left w:val="nil"/>
              <w:bottom w:val="single" w:sz="4" w:space="0" w:color="auto"/>
              <w:right w:val="single" w:sz="12" w:space="0" w:color="auto"/>
            </w:tcBorders>
            <w:vAlign w:val="center"/>
            <w:hideMark/>
          </w:tcPr>
          <w:p w:rsidR="00FA1DF6" w:rsidRPr="00FA1DF6" w:rsidP="006B0A0B" w14:paraId="40EE37E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$132,862</w:t>
            </w:r>
          </w:p>
        </w:tc>
      </w:tr>
      <w:tr w14:paraId="673DC89F" w14:textId="77777777" w:rsidTr="00B142A3">
        <w:tblPrEx>
          <w:tblW w:w="11520" w:type="dxa"/>
          <w:jc w:val="center"/>
          <w:tblLook w:val="04A0"/>
        </w:tblPrEx>
        <w:trPr>
          <w:trHeight w:val="300"/>
          <w:jc w:val="center"/>
        </w:trPr>
        <w:tc>
          <w:tcPr>
            <w:tcW w:w="4254" w:type="dxa"/>
            <w:gridSpan w:val="4"/>
            <w:tcBorders>
              <w:top w:val="single" w:sz="4" w:space="0" w:color="auto"/>
              <w:left w:val="single" w:sz="12" w:space="0" w:color="auto"/>
              <w:bottom w:val="single" w:sz="4" w:space="0" w:color="auto"/>
              <w:right w:val="single" w:sz="4" w:space="0" w:color="auto"/>
            </w:tcBorders>
            <w:shd w:val="clear" w:color="000000" w:fill="F2F2F2"/>
            <w:vAlign w:val="center"/>
            <w:hideMark/>
          </w:tcPr>
          <w:p w:rsidR="00FA1DF6" w:rsidRPr="00B25AA4" w:rsidP="00C40F8D" w14:paraId="3EC07CF3" w14:textId="77777777">
            <w:pPr>
              <w:widowControl/>
              <w:autoSpaceDE/>
              <w:autoSpaceDN/>
              <w:adjustRightInd/>
              <w:jc w:val="right"/>
              <w:rPr>
                <w:rFonts w:ascii="Times New Roman" w:eastAsia="Times New Roman"/>
                <w:b/>
                <w:bCs/>
                <w:i/>
                <w:iCs/>
                <w:color w:val="000000"/>
                <w:sz w:val="20"/>
                <w:szCs w:val="20"/>
              </w:rPr>
            </w:pPr>
            <w:r w:rsidRPr="00B25AA4">
              <w:rPr>
                <w:rFonts w:ascii="Times New Roman" w:eastAsia="Times New Roman"/>
                <w:b/>
                <w:bCs/>
                <w:i/>
                <w:iCs/>
                <w:color w:val="000000"/>
                <w:sz w:val="20"/>
                <w:szCs w:val="20"/>
              </w:rPr>
              <w:t>Subtotal - Recordkeeping</w:t>
            </w:r>
          </w:p>
        </w:tc>
        <w:tc>
          <w:tcPr>
            <w:tcW w:w="1320" w:type="dxa"/>
            <w:tcBorders>
              <w:top w:val="nil"/>
              <w:left w:val="nil"/>
              <w:bottom w:val="single" w:sz="4" w:space="0" w:color="auto"/>
              <w:right w:val="single" w:sz="4" w:space="0" w:color="auto"/>
            </w:tcBorders>
            <w:shd w:val="clear" w:color="000000" w:fill="F2F2F2"/>
            <w:vAlign w:val="center"/>
            <w:hideMark/>
          </w:tcPr>
          <w:p w:rsidR="00FA1DF6" w:rsidRPr="00FA1DF6" w:rsidP="00C40F8D" w14:paraId="79864F84" w14:textId="77777777">
            <w:pPr>
              <w:widowControl/>
              <w:autoSpaceDE/>
              <w:autoSpaceDN/>
              <w:adjustRightInd/>
              <w:jc w:val="right"/>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4" w:space="0" w:color="auto"/>
              <w:right w:val="single" w:sz="4" w:space="0" w:color="auto"/>
            </w:tcBorders>
            <w:shd w:val="clear" w:color="000000" w:fill="C6E0B4"/>
            <w:vAlign w:val="center"/>
            <w:hideMark/>
          </w:tcPr>
          <w:p w:rsidR="00FA1DF6" w:rsidRPr="00FA1DF6" w:rsidP="00C40F8D" w14:paraId="30A5619B" w14:textId="3FF1876F">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587,71</w:t>
            </w:r>
            <w:r w:rsidR="00BE5DBE">
              <w:rPr>
                <w:rFonts w:ascii="Times New Roman" w:eastAsia="Times New Roman"/>
                <w:b/>
                <w:bCs/>
                <w:color w:val="000000"/>
                <w:sz w:val="20"/>
                <w:szCs w:val="20"/>
              </w:rPr>
              <w:t>2</w:t>
            </w:r>
          </w:p>
        </w:tc>
        <w:tc>
          <w:tcPr>
            <w:tcW w:w="1240" w:type="dxa"/>
            <w:tcBorders>
              <w:top w:val="nil"/>
              <w:left w:val="nil"/>
              <w:bottom w:val="single" w:sz="4" w:space="0" w:color="auto"/>
              <w:right w:val="single" w:sz="4" w:space="0" w:color="auto"/>
            </w:tcBorders>
            <w:shd w:val="clear" w:color="000000" w:fill="F2F2F2"/>
            <w:vAlign w:val="center"/>
            <w:hideMark/>
          </w:tcPr>
          <w:p w:rsidR="00FA1DF6" w:rsidRPr="00FA1DF6" w:rsidP="00C40F8D" w14:paraId="539E4B74"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4" w:space="0" w:color="auto"/>
              <w:right w:val="single" w:sz="4" w:space="0" w:color="auto"/>
            </w:tcBorders>
            <w:shd w:val="clear" w:color="000000" w:fill="C6E0B4"/>
            <w:vAlign w:val="center"/>
            <w:hideMark/>
          </w:tcPr>
          <w:p w:rsidR="00FA1DF6" w:rsidRPr="00FA1DF6" w:rsidP="00C40F8D" w14:paraId="7AC17A4D"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79,529</w:t>
            </w:r>
          </w:p>
        </w:tc>
        <w:tc>
          <w:tcPr>
            <w:tcW w:w="1040" w:type="dxa"/>
            <w:tcBorders>
              <w:top w:val="nil"/>
              <w:left w:val="nil"/>
              <w:bottom w:val="single" w:sz="4" w:space="0" w:color="auto"/>
              <w:right w:val="single" w:sz="4" w:space="0" w:color="auto"/>
            </w:tcBorders>
            <w:shd w:val="clear" w:color="000000" w:fill="F2F2F2"/>
            <w:vAlign w:val="center"/>
            <w:hideMark/>
          </w:tcPr>
          <w:p w:rsidR="00FA1DF6" w:rsidRPr="00FA1DF6" w:rsidP="006B0A0B" w14:paraId="6B7DE204" w14:textId="236FAA8E">
            <w:pPr>
              <w:widowControl/>
              <w:autoSpaceDE/>
              <w:autoSpaceDN/>
              <w:adjustRightInd/>
              <w:jc w:val="center"/>
              <w:rPr>
                <w:rFonts w:ascii="Times New Roman" w:eastAsia="Times New Roman"/>
                <w:b/>
                <w:bCs/>
                <w:color w:val="000000"/>
                <w:sz w:val="20"/>
                <w:szCs w:val="20"/>
              </w:rPr>
            </w:pPr>
          </w:p>
        </w:tc>
        <w:tc>
          <w:tcPr>
            <w:tcW w:w="1466" w:type="dxa"/>
            <w:tcBorders>
              <w:top w:val="nil"/>
              <w:left w:val="nil"/>
              <w:bottom w:val="single" w:sz="4" w:space="0" w:color="auto"/>
              <w:right w:val="single" w:sz="12" w:space="0" w:color="auto"/>
            </w:tcBorders>
            <w:shd w:val="clear" w:color="000000" w:fill="C6E0B4"/>
            <w:vAlign w:val="center"/>
            <w:hideMark/>
          </w:tcPr>
          <w:p w:rsidR="00FA1DF6" w:rsidRPr="00FA1DF6" w:rsidP="006B0A0B" w14:paraId="5754B202"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$5,177,520</w:t>
            </w:r>
          </w:p>
        </w:tc>
      </w:tr>
      <w:tr w14:paraId="64667306" w14:textId="77777777" w:rsidTr="00B142A3">
        <w:tblPrEx>
          <w:tblW w:w="11520" w:type="dxa"/>
          <w:jc w:val="center"/>
          <w:tblLook w:val="04A0"/>
        </w:tblPrEx>
        <w:trPr>
          <w:trHeight w:val="150"/>
          <w:jc w:val="center"/>
        </w:trPr>
        <w:tc>
          <w:tcPr>
            <w:tcW w:w="1620" w:type="dxa"/>
            <w:tcBorders>
              <w:top w:val="nil"/>
              <w:left w:val="single" w:sz="12" w:space="0" w:color="auto"/>
              <w:bottom w:val="nil"/>
              <w:right w:val="nil"/>
            </w:tcBorders>
            <w:shd w:val="clear" w:color="000000" w:fill="D9D9D9"/>
            <w:vAlign w:val="center"/>
            <w:hideMark/>
          </w:tcPr>
          <w:p w:rsidR="00FA1DF6" w:rsidRPr="00FA1DF6" w:rsidP="00C40F8D" w14:paraId="48466A0E"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228" w:type="dxa"/>
            <w:gridSpan w:val="2"/>
            <w:tcBorders>
              <w:top w:val="nil"/>
              <w:left w:val="nil"/>
              <w:bottom w:val="nil"/>
              <w:right w:val="nil"/>
            </w:tcBorders>
            <w:shd w:val="clear" w:color="000000" w:fill="D9D9D9"/>
            <w:vAlign w:val="center"/>
            <w:hideMark/>
          </w:tcPr>
          <w:p w:rsidR="00FA1DF6" w:rsidRPr="00FA1DF6" w:rsidP="00C40F8D" w14:paraId="505F834F"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406" w:type="dxa"/>
            <w:tcBorders>
              <w:top w:val="nil"/>
              <w:left w:val="nil"/>
              <w:bottom w:val="nil"/>
              <w:right w:val="nil"/>
            </w:tcBorders>
            <w:shd w:val="clear" w:color="000000" w:fill="D9D9D9"/>
            <w:vAlign w:val="center"/>
            <w:hideMark/>
          </w:tcPr>
          <w:p w:rsidR="00FA1DF6" w:rsidRPr="00FA1DF6" w:rsidP="00C40F8D" w14:paraId="7B3D60F0"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320" w:type="dxa"/>
            <w:tcBorders>
              <w:top w:val="nil"/>
              <w:left w:val="nil"/>
              <w:bottom w:val="nil"/>
              <w:right w:val="nil"/>
            </w:tcBorders>
            <w:shd w:val="clear" w:color="000000" w:fill="D9D9D9"/>
            <w:vAlign w:val="center"/>
            <w:hideMark/>
          </w:tcPr>
          <w:p w:rsidR="00FA1DF6" w:rsidRPr="00FA1DF6" w:rsidP="00C40F8D" w14:paraId="7CBCBEF6"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single" w:sz="8" w:space="0" w:color="auto"/>
              <w:right w:val="nil"/>
            </w:tcBorders>
            <w:shd w:val="clear" w:color="000000" w:fill="D9D9D9"/>
            <w:vAlign w:val="center"/>
            <w:hideMark/>
          </w:tcPr>
          <w:p w:rsidR="00FA1DF6" w:rsidRPr="00FA1DF6" w:rsidP="00C40F8D" w14:paraId="6FF6D33C"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240" w:type="dxa"/>
            <w:tcBorders>
              <w:top w:val="nil"/>
              <w:left w:val="nil"/>
              <w:bottom w:val="single" w:sz="8" w:space="0" w:color="auto"/>
              <w:right w:val="nil"/>
            </w:tcBorders>
            <w:shd w:val="clear" w:color="000000" w:fill="D9D9D9"/>
            <w:vAlign w:val="center"/>
            <w:hideMark/>
          </w:tcPr>
          <w:p w:rsidR="00FA1DF6" w:rsidRPr="00FA1DF6" w:rsidP="00C40F8D" w14:paraId="6B1285F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100" w:type="dxa"/>
            <w:tcBorders>
              <w:top w:val="nil"/>
              <w:left w:val="nil"/>
              <w:bottom w:val="single" w:sz="8" w:space="0" w:color="auto"/>
              <w:right w:val="nil"/>
            </w:tcBorders>
            <w:shd w:val="clear" w:color="000000" w:fill="D9D9D9"/>
            <w:vAlign w:val="center"/>
            <w:hideMark/>
          </w:tcPr>
          <w:p w:rsidR="00FA1DF6" w:rsidRPr="00FA1DF6" w:rsidP="00C40F8D" w14:paraId="40AAB84A"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040" w:type="dxa"/>
            <w:tcBorders>
              <w:top w:val="nil"/>
              <w:left w:val="nil"/>
              <w:bottom w:val="single" w:sz="8" w:space="0" w:color="auto"/>
              <w:right w:val="nil"/>
            </w:tcBorders>
            <w:shd w:val="clear" w:color="000000" w:fill="D9D9D9"/>
            <w:vAlign w:val="center"/>
            <w:hideMark/>
          </w:tcPr>
          <w:p w:rsidR="00FA1DF6" w:rsidRPr="00FA1DF6" w:rsidP="00C40F8D" w14:paraId="706CBB15"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c>
          <w:tcPr>
            <w:tcW w:w="1466" w:type="dxa"/>
            <w:tcBorders>
              <w:top w:val="nil"/>
              <w:left w:val="nil"/>
              <w:bottom w:val="single" w:sz="8" w:space="0" w:color="auto"/>
              <w:right w:val="single" w:sz="12" w:space="0" w:color="auto"/>
            </w:tcBorders>
            <w:shd w:val="clear" w:color="000000" w:fill="D9D9D9"/>
            <w:vAlign w:val="center"/>
            <w:hideMark/>
          </w:tcPr>
          <w:p w:rsidR="00FA1DF6" w:rsidRPr="00FA1DF6" w:rsidP="00C40F8D" w14:paraId="16520A6B" w14:textId="77777777">
            <w:pPr>
              <w:widowControl/>
              <w:autoSpaceDE/>
              <w:autoSpaceDN/>
              <w:adjustRightInd/>
              <w:jc w:val="center"/>
              <w:rPr>
                <w:rFonts w:ascii="Times New Roman" w:eastAsia="Times New Roman"/>
                <w:color w:val="000000"/>
                <w:sz w:val="20"/>
                <w:szCs w:val="20"/>
              </w:rPr>
            </w:pPr>
            <w:r w:rsidRPr="00FA1DF6">
              <w:rPr>
                <w:rFonts w:ascii="Times New Roman" w:eastAsia="Times New Roman"/>
                <w:color w:val="000000"/>
                <w:sz w:val="20"/>
                <w:szCs w:val="20"/>
              </w:rPr>
              <w:t> </w:t>
            </w:r>
          </w:p>
        </w:tc>
      </w:tr>
      <w:tr w14:paraId="4A1FF299" w14:textId="77777777" w:rsidTr="00B142A3">
        <w:tblPrEx>
          <w:tblW w:w="11520" w:type="dxa"/>
          <w:jc w:val="center"/>
          <w:tblLook w:val="04A0"/>
        </w:tblPrEx>
        <w:trPr>
          <w:trHeight w:val="330"/>
          <w:jc w:val="center"/>
        </w:trPr>
        <w:tc>
          <w:tcPr>
            <w:tcW w:w="2077" w:type="dxa"/>
            <w:gridSpan w:val="2"/>
            <w:tcBorders>
              <w:top w:val="single" w:sz="8" w:space="0" w:color="auto"/>
              <w:left w:val="single" w:sz="12" w:space="0" w:color="auto"/>
              <w:bottom w:val="single" w:sz="8" w:space="0" w:color="auto"/>
              <w:right w:val="nil"/>
            </w:tcBorders>
            <w:shd w:val="clear" w:color="000000" w:fill="F2F2F2"/>
            <w:vAlign w:val="center"/>
            <w:hideMark/>
          </w:tcPr>
          <w:p w:rsidR="00B142A3" w:rsidRPr="00FA1DF6" w:rsidP="00B142A3" w14:paraId="0DD4D0ED" w14:textId="77777777">
            <w:pPr>
              <w:widowControl/>
              <w:autoSpaceDE/>
              <w:autoSpaceDN/>
              <w:adjustRightInd/>
              <w:rPr>
                <w:rFonts w:ascii="Times New Roman" w:eastAsia="Times New Roman"/>
                <w:b/>
                <w:bCs/>
                <w:color w:val="000000"/>
              </w:rPr>
            </w:pPr>
            <w:r>
              <w:rPr>
                <w:rFonts w:ascii="Times New Roman" w:eastAsia="Times New Roman"/>
                <w:b/>
                <w:bCs/>
                <w:color w:val="000000"/>
              </w:rPr>
              <w:t xml:space="preserve">GRAND </w:t>
            </w:r>
            <w:r w:rsidRPr="00FA1DF6">
              <w:rPr>
                <w:rFonts w:ascii="Times New Roman" w:eastAsia="Times New Roman"/>
                <w:b/>
                <w:bCs/>
                <w:color w:val="000000"/>
              </w:rPr>
              <w:t>TOTAL</w:t>
            </w:r>
          </w:p>
        </w:tc>
        <w:tc>
          <w:tcPr>
            <w:tcW w:w="2177" w:type="dxa"/>
            <w:gridSpan w:val="2"/>
            <w:tcBorders>
              <w:top w:val="single" w:sz="8" w:space="0" w:color="auto"/>
              <w:left w:val="single" w:sz="12" w:space="0" w:color="auto"/>
              <w:bottom w:val="single" w:sz="8" w:space="0" w:color="auto"/>
              <w:right w:val="nil"/>
            </w:tcBorders>
            <w:shd w:val="clear" w:color="000000" w:fill="F2F2F2"/>
            <w:vAlign w:val="center"/>
          </w:tcPr>
          <w:p w:rsidR="00B142A3" w:rsidRPr="00FA1DF6" w:rsidP="00B142A3" w14:paraId="4957AA4F" w14:textId="78D13B17">
            <w:pPr>
              <w:widowControl/>
              <w:autoSpaceDE/>
              <w:autoSpaceDN/>
              <w:adjustRightInd/>
              <w:rPr>
                <w:rFonts w:ascii="Times New Roman" w:eastAsia="Times New Roman"/>
                <w:b/>
                <w:bCs/>
                <w:color w:val="000000"/>
              </w:rPr>
            </w:pPr>
          </w:p>
        </w:tc>
        <w:tc>
          <w:tcPr>
            <w:tcW w:w="1320" w:type="dxa"/>
            <w:tcBorders>
              <w:top w:val="single" w:sz="8" w:space="0" w:color="auto"/>
              <w:left w:val="nil"/>
              <w:bottom w:val="single" w:sz="8" w:space="0" w:color="auto"/>
              <w:right w:val="single" w:sz="8" w:space="0" w:color="auto"/>
            </w:tcBorders>
            <w:shd w:val="clear" w:color="000000" w:fill="F2F2F2"/>
            <w:vAlign w:val="center"/>
            <w:hideMark/>
          </w:tcPr>
          <w:p w:rsidR="00B142A3" w:rsidRPr="00FA1DF6" w:rsidP="00C40F8D" w14:paraId="432D7F93"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8" w:space="0" w:color="auto"/>
              <w:right w:val="single" w:sz="8" w:space="0" w:color="auto"/>
            </w:tcBorders>
            <w:shd w:val="clear" w:color="000000" w:fill="C6E0B4"/>
            <w:vAlign w:val="center"/>
            <w:hideMark/>
          </w:tcPr>
          <w:p w:rsidR="00B142A3" w:rsidRPr="00FA1DF6" w:rsidP="00C40F8D" w14:paraId="4384134D" w14:textId="42B2EA3C">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4,042,98</w:t>
            </w:r>
            <w:r>
              <w:rPr>
                <w:rFonts w:ascii="Times New Roman" w:eastAsia="Times New Roman"/>
                <w:b/>
                <w:bCs/>
                <w:color w:val="000000"/>
                <w:sz w:val="20"/>
                <w:szCs w:val="20"/>
              </w:rPr>
              <w:t>8</w:t>
            </w:r>
          </w:p>
        </w:tc>
        <w:tc>
          <w:tcPr>
            <w:tcW w:w="1240" w:type="dxa"/>
            <w:tcBorders>
              <w:top w:val="nil"/>
              <w:left w:val="nil"/>
              <w:bottom w:val="single" w:sz="8" w:space="0" w:color="auto"/>
              <w:right w:val="single" w:sz="8" w:space="0" w:color="auto"/>
            </w:tcBorders>
            <w:shd w:val="clear" w:color="000000" w:fill="F2F2F2"/>
            <w:vAlign w:val="center"/>
            <w:hideMark/>
          </w:tcPr>
          <w:p w:rsidR="00B142A3" w:rsidRPr="00FA1DF6" w:rsidP="00C40F8D" w14:paraId="3CE55634"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100" w:type="dxa"/>
            <w:tcBorders>
              <w:top w:val="nil"/>
              <w:left w:val="nil"/>
              <w:bottom w:val="single" w:sz="8" w:space="0" w:color="auto"/>
              <w:right w:val="single" w:sz="8" w:space="0" w:color="auto"/>
            </w:tcBorders>
            <w:shd w:val="clear" w:color="000000" w:fill="C6E0B4"/>
            <w:vAlign w:val="center"/>
            <w:hideMark/>
          </w:tcPr>
          <w:p w:rsidR="00B142A3" w:rsidRPr="00FA1DF6" w:rsidP="00C40F8D" w14:paraId="4528CB94"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1,250,537</w:t>
            </w:r>
          </w:p>
        </w:tc>
        <w:tc>
          <w:tcPr>
            <w:tcW w:w="1040" w:type="dxa"/>
            <w:tcBorders>
              <w:top w:val="nil"/>
              <w:left w:val="nil"/>
              <w:bottom w:val="single" w:sz="8" w:space="0" w:color="auto"/>
              <w:right w:val="single" w:sz="8" w:space="0" w:color="auto"/>
            </w:tcBorders>
            <w:shd w:val="clear" w:color="000000" w:fill="F2F2F2"/>
            <w:vAlign w:val="center"/>
            <w:hideMark/>
          </w:tcPr>
          <w:p w:rsidR="00B142A3" w:rsidRPr="00FA1DF6" w:rsidP="00C40F8D" w14:paraId="4916B991"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 </w:t>
            </w:r>
          </w:p>
        </w:tc>
        <w:tc>
          <w:tcPr>
            <w:tcW w:w="1466" w:type="dxa"/>
            <w:tcBorders>
              <w:top w:val="nil"/>
              <w:left w:val="nil"/>
              <w:bottom w:val="single" w:sz="8" w:space="0" w:color="auto"/>
              <w:right w:val="single" w:sz="12" w:space="0" w:color="auto"/>
            </w:tcBorders>
            <w:shd w:val="clear" w:color="000000" w:fill="C6E0B4"/>
            <w:vAlign w:val="center"/>
            <w:hideMark/>
          </w:tcPr>
          <w:p w:rsidR="00B142A3" w:rsidRPr="00FA1DF6" w:rsidP="00C40F8D" w14:paraId="07D9D07D" w14:textId="77777777">
            <w:pPr>
              <w:widowControl/>
              <w:autoSpaceDE/>
              <w:autoSpaceDN/>
              <w:adjustRightInd/>
              <w:jc w:val="center"/>
              <w:rPr>
                <w:rFonts w:ascii="Times New Roman" w:eastAsia="Times New Roman"/>
                <w:b/>
                <w:bCs/>
                <w:color w:val="000000"/>
                <w:sz w:val="20"/>
                <w:szCs w:val="20"/>
              </w:rPr>
            </w:pPr>
            <w:r w:rsidRPr="00FA1DF6">
              <w:rPr>
                <w:rFonts w:ascii="Times New Roman" w:eastAsia="Times New Roman"/>
                <w:b/>
                <w:bCs/>
                <w:color w:val="000000"/>
                <w:sz w:val="20"/>
                <w:szCs w:val="20"/>
              </w:rPr>
              <w:t>$59,509,547</w:t>
            </w:r>
          </w:p>
        </w:tc>
      </w:tr>
    </w:tbl>
    <w:p w:rsidR="002779BF" w:rsidRPr="00B142A3" w:rsidP="00B00B1E" w14:paraId="2CAD7D01" w14:textId="64BDA25D">
      <w:pPr>
        <w:widowControl/>
        <w:autoSpaceDE/>
        <w:autoSpaceDN/>
        <w:adjustRightInd/>
        <w:rPr>
          <w:rFonts w:ascii="Times New Roman" w:eastAsia="Times New Roman"/>
          <w:bCs/>
        </w:rPr>
        <w:sectPr w:rsidSect="00EB67C5">
          <w:headerReference w:type="default" r:id="rId23"/>
          <w:footerReference w:type="default" r:id="rId24"/>
          <w:pgSz w:w="12240" w:h="15840"/>
          <w:pgMar w:top="1440" w:right="1440" w:bottom="1440" w:left="1440" w:header="576" w:footer="576" w:gutter="0"/>
          <w:cols w:space="720"/>
          <w:noEndnote/>
          <w:docGrid w:linePitch="360"/>
        </w:sectPr>
      </w:pPr>
      <w:r w:rsidRPr="00B142A3">
        <w:rPr>
          <w:rFonts w:ascii="Times New Roman" w:eastAsia="Times New Roman"/>
          <w:bCs/>
        </w:rPr>
        <w:t xml:space="preserve">*=not cumulative. A total of </w:t>
      </w:r>
      <w:r w:rsidRPr="00B142A3">
        <w:rPr>
          <w:rFonts w:ascii="Times New Roman" w:eastAsia="Times New Roman"/>
          <w:bCs/>
        </w:rPr>
        <w:t xml:space="preserve">60,569 </w:t>
      </w:r>
      <w:r w:rsidRPr="00B142A3">
        <w:rPr>
          <w:rFonts w:ascii="Times New Roman" w:eastAsia="Times New Roman"/>
          <w:bCs/>
        </w:rPr>
        <w:t>employers</w:t>
      </w:r>
      <w:r w:rsidRPr="00B142A3">
        <w:rPr>
          <w:rFonts w:ascii="Times New Roman" w:eastAsia="Times New Roman"/>
          <w:bCs/>
        </w:rPr>
        <w:t xml:space="preserve"> are the total respondents.</w:t>
      </w:r>
    </w:p>
    <w:tbl>
      <w:tblPr>
        <w:tblpPr w:leftFromText="180" w:rightFromText="180" w:tblpX="-1355" w:tblpY="-1440"/>
        <w:tblW w:w="13135" w:type="dxa"/>
        <w:tblLook w:val="04A0"/>
      </w:tblPr>
      <w:tblGrid>
        <w:gridCol w:w="3335"/>
        <w:gridCol w:w="1228"/>
        <w:gridCol w:w="1306"/>
        <w:gridCol w:w="1320"/>
        <w:gridCol w:w="1100"/>
        <w:gridCol w:w="1240"/>
        <w:gridCol w:w="1100"/>
        <w:gridCol w:w="1040"/>
        <w:gridCol w:w="1466"/>
      </w:tblGrid>
      <w:tr w14:paraId="2400E22F" w14:textId="77777777" w:rsidTr="002D6852">
        <w:tblPrEx>
          <w:tblW w:w="13135" w:type="dxa"/>
          <w:tblLook w:val="04A0"/>
        </w:tblPrEx>
        <w:trPr>
          <w:trHeight w:val="300"/>
        </w:trPr>
        <w:tc>
          <w:tcPr>
            <w:tcW w:w="3335" w:type="dxa"/>
            <w:tcBorders>
              <w:top w:val="nil"/>
              <w:left w:val="nil"/>
              <w:bottom w:val="nil"/>
              <w:right w:val="nil"/>
            </w:tcBorders>
            <w:noWrap/>
            <w:vAlign w:val="bottom"/>
          </w:tcPr>
          <w:p w:rsidR="003A439A" w:rsidRPr="003A439A" w:rsidP="00BD0E3A" w14:paraId="3D7C2D23" w14:textId="77777777">
            <w:pPr>
              <w:widowControl/>
              <w:autoSpaceDE/>
              <w:autoSpaceDN/>
              <w:adjustRightInd/>
              <w:jc w:val="center"/>
              <w:rPr>
                <w:rFonts w:ascii="Times New Roman" w:eastAsia="Times New Roman"/>
                <w:b/>
                <w:bCs/>
                <w:color w:val="000000"/>
                <w:sz w:val="20"/>
                <w:szCs w:val="20"/>
              </w:rPr>
            </w:pPr>
          </w:p>
        </w:tc>
        <w:tc>
          <w:tcPr>
            <w:tcW w:w="1228" w:type="dxa"/>
            <w:tcBorders>
              <w:top w:val="nil"/>
              <w:left w:val="nil"/>
              <w:bottom w:val="nil"/>
              <w:right w:val="nil"/>
            </w:tcBorders>
            <w:noWrap/>
            <w:vAlign w:val="bottom"/>
          </w:tcPr>
          <w:p w:rsidR="003A439A" w:rsidRPr="003A439A" w:rsidP="00BD0E3A" w14:paraId="5FDC645D" w14:textId="77777777">
            <w:pPr>
              <w:widowControl/>
              <w:autoSpaceDE/>
              <w:autoSpaceDN/>
              <w:adjustRightInd/>
              <w:jc w:val="center"/>
              <w:rPr>
                <w:rFonts w:ascii="Times New Roman" w:eastAsia="Times New Roman"/>
                <w:sz w:val="20"/>
                <w:szCs w:val="20"/>
              </w:rPr>
            </w:pPr>
          </w:p>
        </w:tc>
        <w:tc>
          <w:tcPr>
            <w:tcW w:w="1306" w:type="dxa"/>
            <w:tcBorders>
              <w:top w:val="nil"/>
              <w:left w:val="nil"/>
              <w:bottom w:val="nil"/>
              <w:right w:val="nil"/>
            </w:tcBorders>
            <w:vAlign w:val="center"/>
          </w:tcPr>
          <w:p w:rsidR="003A439A" w:rsidRPr="003A439A" w:rsidP="00BD0E3A" w14:paraId="25033D05" w14:textId="77777777">
            <w:pPr>
              <w:widowControl/>
              <w:autoSpaceDE/>
              <w:autoSpaceDN/>
              <w:adjustRightInd/>
              <w:rPr>
                <w:rFonts w:ascii="Times New Roman" w:eastAsia="Times New Roman"/>
                <w:sz w:val="20"/>
                <w:szCs w:val="20"/>
              </w:rPr>
            </w:pPr>
          </w:p>
        </w:tc>
        <w:tc>
          <w:tcPr>
            <w:tcW w:w="1320" w:type="dxa"/>
            <w:tcBorders>
              <w:top w:val="nil"/>
              <w:left w:val="nil"/>
              <w:bottom w:val="nil"/>
              <w:right w:val="nil"/>
            </w:tcBorders>
            <w:noWrap/>
            <w:vAlign w:val="bottom"/>
          </w:tcPr>
          <w:p w:rsidR="003A439A" w:rsidRPr="003A439A" w:rsidP="00BD0E3A" w14:paraId="0848BE9D" w14:textId="77777777">
            <w:pPr>
              <w:widowControl/>
              <w:autoSpaceDE/>
              <w:autoSpaceDN/>
              <w:adjustRightInd/>
              <w:jc w:val="center"/>
              <w:rPr>
                <w:rFonts w:ascii="Times New Roman" w:eastAsia="Times New Roman"/>
                <w:sz w:val="20"/>
                <w:szCs w:val="20"/>
              </w:rPr>
            </w:pPr>
          </w:p>
        </w:tc>
        <w:tc>
          <w:tcPr>
            <w:tcW w:w="1100" w:type="dxa"/>
            <w:tcBorders>
              <w:top w:val="nil"/>
              <w:left w:val="nil"/>
              <w:bottom w:val="nil"/>
              <w:right w:val="nil"/>
            </w:tcBorders>
            <w:noWrap/>
            <w:vAlign w:val="bottom"/>
          </w:tcPr>
          <w:p w:rsidR="003A439A" w:rsidRPr="003A439A" w:rsidP="00BD0E3A" w14:paraId="69C53FAF" w14:textId="77777777">
            <w:pPr>
              <w:widowControl/>
              <w:autoSpaceDE/>
              <w:autoSpaceDN/>
              <w:adjustRightInd/>
              <w:rPr>
                <w:rFonts w:ascii="Times New Roman" w:eastAsia="Times New Roman"/>
                <w:sz w:val="20"/>
                <w:szCs w:val="20"/>
              </w:rPr>
            </w:pPr>
          </w:p>
        </w:tc>
        <w:tc>
          <w:tcPr>
            <w:tcW w:w="1240" w:type="dxa"/>
            <w:tcBorders>
              <w:top w:val="nil"/>
              <w:left w:val="nil"/>
              <w:bottom w:val="nil"/>
              <w:right w:val="nil"/>
            </w:tcBorders>
            <w:noWrap/>
            <w:vAlign w:val="bottom"/>
          </w:tcPr>
          <w:p w:rsidR="003A439A" w:rsidRPr="003A439A" w:rsidP="00BD0E3A" w14:paraId="4F2914AF" w14:textId="77777777">
            <w:pPr>
              <w:widowControl/>
              <w:autoSpaceDE/>
              <w:autoSpaceDN/>
              <w:adjustRightInd/>
              <w:rPr>
                <w:rFonts w:ascii="Times New Roman" w:eastAsia="Times New Roman"/>
                <w:sz w:val="20"/>
                <w:szCs w:val="20"/>
              </w:rPr>
            </w:pPr>
          </w:p>
        </w:tc>
        <w:tc>
          <w:tcPr>
            <w:tcW w:w="1100" w:type="dxa"/>
            <w:tcBorders>
              <w:top w:val="nil"/>
              <w:left w:val="nil"/>
              <w:bottom w:val="nil"/>
              <w:right w:val="nil"/>
            </w:tcBorders>
            <w:noWrap/>
            <w:vAlign w:val="bottom"/>
          </w:tcPr>
          <w:p w:rsidR="003A439A" w:rsidRPr="003A439A" w:rsidP="00BD0E3A" w14:paraId="760B5DEE" w14:textId="77777777">
            <w:pPr>
              <w:widowControl/>
              <w:autoSpaceDE/>
              <w:autoSpaceDN/>
              <w:adjustRightInd/>
              <w:rPr>
                <w:rFonts w:ascii="Times New Roman" w:eastAsia="Times New Roman"/>
                <w:sz w:val="20"/>
                <w:szCs w:val="20"/>
              </w:rPr>
            </w:pPr>
          </w:p>
        </w:tc>
        <w:tc>
          <w:tcPr>
            <w:tcW w:w="1040" w:type="dxa"/>
            <w:tcBorders>
              <w:top w:val="nil"/>
              <w:left w:val="nil"/>
              <w:bottom w:val="nil"/>
              <w:right w:val="nil"/>
            </w:tcBorders>
            <w:noWrap/>
            <w:vAlign w:val="bottom"/>
          </w:tcPr>
          <w:p w:rsidR="003A439A" w:rsidRPr="003A439A" w:rsidP="00BD0E3A" w14:paraId="2D1F63EE" w14:textId="77777777">
            <w:pPr>
              <w:widowControl/>
              <w:autoSpaceDE/>
              <w:autoSpaceDN/>
              <w:adjustRightInd/>
              <w:rPr>
                <w:rFonts w:ascii="Times New Roman" w:eastAsia="Times New Roman"/>
                <w:sz w:val="20"/>
                <w:szCs w:val="20"/>
              </w:rPr>
            </w:pPr>
          </w:p>
        </w:tc>
        <w:tc>
          <w:tcPr>
            <w:tcW w:w="1466" w:type="dxa"/>
            <w:tcBorders>
              <w:top w:val="nil"/>
              <w:left w:val="nil"/>
              <w:bottom w:val="nil"/>
              <w:right w:val="nil"/>
            </w:tcBorders>
            <w:noWrap/>
            <w:vAlign w:val="bottom"/>
          </w:tcPr>
          <w:p w:rsidR="003A439A" w:rsidRPr="003A439A" w:rsidP="00BD0E3A" w14:paraId="28496DAA" w14:textId="77777777">
            <w:pPr>
              <w:widowControl/>
              <w:autoSpaceDE/>
              <w:autoSpaceDN/>
              <w:adjustRightInd/>
              <w:rPr>
                <w:rFonts w:ascii="Times New Roman" w:eastAsia="Times New Roman"/>
                <w:sz w:val="20"/>
                <w:szCs w:val="20"/>
              </w:rPr>
            </w:pPr>
          </w:p>
        </w:tc>
      </w:tr>
    </w:tbl>
    <w:p w:rsidR="00606D2D" w:rsidRPr="00844FB9" w:rsidP="56E51CD7" w14:paraId="4AAC33BE" w14:textId="0B2BE9C5">
      <w:pPr>
        <w:widowControl/>
        <w:autoSpaceDE/>
        <w:autoSpaceDN/>
        <w:adjustRightInd/>
        <w:rPr>
          <w:rFonts w:ascii="Times New Roman"/>
          <w:b/>
          <w:bCs/>
        </w:rPr>
      </w:pPr>
      <w:r>
        <w:rPr>
          <w:rFonts w:ascii="Times New Roman"/>
          <w:b/>
          <w:bCs/>
        </w:rPr>
        <w:t>1</w:t>
      </w:r>
      <w:r w:rsidRPr="56E51CD7" w:rsidR="00DE7D9E">
        <w:rPr>
          <w:rFonts w:ascii="Times New Roman"/>
          <w:b/>
          <w:bCs/>
        </w:rPr>
        <w:t>3.</w:t>
      </w:r>
      <w:r w:rsidRPr="56E51CD7" w:rsidR="2CD7BE93">
        <w:rPr>
          <w:rFonts w:ascii="Times New Roman"/>
          <w:b/>
          <w:bCs/>
        </w:rPr>
        <w:t xml:space="preserve"> </w:t>
      </w:r>
      <w:r w:rsidRPr="56E51CD7" w:rsidR="00DE7D9E">
        <w:rPr>
          <w:rFonts w:ascii="Times New Roman"/>
          <w:b/>
          <w:bCs/>
        </w:rPr>
        <w:t>Provide an estimate of the total annual cost burden to respondents or recordkeepers resulting from the collection of information.</w:t>
      </w:r>
      <w:r w:rsidRPr="56E51CD7" w:rsidR="2CD7BE93">
        <w:rPr>
          <w:rFonts w:ascii="Times New Roman"/>
          <w:b/>
          <w:bCs/>
        </w:rPr>
        <w:t xml:space="preserve"> </w:t>
      </w:r>
      <w:r w:rsidRPr="56E51CD7" w:rsidR="00DE7D9E">
        <w:rPr>
          <w:rFonts w:ascii="Times New Roman"/>
          <w:b/>
          <w:bCs/>
        </w:rPr>
        <w:t>(Do not include the cost of any hour burden shown in Items 12 and 14).</w:t>
      </w:r>
    </w:p>
    <w:p w:rsidR="00606D2D" w:rsidRPr="00844FB9" w14:paraId="4B49EBFF" w14:textId="77777777">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rPr>
      </w:pPr>
    </w:p>
    <w:p w:rsidR="00606D2D" w:rsidRPr="004A2AAC" w:rsidP="004A2AAC" w14:paraId="6DEF65A8" w14:textId="7046F364">
      <w:pPr>
        <w:pStyle w:val="ListParagraph"/>
        <w:numPr>
          <w:ilvl w:val="0"/>
          <w:numId w:val="8"/>
        </w:num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bCs/>
        </w:rPr>
      </w:pPr>
      <w:r w:rsidRPr="004A2AAC">
        <w:rPr>
          <w:rFonts w:ascii="Times New Roman"/>
          <w:b/>
          <w:bCs/>
        </w:rPr>
        <w:t>The cost estimate should be split into two components: (a) a total capital and start-up cost component (annualized over its expected useful life); and (b) a total operation and maintenance and purchase of services component.</w:t>
      </w:r>
      <w:r w:rsidRPr="004A2AAC" w:rsidR="2CD7BE93">
        <w:rPr>
          <w:rFonts w:ascii="Times New Roman"/>
          <w:b/>
          <w:bCs/>
        </w:rPr>
        <w:t xml:space="preserve"> </w:t>
      </w:r>
      <w:r w:rsidRPr="004A2AAC">
        <w:rPr>
          <w:rFonts w:ascii="Times New Roman"/>
          <w:b/>
          <w:bCs/>
        </w:rPr>
        <w:t xml:space="preserve">The estimates should </w:t>
      </w:r>
      <w:r w:rsidRPr="004A2AAC">
        <w:rPr>
          <w:rFonts w:ascii="Times New Roman"/>
          <w:b/>
          <w:bCs/>
        </w:rPr>
        <w:t>take into account</w:t>
      </w:r>
      <w:r w:rsidRPr="004A2AAC">
        <w:rPr>
          <w:rFonts w:ascii="Times New Roman"/>
          <w:b/>
          <w:bCs/>
        </w:rPr>
        <w:t xml:space="preserve"> costs associated with generating, maintaining, and disclosing or providing the information.</w:t>
      </w:r>
      <w:r w:rsidRPr="004A2AAC" w:rsidR="2CD7BE93">
        <w:rPr>
          <w:rFonts w:ascii="Times New Roman"/>
          <w:b/>
          <w:bCs/>
        </w:rPr>
        <w:t xml:space="preserve"> </w:t>
      </w:r>
      <w:r w:rsidRPr="004A2AAC">
        <w:rPr>
          <w:rFonts w:ascii="Times New Roman"/>
          <w:b/>
          <w:bCs/>
        </w:rPr>
        <w:t xml:space="preserve">Include descriptions of methods used to estimate major cost factors including system and technology acquisition, expected useful life of capital equipment, the discount rate(s), and the </w:t>
      </w:r>
      <w:r w:rsidRPr="004A2AAC">
        <w:rPr>
          <w:rFonts w:ascii="Times New Roman"/>
          <w:b/>
          <w:bCs/>
        </w:rPr>
        <w:t>time period</w:t>
      </w:r>
      <w:r w:rsidRPr="004A2AAC">
        <w:rPr>
          <w:rFonts w:ascii="Times New Roman"/>
          <w:b/>
          <w:bCs/>
        </w:rPr>
        <w:t xml:space="preserve"> over which costs will be incurred.</w:t>
      </w:r>
      <w:r w:rsidRPr="004A2AAC" w:rsidR="2CD7BE93">
        <w:rPr>
          <w:rFonts w:ascii="Times New Roman"/>
          <w:b/>
          <w:bCs/>
        </w:rPr>
        <w:t xml:space="preserve"> </w:t>
      </w:r>
      <w:r w:rsidRPr="004A2AAC">
        <w:rPr>
          <w:rFonts w:ascii="Times New Roman"/>
          <w:b/>
          <w:bCs/>
        </w:rPr>
        <w:t>Capital and start-up costs, among other items, preparations for collecting information such as purchasing computers and software; monitoring, sampl</w:t>
      </w:r>
      <w:r w:rsidRPr="004A2AAC">
        <w:rPr>
          <w:rFonts w:ascii="Times New Roman"/>
          <w:b/>
          <w:bCs/>
        </w:rPr>
        <w:t>ing, drilling and testing equipment; and record storage facilities.</w:t>
      </w:r>
    </w:p>
    <w:p w:rsidR="00606D2D" w:rsidRPr="00844FB9" w14:paraId="141BDDF0" w14:textId="77777777">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rPr>
      </w:pPr>
    </w:p>
    <w:p w:rsidR="00606D2D" w:rsidRPr="00253EA6" w:rsidP="00253EA6" w14:paraId="0C1DF610" w14:textId="2FDCBAA5">
      <w:pPr>
        <w:pStyle w:val="ListParagraph"/>
        <w:numPr>
          <w:ilvl w:val="0"/>
          <w:numId w:val="8"/>
        </w:num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bCs/>
        </w:rPr>
      </w:pPr>
      <w:r w:rsidRPr="00253EA6">
        <w:rPr>
          <w:rFonts w:ascii="Times New Roman"/>
          <w:b/>
          <w:bCs/>
        </w:rPr>
        <w:t>If cost estimates are expected to vary widely, agencies should present ranges of cost burdens and explain the reasons for the variance.</w:t>
      </w:r>
      <w:r w:rsidRPr="00253EA6" w:rsidR="2CD7BE93">
        <w:rPr>
          <w:rFonts w:ascii="Times New Roman"/>
          <w:b/>
          <w:bCs/>
        </w:rPr>
        <w:t xml:space="preserve"> </w:t>
      </w:r>
      <w:r w:rsidRPr="00253EA6">
        <w:rPr>
          <w:rFonts w:ascii="Times New Roman"/>
          <w:b/>
          <w:bCs/>
        </w:rPr>
        <w:t>The cost of purchasing or contracting out information collection services should be a part of this cost burden estimate.</w:t>
      </w:r>
      <w:r w:rsidRPr="00253EA6" w:rsidR="2CD7BE93">
        <w:rPr>
          <w:rFonts w:ascii="Times New Roman"/>
          <w:b/>
          <w:bCs/>
        </w:rPr>
        <w:t xml:space="preserve"> </w:t>
      </w:r>
      <w:r w:rsidRPr="00253EA6">
        <w:rPr>
          <w:rFonts w:ascii="Times New Roman"/>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06D2D" w:rsidRPr="00844FB9" w14:paraId="74758E4A" w14:textId="77777777">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rPr>
      </w:pPr>
    </w:p>
    <w:p w:rsidR="00606D2D" w:rsidRPr="00487E03" w:rsidP="00AA0861" w14:paraId="5CE09BDA" w14:textId="3537BCC0">
      <w:pPr>
        <w:pStyle w:val="ListParagraph"/>
        <w:numPr>
          <w:ilvl w:val="0"/>
          <w:numId w:val="8"/>
        </w:num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bCs/>
        </w:rPr>
      </w:pPr>
      <w:r w:rsidRPr="00487E03">
        <w:rPr>
          <w:rFonts w:asci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06D2D" w:rsidRPr="00844FB9" w14:paraId="2FC7D47C" w14:textId="77777777">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rPr>
      </w:pPr>
    </w:p>
    <w:p w:rsidR="00811417" w:rsidRPr="001438C5" w:rsidP="00606D2D" w14:paraId="66A29079" w14:textId="408B8219">
      <w:pPr>
        <w:widowControl/>
        <w:rPr>
          <w:rFonts w:ascii="Times New Roman"/>
          <w:b/>
          <w:bCs/>
          <w:u w:val="single"/>
        </w:rPr>
      </w:pPr>
      <w:r w:rsidRPr="001438C5">
        <w:rPr>
          <w:rFonts w:ascii="Times New Roman"/>
          <w:b/>
          <w:bCs/>
          <w:u w:val="single"/>
        </w:rPr>
        <w:t>Capital Cost Determinations</w:t>
      </w:r>
    </w:p>
    <w:p w:rsidR="00811417" w:rsidP="00606D2D" w14:paraId="430AC07D" w14:textId="0E875939">
      <w:pPr>
        <w:widowControl/>
        <w:rPr>
          <w:rFonts w:ascii="Times New Roman"/>
          <w:b/>
          <w:bCs/>
        </w:rPr>
      </w:pPr>
    </w:p>
    <w:p w:rsidR="00811417" w:rsidRPr="001438C5" w:rsidP="00606D2D" w14:paraId="7976A310" w14:textId="63DAB986">
      <w:pPr>
        <w:widowControl/>
        <w:rPr>
          <w:rFonts w:ascii="Times New Roman"/>
        </w:rPr>
      </w:pPr>
      <w:r w:rsidRPr="56E51CD7">
        <w:rPr>
          <w:rFonts w:ascii="Times New Roman"/>
        </w:rPr>
        <w:t>In determining the capital cost of these paperwork requirements, OSHA used the information and data from Item 12 above. From these determinations, the agency estimates that the total capital cost of these requirements is $</w:t>
      </w:r>
      <w:r w:rsidR="00B63DFD">
        <w:rPr>
          <w:rFonts w:ascii="Times New Roman" w:eastAsia="Times New Roman"/>
          <w:color w:val="000000"/>
        </w:rPr>
        <w:t>210,232,946</w:t>
      </w:r>
      <w:r w:rsidRPr="56E51CD7" w:rsidR="3596A05D">
        <w:rPr>
          <w:rFonts w:ascii="Times New Roman"/>
        </w:rPr>
        <w:t>.</w:t>
      </w:r>
      <w:r w:rsidRPr="56E51CD7">
        <w:rPr>
          <w:rFonts w:ascii="Times New Roman"/>
        </w:rPr>
        <w:t xml:space="preserve"> </w:t>
      </w:r>
    </w:p>
    <w:p w:rsidR="00811417" w:rsidP="00606D2D" w14:paraId="2A9B4A7F" w14:textId="77777777">
      <w:pPr>
        <w:widowControl/>
        <w:rPr>
          <w:rFonts w:ascii="Times New Roman"/>
          <w:b/>
          <w:bCs/>
        </w:rPr>
      </w:pPr>
    </w:p>
    <w:p w:rsidR="00012891" w:rsidP="00606D2D" w14:paraId="66E63438" w14:textId="7B9EA8C8">
      <w:pPr>
        <w:widowControl/>
        <w:rPr>
          <w:rFonts w:ascii="Times New Roman"/>
        </w:rPr>
      </w:pPr>
      <w:r>
        <w:rPr>
          <w:rFonts w:ascii="Times New Roman"/>
          <w:b/>
          <w:bCs/>
        </w:rPr>
        <w:t xml:space="preserve">(A) </w:t>
      </w:r>
      <w:r w:rsidRPr="0080157B" w:rsidR="00606D2D">
        <w:rPr>
          <w:rFonts w:ascii="Times New Roman"/>
          <w:b/>
          <w:bCs/>
        </w:rPr>
        <w:t>Exposure Monitoring</w:t>
      </w:r>
    </w:p>
    <w:p w:rsidR="00606D2D" w:rsidRPr="00082E8D" w:rsidP="00606D2D" w14:paraId="25F048FF" w14:textId="35A2CEAD">
      <w:pPr>
        <w:widowControl/>
        <w:rPr>
          <w:rFonts w:ascii="Times New Roman"/>
        </w:rPr>
      </w:pPr>
      <w:r>
        <w:rPr>
          <w:rFonts w:ascii="Times New Roman"/>
          <w:bCs/>
        </w:rPr>
        <w:br/>
      </w:r>
      <w:r w:rsidRPr="0080157B" w:rsidR="049474F3">
        <w:rPr>
          <w:rFonts w:ascii="Times New Roman"/>
        </w:rPr>
        <w:t xml:space="preserve">The agency </w:t>
      </w:r>
      <w:r w:rsidRPr="00082E8D" w:rsidR="049474F3">
        <w:rPr>
          <w:rFonts w:ascii="Times New Roman"/>
        </w:rPr>
        <w:t xml:space="preserve">assumes that employers incur </w:t>
      </w:r>
      <w:r w:rsidRPr="00082E8D" w:rsidR="00F07BBC">
        <w:rPr>
          <w:rFonts w:ascii="Times New Roman"/>
        </w:rPr>
        <w:t>no</w:t>
      </w:r>
      <w:r w:rsidRPr="00082E8D" w:rsidR="00510DEA">
        <w:rPr>
          <w:rFonts w:ascii="Times New Roman"/>
        </w:rPr>
        <w:t xml:space="preserve"> </w:t>
      </w:r>
      <w:r w:rsidRPr="00082E8D" w:rsidR="049474F3">
        <w:rPr>
          <w:rFonts w:ascii="Times New Roman"/>
        </w:rPr>
        <w:t xml:space="preserve">costs for analyzing the samples taken for </w:t>
      </w:r>
      <w:r w:rsidRPr="00082E8D" w:rsidR="189786C3">
        <w:rPr>
          <w:rFonts w:ascii="Times New Roman"/>
        </w:rPr>
        <w:t xml:space="preserve">initial (0 samples) and </w:t>
      </w:r>
      <w:r w:rsidRPr="00082E8D" w:rsidR="00CA0809">
        <w:rPr>
          <w:rFonts w:ascii="Times New Roman"/>
        </w:rPr>
        <w:t>$</w:t>
      </w:r>
      <w:r w:rsidRPr="00082E8D" w:rsidR="00991855">
        <w:rPr>
          <w:rFonts w:ascii="Times New Roman"/>
        </w:rPr>
        <w:t>8,799,</w:t>
      </w:r>
      <w:r w:rsidRPr="00082E8D" w:rsidR="000C02E1">
        <w:rPr>
          <w:rFonts w:ascii="Times New Roman"/>
        </w:rPr>
        <w:t>072</w:t>
      </w:r>
      <w:r w:rsidRPr="00082E8D" w:rsidR="00991855">
        <w:rPr>
          <w:rFonts w:ascii="Times New Roman"/>
        </w:rPr>
        <w:t xml:space="preserve"> for </w:t>
      </w:r>
      <w:r w:rsidRPr="00082E8D" w:rsidR="189786C3">
        <w:rPr>
          <w:rFonts w:ascii="Times New Roman"/>
        </w:rPr>
        <w:t xml:space="preserve">periodic </w:t>
      </w:r>
      <w:r w:rsidRPr="00082E8D" w:rsidR="005F2527">
        <w:rPr>
          <w:rFonts w:ascii="Times New Roman"/>
        </w:rPr>
        <w:t>(91,657</w:t>
      </w:r>
      <w:r w:rsidRPr="00082E8D" w:rsidR="0016739E">
        <w:rPr>
          <w:rFonts w:ascii="Times New Roman"/>
        </w:rPr>
        <w:t xml:space="preserve"> workers x 2 samples per year =</w:t>
      </w:r>
      <w:r w:rsidRPr="00082E8D" w:rsidR="00A20ECB">
        <w:rPr>
          <w:rFonts w:ascii="Times New Roman"/>
        </w:rPr>
        <w:t>183,3</w:t>
      </w:r>
      <w:r w:rsidRPr="00082E8D" w:rsidR="002D749E">
        <w:rPr>
          <w:rFonts w:ascii="Times New Roman"/>
        </w:rPr>
        <w:t>14</w:t>
      </w:r>
      <w:r w:rsidRPr="00082E8D" w:rsidR="007647D2">
        <w:rPr>
          <w:rFonts w:ascii="Times New Roman"/>
        </w:rPr>
        <w:t xml:space="preserve"> </w:t>
      </w:r>
      <w:r w:rsidRPr="00082E8D" w:rsidR="189786C3">
        <w:rPr>
          <w:rFonts w:ascii="Times New Roman"/>
        </w:rPr>
        <w:t xml:space="preserve">samples) </w:t>
      </w:r>
      <w:r w:rsidRPr="00082E8D" w:rsidR="002856C1">
        <w:rPr>
          <w:rFonts w:ascii="Times New Roman"/>
        </w:rPr>
        <w:t xml:space="preserve">representative </w:t>
      </w:r>
      <w:r w:rsidRPr="00082E8D" w:rsidR="049474F3">
        <w:rPr>
          <w:rFonts w:ascii="Times New Roman"/>
        </w:rPr>
        <w:t xml:space="preserve">exposure monitoring. The </w:t>
      </w:r>
      <w:r w:rsidRPr="00082E8D" w:rsidR="2204E797">
        <w:rPr>
          <w:rFonts w:ascii="Times New Roman"/>
        </w:rPr>
        <w:t>a</w:t>
      </w:r>
      <w:r w:rsidRPr="00082E8D" w:rsidR="049474F3">
        <w:rPr>
          <w:rFonts w:ascii="Times New Roman"/>
        </w:rPr>
        <w:t xml:space="preserve">gency </w:t>
      </w:r>
      <w:r w:rsidRPr="00082E8D" w:rsidR="00991855">
        <w:rPr>
          <w:rFonts w:ascii="Times New Roman"/>
        </w:rPr>
        <w:t>estimates</w:t>
      </w:r>
      <w:r w:rsidRPr="00082E8D" w:rsidR="049474F3">
        <w:rPr>
          <w:rFonts w:ascii="Times New Roman"/>
        </w:rPr>
        <w:t xml:space="preserve"> it </w:t>
      </w:r>
      <w:r w:rsidR="00F811D8">
        <w:rPr>
          <w:rFonts w:ascii="Times New Roman"/>
        </w:rPr>
        <w:t>costs</w:t>
      </w:r>
      <w:r w:rsidRPr="00082E8D" w:rsidR="00F811D8">
        <w:rPr>
          <w:rFonts w:ascii="Times New Roman"/>
        </w:rPr>
        <w:t xml:space="preserve"> </w:t>
      </w:r>
      <w:r w:rsidRPr="00082E8D" w:rsidR="049474F3">
        <w:rPr>
          <w:rFonts w:ascii="Times New Roman"/>
        </w:rPr>
        <w:t>$</w:t>
      </w:r>
      <w:r w:rsidRPr="00082E8D" w:rsidR="004D0396">
        <w:rPr>
          <w:rFonts w:ascii="Times New Roman"/>
        </w:rPr>
        <w:t>48 (rounded)</w:t>
      </w:r>
      <w:r w:rsidRPr="00082E8D" w:rsidR="049474F3">
        <w:rPr>
          <w:rFonts w:ascii="Times New Roman"/>
        </w:rPr>
        <w:t xml:space="preserve"> per sample</w:t>
      </w:r>
      <w:r w:rsidRPr="00082E8D" w:rsidR="45388A18">
        <w:rPr>
          <w:rFonts w:ascii="Times New Roman"/>
        </w:rPr>
        <w:t xml:space="preserve"> to analyze lead</w:t>
      </w:r>
      <w:r w:rsidRPr="00082E8D" w:rsidR="049474F3">
        <w:rPr>
          <w:rFonts w:ascii="Times New Roman"/>
        </w:rPr>
        <w:t>.</w:t>
      </w:r>
      <w:r>
        <w:rPr>
          <w:rStyle w:val="FootnoteReference"/>
          <w:rFonts w:ascii="Times New Roman"/>
          <w:sz w:val="22"/>
          <w:szCs w:val="22"/>
          <w:vertAlign w:val="superscript"/>
        </w:rPr>
        <w:footnoteReference w:id="8"/>
      </w:r>
      <w:r w:rsidRPr="00082E8D" w:rsidR="049474F3">
        <w:rPr>
          <w:rFonts w:ascii="Times New Roman"/>
          <w:sz w:val="22"/>
          <w:szCs w:val="22"/>
          <w:vertAlign w:val="superscript"/>
        </w:rPr>
        <w:t xml:space="preserve"> </w:t>
      </w:r>
      <w:r w:rsidRPr="00082E8D" w:rsidR="040EF9E1">
        <w:rPr>
          <w:rFonts w:ascii="Times New Roman"/>
        </w:rPr>
        <w:t>T</w:t>
      </w:r>
      <w:r w:rsidRPr="00082E8D" w:rsidR="049474F3">
        <w:rPr>
          <w:rFonts w:ascii="Times New Roman"/>
        </w:rPr>
        <w:t xml:space="preserve">he </w:t>
      </w:r>
      <w:r w:rsidR="00F811D8">
        <w:rPr>
          <w:rFonts w:ascii="Times New Roman"/>
        </w:rPr>
        <w:t>cost</w:t>
      </w:r>
      <w:r w:rsidRPr="00082E8D" w:rsidR="00F811D8">
        <w:rPr>
          <w:rFonts w:ascii="Times New Roman"/>
        </w:rPr>
        <w:t xml:space="preserve"> </w:t>
      </w:r>
      <w:r w:rsidRPr="00082E8D" w:rsidR="00BC5746">
        <w:rPr>
          <w:rFonts w:ascii="Times New Roman"/>
        </w:rPr>
        <w:t>is</w:t>
      </w:r>
      <w:r w:rsidRPr="00082E8D" w:rsidR="049474F3">
        <w:rPr>
          <w:rFonts w:ascii="Times New Roman"/>
        </w:rPr>
        <w:t xml:space="preserve"> as follows:</w:t>
      </w:r>
    </w:p>
    <w:p w:rsidR="00606D2D" w:rsidRPr="00082E8D" w:rsidP="00606D2D" w14:paraId="0E2D1543" w14:textId="77777777">
      <w:pPr>
        <w:widowControl/>
        <w:rPr>
          <w:rFonts w:ascii="Times New Roman"/>
        </w:rPr>
      </w:pPr>
    </w:p>
    <w:p w:rsidR="008F46D6" w:rsidRPr="00082E8D" w:rsidP="00B30688" w14:paraId="06B0A757" w14:textId="77AA41CC">
      <w:pPr>
        <w:widowControl/>
        <w:tabs>
          <w:tab w:val="left" w:pos="720"/>
          <w:tab w:val="left" w:pos="1440"/>
          <w:tab w:val="left" w:pos="2160"/>
        </w:tabs>
        <w:ind w:firstLine="720"/>
        <w:rPr>
          <w:rFonts w:ascii="Times New Roman"/>
          <w:b/>
          <w:bCs/>
        </w:rPr>
      </w:pPr>
      <w:r w:rsidRPr="00082E8D">
        <w:rPr>
          <w:rFonts w:ascii="Times New Roman"/>
          <w:b/>
          <w:bCs/>
        </w:rPr>
        <w:t>Cost</w:t>
      </w:r>
      <w:r w:rsidRPr="00B30688">
        <w:rPr>
          <w:rFonts w:ascii="Times New Roman"/>
        </w:rPr>
        <w:t>:</w:t>
      </w:r>
      <w:r w:rsidRPr="00082E8D">
        <w:rPr>
          <w:rFonts w:ascii="Times New Roman"/>
          <w:b/>
          <w:bCs/>
        </w:rPr>
        <w:tab/>
      </w:r>
      <w:r w:rsidRPr="00082E8D" w:rsidR="00970DB2">
        <w:rPr>
          <w:rFonts w:ascii="Times New Roman"/>
          <w:b/>
          <w:bCs/>
        </w:rPr>
        <w:tab/>
      </w:r>
      <w:r w:rsidRPr="004A2AAC" w:rsidR="002662A5">
        <w:rPr>
          <w:rFonts w:ascii="Times New Roman"/>
        </w:rPr>
        <w:t>183,3</w:t>
      </w:r>
      <w:r w:rsidRPr="00082E8D" w:rsidR="000A7356">
        <w:rPr>
          <w:rFonts w:ascii="Times New Roman"/>
        </w:rPr>
        <w:t>14</w:t>
      </w:r>
      <w:r w:rsidRPr="00082E8D" w:rsidR="002662A5">
        <w:rPr>
          <w:rFonts w:ascii="Times New Roman"/>
          <w:b/>
          <w:bCs/>
        </w:rPr>
        <w:t xml:space="preserve"> </w:t>
      </w:r>
      <w:r w:rsidRPr="00082E8D">
        <w:rPr>
          <w:rFonts w:ascii="Times New Roman"/>
        </w:rPr>
        <w:t>samples × $</w:t>
      </w:r>
      <w:r w:rsidRPr="00082E8D" w:rsidR="004D0396">
        <w:rPr>
          <w:rFonts w:ascii="Times New Roman"/>
        </w:rPr>
        <w:t>48</w:t>
      </w:r>
      <w:r w:rsidRPr="00082E8D" w:rsidR="007D592B">
        <w:rPr>
          <w:rFonts w:ascii="Times New Roman"/>
        </w:rPr>
        <w:t xml:space="preserve"> </w:t>
      </w:r>
      <w:r w:rsidRPr="00082E8D">
        <w:rPr>
          <w:rFonts w:ascii="Times New Roman"/>
        </w:rPr>
        <w:t>per sample = $</w:t>
      </w:r>
      <w:r w:rsidRPr="00082E8D" w:rsidR="00EB241A">
        <w:rPr>
          <w:rFonts w:ascii="Times New Roman"/>
        </w:rPr>
        <w:t>8,799,</w:t>
      </w:r>
      <w:r w:rsidRPr="00082E8D" w:rsidR="005E6620">
        <w:rPr>
          <w:rFonts w:ascii="Times New Roman"/>
        </w:rPr>
        <w:t>072</w:t>
      </w:r>
    </w:p>
    <w:p w:rsidR="00304701" w:rsidRPr="00082E8D" w:rsidP="00606D2D" w14:paraId="357BC6C9" w14:textId="77777777">
      <w:pPr>
        <w:widowControl/>
        <w:rPr>
          <w:rFonts w:ascii="Times New Roman"/>
          <w:b/>
          <w:bCs/>
        </w:rPr>
      </w:pPr>
    </w:p>
    <w:p w:rsidR="00606D2D" w:rsidRPr="00082E8D" w:rsidP="00606D2D" w14:paraId="66B633D7" w14:textId="1CD1BE3C">
      <w:pPr>
        <w:widowControl/>
        <w:rPr>
          <w:rFonts w:ascii="Times New Roman"/>
        </w:rPr>
      </w:pPr>
      <w:r w:rsidRPr="00082E8D">
        <w:rPr>
          <w:rFonts w:ascii="Times New Roman"/>
          <w:b/>
          <w:bCs/>
        </w:rPr>
        <w:t>(B) Biological Monitoring</w:t>
      </w:r>
    </w:p>
    <w:p w:rsidR="00606D2D" w:rsidRPr="00082E8D" w:rsidP="00606D2D" w14:paraId="76EFB2CB" w14:textId="77777777">
      <w:pPr>
        <w:widowControl/>
        <w:rPr>
          <w:rFonts w:ascii="Times New Roman"/>
        </w:rPr>
      </w:pPr>
    </w:p>
    <w:p w:rsidR="00A879A2" w:rsidRPr="00082E8D" w:rsidP="00606D2D" w14:paraId="4517A6A8" w14:textId="1B618C8A">
      <w:pPr>
        <w:widowControl/>
        <w:rPr>
          <w:rFonts w:ascii="Times New Roman"/>
        </w:rPr>
      </w:pPr>
      <w:r w:rsidRPr="00082E8D">
        <w:rPr>
          <w:rFonts w:ascii="Times New Roman"/>
        </w:rPr>
        <w:t xml:space="preserve">The </w:t>
      </w:r>
      <w:r w:rsidRPr="00082E8D" w:rsidR="02C70E60">
        <w:rPr>
          <w:rFonts w:ascii="Times New Roman"/>
        </w:rPr>
        <w:t>a</w:t>
      </w:r>
      <w:r w:rsidRPr="00082E8D">
        <w:rPr>
          <w:rFonts w:ascii="Times New Roman"/>
        </w:rPr>
        <w:t xml:space="preserve">gency assumes that </w:t>
      </w:r>
      <w:r w:rsidR="00F811D8">
        <w:rPr>
          <w:rFonts w:ascii="Times New Roman"/>
        </w:rPr>
        <w:t>blood sampling and analysis of lead and zinc protoporphyrin (ZPP) levels cost</w:t>
      </w:r>
      <w:r w:rsidRPr="00082E8D">
        <w:rPr>
          <w:rFonts w:ascii="Times New Roman"/>
        </w:rPr>
        <w:t xml:space="preserve"> $</w:t>
      </w:r>
      <w:r w:rsidRPr="00082E8D" w:rsidR="005E0FFC">
        <w:rPr>
          <w:rFonts w:ascii="Times New Roman"/>
        </w:rPr>
        <w:t>9</w:t>
      </w:r>
      <w:r w:rsidRPr="00082E8D">
        <w:rPr>
          <w:rFonts w:ascii="Times New Roman"/>
        </w:rPr>
        <w:t>3.</w:t>
      </w:r>
      <w:r>
        <w:rPr>
          <w:rStyle w:val="FootnoteReference"/>
          <w:rFonts w:ascii="Times New Roman"/>
          <w:vertAlign w:val="superscript"/>
        </w:rPr>
        <w:footnoteReference w:id="9"/>
      </w:r>
      <w:r w:rsidRPr="00082E8D" w:rsidR="2CD7BE93">
        <w:rPr>
          <w:rFonts w:ascii="Times New Roman"/>
        </w:rPr>
        <w:t xml:space="preserve"> </w:t>
      </w:r>
    </w:p>
    <w:p w:rsidR="00304701" w:rsidRPr="00082E8D" w:rsidP="00606D2D" w14:paraId="51AAC213" w14:textId="77777777">
      <w:pPr>
        <w:widowControl/>
        <w:rPr>
          <w:rFonts w:ascii="Times New Roman"/>
        </w:rPr>
      </w:pPr>
      <w:r w:rsidRPr="00082E8D">
        <w:rPr>
          <w:rFonts w:ascii="Times New Roman"/>
        </w:rPr>
        <w:tab/>
      </w:r>
    </w:p>
    <w:p w:rsidR="00A879A2" w:rsidRPr="00082E8D" w:rsidP="00FD080C" w14:paraId="6C50018C" w14:textId="2FE58644">
      <w:pPr>
        <w:widowControl/>
        <w:ind w:firstLine="720"/>
        <w:rPr>
          <w:rFonts w:ascii="Times New Roman"/>
        </w:rPr>
      </w:pPr>
      <w:r w:rsidRPr="00FD080C">
        <w:rPr>
          <w:rFonts w:ascii="Times New Roman"/>
          <w:b/>
          <w:bCs/>
        </w:rPr>
        <w:t>Cost</w:t>
      </w:r>
      <w:r w:rsidRPr="00082E8D">
        <w:rPr>
          <w:rFonts w:ascii="Times New Roman"/>
        </w:rPr>
        <w:t>:</w:t>
      </w:r>
      <w:r w:rsidRPr="00082E8D" w:rsidR="00453A7F">
        <w:rPr>
          <w:rFonts w:ascii="Times New Roman"/>
        </w:rPr>
        <w:tab/>
      </w:r>
      <w:r w:rsidRPr="00082E8D" w:rsidR="00453A7F">
        <w:rPr>
          <w:rFonts w:ascii="Times New Roman"/>
        </w:rPr>
        <w:tab/>
      </w:r>
      <w:r w:rsidRPr="00082E8D" w:rsidR="000B76EE">
        <w:rPr>
          <w:rFonts w:ascii="Times New Roman"/>
        </w:rPr>
        <w:t>366,629</w:t>
      </w:r>
      <w:r w:rsidRPr="00082E8D">
        <w:rPr>
          <w:rFonts w:ascii="Times New Roman"/>
        </w:rPr>
        <w:t xml:space="preserve"> workers × 2 annual samples × </w:t>
      </w:r>
      <w:r w:rsidRPr="00082E8D" w:rsidR="00802CD9">
        <w:rPr>
          <w:rFonts w:ascii="Times New Roman"/>
        </w:rPr>
        <w:t>$</w:t>
      </w:r>
      <w:r w:rsidRPr="00082E8D" w:rsidR="006B26F1">
        <w:rPr>
          <w:rFonts w:ascii="Times New Roman"/>
        </w:rPr>
        <w:t xml:space="preserve">93 = </w:t>
      </w:r>
      <w:r w:rsidRPr="00082E8D" w:rsidR="001D61E5">
        <w:rPr>
          <w:rFonts w:ascii="Times New Roman"/>
        </w:rPr>
        <w:t>$</w:t>
      </w:r>
      <w:r w:rsidRPr="00082E8D" w:rsidR="0016522C">
        <w:rPr>
          <w:rFonts w:ascii="Times New Roman"/>
        </w:rPr>
        <w:t>68,192,994</w:t>
      </w:r>
      <w:r w:rsidRPr="00082E8D">
        <w:rPr>
          <w:rFonts w:ascii="Times New Roman"/>
        </w:rPr>
        <w:br/>
        <w:t xml:space="preserve">  </w:t>
      </w:r>
    </w:p>
    <w:p w:rsidR="00606D2D" w:rsidRPr="00082E8D" w:rsidP="00606D2D" w14:paraId="64AB00F7" w14:textId="31891602">
      <w:pPr>
        <w:widowControl/>
        <w:rPr>
          <w:rFonts w:ascii="Times New Roman"/>
        </w:rPr>
      </w:pPr>
      <w:r w:rsidRPr="00082E8D">
        <w:rPr>
          <w:rFonts w:ascii="Times New Roman"/>
        </w:rPr>
        <w:t xml:space="preserve">The agency assumes that the cost for </w:t>
      </w:r>
      <w:r w:rsidRPr="00082E8D" w:rsidR="00304701">
        <w:rPr>
          <w:rFonts w:ascii="Times New Roman"/>
        </w:rPr>
        <w:t>blood sampl</w:t>
      </w:r>
      <w:r w:rsidRPr="00082E8D" w:rsidR="008310C5">
        <w:rPr>
          <w:rFonts w:ascii="Times New Roman"/>
        </w:rPr>
        <w:t>ing and analysis</w:t>
      </w:r>
      <w:r w:rsidRPr="00082E8D" w:rsidR="00660BDA">
        <w:rPr>
          <w:rFonts w:ascii="Times New Roman"/>
        </w:rPr>
        <w:t xml:space="preserve"> </w:t>
      </w:r>
      <w:r w:rsidRPr="00082E8D">
        <w:rPr>
          <w:rFonts w:ascii="Times New Roman"/>
        </w:rPr>
        <w:t>tests, as d</w:t>
      </w:r>
      <w:r w:rsidRPr="00082E8D" w:rsidR="00660BDA">
        <w:rPr>
          <w:rFonts w:ascii="Times New Roman"/>
        </w:rPr>
        <w:t>iscussed</w:t>
      </w:r>
      <w:r w:rsidRPr="00082E8D">
        <w:rPr>
          <w:rFonts w:ascii="Times New Roman"/>
        </w:rPr>
        <w:t xml:space="preserve"> under “Biological Monitoring”</w:t>
      </w:r>
      <w:r w:rsidRPr="00082E8D" w:rsidR="009C00D0">
        <w:rPr>
          <w:rFonts w:ascii="Times New Roman"/>
        </w:rPr>
        <w:t xml:space="preserve"> </w:t>
      </w:r>
      <w:r w:rsidRPr="00082E8D" w:rsidR="00660BDA">
        <w:rPr>
          <w:rFonts w:ascii="Times New Roman"/>
        </w:rPr>
        <w:t>is $105.</w:t>
      </w:r>
      <w:r w:rsidRPr="00082E8D" w:rsidR="00693898">
        <w:rPr>
          <w:rFonts w:ascii="Times New Roman"/>
        </w:rPr>
        <w:t xml:space="preserve"> </w:t>
      </w:r>
      <w:r w:rsidRPr="00082E8D">
        <w:rPr>
          <w:rFonts w:ascii="Times New Roman"/>
        </w:rPr>
        <w:t xml:space="preserve"> </w:t>
      </w:r>
      <w:r w:rsidRPr="00082E8D" w:rsidR="00AB6DB0">
        <w:rPr>
          <w:rFonts w:ascii="Times New Roman"/>
        </w:rPr>
        <w:t xml:space="preserve">The total number of samples is </w:t>
      </w:r>
      <w:r w:rsidRPr="00082E8D" w:rsidR="00C643C5">
        <w:rPr>
          <w:rFonts w:ascii="Times New Roman"/>
        </w:rPr>
        <w:t xml:space="preserve">561,688 </w:t>
      </w:r>
      <w:r w:rsidRPr="00082E8D">
        <w:rPr>
          <w:rFonts w:ascii="Times New Roman"/>
        </w:rPr>
        <w:t>(</w:t>
      </w:r>
      <w:r w:rsidRPr="00082E8D" w:rsidR="05FEE226">
        <w:rPr>
          <w:rFonts w:ascii="Times New Roman"/>
        </w:rPr>
        <w:t>2</w:t>
      </w:r>
      <w:r w:rsidRPr="00082E8D" w:rsidR="008310C5">
        <w:rPr>
          <w:rFonts w:ascii="Times New Roman"/>
        </w:rPr>
        <w:t>1,</w:t>
      </w:r>
      <w:r w:rsidRPr="00082E8D" w:rsidR="00357AC8">
        <w:rPr>
          <w:rFonts w:ascii="Times New Roman"/>
        </w:rPr>
        <w:t>998</w:t>
      </w:r>
      <w:r w:rsidRPr="00082E8D">
        <w:rPr>
          <w:rFonts w:ascii="Times New Roman"/>
        </w:rPr>
        <w:t xml:space="preserve"> × 10) + (</w:t>
      </w:r>
      <w:r w:rsidRPr="00082E8D" w:rsidR="05FEE226">
        <w:rPr>
          <w:rFonts w:ascii="Times New Roman"/>
        </w:rPr>
        <w:t>8</w:t>
      </w:r>
      <w:r w:rsidRPr="00082E8D" w:rsidR="00357AC8">
        <w:rPr>
          <w:rFonts w:ascii="Times New Roman"/>
        </w:rPr>
        <w:t>5,42</w:t>
      </w:r>
      <w:r w:rsidRPr="00082E8D" w:rsidR="001904BE">
        <w:rPr>
          <w:rFonts w:ascii="Times New Roman"/>
        </w:rPr>
        <w:t>5</w:t>
      </w:r>
      <w:r w:rsidRPr="00082E8D" w:rsidR="676BC3B7">
        <w:rPr>
          <w:rFonts w:ascii="Times New Roman"/>
        </w:rPr>
        <w:t xml:space="preserve"> </w:t>
      </w:r>
      <w:r w:rsidRPr="00082E8D">
        <w:rPr>
          <w:rFonts w:ascii="Times New Roman"/>
        </w:rPr>
        <w:t>× 4)). Therefore</w:t>
      </w:r>
      <w:r w:rsidRPr="00082E8D" w:rsidR="43FFE416">
        <w:rPr>
          <w:rFonts w:ascii="Times New Roman"/>
        </w:rPr>
        <w:t>,</w:t>
      </w:r>
      <w:r w:rsidRPr="00082E8D">
        <w:rPr>
          <w:rFonts w:ascii="Times New Roman"/>
        </w:rPr>
        <w:t xml:space="preserve"> the cost</w:t>
      </w:r>
      <w:r w:rsidRPr="00082E8D" w:rsidR="3C733595">
        <w:rPr>
          <w:rFonts w:ascii="Times New Roman"/>
        </w:rPr>
        <w:t xml:space="preserve"> </w:t>
      </w:r>
      <w:r w:rsidRPr="00082E8D" w:rsidR="00B04D00">
        <w:rPr>
          <w:rFonts w:ascii="Times New Roman"/>
        </w:rPr>
        <w:t>is</w:t>
      </w:r>
      <w:r w:rsidRPr="00082E8D" w:rsidR="3C733595">
        <w:rPr>
          <w:rFonts w:ascii="Times New Roman"/>
        </w:rPr>
        <w:t xml:space="preserve"> as follows:</w:t>
      </w:r>
      <w:r w:rsidRPr="00082E8D">
        <w:t xml:space="preserve"> </w:t>
      </w:r>
    </w:p>
    <w:p w:rsidR="00606D2D" w:rsidRPr="00082E8D" w:rsidP="00606D2D" w14:paraId="0F51013D" w14:textId="02BDD671">
      <w:pPr>
        <w:widowControl/>
        <w:rPr>
          <w:rFonts w:ascii="Times New Roman"/>
        </w:rPr>
      </w:pPr>
    </w:p>
    <w:p w:rsidR="004650A5" w:rsidRPr="00082E8D" w:rsidP="00606D2D" w14:paraId="47D8694B" w14:textId="6A4A37BD">
      <w:pPr>
        <w:widowControl/>
        <w:rPr>
          <w:rFonts w:ascii="Times New Roman"/>
        </w:rPr>
      </w:pPr>
      <w:r w:rsidRPr="00082E8D">
        <w:rPr>
          <w:rFonts w:ascii="Times New Roman"/>
        </w:rPr>
        <w:tab/>
      </w:r>
      <w:r w:rsidRPr="00082E8D">
        <w:rPr>
          <w:rFonts w:ascii="Times New Roman"/>
          <w:b/>
          <w:bCs/>
        </w:rPr>
        <w:t>Cost</w:t>
      </w:r>
      <w:r w:rsidRPr="00FD080C">
        <w:rPr>
          <w:rFonts w:ascii="Times New Roman"/>
        </w:rPr>
        <w:t>:</w:t>
      </w:r>
      <w:r w:rsidRPr="00082E8D">
        <w:rPr>
          <w:rFonts w:ascii="Times New Roman"/>
          <w:b/>
          <w:bCs/>
        </w:rPr>
        <w:t xml:space="preserve"> </w:t>
      </w:r>
      <w:r w:rsidRPr="00082E8D">
        <w:rPr>
          <w:rFonts w:ascii="Times New Roman"/>
        </w:rPr>
        <w:tab/>
      </w:r>
      <w:r w:rsidRPr="00082E8D">
        <w:rPr>
          <w:rFonts w:ascii="Times New Roman"/>
        </w:rPr>
        <w:tab/>
      </w:r>
      <w:r w:rsidRPr="00082E8D" w:rsidR="002C1AAE">
        <w:rPr>
          <w:rFonts w:ascii="Times New Roman"/>
        </w:rPr>
        <w:t>561,68</w:t>
      </w:r>
      <w:r w:rsidRPr="00082E8D" w:rsidR="0085503C">
        <w:rPr>
          <w:rFonts w:ascii="Times New Roman"/>
        </w:rPr>
        <w:t>8</w:t>
      </w:r>
      <w:r w:rsidRPr="00082E8D" w:rsidR="001046D9">
        <w:rPr>
          <w:rFonts w:ascii="Times New Roman"/>
        </w:rPr>
        <w:t xml:space="preserve"> samples x $</w:t>
      </w:r>
      <w:r w:rsidRPr="00082E8D" w:rsidR="00F10EA7">
        <w:rPr>
          <w:rFonts w:ascii="Times New Roman"/>
        </w:rPr>
        <w:t>105</w:t>
      </w:r>
      <w:r w:rsidRPr="00082E8D" w:rsidR="001046D9">
        <w:rPr>
          <w:rFonts w:ascii="Times New Roman"/>
        </w:rPr>
        <w:t xml:space="preserve"> =</w:t>
      </w:r>
      <w:r w:rsidRPr="00082E8D" w:rsidR="00F36160">
        <w:rPr>
          <w:rFonts w:ascii="Times New Roman"/>
        </w:rPr>
        <w:t xml:space="preserve"> $</w:t>
      </w:r>
      <w:r w:rsidRPr="00082E8D" w:rsidR="005F6408">
        <w:rPr>
          <w:rFonts w:ascii="Times New Roman"/>
        </w:rPr>
        <w:t>36,098,480</w:t>
      </w:r>
    </w:p>
    <w:p w:rsidR="008C3B74" w:rsidRPr="00082E8D" w:rsidP="00606D2D" w14:paraId="42C37A29" w14:textId="77777777">
      <w:pPr>
        <w:widowControl/>
        <w:rPr>
          <w:rFonts w:ascii="Times New Roman"/>
        </w:rPr>
      </w:pPr>
      <w:r w:rsidRPr="00082E8D">
        <w:rPr>
          <w:rFonts w:ascii="Times New Roman"/>
        </w:rPr>
        <w:tab/>
      </w:r>
    </w:p>
    <w:p w:rsidR="00606D2D" w:rsidRPr="00082E8D" w:rsidP="00606D2D" w14:paraId="31A93E27" w14:textId="01CB390B">
      <w:pPr>
        <w:widowControl/>
        <w:rPr>
          <w:rFonts w:ascii="Times New Roman"/>
        </w:rPr>
      </w:pPr>
      <w:r w:rsidRPr="00082E8D">
        <w:rPr>
          <w:rFonts w:ascii="Times New Roman"/>
          <w:b/>
          <w:bCs/>
        </w:rPr>
        <w:t>(C) Medical Examinations</w:t>
      </w:r>
    </w:p>
    <w:p w:rsidR="00606D2D" w:rsidRPr="00082E8D" w:rsidP="00606D2D" w14:paraId="44C23276" w14:textId="77777777">
      <w:pPr>
        <w:widowControl/>
        <w:rPr>
          <w:rFonts w:ascii="Times New Roman"/>
        </w:rPr>
      </w:pPr>
    </w:p>
    <w:p w:rsidR="00C14236" w:rsidRPr="00082E8D" w:rsidP="007B23EA" w14:paraId="7CD40C4C" w14:textId="4299F1BF">
      <w:pPr>
        <w:widowControl/>
        <w:autoSpaceDE/>
        <w:autoSpaceDN/>
        <w:adjustRightInd/>
        <w:rPr>
          <w:rFonts w:ascii="Times New Roman"/>
        </w:rPr>
      </w:pPr>
      <w:r w:rsidRPr="00082E8D">
        <w:rPr>
          <w:rFonts w:ascii="Times New Roman"/>
        </w:rPr>
        <w:t>The total number of medical examination</w:t>
      </w:r>
      <w:r w:rsidRPr="00082E8D" w:rsidR="2C603D91">
        <w:rPr>
          <w:rFonts w:ascii="Times New Roman"/>
        </w:rPr>
        <w:t xml:space="preserve"> record</w:t>
      </w:r>
      <w:r w:rsidRPr="00082E8D">
        <w:rPr>
          <w:rFonts w:ascii="Times New Roman"/>
        </w:rPr>
        <w:t xml:space="preserve">s is </w:t>
      </w:r>
      <w:r w:rsidRPr="00082E8D" w:rsidR="676BC3B7">
        <w:rPr>
          <w:rFonts w:ascii="Times New Roman"/>
        </w:rPr>
        <w:t>2</w:t>
      </w:r>
      <w:r w:rsidRPr="00082E8D" w:rsidR="004A664F">
        <w:rPr>
          <w:rFonts w:ascii="Times New Roman"/>
        </w:rPr>
        <w:t>69,840</w:t>
      </w:r>
      <w:r w:rsidRPr="00082E8D" w:rsidR="676BC3B7">
        <w:rPr>
          <w:rFonts w:ascii="Times New Roman"/>
        </w:rPr>
        <w:t xml:space="preserve"> </w:t>
      </w:r>
      <w:r w:rsidRPr="00082E8D">
        <w:rPr>
          <w:rFonts w:ascii="Times New Roman"/>
        </w:rPr>
        <w:t>(</w:t>
      </w:r>
      <w:r w:rsidRPr="00082E8D" w:rsidR="7E428C00">
        <w:rPr>
          <w:rFonts w:ascii="Times New Roman"/>
          <w:i/>
          <w:iCs/>
        </w:rPr>
        <w:t>S</w:t>
      </w:r>
      <w:r w:rsidRPr="00082E8D">
        <w:rPr>
          <w:rFonts w:ascii="Times New Roman"/>
          <w:i/>
          <w:iCs/>
        </w:rPr>
        <w:t>ee</w:t>
      </w:r>
      <w:r w:rsidRPr="00082E8D">
        <w:rPr>
          <w:rFonts w:ascii="Times New Roman"/>
        </w:rPr>
        <w:t xml:space="preserve"> “Medical Surveillance” item 12). The </w:t>
      </w:r>
      <w:r w:rsidRPr="00082E8D" w:rsidR="02C70E60">
        <w:rPr>
          <w:rFonts w:ascii="Times New Roman"/>
        </w:rPr>
        <w:t>a</w:t>
      </w:r>
      <w:r w:rsidRPr="00082E8D">
        <w:rPr>
          <w:rFonts w:ascii="Times New Roman"/>
        </w:rPr>
        <w:t>gency estimates the cost of a medical examination to be $</w:t>
      </w:r>
      <w:r w:rsidR="00D24BE3">
        <w:rPr>
          <w:rFonts w:ascii="Times New Roman"/>
        </w:rPr>
        <w:t>360</w:t>
      </w:r>
      <w:r w:rsidRPr="00082E8D">
        <w:rPr>
          <w:rFonts w:ascii="Times New Roman"/>
        </w:rPr>
        <w:t>.</w:t>
      </w:r>
      <w:r>
        <w:rPr>
          <w:rStyle w:val="FootnoteReference"/>
          <w:rFonts w:ascii="Times New Roman"/>
          <w:vertAlign w:val="superscript"/>
        </w:rPr>
        <w:footnoteReference w:id="10"/>
      </w:r>
      <w:r w:rsidRPr="00082E8D" w:rsidR="2CD7BE93">
        <w:rPr>
          <w:rFonts w:ascii="Times New Roman"/>
        </w:rPr>
        <w:t xml:space="preserve"> </w:t>
      </w:r>
      <w:r w:rsidRPr="00082E8D">
        <w:rPr>
          <w:rFonts w:ascii="Times New Roman"/>
        </w:rPr>
        <w:t xml:space="preserve">Therefore, the total cost for medical examinations </w:t>
      </w:r>
      <w:r w:rsidRPr="00082E8D" w:rsidR="050441B7">
        <w:rPr>
          <w:rFonts w:ascii="Times New Roman"/>
        </w:rPr>
        <w:t>are</w:t>
      </w:r>
      <w:r w:rsidRPr="00082E8D" w:rsidR="116F7142">
        <w:rPr>
          <w:rFonts w:ascii="Times New Roman"/>
        </w:rPr>
        <w:t xml:space="preserve"> as follows</w:t>
      </w:r>
      <w:r w:rsidRPr="00082E8D" w:rsidR="050441B7">
        <w:rPr>
          <w:rFonts w:ascii="Times New Roman"/>
        </w:rPr>
        <w:t>:</w:t>
      </w:r>
    </w:p>
    <w:p w:rsidR="003B3E8F" w:rsidRPr="00082E8D" w:rsidP="007B23EA" w14:paraId="6A59DEA6" w14:textId="50230D3D">
      <w:pPr>
        <w:widowControl/>
        <w:autoSpaceDE/>
        <w:autoSpaceDN/>
        <w:adjustRightInd/>
        <w:rPr>
          <w:rFonts w:ascii="Times New Roman"/>
        </w:rPr>
      </w:pPr>
    </w:p>
    <w:p w:rsidR="0070208A" w:rsidRPr="00082E8D" w:rsidP="00AA6075" w14:paraId="6C8FB0C5" w14:textId="4BFF4A4F">
      <w:pPr>
        <w:widowControl/>
        <w:autoSpaceDE/>
        <w:autoSpaceDN/>
        <w:adjustRightInd/>
        <w:rPr>
          <w:rFonts w:ascii="Times New Roman"/>
          <w:b/>
          <w:sz w:val="22"/>
          <w:szCs w:val="22"/>
        </w:rPr>
      </w:pPr>
      <w:r w:rsidRPr="00082E8D">
        <w:rPr>
          <w:rFonts w:ascii="Times New Roman"/>
        </w:rPr>
        <w:tab/>
      </w:r>
      <w:r w:rsidRPr="00082E8D">
        <w:rPr>
          <w:rFonts w:ascii="Times New Roman"/>
          <w:b/>
          <w:bCs/>
        </w:rPr>
        <w:t>Costs</w:t>
      </w:r>
      <w:r w:rsidRPr="004A2AAC">
        <w:rPr>
          <w:rFonts w:ascii="Times New Roman"/>
        </w:rPr>
        <w:t>:</w:t>
      </w:r>
      <w:r w:rsidRPr="00082E8D">
        <w:rPr>
          <w:rFonts w:ascii="Times New Roman"/>
          <w:b/>
          <w:bCs/>
        </w:rPr>
        <w:t xml:space="preserve"> </w:t>
      </w:r>
      <w:r w:rsidRPr="00082E8D">
        <w:rPr>
          <w:rFonts w:ascii="Times New Roman"/>
          <w:b/>
          <w:bCs/>
        </w:rPr>
        <w:tab/>
      </w:r>
      <w:r w:rsidRPr="00082E8D">
        <w:rPr>
          <w:rFonts w:ascii="Times New Roman"/>
          <w:b/>
          <w:bCs/>
        </w:rPr>
        <w:tab/>
      </w:r>
      <w:r w:rsidRPr="00082E8D">
        <w:rPr>
          <w:rFonts w:ascii="Times New Roman"/>
        </w:rPr>
        <w:t>2</w:t>
      </w:r>
      <w:r w:rsidRPr="00C27F89" w:rsidR="00391ADF">
        <w:rPr>
          <w:rFonts w:ascii="Times New Roman"/>
        </w:rPr>
        <w:t>69,840</w:t>
      </w:r>
      <w:r w:rsidRPr="00082E8D">
        <w:rPr>
          <w:rFonts w:ascii="Times New Roman"/>
        </w:rPr>
        <w:t xml:space="preserve"> records x $</w:t>
      </w:r>
      <w:r w:rsidR="00D24BE3">
        <w:rPr>
          <w:rFonts w:ascii="Times New Roman"/>
        </w:rPr>
        <w:t>360</w:t>
      </w:r>
      <w:r w:rsidRPr="00082E8D" w:rsidR="00D24BE3">
        <w:rPr>
          <w:rFonts w:ascii="Times New Roman"/>
        </w:rPr>
        <w:t xml:space="preserve"> </w:t>
      </w:r>
      <w:r w:rsidRPr="00082E8D">
        <w:rPr>
          <w:rFonts w:ascii="Times New Roman"/>
        </w:rPr>
        <w:t>= $</w:t>
      </w:r>
      <w:r w:rsidR="00D24BE3">
        <w:rPr>
          <w:rFonts w:ascii="Times New Roman"/>
        </w:rPr>
        <w:t>97</w:t>
      </w:r>
      <w:r w:rsidR="008F4839">
        <w:rPr>
          <w:rFonts w:ascii="Times New Roman"/>
        </w:rPr>
        <w:t>,142,400</w:t>
      </w:r>
    </w:p>
    <w:p w:rsidR="006B1F8E" w:rsidRPr="00082E8D" w:rsidP="001438C5" w14:paraId="475E1548" w14:textId="77777777">
      <w:pPr>
        <w:widowControl/>
        <w:autoSpaceDE/>
        <w:autoSpaceDN/>
        <w:adjustRightInd/>
        <w:rPr>
          <w:rFonts w:ascii="Times New Roman"/>
          <w:b/>
          <w:sz w:val="22"/>
          <w:szCs w:val="22"/>
        </w:rPr>
      </w:pPr>
    </w:p>
    <w:tbl>
      <w:tblPr>
        <w:tblW w:w="6385" w:type="dxa"/>
        <w:tblInd w:w="820" w:type="dxa"/>
        <w:tblLook w:val="04A0"/>
      </w:tblPr>
      <w:tblGrid>
        <w:gridCol w:w="445"/>
        <w:gridCol w:w="90"/>
        <w:gridCol w:w="2610"/>
        <w:gridCol w:w="3240"/>
      </w:tblGrid>
      <w:tr w14:paraId="62C28B10" w14:textId="77777777" w:rsidTr="004A2AAC">
        <w:tblPrEx>
          <w:tblW w:w="6385" w:type="dxa"/>
          <w:tblInd w:w="820" w:type="dxa"/>
          <w:tblLook w:val="04A0"/>
        </w:tblPrEx>
        <w:trPr>
          <w:trHeight w:val="645"/>
          <w:tblHeader/>
        </w:trPr>
        <w:tc>
          <w:tcPr>
            <w:tcW w:w="6385" w:type="dxa"/>
            <w:gridSpan w:val="4"/>
            <w:tcBorders>
              <w:top w:val="single" w:sz="4" w:space="0" w:color="auto"/>
              <w:left w:val="single" w:sz="4" w:space="0" w:color="auto"/>
              <w:bottom w:val="single" w:sz="4" w:space="0" w:color="auto"/>
              <w:right w:val="single" w:sz="4" w:space="0" w:color="auto"/>
            </w:tcBorders>
            <w:shd w:val="clear" w:color="000000" w:fill="D9E1F2"/>
            <w:vAlign w:val="center"/>
            <w:hideMark/>
          </w:tcPr>
          <w:p w:rsidR="00620334" w:rsidRPr="004A2AAC" w:rsidP="00620334" w14:paraId="548A8FFC" w14:textId="704596E7">
            <w:pPr>
              <w:widowControl/>
              <w:autoSpaceDE/>
              <w:autoSpaceDN/>
              <w:adjustRightInd/>
              <w:jc w:val="center"/>
              <w:rPr>
                <w:rFonts w:ascii="Times New Roman" w:eastAsia="Times New Roman"/>
                <w:b/>
                <w:bCs/>
                <w:color w:val="000000"/>
              </w:rPr>
            </w:pPr>
            <w:r w:rsidRPr="004A2AAC">
              <w:rPr>
                <w:rFonts w:ascii="Times New Roman" w:eastAsia="Times New Roman"/>
                <w:b/>
                <w:bCs/>
                <w:color w:val="000000"/>
              </w:rPr>
              <w:t xml:space="preserve">Table D - Cost Summary for Monitoring </w:t>
            </w:r>
            <w:r w:rsidRPr="004A2AAC" w:rsidR="00EC6E18">
              <w:rPr>
                <w:rFonts w:ascii="Times New Roman" w:eastAsia="Times New Roman"/>
                <w:b/>
                <w:bCs/>
                <w:color w:val="000000"/>
              </w:rPr>
              <w:t>a</w:t>
            </w:r>
            <w:r w:rsidRPr="004A2AAC">
              <w:rPr>
                <w:rFonts w:ascii="Times New Roman" w:eastAsia="Times New Roman"/>
                <w:b/>
                <w:bCs/>
                <w:color w:val="000000"/>
              </w:rPr>
              <w:t>nd Examinations</w:t>
            </w:r>
          </w:p>
        </w:tc>
      </w:tr>
      <w:tr w14:paraId="00362724" w14:textId="77777777" w:rsidTr="004A2AAC">
        <w:tblPrEx>
          <w:tblW w:w="6385" w:type="dxa"/>
          <w:tblInd w:w="820" w:type="dxa"/>
          <w:tblLook w:val="04A0"/>
        </w:tblPrEx>
        <w:trPr>
          <w:trHeight w:val="300"/>
          <w:tblHeader/>
        </w:trPr>
        <w:tc>
          <w:tcPr>
            <w:tcW w:w="3145" w:type="dxa"/>
            <w:gridSpan w:val="3"/>
            <w:tcBorders>
              <w:top w:val="nil"/>
              <w:left w:val="single" w:sz="4" w:space="0" w:color="auto"/>
              <w:bottom w:val="single" w:sz="4" w:space="0" w:color="auto"/>
              <w:right w:val="single" w:sz="4" w:space="0" w:color="auto"/>
            </w:tcBorders>
            <w:shd w:val="clear" w:color="000000" w:fill="B4C6E7"/>
            <w:noWrap/>
            <w:vAlign w:val="bottom"/>
            <w:hideMark/>
          </w:tcPr>
          <w:p w:rsidR="00620334" w:rsidRPr="00670F62" w:rsidP="00620334" w14:paraId="5C5DE0D1" w14:textId="77777777">
            <w:pPr>
              <w:widowControl/>
              <w:autoSpaceDE/>
              <w:autoSpaceDN/>
              <w:adjustRightInd/>
              <w:rPr>
                <w:rFonts w:ascii="Times New Roman" w:eastAsia="Times New Roman"/>
                <w:b/>
                <w:bCs/>
                <w:color w:val="000000"/>
              </w:rPr>
            </w:pPr>
            <w:r w:rsidRPr="00670F62">
              <w:rPr>
                <w:rFonts w:ascii="Times New Roman" w:eastAsia="Times New Roman"/>
                <w:b/>
                <w:bCs/>
                <w:color w:val="000000"/>
              </w:rPr>
              <w:t>Provision</w:t>
            </w:r>
          </w:p>
        </w:tc>
        <w:tc>
          <w:tcPr>
            <w:tcW w:w="3240" w:type="dxa"/>
            <w:tcBorders>
              <w:top w:val="nil"/>
              <w:left w:val="nil"/>
              <w:bottom w:val="single" w:sz="4" w:space="0" w:color="auto"/>
              <w:right w:val="single" w:sz="4" w:space="0" w:color="auto"/>
            </w:tcBorders>
            <w:shd w:val="clear" w:color="000000" w:fill="B4C6E7"/>
            <w:vAlign w:val="center"/>
            <w:hideMark/>
          </w:tcPr>
          <w:p w:rsidR="00620334" w:rsidRPr="00670F62" w:rsidP="00620334" w14:paraId="1886A35F" w14:textId="77777777">
            <w:pPr>
              <w:widowControl/>
              <w:autoSpaceDE/>
              <w:autoSpaceDN/>
              <w:adjustRightInd/>
              <w:jc w:val="center"/>
              <w:rPr>
                <w:rFonts w:ascii="Times New Roman" w:eastAsia="Times New Roman"/>
                <w:b/>
                <w:bCs/>
                <w:color w:val="000000"/>
              </w:rPr>
            </w:pPr>
            <w:r w:rsidRPr="00670F62">
              <w:rPr>
                <w:rFonts w:ascii="Times New Roman" w:eastAsia="Times New Roman"/>
                <w:b/>
                <w:bCs/>
                <w:color w:val="000000"/>
              </w:rPr>
              <w:t>Cost</w:t>
            </w:r>
          </w:p>
        </w:tc>
      </w:tr>
      <w:tr w14:paraId="2AD15556" w14:textId="77777777" w:rsidTr="004A2AAC">
        <w:tblPrEx>
          <w:tblW w:w="6385" w:type="dxa"/>
          <w:tblInd w:w="820" w:type="dxa"/>
          <w:tblLook w:val="04A0"/>
        </w:tblPrEx>
        <w:trPr>
          <w:trHeight w:val="300"/>
        </w:trPr>
        <w:tc>
          <w:tcPr>
            <w:tcW w:w="3145" w:type="dxa"/>
            <w:gridSpan w:val="3"/>
            <w:tcBorders>
              <w:top w:val="nil"/>
              <w:left w:val="single" w:sz="4" w:space="0" w:color="auto"/>
              <w:bottom w:val="single" w:sz="4" w:space="0" w:color="auto"/>
              <w:right w:val="single" w:sz="4" w:space="0" w:color="auto"/>
            </w:tcBorders>
            <w:vAlign w:val="center"/>
            <w:hideMark/>
          </w:tcPr>
          <w:p w:rsidR="00620334" w:rsidRPr="0011522C" w:rsidP="00620334" w14:paraId="38884953" w14:textId="77777777">
            <w:pPr>
              <w:widowControl/>
              <w:autoSpaceDE/>
              <w:autoSpaceDN/>
              <w:adjustRightInd/>
              <w:rPr>
                <w:rFonts w:ascii="Times New Roman" w:eastAsia="Times New Roman"/>
                <w:color w:val="000000"/>
              </w:rPr>
            </w:pPr>
            <w:r w:rsidRPr="0011522C">
              <w:rPr>
                <w:rFonts w:ascii="Times New Roman" w:eastAsia="Times New Roman"/>
                <w:color w:val="000000"/>
              </w:rPr>
              <w:t>Exposure Monitoring</w:t>
            </w:r>
          </w:p>
        </w:tc>
        <w:tc>
          <w:tcPr>
            <w:tcW w:w="3240" w:type="dxa"/>
            <w:tcBorders>
              <w:top w:val="nil"/>
              <w:left w:val="nil"/>
              <w:bottom w:val="single" w:sz="4" w:space="0" w:color="auto"/>
              <w:right w:val="single" w:sz="4" w:space="0" w:color="auto"/>
            </w:tcBorders>
            <w:vAlign w:val="center"/>
            <w:hideMark/>
          </w:tcPr>
          <w:p w:rsidR="00620334" w:rsidRPr="0011522C" w:rsidP="00620334" w14:paraId="5F71C64D" w14:textId="717446F0">
            <w:pPr>
              <w:widowControl/>
              <w:autoSpaceDE/>
              <w:autoSpaceDN/>
              <w:adjustRightInd/>
              <w:jc w:val="center"/>
              <w:rPr>
                <w:rFonts w:ascii="Times New Roman" w:eastAsia="Times New Roman"/>
                <w:color w:val="000000"/>
              </w:rPr>
            </w:pPr>
            <w:r w:rsidRPr="0011522C">
              <w:rPr>
                <w:rFonts w:ascii="Times New Roman" w:eastAsia="Times New Roman"/>
                <w:color w:val="000000"/>
              </w:rPr>
              <w:t>$8,799,072</w:t>
            </w:r>
          </w:p>
        </w:tc>
      </w:tr>
      <w:tr w14:paraId="7DA10E30" w14:textId="77777777" w:rsidTr="004A2AAC">
        <w:tblPrEx>
          <w:tblW w:w="6385" w:type="dxa"/>
          <w:tblInd w:w="820" w:type="dxa"/>
          <w:tblLook w:val="04A0"/>
        </w:tblPrEx>
        <w:trPr>
          <w:trHeight w:val="260"/>
        </w:trPr>
        <w:tc>
          <w:tcPr>
            <w:tcW w:w="6385" w:type="dxa"/>
            <w:gridSpan w:val="4"/>
            <w:tcBorders>
              <w:top w:val="nil"/>
              <w:left w:val="single" w:sz="4" w:space="0" w:color="auto"/>
              <w:bottom w:val="single" w:sz="4" w:space="0" w:color="auto"/>
              <w:right w:val="single" w:sz="4" w:space="0" w:color="auto"/>
            </w:tcBorders>
            <w:vAlign w:val="center"/>
            <w:hideMark/>
          </w:tcPr>
          <w:p w:rsidR="00EC6E18" w:rsidRPr="0011522C" w:rsidP="00670F62" w14:paraId="56B1CA0C" w14:textId="1AE8EB43">
            <w:pPr>
              <w:widowControl/>
              <w:autoSpaceDE/>
              <w:autoSpaceDN/>
              <w:adjustRightInd/>
              <w:rPr>
                <w:rFonts w:ascii="Times New Roman" w:eastAsia="Times New Roman"/>
                <w:color w:val="000000"/>
              </w:rPr>
            </w:pPr>
            <w:r w:rsidRPr="0011522C">
              <w:rPr>
                <w:rFonts w:ascii="Times New Roman" w:eastAsia="Times New Roman"/>
                <w:color w:val="000000"/>
              </w:rPr>
              <w:t>Biological Monitoring </w:t>
            </w:r>
          </w:p>
        </w:tc>
      </w:tr>
      <w:tr w14:paraId="46A20C8F" w14:textId="77777777" w:rsidTr="004A2AAC">
        <w:tblPrEx>
          <w:tblW w:w="6385" w:type="dxa"/>
          <w:tblInd w:w="820" w:type="dxa"/>
          <w:tblLook w:val="04A0"/>
        </w:tblPrEx>
        <w:trPr>
          <w:trHeight w:val="630"/>
        </w:trPr>
        <w:tc>
          <w:tcPr>
            <w:tcW w:w="445" w:type="dxa"/>
            <w:tcBorders>
              <w:top w:val="single" w:sz="4" w:space="0" w:color="auto"/>
              <w:left w:val="single" w:sz="4" w:space="0" w:color="auto"/>
              <w:bottom w:val="single" w:sz="4" w:space="0" w:color="auto"/>
            </w:tcBorders>
            <w:vAlign w:val="bottom"/>
            <w:hideMark/>
          </w:tcPr>
          <w:p w:rsidR="0079622F" w:rsidRPr="00082E8D" w:rsidP="00620334" w14:paraId="7D6B35F6" w14:textId="77777777">
            <w:pPr>
              <w:widowControl/>
              <w:autoSpaceDE/>
              <w:autoSpaceDN/>
              <w:adjustRightInd/>
              <w:rPr>
                <w:rFonts w:ascii="Times New Roman" w:eastAsia="Times New Roman"/>
                <w:color w:val="000000"/>
              </w:rPr>
            </w:pPr>
          </w:p>
        </w:tc>
        <w:tc>
          <w:tcPr>
            <w:tcW w:w="2700" w:type="dxa"/>
            <w:gridSpan w:val="2"/>
            <w:tcBorders>
              <w:top w:val="single" w:sz="4" w:space="0" w:color="auto"/>
              <w:bottom w:val="single" w:sz="4" w:space="0" w:color="auto"/>
              <w:right w:val="single" w:sz="4" w:space="0" w:color="auto"/>
            </w:tcBorders>
            <w:vAlign w:val="bottom"/>
          </w:tcPr>
          <w:p w:rsidR="0079622F" w:rsidRPr="0011522C" w:rsidP="00620334" w14:paraId="26AA53DB" w14:textId="69E0AB12">
            <w:pPr>
              <w:widowControl/>
              <w:autoSpaceDE/>
              <w:autoSpaceDN/>
              <w:adjustRightInd/>
              <w:rPr>
                <w:rFonts w:ascii="Times New Roman" w:eastAsia="Times New Roman"/>
                <w:i/>
                <w:iCs/>
                <w:color w:val="000000"/>
                <w:sz w:val="22"/>
                <w:szCs w:val="22"/>
              </w:rPr>
            </w:pPr>
            <w:r w:rsidRPr="0011522C">
              <w:rPr>
                <w:rFonts w:ascii="Times New Roman" w:eastAsia="Times New Roman"/>
                <w:i/>
                <w:iCs/>
                <w:color w:val="000000"/>
                <w:sz w:val="22"/>
                <w:szCs w:val="22"/>
              </w:rPr>
              <w:t xml:space="preserve">Lead and </w:t>
            </w:r>
            <w:r w:rsidRPr="0011522C">
              <w:rPr>
                <w:rFonts w:ascii="Times New Roman" w:eastAsia="Times New Roman"/>
                <w:i/>
                <w:iCs/>
                <w:color w:val="000000"/>
                <w:sz w:val="22"/>
                <w:szCs w:val="22"/>
              </w:rPr>
              <w:t>Zinc  protoporphyrin</w:t>
            </w:r>
            <w:r w:rsidRPr="0011522C">
              <w:rPr>
                <w:rFonts w:ascii="Times New Roman" w:eastAsia="Times New Roman"/>
                <w:i/>
                <w:iCs/>
                <w:color w:val="000000"/>
                <w:sz w:val="22"/>
                <w:szCs w:val="22"/>
              </w:rPr>
              <w:t xml:space="preserve"> levels</w:t>
            </w:r>
          </w:p>
        </w:tc>
        <w:tc>
          <w:tcPr>
            <w:tcW w:w="3240" w:type="dxa"/>
            <w:tcBorders>
              <w:top w:val="nil"/>
              <w:left w:val="single" w:sz="4" w:space="0" w:color="auto"/>
              <w:bottom w:val="single" w:sz="4" w:space="0" w:color="auto"/>
              <w:right w:val="single" w:sz="4" w:space="0" w:color="auto"/>
            </w:tcBorders>
            <w:vAlign w:val="center"/>
            <w:hideMark/>
          </w:tcPr>
          <w:p w:rsidR="0079622F" w:rsidRPr="0011522C" w:rsidP="00B5564E" w14:paraId="6F5FBB51" w14:textId="04AE2697">
            <w:pPr>
              <w:widowControl/>
              <w:autoSpaceDE/>
              <w:autoSpaceDN/>
              <w:adjustRightInd/>
              <w:jc w:val="center"/>
              <w:rPr>
                <w:rFonts w:ascii="Times New Roman" w:eastAsia="Times New Roman"/>
                <w:color w:val="000000"/>
              </w:rPr>
            </w:pPr>
            <w:r w:rsidRPr="0011522C">
              <w:rPr>
                <w:rFonts w:ascii="Times New Roman" w:eastAsia="Times New Roman"/>
                <w:color w:val="000000"/>
              </w:rPr>
              <w:t>$68,192,994</w:t>
            </w:r>
          </w:p>
        </w:tc>
      </w:tr>
      <w:tr w14:paraId="0DFFD41B" w14:textId="77777777" w:rsidTr="004A2AAC">
        <w:tblPrEx>
          <w:tblW w:w="6385" w:type="dxa"/>
          <w:tblInd w:w="820" w:type="dxa"/>
          <w:tblLook w:val="04A0"/>
        </w:tblPrEx>
        <w:trPr>
          <w:trHeight w:val="630"/>
        </w:trPr>
        <w:tc>
          <w:tcPr>
            <w:tcW w:w="535" w:type="dxa"/>
            <w:gridSpan w:val="2"/>
            <w:tcBorders>
              <w:top w:val="single" w:sz="4" w:space="0" w:color="auto"/>
              <w:left w:val="single" w:sz="4" w:space="0" w:color="auto"/>
              <w:bottom w:val="single" w:sz="4" w:space="0" w:color="auto"/>
            </w:tcBorders>
            <w:vAlign w:val="bottom"/>
            <w:hideMark/>
          </w:tcPr>
          <w:p w:rsidR="00967EA1" w:rsidRPr="00670F62" w:rsidP="00620334" w14:paraId="404EB874" w14:textId="77777777">
            <w:pPr>
              <w:widowControl/>
              <w:autoSpaceDE/>
              <w:autoSpaceDN/>
              <w:adjustRightInd/>
              <w:rPr>
                <w:rFonts w:ascii="Times New Roman" w:eastAsia="Times New Roman"/>
                <w:color w:val="000000"/>
                <w:sz w:val="22"/>
                <w:szCs w:val="22"/>
              </w:rPr>
            </w:pPr>
            <w:r w:rsidRPr="00670F62">
              <w:rPr>
                <w:rFonts w:ascii="Times New Roman" w:eastAsia="Times New Roman"/>
                <w:color w:val="000000"/>
                <w:sz w:val="22"/>
                <w:szCs w:val="22"/>
              </w:rPr>
              <w:t xml:space="preserve"> </w:t>
            </w:r>
          </w:p>
        </w:tc>
        <w:tc>
          <w:tcPr>
            <w:tcW w:w="2610" w:type="dxa"/>
            <w:tcBorders>
              <w:top w:val="single" w:sz="4" w:space="0" w:color="auto"/>
              <w:bottom w:val="single" w:sz="4" w:space="0" w:color="auto"/>
              <w:right w:val="single" w:sz="4" w:space="0" w:color="auto"/>
            </w:tcBorders>
            <w:vAlign w:val="bottom"/>
          </w:tcPr>
          <w:p w:rsidR="00967EA1" w:rsidRPr="0011522C" w:rsidP="00620334" w14:paraId="51C8A6C9" w14:textId="32B4A5A7">
            <w:pPr>
              <w:widowControl/>
              <w:autoSpaceDE/>
              <w:autoSpaceDN/>
              <w:adjustRightInd/>
              <w:rPr>
                <w:rFonts w:ascii="Times New Roman" w:eastAsia="Times New Roman"/>
                <w:i/>
                <w:iCs/>
                <w:color w:val="000000"/>
                <w:sz w:val="22"/>
                <w:szCs w:val="22"/>
              </w:rPr>
            </w:pPr>
            <w:r w:rsidRPr="0011522C">
              <w:rPr>
                <w:rFonts w:ascii="Times New Roman" w:eastAsia="Times New Roman"/>
                <w:i/>
                <w:iCs/>
                <w:color w:val="000000"/>
                <w:sz w:val="22"/>
                <w:szCs w:val="22"/>
              </w:rPr>
              <w:t>Blood sampling and analysis tests</w:t>
            </w:r>
          </w:p>
        </w:tc>
        <w:tc>
          <w:tcPr>
            <w:tcW w:w="3240" w:type="dxa"/>
            <w:tcBorders>
              <w:top w:val="nil"/>
              <w:left w:val="nil"/>
              <w:bottom w:val="single" w:sz="4" w:space="0" w:color="auto"/>
              <w:right w:val="single" w:sz="4" w:space="0" w:color="auto"/>
            </w:tcBorders>
            <w:vAlign w:val="center"/>
            <w:hideMark/>
          </w:tcPr>
          <w:p w:rsidR="00967EA1" w:rsidRPr="000F5639" w:rsidP="00B5564E" w14:paraId="19B348E2" w14:textId="11E0041D">
            <w:pPr>
              <w:widowControl/>
              <w:autoSpaceDE/>
              <w:autoSpaceDN/>
              <w:adjustRightInd/>
              <w:jc w:val="center"/>
              <w:rPr>
                <w:rFonts w:ascii="Times New Roman" w:eastAsia="Times New Roman"/>
                <w:color w:val="000000"/>
              </w:rPr>
            </w:pPr>
            <w:r w:rsidRPr="004A2AAC">
              <w:rPr>
                <w:rFonts w:ascii="Times New Roman" w:eastAsia="Times New Roman"/>
                <w:color w:val="000000"/>
              </w:rPr>
              <w:t>$36,098,480</w:t>
            </w:r>
          </w:p>
        </w:tc>
      </w:tr>
      <w:tr w14:paraId="59AA6345" w14:textId="77777777" w:rsidTr="00D95F98">
        <w:tblPrEx>
          <w:tblW w:w="6385" w:type="dxa"/>
          <w:tblInd w:w="820" w:type="dxa"/>
          <w:tblLook w:val="04A0"/>
        </w:tblPrEx>
        <w:trPr>
          <w:trHeight w:val="300"/>
        </w:trPr>
        <w:tc>
          <w:tcPr>
            <w:tcW w:w="3145" w:type="dxa"/>
            <w:gridSpan w:val="3"/>
            <w:tcBorders>
              <w:top w:val="nil"/>
              <w:left w:val="single" w:sz="4" w:space="0" w:color="auto"/>
              <w:bottom w:val="single" w:sz="4" w:space="0" w:color="auto"/>
              <w:right w:val="single" w:sz="4" w:space="0" w:color="auto"/>
            </w:tcBorders>
            <w:vAlign w:val="center"/>
            <w:hideMark/>
          </w:tcPr>
          <w:p w:rsidR="00620334" w:rsidRPr="00D95F98" w:rsidP="00620334" w14:paraId="2A78C6A8" w14:textId="77777777">
            <w:pPr>
              <w:widowControl/>
              <w:autoSpaceDE/>
              <w:autoSpaceDN/>
              <w:adjustRightInd/>
              <w:rPr>
                <w:rFonts w:ascii="Times New Roman" w:eastAsia="Times New Roman"/>
              </w:rPr>
            </w:pPr>
            <w:r w:rsidRPr="00D95F98">
              <w:rPr>
                <w:rFonts w:ascii="Times New Roman" w:eastAsia="Times New Roman"/>
              </w:rPr>
              <w:t>Medical Examinations</w:t>
            </w:r>
          </w:p>
        </w:tc>
        <w:tc>
          <w:tcPr>
            <w:tcW w:w="3240" w:type="dxa"/>
            <w:tcBorders>
              <w:top w:val="nil"/>
              <w:left w:val="nil"/>
              <w:bottom w:val="single" w:sz="4" w:space="0" w:color="auto"/>
              <w:right w:val="single" w:sz="4" w:space="0" w:color="auto"/>
            </w:tcBorders>
            <w:vAlign w:val="center"/>
            <w:hideMark/>
          </w:tcPr>
          <w:p w:rsidR="00620334" w:rsidRPr="00D95F98" w:rsidP="00B5564E" w14:paraId="7669F35E" w14:textId="1BD2952A">
            <w:pPr>
              <w:widowControl/>
              <w:autoSpaceDE/>
              <w:autoSpaceDN/>
              <w:adjustRightInd/>
              <w:jc w:val="center"/>
              <w:rPr>
                <w:rFonts w:ascii="Times New Roman" w:eastAsia="Times New Roman"/>
              </w:rPr>
            </w:pPr>
            <w:r w:rsidRPr="00D95F98">
              <w:rPr>
                <w:rFonts w:ascii="Times New Roman" w:eastAsia="Times New Roman"/>
              </w:rPr>
              <w:t>$</w:t>
            </w:r>
            <w:r w:rsidR="000345A2">
              <w:rPr>
                <w:rFonts w:ascii="Times New Roman"/>
              </w:rPr>
              <w:t>97,142,400</w:t>
            </w:r>
          </w:p>
        </w:tc>
      </w:tr>
      <w:tr w14:paraId="39B6F24F" w14:textId="77777777" w:rsidTr="004A2AAC">
        <w:tblPrEx>
          <w:tblW w:w="6385" w:type="dxa"/>
          <w:tblInd w:w="820" w:type="dxa"/>
          <w:tblLook w:val="04A0"/>
        </w:tblPrEx>
        <w:trPr>
          <w:trHeight w:val="300"/>
        </w:trPr>
        <w:tc>
          <w:tcPr>
            <w:tcW w:w="3145" w:type="dxa"/>
            <w:gridSpan w:val="3"/>
            <w:tcBorders>
              <w:top w:val="nil"/>
              <w:left w:val="single" w:sz="4" w:space="0" w:color="auto"/>
              <w:bottom w:val="single" w:sz="4" w:space="0" w:color="auto"/>
              <w:right w:val="single" w:sz="4" w:space="0" w:color="auto"/>
            </w:tcBorders>
            <w:shd w:val="clear" w:color="000000" w:fill="ACB9CA"/>
            <w:vAlign w:val="center"/>
            <w:hideMark/>
          </w:tcPr>
          <w:p w:rsidR="00620334" w:rsidRPr="00670F62" w:rsidP="00620334" w14:paraId="78AF2D4C" w14:textId="77777777">
            <w:pPr>
              <w:widowControl/>
              <w:autoSpaceDE/>
              <w:autoSpaceDN/>
              <w:adjustRightInd/>
              <w:jc w:val="center"/>
              <w:rPr>
                <w:rFonts w:ascii="Times New Roman" w:eastAsia="Times New Roman"/>
                <w:b/>
                <w:bCs/>
                <w:color w:val="000000"/>
              </w:rPr>
            </w:pPr>
            <w:r w:rsidRPr="00670F62">
              <w:rPr>
                <w:rFonts w:ascii="Times New Roman" w:eastAsia="Times New Roman"/>
                <w:b/>
                <w:bCs/>
                <w:color w:val="000000"/>
              </w:rPr>
              <w:t>Total</w:t>
            </w:r>
          </w:p>
        </w:tc>
        <w:tc>
          <w:tcPr>
            <w:tcW w:w="3240" w:type="dxa"/>
            <w:tcBorders>
              <w:top w:val="nil"/>
              <w:left w:val="nil"/>
              <w:bottom w:val="single" w:sz="4" w:space="0" w:color="auto"/>
              <w:right w:val="single" w:sz="4" w:space="0" w:color="auto"/>
            </w:tcBorders>
            <w:shd w:val="clear" w:color="000000" w:fill="ACB9CA"/>
            <w:vAlign w:val="center"/>
            <w:hideMark/>
          </w:tcPr>
          <w:p w:rsidR="00620334" w:rsidRPr="00670F62" w:rsidP="00B5564E" w14:paraId="7369B7A4" w14:textId="78B12546">
            <w:pPr>
              <w:widowControl/>
              <w:autoSpaceDE/>
              <w:autoSpaceDN/>
              <w:adjustRightInd/>
              <w:jc w:val="center"/>
              <w:rPr>
                <w:rFonts w:ascii="Times New Roman" w:eastAsia="Times New Roman"/>
                <w:b/>
                <w:bCs/>
                <w:color w:val="000000"/>
              </w:rPr>
            </w:pPr>
            <w:r w:rsidRPr="00670F62">
              <w:rPr>
                <w:rFonts w:ascii="Times New Roman" w:eastAsia="Times New Roman"/>
                <w:b/>
                <w:bCs/>
                <w:color w:val="000000"/>
              </w:rPr>
              <w:t>$</w:t>
            </w:r>
            <w:r w:rsidR="00072F0B">
              <w:rPr>
                <w:rFonts w:ascii="Times New Roman" w:eastAsia="Times New Roman"/>
                <w:b/>
                <w:bCs/>
                <w:color w:val="000000"/>
              </w:rPr>
              <w:t>210,</w:t>
            </w:r>
            <w:r w:rsidR="005608B8">
              <w:rPr>
                <w:rFonts w:ascii="Times New Roman" w:eastAsia="Times New Roman"/>
                <w:b/>
                <w:bCs/>
                <w:color w:val="000000"/>
              </w:rPr>
              <w:t>232,946</w:t>
            </w:r>
          </w:p>
        </w:tc>
      </w:tr>
    </w:tbl>
    <w:p w:rsidR="006B1F8E" w:rsidP="001438C5" w14:paraId="464244E5" w14:textId="77777777">
      <w:pPr>
        <w:widowControl/>
        <w:autoSpaceDE/>
        <w:autoSpaceDN/>
        <w:adjustRightInd/>
        <w:rPr>
          <w:rFonts w:ascii="Times New Roman"/>
          <w:b/>
          <w:sz w:val="22"/>
          <w:szCs w:val="22"/>
        </w:rPr>
      </w:pPr>
    </w:p>
    <w:p w:rsidR="00B142A3" w:rsidP="001438C5" w14:paraId="725C0A9E" w14:textId="77777777">
      <w:pPr>
        <w:widowControl/>
        <w:autoSpaceDE/>
        <w:autoSpaceDN/>
        <w:adjustRightInd/>
        <w:rPr>
          <w:rFonts w:ascii="Times New Roman"/>
          <w:b/>
          <w:sz w:val="22"/>
          <w:szCs w:val="22"/>
        </w:rPr>
      </w:pPr>
    </w:p>
    <w:p w:rsidR="00606D2D" w:rsidP="56E51CD7" w14:paraId="405D7D56" w14:textId="2CB18551">
      <w:pPr>
        <w:widowControl/>
        <w:autoSpaceDE/>
        <w:autoSpaceDN/>
        <w:adjustRightInd/>
        <w:rPr>
          <w:rFonts w:ascii="Times New Roman"/>
          <w:b/>
          <w:bCs/>
        </w:rPr>
      </w:pPr>
      <w:r w:rsidRPr="56E51CD7">
        <w:rPr>
          <w:rFonts w:ascii="Times New Roman"/>
          <w:b/>
          <w:bCs/>
        </w:rPr>
        <w:t>14.</w:t>
      </w:r>
      <w:r w:rsidRPr="56E51CD7" w:rsidR="2CD7BE93">
        <w:rPr>
          <w:rFonts w:ascii="Times New Roman"/>
          <w:b/>
          <w:bCs/>
        </w:rPr>
        <w:t xml:space="preserve"> </w:t>
      </w:r>
      <w:r w:rsidRPr="56E51CD7">
        <w:rPr>
          <w:rFonts w:ascii="Times New Roman"/>
          <w:b/>
          <w:bCs/>
        </w:rPr>
        <w:t>Provide estimates of annualized cost to the Federal government.</w:t>
      </w:r>
      <w:r w:rsidRPr="56E51CD7" w:rsidR="2CD7BE93">
        <w:rPr>
          <w:rFonts w:ascii="Times New Roman"/>
          <w:b/>
          <w:bCs/>
        </w:rPr>
        <w:t xml:space="preserve"> </w:t>
      </w:r>
      <w:r w:rsidRPr="56E51CD7">
        <w:rPr>
          <w:rFonts w:ascii="Times New Roman"/>
          <w:b/>
          <w:bCs/>
        </w:rPr>
        <w:t xml:space="preserve">Also, provide a description of the method used to estimate cost, which should include quantification of hours, operational expenses (such as equipment, overhead, printing, and support staff), and any other </w:t>
      </w:r>
      <w:r w:rsidRPr="56E51CD7">
        <w:rPr>
          <w:rFonts w:ascii="Times New Roman"/>
          <w:b/>
          <w:bCs/>
        </w:rPr>
        <w:t>expense</w:t>
      </w:r>
      <w:r w:rsidRPr="56E51CD7">
        <w:rPr>
          <w:rFonts w:ascii="Times New Roman"/>
          <w:b/>
          <w:bCs/>
        </w:rPr>
        <w:t xml:space="preserve"> that would not have been incurred without this collection of information.</w:t>
      </w:r>
      <w:r w:rsidRPr="56E51CD7" w:rsidR="2CD7BE93">
        <w:rPr>
          <w:rFonts w:ascii="Times New Roman"/>
          <w:b/>
          <w:bCs/>
        </w:rPr>
        <w:t xml:space="preserve"> </w:t>
      </w:r>
      <w:r w:rsidRPr="56E51CD7">
        <w:rPr>
          <w:rFonts w:ascii="Times New Roman"/>
          <w:b/>
          <w:bCs/>
        </w:rPr>
        <w:t>Agencies also may aggregate cost estimates from Items 12, 13, and 14 in a single table.</w:t>
      </w:r>
    </w:p>
    <w:p w:rsidR="009F2403" w:rsidP="002D7171" w14:paraId="3F168712" w14:textId="5E4898E0">
      <w:pPr>
        <w:widowControl/>
        <w:autoSpaceDE/>
        <w:autoSpaceDN/>
        <w:adjustRightInd/>
        <w:rPr>
          <w:rFonts w:ascii="Times New Roman"/>
          <w:b/>
        </w:rPr>
      </w:pPr>
    </w:p>
    <w:p w:rsidR="009F2403" w:rsidP="009F2403" w14:paraId="07B0BF46" w14:textId="7EAFEF96">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eastAsia="Times New Roman"/>
        </w:rPr>
      </w:pPr>
      <w:r w:rsidRPr="56E51CD7">
        <w:rPr>
          <w:rFonts w:ascii="Times New Roman" w:eastAsia="Times New Roman"/>
        </w:rPr>
        <w:t xml:space="preserve">The agency has no annualized cost associated with enforcing the standard. OSHA would only review records in the context of an investigation of a particular employer to determine compliance with the standard. These activities are outside the scope of the PRA. </w:t>
      </w:r>
      <w:r w:rsidRPr="56E51CD7">
        <w:rPr>
          <w:rFonts w:ascii="Times New Roman" w:eastAsia="Times New Roman"/>
          <w:i/>
          <w:iCs/>
        </w:rPr>
        <w:t>See</w:t>
      </w:r>
      <w:r w:rsidRPr="56E51CD7">
        <w:rPr>
          <w:rFonts w:ascii="Times New Roman" w:eastAsia="Times New Roman"/>
        </w:rPr>
        <w:t xml:space="preserve"> 5 CFR 1320.4(a)(2).</w:t>
      </w:r>
      <w:r w:rsidRPr="56E51CD7" w:rsidR="2CD7BE93">
        <w:rPr>
          <w:rFonts w:ascii="Times New Roman" w:eastAsia="Times New Roman"/>
        </w:rPr>
        <w:t xml:space="preserve"> </w:t>
      </w:r>
    </w:p>
    <w:p w:rsidR="009F2403" w:rsidP="009F2403" w14:paraId="6AEF83AD" w14:textId="77777777">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eastAsia="Times New Roman"/>
        </w:rPr>
      </w:pPr>
    </w:p>
    <w:p w:rsidR="009F2403" w:rsidP="009F2403" w14:paraId="68754AD8" w14:textId="6872EE4A">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rPr>
      </w:pPr>
      <w:r>
        <w:rPr>
          <w:rFonts w:ascii="Times New Roman"/>
        </w:rPr>
        <w:t>Furthermore, w</w:t>
      </w:r>
      <w:r w:rsidRPr="00D839C5">
        <w:rPr>
          <w:rFonts w:ascii="Times New Roman"/>
        </w:rPr>
        <w:t xml:space="preserve">hile NIOSH may use </w:t>
      </w:r>
      <w:r>
        <w:rPr>
          <w:rFonts w:ascii="Times New Roman"/>
        </w:rPr>
        <w:t>information</w:t>
      </w:r>
      <w:r w:rsidRPr="00D839C5">
        <w:rPr>
          <w:rFonts w:ascii="Times New Roman"/>
        </w:rPr>
        <w:t xml:space="preserve"> collected from employers for research purposes, the </w:t>
      </w:r>
      <w:r>
        <w:rPr>
          <w:rFonts w:ascii="Times New Roman"/>
        </w:rPr>
        <w:t>a</w:t>
      </w:r>
      <w:r w:rsidRPr="00D839C5">
        <w:rPr>
          <w:rFonts w:ascii="Times New Roman"/>
        </w:rPr>
        <w:t xml:space="preserve">gency does not anticipate </w:t>
      </w:r>
      <w:r>
        <w:rPr>
          <w:rFonts w:ascii="Times New Roman"/>
        </w:rPr>
        <w:t xml:space="preserve">that </w:t>
      </w:r>
      <w:r w:rsidRPr="00D839C5">
        <w:rPr>
          <w:rFonts w:ascii="Times New Roman"/>
        </w:rPr>
        <w:t xml:space="preserve">NIOSH </w:t>
      </w:r>
      <w:r>
        <w:rPr>
          <w:rFonts w:ascii="Times New Roman"/>
        </w:rPr>
        <w:t>will</w:t>
      </w:r>
      <w:r w:rsidRPr="00D839C5">
        <w:rPr>
          <w:rFonts w:ascii="Times New Roman"/>
        </w:rPr>
        <w:t xml:space="preserve"> request employers to make available </w:t>
      </w:r>
      <w:r>
        <w:rPr>
          <w:rFonts w:ascii="Times New Roman"/>
        </w:rPr>
        <w:t>information</w:t>
      </w:r>
      <w:r w:rsidRPr="00D839C5">
        <w:rPr>
          <w:rFonts w:ascii="Times New Roman"/>
        </w:rPr>
        <w:t xml:space="preserve"> during the approval period. Therefore, the burden for the employer to make this information available to NIOSH is zero.</w:t>
      </w:r>
    </w:p>
    <w:p w:rsidR="00606D2D" w:rsidRPr="001C18E7" w:rsidP="00606D2D" w14:paraId="4EC58F48" w14:textId="77777777">
      <w:pPr>
        <w:widowControl/>
        <w:rPr>
          <w:rFonts w:ascii="Times New Roman"/>
          <w:strike/>
          <w:sz w:val="22"/>
          <w:szCs w:val="22"/>
        </w:rPr>
      </w:pPr>
    </w:p>
    <w:p w:rsidR="00606D2D" w:rsidRPr="0048764D" w:rsidP="00C85DD5" w14:paraId="0C169AD2" w14:textId="77777777">
      <w:pPr>
        <w:tabs>
          <w:tab w:val="left" w:pos="0"/>
        </w:tabs>
        <w:rPr>
          <w:rFonts w:ascii="Times New Roman"/>
        </w:rPr>
      </w:pPr>
      <w:r w:rsidRPr="0048764D">
        <w:rPr>
          <w:rFonts w:ascii="Times New Roman"/>
          <w:b/>
        </w:rPr>
        <w:t>15</w:t>
      </w:r>
      <w:r w:rsidRPr="0048764D">
        <w:rPr>
          <w:rFonts w:ascii="Times New Roman"/>
        </w:rPr>
        <w:t xml:space="preserve">. </w:t>
      </w:r>
      <w:r w:rsidRPr="0048764D">
        <w:rPr>
          <w:rFonts w:ascii="Times New Roman"/>
          <w:b/>
          <w:bCs/>
          <w:lang w:val="en-JM"/>
        </w:rPr>
        <w:t>Explain the reasons for any program changes or adjustments.</w:t>
      </w:r>
    </w:p>
    <w:p w:rsidR="0045354F" w:rsidRPr="0048764D" w:rsidP="0045354F" w14:paraId="769FF268" w14:textId="77777777">
      <w:pPr>
        <w:rPr>
          <w:rFonts w:ascii="Times New Roman"/>
        </w:rPr>
      </w:pPr>
      <w:bookmarkStart w:id="6" w:name="OLE_LINK1"/>
      <w:bookmarkStart w:id="7" w:name="OLE_LINK2"/>
    </w:p>
    <w:p w:rsidR="00707987" w:rsidRPr="004A2AAC" w:rsidP="00707987" w14:paraId="0EF142FF" w14:textId="7E70E946">
      <w:pPr>
        <w:rPr>
          <w:rFonts w:ascii="Times New Roman"/>
          <w:color w:val="FF0000"/>
        </w:rPr>
      </w:pPr>
      <w:r w:rsidRPr="0048764D">
        <w:rPr>
          <w:rFonts w:ascii="Times New Roman"/>
        </w:rPr>
        <w:t>The agency is requesting a burden hour adjustment incr</w:t>
      </w:r>
      <w:r w:rsidRPr="004A2AAC" w:rsidR="00A83769">
        <w:rPr>
          <w:rFonts w:ascii="Times New Roman"/>
        </w:rPr>
        <w:t xml:space="preserve">ease of </w:t>
      </w:r>
      <w:r w:rsidR="00C047B0">
        <w:rPr>
          <w:rFonts w:ascii="Times New Roman"/>
        </w:rPr>
        <w:t>116,09</w:t>
      </w:r>
      <w:r w:rsidR="00A3059C">
        <w:rPr>
          <w:rFonts w:ascii="Times New Roman"/>
        </w:rPr>
        <w:t>9</w:t>
      </w:r>
      <w:r w:rsidRPr="0048764D" w:rsidR="7D826D5B">
        <w:rPr>
          <w:rFonts w:ascii="Times New Roman"/>
        </w:rPr>
        <w:t xml:space="preserve"> hours</w:t>
      </w:r>
      <w:r w:rsidRPr="0048764D">
        <w:rPr>
          <w:rFonts w:ascii="Times New Roman"/>
        </w:rPr>
        <w:t xml:space="preserve"> (from</w:t>
      </w:r>
      <w:r w:rsidRPr="0048764D" w:rsidR="7D826D5B">
        <w:rPr>
          <w:rFonts w:ascii="Times New Roman"/>
        </w:rPr>
        <w:t xml:space="preserve"> </w:t>
      </w:r>
      <w:r w:rsidRPr="0048764D">
        <w:rPr>
          <w:rFonts w:ascii="Times New Roman"/>
        </w:rPr>
        <w:t>1,</w:t>
      </w:r>
      <w:r w:rsidRPr="004A2AAC" w:rsidR="00B10BB3">
        <w:rPr>
          <w:rFonts w:ascii="Times New Roman"/>
        </w:rPr>
        <w:t>134,4</w:t>
      </w:r>
      <w:r w:rsidRPr="004A2AAC" w:rsidR="00C84186">
        <w:rPr>
          <w:rFonts w:ascii="Times New Roman"/>
        </w:rPr>
        <w:t>38</w:t>
      </w:r>
      <w:r w:rsidRPr="004A2AAC" w:rsidR="00C84186">
        <w:rPr>
          <w:rFonts w:ascii="Times New Roman"/>
          <w:vertAlign w:val="superscript"/>
        </w:rPr>
        <w:t xml:space="preserve"> </w:t>
      </w:r>
      <w:r w:rsidRPr="0048764D" w:rsidR="1465E976">
        <w:rPr>
          <w:rFonts w:ascii="Times New Roman"/>
        </w:rPr>
        <w:t xml:space="preserve">hours </w:t>
      </w:r>
      <w:r w:rsidRPr="0048764D" w:rsidR="7D826D5B">
        <w:rPr>
          <w:rFonts w:ascii="Times New Roman"/>
        </w:rPr>
        <w:t>to 1,</w:t>
      </w:r>
      <w:r w:rsidR="00C047B0">
        <w:rPr>
          <w:rFonts w:ascii="Times New Roman"/>
        </w:rPr>
        <w:t xml:space="preserve">250,537 </w:t>
      </w:r>
      <w:r w:rsidRPr="0048764D">
        <w:rPr>
          <w:rFonts w:ascii="Times New Roman"/>
        </w:rPr>
        <w:t>hours).</w:t>
      </w:r>
      <w:r w:rsidRPr="004A2AAC" w:rsidR="00C84186">
        <w:rPr>
          <w:rFonts w:ascii="Times New Roman"/>
        </w:rPr>
        <w:t xml:space="preserve"> </w:t>
      </w:r>
      <w:r w:rsidRPr="0048764D">
        <w:rPr>
          <w:rFonts w:ascii="Times New Roman"/>
        </w:rPr>
        <w:t xml:space="preserve">The </w:t>
      </w:r>
      <w:r w:rsidRPr="0048764D" w:rsidR="6CA7DD9B">
        <w:rPr>
          <w:rFonts w:ascii="Times New Roman"/>
        </w:rPr>
        <w:t>adjustment</w:t>
      </w:r>
      <w:r w:rsidR="00994386">
        <w:rPr>
          <w:rFonts w:ascii="Times New Roman"/>
        </w:rPr>
        <w:t xml:space="preserve"> increase</w:t>
      </w:r>
      <w:r w:rsidRPr="0048764D" w:rsidR="6CA7DD9B">
        <w:rPr>
          <w:rFonts w:ascii="Times New Roman"/>
        </w:rPr>
        <w:t xml:space="preserve"> is due to</w:t>
      </w:r>
      <w:r w:rsidRPr="0048764D">
        <w:rPr>
          <w:rFonts w:ascii="Times New Roman"/>
        </w:rPr>
        <w:t xml:space="preserve"> an overall </w:t>
      </w:r>
      <w:r w:rsidRPr="0048764D" w:rsidR="702434E4">
        <w:rPr>
          <w:rFonts w:ascii="Times New Roman"/>
        </w:rPr>
        <w:t>in</w:t>
      </w:r>
      <w:r w:rsidRPr="0048764D" w:rsidR="406F2E95">
        <w:rPr>
          <w:rFonts w:ascii="Times New Roman"/>
        </w:rPr>
        <w:t>crease</w:t>
      </w:r>
      <w:r w:rsidRPr="0048764D">
        <w:rPr>
          <w:rFonts w:ascii="Times New Roman"/>
        </w:rPr>
        <w:t xml:space="preserve"> in the number of </w:t>
      </w:r>
      <w:r w:rsidRPr="0048764D">
        <w:rPr>
          <w:rFonts w:ascii="Times New Roman"/>
        </w:rPr>
        <w:t>employer</w:t>
      </w:r>
      <w:r w:rsidRPr="004A2AAC" w:rsidR="00405B73">
        <w:rPr>
          <w:rFonts w:ascii="Times New Roman"/>
        </w:rPr>
        <w:t>s</w:t>
      </w:r>
      <w:r w:rsidRPr="004A2AAC" w:rsidR="00D258E8">
        <w:rPr>
          <w:rFonts w:ascii="Times New Roman"/>
        </w:rPr>
        <w:t xml:space="preserve"> </w:t>
      </w:r>
      <w:r w:rsidR="002858E2">
        <w:rPr>
          <w:rFonts w:ascii="Times New Roman"/>
        </w:rPr>
        <w:t>(</w:t>
      </w:r>
      <w:r w:rsidRPr="0048764D" w:rsidR="406F2E95">
        <w:rPr>
          <w:rFonts w:ascii="Times New Roman"/>
        </w:rPr>
        <w:t>56,906</w:t>
      </w:r>
      <w:r w:rsidRPr="004A2AAC" w:rsidR="00382FA5">
        <w:rPr>
          <w:rFonts w:ascii="Times New Roman"/>
        </w:rPr>
        <w:t xml:space="preserve"> to 60,569</w:t>
      </w:r>
      <w:r w:rsidR="002858E2">
        <w:rPr>
          <w:rFonts w:ascii="Times New Roman"/>
        </w:rPr>
        <w:t xml:space="preserve"> </w:t>
      </w:r>
      <w:r w:rsidR="002858E2">
        <w:rPr>
          <w:rFonts w:ascii="Times New Roman"/>
        </w:rPr>
        <w:t>employers</w:t>
      </w:r>
      <w:r w:rsidR="002858E2">
        <w:rPr>
          <w:rFonts w:ascii="Times New Roman"/>
        </w:rPr>
        <w:t xml:space="preserve">) </w:t>
      </w:r>
      <w:r w:rsidRPr="0048764D" w:rsidR="6CA7DD9B">
        <w:rPr>
          <w:rFonts w:ascii="Times New Roman"/>
        </w:rPr>
        <w:t>and</w:t>
      </w:r>
      <w:r w:rsidRPr="0048764D">
        <w:rPr>
          <w:rFonts w:ascii="Times New Roman"/>
        </w:rPr>
        <w:t xml:space="preserve"> a</w:t>
      </w:r>
      <w:r w:rsidRPr="0048764D" w:rsidR="181FB9EC">
        <w:rPr>
          <w:rFonts w:ascii="Times New Roman"/>
        </w:rPr>
        <w:t>n in</w:t>
      </w:r>
      <w:r w:rsidRPr="0048764D">
        <w:rPr>
          <w:rFonts w:ascii="Times New Roman"/>
        </w:rPr>
        <w:t xml:space="preserve">crease in </w:t>
      </w:r>
      <w:r w:rsidRPr="0048764D" w:rsidR="6CA7DD9B">
        <w:rPr>
          <w:rFonts w:ascii="Times New Roman"/>
        </w:rPr>
        <w:t xml:space="preserve">the number of </w:t>
      </w:r>
      <w:r w:rsidRPr="0048764D">
        <w:rPr>
          <w:rFonts w:ascii="Times New Roman"/>
        </w:rPr>
        <w:t>exposed workers (</w:t>
      </w:r>
      <w:r w:rsidRPr="0048764D" w:rsidR="181FB9EC">
        <w:rPr>
          <w:rFonts w:ascii="Times New Roman"/>
        </w:rPr>
        <w:t>346,894</w:t>
      </w:r>
      <w:r w:rsidRPr="004A2AAC" w:rsidR="00BA3C8F">
        <w:rPr>
          <w:rFonts w:ascii="Times New Roman"/>
        </w:rPr>
        <w:t xml:space="preserve"> to 366,629</w:t>
      </w:r>
      <w:r w:rsidR="00906CE1">
        <w:rPr>
          <w:rFonts w:ascii="Times New Roman"/>
        </w:rPr>
        <w:t xml:space="preserve"> exposed workers</w:t>
      </w:r>
      <w:r w:rsidRPr="0048764D">
        <w:rPr>
          <w:rFonts w:ascii="Times New Roman"/>
        </w:rPr>
        <w:t>), based on updated data.</w:t>
      </w:r>
      <w:r w:rsidRPr="0048764D" w:rsidR="2A2BAEB3">
        <w:rPr>
          <w:rFonts w:ascii="Times New Roman"/>
        </w:rPr>
        <w:t xml:space="preserve"> </w:t>
      </w:r>
    </w:p>
    <w:bookmarkEnd w:id="6"/>
    <w:bookmarkEnd w:id="7"/>
    <w:p w:rsidR="000F679A" w:rsidP="00C85DD5" w14:paraId="71C9DCF2" w14:textId="6FE136A2">
      <w:pPr>
        <w:rPr>
          <w:rFonts w:ascii="Times New Roman"/>
          <w:color w:val="FF0000"/>
        </w:rPr>
      </w:pPr>
    </w:p>
    <w:p w:rsidR="00924C28" w:rsidRPr="00B142A3" w:rsidP="00C85DD5" w14:paraId="447E5333" w14:textId="2898AF4B">
      <w:pPr>
        <w:rPr>
          <w:rFonts w:ascii="Times New Roman"/>
        </w:rPr>
      </w:pPr>
      <w:r w:rsidRPr="00B142A3">
        <w:rPr>
          <w:rFonts w:ascii="Times New Roman"/>
        </w:rPr>
        <w:t xml:space="preserve">The agency is requesting an adjustment cost increase of $65,152,826 (from $145,080,120 to $210,232,946). The increase is mainly due to two factors: first, an increase in the number of employees receiving exposure monitoring, biological monitoring, and medical examinations; and second, an increase in costs to perform these exposure, </w:t>
      </w:r>
      <w:r w:rsidRPr="00B142A3">
        <w:rPr>
          <w:rFonts w:ascii="Times New Roman"/>
        </w:rPr>
        <w:t>biological,</w:t>
      </w:r>
      <w:r w:rsidRPr="00B142A3">
        <w:rPr>
          <w:rFonts w:ascii="Times New Roman"/>
        </w:rPr>
        <w:t xml:space="preserve"> </w:t>
      </w:r>
      <w:r w:rsidRPr="00B142A3">
        <w:rPr>
          <w:rFonts w:ascii="Times New Roman"/>
        </w:rPr>
        <w:t>monitoring’s</w:t>
      </w:r>
      <w:r w:rsidRPr="00B142A3">
        <w:rPr>
          <w:rFonts w:ascii="Times New Roman"/>
        </w:rPr>
        <w:t xml:space="preserve"> and medical examinations as required by the standard.</w:t>
      </w:r>
    </w:p>
    <w:p w:rsidR="00BD0231" w:rsidRPr="00B142A3" w:rsidP="00C85DD5" w14:paraId="244B5453" w14:textId="77777777">
      <w:pPr>
        <w:rPr>
          <w:rFonts w:ascii="Times New Roman"/>
        </w:rPr>
      </w:pPr>
    </w:p>
    <w:tbl>
      <w:tblPr>
        <w:tblpPr w:leftFromText="180" w:rightFromText="180" w:vertAnchor="text" w:tblpY="1"/>
        <w:tblOverlap w:val="never"/>
        <w:tblW w:w="8725" w:type="dxa"/>
        <w:tblLook w:val="04A0"/>
      </w:tblPr>
      <w:tblGrid>
        <w:gridCol w:w="3780"/>
        <w:gridCol w:w="1615"/>
        <w:gridCol w:w="1710"/>
        <w:gridCol w:w="1620"/>
      </w:tblGrid>
      <w:tr w14:paraId="5B829E7A" w14:textId="77777777" w:rsidTr="004A2AAC">
        <w:tblPrEx>
          <w:tblW w:w="8725" w:type="dxa"/>
          <w:tblLook w:val="04A0"/>
        </w:tblPrEx>
        <w:trPr>
          <w:trHeight w:val="350"/>
          <w:tblHeader/>
        </w:trPr>
        <w:tc>
          <w:tcPr>
            <w:tcW w:w="8725"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rsidR="00D0072F" w:rsidRPr="00670F62" w:rsidP="00D0072F" w14:paraId="09320461" w14:textId="77777777">
            <w:pPr>
              <w:widowControl/>
              <w:autoSpaceDE/>
              <w:autoSpaceDN/>
              <w:adjustRightInd/>
              <w:jc w:val="center"/>
              <w:rPr>
                <w:rFonts w:ascii="Times New Roman" w:eastAsia="Times New Roman"/>
                <w:b/>
                <w:bCs/>
                <w:color w:val="000000"/>
                <w:sz w:val="20"/>
                <w:szCs w:val="20"/>
              </w:rPr>
            </w:pPr>
            <w:r w:rsidRPr="00D87724">
              <w:rPr>
                <w:rFonts w:ascii="Times New Roman" w:eastAsia="Times New Roman"/>
                <w:b/>
                <w:bCs/>
                <w:color w:val="000000"/>
                <w:sz w:val="20"/>
                <w:szCs w:val="20"/>
              </w:rPr>
              <w:t xml:space="preserve">Table E – Summary of Burden Hours for the Collections of Information </w:t>
            </w:r>
          </w:p>
          <w:p w:rsidR="00D43357" w:rsidRPr="00D87724" w14:paraId="0968EA87" w14:textId="77777777">
            <w:pPr>
              <w:widowControl/>
              <w:autoSpaceDE/>
              <w:autoSpaceDN/>
              <w:adjustRightInd/>
              <w:jc w:val="center"/>
              <w:rPr>
                <w:rFonts w:ascii="Times New Roman" w:eastAsia="Times New Roman"/>
                <w:b/>
                <w:bCs/>
                <w:color w:val="000000"/>
                <w:sz w:val="20"/>
                <w:szCs w:val="20"/>
              </w:rPr>
            </w:pPr>
          </w:p>
        </w:tc>
      </w:tr>
      <w:tr w14:paraId="1AADA5D4" w14:textId="77777777" w:rsidTr="004A2AAC">
        <w:tblPrEx>
          <w:tblW w:w="8725" w:type="dxa"/>
          <w:tblLook w:val="04A0"/>
        </w:tblPrEx>
        <w:trPr>
          <w:trHeight w:val="548"/>
          <w:tblHeader/>
        </w:trPr>
        <w:tc>
          <w:tcPr>
            <w:tcW w:w="3780" w:type="dxa"/>
            <w:tcBorders>
              <w:top w:val="nil"/>
              <w:left w:val="single" w:sz="4" w:space="0" w:color="auto"/>
              <w:bottom w:val="single" w:sz="4" w:space="0" w:color="auto"/>
              <w:right w:val="single" w:sz="4" w:space="0" w:color="auto"/>
            </w:tcBorders>
            <w:shd w:val="clear" w:color="000000" w:fill="A9D08E"/>
            <w:vAlign w:val="center"/>
            <w:hideMark/>
          </w:tcPr>
          <w:p w:rsidR="00D0072F" w:rsidRPr="00D87724" w14:paraId="49A0B810" w14:textId="77777777">
            <w:pPr>
              <w:widowControl/>
              <w:autoSpaceDE/>
              <w:autoSpaceDN/>
              <w:adjustRightInd/>
              <w:jc w:val="center"/>
              <w:rPr>
                <w:rFonts w:ascii="Times New Roman" w:eastAsia="Times New Roman"/>
                <w:b/>
                <w:bCs/>
                <w:color w:val="000000"/>
                <w:sz w:val="20"/>
                <w:szCs w:val="20"/>
              </w:rPr>
            </w:pPr>
            <w:r w:rsidRPr="00D87724">
              <w:rPr>
                <w:rFonts w:ascii="Times New Roman" w:eastAsia="Times New Roman"/>
                <w:b/>
                <w:bCs/>
                <w:color w:val="000000"/>
                <w:sz w:val="20"/>
                <w:szCs w:val="20"/>
              </w:rPr>
              <w:t>Information Collection Requirement</w:t>
            </w:r>
          </w:p>
        </w:tc>
        <w:tc>
          <w:tcPr>
            <w:tcW w:w="1615" w:type="dxa"/>
            <w:tcBorders>
              <w:top w:val="nil"/>
              <w:left w:val="nil"/>
              <w:bottom w:val="single" w:sz="4" w:space="0" w:color="auto"/>
              <w:right w:val="single" w:sz="4" w:space="0" w:color="auto"/>
            </w:tcBorders>
            <w:shd w:val="clear" w:color="000000" w:fill="A9D08E"/>
            <w:vAlign w:val="center"/>
            <w:hideMark/>
          </w:tcPr>
          <w:p w:rsidR="00D0072F" w:rsidRPr="00D87724" w14:paraId="35C21C13" w14:textId="77777777">
            <w:pPr>
              <w:widowControl/>
              <w:autoSpaceDE/>
              <w:autoSpaceDN/>
              <w:adjustRightInd/>
              <w:jc w:val="center"/>
              <w:rPr>
                <w:rFonts w:ascii="Times New Roman" w:eastAsia="Times New Roman"/>
                <w:b/>
                <w:bCs/>
                <w:color w:val="000000"/>
                <w:sz w:val="20"/>
                <w:szCs w:val="20"/>
              </w:rPr>
            </w:pPr>
            <w:r w:rsidRPr="00D87724">
              <w:rPr>
                <w:rFonts w:ascii="Times New Roman" w:eastAsia="Times New Roman"/>
                <w:b/>
                <w:bCs/>
                <w:color w:val="000000"/>
                <w:sz w:val="20"/>
                <w:szCs w:val="20"/>
              </w:rPr>
              <w:t xml:space="preserve">Current Burden Hours </w:t>
            </w:r>
            <w:r w:rsidRPr="00670F62">
              <w:rPr>
                <w:rFonts w:ascii="Times New Roman" w:hint="eastAsia"/>
                <w:color w:val="000000"/>
                <w:sz w:val="20"/>
                <w:szCs w:val="20"/>
              </w:rPr>
              <w:t> </w:t>
            </w:r>
          </w:p>
        </w:tc>
        <w:tc>
          <w:tcPr>
            <w:tcW w:w="1710" w:type="dxa"/>
            <w:tcBorders>
              <w:top w:val="nil"/>
              <w:left w:val="nil"/>
              <w:bottom w:val="single" w:sz="4" w:space="0" w:color="auto"/>
              <w:right w:val="single" w:sz="4" w:space="0" w:color="auto"/>
            </w:tcBorders>
            <w:shd w:val="clear" w:color="000000" w:fill="A9D08E"/>
            <w:vAlign w:val="center"/>
            <w:hideMark/>
          </w:tcPr>
          <w:p w:rsidR="00D0072F" w:rsidRPr="00D87724" w14:paraId="72BBCBB5" w14:textId="77777777">
            <w:pPr>
              <w:widowControl/>
              <w:autoSpaceDE/>
              <w:autoSpaceDN/>
              <w:adjustRightInd/>
              <w:jc w:val="center"/>
              <w:rPr>
                <w:rFonts w:ascii="Times New Roman" w:eastAsia="Times New Roman"/>
                <w:b/>
                <w:bCs/>
                <w:color w:val="000000"/>
                <w:sz w:val="20"/>
                <w:szCs w:val="20"/>
              </w:rPr>
            </w:pPr>
            <w:r w:rsidRPr="00D87724">
              <w:rPr>
                <w:rFonts w:ascii="Times New Roman" w:eastAsia="Times New Roman"/>
                <w:b/>
                <w:bCs/>
                <w:color w:val="000000"/>
                <w:sz w:val="20"/>
                <w:szCs w:val="20"/>
              </w:rPr>
              <w:t>Requested Burden Hours</w:t>
            </w:r>
          </w:p>
        </w:tc>
        <w:tc>
          <w:tcPr>
            <w:tcW w:w="1620" w:type="dxa"/>
            <w:tcBorders>
              <w:top w:val="nil"/>
              <w:left w:val="nil"/>
              <w:bottom w:val="single" w:sz="4" w:space="0" w:color="auto"/>
              <w:right w:val="single" w:sz="4" w:space="0" w:color="auto"/>
            </w:tcBorders>
            <w:shd w:val="clear" w:color="000000" w:fill="A9D08E"/>
            <w:vAlign w:val="center"/>
            <w:hideMark/>
          </w:tcPr>
          <w:p w:rsidR="00D0072F" w:rsidRPr="00D87724" w14:paraId="2982D18C" w14:textId="12E49BD8">
            <w:pPr>
              <w:widowControl/>
              <w:autoSpaceDE/>
              <w:autoSpaceDN/>
              <w:adjustRightInd/>
              <w:jc w:val="center"/>
              <w:rPr>
                <w:rFonts w:ascii="Times New Roman" w:eastAsia="Times New Roman"/>
                <w:b/>
                <w:bCs/>
                <w:color w:val="000000"/>
                <w:sz w:val="20"/>
                <w:szCs w:val="20"/>
              </w:rPr>
            </w:pPr>
            <w:r>
              <w:rPr>
                <w:rFonts w:ascii="Times New Roman" w:eastAsia="Times New Roman"/>
                <w:b/>
                <w:bCs/>
                <w:color w:val="000000"/>
                <w:sz w:val="20"/>
                <w:szCs w:val="20"/>
              </w:rPr>
              <w:t>Adjustment</w:t>
            </w:r>
          </w:p>
        </w:tc>
      </w:tr>
      <w:tr w14:paraId="557DEA17" w14:textId="77777777" w:rsidTr="004A2AAC">
        <w:tblPrEx>
          <w:tblW w:w="8725" w:type="dxa"/>
          <w:tblLook w:val="04A0"/>
        </w:tblPrEx>
        <w:trPr>
          <w:trHeight w:val="315"/>
        </w:trPr>
        <w:tc>
          <w:tcPr>
            <w:tcW w:w="8725" w:type="dxa"/>
            <w:gridSpan w:val="4"/>
            <w:tcBorders>
              <w:top w:val="single" w:sz="4" w:space="0" w:color="auto"/>
              <w:left w:val="single" w:sz="4" w:space="0" w:color="auto"/>
              <w:bottom w:val="single" w:sz="4" w:space="0" w:color="auto"/>
              <w:right w:val="single" w:sz="4" w:space="0" w:color="auto"/>
            </w:tcBorders>
            <w:vAlign w:val="center"/>
            <w:hideMark/>
          </w:tcPr>
          <w:p w:rsidR="00D0072F" w:rsidRPr="00D87724" w14:paraId="12BF71D0" w14:textId="77777777">
            <w:pPr>
              <w:widowControl/>
              <w:autoSpaceDE/>
              <w:autoSpaceDN/>
              <w:adjustRightInd/>
              <w:rPr>
                <w:rFonts w:ascii="Times New Roman" w:eastAsia="Times New Roman"/>
                <w:b/>
                <w:bCs/>
                <w:color w:val="000000"/>
                <w:sz w:val="20"/>
                <w:szCs w:val="20"/>
              </w:rPr>
            </w:pPr>
            <w:r w:rsidRPr="00D87724">
              <w:rPr>
                <w:rFonts w:ascii="Times New Roman" w:eastAsia="Times New Roman"/>
                <w:b/>
                <w:bCs/>
                <w:color w:val="000000"/>
                <w:sz w:val="20"/>
                <w:szCs w:val="20"/>
              </w:rPr>
              <w:t>A. Exposure Monitoring</w:t>
            </w:r>
          </w:p>
        </w:tc>
      </w:tr>
      <w:tr w14:paraId="1AB006B3"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5A8A50AA" w14:textId="77777777">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(1) Initial Exposure Measurement</w:t>
            </w:r>
          </w:p>
        </w:tc>
        <w:tc>
          <w:tcPr>
            <w:tcW w:w="1615" w:type="dxa"/>
            <w:tcBorders>
              <w:top w:val="nil"/>
              <w:left w:val="nil"/>
              <w:bottom w:val="single" w:sz="4" w:space="0" w:color="auto"/>
              <w:right w:val="single" w:sz="4" w:space="0" w:color="auto"/>
            </w:tcBorders>
            <w:vAlign w:val="center"/>
            <w:hideMark/>
          </w:tcPr>
          <w:p w:rsidR="00D0072F" w:rsidRPr="00D87724" w14:paraId="07458192"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0</w:t>
            </w:r>
          </w:p>
        </w:tc>
        <w:tc>
          <w:tcPr>
            <w:tcW w:w="1710" w:type="dxa"/>
            <w:tcBorders>
              <w:top w:val="nil"/>
              <w:left w:val="nil"/>
              <w:bottom w:val="single" w:sz="4" w:space="0" w:color="auto"/>
              <w:right w:val="single" w:sz="4" w:space="0" w:color="auto"/>
            </w:tcBorders>
            <w:noWrap/>
            <w:vAlign w:val="bottom"/>
            <w:hideMark/>
          </w:tcPr>
          <w:p w:rsidR="00D0072F" w:rsidRPr="004A2AAC" w14:paraId="10888287"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0</w:t>
            </w:r>
          </w:p>
        </w:tc>
        <w:tc>
          <w:tcPr>
            <w:tcW w:w="1620" w:type="dxa"/>
            <w:tcBorders>
              <w:top w:val="nil"/>
              <w:left w:val="nil"/>
              <w:bottom w:val="single" w:sz="4" w:space="0" w:color="auto"/>
              <w:right w:val="single" w:sz="4" w:space="0" w:color="auto"/>
            </w:tcBorders>
            <w:vAlign w:val="center"/>
            <w:hideMark/>
          </w:tcPr>
          <w:p w:rsidR="00D0072F" w:rsidRPr="00D87724" w14:paraId="60042944" w14:textId="184B3100">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w:t>
            </w:r>
            <w:r w:rsidRPr="004A2AAC">
              <w:rPr>
                <w:rFonts w:ascii="Times New Roman" w:eastAsia="Times New Roman"/>
                <w:color w:val="000000"/>
                <w:sz w:val="20"/>
                <w:szCs w:val="20"/>
              </w:rPr>
              <w:t>0</w:t>
            </w:r>
          </w:p>
        </w:tc>
      </w:tr>
      <w:tr w14:paraId="219C6290"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6DFDB134" w14:textId="77777777">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(2) Periodic Exposure Measurement</w:t>
            </w:r>
          </w:p>
        </w:tc>
        <w:tc>
          <w:tcPr>
            <w:tcW w:w="1615" w:type="dxa"/>
            <w:tcBorders>
              <w:top w:val="nil"/>
              <w:left w:val="nil"/>
              <w:bottom w:val="single" w:sz="4" w:space="0" w:color="auto"/>
              <w:right w:val="single" w:sz="4" w:space="0" w:color="auto"/>
            </w:tcBorders>
            <w:vAlign w:val="center"/>
            <w:hideMark/>
          </w:tcPr>
          <w:p w:rsidR="00D0072F" w:rsidRPr="00D87724" w14:paraId="3884103A"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173,448</w:t>
            </w:r>
          </w:p>
        </w:tc>
        <w:tc>
          <w:tcPr>
            <w:tcW w:w="1710" w:type="dxa"/>
            <w:tcBorders>
              <w:top w:val="nil"/>
              <w:left w:val="nil"/>
              <w:bottom w:val="single" w:sz="4" w:space="0" w:color="auto"/>
              <w:right w:val="single" w:sz="4" w:space="0" w:color="auto"/>
            </w:tcBorders>
            <w:noWrap/>
            <w:vAlign w:val="bottom"/>
            <w:hideMark/>
          </w:tcPr>
          <w:p w:rsidR="00D0072F" w:rsidRPr="004A2AAC" w14:paraId="3D6F501F"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183,314</w:t>
            </w:r>
          </w:p>
        </w:tc>
        <w:tc>
          <w:tcPr>
            <w:tcW w:w="1620" w:type="dxa"/>
            <w:tcBorders>
              <w:top w:val="nil"/>
              <w:left w:val="nil"/>
              <w:bottom w:val="single" w:sz="4" w:space="0" w:color="auto"/>
              <w:right w:val="single" w:sz="4" w:space="0" w:color="auto"/>
            </w:tcBorders>
            <w:vAlign w:val="center"/>
            <w:hideMark/>
          </w:tcPr>
          <w:p w:rsidR="00D0072F" w:rsidRPr="00D87724" w14:paraId="726180F0"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9,866 </w:t>
            </w:r>
          </w:p>
        </w:tc>
      </w:tr>
      <w:tr w14:paraId="54701BF6" w14:textId="77777777" w:rsidTr="001A1439">
        <w:tblPrEx>
          <w:tblW w:w="8725" w:type="dxa"/>
          <w:tblLook w:val="04A0"/>
        </w:tblPrEx>
        <w:trPr>
          <w:trHeight w:val="525"/>
        </w:trPr>
        <w:tc>
          <w:tcPr>
            <w:tcW w:w="3780" w:type="dxa"/>
            <w:tcBorders>
              <w:top w:val="nil"/>
              <w:left w:val="single" w:sz="4" w:space="0" w:color="auto"/>
              <w:bottom w:val="single" w:sz="4" w:space="0" w:color="auto"/>
              <w:right w:val="single" w:sz="4" w:space="0" w:color="auto"/>
            </w:tcBorders>
            <w:vAlign w:val="center"/>
            <w:hideMark/>
          </w:tcPr>
          <w:p w:rsidR="00D0072F" w:rsidRPr="00D87724" w14:paraId="077DED08" w14:textId="43A6BCF4">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 xml:space="preserve">(3) Employee Notification </w:t>
            </w:r>
            <w:r w:rsidRPr="00D87724" w:rsidR="009F79D3">
              <w:rPr>
                <w:rFonts w:ascii="Times New Roman" w:eastAsia="Times New Roman"/>
                <w:color w:val="000000"/>
                <w:sz w:val="20"/>
                <w:szCs w:val="20"/>
              </w:rPr>
              <w:t xml:space="preserve">of </w:t>
            </w:r>
            <w:r w:rsidR="009F79D3">
              <w:rPr>
                <w:rFonts w:ascii="Times New Roman" w:eastAsia="Times New Roman"/>
                <w:color w:val="000000"/>
                <w:sz w:val="20"/>
                <w:szCs w:val="20"/>
              </w:rPr>
              <w:t xml:space="preserve">  </w:t>
            </w:r>
            <w:r w:rsidR="001A1439">
              <w:rPr>
                <w:rFonts w:ascii="Times New Roman" w:eastAsia="Times New Roman"/>
                <w:color w:val="000000"/>
                <w:sz w:val="20"/>
                <w:szCs w:val="20"/>
              </w:rPr>
              <w:t xml:space="preserve">    </w:t>
            </w:r>
            <w:r w:rsidRPr="00D87724" w:rsidR="009F79D3">
              <w:rPr>
                <w:rFonts w:ascii="Times New Roman" w:eastAsia="Times New Roman"/>
                <w:color w:val="000000"/>
                <w:sz w:val="20"/>
                <w:szCs w:val="20"/>
              </w:rPr>
              <w:t>Monitoring</w:t>
            </w:r>
            <w:r w:rsidRPr="00D87724">
              <w:rPr>
                <w:rFonts w:ascii="Times New Roman" w:eastAsia="Times New Roman"/>
                <w:color w:val="000000"/>
                <w:sz w:val="20"/>
                <w:szCs w:val="20"/>
              </w:rPr>
              <w:t xml:space="preserve"> Results</w:t>
            </w:r>
          </w:p>
        </w:tc>
        <w:tc>
          <w:tcPr>
            <w:tcW w:w="1615" w:type="dxa"/>
            <w:tcBorders>
              <w:top w:val="nil"/>
              <w:left w:val="nil"/>
              <w:bottom w:val="single" w:sz="4" w:space="0" w:color="auto"/>
              <w:right w:val="single" w:sz="4" w:space="0" w:color="auto"/>
            </w:tcBorders>
            <w:vAlign w:val="center"/>
            <w:hideMark/>
          </w:tcPr>
          <w:p w:rsidR="00D0072F" w:rsidRPr="00D87724" w14:paraId="04FB00A9"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9,934</w:t>
            </w:r>
          </w:p>
        </w:tc>
        <w:tc>
          <w:tcPr>
            <w:tcW w:w="1710" w:type="dxa"/>
            <w:tcBorders>
              <w:top w:val="nil"/>
              <w:left w:val="nil"/>
              <w:bottom w:val="single" w:sz="4" w:space="0" w:color="auto"/>
              <w:right w:val="single" w:sz="4" w:space="0" w:color="auto"/>
            </w:tcBorders>
            <w:noWrap/>
            <w:vAlign w:val="center"/>
            <w:hideMark/>
          </w:tcPr>
          <w:p w:rsidR="00D0072F" w:rsidRPr="004A2AAC" w:rsidP="001A1439" w14:paraId="2C550214"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10,095</w:t>
            </w:r>
          </w:p>
        </w:tc>
        <w:tc>
          <w:tcPr>
            <w:tcW w:w="1620" w:type="dxa"/>
            <w:tcBorders>
              <w:top w:val="nil"/>
              <w:left w:val="nil"/>
              <w:bottom w:val="single" w:sz="4" w:space="0" w:color="auto"/>
              <w:right w:val="single" w:sz="4" w:space="0" w:color="auto"/>
            </w:tcBorders>
            <w:vAlign w:val="center"/>
            <w:hideMark/>
          </w:tcPr>
          <w:p w:rsidR="00D0072F" w:rsidRPr="00D87724" w:rsidP="001A1439" w14:paraId="543D72F6" w14:textId="6EABB641">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161</w:t>
            </w:r>
          </w:p>
        </w:tc>
      </w:tr>
      <w:tr w14:paraId="0AE3BD84"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6BED88FA" w14:textId="77777777">
            <w:pPr>
              <w:widowControl/>
              <w:autoSpaceDE/>
              <w:autoSpaceDN/>
              <w:adjustRightInd/>
              <w:rPr>
                <w:rFonts w:ascii="Times New Roman" w:eastAsia="Times New Roman"/>
                <w:b/>
                <w:bCs/>
                <w:color w:val="000000"/>
                <w:sz w:val="20"/>
                <w:szCs w:val="20"/>
              </w:rPr>
            </w:pPr>
            <w:r w:rsidRPr="00D87724">
              <w:rPr>
                <w:rFonts w:ascii="Times New Roman" w:eastAsia="Times New Roman"/>
                <w:b/>
                <w:bCs/>
                <w:color w:val="000000"/>
                <w:sz w:val="20"/>
                <w:szCs w:val="20"/>
              </w:rPr>
              <w:t>B. Written Compliance Programs</w:t>
            </w:r>
          </w:p>
        </w:tc>
        <w:tc>
          <w:tcPr>
            <w:tcW w:w="1615" w:type="dxa"/>
            <w:tcBorders>
              <w:top w:val="nil"/>
              <w:left w:val="nil"/>
              <w:bottom w:val="single" w:sz="4" w:space="0" w:color="auto"/>
              <w:right w:val="single" w:sz="4" w:space="0" w:color="auto"/>
            </w:tcBorders>
            <w:vAlign w:val="center"/>
            <w:hideMark/>
          </w:tcPr>
          <w:p w:rsidR="00D0072F" w:rsidRPr="00D87724" w14:paraId="12ACCC25"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0</w:t>
            </w:r>
          </w:p>
        </w:tc>
        <w:tc>
          <w:tcPr>
            <w:tcW w:w="1710" w:type="dxa"/>
            <w:tcBorders>
              <w:top w:val="nil"/>
              <w:left w:val="nil"/>
              <w:bottom w:val="single" w:sz="4" w:space="0" w:color="auto"/>
              <w:right w:val="single" w:sz="4" w:space="0" w:color="auto"/>
            </w:tcBorders>
            <w:noWrap/>
            <w:vAlign w:val="bottom"/>
            <w:hideMark/>
          </w:tcPr>
          <w:p w:rsidR="00D0072F" w:rsidRPr="004A2AAC" w14:paraId="0A205B85"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0</w:t>
            </w:r>
          </w:p>
        </w:tc>
        <w:tc>
          <w:tcPr>
            <w:tcW w:w="1620" w:type="dxa"/>
            <w:tcBorders>
              <w:top w:val="nil"/>
              <w:left w:val="nil"/>
              <w:bottom w:val="single" w:sz="4" w:space="0" w:color="auto"/>
              <w:right w:val="single" w:sz="4" w:space="0" w:color="auto"/>
            </w:tcBorders>
            <w:vAlign w:val="center"/>
            <w:hideMark/>
          </w:tcPr>
          <w:p w:rsidR="00D0072F" w:rsidRPr="00D87724" w14:paraId="1663BA03"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0 </w:t>
            </w:r>
          </w:p>
        </w:tc>
      </w:tr>
      <w:tr w14:paraId="1BA94ED0"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5DEA1BD0" w14:textId="77777777">
            <w:pPr>
              <w:widowControl/>
              <w:autoSpaceDE/>
              <w:autoSpaceDN/>
              <w:adjustRightInd/>
              <w:rPr>
                <w:rFonts w:ascii="Times New Roman" w:eastAsia="Times New Roman"/>
                <w:b/>
                <w:bCs/>
                <w:color w:val="000000"/>
                <w:sz w:val="20"/>
                <w:szCs w:val="20"/>
              </w:rPr>
            </w:pPr>
            <w:r w:rsidRPr="00D87724">
              <w:rPr>
                <w:rFonts w:ascii="Times New Roman" w:eastAsia="Times New Roman"/>
                <w:b/>
                <w:bCs/>
                <w:color w:val="000000"/>
                <w:sz w:val="20"/>
                <w:szCs w:val="20"/>
              </w:rPr>
              <w:t>C. Administrative Controls</w:t>
            </w:r>
          </w:p>
        </w:tc>
        <w:tc>
          <w:tcPr>
            <w:tcW w:w="1615" w:type="dxa"/>
            <w:tcBorders>
              <w:top w:val="nil"/>
              <w:left w:val="nil"/>
              <w:bottom w:val="single" w:sz="4" w:space="0" w:color="auto"/>
              <w:right w:val="single" w:sz="4" w:space="0" w:color="auto"/>
            </w:tcBorders>
            <w:vAlign w:val="center"/>
            <w:hideMark/>
          </w:tcPr>
          <w:p w:rsidR="00D0072F" w:rsidRPr="00D87724" w14:paraId="7939D081"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1</w:t>
            </w:r>
          </w:p>
        </w:tc>
        <w:tc>
          <w:tcPr>
            <w:tcW w:w="1710" w:type="dxa"/>
            <w:tcBorders>
              <w:top w:val="nil"/>
              <w:left w:val="nil"/>
              <w:bottom w:val="single" w:sz="4" w:space="0" w:color="auto"/>
              <w:right w:val="single" w:sz="4" w:space="0" w:color="auto"/>
            </w:tcBorders>
            <w:noWrap/>
            <w:vAlign w:val="bottom"/>
            <w:hideMark/>
          </w:tcPr>
          <w:p w:rsidR="00D0072F" w:rsidRPr="004A2AAC" w14:paraId="3A00CBD1"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1</w:t>
            </w:r>
          </w:p>
        </w:tc>
        <w:tc>
          <w:tcPr>
            <w:tcW w:w="1620" w:type="dxa"/>
            <w:tcBorders>
              <w:top w:val="nil"/>
              <w:left w:val="nil"/>
              <w:bottom w:val="single" w:sz="4" w:space="0" w:color="auto"/>
              <w:right w:val="single" w:sz="4" w:space="0" w:color="auto"/>
            </w:tcBorders>
            <w:vAlign w:val="center"/>
            <w:hideMark/>
          </w:tcPr>
          <w:p w:rsidR="00D0072F" w:rsidRPr="00D87724" w14:paraId="4B97DA94"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0 </w:t>
            </w:r>
          </w:p>
        </w:tc>
      </w:tr>
      <w:tr w14:paraId="4ABA142C"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49413C62" w14:textId="77777777">
            <w:pPr>
              <w:widowControl/>
              <w:autoSpaceDE/>
              <w:autoSpaceDN/>
              <w:adjustRightInd/>
              <w:rPr>
                <w:rFonts w:ascii="Times New Roman" w:eastAsia="Times New Roman"/>
                <w:b/>
                <w:bCs/>
                <w:color w:val="000000"/>
                <w:sz w:val="20"/>
                <w:szCs w:val="20"/>
              </w:rPr>
            </w:pPr>
            <w:r w:rsidRPr="00D87724">
              <w:rPr>
                <w:rFonts w:ascii="Times New Roman" w:eastAsia="Times New Roman"/>
                <w:b/>
                <w:bCs/>
                <w:color w:val="000000"/>
                <w:sz w:val="20"/>
                <w:szCs w:val="20"/>
              </w:rPr>
              <w:t>D. Respiratory Programs</w:t>
            </w:r>
          </w:p>
        </w:tc>
        <w:tc>
          <w:tcPr>
            <w:tcW w:w="1615" w:type="dxa"/>
            <w:tcBorders>
              <w:top w:val="nil"/>
              <w:left w:val="nil"/>
              <w:bottom w:val="single" w:sz="4" w:space="0" w:color="auto"/>
              <w:right w:val="single" w:sz="4" w:space="0" w:color="auto"/>
            </w:tcBorders>
            <w:vAlign w:val="center"/>
            <w:hideMark/>
          </w:tcPr>
          <w:p w:rsidR="00D0072F" w:rsidRPr="00D87724" w14:paraId="66B645A1"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0</w:t>
            </w:r>
          </w:p>
        </w:tc>
        <w:tc>
          <w:tcPr>
            <w:tcW w:w="1710" w:type="dxa"/>
            <w:tcBorders>
              <w:top w:val="nil"/>
              <w:left w:val="nil"/>
              <w:bottom w:val="single" w:sz="4" w:space="0" w:color="auto"/>
              <w:right w:val="single" w:sz="4" w:space="0" w:color="auto"/>
            </w:tcBorders>
            <w:noWrap/>
            <w:vAlign w:val="bottom"/>
            <w:hideMark/>
          </w:tcPr>
          <w:p w:rsidR="00D0072F" w:rsidRPr="004A2AAC" w14:paraId="799A1D02"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0</w:t>
            </w:r>
          </w:p>
        </w:tc>
        <w:tc>
          <w:tcPr>
            <w:tcW w:w="1620" w:type="dxa"/>
            <w:tcBorders>
              <w:top w:val="nil"/>
              <w:left w:val="nil"/>
              <w:bottom w:val="single" w:sz="4" w:space="0" w:color="auto"/>
              <w:right w:val="single" w:sz="4" w:space="0" w:color="auto"/>
            </w:tcBorders>
            <w:vAlign w:val="center"/>
            <w:hideMark/>
          </w:tcPr>
          <w:p w:rsidR="00D0072F" w:rsidRPr="00D87724" w14:paraId="2857C8AB"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0 </w:t>
            </w:r>
          </w:p>
        </w:tc>
      </w:tr>
      <w:tr w14:paraId="3E51F6F6"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5FA4C3D5" w14:textId="77777777">
            <w:pPr>
              <w:widowControl/>
              <w:autoSpaceDE/>
              <w:autoSpaceDN/>
              <w:adjustRightInd/>
              <w:rPr>
                <w:rFonts w:ascii="Times New Roman" w:eastAsia="Times New Roman"/>
                <w:b/>
                <w:bCs/>
                <w:color w:val="000000"/>
                <w:sz w:val="20"/>
                <w:szCs w:val="20"/>
              </w:rPr>
            </w:pPr>
            <w:r w:rsidRPr="00D87724">
              <w:rPr>
                <w:rFonts w:ascii="Times New Roman" w:eastAsia="Times New Roman"/>
                <w:b/>
                <w:bCs/>
                <w:color w:val="000000"/>
                <w:sz w:val="20"/>
                <w:szCs w:val="20"/>
              </w:rPr>
              <w:t>E. Notifying the Laundry</w:t>
            </w:r>
          </w:p>
        </w:tc>
        <w:tc>
          <w:tcPr>
            <w:tcW w:w="1615" w:type="dxa"/>
            <w:tcBorders>
              <w:top w:val="nil"/>
              <w:left w:val="nil"/>
              <w:bottom w:val="single" w:sz="4" w:space="0" w:color="auto"/>
              <w:right w:val="single" w:sz="4" w:space="0" w:color="auto"/>
            </w:tcBorders>
            <w:vAlign w:val="center"/>
            <w:hideMark/>
          </w:tcPr>
          <w:p w:rsidR="00D0072F" w:rsidRPr="00D87724" w14:paraId="4EF9B924"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0</w:t>
            </w:r>
          </w:p>
        </w:tc>
        <w:tc>
          <w:tcPr>
            <w:tcW w:w="1710" w:type="dxa"/>
            <w:tcBorders>
              <w:top w:val="nil"/>
              <w:left w:val="nil"/>
              <w:bottom w:val="single" w:sz="4" w:space="0" w:color="auto"/>
              <w:right w:val="single" w:sz="4" w:space="0" w:color="auto"/>
            </w:tcBorders>
            <w:noWrap/>
            <w:vAlign w:val="bottom"/>
            <w:hideMark/>
          </w:tcPr>
          <w:p w:rsidR="00D0072F" w:rsidRPr="004A2AAC" w14:paraId="5D407018"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0</w:t>
            </w:r>
          </w:p>
        </w:tc>
        <w:tc>
          <w:tcPr>
            <w:tcW w:w="1620" w:type="dxa"/>
            <w:tcBorders>
              <w:top w:val="nil"/>
              <w:left w:val="nil"/>
              <w:bottom w:val="single" w:sz="4" w:space="0" w:color="auto"/>
              <w:right w:val="single" w:sz="4" w:space="0" w:color="auto"/>
            </w:tcBorders>
            <w:vAlign w:val="center"/>
            <w:hideMark/>
          </w:tcPr>
          <w:p w:rsidR="00D0072F" w:rsidRPr="00D87724" w14:paraId="0C1936A4"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0 </w:t>
            </w:r>
          </w:p>
        </w:tc>
      </w:tr>
      <w:tr w14:paraId="085FC19C" w14:textId="77777777" w:rsidTr="004A2AAC">
        <w:tblPrEx>
          <w:tblW w:w="8725" w:type="dxa"/>
          <w:tblLook w:val="04A0"/>
        </w:tblPrEx>
        <w:trPr>
          <w:trHeight w:val="525"/>
        </w:trPr>
        <w:tc>
          <w:tcPr>
            <w:tcW w:w="3780" w:type="dxa"/>
            <w:tcBorders>
              <w:top w:val="nil"/>
              <w:left w:val="single" w:sz="4" w:space="0" w:color="auto"/>
              <w:bottom w:val="single" w:sz="4" w:space="0" w:color="auto"/>
              <w:right w:val="single" w:sz="4" w:space="0" w:color="auto"/>
            </w:tcBorders>
            <w:vAlign w:val="center"/>
            <w:hideMark/>
          </w:tcPr>
          <w:p w:rsidR="00D0072F" w:rsidRPr="00D87724" w14:paraId="697C1CD9" w14:textId="77777777">
            <w:pPr>
              <w:widowControl/>
              <w:autoSpaceDE/>
              <w:autoSpaceDN/>
              <w:adjustRightInd/>
              <w:rPr>
                <w:rFonts w:ascii="Times New Roman" w:eastAsia="Times New Roman"/>
                <w:b/>
                <w:bCs/>
                <w:color w:val="000000"/>
                <w:sz w:val="20"/>
                <w:szCs w:val="20"/>
              </w:rPr>
            </w:pPr>
            <w:r w:rsidRPr="00D87724">
              <w:rPr>
                <w:rFonts w:ascii="Times New Roman" w:eastAsia="Times New Roman"/>
                <w:b/>
                <w:bCs/>
                <w:color w:val="000000"/>
                <w:sz w:val="20"/>
                <w:szCs w:val="20"/>
              </w:rPr>
              <w:t>F. Labeling of Contaminated Protective Clothing and Equipment</w:t>
            </w:r>
          </w:p>
        </w:tc>
        <w:tc>
          <w:tcPr>
            <w:tcW w:w="1615" w:type="dxa"/>
            <w:tcBorders>
              <w:top w:val="nil"/>
              <w:left w:val="nil"/>
              <w:bottom w:val="single" w:sz="4" w:space="0" w:color="auto"/>
              <w:right w:val="single" w:sz="4" w:space="0" w:color="auto"/>
            </w:tcBorders>
            <w:vAlign w:val="center"/>
            <w:hideMark/>
          </w:tcPr>
          <w:p w:rsidR="00D0072F" w:rsidRPr="00D87724" w14:paraId="596B96BC"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0</w:t>
            </w:r>
          </w:p>
        </w:tc>
        <w:tc>
          <w:tcPr>
            <w:tcW w:w="1710" w:type="dxa"/>
            <w:tcBorders>
              <w:top w:val="nil"/>
              <w:left w:val="nil"/>
              <w:bottom w:val="single" w:sz="4" w:space="0" w:color="auto"/>
              <w:right w:val="single" w:sz="4" w:space="0" w:color="auto"/>
            </w:tcBorders>
            <w:noWrap/>
            <w:vAlign w:val="bottom"/>
            <w:hideMark/>
          </w:tcPr>
          <w:p w:rsidR="00D0072F" w:rsidRPr="004A2AAC" w14:paraId="0F828557"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0</w:t>
            </w:r>
          </w:p>
        </w:tc>
        <w:tc>
          <w:tcPr>
            <w:tcW w:w="1620" w:type="dxa"/>
            <w:tcBorders>
              <w:top w:val="nil"/>
              <w:left w:val="nil"/>
              <w:bottom w:val="single" w:sz="4" w:space="0" w:color="auto"/>
              <w:right w:val="single" w:sz="4" w:space="0" w:color="auto"/>
            </w:tcBorders>
            <w:vAlign w:val="center"/>
            <w:hideMark/>
          </w:tcPr>
          <w:p w:rsidR="00D0072F" w:rsidRPr="00D87724" w14:paraId="1D420252"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0 </w:t>
            </w:r>
          </w:p>
        </w:tc>
      </w:tr>
      <w:tr w14:paraId="14F9BA2E" w14:textId="77777777" w:rsidTr="004A2AAC">
        <w:tblPrEx>
          <w:tblW w:w="8725" w:type="dxa"/>
          <w:tblLook w:val="04A0"/>
        </w:tblPrEx>
        <w:trPr>
          <w:trHeight w:val="315"/>
        </w:trPr>
        <w:tc>
          <w:tcPr>
            <w:tcW w:w="8725" w:type="dxa"/>
            <w:gridSpan w:val="4"/>
            <w:tcBorders>
              <w:top w:val="single" w:sz="4" w:space="0" w:color="auto"/>
              <w:left w:val="single" w:sz="4" w:space="0" w:color="auto"/>
              <w:bottom w:val="single" w:sz="4" w:space="0" w:color="auto"/>
              <w:right w:val="single" w:sz="4" w:space="0" w:color="auto"/>
            </w:tcBorders>
            <w:vAlign w:val="center"/>
            <w:hideMark/>
          </w:tcPr>
          <w:p w:rsidR="00D0072F" w:rsidRPr="00D87724" w14:paraId="5C932B87" w14:textId="77777777">
            <w:pPr>
              <w:widowControl/>
              <w:autoSpaceDE/>
              <w:autoSpaceDN/>
              <w:adjustRightInd/>
              <w:rPr>
                <w:rFonts w:ascii="Times New Roman" w:eastAsia="Times New Roman"/>
                <w:b/>
                <w:bCs/>
                <w:color w:val="000000"/>
                <w:sz w:val="20"/>
                <w:szCs w:val="20"/>
              </w:rPr>
            </w:pPr>
            <w:r w:rsidRPr="00D87724">
              <w:rPr>
                <w:rFonts w:ascii="Times New Roman" w:eastAsia="Times New Roman"/>
                <w:b/>
                <w:bCs/>
                <w:color w:val="000000"/>
                <w:sz w:val="20"/>
                <w:szCs w:val="20"/>
              </w:rPr>
              <w:t>G. Medical Surveillance</w:t>
            </w:r>
          </w:p>
        </w:tc>
      </w:tr>
      <w:tr w14:paraId="76696222" w14:textId="77777777" w:rsidTr="004A2AAC">
        <w:tblPrEx>
          <w:tblW w:w="8725" w:type="dxa"/>
          <w:tblLook w:val="04A0"/>
        </w:tblPrEx>
        <w:trPr>
          <w:trHeight w:val="315"/>
        </w:trPr>
        <w:tc>
          <w:tcPr>
            <w:tcW w:w="8725" w:type="dxa"/>
            <w:gridSpan w:val="4"/>
            <w:tcBorders>
              <w:top w:val="single" w:sz="4" w:space="0" w:color="auto"/>
              <w:left w:val="single" w:sz="4" w:space="0" w:color="auto"/>
              <w:bottom w:val="single" w:sz="4" w:space="0" w:color="auto"/>
              <w:right w:val="single" w:sz="4" w:space="0" w:color="auto"/>
            </w:tcBorders>
            <w:vAlign w:val="center"/>
            <w:hideMark/>
          </w:tcPr>
          <w:p w:rsidR="00D0072F" w:rsidRPr="00D87724" w14:paraId="4B682BE9" w14:textId="77777777">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(1) Biological Monitoring</w:t>
            </w:r>
          </w:p>
        </w:tc>
      </w:tr>
      <w:tr w14:paraId="651375FC"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43E6A00C" w14:textId="77777777">
            <w:pPr>
              <w:widowControl/>
              <w:autoSpaceDE/>
              <w:autoSpaceDN/>
              <w:adjustRightInd/>
              <w:ind w:firstLine="800" w:firstLineChars="400"/>
              <w:rPr>
                <w:rFonts w:ascii="Times New Roman" w:eastAsia="Times New Roman"/>
                <w:i/>
                <w:iCs/>
                <w:color w:val="000000"/>
                <w:sz w:val="20"/>
                <w:szCs w:val="20"/>
              </w:rPr>
            </w:pPr>
            <w:r w:rsidRPr="00D87724">
              <w:rPr>
                <w:rFonts w:ascii="Times New Roman" w:eastAsia="Times New Roman"/>
                <w:i/>
                <w:iCs/>
                <w:color w:val="000000"/>
                <w:sz w:val="20"/>
                <w:szCs w:val="20"/>
              </w:rPr>
              <w:t>Biannual</w:t>
            </w:r>
          </w:p>
        </w:tc>
        <w:tc>
          <w:tcPr>
            <w:tcW w:w="1615" w:type="dxa"/>
            <w:tcBorders>
              <w:top w:val="nil"/>
              <w:left w:val="nil"/>
              <w:bottom w:val="single" w:sz="4" w:space="0" w:color="auto"/>
              <w:right w:val="single" w:sz="4" w:space="0" w:color="auto"/>
            </w:tcBorders>
            <w:vAlign w:val="center"/>
            <w:hideMark/>
          </w:tcPr>
          <w:p w:rsidR="00D0072F" w:rsidRPr="00D87724" w14:paraId="0196C335"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173,448</w:t>
            </w:r>
          </w:p>
        </w:tc>
        <w:tc>
          <w:tcPr>
            <w:tcW w:w="1710" w:type="dxa"/>
            <w:tcBorders>
              <w:top w:val="nil"/>
              <w:left w:val="nil"/>
              <w:bottom w:val="single" w:sz="4" w:space="0" w:color="auto"/>
              <w:right w:val="single" w:sz="4" w:space="0" w:color="auto"/>
            </w:tcBorders>
            <w:noWrap/>
            <w:vAlign w:val="bottom"/>
            <w:hideMark/>
          </w:tcPr>
          <w:p w:rsidR="00D0072F" w:rsidRPr="0011522C" w14:paraId="0FCB6960" w14:textId="77777777">
            <w:pPr>
              <w:widowControl/>
              <w:autoSpaceDE/>
              <w:autoSpaceDN/>
              <w:adjustRightInd/>
              <w:jc w:val="center"/>
              <w:rPr>
                <w:rFonts w:ascii="Times New Roman" w:eastAsia="Times New Roman"/>
                <w:color w:val="000000"/>
                <w:sz w:val="20"/>
                <w:szCs w:val="20"/>
              </w:rPr>
            </w:pPr>
            <w:r w:rsidRPr="0011522C">
              <w:rPr>
                <w:rFonts w:ascii="Times New Roman" w:eastAsia="Times New Roman"/>
                <w:color w:val="000000"/>
                <w:sz w:val="20"/>
                <w:szCs w:val="20"/>
              </w:rPr>
              <w:t>183,315</w:t>
            </w:r>
          </w:p>
        </w:tc>
        <w:tc>
          <w:tcPr>
            <w:tcW w:w="1620" w:type="dxa"/>
            <w:tcBorders>
              <w:top w:val="nil"/>
              <w:left w:val="nil"/>
              <w:bottom w:val="single" w:sz="4" w:space="0" w:color="auto"/>
              <w:right w:val="single" w:sz="4" w:space="0" w:color="auto"/>
            </w:tcBorders>
            <w:vAlign w:val="center"/>
            <w:hideMark/>
          </w:tcPr>
          <w:p w:rsidR="00D0072F" w:rsidRPr="00D87724" w14:paraId="0996464C"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9,867 </w:t>
            </w:r>
          </w:p>
        </w:tc>
      </w:tr>
      <w:tr w14:paraId="1646D0FA"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36A238B9" w14:textId="77777777">
            <w:pPr>
              <w:widowControl/>
              <w:autoSpaceDE/>
              <w:autoSpaceDN/>
              <w:adjustRightInd/>
              <w:ind w:firstLine="800" w:firstLineChars="400"/>
              <w:rPr>
                <w:rFonts w:ascii="Times New Roman" w:eastAsia="Times New Roman"/>
                <w:i/>
                <w:iCs/>
                <w:color w:val="000000"/>
                <w:sz w:val="20"/>
                <w:szCs w:val="20"/>
              </w:rPr>
            </w:pPr>
            <w:r w:rsidRPr="00D87724">
              <w:rPr>
                <w:rFonts w:ascii="Times New Roman" w:eastAsia="Times New Roman"/>
                <w:i/>
                <w:iCs/>
                <w:color w:val="000000"/>
                <w:sz w:val="20"/>
                <w:szCs w:val="20"/>
              </w:rPr>
              <w:t>Monthly</w:t>
            </w:r>
          </w:p>
        </w:tc>
        <w:tc>
          <w:tcPr>
            <w:tcW w:w="1615" w:type="dxa"/>
            <w:tcBorders>
              <w:top w:val="nil"/>
              <w:left w:val="nil"/>
              <w:bottom w:val="single" w:sz="4" w:space="0" w:color="auto"/>
              <w:right w:val="single" w:sz="4" w:space="0" w:color="auto"/>
            </w:tcBorders>
            <w:vAlign w:val="center"/>
            <w:hideMark/>
          </w:tcPr>
          <w:p w:rsidR="00D0072F" w:rsidRPr="00D87724" w14:paraId="0866F038"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52,035</w:t>
            </w:r>
          </w:p>
        </w:tc>
        <w:tc>
          <w:tcPr>
            <w:tcW w:w="1710" w:type="dxa"/>
            <w:tcBorders>
              <w:top w:val="nil"/>
              <w:left w:val="nil"/>
              <w:bottom w:val="single" w:sz="4" w:space="0" w:color="auto"/>
              <w:right w:val="single" w:sz="4" w:space="0" w:color="auto"/>
            </w:tcBorders>
            <w:noWrap/>
            <w:vAlign w:val="bottom"/>
            <w:hideMark/>
          </w:tcPr>
          <w:p w:rsidR="00D0072F" w:rsidRPr="00670F62" w14:paraId="701A541B" w14:textId="77777777">
            <w:pPr>
              <w:widowControl/>
              <w:autoSpaceDE/>
              <w:autoSpaceDN/>
              <w:adjustRightInd/>
              <w:jc w:val="center"/>
              <w:rPr>
                <w:rFonts w:ascii="Times New Roman" w:eastAsia="Times New Roman"/>
                <w:color w:val="000000"/>
                <w:sz w:val="20"/>
                <w:szCs w:val="20"/>
              </w:rPr>
            </w:pPr>
            <w:r w:rsidRPr="00670F62">
              <w:rPr>
                <w:rFonts w:ascii="Times New Roman" w:eastAsia="Times New Roman"/>
                <w:color w:val="000000"/>
                <w:sz w:val="20"/>
                <w:szCs w:val="20"/>
              </w:rPr>
              <w:t>54,996</w:t>
            </w:r>
          </w:p>
        </w:tc>
        <w:tc>
          <w:tcPr>
            <w:tcW w:w="1620" w:type="dxa"/>
            <w:tcBorders>
              <w:top w:val="nil"/>
              <w:left w:val="nil"/>
              <w:bottom w:val="single" w:sz="4" w:space="0" w:color="auto"/>
              <w:right w:val="single" w:sz="4" w:space="0" w:color="auto"/>
            </w:tcBorders>
            <w:vAlign w:val="center"/>
            <w:hideMark/>
          </w:tcPr>
          <w:p w:rsidR="00D0072F" w:rsidRPr="00D87724" w14:paraId="3D197FC1"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2,961 </w:t>
            </w:r>
          </w:p>
        </w:tc>
      </w:tr>
      <w:tr w14:paraId="5A192CE8"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35CBD3B3" w14:textId="77777777">
            <w:pPr>
              <w:widowControl/>
              <w:autoSpaceDE/>
              <w:autoSpaceDN/>
              <w:adjustRightInd/>
              <w:ind w:firstLine="800" w:firstLineChars="400"/>
              <w:rPr>
                <w:rFonts w:ascii="Times New Roman" w:eastAsia="Times New Roman"/>
                <w:i/>
                <w:iCs/>
                <w:color w:val="000000"/>
                <w:sz w:val="20"/>
                <w:szCs w:val="20"/>
              </w:rPr>
            </w:pPr>
            <w:r w:rsidRPr="00D87724">
              <w:rPr>
                <w:rFonts w:ascii="Times New Roman" w:eastAsia="Times New Roman"/>
                <w:i/>
                <w:iCs/>
                <w:color w:val="000000"/>
                <w:sz w:val="20"/>
                <w:szCs w:val="20"/>
              </w:rPr>
              <w:t>Every Two Months</w:t>
            </w:r>
          </w:p>
        </w:tc>
        <w:tc>
          <w:tcPr>
            <w:tcW w:w="1615" w:type="dxa"/>
            <w:tcBorders>
              <w:top w:val="nil"/>
              <w:left w:val="nil"/>
              <w:bottom w:val="single" w:sz="4" w:space="0" w:color="auto"/>
              <w:right w:val="single" w:sz="4" w:space="0" w:color="auto"/>
            </w:tcBorders>
            <w:vAlign w:val="center"/>
            <w:hideMark/>
          </w:tcPr>
          <w:p w:rsidR="00D0072F" w:rsidRPr="00D87724" w14:paraId="67853B70"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80,826</w:t>
            </w:r>
          </w:p>
        </w:tc>
        <w:tc>
          <w:tcPr>
            <w:tcW w:w="1710" w:type="dxa"/>
            <w:tcBorders>
              <w:top w:val="nil"/>
              <w:left w:val="nil"/>
              <w:bottom w:val="single" w:sz="4" w:space="0" w:color="auto"/>
              <w:right w:val="single" w:sz="4" w:space="0" w:color="auto"/>
            </w:tcBorders>
            <w:noWrap/>
            <w:vAlign w:val="bottom"/>
            <w:hideMark/>
          </w:tcPr>
          <w:p w:rsidR="00D0072F" w:rsidRPr="00670F62" w14:paraId="7D46277A" w14:textId="77777777">
            <w:pPr>
              <w:widowControl/>
              <w:autoSpaceDE/>
              <w:autoSpaceDN/>
              <w:adjustRightInd/>
              <w:jc w:val="center"/>
              <w:rPr>
                <w:rFonts w:ascii="Times New Roman" w:eastAsia="Times New Roman"/>
                <w:color w:val="000000"/>
                <w:sz w:val="20"/>
                <w:szCs w:val="20"/>
              </w:rPr>
            </w:pPr>
            <w:r w:rsidRPr="00670F62">
              <w:rPr>
                <w:rFonts w:ascii="Times New Roman" w:eastAsia="Times New Roman"/>
                <w:color w:val="000000"/>
                <w:sz w:val="20"/>
                <w:szCs w:val="20"/>
              </w:rPr>
              <w:t>85,425</w:t>
            </w:r>
          </w:p>
        </w:tc>
        <w:tc>
          <w:tcPr>
            <w:tcW w:w="1620" w:type="dxa"/>
            <w:tcBorders>
              <w:top w:val="nil"/>
              <w:left w:val="nil"/>
              <w:bottom w:val="single" w:sz="4" w:space="0" w:color="auto"/>
              <w:right w:val="single" w:sz="4" w:space="0" w:color="auto"/>
            </w:tcBorders>
            <w:vAlign w:val="center"/>
            <w:hideMark/>
          </w:tcPr>
          <w:p w:rsidR="00D0072F" w:rsidRPr="00D87724" w14:paraId="076573D3"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4,599 </w:t>
            </w:r>
          </w:p>
        </w:tc>
      </w:tr>
      <w:tr w14:paraId="3852D7EB" w14:textId="77777777" w:rsidTr="004A2AAC">
        <w:tblPrEx>
          <w:tblW w:w="8725" w:type="dxa"/>
          <w:tblLook w:val="04A0"/>
        </w:tblPrEx>
        <w:trPr>
          <w:trHeight w:val="315"/>
        </w:trPr>
        <w:tc>
          <w:tcPr>
            <w:tcW w:w="8725" w:type="dxa"/>
            <w:gridSpan w:val="4"/>
            <w:tcBorders>
              <w:top w:val="single" w:sz="4" w:space="0" w:color="auto"/>
              <w:left w:val="single" w:sz="4" w:space="0" w:color="auto"/>
              <w:bottom w:val="single" w:sz="4" w:space="0" w:color="auto"/>
              <w:right w:val="single" w:sz="4" w:space="0" w:color="auto"/>
            </w:tcBorders>
            <w:vAlign w:val="center"/>
            <w:hideMark/>
          </w:tcPr>
          <w:p w:rsidR="00D0072F" w:rsidRPr="00D87724" w14:paraId="12DCB685" w14:textId="77777777">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(2) Employee Notification</w:t>
            </w:r>
          </w:p>
        </w:tc>
      </w:tr>
      <w:tr w14:paraId="3E6ABFD0"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5D3236C6" w14:textId="77777777">
            <w:pPr>
              <w:widowControl/>
              <w:autoSpaceDE/>
              <w:autoSpaceDN/>
              <w:adjustRightInd/>
              <w:ind w:firstLine="800" w:firstLineChars="400"/>
              <w:rPr>
                <w:rFonts w:ascii="Times New Roman" w:eastAsia="Times New Roman"/>
                <w:i/>
                <w:iCs/>
                <w:color w:val="000000"/>
                <w:sz w:val="20"/>
                <w:szCs w:val="20"/>
              </w:rPr>
            </w:pPr>
            <w:r w:rsidRPr="00D87724">
              <w:rPr>
                <w:rFonts w:ascii="Times New Roman" w:eastAsia="Times New Roman"/>
                <w:i/>
                <w:iCs/>
                <w:color w:val="000000"/>
                <w:sz w:val="20"/>
                <w:szCs w:val="20"/>
              </w:rPr>
              <w:t>Monthly</w:t>
            </w:r>
          </w:p>
        </w:tc>
        <w:tc>
          <w:tcPr>
            <w:tcW w:w="1615" w:type="dxa"/>
            <w:tcBorders>
              <w:top w:val="nil"/>
              <w:left w:val="nil"/>
              <w:bottom w:val="single" w:sz="4" w:space="0" w:color="auto"/>
              <w:right w:val="single" w:sz="4" w:space="0" w:color="auto"/>
            </w:tcBorders>
            <w:vAlign w:val="center"/>
            <w:hideMark/>
          </w:tcPr>
          <w:p w:rsidR="00D0072F" w:rsidRPr="00D87724" w14:paraId="6A6C330D"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20,814</w:t>
            </w:r>
          </w:p>
        </w:tc>
        <w:tc>
          <w:tcPr>
            <w:tcW w:w="1710" w:type="dxa"/>
            <w:tcBorders>
              <w:top w:val="nil"/>
              <w:left w:val="nil"/>
              <w:bottom w:val="single" w:sz="4" w:space="0" w:color="auto"/>
              <w:right w:val="single" w:sz="4" w:space="0" w:color="auto"/>
            </w:tcBorders>
            <w:noWrap/>
            <w:vAlign w:val="bottom"/>
            <w:hideMark/>
          </w:tcPr>
          <w:p w:rsidR="00D0072F" w:rsidRPr="004A2AAC" w14:paraId="53EF73DB"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21,998</w:t>
            </w:r>
          </w:p>
        </w:tc>
        <w:tc>
          <w:tcPr>
            <w:tcW w:w="1620" w:type="dxa"/>
            <w:tcBorders>
              <w:top w:val="nil"/>
              <w:left w:val="nil"/>
              <w:bottom w:val="single" w:sz="4" w:space="0" w:color="auto"/>
              <w:right w:val="single" w:sz="4" w:space="0" w:color="auto"/>
            </w:tcBorders>
            <w:vAlign w:val="center"/>
            <w:hideMark/>
          </w:tcPr>
          <w:p w:rsidR="00D0072F" w:rsidRPr="00D87724" w14:paraId="243C753F"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1,184 </w:t>
            </w:r>
          </w:p>
        </w:tc>
      </w:tr>
      <w:tr w14:paraId="4EBF9A13"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204D64CF" w14:textId="77777777">
            <w:pPr>
              <w:widowControl/>
              <w:autoSpaceDE/>
              <w:autoSpaceDN/>
              <w:adjustRightInd/>
              <w:ind w:firstLine="800" w:firstLineChars="400"/>
              <w:rPr>
                <w:rFonts w:ascii="Times New Roman" w:eastAsia="Times New Roman"/>
                <w:i/>
                <w:iCs/>
                <w:color w:val="000000"/>
                <w:sz w:val="20"/>
                <w:szCs w:val="20"/>
              </w:rPr>
            </w:pPr>
            <w:r w:rsidRPr="00D87724">
              <w:rPr>
                <w:rFonts w:ascii="Times New Roman" w:eastAsia="Times New Roman"/>
                <w:i/>
                <w:iCs/>
                <w:color w:val="000000"/>
                <w:sz w:val="20"/>
                <w:szCs w:val="20"/>
              </w:rPr>
              <w:t>Every Two Months</w:t>
            </w:r>
          </w:p>
        </w:tc>
        <w:tc>
          <w:tcPr>
            <w:tcW w:w="1615" w:type="dxa"/>
            <w:tcBorders>
              <w:top w:val="nil"/>
              <w:left w:val="nil"/>
              <w:bottom w:val="single" w:sz="4" w:space="0" w:color="auto"/>
              <w:right w:val="single" w:sz="4" w:space="0" w:color="auto"/>
            </w:tcBorders>
            <w:vAlign w:val="center"/>
            <w:hideMark/>
          </w:tcPr>
          <w:p w:rsidR="00D0072F" w:rsidRPr="00D87724" w14:paraId="54210F4C"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40,413</w:t>
            </w:r>
          </w:p>
        </w:tc>
        <w:tc>
          <w:tcPr>
            <w:tcW w:w="1710" w:type="dxa"/>
            <w:tcBorders>
              <w:top w:val="nil"/>
              <w:left w:val="nil"/>
              <w:bottom w:val="single" w:sz="4" w:space="0" w:color="auto"/>
              <w:right w:val="single" w:sz="4" w:space="0" w:color="auto"/>
            </w:tcBorders>
            <w:noWrap/>
            <w:vAlign w:val="bottom"/>
            <w:hideMark/>
          </w:tcPr>
          <w:p w:rsidR="00D0072F" w:rsidRPr="004A2AAC" w14:paraId="1354B5FF"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42,712</w:t>
            </w:r>
          </w:p>
        </w:tc>
        <w:tc>
          <w:tcPr>
            <w:tcW w:w="1620" w:type="dxa"/>
            <w:tcBorders>
              <w:top w:val="nil"/>
              <w:left w:val="nil"/>
              <w:bottom w:val="single" w:sz="4" w:space="0" w:color="auto"/>
              <w:right w:val="single" w:sz="4" w:space="0" w:color="auto"/>
            </w:tcBorders>
            <w:vAlign w:val="center"/>
            <w:hideMark/>
          </w:tcPr>
          <w:p w:rsidR="00D0072F" w:rsidRPr="00D87724" w14:paraId="33D6B3E1"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2,299 </w:t>
            </w:r>
          </w:p>
        </w:tc>
      </w:tr>
      <w:tr w14:paraId="75D4E2E3" w14:textId="77777777" w:rsidTr="004A2AAC">
        <w:tblPrEx>
          <w:tblW w:w="8725" w:type="dxa"/>
          <w:tblLook w:val="04A0"/>
        </w:tblPrEx>
        <w:trPr>
          <w:trHeight w:val="315"/>
        </w:trPr>
        <w:tc>
          <w:tcPr>
            <w:tcW w:w="8725" w:type="dxa"/>
            <w:gridSpan w:val="4"/>
            <w:tcBorders>
              <w:top w:val="single" w:sz="4" w:space="0" w:color="auto"/>
              <w:left w:val="single" w:sz="4" w:space="0" w:color="auto"/>
              <w:bottom w:val="single" w:sz="4" w:space="0" w:color="auto"/>
              <w:right w:val="single" w:sz="4" w:space="0" w:color="auto"/>
            </w:tcBorders>
            <w:vAlign w:val="center"/>
            <w:hideMark/>
          </w:tcPr>
          <w:p w:rsidR="00D0072F" w:rsidRPr="00D87724" w14:paraId="2786B4DA" w14:textId="77777777">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(3) Medical Examinations and Consultations</w:t>
            </w:r>
          </w:p>
        </w:tc>
      </w:tr>
      <w:tr w14:paraId="4E69584E"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03111A8D" w14:textId="77777777">
            <w:pPr>
              <w:widowControl/>
              <w:autoSpaceDE/>
              <w:autoSpaceDN/>
              <w:adjustRightInd/>
              <w:ind w:firstLine="1000" w:firstLineChars="500"/>
              <w:rPr>
                <w:rFonts w:ascii="Times New Roman" w:eastAsia="Times New Roman"/>
                <w:i/>
                <w:iCs/>
                <w:color w:val="000000"/>
                <w:sz w:val="20"/>
                <w:szCs w:val="20"/>
              </w:rPr>
            </w:pPr>
            <w:r w:rsidRPr="00D87724">
              <w:rPr>
                <w:rFonts w:ascii="Times New Roman" w:eastAsia="Times New Roman"/>
                <w:i/>
                <w:iCs/>
                <w:color w:val="000000"/>
                <w:sz w:val="20"/>
                <w:szCs w:val="20"/>
              </w:rPr>
              <w:t xml:space="preserve">At or </w:t>
            </w:r>
            <w:r w:rsidRPr="00D87724">
              <w:rPr>
                <w:rFonts w:ascii="Times New Roman" w:eastAsia="Times New Roman"/>
                <w:i/>
                <w:iCs/>
                <w:color w:val="000000"/>
                <w:sz w:val="20"/>
                <w:szCs w:val="20"/>
              </w:rPr>
              <w:t>Above</w:t>
            </w:r>
            <w:r w:rsidRPr="00D87724">
              <w:rPr>
                <w:rFonts w:ascii="Times New Roman" w:eastAsia="Times New Roman"/>
                <w:i/>
                <w:iCs/>
                <w:color w:val="000000"/>
                <w:sz w:val="20"/>
                <w:szCs w:val="20"/>
              </w:rPr>
              <w:t xml:space="preserve"> the AL</w:t>
            </w:r>
          </w:p>
        </w:tc>
        <w:tc>
          <w:tcPr>
            <w:tcW w:w="1615" w:type="dxa"/>
            <w:tcBorders>
              <w:top w:val="nil"/>
              <w:left w:val="nil"/>
              <w:bottom w:val="single" w:sz="4" w:space="0" w:color="auto"/>
              <w:right w:val="single" w:sz="4" w:space="0" w:color="auto"/>
            </w:tcBorders>
            <w:vAlign w:val="center"/>
            <w:hideMark/>
          </w:tcPr>
          <w:p w:rsidR="00D0072F" w:rsidRPr="00D87724" w14:paraId="42343EE8"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203,280</w:t>
            </w:r>
          </w:p>
        </w:tc>
        <w:tc>
          <w:tcPr>
            <w:tcW w:w="1710" w:type="dxa"/>
            <w:tcBorders>
              <w:top w:val="nil"/>
              <w:left w:val="nil"/>
              <w:bottom w:val="single" w:sz="4" w:space="0" w:color="auto"/>
              <w:right w:val="single" w:sz="4" w:space="0" w:color="auto"/>
            </w:tcBorders>
            <w:vAlign w:val="center"/>
            <w:hideMark/>
          </w:tcPr>
          <w:p w:rsidR="00D0072F" w:rsidRPr="00D87724" w14:paraId="695E2026"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214,846</w:t>
            </w:r>
          </w:p>
        </w:tc>
        <w:tc>
          <w:tcPr>
            <w:tcW w:w="1620" w:type="dxa"/>
            <w:tcBorders>
              <w:top w:val="nil"/>
              <w:left w:val="nil"/>
              <w:bottom w:val="single" w:sz="4" w:space="0" w:color="auto"/>
              <w:right w:val="single" w:sz="4" w:space="0" w:color="auto"/>
            </w:tcBorders>
            <w:vAlign w:val="center"/>
            <w:hideMark/>
          </w:tcPr>
          <w:p w:rsidR="00D0072F" w:rsidRPr="00D87724" w14:paraId="5B0448CA"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11,566 </w:t>
            </w:r>
          </w:p>
        </w:tc>
      </w:tr>
      <w:tr w14:paraId="21F25785"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3A6D89E5" w14:textId="77777777">
            <w:pPr>
              <w:widowControl/>
              <w:autoSpaceDE/>
              <w:autoSpaceDN/>
              <w:adjustRightInd/>
              <w:ind w:firstLine="1000" w:firstLineChars="500"/>
              <w:rPr>
                <w:rFonts w:ascii="Times New Roman" w:eastAsia="Times New Roman"/>
                <w:i/>
                <w:iCs/>
                <w:color w:val="000000"/>
                <w:sz w:val="20"/>
                <w:szCs w:val="20"/>
              </w:rPr>
            </w:pPr>
            <w:r w:rsidRPr="00D87724">
              <w:rPr>
                <w:rFonts w:ascii="Times New Roman" w:eastAsia="Times New Roman"/>
                <w:i/>
                <w:iCs/>
                <w:color w:val="000000"/>
                <w:sz w:val="20"/>
                <w:szCs w:val="20"/>
              </w:rPr>
              <w:t>Initial</w:t>
            </w:r>
          </w:p>
        </w:tc>
        <w:tc>
          <w:tcPr>
            <w:tcW w:w="1615" w:type="dxa"/>
            <w:tcBorders>
              <w:top w:val="nil"/>
              <w:left w:val="nil"/>
              <w:bottom w:val="single" w:sz="4" w:space="0" w:color="auto"/>
              <w:right w:val="single" w:sz="4" w:space="0" w:color="auto"/>
            </w:tcBorders>
            <w:vAlign w:val="center"/>
            <w:hideMark/>
          </w:tcPr>
          <w:p w:rsidR="00D0072F" w:rsidRPr="00D87724" w14:paraId="174FDCB4"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212,300</w:t>
            </w:r>
          </w:p>
        </w:tc>
        <w:tc>
          <w:tcPr>
            <w:tcW w:w="1710" w:type="dxa"/>
            <w:tcBorders>
              <w:top w:val="nil"/>
              <w:left w:val="nil"/>
              <w:bottom w:val="single" w:sz="4" w:space="0" w:color="auto"/>
              <w:right w:val="single" w:sz="4" w:space="0" w:color="auto"/>
            </w:tcBorders>
            <w:vAlign w:val="center"/>
            <w:hideMark/>
          </w:tcPr>
          <w:p w:rsidR="00D0072F" w:rsidRPr="00D87724" w14:paraId="6DD295F1" w14:textId="09FD9711">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285,971</w:t>
            </w:r>
          </w:p>
        </w:tc>
        <w:tc>
          <w:tcPr>
            <w:tcW w:w="1620" w:type="dxa"/>
            <w:tcBorders>
              <w:top w:val="nil"/>
              <w:left w:val="nil"/>
              <w:bottom w:val="single" w:sz="4" w:space="0" w:color="auto"/>
              <w:right w:val="single" w:sz="4" w:space="0" w:color="auto"/>
            </w:tcBorders>
            <w:vAlign w:val="center"/>
            <w:hideMark/>
          </w:tcPr>
          <w:p w:rsidR="00D0072F" w:rsidRPr="00D87724" w14:paraId="42CF335D"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12,077 </w:t>
            </w:r>
          </w:p>
        </w:tc>
      </w:tr>
      <w:tr w14:paraId="2F662499"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69144FE6" w14:textId="77777777">
            <w:pPr>
              <w:widowControl/>
              <w:autoSpaceDE/>
              <w:autoSpaceDN/>
              <w:adjustRightInd/>
              <w:ind w:firstLine="1000" w:firstLineChars="500"/>
              <w:rPr>
                <w:rFonts w:ascii="Times New Roman" w:eastAsia="Times New Roman"/>
                <w:i/>
                <w:iCs/>
                <w:color w:val="000000"/>
                <w:sz w:val="20"/>
                <w:szCs w:val="20"/>
              </w:rPr>
            </w:pPr>
            <w:r w:rsidRPr="00D87724">
              <w:rPr>
                <w:rFonts w:ascii="Times New Roman" w:eastAsia="Times New Roman"/>
                <w:i/>
                <w:iCs/>
                <w:color w:val="000000"/>
                <w:sz w:val="20"/>
                <w:szCs w:val="20"/>
              </w:rPr>
              <w:t>Employee Signs and Symptoms</w:t>
            </w:r>
          </w:p>
        </w:tc>
        <w:tc>
          <w:tcPr>
            <w:tcW w:w="1615" w:type="dxa"/>
            <w:tcBorders>
              <w:top w:val="nil"/>
              <w:left w:val="nil"/>
              <w:bottom w:val="single" w:sz="4" w:space="0" w:color="auto"/>
              <w:right w:val="single" w:sz="4" w:space="0" w:color="auto"/>
            </w:tcBorders>
            <w:vAlign w:val="center"/>
            <w:hideMark/>
          </w:tcPr>
          <w:p w:rsidR="00D0072F" w:rsidRPr="00D87724" w14:paraId="4B4A0871"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34,690</w:t>
            </w:r>
          </w:p>
        </w:tc>
        <w:tc>
          <w:tcPr>
            <w:tcW w:w="1710" w:type="dxa"/>
            <w:tcBorders>
              <w:top w:val="nil"/>
              <w:left w:val="nil"/>
              <w:bottom w:val="single" w:sz="4" w:space="0" w:color="auto"/>
              <w:right w:val="single" w:sz="4" w:space="0" w:color="auto"/>
            </w:tcBorders>
            <w:vAlign w:val="center"/>
            <w:hideMark/>
          </w:tcPr>
          <w:p w:rsidR="00D0072F" w:rsidRPr="00D87724" w14:paraId="7232A160"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36,663</w:t>
            </w:r>
          </w:p>
        </w:tc>
        <w:tc>
          <w:tcPr>
            <w:tcW w:w="1620" w:type="dxa"/>
            <w:tcBorders>
              <w:top w:val="nil"/>
              <w:left w:val="nil"/>
              <w:bottom w:val="single" w:sz="4" w:space="0" w:color="auto"/>
              <w:right w:val="single" w:sz="4" w:space="0" w:color="auto"/>
            </w:tcBorders>
            <w:vAlign w:val="center"/>
            <w:hideMark/>
          </w:tcPr>
          <w:p w:rsidR="00D0072F" w:rsidRPr="00D87724" w14:paraId="1B65E746"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1,973 </w:t>
            </w:r>
          </w:p>
        </w:tc>
      </w:tr>
      <w:tr w14:paraId="57AEE5D3"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7C96D5F3" w14:textId="77777777">
            <w:pPr>
              <w:widowControl/>
              <w:autoSpaceDE/>
              <w:autoSpaceDN/>
              <w:adjustRightInd/>
              <w:ind w:firstLine="800" w:firstLineChars="400"/>
              <w:rPr>
                <w:rFonts w:ascii="Times New Roman" w:eastAsia="Times New Roman"/>
                <w:i/>
                <w:iCs/>
                <w:color w:val="000000"/>
                <w:sz w:val="20"/>
                <w:szCs w:val="20"/>
              </w:rPr>
            </w:pPr>
            <w:r w:rsidRPr="00D87724">
              <w:rPr>
                <w:rFonts w:ascii="Times New Roman" w:eastAsia="Times New Roman"/>
                <w:i/>
                <w:iCs/>
                <w:color w:val="000000"/>
                <w:sz w:val="20"/>
                <w:szCs w:val="20"/>
              </w:rPr>
              <w:t xml:space="preserve">Additional         </w:t>
            </w:r>
          </w:p>
        </w:tc>
        <w:tc>
          <w:tcPr>
            <w:tcW w:w="1615" w:type="dxa"/>
            <w:tcBorders>
              <w:top w:val="nil"/>
              <w:left w:val="nil"/>
              <w:bottom w:val="single" w:sz="4" w:space="0" w:color="auto"/>
              <w:right w:val="single" w:sz="4" w:space="0" w:color="auto"/>
            </w:tcBorders>
            <w:vAlign w:val="center"/>
            <w:hideMark/>
          </w:tcPr>
          <w:p w:rsidR="00D0072F" w:rsidRPr="00D87724" w14:paraId="419AB959"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2,082</w:t>
            </w:r>
          </w:p>
        </w:tc>
        <w:tc>
          <w:tcPr>
            <w:tcW w:w="1710" w:type="dxa"/>
            <w:tcBorders>
              <w:top w:val="nil"/>
              <w:left w:val="nil"/>
              <w:bottom w:val="single" w:sz="4" w:space="0" w:color="auto"/>
              <w:right w:val="single" w:sz="4" w:space="0" w:color="auto"/>
            </w:tcBorders>
            <w:vAlign w:val="center"/>
            <w:hideMark/>
          </w:tcPr>
          <w:p w:rsidR="00D0072F" w:rsidRPr="00D87724" w14:paraId="67C55EBA"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2,200</w:t>
            </w:r>
          </w:p>
        </w:tc>
        <w:tc>
          <w:tcPr>
            <w:tcW w:w="1620" w:type="dxa"/>
            <w:tcBorders>
              <w:top w:val="nil"/>
              <w:left w:val="nil"/>
              <w:bottom w:val="single" w:sz="4" w:space="0" w:color="auto"/>
              <w:right w:val="single" w:sz="4" w:space="0" w:color="auto"/>
            </w:tcBorders>
            <w:vAlign w:val="center"/>
            <w:hideMark/>
          </w:tcPr>
          <w:p w:rsidR="00D0072F" w:rsidRPr="00D87724" w14:paraId="19CFE5C8"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118 </w:t>
            </w:r>
          </w:p>
        </w:tc>
      </w:tr>
      <w:tr w14:paraId="205C6086"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6BB3A405" w14:textId="77777777">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 xml:space="preserve">(4) Additional Physician Review </w:t>
            </w:r>
          </w:p>
        </w:tc>
        <w:tc>
          <w:tcPr>
            <w:tcW w:w="1615" w:type="dxa"/>
            <w:tcBorders>
              <w:top w:val="nil"/>
              <w:left w:val="nil"/>
              <w:bottom w:val="single" w:sz="4" w:space="0" w:color="auto"/>
              <w:right w:val="single" w:sz="4" w:space="0" w:color="auto"/>
            </w:tcBorders>
            <w:vAlign w:val="center"/>
            <w:hideMark/>
          </w:tcPr>
          <w:p w:rsidR="00D0072F" w:rsidRPr="00D87724" w14:paraId="65A841E2"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3,770</w:t>
            </w:r>
          </w:p>
        </w:tc>
        <w:tc>
          <w:tcPr>
            <w:tcW w:w="1710" w:type="dxa"/>
            <w:tcBorders>
              <w:top w:val="nil"/>
              <w:left w:val="nil"/>
              <w:bottom w:val="single" w:sz="4" w:space="0" w:color="auto"/>
              <w:right w:val="single" w:sz="4" w:space="0" w:color="auto"/>
            </w:tcBorders>
            <w:vAlign w:val="center"/>
            <w:hideMark/>
          </w:tcPr>
          <w:p w:rsidR="00D0072F" w:rsidRPr="00D87724" w14:paraId="02F474DD" w14:textId="3DAC8978">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4,497</w:t>
            </w:r>
          </w:p>
        </w:tc>
        <w:tc>
          <w:tcPr>
            <w:tcW w:w="1620" w:type="dxa"/>
            <w:tcBorders>
              <w:top w:val="nil"/>
              <w:left w:val="nil"/>
              <w:bottom w:val="single" w:sz="4" w:space="0" w:color="auto"/>
              <w:right w:val="single" w:sz="4" w:space="0" w:color="auto"/>
            </w:tcBorders>
            <w:vAlign w:val="center"/>
            <w:hideMark/>
          </w:tcPr>
          <w:p w:rsidR="00D0072F" w:rsidRPr="00D87724" w14:paraId="7733FC20"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214 </w:t>
            </w:r>
          </w:p>
        </w:tc>
      </w:tr>
      <w:tr w14:paraId="6AA98BB2" w14:textId="77777777" w:rsidTr="004A2AAC">
        <w:tblPrEx>
          <w:tblW w:w="8725" w:type="dxa"/>
          <w:tblLook w:val="04A0"/>
        </w:tblPrEx>
        <w:trPr>
          <w:trHeight w:val="6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12EFB9B1" w14:textId="77777777">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(5) Information Provided to the Physician</w:t>
            </w:r>
          </w:p>
        </w:tc>
        <w:tc>
          <w:tcPr>
            <w:tcW w:w="1615" w:type="dxa"/>
            <w:tcBorders>
              <w:top w:val="nil"/>
              <w:left w:val="nil"/>
              <w:bottom w:val="single" w:sz="4" w:space="0" w:color="auto"/>
              <w:right w:val="single" w:sz="4" w:space="0" w:color="auto"/>
            </w:tcBorders>
            <w:vAlign w:val="center"/>
            <w:hideMark/>
          </w:tcPr>
          <w:p w:rsidR="00D0072F" w:rsidRPr="00D87724" w14:paraId="11B379F2"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18,848</w:t>
            </w:r>
          </w:p>
        </w:tc>
        <w:tc>
          <w:tcPr>
            <w:tcW w:w="1710" w:type="dxa"/>
            <w:tcBorders>
              <w:top w:val="nil"/>
              <w:left w:val="nil"/>
              <w:bottom w:val="single" w:sz="4" w:space="0" w:color="auto"/>
              <w:right w:val="single" w:sz="4" w:space="0" w:color="auto"/>
            </w:tcBorders>
            <w:vAlign w:val="center"/>
            <w:hideMark/>
          </w:tcPr>
          <w:p w:rsidR="00D0072F" w:rsidRPr="00D87724" w14:paraId="2D59E6B2" w14:textId="021794FD">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22,487</w:t>
            </w:r>
          </w:p>
        </w:tc>
        <w:tc>
          <w:tcPr>
            <w:tcW w:w="1620" w:type="dxa"/>
            <w:tcBorders>
              <w:top w:val="nil"/>
              <w:left w:val="nil"/>
              <w:bottom w:val="single" w:sz="4" w:space="0" w:color="auto"/>
              <w:right w:val="single" w:sz="4" w:space="0" w:color="auto"/>
            </w:tcBorders>
            <w:vAlign w:val="center"/>
            <w:hideMark/>
          </w:tcPr>
          <w:p w:rsidR="00D0072F" w:rsidRPr="00D87724" w14:paraId="6CF413D4"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1,072 </w:t>
            </w:r>
          </w:p>
        </w:tc>
      </w:tr>
      <w:tr w14:paraId="463FCEB1"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05612A39" w14:textId="77777777">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(6) Physician's Written Opinion</w:t>
            </w:r>
          </w:p>
        </w:tc>
        <w:tc>
          <w:tcPr>
            <w:tcW w:w="1615" w:type="dxa"/>
            <w:tcBorders>
              <w:top w:val="nil"/>
              <w:left w:val="nil"/>
              <w:bottom w:val="single" w:sz="4" w:space="0" w:color="auto"/>
              <w:right w:val="single" w:sz="4" w:space="0" w:color="auto"/>
            </w:tcBorders>
            <w:vAlign w:val="center"/>
            <w:hideMark/>
          </w:tcPr>
          <w:p w:rsidR="00D0072F" w:rsidRPr="00D87724" w14:paraId="7B9D782A"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18,848</w:t>
            </w:r>
          </w:p>
        </w:tc>
        <w:tc>
          <w:tcPr>
            <w:tcW w:w="1710" w:type="dxa"/>
            <w:tcBorders>
              <w:top w:val="nil"/>
              <w:left w:val="nil"/>
              <w:bottom w:val="single" w:sz="4" w:space="0" w:color="auto"/>
              <w:right w:val="single" w:sz="4" w:space="0" w:color="auto"/>
            </w:tcBorders>
            <w:vAlign w:val="center"/>
            <w:hideMark/>
          </w:tcPr>
          <w:p w:rsidR="00D0072F" w:rsidRPr="00D87724" w14:paraId="6317CA95" w14:textId="14DACBA4">
            <w:pPr>
              <w:widowControl/>
              <w:autoSpaceDE/>
              <w:autoSpaceDN/>
              <w:adjustRightInd/>
              <w:jc w:val="center"/>
              <w:rPr>
                <w:rFonts w:ascii="Times New Roman" w:eastAsia="Times New Roman"/>
                <w:color w:val="000000"/>
                <w:sz w:val="20"/>
                <w:szCs w:val="20"/>
              </w:rPr>
            </w:pPr>
            <w:r>
              <w:rPr>
                <w:rFonts w:ascii="Times New Roman" w:eastAsia="Times New Roman"/>
                <w:color w:val="000000"/>
                <w:sz w:val="20"/>
                <w:szCs w:val="20"/>
              </w:rPr>
              <w:t>22,487</w:t>
            </w:r>
          </w:p>
        </w:tc>
        <w:tc>
          <w:tcPr>
            <w:tcW w:w="1620" w:type="dxa"/>
            <w:tcBorders>
              <w:top w:val="nil"/>
              <w:left w:val="nil"/>
              <w:bottom w:val="single" w:sz="4" w:space="0" w:color="auto"/>
              <w:right w:val="single" w:sz="4" w:space="0" w:color="auto"/>
            </w:tcBorders>
            <w:vAlign w:val="center"/>
            <w:hideMark/>
          </w:tcPr>
          <w:p w:rsidR="00D0072F" w:rsidRPr="00D87724" w14:paraId="22C3A28D"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1,072 </w:t>
            </w:r>
          </w:p>
        </w:tc>
      </w:tr>
      <w:tr w14:paraId="1DD7BDC6"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18E9437B" w14:textId="77777777">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(7) Chelation Notification</w:t>
            </w:r>
          </w:p>
        </w:tc>
        <w:tc>
          <w:tcPr>
            <w:tcW w:w="1615" w:type="dxa"/>
            <w:tcBorders>
              <w:top w:val="nil"/>
              <w:left w:val="nil"/>
              <w:bottom w:val="single" w:sz="4" w:space="0" w:color="auto"/>
              <w:right w:val="single" w:sz="4" w:space="0" w:color="auto"/>
            </w:tcBorders>
            <w:vAlign w:val="center"/>
            <w:hideMark/>
          </w:tcPr>
          <w:p w:rsidR="00D0072F" w:rsidRPr="00D87724" w14:paraId="47CE7DBB"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1</w:t>
            </w:r>
          </w:p>
        </w:tc>
        <w:tc>
          <w:tcPr>
            <w:tcW w:w="1710" w:type="dxa"/>
            <w:tcBorders>
              <w:top w:val="nil"/>
              <w:left w:val="nil"/>
              <w:bottom w:val="single" w:sz="4" w:space="0" w:color="auto"/>
              <w:right w:val="single" w:sz="4" w:space="0" w:color="auto"/>
            </w:tcBorders>
            <w:vAlign w:val="center"/>
            <w:hideMark/>
          </w:tcPr>
          <w:p w:rsidR="00D0072F" w:rsidRPr="00D87724" w14:paraId="57BA43AD"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1</w:t>
            </w:r>
          </w:p>
        </w:tc>
        <w:tc>
          <w:tcPr>
            <w:tcW w:w="1620" w:type="dxa"/>
            <w:tcBorders>
              <w:top w:val="nil"/>
              <w:left w:val="nil"/>
              <w:bottom w:val="single" w:sz="4" w:space="0" w:color="auto"/>
              <w:right w:val="single" w:sz="4" w:space="0" w:color="auto"/>
            </w:tcBorders>
            <w:vAlign w:val="center"/>
            <w:hideMark/>
          </w:tcPr>
          <w:p w:rsidR="00D0072F" w:rsidRPr="00D87724" w14:paraId="1FC32E66"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0 </w:t>
            </w:r>
          </w:p>
        </w:tc>
      </w:tr>
      <w:tr w14:paraId="1FCC9AA4"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789809AD" w14:textId="77777777">
            <w:pPr>
              <w:widowControl/>
              <w:autoSpaceDE/>
              <w:autoSpaceDN/>
              <w:adjustRightInd/>
              <w:rPr>
                <w:rFonts w:ascii="Times New Roman" w:eastAsia="Times New Roman"/>
                <w:b/>
                <w:bCs/>
                <w:color w:val="000000"/>
                <w:sz w:val="20"/>
                <w:szCs w:val="20"/>
              </w:rPr>
            </w:pPr>
            <w:r w:rsidRPr="00D87724">
              <w:rPr>
                <w:rFonts w:ascii="Times New Roman" w:eastAsia="Times New Roman"/>
                <w:b/>
                <w:bCs/>
                <w:color w:val="000000"/>
                <w:sz w:val="20"/>
                <w:szCs w:val="20"/>
              </w:rPr>
              <w:t>H. Signs</w:t>
            </w:r>
          </w:p>
        </w:tc>
        <w:tc>
          <w:tcPr>
            <w:tcW w:w="1615" w:type="dxa"/>
            <w:tcBorders>
              <w:top w:val="nil"/>
              <w:left w:val="nil"/>
              <w:bottom w:val="single" w:sz="4" w:space="0" w:color="auto"/>
              <w:right w:val="single" w:sz="4" w:space="0" w:color="auto"/>
            </w:tcBorders>
            <w:vAlign w:val="center"/>
            <w:hideMark/>
          </w:tcPr>
          <w:p w:rsidR="00D0072F" w:rsidRPr="00D87724" w14:paraId="7BB82D40"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w:t>
            </w:r>
          </w:p>
        </w:tc>
        <w:tc>
          <w:tcPr>
            <w:tcW w:w="1710" w:type="dxa"/>
            <w:tcBorders>
              <w:top w:val="nil"/>
              <w:left w:val="nil"/>
              <w:bottom w:val="single" w:sz="4" w:space="0" w:color="auto"/>
              <w:right w:val="single" w:sz="4" w:space="0" w:color="auto"/>
            </w:tcBorders>
            <w:noWrap/>
            <w:vAlign w:val="bottom"/>
            <w:hideMark/>
          </w:tcPr>
          <w:p w:rsidR="00D0072F" w:rsidRPr="004A2AAC" w14:paraId="63ACF6BF"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 </w:t>
            </w:r>
          </w:p>
        </w:tc>
        <w:tc>
          <w:tcPr>
            <w:tcW w:w="1620" w:type="dxa"/>
            <w:tcBorders>
              <w:top w:val="nil"/>
              <w:left w:val="nil"/>
              <w:bottom w:val="single" w:sz="4" w:space="0" w:color="auto"/>
              <w:right w:val="single" w:sz="4" w:space="0" w:color="auto"/>
            </w:tcBorders>
            <w:vAlign w:val="center"/>
            <w:hideMark/>
          </w:tcPr>
          <w:p w:rsidR="00D0072F" w:rsidRPr="00D87724" w14:paraId="7D82D905"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w:t>
            </w:r>
          </w:p>
        </w:tc>
      </w:tr>
      <w:tr w14:paraId="6DDC0457" w14:textId="77777777" w:rsidTr="004A2AAC">
        <w:tblPrEx>
          <w:tblW w:w="8725" w:type="dxa"/>
          <w:tblLook w:val="04A0"/>
        </w:tblPrEx>
        <w:trPr>
          <w:trHeight w:val="315"/>
        </w:trPr>
        <w:tc>
          <w:tcPr>
            <w:tcW w:w="8725" w:type="dxa"/>
            <w:gridSpan w:val="4"/>
            <w:tcBorders>
              <w:top w:val="single" w:sz="4" w:space="0" w:color="auto"/>
              <w:left w:val="single" w:sz="4" w:space="0" w:color="auto"/>
              <w:bottom w:val="single" w:sz="4" w:space="0" w:color="auto"/>
              <w:right w:val="single" w:sz="4" w:space="0" w:color="auto"/>
            </w:tcBorders>
            <w:vAlign w:val="center"/>
            <w:hideMark/>
          </w:tcPr>
          <w:p w:rsidR="00D0072F" w:rsidRPr="00D87724" w14:paraId="075548F1" w14:textId="77777777">
            <w:pPr>
              <w:widowControl/>
              <w:autoSpaceDE/>
              <w:autoSpaceDN/>
              <w:adjustRightInd/>
              <w:rPr>
                <w:rFonts w:ascii="Times New Roman" w:eastAsia="Times New Roman"/>
                <w:b/>
                <w:bCs/>
                <w:color w:val="000000"/>
                <w:sz w:val="20"/>
                <w:szCs w:val="20"/>
              </w:rPr>
            </w:pPr>
            <w:r w:rsidRPr="00D87724">
              <w:rPr>
                <w:rFonts w:ascii="Times New Roman" w:eastAsia="Times New Roman"/>
                <w:b/>
                <w:bCs/>
                <w:color w:val="000000"/>
                <w:sz w:val="20"/>
                <w:szCs w:val="20"/>
              </w:rPr>
              <w:t xml:space="preserve">I. Recordkeeping </w:t>
            </w:r>
          </w:p>
        </w:tc>
      </w:tr>
      <w:tr w14:paraId="5E426B8F"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2C9F5FB0" w14:textId="495FB1BF">
            <w:pPr>
              <w:widowControl/>
              <w:autoSpaceDE/>
              <w:autoSpaceDN/>
              <w:adjustRightInd/>
              <w:rPr>
                <w:rFonts w:ascii="Times New Roman" w:eastAsia="Times New Roman"/>
                <w:color w:val="000000"/>
                <w:sz w:val="20"/>
                <w:szCs w:val="20"/>
              </w:rPr>
            </w:pPr>
            <w:r w:rsidRPr="00D87724">
              <w:rPr>
                <w:rFonts w:ascii="Times New Roman" w:eastAsia="Times New Roman"/>
                <w:color w:val="000000"/>
                <w:sz w:val="20"/>
                <w:szCs w:val="20"/>
              </w:rPr>
              <w:t xml:space="preserve">     </w:t>
            </w:r>
            <w:r w:rsidR="000744AD">
              <w:rPr>
                <w:rFonts w:ascii="Times New Roman" w:eastAsia="Times New Roman"/>
                <w:color w:val="000000"/>
                <w:sz w:val="20"/>
                <w:szCs w:val="20"/>
              </w:rPr>
              <w:t xml:space="preserve">   </w:t>
            </w:r>
            <w:r w:rsidRPr="00D87724">
              <w:rPr>
                <w:rFonts w:ascii="Times New Roman" w:eastAsia="Times New Roman"/>
                <w:color w:val="000000"/>
                <w:sz w:val="20"/>
                <w:szCs w:val="20"/>
              </w:rPr>
              <w:t>(1) Exposure Monitoring Records</w:t>
            </w:r>
          </w:p>
        </w:tc>
        <w:tc>
          <w:tcPr>
            <w:tcW w:w="1615" w:type="dxa"/>
            <w:tcBorders>
              <w:top w:val="nil"/>
              <w:left w:val="nil"/>
              <w:bottom w:val="single" w:sz="4" w:space="0" w:color="auto"/>
              <w:right w:val="single" w:sz="4" w:space="0" w:color="auto"/>
            </w:tcBorders>
            <w:vAlign w:val="center"/>
            <w:hideMark/>
          </w:tcPr>
          <w:p w:rsidR="00D0072F" w:rsidRPr="00D87724" w14:paraId="7926B3EF"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28,908</w:t>
            </w:r>
          </w:p>
        </w:tc>
        <w:tc>
          <w:tcPr>
            <w:tcW w:w="1710" w:type="dxa"/>
            <w:tcBorders>
              <w:top w:val="nil"/>
              <w:left w:val="nil"/>
              <w:bottom w:val="single" w:sz="4" w:space="0" w:color="auto"/>
              <w:right w:val="single" w:sz="4" w:space="0" w:color="auto"/>
            </w:tcBorders>
            <w:noWrap/>
            <w:vAlign w:val="bottom"/>
            <w:hideMark/>
          </w:tcPr>
          <w:p w:rsidR="00D0072F" w:rsidRPr="004A2AAC" w14:paraId="5CD1BF39"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15,277</w:t>
            </w:r>
          </w:p>
        </w:tc>
        <w:tc>
          <w:tcPr>
            <w:tcW w:w="1620" w:type="dxa"/>
            <w:tcBorders>
              <w:top w:val="nil"/>
              <w:left w:val="nil"/>
              <w:bottom w:val="single" w:sz="4" w:space="0" w:color="auto"/>
              <w:right w:val="single" w:sz="4" w:space="0" w:color="auto"/>
            </w:tcBorders>
            <w:vAlign w:val="center"/>
            <w:hideMark/>
          </w:tcPr>
          <w:p w:rsidR="00D0072F" w:rsidRPr="00D87724" w14:paraId="75A1E105"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-13,631</w:t>
            </w:r>
          </w:p>
        </w:tc>
      </w:tr>
      <w:tr w14:paraId="5B51080A"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352538C6" w14:textId="77777777">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(2) Medical Surveillance Records</w:t>
            </w:r>
          </w:p>
        </w:tc>
        <w:tc>
          <w:tcPr>
            <w:tcW w:w="1615" w:type="dxa"/>
            <w:tcBorders>
              <w:top w:val="nil"/>
              <w:left w:val="nil"/>
              <w:bottom w:val="single" w:sz="4" w:space="0" w:color="auto"/>
              <w:right w:val="single" w:sz="4" w:space="0" w:color="auto"/>
            </w:tcBorders>
            <w:vAlign w:val="center"/>
            <w:hideMark/>
          </w:tcPr>
          <w:p w:rsidR="00D0072F" w:rsidRPr="00D87724" w14:paraId="6FFFC604"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57,816</w:t>
            </w:r>
          </w:p>
        </w:tc>
        <w:tc>
          <w:tcPr>
            <w:tcW w:w="1710" w:type="dxa"/>
            <w:tcBorders>
              <w:top w:val="nil"/>
              <w:left w:val="nil"/>
              <w:bottom w:val="single" w:sz="4" w:space="0" w:color="auto"/>
              <w:right w:val="single" w:sz="4" w:space="0" w:color="auto"/>
            </w:tcBorders>
            <w:noWrap/>
            <w:vAlign w:val="bottom"/>
            <w:hideMark/>
          </w:tcPr>
          <w:p w:rsidR="00D0072F" w:rsidRPr="004A2AAC" w14:paraId="425C693C"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61,105</w:t>
            </w:r>
          </w:p>
        </w:tc>
        <w:tc>
          <w:tcPr>
            <w:tcW w:w="1620" w:type="dxa"/>
            <w:tcBorders>
              <w:top w:val="nil"/>
              <w:left w:val="nil"/>
              <w:bottom w:val="single" w:sz="4" w:space="0" w:color="auto"/>
              <w:right w:val="single" w:sz="4" w:space="0" w:color="auto"/>
            </w:tcBorders>
            <w:vAlign w:val="center"/>
            <w:hideMark/>
          </w:tcPr>
          <w:p w:rsidR="00D0072F" w:rsidRPr="00D87724" w14:paraId="6E3DFE48"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3,289 </w:t>
            </w:r>
          </w:p>
        </w:tc>
      </w:tr>
      <w:tr w14:paraId="059CA791" w14:textId="77777777" w:rsidTr="004A2AAC">
        <w:tblPrEx>
          <w:tblW w:w="8725" w:type="dxa"/>
          <w:tblLook w:val="04A0"/>
        </w:tblPrEx>
        <w:trPr>
          <w:trHeight w:val="300"/>
        </w:trPr>
        <w:tc>
          <w:tcPr>
            <w:tcW w:w="3780" w:type="dxa"/>
            <w:tcBorders>
              <w:top w:val="nil"/>
              <w:left w:val="single" w:sz="4" w:space="0" w:color="auto"/>
              <w:bottom w:val="single" w:sz="4" w:space="0" w:color="auto"/>
              <w:right w:val="single" w:sz="4" w:space="0" w:color="auto"/>
            </w:tcBorders>
            <w:vAlign w:val="center"/>
            <w:hideMark/>
          </w:tcPr>
          <w:p w:rsidR="00D0072F" w:rsidRPr="00D87724" w14:paraId="4EAE5973" w14:textId="77777777">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(3) Medical Removal Records</w:t>
            </w:r>
          </w:p>
        </w:tc>
        <w:tc>
          <w:tcPr>
            <w:tcW w:w="1615" w:type="dxa"/>
            <w:tcBorders>
              <w:top w:val="nil"/>
              <w:left w:val="nil"/>
              <w:bottom w:val="single" w:sz="4" w:space="0" w:color="auto"/>
              <w:right w:val="single" w:sz="4" w:space="0" w:color="auto"/>
            </w:tcBorders>
            <w:vAlign w:val="center"/>
            <w:hideMark/>
          </w:tcPr>
          <w:p w:rsidR="00D0072F" w:rsidRPr="00D87724" w14:paraId="11AA673F"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87</w:t>
            </w:r>
          </w:p>
        </w:tc>
        <w:tc>
          <w:tcPr>
            <w:tcW w:w="1710" w:type="dxa"/>
            <w:tcBorders>
              <w:top w:val="nil"/>
              <w:left w:val="nil"/>
              <w:bottom w:val="single" w:sz="4" w:space="0" w:color="auto"/>
              <w:right w:val="single" w:sz="4" w:space="0" w:color="auto"/>
            </w:tcBorders>
            <w:noWrap/>
            <w:vAlign w:val="bottom"/>
            <w:hideMark/>
          </w:tcPr>
          <w:p w:rsidR="00D0072F" w:rsidRPr="004A2AAC" w14:paraId="5147A6E4"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92</w:t>
            </w:r>
          </w:p>
        </w:tc>
        <w:tc>
          <w:tcPr>
            <w:tcW w:w="1620" w:type="dxa"/>
            <w:tcBorders>
              <w:top w:val="nil"/>
              <w:left w:val="nil"/>
              <w:bottom w:val="single" w:sz="4" w:space="0" w:color="auto"/>
              <w:right w:val="single" w:sz="4" w:space="0" w:color="auto"/>
            </w:tcBorders>
            <w:vAlign w:val="center"/>
            <w:hideMark/>
          </w:tcPr>
          <w:p w:rsidR="00D0072F" w:rsidRPr="00D87724" w14:paraId="44DA4BD9"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5 </w:t>
            </w:r>
          </w:p>
        </w:tc>
      </w:tr>
      <w:tr w14:paraId="3EC6BCE4" w14:textId="77777777" w:rsidTr="004A2AAC">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vAlign w:val="center"/>
            <w:hideMark/>
          </w:tcPr>
          <w:p w:rsidR="00D0072F" w:rsidRPr="00D87724" w14:paraId="65D51015" w14:textId="77777777">
            <w:pPr>
              <w:widowControl/>
              <w:autoSpaceDE/>
              <w:autoSpaceDN/>
              <w:adjustRightInd/>
              <w:ind w:firstLine="400" w:firstLineChars="200"/>
              <w:rPr>
                <w:rFonts w:ascii="Times New Roman" w:eastAsia="Times New Roman"/>
                <w:color w:val="000000"/>
                <w:sz w:val="20"/>
                <w:szCs w:val="20"/>
              </w:rPr>
            </w:pPr>
            <w:r w:rsidRPr="00D87724">
              <w:rPr>
                <w:rFonts w:ascii="Times New Roman" w:eastAsia="Times New Roman"/>
                <w:color w:val="000000"/>
                <w:sz w:val="20"/>
                <w:szCs w:val="20"/>
              </w:rPr>
              <w:t>(4) Employee Access to Records</w:t>
            </w:r>
          </w:p>
        </w:tc>
        <w:tc>
          <w:tcPr>
            <w:tcW w:w="1615" w:type="dxa"/>
            <w:tcBorders>
              <w:top w:val="nil"/>
              <w:left w:val="nil"/>
              <w:bottom w:val="single" w:sz="4" w:space="0" w:color="auto"/>
              <w:right w:val="single" w:sz="4" w:space="0" w:color="auto"/>
            </w:tcBorders>
            <w:vAlign w:val="center"/>
            <w:hideMark/>
          </w:tcPr>
          <w:p w:rsidR="00D0072F" w:rsidRPr="00D87724" w14:paraId="39D6EE7D"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2,891</w:t>
            </w:r>
          </w:p>
        </w:tc>
        <w:tc>
          <w:tcPr>
            <w:tcW w:w="1710" w:type="dxa"/>
            <w:tcBorders>
              <w:top w:val="nil"/>
              <w:left w:val="nil"/>
              <w:bottom w:val="single" w:sz="4" w:space="0" w:color="auto"/>
              <w:right w:val="single" w:sz="4" w:space="0" w:color="auto"/>
            </w:tcBorders>
            <w:noWrap/>
            <w:vAlign w:val="bottom"/>
            <w:hideMark/>
          </w:tcPr>
          <w:p w:rsidR="00D0072F" w:rsidRPr="004A2AAC" w14:paraId="05880ABB" w14:textId="77777777">
            <w:pPr>
              <w:widowControl/>
              <w:autoSpaceDE/>
              <w:autoSpaceDN/>
              <w:adjustRightInd/>
              <w:jc w:val="center"/>
              <w:rPr>
                <w:rFonts w:ascii="Times New Roman" w:eastAsia="Times New Roman"/>
                <w:color w:val="000000"/>
                <w:sz w:val="20"/>
                <w:szCs w:val="20"/>
              </w:rPr>
            </w:pPr>
            <w:r w:rsidRPr="004A2AAC">
              <w:rPr>
                <w:rFonts w:ascii="Times New Roman" w:eastAsia="Times New Roman"/>
                <w:color w:val="000000"/>
                <w:sz w:val="20"/>
                <w:szCs w:val="20"/>
              </w:rPr>
              <w:t>3,055</w:t>
            </w:r>
          </w:p>
        </w:tc>
        <w:tc>
          <w:tcPr>
            <w:tcW w:w="1620" w:type="dxa"/>
            <w:tcBorders>
              <w:top w:val="nil"/>
              <w:left w:val="nil"/>
              <w:bottom w:val="single" w:sz="4" w:space="0" w:color="auto"/>
              <w:right w:val="single" w:sz="4" w:space="0" w:color="auto"/>
            </w:tcBorders>
            <w:vAlign w:val="center"/>
            <w:hideMark/>
          </w:tcPr>
          <w:p w:rsidR="00D0072F" w:rsidRPr="00D87724" w14:paraId="4F1048D4" w14:textId="77777777">
            <w:pPr>
              <w:widowControl/>
              <w:autoSpaceDE/>
              <w:autoSpaceDN/>
              <w:adjustRightInd/>
              <w:jc w:val="center"/>
              <w:rPr>
                <w:rFonts w:ascii="Times New Roman" w:eastAsia="Times New Roman"/>
                <w:color w:val="000000"/>
                <w:sz w:val="20"/>
                <w:szCs w:val="20"/>
              </w:rPr>
            </w:pPr>
            <w:r w:rsidRPr="00D87724">
              <w:rPr>
                <w:rFonts w:ascii="Times New Roman" w:eastAsia="Times New Roman"/>
                <w:color w:val="000000"/>
                <w:sz w:val="20"/>
                <w:szCs w:val="20"/>
              </w:rPr>
              <w:t xml:space="preserve">164 </w:t>
            </w:r>
          </w:p>
        </w:tc>
      </w:tr>
      <w:tr w14:paraId="1C241F32" w14:textId="77777777" w:rsidTr="00C8435E">
        <w:tblPrEx>
          <w:tblW w:w="8725" w:type="dxa"/>
          <w:tblLook w:val="04A0"/>
        </w:tblPrEx>
        <w:trPr>
          <w:trHeight w:val="315"/>
        </w:trPr>
        <w:tc>
          <w:tcPr>
            <w:tcW w:w="3780" w:type="dxa"/>
            <w:tcBorders>
              <w:top w:val="nil"/>
              <w:left w:val="single" w:sz="4" w:space="0" w:color="auto"/>
              <w:bottom w:val="single" w:sz="4" w:space="0" w:color="auto"/>
              <w:right w:val="single" w:sz="4" w:space="0" w:color="auto"/>
            </w:tcBorders>
            <w:shd w:val="clear" w:color="auto" w:fill="E2E2E3" w:themeFill="accent1" w:themeFillTint="33"/>
            <w:vAlign w:val="center"/>
            <w:hideMark/>
          </w:tcPr>
          <w:p w:rsidR="00D0072F" w:rsidRPr="00D87724" w:rsidP="00D95F98" w14:paraId="6949426E" w14:textId="77777777">
            <w:pPr>
              <w:widowControl/>
              <w:autoSpaceDE/>
              <w:autoSpaceDN/>
              <w:adjustRightInd/>
              <w:rPr>
                <w:rFonts w:ascii="Times New Roman" w:eastAsia="Times New Roman"/>
                <w:color w:val="000000"/>
                <w:sz w:val="20"/>
                <w:szCs w:val="20"/>
              </w:rPr>
            </w:pPr>
            <w:r w:rsidRPr="00D87724">
              <w:rPr>
                <w:rFonts w:ascii="Times New Roman" w:eastAsia="Times New Roman"/>
                <w:color w:val="000000"/>
                <w:sz w:val="20"/>
                <w:szCs w:val="20"/>
              </w:rPr>
              <w:t> </w:t>
            </w:r>
            <w:r w:rsidRPr="00D87724">
              <w:rPr>
                <w:rFonts w:ascii="Times New Roman" w:eastAsia="Times New Roman"/>
                <w:b/>
                <w:bCs/>
                <w:color w:val="000000"/>
                <w:sz w:val="20"/>
                <w:szCs w:val="20"/>
              </w:rPr>
              <w:t>TOTAL</w:t>
            </w:r>
            <w:r w:rsidRPr="00D87724">
              <w:rPr>
                <w:rFonts w:ascii="Times New Roman" w:eastAsia="Times New Roman"/>
                <w:color w:val="000000"/>
                <w:sz w:val="20"/>
                <w:szCs w:val="20"/>
              </w:rPr>
              <w:t xml:space="preserve">   </w:t>
            </w:r>
          </w:p>
        </w:tc>
        <w:tc>
          <w:tcPr>
            <w:tcW w:w="1615" w:type="dxa"/>
            <w:tcBorders>
              <w:top w:val="nil"/>
              <w:left w:val="nil"/>
              <w:bottom w:val="single" w:sz="4" w:space="0" w:color="auto"/>
              <w:right w:val="single" w:sz="4" w:space="0" w:color="auto"/>
            </w:tcBorders>
            <w:shd w:val="clear" w:color="auto" w:fill="E2E2E3" w:themeFill="accent1" w:themeFillTint="33"/>
            <w:vAlign w:val="center"/>
            <w:hideMark/>
          </w:tcPr>
          <w:p w:rsidR="00D0072F" w:rsidRPr="00D87724" w14:paraId="3A865A5E" w14:textId="66B2E29B">
            <w:pPr>
              <w:widowControl/>
              <w:autoSpaceDE/>
              <w:autoSpaceDN/>
              <w:adjustRightInd/>
              <w:jc w:val="center"/>
              <w:rPr>
                <w:rFonts w:ascii="Times New Roman" w:eastAsia="Times New Roman"/>
                <w:b/>
                <w:bCs/>
                <w:color w:val="000000"/>
                <w:sz w:val="20"/>
                <w:szCs w:val="20"/>
              </w:rPr>
            </w:pPr>
            <w:r w:rsidRPr="00D87724">
              <w:rPr>
                <w:rFonts w:ascii="Times New Roman" w:eastAsia="Times New Roman"/>
                <w:b/>
                <w:bCs/>
                <w:color w:val="000000"/>
                <w:sz w:val="20"/>
                <w:szCs w:val="20"/>
              </w:rPr>
              <w:t>1,134,4</w:t>
            </w:r>
            <w:r w:rsidR="009E07D0">
              <w:rPr>
                <w:rFonts w:ascii="Times New Roman" w:eastAsia="Times New Roman"/>
                <w:b/>
                <w:bCs/>
                <w:color w:val="000000"/>
                <w:sz w:val="20"/>
                <w:szCs w:val="20"/>
              </w:rPr>
              <w:t>38</w:t>
            </w:r>
          </w:p>
        </w:tc>
        <w:tc>
          <w:tcPr>
            <w:tcW w:w="1710" w:type="dxa"/>
            <w:tcBorders>
              <w:top w:val="nil"/>
              <w:left w:val="nil"/>
              <w:bottom w:val="single" w:sz="4" w:space="0" w:color="auto"/>
              <w:right w:val="single" w:sz="4" w:space="0" w:color="auto"/>
            </w:tcBorders>
            <w:shd w:val="clear" w:color="auto" w:fill="E2E2E3" w:themeFill="accent1" w:themeFillTint="33"/>
            <w:vAlign w:val="center"/>
            <w:hideMark/>
          </w:tcPr>
          <w:p w:rsidR="00D0072F" w:rsidRPr="00D87724" w14:paraId="4F458AE9" w14:textId="48CE905A">
            <w:pPr>
              <w:widowControl/>
              <w:autoSpaceDE/>
              <w:autoSpaceDN/>
              <w:adjustRightInd/>
              <w:jc w:val="center"/>
              <w:rPr>
                <w:rFonts w:ascii="Times New Roman" w:eastAsia="Times New Roman"/>
                <w:b/>
                <w:bCs/>
                <w:color w:val="000000"/>
                <w:sz w:val="20"/>
                <w:szCs w:val="20"/>
              </w:rPr>
            </w:pPr>
            <w:r w:rsidRPr="00D87724">
              <w:rPr>
                <w:rFonts w:ascii="Times New Roman" w:eastAsia="Times New Roman"/>
                <w:b/>
                <w:bCs/>
                <w:color w:val="000000"/>
                <w:sz w:val="20"/>
                <w:szCs w:val="20"/>
              </w:rPr>
              <w:t>1,</w:t>
            </w:r>
            <w:r w:rsidR="002505F5">
              <w:rPr>
                <w:rFonts w:ascii="Times New Roman" w:eastAsia="Times New Roman"/>
                <w:b/>
                <w:bCs/>
                <w:color w:val="000000"/>
                <w:sz w:val="20"/>
                <w:szCs w:val="20"/>
              </w:rPr>
              <w:t>250,537</w:t>
            </w:r>
          </w:p>
        </w:tc>
        <w:tc>
          <w:tcPr>
            <w:tcW w:w="1620" w:type="dxa"/>
            <w:tcBorders>
              <w:top w:val="nil"/>
              <w:left w:val="nil"/>
              <w:bottom w:val="single" w:sz="4" w:space="0" w:color="auto"/>
              <w:right w:val="single" w:sz="4" w:space="0" w:color="auto"/>
            </w:tcBorders>
            <w:shd w:val="clear" w:color="auto" w:fill="E2E2E3" w:themeFill="accent1" w:themeFillTint="33"/>
            <w:vAlign w:val="center"/>
            <w:hideMark/>
          </w:tcPr>
          <w:p w:rsidR="00D0072F" w:rsidRPr="00D87724" w14:paraId="39EEE06A" w14:textId="77AC546F">
            <w:pPr>
              <w:widowControl/>
              <w:autoSpaceDE/>
              <w:autoSpaceDN/>
              <w:adjustRightInd/>
              <w:jc w:val="center"/>
              <w:rPr>
                <w:rFonts w:ascii="Times New Roman" w:eastAsia="Times New Roman"/>
                <w:b/>
                <w:bCs/>
                <w:color w:val="000000"/>
                <w:sz w:val="20"/>
                <w:szCs w:val="20"/>
              </w:rPr>
            </w:pPr>
            <w:r>
              <w:rPr>
                <w:rFonts w:ascii="Times New Roman" w:eastAsia="Times New Roman"/>
                <w:b/>
                <w:bCs/>
                <w:color w:val="000000"/>
                <w:sz w:val="20"/>
                <w:szCs w:val="20"/>
              </w:rPr>
              <w:t>116,09</w:t>
            </w:r>
            <w:r w:rsidR="006B1DDD">
              <w:rPr>
                <w:rFonts w:ascii="Times New Roman" w:eastAsia="Times New Roman"/>
                <w:b/>
                <w:bCs/>
                <w:color w:val="000000"/>
                <w:sz w:val="20"/>
                <w:szCs w:val="20"/>
              </w:rPr>
              <w:t>9</w:t>
            </w:r>
            <w:r w:rsidRPr="00D87724">
              <w:rPr>
                <w:rFonts w:ascii="Times New Roman" w:eastAsia="Times New Roman"/>
                <w:b/>
                <w:bCs/>
                <w:color w:val="000000"/>
                <w:sz w:val="20"/>
                <w:szCs w:val="20"/>
              </w:rPr>
              <w:t xml:space="preserve"> </w:t>
            </w:r>
          </w:p>
        </w:tc>
      </w:tr>
    </w:tbl>
    <w:p w:rsidR="00DB0F38" w14:paraId="48F660EC" w14:textId="64D5B635">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r>
        <w:rPr>
          <w:rFonts w:ascii="Times New Roman"/>
          <w:color w:val="FF0000"/>
        </w:rPr>
        <w:br w:type="textWrapping" w:clear="all"/>
      </w:r>
    </w:p>
    <w:p w:rsidR="00606D2D" w:rsidRPr="00844FB9" w:rsidP="56E51CD7" w14:paraId="60543F06" w14:textId="25352C63">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bCs/>
        </w:rPr>
      </w:pPr>
      <w:r w:rsidRPr="56E51CD7">
        <w:rPr>
          <w:rFonts w:ascii="Times New Roman"/>
          <w:b/>
          <w:bCs/>
        </w:rPr>
        <w:t>16.</w:t>
      </w:r>
      <w:r w:rsidRPr="56E51CD7" w:rsidR="2CD7BE93">
        <w:rPr>
          <w:rFonts w:ascii="Times New Roman"/>
          <w:b/>
          <w:bCs/>
        </w:rPr>
        <w:t xml:space="preserve"> </w:t>
      </w:r>
      <w:r w:rsidRPr="56E51CD7">
        <w:rPr>
          <w:rFonts w:ascii="Times New Roman"/>
          <w:b/>
          <w:bCs/>
        </w:rPr>
        <w:t>For collections of information whose results will be published, outline plans for tabulation, and publication.</w:t>
      </w:r>
      <w:r w:rsidRPr="56E51CD7" w:rsidR="2CD7BE93">
        <w:rPr>
          <w:rFonts w:ascii="Times New Roman"/>
          <w:b/>
          <w:bCs/>
        </w:rPr>
        <w:t xml:space="preserve"> </w:t>
      </w:r>
      <w:r w:rsidRPr="56E51CD7">
        <w:rPr>
          <w:rFonts w:ascii="Times New Roman"/>
          <w:b/>
          <w:bCs/>
        </w:rPr>
        <w:t>Address any complex analytical technique that will be used.</w:t>
      </w:r>
      <w:r w:rsidRPr="56E51CD7" w:rsidR="2CD7BE93">
        <w:rPr>
          <w:rFonts w:ascii="Times New Roman"/>
          <w:b/>
          <w:bCs/>
        </w:rPr>
        <w:t xml:space="preserve"> </w:t>
      </w:r>
      <w:r w:rsidRPr="56E51CD7">
        <w:rPr>
          <w:rFonts w:ascii="Times New Roman"/>
          <w:b/>
          <w:bCs/>
        </w:rPr>
        <w:t>Provide the time schedule for the entire project, including beginning and ending dates of the collection of information, completion of report, publication dates, and other actions.</w:t>
      </w:r>
    </w:p>
    <w:p w:rsidR="00606D2D" w:rsidRPr="0052502E" w14:paraId="1B02B468" w14:textId="77777777">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rsidR="002009F1" w:rsidRPr="002009F1" w:rsidP="002009F1" w14:paraId="7FFA72CA" w14:textId="544C2C3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kern w:val="28"/>
        </w:rPr>
      </w:pPr>
      <w:r w:rsidRPr="002009F1">
        <w:rPr>
          <w:rFonts w:ascii="Times New Roman" w:eastAsia="Times New Roman"/>
          <w:kern w:val="28"/>
        </w:rPr>
        <w:t xml:space="preserve">The information required to be collected by the Lead in </w:t>
      </w:r>
      <w:r>
        <w:rPr>
          <w:rFonts w:ascii="Times New Roman" w:eastAsia="Times New Roman"/>
          <w:kern w:val="28"/>
        </w:rPr>
        <w:t>General Industry</w:t>
      </w:r>
      <w:r w:rsidRPr="002009F1">
        <w:rPr>
          <w:rFonts w:ascii="Times New Roman" w:eastAsia="Times New Roman"/>
          <w:kern w:val="28"/>
        </w:rPr>
        <w:t xml:space="preserve"> Standard will not have results that will be published for statistical use.</w:t>
      </w:r>
    </w:p>
    <w:p w:rsidR="00606D2D" w:rsidRPr="0052502E" w14:paraId="51CFAA7C" w14:textId="620BF673">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rPr>
      </w:pPr>
    </w:p>
    <w:p w:rsidR="00606D2D" w:rsidRPr="00844FB9" w:rsidP="56E51CD7" w14:paraId="02DE01BE" w14:textId="0F3D90A6">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bCs/>
        </w:rPr>
      </w:pPr>
      <w:r w:rsidRPr="56E51CD7">
        <w:rPr>
          <w:rFonts w:ascii="Times New Roman"/>
          <w:b/>
          <w:bCs/>
        </w:rPr>
        <w:t>17.</w:t>
      </w:r>
      <w:r w:rsidRPr="56E51CD7" w:rsidR="2CD7BE93">
        <w:rPr>
          <w:rFonts w:ascii="Times New Roman"/>
          <w:b/>
          <w:bCs/>
        </w:rPr>
        <w:t xml:space="preserve"> </w:t>
      </w:r>
      <w:r w:rsidRPr="56E51CD7">
        <w:rPr>
          <w:rFonts w:ascii="Times New Roman"/>
          <w:b/>
          <w:bCs/>
        </w:rPr>
        <w:t>If seeking approval to not display the expiration date for OMB approval of the information collection, explain the reasons that display would be inappropriate.</w:t>
      </w:r>
    </w:p>
    <w:p w:rsidR="002009F1" w14:paraId="340959D3" w14:textId="77777777">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b/>
          <w:sz w:val="20"/>
          <w:szCs w:val="20"/>
        </w:rPr>
      </w:pPr>
    </w:p>
    <w:p w:rsidR="002009F1" w:rsidRPr="002009F1" w:rsidP="3080DAE6" w14:paraId="0727804F" w14:textId="31F27AE5">
      <w:pPr>
        <w:widowControl/>
        <w:tabs>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verflowPunct w:val="0"/>
        <w:rPr>
          <w:rFonts w:ascii="Times New Roman" w:eastAsia="Times New Roman"/>
          <w:kern w:val="28"/>
        </w:rPr>
      </w:pPr>
      <w:r w:rsidRPr="002009F1">
        <w:rPr>
          <w:rFonts w:ascii="Times New Roman" w:eastAsia="Times New Roman"/>
          <w:kern w:val="28"/>
        </w:rPr>
        <w:t>OSHA lists current valid control numbers</w:t>
      </w:r>
      <w:r w:rsidRPr="56E51CD7">
        <w:rPr>
          <w:rFonts w:ascii="Times New Roman" w:eastAsia="Times New Roman"/>
          <w:kern w:val="28"/>
        </w:rPr>
        <w:t xml:space="preserve"> in §</w:t>
      </w:r>
      <w:r w:rsidRPr="56E51CD7" w:rsidR="30B32DA8">
        <w:rPr>
          <w:rFonts w:ascii="Times New Roman" w:eastAsia="Times New Roman"/>
        </w:rPr>
        <w:t>§ 1910.8, 1915.8, 1914.4, 1918.4, and 1926.5,</w:t>
      </w:r>
      <w:r w:rsidRPr="002009F1">
        <w:rPr>
          <w:rFonts w:ascii="Times New Roman" w:eastAsia="Times New Roman"/>
          <w:kern w:val="28"/>
        </w:rPr>
        <w:t xml:space="preserve"> and publishes the expiration date in the </w:t>
      </w:r>
      <w:r w:rsidRPr="56E51CD7">
        <w:rPr>
          <w:rFonts w:ascii="Times New Roman" w:eastAsia="Times New Roman"/>
          <w:i/>
          <w:iCs/>
          <w:kern w:val="28"/>
        </w:rPr>
        <w:t>Federal Register</w:t>
      </w:r>
      <w:r w:rsidRPr="002009F1">
        <w:rPr>
          <w:rFonts w:ascii="Times New Roman" w:eastAsia="Times New Roman"/>
          <w:kern w:val="28"/>
        </w:rPr>
        <w:t xml:space="preserve"> notice announcing OMB approval of the information</w:t>
      </w:r>
      <w:r w:rsidR="560F8847">
        <w:rPr>
          <w:rFonts w:ascii="Times New Roman" w:eastAsia="Times New Roman"/>
          <w:kern w:val="28"/>
        </w:rPr>
        <w:t xml:space="preserve"> </w:t>
      </w:r>
      <w:r w:rsidRPr="002009F1">
        <w:rPr>
          <w:rFonts w:ascii="Times New Roman" w:eastAsia="Times New Roman"/>
          <w:kern w:val="28"/>
        </w:rPr>
        <w:t>collection requirement (</w:t>
      </w:r>
      <w:r w:rsidRPr="56E51CD7">
        <w:rPr>
          <w:rFonts w:ascii="Times New Roman" w:eastAsia="Times New Roman"/>
          <w:i/>
          <w:iCs/>
          <w:kern w:val="28"/>
        </w:rPr>
        <w:t>See</w:t>
      </w:r>
      <w:r w:rsidRPr="002009F1">
        <w:rPr>
          <w:rFonts w:ascii="Times New Roman" w:eastAsia="Times New Roman"/>
          <w:kern w:val="28"/>
        </w:rPr>
        <w:t xml:space="preserve"> 5 CFR 1320.3(f)(3))</w:t>
      </w:r>
      <w:r w:rsidR="6DD305E4">
        <w:rPr>
          <w:rFonts w:ascii="Times New Roman" w:eastAsia="Times New Roman"/>
          <w:kern w:val="28"/>
        </w:rPr>
        <w:t>.</w:t>
      </w:r>
      <w:r w:rsidRPr="002009F1">
        <w:rPr>
          <w:rFonts w:ascii="Times New Roman" w:eastAsia="Times New Roman"/>
          <w:kern w:val="28"/>
        </w:rPr>
        <w:t xml:space="preserve"> OSHA believes that this is the most appropriate and accurate mechanism to inform interested parties of these expiration dates.</w:t>
      </w:r>
    </w:p>
    <w:p w:rsidR="00606D2D" w:rsidRPr="0052502E" w14:paraId="19F59664" w14:textId="77777777">
      <w:pPr>
        <w:tabs>
          <w:tab w:val="left" w:pos="630"/>
          <w:tab w:val="left" w:pos="1230"/>
          <w:tab w:val="left" w:pos="1830"/>
          <w:tab w:val="left" w:pos="2430"/>
          <w:tab w:val="left" w:pos="3030"/>
          <w:tab w:val="left" w:pos="3630"/>
          <w:tab w:val="left" w:pos="4350"/>
          <w:tab w:val="left" w:pos="4950"/>
          <w:tab w:val="left" w:pos="5550"/>
          <w:tab w:val="left" w:pos="6150"/>
        </w:tabs>
        <w:rPr>
          <w:rFonts w:ascii="Times New Roman"/>
          <w:sz w:val="20"/>
          <w:szCs w:val="20"/>
        </w:rPr>
      </w:pPr>
    </w:p>
    <w:p w:rsidR="00606D2D" w:rsidRPr="00844FB9" w:rsidP="56E51CD7" w14:paraId="3A9D4646" w14:textId="471A4EDD">
      <w:pPr>
        <w:shd w:val="clear" w:color="auto" w:fill="FFFFFF" w:themeFill="background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b/>
          <w:bCs/>
          <w:lang w:val="en-JM"/>
        </w:rPr>
      </w:pPr>
      <w:r w:rsidRPr="56E51CD7">
        <w:rPr>
          <w:rFonts w:ascii="Times New Roman"/>
          <w:b/>
          <w:bCs/>
        </w:rPr>
        <w:t>18.</w:t>
      </w:r>
      <w:r w:rsidRPr="56E51CD7" w:rsidR="2CD7BE93">
        <w:rPr>
          <w:rFonts w:ascii="Times New Roman"/>
          <w:b/>
          <w:bCs/>
        </w:rPr>
        <w:t xml:space="preserve"> </w:t>
      </w:r>
      <w:r w:rsidRPr="56E51CD7">
        <w:rPr>
          <w:rFonts w:ascii="Times New Roman"/>
          <w:b/>
          <w:bCs/>
        </w:rPr>
        <w:t>Explain each exception to the certification statement.</w:t>
      </w:r>
      <w:r w:rsidRPr="56E51CD7" w:rsidR="2CD7BE93">
        <w:rPr>
          <w:rFonts w:ascii="Times New Roman"/>
          <w:b/>
          <w:bCs/>
        </w:rPr>
        <w:t xml:space="preserve"> </w:t>
      </w:r>
    </w:p>
    <w:p w:rsidR="00606D2D" w:rsidRPr="00D82581" w:rsidP="00606D2D" w14:paraId="3E9DC019" w14:textId="77777777">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sz w:val="22"/>
          <w:szCs w:val="22"/>
        </w:rPr>
      </w:pPr>
    </w:p>
    <w:p w:rsidR="00606D2D" w:rsidRPr="004E402F" w:rsidP="00606D2D" w14:paraId="44DF62A9" w14:textId="77777777">
      <w:pPr>
        <w:rPr>
          <w:rFonts w:ascii="Times New Roman"/>
          <w:lang w:val="en-JM"/>
        </w:rPr>
      </w:pPr>
      <w:r w:rsidRPr="004E402F">
        <w:rPr>
          <w:rFonts w:ascii="Times New Roman"/>
          <w:lang w:val="en-JM"/>
        </w:rPr>
        <w:t>OSHA is not requesting an exception to the certification statement.</w:t>
      </w:r>
    </w:p>
    <w:p w:rsidR="00606D2D" w:rsidRPr="004E402F" w:rsidP="00606D2D" w14:paraId="48D8D698" w14:textId="77777777">
      <w:pPr>
        <w:rPr>
          <w:rFonts w:ascii="Times New Roman"/>
          <w:lang w:val="en-JM"/>
        </w:rPr>
      </w:pPr>
    </w:p>
    <w:p w:rsidR="00606D2D" w:rsidRPr="004E402F" w:rsidP="00606D2D" w14:paraId="41AD5FF5" w14:textId="77777777">
      <w:pPr>
        <w:rPr>
          <w:rFonts w:ascii="Times New Roman"/>
          <w:b/>
          <w:lang w:val="en-JM"/>
        </w:rPr>
      </w:pPr>
      <w:r w:rsidRPr="004E402F">
        <w:rPr>
          <w:rFonts w:ascii="Times New Roman"/>
          <w:b/>
          <w:lang w:val="en-JM"/>
        </w:rPr>
        <w:t>B. COLLECTION OF INFORMATION EMPLOYING STATISTICAL METHODS.</w:t>
      </w:r>
    </w:p>
    <w:p w:rsidR="00606D2D" w:rsidRPr="004E402F" w:rsidP="00606D2D" w14:paraId="33471292" w14:textId="77777777">
      <w:pPr>
        <w:rPr>
          <w:rFonts w:ascii="Times New Roman"/>
          <w:b/>
          <w:lang w:val="en-JM"/>
        </w:rPr>
      </w:pPr>
    </w:p>
    <w:p w:rsidR="00A441A6" w:rsidP="0005028B" w14:paraId="13E4E037" w14:textId="40E0CFE0">
      <w:pPr>
        <w:rPr>
          <w:rFonts w:ascii="Times New Roman"/>
          <w:lang w:val="en-JM"/>
        </w:rPr>
      </w:pPr>
      <w:r>
        <w:rPr>
          <w:rFonts w:ascii="Times New Roman"/>
          <w:lang w:val="en-JM"/>
        </w:rPr>
        <w:t xml:space="preserve">There are no collections of information employing statistical methods. </w:t>
      </w:r>
    </w:p>
    <w:p w:rsidR="00D36819" w:rsidP="0005028B" w14:paraId="0E02A2B4" w14:textId="77777777">
      <w:pPr>
        <w:rPr>
          <w:rFonts w:ascii="Times New Roman"/>
          <w:lang w:val="en-JM"/>
        </w:rPr>
      </w:pPr>
    </w:p>
    <w:p w:rsidR="00D36819" w:rsidP="0005028B" w14:paraId="2EB90291" w14:textId="77777777">
      <w:pPr>
        <w:rPr>
          <w:rFonts w:ascii="Times New Roman"/>
          <w:lang w:val="en-JM"/>
        </w:rPr>
      </w:pPr>
    </w:p>
    <w:p w:rsidR="004249E2" w:rsidRPr="00C94B10" w:rsidP="004249E2" w14:paraId="48AA27AE" w14:textId="6AA2A7B2">
      <w:pPr>
        <w:spacing w:after="160" w:line="278" w:lineRule="auto"/>
        <w:rPr>
          <w:rFonts w:ascii="Times New Roman"/>
          <w:i/>
          <w:iCs/>
        </w:rPr>
      </w:pPr>
    </w:p>
    <w:sectPr w:rsidSect="009E7C90">
      <w:pgSz w:w="12240" w:h="15840"/>
      <w:pgMar w:top="1440" w:right="1440" w:bottom="1440" w:left="1440" w:header="576" w:footer="57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elior">
    <w:altName w:val="Cambria"/>
    <w:panose1 w:val="00000000000000000000"/>
    <w:charset w:val="00"/>
    <w:family w:val="roman"/>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FE8" w14:paraId="0206AD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7822527"/>
      <w:docPartObj>
        <w:docPartGallery w:val="Page Numbers (Bottom of Page)"/>
        <w:docPartUnique/>
      </w:docPartObj>
    </w:sdtPr>
    <w:sdtEndPr>
      <w:rPr>
        <w:rFonts w:ascii="Times New Roman"/>
        <w:noProof/>
      </w:rPr>
    </w:sdtEndPr>
    <w:sdtContent>
      <w:p w:rsidR="00FC0CD2" w:rsidRPr="00844FB9" w14:paraId="392FAB02" w14:textId="77777777">
        <w:pPr>
          <w:pStyle w:val="Footer"/>
          <w:jc w:val="center"/>
          <w:rPr>
            <w:rFonts w:ascii="Times New Roman"/>
          </w:rPr>
        </w:pPr>
        <w:r w:rsidRPr="00844FB9">
          <w:rPr>
            <w:rFonts w:ascii="Times New Roman"/>
          </w:rPr>
          <w:fldChar w:fldCharType="begin"/>
        </w:r>
        <w:r w:rsidRPr="00844FB9">
          <w:rPr>
            <w:rFonts w:ascii="Times New Roman"/>
          </w:rPr>
          <w:instrText xml:space="preserve"> PAGE   \* MERGEFORMAT </w:instrText>
        </w:r>
        <w:r w:rsidRPr="00844FB9">
          <w:rPr>
            <w:rFonts w:ascii="Times New Roman"/>
          </w:rPr>
          <w:fldChar w:fldCharType="separate"/>
        </w:r>
        <w:r>
          <w:rPr>
            <w:rFonts w:ascii="Times New Roman"/>
            <w:noProof/>
          </w:rPr>
          <w:t>1</w:t>
        </w:r>
        <w:r w:rsidRPr="00844FB9">
          <w:rPr>
            <w:rFonts w:ascii="Times New Roman"/>
            <w:noProof/>
          </w:rPr>
          <w:fldChar w:fldCharType="end"/>
        </w:r>
      </w:p>
    </w:sdtContent>
  </w:sdt>
  <w:p w:rsidR="00FC0CD2" w14:paraId="74C03CDF" w14:textId="77777777">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FE8" w14:paraId="3029F46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3974300"/>
      <w:docPartObj>
        <w:docPartGallery w:val="Page Numbers (Bottom of Page)"/>
        <w:docPartUnique/>
      </w:docPartObj>
    </w:sdtPr>
    <w:sdtEndPr>
      <w:rPr>
        <w:rFonts w:ascii="Times New Roman"/>
        <w:noProof/>
      </w:rPr>
    </w:sdtEndPr>
    <w:sdtContent>
      <w:p w:rsidR="004A3DA1" w:rsidRPr="00844FB9" w14:paraId="1E600055" w14:textId="0693353E">
        <w:pPr>
          <w:pStyle w:val="Footer"/>
          <w:jc w:val="center"/>
          <w:rPr>
            <w:rFonts w:ascii="Times New Roman"/>
          </w:rPr>
        </w:pPr>
        <w:r w:rsidRPr="00844FB9">
          <w:rPr>
            <w:rFonts w:ascii="Times New Roman"/>
          </w:rPr>
          <w:fldChar w:fldCharType="begin"/>
        </w:r>
        <w:r w:rsidRPr="00844FB9">
          <w:rPr>
            <w:rFonts w:ascii="Times New Roman"/>
          </w:rPr>
          <w:instrText xml:space="preserve"> PAGE   \* MERGEFORMAT </w:instrText>
        </w:r>
        <w:r w:rsidRPr="00844FB9">
          <w:rPr>
            <w:rFonts w:ascii="Times New Roman"/>
          </w:rPr>
          <w:fldChar w:fldCharType="separate"/>
        </w:r>
        <w:r w:rsidR="00F208FE">
          <w:rPr>
            <w:rFonts w:ascii="Times New Roman"/>
            <w:noProof/>
          </w:rPr>
          <w:t>1</w:t>
        </w:r>
        <w:r w:rsidRPr="00844FB9">
          <w:rPr>
            <w:rFonts w:ascii="Times New Roman"/>
            <w:noProof/>
          </w:rPr>
          <w:fldChar w:fldCharType="end"/>
        </w:r>
      </w:p>
    </w:sdtContent>
  </w:sdt>
  <w:p w:rsidR="004A3DA1" w14:paraId="0E29E2C2" w14:textId="77777777">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5F32" w14:paraId="4B838BCB" w14:textId="77777777">
      <w:r>
        <w:separator/>
      </w:r>
    </w:p>
  </w:footnote>
  <w:footnote w:type="continuationSeparator" w:id="1">
    <w:p w:rsidR="00E85F32" w14:paraId="04F78989" w14:textId="77777777">
      <w:r>
        <w:continuationSeparator/>
      </w:r>
    </w:p>
  </w:footnote>
  <w:footnote w:type="continuationNotice" w:id="2">
    <w:p w:rsidR="00E85F32" w14:paraId="43811604" w14:textId="77777777"/>
  </w:footnote>
  <w:footnote w:id="3">
    <w:p w:rsidR="004A3DA1" w:rsidP="0092202B" w14:paraId="6FDF6030" w14:textId="5CB9EAA8">
      <w:pPr>
        <w:pStyle w:val="FootnoteText"/>
        <w:ind w:firstLine="720"/>
      </w:pPr>
      <w:r w:rsidRPr="000610D2">
        <w:rPr>
          <w:rStyle w:val="FootnoteReference"/>
          <w:sz w:val="22"/>
          <w:vertAlign w:val="superscript"/>
        </w:rPr>
        <w:footnoteRef/>
      </w:r>
      <w:r w:rsidR="00020E19">
        <w:t xml:space="preserve"> </w:t>
      </w:r>
      <w:r w:rsidRPr="00FA1B4F">
        <w:t xml:space="preserve">The purpose of this supporting statement is to analyze and describe the burden hours and costs associated with provisions of the Lead in General Industry Standard that contain paperwork requirements; this supporting statement does not provide information or guidance on how to comply with, or how to enforce, the </w:t>
      </w:r>
      <w:r w:rsidR="0092275E">
        <w:t>s</w:t>
      </w:r>
      <w:r w:rsidRPr="00FA1B4F">
        <w:t>tandard.</w:t>
      </w:r>
    </w:p>
  </w:footnote>
  <w:footnote w:id="4">
    <w:p w:rsidR="004A3DA1" w:rsidRPr="0092202B" w:rsidP="0092202B" w14:paraId="6B29DDB2" w14:textId="79EF6074">
      <w:pPr>
        <w:pStyle w:val="FootnoteText"/>
        <w:ind w:firstLine="720"/>
        <w:rPr>
          <w:rFonts w:eastAsia="@MS Mincho"/>
        </w:rPr>
      </w:pPr>
      <w:r w:rsidRPr="56E51CD7">
        <w:rPr>
          <w:rStyle w:val="FootnoteReference"/>
          <w:sz w:val="22"/>
          <w:szCs w:val="22"/>
          <w:vertAlign w:val="superscript"/>
        </w:rPr>
        <w:footnoteRef/>
      </w:r>
      <w:r w:rsidRPr="56E51CD7" w:rsidR="56E51CD7">
        <w:rPr>
          <w:sz w:val="22"/>
          <w:szCs w:val="22"/>
          <w:vertAlign w:val="superscript"/>
        </w:rPr>
        <w:t xml:space="preserve"> </w:t>
      </w:r>
      <w:r w:rsidRPr="0092202B" w:rsidR="56E51CD7">
        <w:rPr>
          <w:rFonts w:eastAsia="@MS Mincho"/>
        </w:rPr>
        <w:t xml:space="preserve">The </w:t>
      </w:r>
      <w:r w:rsidR="56E51CD7">
        <w:rPr>
          <w:rFonts w:eastAsia="@MS Mincho"/>
        </w:rPr>
        <w:t>a</w:t>
      </w:r>
      <w:r w:rsidRPr="0092202B" w:rsidR="56E51CD7">
        <w:rPr>
          <w:rFonts w:eastAsia="@MS Mincho"/>
        </w:rPr>
        <w:t>gency accounts for the burden hours and costs associated with compliance with the HCS, such as the development of a hazard communication program, under the Information Collection Request (ICR) for the HCS. OMB Control No. 1218-0072.</w:t>
      </w:r>
    </w:p>
    <w:p w:rsidR="004A3DA1" w14:paraId="6CF4439C" w14:textId="3C7310AE">
      <w:pPr>
        <w:pStyle w:val="FootnoteText"/>
      </w:pPr>
    </w:p>
  </w:footnote>
  <w:footnote w:id="5">
    <w:p w:rsidR="00A041E3" w:rsidRPr="00CD0727" w:rsidP="001438C5" w14:paraId="77980E74" w14:textId="33E67D9E">
      <w:pPr>
        <w:ind w:firstLine="720"/>
        <w:rPr>
          <w:rFonts w:ascii="Times New Roman" w:cs="Shruti"/>
        </w:rPr>
      </w:pPr>
      <w:r w:rsidRPr="001438C5">
        <w:rPr>
          <w:rStyle w:val="FootnoteReference"/>
          <w:vertAlign w:val="superscript"/>
        </w:rPr>
        <w:footnoteRef/>
      </w:r>
      <w:r w:rsidR="56E51CD7">
        <w:t xml:space="preserve"> </w:t>
      </w:r>
      <w:r w:rsidRPr="001438C5" w:rsidR="56E51CD7">
        <w:rPr>
          <w:rFonts w:ascii="Times New Roman" w:cs="Shruti"/>
          <w:sz w:val="20"/>
          <w:szCs w:val="20"/>
        </w:rPr>
        <w:t xml:space="preserve">Paragraph (h) of </w:t>
      </w:r>
      <w:r w:rsidRPr="001438C5" w:rsidR="56E51CD7">
        <w:rPr>
          <w:rFonts w:ascii="Times New Roman"/>
          <w:sz w:val="20"/>
          <w:szCs w:val="20"/>
        </w:rPr>
        <w:t>§ 1910.1020</w:t>
      </w:r>
      <w:r w:rsidRPr="001438C5" w:rsidR="56E51CD7">
        <w:rPr>
          <w:rFonts w:ascii="Times New Roman" w:cs="Shruti"/>
          <w:sz w:val="20"/>
          <w:szCs w:val="20"/>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A041E3" w14:paraId="725EA168" w14:textId="1F6F6FA7">
      <w:pPr>
        <w:pStyle w:val="FootnoteText"/>
      </w:pPr>
    </w:p>
  </w:footnote>
  <w:footnote w:id="6">
    <w:p w:rsidR="00DC7A18" w:rsidP="008F2EE7" w14:paraId="65D1A5CB" w14:textId="77777777">
      <w:pPr>
        <w:pStyle w:val="FootnoteText"/>
        <w:ind w:firstLine="720"/>
      </w:pPr>
      <w:r w:rsidRPr="008F2EE7">
        <w:rPr>
          <w:rStyle w:val="FootnoteReference"/>
          <w:vertAlign w:val="superscript"/>
        </w:rPr>
        <w:footnoteRef/>
      </w:r>
      <w:r>
        <w:t xml:space="preserve"> Although BCI states that their members “employ 106,000 direct jobs in the U.S.,” the organization’s website indicates the industry “directly employs 28,050 workers” and “supports 29,600 </w:t>
      </w:r>
      <w:r w:rsidRPr="00921B0B">
        <w:t>supplier jobs in a variety of industries and an additional 38,150 jobs from worker spending in different sectors</w:t>
      </w:r>
      <w:r>
        <w:t xml:space="preserve">” (see </w:t>
      </w:r>
      <w:hyperlink r:id="rId1" w:history="1">
        <w:r w:rsidRPr="00921B0B">
          <w:rPr>
            <w:rStyle w:val="Hyperlink"/>
            <w:rFonts w:eastAsia="@MS Mincho"/>
          </w:rPr>
          <w:t>Economic Impact of the U.S. Battery Industry | Battery Council International</w:t>
        </w:r>
      </w:hyperlink>
      <w:r>
        <w:t>, last accessed 7/28/25). In any event, BCI does not indicate the percentage of these employees that are subject to the standard because of their occupational exposure to lead or how many exposed employees work for each of their individual members.</w:t>
      </w:r>
    </w:p>
  </w:footnote>
  <w:footnote w:id="7">
    <w:p w:rsidR="0082292B" w:rsidRPr="004A2AAC" w:rsidP="004A2AAC" w14:paraId="66F9BFA4" w14:textId="4E3F7A5F">
      <w:pPr>
        <w:ind w:firstLine="720"/>
        <w:rPr>
          <w:sz w:val="18"/>
          <w:szCs w:val="18"/>
        </w:rPr>
      </w:pPr>
      <w:r w:rsidRPr="004A2AAC">
        <w:rPr>
          <w:sz w:val="18"/>
          <w:szCs w:val="18"/>
          <w:vertAlign w:val="superscript"/>
        </w:rPr>
        <w:footnoteRef/>
      </w:r>
      <w:r w:rsidRPr="00ED2A5E">
        <w:rPr>
          <w:rFonts w:ascii="Times New Roman" w:eastAsia="Times New Roman"/>
          <w:sz w:val="20"/>
          <w:szCs w:val="20"/>
        </w:rPr>
        <w:t>Source: Bureau of Labor Statistics (BLS), 2024. Job Openings and Labor Turnover Survey, Total Separations Rate for the</w:t>
      </w:r>
      <w:r w:rsidRPr="004A2AAC" w:rsidR="00ED2A5E">
        <w:rPr>
          <w:rFonts w:ascii="Times New Roman" w:eastAsia="Times New Roman"/>
          <w:sz w:val="20"/>
          <w:szCs w:val="20"/>
        </w:rPr>
        <w:t xml:space="preserve"> General</w:t>
      </w:r>
      <w:r w:rsidRPr="00ED2A5E">
        <w:rPr>
          <w:rFonts w:ascii="Times New Roman" w:eastAsia="Times New Roman"/>
          <w:sz w:val="20"/>
          <w:szCs w:val="20"/>
        </w:rPr>
        <w:t xml:space="preserve"> Industry. Available </w:t>
      </w:r>
      <w:r w:rsidRPr="00746691">
        <w:rPr>
          <w:rFonts w:ascii="Times New Roman" w:eastAsia="Times New Roman"/>
          <w:sz w:val="20"/>
          <w:szCs w:val="20"/>
        </w:rPr>
        <w:t xml:space="preserve">at </w:t>
      </w:r>
      <w:hyperlink r:id="rId2" w:history="1">
        <w:r w:rsidRPr="00D95F98">
          <w:rPr>
            <w:rFonts w:ascii="Times New Roman"/>
            <w:color w:val="002060"/>
            <w:sz w:val="20"/>
            <w:szCs w:val="20"/>
          </w:rPr>
          <w:t>http://www.bls.gov/jlt/data.htm</w:t>
        </w:r>
      </w:hyperlink>
      <w:r w:rsidRPr="00ED2A5E">
        <w:rPr>
          <w:rFonts w:ascii="Times New Roman" w:eastAsia="Times New Roman"/>
          <w:sz w:val="20"/>
          <w:szCs w:val="20"/>
        </w:rPr>
        <w:t xml:space="preserve"> (Accessed November 2024</w:t>
      </w:r>
      <w:r w:rsidR="003A603D">
        <w:rPr>
          <w:rFonts w:ascii="Times New Roman" w:eastAsia="Times New Roman"/>
          <w:sz w:val="20"/>
          <w:szCs w:val="20"/>
        </w:rPr>
        <w:t>.</w:t>
      </w:r>
      <w:r w:rsidRPr="00ED2A5E">
        <w:rPr>
          <w:rFonts w:ascii="Times New Roman" w:eastAsia="Times New Roman"/>
          <w:sz w:val="20"/>
          <w:szCs w:val="20"/>
        </w:rPr>
        <w:t>).</w:t>
      </w:r>
      <w:r w:rsidR="00470C0F">
        <w:rPr>
          <w:sz w:val="18"/>
          <w:szCs w:val="18"/>
        </w:rPr>
        <w:t xml:space="preserve"> </w:t>
      </w:r>
    </w:p>
    <w:p w:rsidR="00687A29" w:rsidRPr="00717787" w14:paraId="7DEBB911" w14:textId="0CCABDA9">
      <w:pPr>
        <w:pStyle w:val="FootnoteText"/>
      </w:pPr>
    </w:p>
  </w:footnote>
  <w:footnote w:id="8">
    <w:p w:rsidR="004A3DA1" w:rsidRPr="00832DF1" w:rsidP="001438C5" w14:paraId="1CB3300F" w14:textId="2ECAD3D2">
      <w:pPr>
        <w:pStyle w:val="FootnoteText"/>
        <w:ind w:left="90" w:firstLine="630"/>
      </w:pPr>
      <w:r w:rsidRPr="001438C5">
        <w:rPr>
          <w:rStyle w:val="FootnoteReference"/>
          <w:vertAlign w:val="superscript"/>
        </w:rPr>
        <w:footnoteRef/>
      </w:r>
      <w:r w:rsidRPr="00832DF1" w:rsidR="56E51CD7">
        <w:t xml:space="preserve"> Galson Laboratories, 2022. Sampling &amp; Analysis Guide. Available at </w:t>
      </w:r>
      <w:hyperlink r:id="rId3" w:history="1">
        <w:r w:rsidRPr="00F4234A" w:rsidR="00F4234A">
          <w:rPr>
            <w:rStyle w:val="Hyperlink"/>
          </w:rPr>
          <w:t>https://www.sgsgalson.com/sag-detail/std/Lead/7439-92-1/</w:t>
        </w:r>
      </w:hyperlink>
      <w:r w:rsidRPr="00832DF1" w:rsidR="56E51CD7">
        <w:t xml:space="preserve">(Accessed </w:t>
      </w:r>
      <w:r w:rsidR="00F4234A">
        <w:t>February</w:t>
      </w:r>
      <w:r w:rsidRPr="00832DF1" w:rsidR="56E51CD7">
        <w:t xml:space="preserve"> </w:t>
      </w:r>
      <w:r w:rsidR="00F4234A">
        <w:t>11</w:t>
      </w:r>
      <w:r w:rsidRPr="00832DF1" w:rsidR="56E51CD7">
        <w:t>, 202</w:t>
      </w:r>
      <w:r w:rsidR="00F4234A">
        <w:t>5</w:t>
      </w:r>
      <w:r w:rsidRPr="00832DF1" w:rsidR="56E51CD7">
        <w:t xml:space="preserve">). </w:t>
      </w:r>
      <w:r w:rsidR="006743A7">
        <w:t>Averaged the cost of the five lead methods (Fee Per Sample)</w:t>
      </w:r>
      <w:r w:rsidRPr="00832DF1" w:rsidR="56E51CD7">
        <w:t xml:space="preserve"> Analytical Technique – ICP/AES and Analytical Technique – ICP/MS. </w:t>
      </w:r>
    </w:p>
  </w:footnote>
  <w:footnote w:id="9">
    <w:p w:rsidR="004A3DA1" w:rsidRPr="00832DF1" w:rsidP="003B3E8F" w14:paraId="06AF1D7C" w14:textId="150354FE">
      <w:pPr>
        <w:pStyle w:val="FootnoteText"/>
        <w:spacing w:after="40"/>
        <w:ind w:left="90" w:firstLine="630"/>
      </w:pPr>
      <w:r w:rsidRPr="00607D19">
        <w:rPr>
          <w:rStyle w:val="FootnoteReference"/>
          <w:vertAlign w:val="superscript"/>
        </w:rPr>
        <w:footnoteRef/>
      </w:r>
      <w:r w:rsidRPr="00832DF1" w:rsidR="00C9768C">
        <w:t xml:space="preserve"> </w:t>
      </w:r>
      <w:r w:rsidRPr="00832DF1">
        <w:t>FAIR Health, 20</w:t>
      </w:r>
      <w:r w:rsidR="00720DA1">
        <w:t>25</w:t>
      </w:r>
      <w:r w:rsidRPr="00832DF1">
        <w:t>. Medical Costs (Lead and Protoporphyrin (metabolism substance) for zip code 22201 Arlington, VA)</w:t>
      </w:r>
      <w:r w:rsidR="00600AF9">
        <w:t>; a</w:t>
      </w:r>
      <w:r w:rsidRPr="00832DF1">
        <w:t xml:space="preserve">vailable </w:t>
      </w:r>
      <w:hyperlink r:id="rId4" w:history="1">
        <w:r w:rsidRPr="00BB4905">
          <w:rPr>
            <w:rStyle w:val="Hyperlink"/>
            <w:u w:val="none"/>
          </w:rPr>
          <w:t xml:space="preserve">at </w:t>
        </w:r>
        <w:r w:rsidRPr="00AA09DC">
          <w:rPr>
            <w:rStyle w:val="Hyperlink"/>
          </w:rPr>
          <w:t>https://www.fairhealthconsumer</w:t>
        </w:r>
      </w:hyperlink>
      <w:r w:rsidRPr="00832DF1">
        <w:rPr>
          <w:rStyle w:val="Hyperlink"/>
        </w:rPr>
        <w:t>.org/medical#</w:t>
      </w:r>
      <w:r w:rsidRPr="00832DF1">
        <w:t xml:space="preserve"> (Accessed </w:t>
      </w:r>
      <w:r w:rsidR="00720DA1">
        <w:t xml:space="preserve">February </w:t>
      </w:r>
      <w:r w:rsidR="00C749C4">
        <w:t>15, 2025</w:t>
      </w:r>
      <w:r w:rsidRPr="00832DF1">
        <w:t xml:space="preserve">). </w:t>
      </w:r>
      <w:r w:rsidRPr="00832DF1" w:rsidR="00DE16DF">
        <w:t>For calculation purposes, the agency uses in-network service costs including doctor’s fee and Hospital Outpatient Facility (HOSPF) estimate</w:t>
      </w:r>
      <w:r w:rsidRPr="00832DF1" w:rsidR="00F6350E">
        <w:t>s</w:t>
      </w:r>
      <w:r w:rsidRPr="00832DF1" w:rsidR="00DE16DF">
        <w:t xml:space="preserve"> for each procedure code. </w:t>
      </w:r>
      <w:r w:rsidRPr="00832DF1">
        <w:t>In-Network Price for Lead Level (</w:t>
      </w:r>
      <w:r w:rsidR="00DE068F">
        <w:t xml:space="preserve">search </w:t>
      </w:r>
      <w:r w:rsidRPr="00832DF1">
        <w:t xml:space="preserve">CPT Code: 83655) </w:t>
      </w:r>
      <w:r w:rsidR="00786D11">
        <w:t>is</w:t>
      </w:r>
      <w:r w:rsidRPr="00832DF1">
        <w:t xml:space="preserve"> </w:t>
      </w:r>
      <w:r w:rsidRPr="00906CE1">
        <w:t>$</w:t>
      </w:r>
      <w:r w:rsidRPr="00906CE1" w:rsidR="007B5F31">
        <w:t>9</w:t>
      </w:r>
      <w:r w:rsidRPr="00906CE1" w:rsidR="009D6861">
        <w:t>3</w:t>
      </w:r>
      <w:r w:rsidRPr="00906CE1" w:rsidR="00C24F6E">
        <w:t>.00</w:t>
      </w:r>
      <w:r w:rsidRPr="00832DF1">
        <w:t xml:space="preserve"> and for Protoporphyrin (metabolism substance) (</w:t>
      </w:r>
      <w:r w:rsidR="00DE068F">
        <w:t xml:space="preserve">search </w:t>
      </w:r>
      <w:r w:rsidRPr="00832DF1">
        <w:t>CPT Code 84202)</w:t>
      </w:r>
      <w:r w:rsidRPr="00832DF1" w:rsidR="00F6350E">
        <w:t>,</w:t>
      </w:r>
      <w:r w:rsidRPr="00832DF1">
        <w:t xml:space="preserve"> the cost is </w:t>
      </w:r>
      <w:r w:rsidRPr="00906CE1">
        <w:t>$</w:t>
      </w:r>
      <w:r w:rsidRPr="00906CE1" w:rsidR="009D6861">
        <w:t>105.00</w:t>
      </w:r>
      <w:r w:rsidRPr="00906CE1">
        <w:t>.</w:t>
      </w:r>
      <w:r w:rsidRPr="00832DF1">
        <w:t xml:space="preserve"> </w:t>
      </w:r>
    </w:p>
  </w:footnote>
  <w:footnote w:id="10">
    <w:p w:rsidR="004A3DA1" w:rsidRPr="00832DF1" w:rsidP="00213AF7" w14:paraId="6F64C699" w14:textId="1D13FD19">
      <w:pPr>
        <w:pStyle w:val="FootnoteText"/>
        <w:ind w:left="90" w:firstLine="630"/>
      </w:pPr>
      <w:r w:rsidRPr="001438C5">
        <w:rPr>
          <w:rStyle w:val="FootnoteReference"/>
          <w:vertAlign w:val="superscript"/>
        </w:rPr>
        <w:footnoteRef/>
      </w:r>
      <w:r w:rsidRPr="00832DF1">
        <w:t xml:space="preserve"> </w:t>
      </w:r>
      <w:r w:rsidR="00BE34DF">
        <w:t>Upon further re</w:t>
      </w:r>
      <w:r w:rsidR="00202AB0">
        <w:t>view</w:t>
      </w:r>
      <w:r w:rsidR="00127C0A">
        <w:t xml:space="preserve"> of the 2023 ICR</w:t>
      </w:r>
      <w:r w:rsidR="00202AB0">
        <w:t xml:space="preserve">, </w:t>
      </w:r>
      <w:r w:rsidR="004569E3">
        <w:t>the agency identifie</w:t>
      </w:r>
      <w:r w:rsidR="001A61D2">
        <w:t xml:space="preserve">d </w:t>
      </w:r>
      <w:r w:rsidR="00D9792F">
        <w:t>a</w:t>
      </w:r>
      <w:r w:rsidR="001A61D2">
        <w:t xml:space="preserve"> miscalculation in the </w:t>
      </w:r>
      <w:r w:rsidR="00C51361">
        <w:t>inflat</w:t>
      </w:r>
      <w:r w:rsidR="00D9792F">
        <w:t xml:space="preserve">ion rate </w:t>
      </w:r>
      <w:r w:rsidRPr="00993BAA" w:rsidR="00993BAA">
        <w:t>f</w:t>
      </w:r>
      <w:r w:rsidR="00EA4CDF">
        <w:t>or the</w:t>
      </w:r>
      <w:r w:rsidRPr="00993BAA" w:rsidR="00993BAA">
        <w:t xml:space="preserve"> CPI medical care services. </w:t>
      </w:r>
      <w:r w:rsidR="00776137">
        <w:t xml:space="preserve">The </w:t>
      </w:r>
      <w:r w:rsidR="0054323B">
        <w:t xml:space="preserve">correct </w:t>
      </w:r>
      <w:r w:rsidR="00F73C52">
        <w:t>estimate</w:t>
      </w:r>
      <w:r w:rsidR="0054323B">
        <w:t xml:space="preserve"> for the</w:t>
      </w:r>
      <w:r w:rsidR="00F73C52">
        <w:t xml:space="preserve"> </w:t>
      </w:r>
      <w:r w:rsidR="005D7238">
        <w:t>inflation</w:t>
      </w:r>
      <w:r w:rsidRPr="00993BAA" w:rsidR="00993BAA">
        <w:t xml:space="preserve"> </w:t>
      </w:r>
      <w:r w:rsidR="008D690D">
        <w:t>indicates</w:t>
      </w:r>
      <w:r w:rsidR="00FB39BA">
        <w:t xml:space="preserve"> a</w:t>
      </w:r>
      <w:r w:rsidRPr="00993BAA" w:rsidR="00993BAA">
        <w:t xml:space="preserve"> 13.1% increase between 2017 and 2021 in medical examination costs from $298 to $337</w:t>
      </w:r>
      <w:r w:rsidR="00FB39BA">
        <w:t xml:space="preserve">, not </w:t>
      </w:r>
      <w:r w:rsidR="007B719D">
        <w:t>the</w:t>
      </w:r>
      <w:r w:rsidRPr="00993BAA" w:rsidR="00993BAA">
        <w:t xml:space="preserve"> deflated by 3.3% to $288. </w:t>
      </w:r>
      <w:r w:rsidR="00AF513F">
        <w:t>Based on th</w:t>
      </w:r>
      <w:r w:rsidR="00E54DFB">
        <w:t>is information, t</w:t>
      </w:r>
      <w:r w:rsidRPr="00993BAA" w:rsidR="00993BAA">
        <w:t>h</w:t>
      </w:r>
      <w:r w:rsidR="000822CA">
        <w:t>e current cost of medical ex</w:t>
      </w:r>
      <w:r w:rsidR="009A125C">
        <w:t xml:space="preserve">ams </w:t>
      </w:r>
      <w:r w:rsidR="0035298D">
        <w:t>is</w:t>
      </w:r>
      <w:r w:rsidRPr="00993BAA" w:rsidR="00993BAA">
        <w:t xml:space="preserve"> </w:t>
      </w:r>
      <w:r w:rsidRPr="00993BAA" w:rsidR="009A125C">
        <w:t>$360 given inflation of 6.9% from 2021 to 2024</w:t>
      </w:r>
      <w:r w:rsidR="00DC697C">
        <w:t xml:space="preserve"> instead of the </w:t>
      </w:r>
      <w:r w:rsidRPr="00993BAA" w:rsidR="00993BAA">
        <w:t>estimate</w:t>
      </w:r>
      <w:r w:rsidR="00DC697C">
        <w:t>d rat</w:t>
      </w:r>
      <w:r w:rsidR="00842470">
        <w:t>e</w:t>
      </w:r>
      <w:r w:rsidRPr="00993BAA" w:rsidR="00993BAA">
        <w:t xml:space="preserve"> of $308.</w:t>
      </w:r>
    </w:p>
    <w:p w:rsidR="004A3DA1" w:rsidP="00606D2D" w14:paraId="44AA7823" w14:textId="77777777">
      <w:pPr>
        <w:pStyle w:val="FootnoteText"/>
        <w:ind w:left="90" w:firstLine="63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FE8" w14:paraId="038ED2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4D4" w:rsidP="00732B50" w14:paraId="341BC0BE" w14:textId="77777777">
    <w:pPr>
      <w:pStyle w:val="Header"/>
      <w:rPr>
        <w:rFonts w:ascii="Times New Roman"/>
        <w:b/>
        <w:bCs/>
        <w:sz w:val="22"/>
        <w:szCs w:val="22"/>
      </w:rPr>
    </w:pPr>
  </w:p>
  <w:p w:rsidR="00A354D4" w:rsidRPr="00470349" w:rsidP="00732B50" w14:paraId="6365A869" w14:textId="34B589B5">
    <w:pPr>
      <w:pStyle w:val="Header"/>
      <w:rPr>
        <w:rFonts w:ascii="Times New Roman" w:eastAsia="Times New Roman"/>
        <w:b/>
        <w:bCs/>
        <w:color w:val="000000" w:themeColor="text1"/>
        <w:kern w:val="28"/>
        <w:sz w:val="22"/>
        <w:szCs w:val="22"/>
      </w:rPr>
    </w:pPr>
    <w:r w:rsidRPr="00470349">
      <w:rPr>
        <w:rFonts w:ascii="Times New Roman"/>
        <w:b/>
        <w:bCs/>
        <w:sz w:val="22"/>
        <w:szCs w:val="22"/>
      </w:rPr>
      <w:t>LEAD IN GENERAL INDUSTRY STANDARD (29 CFR 1910.1025)</w:t>
    </w:r>
  </w:p>
  <w:p w:rsidR="00FC0CD2" w:rsidRPr="00470349" w:rsidP="00732B50" w14:paraId="2A772315" w14:textId="5A8BC579">
    <w:pPr>
      <w:pStyle w:val="Header"/>
      <w:rPr>
        <w:rFonts w:ascii="Times New Roman" w:eastAsia="Times New Roman"/>
        <w:b/>
        <w:bCs/>
        <w:color w:val="000000" w:themeColor="text1"/>
        <w:kern w:val="28"/>
        <w:sz w:val="22"/>
        <w:szCs w:val="22"/>
      </w:rPr>
    </w:pPr>
    <w:r w:rsidRPr="00470349">
      <w:rPr>
        <w:rFonts w:ascii="Times New Roman" w:eastAsia="Times New Roman"/>
        <w:b/>
        <w:bCs/>
        <w:color w:val="000000" w:themeColor="text1"/>
        <w:kern w:val="28"/>
        <w:sz w:val="22"/>
        <w:szCs w:val="22"/>
      </w:rPr>
      <w:t xml:space="preserve">OMB Control </w:t>
    </w:r>
    <w:r w:rsidRPr="00470349" w:rsidR="00BC3A51">
      <w:rPr>
        <w:rFonts w:ascii="Times New Roman" w:eastAsia="Times New Roman"/>
        <w:b/>
        <w:bCs/>
        <w:color w:val="000000" w:themeColor="text1"/>
        <w:kern w:val="28"/>
        <w:sz w:val="22"/>
        <w:szCs w:val="22"/>
      </w:rPr>
      <w:t>Number</w:t>
    </w:r>
    <w:r w:rsidR="003C7B8F">
      <w:rPr>
        <w:rFonts w:ascii="Times New Roman" w:eastAsia="Times New Roman"/>
        <w:b/>
        <w:bCs/>
        <w:color w:val="000000" w:themeColor="text1"/>
        <w:kern w:val="28"/>
        <w:sz w:val="22"/>
        <w:szCs w:val="22"/>
      </w:rPr>
      <w:t>:</w:t>
    </w:r>
    <w:r w:rsidRPr="00470349">
      <w:rPr>
        <w:rFonts w:ascii="Times New Roman" w:eastAsia="Times New Roman"/>
        <w:b/>
        <w:bCs/>
        <w:color w:val="000000" w:themeColor="text1"/>
        <w:kern w:val="28"/>
        <w:sz w:val="22"/>
        <w:szCs w:val="22"/>
      </w:rPr>
      <w:t xml:space="preserve"> 1218-0092</w:t>
    </w:r>
  </w:p>
  <w:p w:rsidR="008166BD" w:rsidP="00732B50" w14:paraId="1B1E2B48" w14:textId="7AA34A66">
    <w:pPr>
      <w:pStyle w:val="Header"/>
      <w:rPr>
        <w:rFonts w:ascii="Times New Roman" w:eastAsia="Times New Roman"/>
        <w:b/>
        <w:bCs/>
        <w:color w:val="000000" w:themeColor="text1"/>
        <w:kern w:val="28"/>
        <w:sz w:val="22"/>
        <w:szCs w:val="22"/>
      </w:rPr>
    </w:pPr>
    <w:r w:rsidRPr="00470349">
      <w:rPr>
        <w:rFonts w:ascii="Times New Roman" w:eastAsia="Times New Roman"/>
        <w:b/>
        <w:bCs/>
        <w:color w:val="000000" w:themeColor="text1"/>
        <w:kern w:val="28"/>
        <w:sz w:val="22"/>
        <w:szCs w:val="22"/>
      </w:rPr>
      <w:t xml:space="preserve">Expiration Date: </w:t>
    </w:r>
    <w:r w:rsidRPr="00470349" w:rsidR="00F61DF8">
      <w:rPr>
        <w:rFonts w:ascii="Times New Roman" w:eastAsia="Times New Roman"/>
        <w:b/>
        <w:bCs/>
        <w:color w:val="000000" w:themeColor="text1"/>
        <w:kern w:val="28"/>
        <w:sz w:val="22"/>
        <w:szCs w:val="22"/>
      </w:rPr>
      <w:t xml:space="preserve">April </w:t>
    </w:r>
    <w:r w:rsidRPr="00470349" w:rsidR="006E5DD2">
      <w:rPr>
        <w:rFonts w:ascii="Times New Roman" w:eastAsia="Times New Roman"/>
        <w:b/>
        <w:bCs/>
        <w:color w:val="000000" w:themeColor="text1"/>
        <w:kern w:val="28"/>
        <w:sz w:val="22"/>
        <w:szCs w:val="22"/>
      </w:rPr>
      <w:t xml:space="preserve">30, </w:t>
    </w:r>
    <w:r w:rsidRPr="00470349" w:rsidR="009E7ED5">
      <w:rPr>
        <w:rFonts w:ascii="Times New Roman" w:eastAsia="Times New Roman"/>
        <w:b/>
        <w:bCs/>
        <w:color w:val="000000" w:themeColor="text1"/>
        <w:kern w:val="28"/>
        <w:sz w:val="22"/>
        <w:szCs w:val="22"/>
      </w:rPr>
      <w:t>202</w:t>
    </w:r>
    <w:r w:rsidR="009E7ED5">
      <w:rPr>
        <w:rFonts w:ascii="Times New Roman" w:eastAsia="Times New Roman"/>
        <w:b/>
        <w:bCs/>
        <w:color w:val="000000" w:themeColor="text1"/>
        <w:kern w:val="28"/>
        <w:sz w:val="22"/>
        <w:szCs w:val="22"/>
      </w:rPr>
      <w:t>6</w:t>
    </w:r>
  </w:p>
  <w:p w:rsidR="00677A80" w:rsidRPr="00470349" w:rsidP="00732B50" w14:paraId="54DF62EA" w14:textId="77777777">
    <w:pPr>
      <w:pStyle w:val="Header"/>
      <w:rPr>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FE8" w14:paraId="71F366B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732" w:rsidP="009F6C39" w14:paraId="22828C77" w14:textId="77777777">
    <w:pPr>
      <w:pStyle w:val="Header"/>
      <w:rPr>
        <w:rFonts w:ascii="Times New Roman"/>
        <w:b/>
        <w:bCs/>
        <w:sz w:val="22"/>
        <w:szCs w:val="22"/>
      </w:rPr>
    </w:pPr>
    <w:bookmarkStart w:id="5" w:name="_Hlk190076422"/>
    <w:r w:rsidRPr="00EA6552">
      <w:rPr>
        <w:rFonts w:ascii="Times New Roman"/>
        <w:b/>
        <w:bCs/>
        <w:sz w:val="22"/>
        <w:szCs w:val="22"/>
      </w:rPr>
      <w:t>LEAD IN GENERAL INDUSTRY STANDARD (29 CFR 1910.1025)</w:t>
    </w:r>
  </w:p>
  <w:p w:rsidR="009F6C39" w:rsidRPr="00EA6552" w:rsidP="009F6C39" w14:paraId="2A2C8608" w14:textId="762F6FCF">
    <w:pPr>
      <w:pStyle w:val="Header"/>
      <w:rPr>
        <w:rFonts w:ascii="Times New Roman" w:eastAsia="Times New Roman"/>
        <w:b/>
        <w:bCs/>
        <w:color w:val="000000" w:themeColor="text1"/>
        <w:kern w:val="28"/>
        <w:sz w:val="22"/>
        <w:szCs w:val="22"/>
      </w:rPr>
    </w:pPr>
    <w:r w:rsidRPr="00EA6552">
      <w:rPr>
        <w:rFonts w:ascii="Times New Roman" w:eastAsia="Times New Roman"/>
        <w:b/>
        <w:bCs/>
        <w:color w:val="000000" w:themeColor="text1"/>
        <w:kern w:val="28"/>
        <w:sz w:val="22"/>
        <w:szCs w:val="22"/>
      </w:rPr>
      <w:t xml:space="preserve">OMB Control </w:t>
    </w:r>
    <w:r w:rsidRPr="00EA6552" w:rsidR="00E37F6E">
      <w:rPr>
        <w:rFonts w:ascii="Times New Roman" w:eastAsia="Times New Roman"/>
        <w:b/>
        <w:bCs/>
        <w:color w:val="000000" w:themeColor="text1"/>
        <w:kern w:val="28"/>
        <w:sz w:val="22"/>
        <w:szCs w:val="22"/>
      </w:rPr>
      <w:t>Number</w:t>
    </w:r>
    <w:r w:rsidR="004B348A">
      <w:rPr>
        <w:rFonts w:ascii="Times New Roman" w:eastAsia="Times New Roman"/>
        <w:b/>
        <w:bCs/>
        <w:color w:val="000000" w:themeColor="text1"/>
        <w:kern w:val="28"/>
        <w:sz w:val="22"/>
        <w:szCs w:val="22"/>
      </w:rPr>
      <w:t>:</w:t>
    </w:r>
    <w:r w:rsidRPr="00EA6552">
      <w:rPr>
        <w:rFonts w:ascii="Times New Roman" w:eastAsia="Times New Roman"/>
        <w:b/>
        <w:bCs/>
        <w:color w:val="000000" w:themeColor="text1"/>
        <w:kern w:val="28"/>
        <w:sz w:val="22"/>
        <w:szCs w:val="22"/>
      </w:rPr>
      <w:t xml:space="preserve"> 1218-0092</w:t>
    </w:r>
  </w:p>
  <w:p w:rsidR="00A354D4" w:rsidRPr="004A2AAC" w:rsidP="009F6C39" w14:paraId="10BFB4D8" w14:textId="35F50AB6">
    <w:pPr>
      <w:pStyle w:val="Header"/>
      <w:rPr>
        <w:rFonts w:ascii="Times New Roman" w:eastAsia="Times New Roman"/>
        <w:color w:val="000000" w:themeColor="text1"/>
        <w:kern w:val="28"/>
        <w:sz w:val="20"/>
        <w:szCs w:val="20"/>
      </w:rPr>
    </w:pPr>
    <w:r w:rsidRPr="00EA6552">
      <w:rPr>
        <w:rFonts w:ascii="Times New Roman" w:eastAsia="Times New Roman"/>
        <w:b/>
        <w:bCs/>
        <w:color w:val="000000" w:themeColor="text1"/>
        <w:kern w:val="28"/>
        <w:sz w:val="22"/>
        <w:szCs w:val="22"/>
      </w:rPr>
      <w:t>Expiration Date: April 30, 202</w:t>
    </w:r>
    <w:r w:rsidR="00F40169">
      <w:rPr>
        <w:rFonts w:ascii="Times New Roman" w:eastAsia="Times New Roman"/>
        <w:b/>
        <w:bCs/>
        <w:color w:val="000000" w:themeColor="text1"/>
        <w:kern w:val="28"/>
        <w:sz w:val="22"/>
        <w:szCs w:val="22"/>
      </w:rPr>
      <w:t>6</w:t>
    </w:r>
  </w:p>
  <w:bookmarkEnd w:id="5"/>
  <w:p w:rsidR="00B07EA6" w:rsidRPr="00020B6F" w:rsidP="00732B50" w14:paraId="07FFE540" w14:textId="6DDC95B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1">
    <w:nsid w:val="00000002"/>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2">
    <w:nsid w:val="00000003"/>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3">
    <w:nsid w:val="00000004"/>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4">
    <w:nsid w:val="00000005"/>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5">
    <w:nsid w:val="00000006"/>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6">
    <w:nsid w:val="00000007"/>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7">
    <w:nsid w:val="00000008"/>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8">
    <w:nsid w:val="083A36BE"/>
    <w:multiLevelType w:val="multilevel"/>
    <w:tmpl w:val="C080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CD1EC6"/>
    <w:multiLevelType w:val="hybridMultilevel"/>
    <w:tmpl w:val="A5460A44"/>
    <w:lvl w:ilvl="0">
      <w:start w:val="1"/>
      <w:numFmt w:val="bullet"/>
      <w:lvlText w:val=""/>
      <w:lvlJc w:val="left"/>
      <w:pPr>
        <w:tabs>
          <w:tab w:val="num" w:pos="1680"/>
        </w:tabs>
        <w:ind w:left="1680" w:hanging="360"/>
      </w:pPr>
      <w:rPr>
        <w:rFonts w:ascii="Symbol" w:hAnsi="Symbol" w:hint="default"/>
      </w:rPr>
    </w:lvl>
    <w:lvl w:ilvl="1" w:tentative="1">
      <w:start w:val="1"/>
      <w:numFmt w:val="bullet"/>
      <w:lvlText w:val="o"/>
      <w:lvlJc w:val="left"/>
      <w:pPr>
        <w:tabs>
          <w:tab w:val="num" w:pos="2400"/>
        </w:tabs>
        <w:ind w:left="2400" w:hanging="360"/>
      </w:pPr>
      <w:rPr>
        <w:rFonts w:ascii="Courier New" w:hAnsi="Courier New" w:cs="Wingdings" w:hint="default"/>
      </w:rPr>
    </w:lvl>
    <w:lvl w:ilvl="2" w:tentative="1">
      <w:start w:val="1"/>
      <w:numFmt w:val="bullet"/>
      <w:lvlText w:val=""/>
      <w:lvlJc w:val="left"/>
      <w:pPr>
        <w:tabs>
          <w:tab w:val="num" w:pos="3120"/>
        </w:tabs>
        <w:ind w:left="3120" w:hanging="360"/>
      </w:pPr>
      <w:rPr>
        <w:rFonts w:ascii="Wingdings" w:hAnsi="Wingdings" w:hint="default"/>
      </w:rPr>
    </w:lvl>
    <w:lvl w:ilvl="3" w:tentative="1">
      <w:start w:val="1"/>
      <w:numFmt w:val="bullet"/>
      <w:lvlText w:val=""/>
      <w:lvlJc w:val="left"/>
      <w:pPr>
        <w:tabs>
          <w:tab w:val="num" w:pos="3840"/>
        </w:tabs>
        <w:ind w:left="3840" w:hanging="360"/>
      </w:pPr>
      <w:rPr>
        <w:rFonts w:ascii="Symbol" w:hAnsi="Symbol" w:hint="default"/>
      </w:rPr>
    </w:lvl>
    <w:lvl w:ilvl="4" w:tentative="1">
      <w:start w:val="1"/>
      <w:numFmt w:val="bullet"/>
      <w:lvlText w:val="o"/>
      <w:lvlJc w:val="left"/>
      <w:pPr>
        <w:tabs>
          <w:tab w:val="num" w:pos="4560"/>
        </w:tabs>
        <w:ind w:left="4560" w:hanging="360"/>
      </w:pPr>
      <w:rPr>
        <w:rFonts w:ascii="Courier New" w:hAnsi="Courier New" w:cs="Wingdings" w:hint="default"/>
      </w:rPr>
    </w:lvl>
    <w:lvl w:ilvl="5" w:tentative="1">
      <w:start w:val="1"/>
      <w:numFmt w:val="bullet"/>
      <w:lvlText w:val=""/>
      <w:lvlJc w:val="left"/>
      <w:pPr>
        <w:tabs>
          <w:tab w:val="num" w:pos="5280"/>
        </w:tabs>
        <w:ind w:left="5280" w:hanging="360"/>
      </w:pPr>
      <w:rPr>
        <w:rFonts w:ascii="Wingdings" w:hAnsi="Wingdings" w:hint="default"/>
      </w:rPr>
    </w:lvl>
    <w:lvl w:ilvl="6" w:tentative="1">
      <w:start w:val="1"/>
      <w:numFmt w:val="bullet"/>
      <w:lvlText w:val=""/>
      <w:lvlJc w:val="left"/>
      <w:pPr>
        <w:tabs>
          <w:tab w:val="num" w:pos="6000"/>
        </w:tabs>
        <w:ind w:left="6000" w:hanging="360"/>
      </w:pPr>
      <w:rPr>
        <w:rFonts w:ascii="Symbol" w:hAnsi="Symbol" w:hint="default"/>
      </w:rPr>
    </w:lvl>
    <w:lvl w:ilvl="7" w:tentative="1">
      <w:start w:val="1"/>
      <w:numFmt w:val="bullet"/>
      <w:lvlText w:val="o"/>
      <w:lvlJc w:val="left"/>
      <w:pPr>
        <w:tabs>
          <w:tab w:val="num" w:pos="6720"/>
        </w:tabs>
        <w:ind w:left="6720" w:hanging="360"/>
      </w:pPr>
      <w:rPr>
        <w:rFonts w:ascii="Courier New" w:hAnsi="Courier New" w:cs="Wingdings" w:hint="default"/>
      </w:rPr>
    </w:lvl>
    <w:lvl w:ilvl="8" w:tentative="1">
      <w:start w:val="1"/>
      <w:numFmt w:val="bullet"/>
      <w:lvlText w:val=""/>
      <w:lvlJc w:val="left"/>
      <w:pPr>
        <w:tabs>
          <w:tab w:val="num" w:pos="7440"/>
        </w:tabs>
        <w:ind w:left="7440" w:hanging="360"/>
      </w:pPr>
      <w:rPr>
        <w:rFonts w:ascii="Wingdings" w:hAnsi="Wingdings" w:hint="default"/>
      </w:rPr>
    </w:lvl>
  </w:abstractNum>
  <w:abstractNum w:abstractNumId="10">
    <w:nsid w:val="0B6F43D4"/>
    <w:multiLevelType w:val="hybridMultilevel"/>
    <w:tmpl w:val="4030E538"/>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1FF1EEA"/>
    <w:multiLevelType w:val="hybridMultilevel"/>
    <w:tmpl w:val="FF7E3330"/>
    <w:lvl w:ilvl="0">
      <w:start w:val="1"/>
      <w:numFmt w:val="bullet"/>
      <w:lvlText w:val=""/>
      <w:lvlJc w:val="left"/>
      <w:pPr>
        <w:tabs>
          <w:tab w:val="num" w:pos="1560"/>
        </w:tabs>
        <w:ind w:left="1560" w:hanging="600"/>
      </w:pPr>
      <w:rPr>
        <w:rFonts w:ascii="Symbol" w:hAnsi="Symbol" w:hint="default"/>
      </w:rPr>
    </w:lvl>
    <w:lvl w:ilvl="1">
      <w:start w:val="0"/>
      <w:numFmt w:val="bullet"/>
      <w:lvlText w:val="-"/>
      <w:lvlJc w:val="left"/>
      <w:pPr>
        <w:ind w:left="2280" w:hanging="600"/>
      </w:pPr>
      <w:rPr>
        <w:rFonts w:ascii="Times New Roman" w:eastAsia="@MS Mincho" w:hAnsi="Times New Roman" w:cs="Times New Roman" w:hint="default"/>
      </w:rPr>
    </w:lvl>
    <w:lvl w:ilvl="2" w:tentative="1">
      <w:start w:val="1"/>
      <w:numFmt w:val="bullet"/>
      <w:lvlText w:val=""/>
      <w:lvlJc w:val="left"/>
      <w:pPr>
        <w:tabs>
          <w:tab w:val="num" w:pos="2760"/>
        </w:tabs>
        <w:ind w:left="2760" w:hanging="360"/>
      </w:pPr>
      <w:rPr>
        <w:rFonts w:ascii="Wingdings" w:hAnsi="Wingdings" w:hint="default"/>
      </w:rPr>
    </w:lvl>
    <w:lvl w:ilvl="3" w:tentative="1">
      <w:start w:val="1"/>
      <w:numFmt w:val="bullet"/>
      <w:lvlText w:val=""/>
      <w:lvlJc w:val="left"/>
      <w:pPr>
        <w:tabs>
          <w:tab w:val="num" w:pos="3480"/>
        </w:tabs>
        <w:ind w:left="3480" w:hanging="360"/>
      </w:pPr>
      <w:rPr>
        <w:rFonts w:ascii="Symbol" w:hAnsi="Symbol" w:hint="default"/>
      </w:rPr>
    </w:lvl>
    <w:lvl w:ilvl="4" w:tentative="1">
      <w:start w:val="1"/>
      <w:numFmt w:val="bullet"/>
      <w:lvlText w:val="o"/>
      <w:lvlJc w:val="left"/>
      <w:pPr>
        <w:tabs>
          <w:tab w:val="num" w:pos="4200"/>
        </w:tabs>
        <w:ind w:left="4200" w:hanging="360"/>
      </w:pPr>
      <w:rPr>
        <w:rFonts w:ascii="Courier New" w:hAnsi="Courier New" w:cs="Wingdings" w:hint="default"/>
      </w:rPr>
    </w:lvl>
    <w:lvl w:ilvl="5" w:tentative="1">
      <w:start w:val="1"/>
      <w:numFmt w:val="bullet"/>
      <w:lvlText w:val=""/>
      <w:lvlJc w:val="left"/>
      <w:pPr>
        <w:tabs>
          <w:tab w:val="num" w:pos="4920"/>
        </w:tabs>
        <w:ind w:left="4920" w:hanging="360"/>
      </w:pPr>
      <w:rPr>
        <w:rFonts w:ascii="Wingdings" w:hAnsi="Wingdings" w:hint="default"/>
      </w:rPr>
    </w:lvl>
    <w:lvl w:ilvl="6" w:tentative="1">
      <w:start w:val="1"/>
      <w:numFmt w:val="bullet"/>
      <w:lvlText w:val=""/>
      <w:lvlJc w:val="left"/>
      <w:pPr>
        <w:tabs>
          <w:tab w:val="num" w:pos="5640"/>
        </w:tabs>
        <w:ind w:left="5640" w:hanging="360"/>
      </w:pPr>
      <w:rPr>
        <w:rFonts w:ascii="Symbol" w:hAnsi="Symbol" w:hint="default"/>
      </w:rPr>
    </w:lvl>
    <w:lvl w:ilvl="7" w:tentative="1">
      <w:start w:val="1"/>
      <w:numFmt w:val="bullet"/>
      <w:lvlText w:val="o"/>
      <w:lvlJc w:val="left"/>
      <w:pPr>
        <w:tabs>
          <w:tab w:val="num" w:pos="6360"/>
        </w:tabs>
        <w:ind w:left="6360" w:hanging="360"/>
      </w:pPr>
      <w:rPr>
        <w:rFonts w:ascii="Courier New" w:hAnsi="Courier New" w:cs="Wingdings" w:hint="default"/>
      </w:rPr>
    </w:lvl>
    <w:lvl w:ilvl="8" w:tentative="1">
      <w:start w:val="1"/>
      <w:numFmt w:val="bullet"/>
      <w:lvlText w:val=""/>
      <w:lvlJc w:val="left"/>
      <w:pPr>
        <w:tabs>
          <w:tab w:val="num" w:pos="7080"/>
        </w:tabs>
        <w:ind w:left="7080" w:hanging="360"/>
      </w:pPr>
      <w:rPr>
        <w:rFonts w:ascii="Wingdings" w:hAnsi="Wingdings" w:hint="default"/>
      </w:rPr>
    </w:lvl>
  </w:abstractNum>
  <w:abstractNum w:abstractNumId="12">
    <w:nsid w:val="12B13448"/>
    <w:multiLevelType w:val="multilevel"/>
    <w:tmpl w:val="C364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DE2F5C"/>
    <w:multiLevelType w:val="multilevel"/>
    <w:tmpl w:val="1C2C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1A1BE3"/>
    <w:multiLevelType w:val="hybridMultilevel"/>
    <w:tmpl w:val="389416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28724A54"/>
    <w:multiLevelType w:val="multilevel"/>
    <w:tmpl w:val="617AF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215F8E"/>
    <w:multiLevelType w:val="hybridMultilevel"/>
    <w:tmpl w:val="9C981486"/>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68F3A79"/>
    <w:multiLevelType w:val="multilevel"/>
    <w:tmpl w:val="0D60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F4010D"/>
    <w:multiLevelType w:val="hybridMultilevel"/>
    <w:tmpl w:val="1C22C3EA"/>
    <w:lvl w:ilvl="0">
      <w:start w:val="1"/>
      <w:numFmt w:val="bullet"/>
      <w:lvlText w:val=""/>
      <w:lvlJc w:val="left"/>
      <w:pPr>
        <w:ind w:left="1680" w:hanging="360"/>
      </w:pPr>
      <w:rPr>
        <w:rFonts w:ascii="Symbol" w:hAnsi="Symbol" w:hint="default"/>
      </w:rPr>
    </w:lvl>
    <w:lvl w:ilvl="1" w:tentative="1">
      <w:start w:val="1"/>
      <w:numFmt w:val="bullet"/>
      <w:lvlText w:val="o"/>
      <w:lvlJc w:val="left"/>
      <w:pPr>
        <w:ind w:left="2400" w:hanging="360"/>
      </w:pPr>
      <w:rPr>
        <w:rFonts w:ascii="Courier New" w:hAnsi="Courier New" w:cs="Courier New" w:hint="default"/>
      </w:rPr>
    </w:lvl>
    <w:lvl w:ilvl="2" w:tentative="1">
      <w:start w:val="1"/>
      <w:numFmt w:val="bullet"/>
      <w:lvlText w:val=""/>
      <w:lvlJc w:val="left"/>
      <w:pPr>
        <w:ind w:left="3120" w:hanging="360"/>
      </w:pPr>
      <w:rPr>
        <w:rFonts w:ascii="Wingdings" w:hAnsi="Wingdings" w:hint="default"/>
      </w:rPr>
    </w:lvl>
    <w:lvl w:ilvl="3" w:tentative="1">
      <w:start w:val="1"/>
      <w:numFmt w:val="bullet"/>
      <w:lvlText w:val=""/>
      <w:lvlJc w:val="left"/>
      <w:pPr>
        <w:ind w:left="3840" w:hanging="360"/>
      </w:pPr>
      <w:rPr>
        <w:rFonts w:ascii="Symbol" w:hAnsi="Symbol" w:hint="default"/>
      </w:rPr>
    </w:lvl>
    <w:lvl w:ilvl="4" w:tentative="1">
      <w:start w:val="1"/>
      <w:numFmt w:val="bullet"/>
      <w:lvlText w:val="o"/>
      <w:lvlJc w:val="left"/>
      <w:pPr>
        <w:ind w:left="4560" w:hanging="360"/>
      </w:pPr>
      <w:rPr>
        <w:rFonts w:ascii="Courier New" w:hAnsi="Courier New" w:cs="Courier New" w:hint="default"/>
      </w:rPr>
    </w:lvl>
    <w:lvl w:ilvl="5" w:tentative="1">
      <w:start w:val="1"/>
      <w:numFmt w:val="bullet"/>
      <w:lvlText w:val=""/>
      <w:lvlJc w:val="left"/>
      <w:pPr>
        <w:ind w:left="5280" w:hanging="360"/>
      </w:pPr>
      <w:rPr>
        <w:rFonts w:ascii="Wingdings" w:hAnsi="Wingdings" w:hint="default"/>
      </w:rPr>
    </w:lvl>
    <w:lvl w:ilvl="6" w:tentative="1">
      <w:start w:val="1"/>
      <w:numFmt w:val="bullet"/>
      <w:lvlText w:val=""/>
      <w:lvlJc w:val="left"/>
      <w:pPr>
        <w:ind w:left="6000" w:hanging="360"/>
      </w:pPr>
      <w:rPr>
        <w:rFonts w:ascii="Symbol" w:hAnsi="Symbol" w:hint="default"/>
      </w:rPr>
    </w:lvl>
    <w:lvl w:ilvl="7" w:tentative="1">
      <w:start w:val="1"/>
      <w:numFmt w:val="bullet"/>
      <w:lvlText w:val="o"/>
      <w:lvlJc w:val="left"/>
      <w:pPr>
        <w:ind w:left="6720" w:hanging="360"/>
      </w:pPr>
      <w:rPr>
        <w:rFonts w:ascii="Courier New" w:hAnsi="Courier New" w:cs="Courier New" w:hint="default"/>
      </w:rPr>
    </w:lvl>
    <w:lvl w:ilvl="8" w:tentative="1">
      <w:start w:val="1"/>
      <w:numFmt w:val="bullet"/>
      <w:lvlText w:val=""/>
      <w:lvlJc w:val="left"/>
      <w:pPr>
        <w:ind w:left="7440" w:hanging="360"/>
      </w:pPr>
      <w:rPr>
        <w:rFonts w:ascii="Wingdings" w:hAnsi="Wingdings" w:hint="default"/>
      </w:rPr>
    </w:lvl>
  </w:abstractNum>
  <w:abstractNum w:abstractNumId="19">
    <w:nsid w:val="60491702"/>
    <w:multiLevelType w:val="multilevel"/>
    <w:tmpl w:val="BF6A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563910"/>
    <w:multiLevelType w:val="hybridMultilevel"/>
    <w:tmpl w:val="12627E7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4B3B82"/>
    <w:multiLevelType w:val="multilevel"/>
    <w:tmpl w:val="49A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2E2397"/>
    <w:multiLevelType w:val="hybridMultilevel"/>
    <w:tmpl w:val="1422B0E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23">
    <w:nsid w:val="7A9F0194"/>
    <w:multiLevelType w:val="multilevel"/>
    <w:tmpl w:val="6608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643237">
    <w:abstractNumId w:val="14"/>
  </w:num>
  <w:num w:numId="2" w16cid:durableId="1618178474">
    <w:abstractNumId w:val="16"/>
  </w:num>
  <w:num w:numId="3" w16cid:durableId="1864048432">
    <w:abstractNumId w:val="9"/>
  </w:num>
  <w:num w:numId="4" w16cid:durableId="1265263206">
    <w:abstractNumId w:val="11"/>
  </w:num>
  <w:num w:numId="5" w16cid:durableId="963342048">
    <w:abstractNumId w:val="10"/>
  </w:num>
  <w:num w:numId="6" w16cid:durableId="217669425">
    <w:abstractNumId w:val="20"/>
  </w:num>
  <w:num w:numId="7" w16cid:durableId="67963078">
    <w:abstractNumId w:val="18"/>
  </w:num>
  <w:num w:numId="8" w16cid:durableId="2052730565">
    <w:abstractNumId w:val="22"/>
  </w:num>
  <w:num w:numId="9" w16cid:durableId="28071877">
    <w:abstractNumId w:val="15"/>
  </w:num>
  <w:num w:numId="10" w16cid:durableId="916011697">
    <w:abstractNumId w:val="23"/>
  </w:num>
  <w:num w:numId="11" w16cid:durableId="27725891">
    <w:abstractNumId w:val="17"/>
  </w:num>
  <w:num w:numId="12" w16cid:durableId="1071611492">
    <w:abstractNumId w:val="13"/>
  </w:num>
  <w:num w:numId="13" w16cid:durableId="1803772094">
    <w:abstractNumId w:val="19"/>
  </w:num>
  <w:num w:numId="14" w16cid:durableId="1876503765">
    <w:abstractNumId w:val="12"/>
  </w:num>
  <w:num w:numId="15" w16cid:durableId="186407651">
    <w:abstractNumId w:val="21"/>
  </w:num>
  <w:num w:numId="16" w16cid:durableId="1562011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FD"/>
    <w:rsid w:val="0000031F"/>
    <w:rsid w:val="00000F2C"/>
    <w:rsid w:val="0000119C"/>
    <w:rsid w:val="0000162F"/>
    <w:rsid w:val="00001D85"/>
    <w:rsid w:val="00001EDB"/>
    <w:rsid w:val="00002A22"/>
    <w:rsid w:val="000035FD"/>
    <w:rsid w:val="000063F9"/>
    <w:rsid w:val="000074C5"/>
    <w:rsid w:val="00007C28"/>
    <w:rsid w:val="00010074"/>
    <w:rsid w:val="000101C1"/>
    <w:rsid w:val="00011598"/>
    <w:rsid w:val="00011813"/>
    <w:rsid w:val="00011DEA"/>
    <w:rsid w:val="00012891"/>
    <w:rsid w:val="000149BF"/>
    <w:rsid w:val="000151E8"/>
    <w:rsid w:val="00016C4F"/>
    <w:rsid w:val="000172CB"/>
    <w:rsid w:val="000174BF"/>
    <w:rsid w:val="00020874"/>
    <w:rsid w:val="00020B6F"/>
    <w:rsid w:val="00020E19"/>
    <w:rsid w:val="00021124"/>
    <w:rsid w:val="000212EA"/>
    <w:rsid w:val="00021A6F"/>
    <w:rsid w:val="00021CCD"/>
    <w:rsid w:val="00022E23"/>
    <w:rsid w:val="00023164"/>
    <w:rsid w:val="00023201"/>
    <w:rsid w:val="000234C9"/>
    <w:rsid w:val="00023CE1"/>
    <w:rsid w:val="00023EDA"/>
    <w:rsid w:val="00024010"/>
    <w:rsid w:val="000246B1"/>
    <w:rsid w:val="00024B1D"/>
    <w:rsid w:val="00031DEB"/>
    <w:rsid w:val="00032296"/>
    <w:rsid w:val="000323F7"/>
    <w:rsid w:val="00032CA3"/>
    <w:rsid w:val="00034052"/>
    <w:rsid w:val="000343A5"/>
    <w:rsid w:val="000345A2"/>
    <w:rsid w:val="00034B6F"/>
    <w:rsid w:val="00035F21"/>
    <w:rsid w:val="0003650E"/>
    <w:rsid w:val="000368F9"/>
    <w:rsid w:val="00036A82"/>
    <w:rsid w:val="0003721F"/>
    <w:rsid w:val="000376B0"/>
    <w:rsid w:val="00037F3F"/>
    <w:rsid w:val="000406FB"/>
    <w:rsid w:val="00040986"/>
    <w:rsid w:val="000428D4"/>
    <w:rsid w:val="00043A96"/>
    <w:rsid w:val="00043EE1"/>
    <w:rsid w:val="000449C7"/>
    <w:rsid w:val="00044E79"/>
    <w:rsid w:val="00045D18"/>
    <w:rsid w:val="000460F5"/>
    <w:rsid w:val="0004614D"/>
    <w:rsid w:val="000470E3"/>
    <w:rsid w:val="00050143"/>
    <w:rsid w:val="0005028B"/>
    <w:rsid w:val="00050770"/>
    <w:rsid w:val="00050B60"/>
    <w:rsid w:val="00050EA7"/>
    <w:rsid w:val="00051038"/>
    <w:rsid w:val="000515CB"/>
    <w:rsid w:val="00051F2A"/>
    <w:rsid w:val="000539E0"/>
    <w:rsid w:val="00057603"/>
    <w:rsid w:val="0006016F"/>
    <w:rsid w:val="00060641"/>
    <w:rsid w:val="00060CE1"/>
    <w:rsid w:val="000610D2"/>
    <w:rsid w:val="00061C77"/>
    <w:rsid w:val="00061E5C"/>
    <w:rsid w:val="000641DF"/>
    <w:rsid w:val="0006577E"/>
    <w:rsid w:val="00065EA4"/>
    <w:rsid w:val="00066988"/>
    <w:rsid w:val="000707EC"/>
    <w:rsid w:val="000715AB"/>
    <w:rsid w:val="000715FB"/>
    <w:rsid w:val="000719EE"/>
    <w:rsid w:val="00071DDB"/>
    <w:rsid w:val="00071F2A"/>
    <w:rsid w:val="000724ED"/>
    <w:rsid w:val="00072594"/>
    <w:rsid w:val="000726CF"/>
    <w:rsid w:val="00072F0B"/>
    <w:rsid w:val="00072F68"/>
    <w:rsid w:val="000738A2"/>
    <w:rsid w:val="00073AE1"/>
    <w:rsid w:val="00073FB0"/>
    <w:rsid w:val="000744AD"/>
    <w:rsid w:val="00074785"/>
    <w:rsid w:val="000754FC"/>
    <w:rsid w:val="00075766"/>
    <w:rsid w:val="00076B72"/>
    <w:rsid w:val="00081043"/>
    <w:rsid w:val="0008143E"/>
    <w:rsid w:val="0008206B"/>
    <w:rsid w:val="000822CA"/>
    <w:rsid w:val="00082376"/>
    <w:rsid w:val="00082E8D"/>
    <w:rsid w:val="00083A47"/>
    <w:rsid w:val="00085563"/>
    <w:rsid w:val="00090DA1"/>
    <w:rsid w:val="000915BC"/>
    <w:rsid w:val="00091855"/>
    <w:rsid w:val="000923DB"/>
    <w:rsid w:val="000929F9"/>
    <w:rsid w:val="0009325E"/>
    <w:rsid w:val="00093B16"/>
    <w:rsid w:val="0009472E"/>
    <w:rsid w:val="00094921"/>
    <w:rsid w:val="0009493D"/>
    <w:rsid w:val="00095D64"/>
    <w:rsid w:val="0009618A"/>
    <w:rsid w:val="00096F2C"/>
    <w:rsid w:val="000978A4"/>
    <w:rsid w:val="000A09B1"/>
    <w:rsid w:val="000A2632"/>
    <w:rsid w:val="000A3265"/>
    <w:rsid w:val="000A3AEC"/>
    <w:rsid w:val="000A4C1B"/>
    <w:rsid w:val="000A6A9C"/>
    <w:rsid w:val="000A7356"/>
    <w:rsid w:val="000A75DD"/>
    <w:rsid w:val="000A78BE"/>
    <w:rsid w:val="000B023E"/>
    <w:rsid w:val="000B02AD"/>
    <w:rsid w:val="000B5660"/>
    <w:rsid w:val="000B70AD"/>
    <w:rsid w:val="000B76EE"/>
    <w:rsid w:val="000B7743"/>
    <w:rsid w:val="000C002B"/>
    <w:rsid w:val="000C02E1"/>
    <w:rsid w:val="000C05DE"/>
    <w:rsid w:val="000C2CF5"/>
    <w:rsid w:val="000C2D14"/>
    <w:rsid w:val="000C2FE4"/>
    <w:rsid w:val="000C36FD"/>
    <w:rsid w:val="000C458B"/>
    <w:rsid w:val="000C6378"/>
    <w:rsid w:val="000C663B"/>
    <w:rsid w:val="000C6FAD"/>
    <w:rsid w:val="000C72FA"/>
    <w:rsid w:val="000C7A9B"/>
    <w:rsid w:val="000D12D7"/>
    <w:rsid w:val="000D1F63"/>
    <w:rsid w:val="000D29B2"/>
    <w:rsid w:val="000D305B"/>
    <w:rsid w:val="000D3EFF"/>
    <w:rsid w:val="000D443C"/>
    <w:rsid w:val="000D45A7"/>
    <w:rsid w:val="000D4F0A"/>
    <w:rsid w:val="000D6461"/>
    <w:rsid w:val="000E1542"/>
    <w:rsid w:val="000E1D6B"/>
    <w:rsid w:val="000E1DAF"/>
    <w:rsid w:val="000E203D"/>
    <w:rsid w:val="000E3C55"/>
    <w:rsid w:val="000E3FFB"/>
    <w:rsid w:val="000E5652"/>
    <w:rsid w:val="000E5697"/>
    <w:rsid w:val="000E672A"/>
    <w:rsid w:val="000E7256"/>
    <w:rsid w:val="000F1905"/>
    <w:rsid w:val="000F2D40"/>
    <w:rsid w:val="000F400B"/>
    <w:rsid w:val="000F5639"/>
    <w:rsid w:val="000F5893"/>
    <w:rsid w:val="000F5C10"/>
    <w:rsid w:val="000F65D7"/>
    <w:rsid w:val="000F679A"/>
    <w:rsid w:val="000F6EA2"/>
    <w:rsid w:val="000F71B7"/>
    <w:rsid w:val="000F7D2D"/>
    <w:rsid w:val="00100979"/>
    <w:rsid w:val="00101960"/>
    <w:rsid w:val="001021FA"/>
    <w:rsid w:val="00102305"/>
    <w:rsid w:val="00102555"/>
    <w:rsid w:val="001029CB"/>
    <w:rsid w:val="00102A09"/>
    <w:rsid w:val="0010321F"/>
    <w:rsid w:val="001035EE"/>
    <w:rsid w:val="00103607"/>
    <w:rsid w:val="00104171"/>
    <w:rsid w:val="001046D9"/>
    <w:rsid w:val="00105E68"/>
    <w:rsid w:val="00107F04"/>
    <w:rsid w:val="00113EDF"/>
    <w:rsid w:val="00114920"/>
    <w:rsid w:val="0011522C"/>
    <w:rsid w:val="00115AA9"/>
    <w:rsid w:val="00115D33"/>
    <w:rsid w:val="00115F5A"/>
    <w:rsid w:val="001162F7"/>
    <w:rsid w:val="001166EE"/>
    <w:rsid w:val="001169E8"/>
    <w:rsid w:val="00116D66"/>
    <w:rsid w:val="00116FF2"/>
    <w:rsid w:val="00120497"/>
    <w:rsid w:val="00121479"/>
    <w:rsid w:val="001242BD"/>
    <w:rsid w:val="00124760"/>
    <w:rsid w:val="0012552E"/>
    <w:rsid w:val="00125809"/>
    <w:rsid w:val="00125CE2"/>
    <w:rsid w:val="00125E6E"/>
    <w:rsid w:val="00125EBA"/>
    <w:rsid w:val="00126149"/>
    <w:rsid w:val="001273BD"/>
    <w:rsid w:val="001274AB"/>
    <w:rsid w:val="00127689"/>
    <w:rsid w:val="00127C0A"/>
    <w:rsid w:val="00127F7A"/>
    <w:rsid w:val="0013023D"/>
    <w:rsid w:val="001307A6"/>
    <w:rsid w:val="00131227"/>
    <w:rsid w:val="0013419F"/>
    <w:rsid w:val="00134393"/>
    <w:rsid w:val="00134C6B"/>
    <w:rsid w:val="00134F79"/>
    <w:rsid w:val="0013594C"/>
    <w:rsid w:val="00135FE2"/>
    <w:rsid w:val="001369F1"/>
    <w:rsid w:val="00140749"/>
    <w:rsid w:val="00142721"/>
    <w:rsid w:val="00142E52"/>
    <w:rsid w:val="001433F9"/>
    <w:rsid w:val="001438C5"/>
    <w:rsid w:val="00143B92"/>
    <w:rsid w:val="00144204"/>
    <w:rsid w:val="0014450D"/>
    <w:rsid w:val="00145AA4"/>
    <w:rsid w:val="00145C67"/>
    <w:rsid w:val="0014742E"/>
    <w:rsid w:val="00147D47"/>
    <w:rsid w:val="00151508"/>
    <w:rsid w:val="00151655"/>
    <w:rsid w:val="00151ACB"/>
    <w:rsid w:val="00152B7B"/>
    <w:rsid w:val="00153613"/>
    <w:rsid w:val="0015434A"/>
    <w:rsid w:val="0015485D"/>
    <w:rsid w:val="00154C17"/>
    <w:rsid w:val="00157195"/>
    <w:rsid w:val="00157796"/>
    <w:rsid w:val="00157D78"/>
    <w:rsid w:val="00160652"/>
    <w:rsid w:val="00161CCD"/>
    <w:rsid w:val="0016326B"/>
    <w:rsid w:val="00163AC8"/>
    <w:rsid w:val="0016522C"/>
    <w:rsid w:val="0016639B"/>
    <w:rsid w:val="0016689C"/>
    <w:rsid w:val="0016739E"/>
    <w:rsid w:val="0017087C"/>
    <w:rsid w:val="001718AC"/>
    <w:rsid w:val="00174B83"/>
    <w:rsid w:val="00175B9E"/>
    <w:rsid w:val="00176439"/>
    <w:rsid w:val="001768BA"/>
    <w:rsid w:val="00176A17"/>
    <w:rsid w:val="00177324"/>
    <w:rsid w:val="00180F31"/>
    <w:rsid w:val="00181655"/>
    <w:rsid w:val="00181689"/>
    <w:rsid w:val="0018197C"/>
    <w:rsid w:val="001819D9"/>
    <w:rsid w:val="00182459"/>
    <w:rsid w:val="00190221"/>
    <w:rsid w:val="001904BE"/>
    <w:rsid w:val="00190CC4"/>
    <w:rsid w:val="00192283"/>
    <w:rsid w:val="00192401"/>
    <w:rsid w:val="001927D7"/>
    <w:rsid w:val="001928D3"/>
    <w:rsid w:val="00193156"/>
    <w:rsid w:val="001933C9"/>
    <w:rsid w:val="00193AE3"/>
    <w:rsid w:val="00194519"/>
    <w:rsid w:val="00194EDB"/>
    <w:rsid w:val="00195301"/>
    <w:rsid w:val="001954F7"/>
    <w:rsid w:val="00196EC0"/>
    <w:rsid w:val="00197372"/>
    <w:rsid w:val="001A0196"/>
    <w:rsid w:val="001A0502"/>
    <w:rsid w:val="001A1439"/>
    <w:rsid w:val="001A2025"/>
    <w:rsid w:val="001A2B5D"/>
    <w:rsid w:val="001A356A"/>
    <w:rsid w:val="001A460C"/>
    <w:rsid w:val="001A5BA4"/>
    <w:rsid w:val="001A61D2"/>
    <w:rsid w:val="001A6748"/>
    <w:rsid w:val="001A6D04"/>
    <w:rsid w:val="001A7150"/>
    <w:rsid w:val="001A7A59"/>
    <w:rsid w:val="001B0256"/>
    <w:rsid w:val="001B0562"/>
    <w:rsid w:val="001B0825"/>
    <w:rsid w:val="001B142B"/>
    <w:rsid w:val="001B1A4B"/>
    <w:rsid w:val="001B1C8E"/>
    <w:rsid w:val="001B1D92"/>
    <w:rsid w:val="001B2266"/>
    <w:rsid w:val="001B2C4A"/>
    <w:rsid w:val="001B3CC4"/>
    <w:rsid w:val="001B3E76"/>
    <w:rsid w:val="001B664E"/>
    <w:rsid w:val="001B724C"/>
    <w:rsid w:val="001B76EF"/>
    <w:rsid w:val="001B7CB6"/>
    <w:rsid w:val="001C0B5F"/>
    <w:rsid w:val="001C18E7"/>
    <w:rsid w:val="001C2B14"/>
    <w:rsid w:val="001C43CE"/>
    <w:rsid w:val="001C46EB"/>
    <w:rsid w:val="001C64DD"/>
    <w:rsid w:val="001C70FA"/>
    <w:rsid w:val="001D0F06"/>
    <w:rsid w:val="001D4F85"/>
    <w:rsid w:val="001D5330"/>
    <w:rsid w:val="001D53E4"/>
    <w:rsid w:val="001D5457"/>
    <w:rsid w:val="001D61E5"/>
    <w:rsid w:val="001D7836"/>
    <w:rsid w:val="001E0638"/>
    <w:rsid w:val="001E19AB"/>
    <w:rsid w:val="001E1DE3"/>
    <w:rsid w:val="001E2BCD"/>
    <w:rsid w:val="001E2E72"/>
    <w:rsid w:val="001E537D"/>
    <w:rsid w:val="001E6586"/>
    <w:rsid w:val="001E6B32"/>
    <w:rsid w:val="001F0664"/>
    <w:rsid w:val="001F0C0E"/>
    <w:rsid w:val="001F13D6"/>
    <w:rsid w:val="001F1DBF"/>
    <w:rsid w:val="001F27FF"/>
    <w:rsid w:val="001F2908"/>
    <w:rsid w:val="001F2C99"/>
    <w:rsid w:val="001F52D5"/>
    <w:rsid w:val="001F582E"/>
    <w:rsid w:val="001F5A0F"/>
    <w:rsid w:val="001F6976"/>
    <w:rsid w:val="001F7E33"/>
    <w:rsid w:val="002001E1"/>
    <w:rsid w:val="002009F1"/>
    <w:rsid w:val="00201B13"/>
    <w:rsid w:val="00201D6D"/>
    <w:rsid w:val="00201E31"/>
    <w:rsid w:val="00202AB0"/>
    <w:rsid w:val="00202F98"/>
    <w:rsid w:val="00203B96"/>
    <w:rsid w:val="00204158"/>
    <w:rsid w:val="00204C0B"/>
    <w:rsid w:val="00204C93"/>
    <w:rsid w:val="00205310"/>
    <w:rsid w:val="002059E4"/>
    <w:rsid w:val="002076B8"/>
    <w:rsid w:val="00207799"/>
    <w:rsid w:val="00207F63"/>
    <w:rsid w:val="00210615"/>
    <w:rsid w:val="0021064F"/>
    <w:rsid w:val="00211458"/>
    <w:rsid w:val="00212891"/>
    <w:rsid w:val="00213AF7"/>
    <w:rsid w:val="002155F7"/>
    <w:rsid w:val="0021695D"/>
    <w:rsid w:val="002202CE"/>
    <w:rsid w:val="002215D3"/>
    <w:rsid w:val="0022175E"/>
    <w:rsid w:val="002217D6"/>
    <w:rsid w:val="00222EDC"/>
    <w:rsid w:val="00223F8E"/>
    <w:rsid w:val="00224DB3"/>
    <w:rsid w:val="002250DE"/>
    <w:rsid w:val="002259AB"/>
    <w:rsid w:val="0022685C"/>
    <w:rsid w:val="00226E52"/>
    <w:rsid w:val="00227788"/>
    <w:rsid w:val="002278F9"/>
    <w:rsid w:val="002302D3"/>
    <w:rsid w:val="0023095F"/>
    <w:rsid w:val="00231866"/>
    <w:rsid w:val="00231B97"/>
    <w:rsid w:val="00231DB7"/>
    <w:rsid w:val="00233BEB"/>
    <w:rsid w:val="002342B6"/>
    <w:rsid w:val="00236AED"/>
    <w:rsid w:val="00236BF0"/>
    <w:rsid w:val="002376D0"/>
    <w:rsid w:val="00237DA9"/>
    <w:rsid w:val="0024079B"/>
    <w:rsid w:val="00240C83"/>
    <w:rsid w:val="00240EE9"/>
    <w:rsid w:val="002413B9"/>
    <w:rsid w:val="002414F6"/>
    <w:rsid w:val="00241C80"/>
    <w:rsid w:val="00242A51"/>
    <w:rsid w:val="002436D1"/>
    <w:rsid w:val="00243F66"/>
    <w:rsid w:val="002441F9"/>
    <w:rsid w:val="00245C80"/>
    <w:rsid w:val="002469F1"/>
    <w:rsid w:val="00246FAA"/>
    <w:rsid w:val="00247251"/>
    <w:rsid w:val="00247DC1"/>
    <w:rsid w:val="00247F68"/>
    <w:rsid w:val="0025011E"/>
    <w:rsid w:val="002505F5"/>
    <w:rsid w:val="00250791"/>
    <w:rsid w:val="00251855"/>
    <w:rsid w:val="0025225C"/>
    <w:rsid w:val="00252813"/>
    <w:rsid w:val="00253911"/>
    <w:rsid w:val="00253976"/>
    <w:rsid w:val="00253CD7"/>
    <w:rsid w:val="00253EA6"/>
    <w:rsid w:val="00254FC7"/>
    <w:rsid w:val="00255343"/>
    <w:rsid w:val="0025661E"/>
    <w:rsid w:val="00256DCD"/>
    <w:rsid w:val="00257C84"/>
    <w:rsid w:val="002613AD"/>
    <w:rsid w:val="00261B13"/>
    <w:rsid w:val="002622E0"/>
    <w:rsid w:val="0026249C"/>
    <w:rsid w:val="00263ACF"/>
    <w:rsid w:val="00264B52"/>
    <w:rsid w:val="00265A0C"/>
    <w:rsid w:val="002662A5"/>
    <w:rsid w:val="00267586"/>
    <w:rsid w:val="00270EE6"/>
    <w:rsid w:val="00271D80"/>
    <w:rsid w:val="00273053"/>
    <w:rsid w:val="002733F3"/>
    <w:rsid w:val="00275377"/>
    <w:rsid w:val="002768FF"/>
    <w:rsid w:val="00277696"/>
    <w:rsid w:val="002779BF"/>
    <w:rsid w:val="0028126A"/>
    <w:rsid w:val="002818EE"/>
    <w:rsid w:val="0028200F"/>
    <w:rsid w:val="002828A6"/>
    <w:rsid w:val="00283184"/>
    <w:rsid w:val="00283CD1"/>
    <w:rsid w:val="002856C1"/>
    <w:rsid w:val="002858E2"/>
    <w:rsid w:val="0028640D"/>
    <w:rsid w:val="0028673B"/>
    <w:rsid w:val="00290061"/>
    <w:rsid w:val="002910BF"/>
    <w:rsid w:val="00292F90"/>
    <w:rsid w:val="00293A1C"/>
    <w:rsid w:val="0029717B"/>
    <w:rsid w:val="002A0819"/>
    <w:rsid w:val="002A0C8E"/>
    <w:rsid w:val="002A13B4"/>
    <w:rsid w:val="002A21B2"/>
    <w:rsid w:val="002A34DF"/>
    <w:rsid w:val="002A3810"/>
    <w:rsid w:val="002A42B0"/>
    <w:rsid w:val="002A4438"/>
    <w:rsid w:val="002A4C10"/>
    <w:rsid w:val="002A4E07"/>
    <w:rsid w:val="002A5D25"/>
    <w:rsid w:val="002A620B"/>
    <w:rsid w:val="002A6DA1"/>
    <w:rsid w:val="002B0C07"/>
    <w:rsid w:val="002B2539"/>
    <w:rsid w:val="002B2E76"/>
    <w:rsid w:val="002B348F"/>
    <w:rsid w:val="002B3F3A"/>
    <w:rsid w:val="002B4FD4"/>
    <w:rsid w:val="002B50B8"/>
    <w:rsid w:val="002B5ECF"/>
    <w:rsid w:val="002B663F"/>
    <w:rsid w:val="002B797B"/>
    <w:rsid w:val="002C0CC6"/>
    <w:rsid w:val="002C1A07"/>
    <w:rsid w:val="002C1AAE"/>
    <w:rsid w:val="002C49DA"/>
    <w:rsid w:val="002C5C0E"/>
    <w:rsid w:val="002C5F18"/>
    <w:rsid w:val="002C61CA"/>
    <w:rsid w:val="002C61EA"/>
    <w:rsid w:val="002C6542"/>
    <w:rsid w:val="002C6706"/>
    <w:rsid w:val="002C6845"/>
    <w:rsid w:val="002C7A44"/>
    <w:rsid w:val="002D009B"/>
    <w:rsid w:val="002D01E2"/>
    <w:rsid w:val="002D15C9"/>
    <w:rsid w:val="002D1D59"/>
    <w:rsid w:val="002D438C"/>
    <w:rsid w:val="002D55D1"/>
    <w:rsid w:val="002D60DB"/>
    <w:rsid w:val="002D62DB"/>
    <w:rsid w:val="002D62DD"/>
    <w:rsid w:val="002D6852"/>
    <w:rsid w:val="002D6AF4"/>
    <w:rsid w:val="002D6C2D"/>
    <w:rsid w:val="002D6D45"/>
    <w:rsid w:val="002D7098"/>
    <w:rsid w:val="002D7171"/>
    <w:rsid w:val="002D749E"/>
    <w:rsid w:val="002D75F2"/>
    <w:rsid w:val="002E0765"/>
    <w:rsid w:val="002E1118"/>
    <w:rsid w:val="002E2479"/>
    <w:rsid w:val="002E2A93"/>
    <w:rsid w:val="002E3FC9"/>
    <w:rsid w:val="002E4D42"/>
    <w:rsid w:val="002E4D45"/>
    <w:rsid w:val="002E56CC"/>
    <w:rsid w:val="002E58FB"/>
    <w:rsid w:val="002E6120"/>
    <w:rsid w:val="002E61EB"/>
    <w:rsid w:val="002E6883"/>
    <w:rsid w:val="002F028F"/>
    <w:rsid w:val="002F0D2D"/>
    <w:rsid w:val="002F0D40"/>
    <w:rsid w:val="002F1779"/>
    <w:rsid w:val="002F17FE"/>
    <w:rsid w:val="002F1AF3"/>
    <w:rsid w:val="002F51F9"/>
    <w:rsid w:val="002F6081"/>
    <w:rsid w:val="002F6303"/>
    <w:rsid w:val="002F6CB7"/>
    <w:rsid w:val="00301D50"/>
    <w:rsid w:val="00301F7E"/>
    <w:rsid w:val="00303B61"/>
    <w:rsid w:val="00303F49"/>
    <w:rsid w:val="00304701"/>
    <w:rsid w:val="0030512E"/>
    <w:rsid w:val="00305B36"/>
    <w:rsid w:val="00305DC0"/>
    <w:rsid w:val="00306121"/>
    <w:rsid w:val="00306E69"/>
    <w:rsid w:val="00307D4D"/>
    <w:rsid w:val="00310D6B"/>
    <w:rsid w:val="0031126E"/>
    <w:rsid w:val="00311DDF"/>
    <w:rsid w:val="00312FE8"/>
    <w:rsid w:val="0031339E"/>
    <w:rsid w:val="003135C6"/>
    <w:rsid w:val="00313E68"/>
    <w:rsid w:val="00314908"/>
    <w:rsid w:val="00316194"/>
    <w:rsid w:val="0031636B"/>
    <w:rsid w:val="00316397"/>
    <w:rsid w:val="00316980"/>
    <w:rsid w:val="00316CD5"/>
    <w:rsid w:val="00317E68"/>
    <w:rsid w:val="00317FE3"/>
    <w:rsid w:val="003202DD"/>
    <w:rsid w:val="00320430"/>
    <w:rsid w:val="00320984"/>
    <w:rsid w:val="00321A95"/>
    <w:rsid w:val="00324F9A"/>
    <w:rsid w:val="0032523A"/>
    <w:rsid w:val="00326014"/>
    <w:rsid w:val="003272A0"/>
    <w:rsid w:val="00327DC5"/>
    <w:rsid w:val="00330966"/>
    <w:rsid w:val="00330EC4"/>
    <w:rsid w:val="00330F0E"/>
    <w:rsid w:val="00331913"/>
    <w:rsid w:val="003325A2"/>
    <w:rsid w:val="00333C3B"/>
    <w:rsid w:val="00334121"/>
    <w:rsid w:val="003345C0"/>
    <w:rsid w:val="00335A04"/>
    <w:rsid w:val="00336B1F"/>
    <w:rsid w:val="00337A32"/>
    <w:rsid w:val="003411A3"/>
    <w:rsid w:val="00341E56"/>
    <w:rsid w:val="003420EE"/>
    <w:rsid w:val="003423D9"/>
    <w:rsid w:val="00343DF7"/>
    <w:rsid w:val="00343F15"/>
    <w:rsid w:val="00345082"/>
    <w:rsid w:val="003461FA"/>
    <w:rsid w:val="003467D8"/>
    <w:rsid w:val="00346944"/>
    <w:rsid w:val="0035080F"/>
    <w:rsid w:val="00351351"/>
    <w:rsid w:val="0035298D"/>
    <w:rsid w:val="00353B71"/>
    <w:rsid w:val="00356876"/>
    <w:rsid w:val="00356B46"/>
    <w:rsid w:val="0035764D"/>
    <w:rsid w:val="00357AC8"/>
    <w:rsid w:val="00361079"/>
    <w:rsid w:val="0036116B"/>
    <w:rsid w:val="00361F48"/>
    <w:rsid w:val="0036339F"/>
    <w:rsid w:val="003640F4"/>
    <w:rsid w:val="0036475A"/>
    <w:rsid w:val="003707A9"/>
    <w:rsid w:val="003715B6"/>
    <w:rsid w:val="00371AA4"/>
    <w:rsid w:val="0037341B"/>
    <w:rsid w:val="0037390A"/>
    <w:rsid w:val="00373CE3"/>
    <w:rsid w:val="003747D6"/>
    <w:rsid w:val="00377B3A"/>
    <w:rsid w:val="00382FA5"/>
    <w:rsid w:val="00383841"/>
    <w:rsid w:val="00384344"/>
    <w:rsid w:val="00386B97"/>
    <w:rsid w:val="00390A6B"/>
    <w:rsid w:val="00390CC1"/>
    <w:rsid w:val="00391ADF"/>
    <w:rsid w:val="00393103"/>
    <w:rsid w:val="00393897"/>
    <w:rsid w:val="00393E99"/>
    <w:rsid w:val="003941BF"/>
    <w:rsid w:val="003942E4"/>
    <w:rsid w:val="00394D22"/>
    <w:rsid w:val="00396802"/>
    <w:rsid w:val="00397139"/>
    <w:rsid w:val="00397B39"/>
    <w:rsid w:val="00397F3F"/>
    <w:rsid w:val="003A218C"/>
    <w:rsid w:val="003A23B5"/>
    <w:rsid w:val="003A37DA"/>
    <w:rsid w:val="003A439A"/>
    <w:rsid w:val="003A4DD3"/>
    <w:rsid w:val="003A5FFC"/>
    <w:rsid w:val="003A603D"/>
    <w:rsid w:val="003A76FD"/>
    <w:rsid w:val="003A78EC"/>
    <w:rsid w:val="003B1F0D"/>
    <w:rsid w:val="003B3E8F"/>
    <w:rsid w:val="003B417F"/>
    <w:rsid w:val="003B41BE"/>
    <w:rsid w:val="003B42D3"/>
    <w:rsid w:val="003B45CA"/>
    <w:rsid w:val="003B559D"/>
    <w:rsid w:val="003B5EAE"/>
    <w:rsid w:val="003B6049"/>
    <w:rsid w:val="003B6231"/>
    <w:rsid w:val="003B7BAC"/>
    <w:rsid w:val="003B7E87"/>
    <w:rsid w:val="003C1B3D"/>
    <w:rsid w:val="003C3D11"/>
    <w:rsid w:val="003C4FF8"/>
    <w:rsid w:val="003C5994"/>
    <w:rsid w:val="003C5CF1"/>
    <w:rsid w:val="003C6E78"/>
    <w:rsid w:val="003C7B8F"/>
    <w:rsid w:val="003C7DF6"/>
    <w:rsid w:val="003D0935"/>
    <w:rsid w:val="003D093E"/>
    <w:rsid w:val="003D1104"/>
    <w:rsid w:val="003D1AF1"/>
    <w:rsid w:val="003D3DA2"/>
    <w:rsid w:val="003D40A3"/>
    <w:rsid w:val="003D498C"/>
    <w:rsid w:val="003D5158"/>
    <w:rsid w:val="003D57D8"/>
    <w:rsid w:val="003D7824"/>
    <w:rsid w:val="003D7BA0"/>
    <w:rsid w:val="003E1115"/>
    <w:rsid w:val="003E32D8"/>
    <w:rsid w:val="003E39AE"/>
    <w:rsid w:val="003E3F48"/>
    <w:rsid w:val="003E3FEE"/>
    <w:rsid w:val="003E4A21"/>
    <w:rsid w:val="003E4EE3"/>
    <w:rsid w:val="003E504C"/>
    <w:rsid w:val="003E695C"/>
    <w:rsid w:val="003E79E3"/>
    <w:rsid w:val="003F201E"/>
    <w:rsid w:val="003F2180"/>
    <w:rsid w:val="003F2301"/>
    <w:rsid w:val="003F2852"/>
    <w:rsid w:val="003F38DC"/>
    <w:rsid w:val="003F57A0"/>
    <w:rsid w:val="003F62FB"/>
    <w:rsid w:val="003F697D"/>
    <w:rsid w:val="00400811"/>
    <w:rsid w:val="00400BA0"/>
    <w:rsid w:val="00401435"/>
    <w:rsid w:val="00402A40"/>
    <w:rsid w:val="00403DE5"/>
    <w:rsid w:val="00405B73"/>
    <w:rsid w:val="00405CA5"/>
    <w:rsid w:val="00405F53"/>
    <w:rsid w:val="004062F3"/>
    <w:rsid w:val="00407465"/>
    <w:rsid w:val="00407695"/>
    <w:rsid w:val="004111EB"/>
    <w:rsid w:val="00413224"/>
    <w:rsid w:val="00414097"/>
    <w:rsid w:val="00415334"/>
    <w:rsid w:val="004162DE"/>
    <w:rsid w:val="00416428"/>
    <w:rsid w:val="00416B59"/>
    <w:rsid w:val="00421283"/>
    <w:rsid w:val="00421C7E"/>
    <w:rsid w:val="0042337E"/>
    <w:rsid w:val="00423690"/>
    <w:rsid w:val="00424072"/>
    <w:rsid w:val="004245F8"/>
    <w:rsid w:val="0042482A"/>
    <w:rsid w:val="00424853"/>
    <w:rsid w:val="004249E2"/>
    <w:rsid w:val="00424B94"/>
    <w:rsid w:val="00425C56"/>
    <w:rsid w:val="00425D4D"/>
    <w:rsid w:val="0042715C"/>
    <w:rsid w:val="004275E1"/>
    <w:rsid w:val="00427D5A"/>
    <w:rsid w:val="004306FF"/>
    <w:rsid w:val="00430AD8"/>
    <w:rsid w:val="004314AE"/>
    <w:rsid w:val="00431CC9"/>
    <w:rsid w:val="00432302"/>
    <w:rsid w:val="00432F6E"/>
    <w:rsid w:val="004337D5"/>
    <w:rsid w:val="00435813"/>
    <w:rsid w:val="0043634E"/>
    <w:rsid w:val="00436716"/>
    <w:rsid w:val="00437348"/>
    <w:rsid w:val="00437958"/>
    <w:rsid w:val="004415B5"/>
    <w:rsid w:val="00442102"/>
    <w:rsid w:val="00442143"/>
    <w:rsid w:val="00442620"/>
    <w:rsid w:val="004438A1"/>
    <w:rsid w:val="00443AEF"/>
    <w:rsid w:val="0044448D"/>
    <w:rsid w:val="004462A8"/>
    <w:rsid w:val="00446397"/>
    <w:rsid w:val="004468CC"/>
    <w:rsid w:val="004472DB"/>
    <w:rsid w:val="00450354"/>
    <w:rsid w:val="00450D98"/>
    <w:rsid w:val="00451CFF"/>
    <w:rsid w:val="004524C1"/>
    <w:rsid w:val="0045354F"/>
    <w:rsid w:val="00453A7F"/>
    <w:rsid w:val="00453AF6"/>
    <w:rsid w:val="00455043"/>
    <w:rsid w:val="00455BB9"/>
    <w:rsid w:val="00456615"/>
    <w:rsid w:val="004569E3"/>
    <w:rsid w:val="00456C59"/>
    <w:rsid w:val="00460A0C"/>
    <w:rsid w:val="00461DA2"/>
    <w:rsid w:val="00461FCA"/>
    <w:rsid w:val="00462751"/>
    <w:rsid w:val="004650A5"/>
    <w:rsid w:val="00465AC6"/>
    <w:rsid w:val="0046714C"/>
    <w:rsid w:val="0046783D"/>
    <w:rsid w:val="00470349"/>
    <w:rsid w:val="00470C0F"/>
    <w:rsid w:val="0047112B"/>
    <w:rsid w:val="0047241F"/>
    <w:rsid w:val="0047363E"/>
    <w:rsid w:val="00473761"/>
    <w:rsid w:val="00473F5E"/>
    <w:rsid w:val="0047448C"/>
    <w:rsid w:val="00475920"/>
    <w:rsid w:val="00480707"/>
    <w:rsid w:val="00482380"/>
    <w:rsid w:val="00482C77"/>
    <w:rsid w:val="004841E8"/>
    <w:rsid w:val="004843F6"/>
    <w:rsid w:val="004846F9"/>
    <w:rsid w:val="00484ACE"/>
    <w:rsid w:val="00486768"/>
    <w:rsid w:val="0048764D"/>
    <w:rsid w:val="00487E03"/>
    <w:rsid w:val="004906A9"/>
    <w:rsid w:val="00492757"/>
    <w:rsid w:val="004946FC"/>
    <w:rsid w:val="00495019"/>
    <w:rsid w:val="00495D76"/>
    <w:rsid w:val="004975DE"/>
    <w:rsid w:val="00497D12"/>
    <w:rsid w:val="004A2AAC"/>
    <w:rsid w:val="004A2AC0"/>
    <w:rsid w:val="004A2B0C"/>
    <w:rsid w:val="004A2DD1"/>
    <w:rsid w:val="004A331F"/>
    <w:rsid w:val="004A3DA1"/>
    <w:rsid w:val="004A40A3"/>
    <w:rsid w:val="004A40BD"/>
    <w:rsid w:val="004A5DCD"/>
    <w:rsid w:val="004A664F"/>
    <w:rsid w:val="004B0D06"/>
    <w:rsid w:val="004B1F4D"/>
    <w:rsid w:val="004B32E1"/>
    <w:rsid w:val="004B33C8"/>
    <w:rsid w:val="004B348A"/>
    <w:rsid w:val="004B411E"/>
    <w:rsid w:val="004B5D8E"/>
    <w:rsid w:val="004B60C6"/>
    <w:rsid w:val="004B7B66"/>
    <w:rsid w:val="004B7D6A"/>
    <w:rsid w:val="004C051E"/>
    <w:rsid w:val="004C1778"/>
    <w:rsid w:val="004C1DEE"/>
    <w:rsid w:val="004C3D4E"/>
    <w:rsid w:val="004C526D"/>
    <w:rsid w:val="004C6631"/>
    <w:rsid w:val="004C6910"/>
    <w:rsid w:val="004C70D2"/>
    <w:rsid w:val="004C7963"/>
    <w:rsid w:val="004C7CD5"/>
    <w:rsid w:val="004C7D08"/>
    <w:rsid w:val="004D0396"/>
    <w:rsid w:val="004D0D4D"/>
    <w:rsid w:val="004D163E"/>
    <w:rsid w:val="004D18CB"/>
    <w:rsid w:val="004D1A4E"/>
    <w:rsid w:val="004D2DA2"/>
    <w:rsid w:val="004D586C"/>
    <w:rsid w:val="004D6746"/>
    <w:rsid w:val="004D6D97"/>
    <w:rsid w:val="004D70AB"/>
    <w:rsid w:val="004D7CF4"/>
    <w:rsid w:val="004E0869"/>
    <w:rsid w:val="004E08A3"/>
    <w:rsid w:val="004E3A54"/>
    <w:rsid w:val="004E402F"/>
    <w:rsid w:val="004E496A"/>
    <w:rsid w:val="004E4C13"/>
    <w:rsid w:val="004E54B9"/>
    <w:rsid w:val="004E5FD5"/>
    <w:rsid w:val="004E7369"/>
    <w:rsid w:val="004E7E73"/>
    <w:rsid w:val="004F1937"/>
    <w:rsid w:val="004F2488"/>
    <w:rsid w:val="004F2F6E"/>
    <w:rsid w:val="004F4494"/>
    <w:rsid w:val="004F4C0E"/>
    <w:rsid w:val="004F5A54"/>
    <w:rsid w:val="004F74C3"/>
    <w:rsid w:val="005000EA"/>
    <w:rsid w:val="00500450"/>
    <w:rsid w:val="005005C9"/>
    <w:rsid w:val="00500D22"/>
    <w:rsid w:val="005017EB"/>
    <w:rsid w:val="005021F1"/>
    <w:rsid w:val="00503256"/>
    <w:rsid w:val="005064EA"/>
    <w:rsid w:val="005071FE"/>
    <w:rsid w:val="00507882"/>
    <w:rsid w:val="0051094F"/>
    <w:rsid w:val="00510DEA"/>
    <w:rsid w:val="00511072"/>
    <w:rsid w:val="005120A2"/>
    <w:rsid w:val="005127EB"/>
    <w:rsid w:val="00512A4C"/>
    <w:rsid w:val="00512DD8"/>
    <w:rsid w:val="00513128"/>
    <w:rsid w:val="00513ACE"/>
    <w:rsid w:val="00513FD1"/>
    <w:rsid w:val="0051557D"/>
    <w:rsid w:val="00515AD8"/>
    <w:rsid w:val="00515D3B"/>
    <w:rsid w:val="005161E2"/>
    <w:rsid w:val="00516ADF"/>
    <w:rsid w:val="005175E0"/>
    <w:rsid w:val="005179B7"/>
    <w:rsid w:val="00520646"/>
    <w:rsid w:val="0052092E"/>
    <w:rsid w:val="0052107C"/>
    <w:rsid w:val="00522AA8"/>
    <w:rsid w:val="005235EF"/>
    <w:rsid w:val="005242C3"/>
    <w:rsid w:val="005242F0"/>
    <w:rsid w:val="005248A5"/>
    <w:rsid w:val="0052490D"/>
    <w:rsid w:val="0052502E"/>
    <w:rsid w:val="005257CA"/>
    <w:rsid w:val="00530278"/>
    <w:rsid w:val="00530511"/>
    <w:rsid w:val="00530653"/>
    <w:rsid w:val="00531463"/>
    <w:rsid w:val="005317C7"/>
    <w:rsid w:val="005324CD"/>
    <w:rsid w:val="00533A4C"/>
    <w:rsid w:val="0053587D"/>
    <w:rsid w:val="0053668C"/>
    <w:rsid w:val="00536A98"/>
    <w:rsid w:val="0053742D"/>
    <w:rsid w:val="005376FB"/>
    <w:rsid w:val="005377D2"/>
    <w:rsid w:val="0054243B"/>
    <w:rsid w:val="0054277E"/>
    <w:rsid w:val="00542C93"/>
    <w:rsid w:val="0054323B"/>
    <w:rsid w:val="00544636"/>
    <w:rsid w:val="00544EB8"/>
    <w:rsid w:val="00545108"/>
    <w:rsid w:val="005454CB"/>
    <w:rsid w:val="00546EC8"/>
    <w:rsid w:val="005478D0"/>
    <w:rsid w:val="00547FAD"/>
    <w:rsid w:val="0055001C"/>
    <w:rsid w:val="0055067C"/>
    <w:rsid w:val="00550E3F"/>
    <w:rsid w:val="0055338A"/>
    <w:rsid w:val="0055456D"/>
    <w:rsid w:val="0055478F"/>
    <w:rsid w:val="005553CD"/>
    <w:rsid w:val="005566DC"/>
    <w:rsid w:val="00557142"/>
    <w:rsid w:val="005608B8"/>
    <w:rsid w:val="00560CF0"/>
    <w:rsid w:val="005613D8"/>
    <w:rsid w:val="0056164D"/>
    <w:rsid w:val="00561B7C"/>
    <w:rsid w:val="00561C14"/>
    <w:rsid w:val="0056292A"/>
    <w:rsid w:val="00563872"/>
    <w:rsid w:val="0056391E"/>
    <w:rsid w:val="00565E2B"/>
    <w:rsid w:val="005675D9"/>
    <w:rsid w:val="00567817"/>
    <w:rsid w:val="00567C66"/>
    <w:rsid w:val="00567E68"/>
    <w:rsid w:val="00570149"/>
    <w:rsid w:val="00570AFA"/>
    <w:rsid w:val="00572BE2"/>
    <w:rsid w:val="005731CF"/>
    <w:rsid w:val="00573F7C"/>
    <w:rsid w:val="00574289"/>
    <w:rsid w:val="00574C01"/>
    <w:rsid w:val="00575083"/>
    <w:rsid w:val="005754FE"/>
    <w:rsid w:val="00576481"/>
    <w:rsid w:val="005777B1"/>
    <w:rsid w:val="00581F52"/>
    <w:rsid w:val="005822EA"/>
    <w:rsid w:val="0058278B"/>
    <w:rsid w:val="005829CF"/>
    <w:rsid w:val="00584421"/>
    <w:rsid w:val="0058492D"/>
    <w:rsid w:val="00585399"/>
    <w:rsid w:val="00585666"/>
    <w:rsid w:val="0058726D"/>
    <w:rsid w:val="00587830"/>
    <w:rsid w:val="00590128"/>
    <w:rsid w:val="00590682"/>
    <w:rsid w:val="00590DD7"/>
    <w:rsid w:val="0059233A"/>
    <w:rsid w:val="005928DC"/>
    <w:rsid w:val="00593411"/>
    <w:rsid w:val="00594877"/>
    <w:rsid w:val="00595416"/>
    <w:rsid w:val="00595554"/>
    <w:rsid w:val="00595EE1"/>
    <w:rsid w:val="00596684"/>
    <w:rsid w:val="00596A41"/>
    <w:rsid w:val="005976D7"/>
    <w:rsid w:val="005A0A17"/>
    <w:rsid w:val="005A0DC4"/>
    <w:rsid w:val="005A117A"/>
    <w:rsid w:val="005A1664"/>
    <w:rsid w:val="005A2469"/>
    <w:rsid w:val="005A3675"/>
    <w:rsid w:val="005A3891"/>
    <w:rsid w:val="005A3E42"/>
    <w:rsid w:val="005A49EC"/>
    <w:rsid w:val="005A4C90"/>
    <w:rsid w:val="005A6F2F"/>
    <w:rsid w:val="005A744B"/>
    <w:rsid w:val="005B0CC8"/>
    <w:rsid w:val="005B1FF0"/>
    <w:rsid w:val="005B3B7C"/>
    <w:rsid w:val="005B41FC"/>
    <w:rsid w:val="005B4BA4"/>
    <w:rsid w:val="005B51D2"/>
    <w:rsid w:val="005B5575"/>
    <w:rsid w:val="005B6A16"/>
    <w:rsid w:val="005B72A1"/>
    <w:rsid w:val="005B75B0"/>
    <w:rsid w:val="005C0A4D"/>
    <w:rsid w:val="005C0AFD"/>
    <w:rsid w:val="005C16F5"/>
    <w:rsid w:val="005C1E32"/>
    <w:rsid w:val="005C238B"/>
    <w:rsid w:val="005C432C"/>
    <w:rsid w:val="005C4E74"/>
    <w:rsid w:val="005C5C81"/>
    <w:rsid w:val="005C61EF"/>
    <w:rsid w:val="005D0ABA"/>
    <w:rsid w:val="005D0B89"/>
    <w:rsid w:val="005D1658"/>
    <w:rsid w:val="005D277E"/>
    <w:rsid w:val="005D49E0"/>
    <w:rsid w:val="005D4F7F"/>
    <w:rsid w:val="005D503E"/>
    <w:rsid w:val="005D5566"/>
    <w:rsid w:val="005D7238"/>
    <w:rsid w:val="005D73E5"/>
    <w:rsid w:val="005E045B"/>
    <w:rsid w:val="005E0FFC"/>
    <w:rsid w:val="005E1820"/>
    <w:rsid w:val="005E22E7"/>
    <w:rsid w:val="005E2356"/>
    <w:rsid w:val="005E267F"/>
    <w:rsid w:val="005E2887"/>
    <w:rsid w:val="005E3285"/>
    <w:rsid w:val="005E3CD3"/>
    <w:rsid w:val="005E43ED"/>
    <w:rsid w:val="005E5C27"/>
    <w:rsid w:val="005E609B"/>
    <w:rsid w:val="005E6620"/>
    <w:rsid w:val="005E76D9"/>
    <w:rsid w:val="005E7D1D"/>
    <w:rsid w:val="005E7EEE"/>
    <w:rsid w:val="005F0AEF"/>
    <w:rsid w:val="005F2527"/>
    <w:rsid w:val="005F2A4E"/>
    <w:rsid w:val="005F4987"/>
    <w:rsid w:val="005F51A1"/>
    <w:rsid w:val="005F585C"/>
    <w:rsid w:val="005F6314"/>
    <w:rsid w:val="005F6408"/>
    <w:rsid w:val="005F6BD3"/>
    <w:rsid w:val="005F70DE"/>
    <w:rsid w:val="005F733D"/>
    <w:rsid w:val="006001F2"/>
    <w:rsid w:val="006006E4"/>
    <w:rsid w:val="00600AF9"/>
    <w:rsid w:val="006013BA"/>
    <w:rsid w:val="00601D7F"/>
    <w:rsid w:val="006028DF"/>
    <w:rsid w:val="00602F5F"/>
    <w:rsid w:val="00603346"/>
    <w:rsid w:val="006053FF"/>
    <w:rsid w:val="0060640B"/>
    <w:rsid w:val="0060644B"/>
    <w:rsid w:val="00606D2D"/>
    <w:rsid w:val="00606F5D"/>
    <w:rsid w:val="00606FB5"/>
    <w:rsid w:val="00607D19"/>
    <w:rsid w:val="00610067"/>
    <w:rsid w:val="0061035F"/>
    <w:rsid w:val="0061104D"/>
    <w:rsid w:val="006123CA"/>
    <w:rsid w:val="00613419"/>
    <w:rsid w:val="006136E9"/>
    <w:rsid w:val="00613BC8"/>
    <w:rsid w:val="00613F20"/>
    <w:rsid w:val="006143C3"/>
    <w:rsid w:val="00614F04"/>
    <w:rsid w:val="00615343"/>
    <w:rsid w:val="00616AB5"/>
    <w:rsid w:val="00616FCD"/>
    <w:rsid w:val="00617C07"/>
    <w:rsid w:val="00620334"/>
    <w:rsid w:val="00620B0E"/>
    <w:rsid w:val="00621537"/>
    <w:rsid w:val="00621BFF"/>
    <w:rsid w:val="0062226A"/>
    <w:rsid w:val="00622576"/>
    <w:rsid w:val="00623500"/>
    <w:rsid w:val="006242A7"/>
    <w:rsid w:val="006255BF"/>
    <w:rsid w:val="00626AEA"/>
    <w:rsid w:val="006270E8"/>
    <w:rsid w:val="00627EE4"/>
    <w:rsid w:val="00630401"/>
    <w:rsid w:val="00630813"/>
    <w:rsid w:val="00632210"/>
    <w:rsid w:val="00634558"/>
    <w:rsid w:val="006350EA"/>
    <w:rsid w:val="00635520"/>
    <w:rsid w:val="00636066"/>
    <w:rsid w:val="006360B2"/>
    <w:rsid w:val="006375B4"/>
    <w:rsid w:val="00644DC2"/>
    <w:rsid w:val="006451F4"/>
    <w:rsid w:val="006451FE"/>
    <w:rsid w:val="0064624F"/>
    <w:rsid w:val="00646475"/>
    <w:rsid w:val="0064764B"/>
    <w:rsid w:val="00647FE0"/>
    <w:rsid w:val="00647FFB"/>
    <w:rsid w:val="00651189"/>
    <w:rsid w:val="006514D8"/>
    <w:rsid w:val="0065152C"/>
    <w:rsid w:val="00651FC3"/>
    <w:rsid w:val="006552E4"/>
    <w:rsid w:val="0065579C"/>
    <w:rsid w:val="006602ED"/>
    <w:rsid w:val="00660B3B"/>
    <w:rsid w:val="00660BDA"/>
    <w:rsid w:val="00660DBE"/>
    <w:rsid w:val="00662712"/>
    <w:rsid w:val="00662AB8"/>
    <w:rsid w:val="00663966"/>
    <w:rsid w:val="006675AC"/>
    <w:rsid w:val="0067054C"/>
    <w:rsid w:val="00670F62"/>
    <w:rsid w:val="00671073"/>
    <w:rsid w:val="00671167"/>
    <w:rsid w:val="0067176B"/>
    <w:rsid w:val="00672C7B"/>
    <w:rsid w:val="0067374D"/>
    <w:rsid w:val="00673D5F"/>
    <w:rsid w:val="00673FB1"/>
    <w:rsid w:val="006743A7"/>
    <w:rsid w:val="00674433"/>
    <w:rsid w:val="006746CE"/>
    <w:rsid w:val="006749A0"/>
    <w:rsid w:val="00675061"/>
    <w:rsid w:val="00675390"/>
    <w:rsid w:val="006754E3"/>
    <w:rsid w:val="00675638"/>
    <w:rsid w:val="0067582A"/>
    <w:rsid w:val="00676120"/>
    <w:rsid w:val="00676AEA"/>
    <w:rsid w:val="006775F5"/>
    <w:rsid w:val="00677A80"/>
    <w:rsid w:val="00680921"/>
    <w:rsid w:val="00680A39"/>
    <w:rsid w:val="00680D43"/>
    <w:rsid w:val="00681142"/>
    <w:rsid w:val="0068129E"/>
    <w:rsid w:val="00681550"/>
    <w:rsid w:val="0068186F"/>
    <w:rsid w:val="006820E1"/>
    <w:rsid w:val="00684423"/>
    <w:rsid w:val="00684492"/>
    <w:rsid w:val="00685C11"/>
    <w:rsid w:val="00686687"/>
    <w:rsid w:val="00687836"/>
    <w:rsid w:val="006878BE"/>
    <w:rsid w:val="00687A29"/>
    <w:rsid w:val="006904C4"/>
    <w:rsid w:val="00690BD6"/>
    <w:rsid w:val="006929D3"/>
    <w:rsid w:val="00692B6A"/>
    <w:rsid w:val="00692EBB"/>
    <w:rsid w:val="006930FB"/>
    <w:rsid w:val="0069316D"/>
    <w:rsid w:val="00693898"/>
    <w:rsid w:val="00693FEC"/>
    <w:rsid w:val="00694044"/>
    <w:rsid w:val="00696402"/>
    <w:rsid w:val="00696C24"/>
    <w:rsid w:val="00696EA5"/>
    <w:rsid w:val="006A006A"/>
    <w:rsid w:val="006A14E1"/>
    <w:rsid w:val="006A1E9E"/>
    <w:rsid w:val="006A2C9F"/>
    <w:rsid w:val="006A36CE"/>
    <w:rsid w:val="006A3E0B"/>
    <w:rsid w:val="006A3E0D"/>
    <w:rsid w:val="006A4CAD"/>
    <w:rsid w:val="006A5695"/>
    <w:rsid w:val="006A5F01"/>
    <w:rsid w:val="006A608E"/>
    <w:rsid w:val="006A751F"/>
    <w:rsid w:val="006B0A0B"/>
    <w:rsid w:val="006B0A28"/>
    <w:rsid w:val="006B0D00"/>
    <w:rsid w:val="006B1348"/>
    <w:rsid w:val="006B15DC"/>
    <w:rsid w:val="006B1A33"/>
    <w:rsid w:val="006B1DDD"/>
    <w:rsid w:val="006B1F8E"/>
    <w:rsid w:val="006B2517"/>
    <w:rsid w:val="006B26F1"/>
    <w:rsid w:val="006B2D2C"/>
    <w:rsid w:val="006B355C"/>
    <w:rsid w:val="006B42F1"/>
    <w:rsid w:val="006B5CBE"/>
    <w:rsid w:val="006B5CE0"/>
    <w:rsid w:val="006B7AC4"/>
    <w:rsid w:val="006C010B"/>
    <w:rsid w:val="006C06CC"/>
    <w:rsid w:val="006C13C5"/>
    <w:rsid w:val="006C206E"/>
    <w:rsid w:val="006C2989"/>
    <w:rsid w:val="006C562F"/>
    <w:rsid w:val="006C598F"/>
    <w:rsid w:val="006C629D"/>
    <w:rsid w:val="006D1267"/>
    <w:rsid w:val="006D1DAA"/>
    <w:rsid w:val="006D2CF1"/>
    <w:rsid w:val="006D3862"/>
    <w:rsid w:val="006D597B"/>
    <w:rsid w:val="006D7046"/>
    <w:rsid w:val="006D794A"/>
    <w:rsid w:val="006D7B01"/>
    <w:rsid w:val="006E0CBB"/>
    <w:rsid w:val="006E0E6D"/>
    <w:rsid w:val="006E1067"/>
    <w:rsid w:val="006E1288"/>
    <w:rsid w:val="006E152F"/>
    <w:rsid w:val="006E1B64"/>
    <w:rsid w:val="006E1BE9"/>
    <w:rsid w:val="006E2017"/>
    <w:rsid w:val="006E22C4"/>
    <w:rsid w:val="006E254E"/>
    <w:rsid w:val="006E516D"/>
    <w:rsid w:val="006E57E7"/>
    <w:rsid w:val="006E5899"/>
    <w:rsid w:val="006E5DD2"/>
    <w:rsid w:val="006E6175"/>
    <w:rsid w:val="006E6768"/>
    <w:rsid w:val="006E6932"/>
    <w:rsid w:val="006E6B99"/>
    <w:rsid w:val="006E7B78"/>
    <w:rsid w:val="006F0572"/>
    <w:rsid w:val="006F08DB"/>
    <w:rsid w:val="006F1692"/>
    <w:rsid w:val="006F2A26"/>
    <w:rsid w:val="006F2C45"/>
    <w:rsid w:val="006F2EB3"/>
    <w:rsid w:val="006F36E7"/>
    <w:rsid w:val="006F4AFE"/>
    <w:rsid w:val="006F51A1"/>
    <w:rsid w:val="006F5A40"/>
    <w:rsid w:val="006F7A22"/>
    <w:rsid w:val="0070087C"/>
    <w:rsid w:val="00700C16"/>
    <w:rsid w:val="007018AE"/>
    <w:rsid w:val="00701C9D"/>
    <w:rsid w:val="0070208A"/>
    <w:rsid w:val="00702832"/>
    <w:rsid w:val="00702A28"/>
    <w:rsid w:val="00702ECB"/>
    <w:rsid w:val="007034A9"/>
    <w:rsid w:val="00703CE5"/>
    <w:rsid w:val="00705FD9"/>
    <w:rsid w:val="00707987"/>
    <w:rsid w:val="00707A9F"/>
    <w:rsid w:val="00710DA1"/>
    <w:rsid w:val="007122C5"/>
    <w:rsid w:val="007128E4"/>
    <w:rsid w:val="00712E5C"/>
    <w:rsid w:val="007135D8"/>
    <w:rsid w:val="0071384E"/>
    <w:rsid w:val="00713C33"/>
    <w:rsid w:val="00713F78"/>
    <w:rsid w:val="0071409A"/>
    <w:rsid w:val="0071495F"/>
    <w:rsid w:val="00714C0C"/>
    <w:rsid w:val="00714CA1"/>
    <w:rsid w:val="00714D6A"/>
    <w:rsid w:val="00714F1E"/>
    <w:rsid w:val="007162BE"/>
    <w:rsid w:val="007171F2"/>
    <w:rsid w:val="00717787"/>
    <w:rsid w:val="00717A82"/>
    <w:rsid w:val="00720DA1"/>
    <w:rsid w:val="007214A9"/>
    <w:rsid w:val="00722549"/>
    <w:rsid w:val="00722895"/>
    <w:rsid w:val="007253FD"/>
    <w:rsid w:val="00726571"/>
    <w:rsid w:val="00727170"/>
    <w:rsid w:val="00730EDE"/>
    <w:rsid w:val="00732663"/>
    <w:rsid w:val="00732B50"/>
    <w:rsid w:val="00732EE1"/>
    <w:rsid w:val="00733D5B"/>
    <w:rsid w:val="007346E0"/>
    <w:rsid w:val="00734A93"/>
    <w:rsid w:val="00734FD1"/>
    <w:rsid w:val="007350A0"/>
    <w:rsid w:val="007359C3"/>
    <w:rsid w:val="00735C76"/>
    <w:rsid w:val="00737F54"/>
    <w:rsid w:val="00741643"/>
    <w:rsid w:val="007428F5"/>
    <w:rsid w:val="00743A58"/>
    <w:rsid w:val="00743E62"/>
    <w:rsid w:val="0074519B"/>
    <w:rsid w:val="00745A8E"/>
    <w:rsid w:val="00746691"/>
    <w:rsid w:val="00746A7F"/>
    <w:rsid w:val="00746A85"/>
    <w:rsid w:val="0074723D"/>
    <w:rsid w:val="0074741B"/>
    <w:rsid w:val="0074793C"/>
    <w:rsid w:val="007517B8"/>
    <w:rsid w:val="00751840"/>
    <w:rsid w:val="007524C6"/>
    <w:rsid w:val="007525DC"/>
    <w:rsid w:val="00753FFD"/>
    <w:rsid w:val="007541CA"/>
    <w:rsid w:val="007550B9"/>
    <w:rsid w:val="007552AB"/>
    <w:rsid w:val="007556DB"/>
    <w:rsid w:val="0075572C"/>
    <w:rsid w:val="007577E1"/>
    <w:rsid w:val="00760475"/>
    <w:rsid w:val="00760C65"/>
    <w:rsid w:val="0076170B"/>
    <w:rsid w:val="0076172E"/>
    <w:rsid w:val="00761D62"/>
    <w:rsid w:val="00761DA9"/>
    <w:rsid w:val="007621E4"/>
    <w:rsid w:val="007626C2"/>
    <w:rsid w:val="0076278F"/>
    <w:rsid w:val="00762BFB"/>
    <w:rsid w:val="00763256"/>
    <w:rsid w:val="0076367A"/>
    <w:rsid w:val="007647D2"/>
    <w:rsid w:val="00764832"/>
    <w:rsid w:val="0076519D"/>
    <w:rsid w:val="0076606C"/>
    <w:rsid w:val="0076637B"/>
    <w:rsid w:val="00766395"/>
    <w:rsid w:val="0076649A"/>
    <w:rsid w:val="00766FBD"/>
    <w:rsid w:val="00767090"/>
    <w:rsid w:val="00767091"/>
    <w:rsid w:val="00767734"/>
    <w:rsid w:val="00767BA6"/>
    <w:rsid w:val="0076C1F9"/>
    <w:rsid w:val="00770918"/>
    <w:rsid w:val="0077156D"/>
    <w:rsid w:val="00771C19"/>
    <w:rsid w:val="00772A4A"/>
    <w:rsid w:val="007730F6"/>
    <w:rsid w:val="0077446B"/>
    <w:rsid w:val="00775A48"/>
    <w:rsid w:val="00776137"/>
    <w:rsid w:val="007766DF"/>
    <w:rsid w:val="00776FCF"/>
    <w:rsid w:val="00777672"/>
    <w:rsid w:val="00780064"/>
    <w:rsid w:val="00780249"/>
    <w:rsid w:val="007802D9"/>
    <w:rsid w:val="007808C0"/>
    <w:rsid w:val="00780B6F"/>
    <w:rsid w:val="00782D85"/>
    <w:rsid w:val="0078370A"/>
    <w:rsid w:val="0078377F"/>
    <w:rsid w:val="00783B46"/>
    <w:rsid w:val="007852EB"/>
    <w:rsid w:val="00785543"/>
    <w:rsid w:val="00785D98"/>
    <w:rsid w:val="00786D11"/>
    <w:rsid w:val="00786F82"/>
    <w:rsid w:val="00787C79"/>
    <w:rsid w:val="0079125E"/>
    <w:rsid w:val="007913A1"/>
    <w:rsid w:val="00791A28"/>
    <w:rsid w:val="0079337F"/>
    <w:rsid w:val="00793602"/>
    <w:rsid w:val="00794C78"/>
    <w:rsid w:val="00795EFC"/>
    <w:rsid w:val="0079622F"/>
    <w:rsid w:val="00797355"/>
    <w:rsid w:val="007973C5"/>
    <w:rsid w:val="00797DFD"/>
    <w:rsid w:val="007A1EA8"/>
    <w:rsid w:val="007A2404"/>
    <w:rsid w:val="007A4126"/>
    <w:rsid w:val="007A484E"/>
    <w:rsid w:val="007A543F"/>
    <w:rsid w:val="007A5588"/>
    <w:rsid w:val="007A67E1"/>
    <w:rsid w:val="007A6A26"/>
    <w:rsid w:val="007A6ACA"/>
    <w:rsid w:val="007A6DFF"/>
    <w:rsid w:val="007A7157"/>
    <w:rsid w:val="007A7D31"/>
    <w:rsid w:val="007B01A0"/>
    <w:rsid w:val="007B0829"/>
    <w:rsid w:val="007B0B93"/>
    <w:rsid w:val="007B23EA"/>
    <w:rsid w:val="007B4160"/>
    <w:rsid w:val="007B5F31"/>
    <w:rsid w:val="007B6456"/>
    <w:rsid w:val="007B719D"/>
    <w:rsid w:val="007B7707"/>
    <w:rsid w:val="007B7FB0"/>
    <w:rsid w:val="007C03F7"/>
    <w:rsid w:val="007C2A55"/>
    <w:rsid w:val="007C3115"/>
    <w:rsid w:val="007C3122"/>
    <w:rsid w:val="007C4025"/>
    <w:rsid w:val="007C43B8"/>
    <w:rsid w:val="007C44DD"/>
    <w:rsid w:val="007C46B3"/>
    <w:rsid w:val="007C52AB"/>
    <w:rsid w:val="007C5BD9"/>
    <w:rsid w:val="007C5DDC"/>
    <w:rsid w:val="007C6462"/>
    <w:rsid w:val="007C6F2E"/>
    <w:rsid w:val="007C71FB"/>
    <w:rsid w:val="007C7724"/>
    <w:rsid w:val="007D167D"/>
    <w:rsid w:val="007D232F"/>
    <w:rsid w:val="007D3B0D"/>
    <w:rsid w:val="007D3CD2"/>
    <w:rsid w:val="007D3E30"/>
    <w:rsid w:val="007D4213"/>
    <w:rsid w:val="007D4431"/>
    <w:rsid w:val="007D4446"/>
    <w:rsid w:val="007D4B8A"/>
    <w:rsid w:val="007D592B"/>
    <w:rsid w:val="007D59F0"/>
    <w:rsid w:val="007D62A6"/>
    <w:rsid w:val="007D6400"/>
    <w:rsid w:val="007D6890"/>
    <w:rsid w:val="007D702A"/>
    <w:rsid w:val="007D7542"/>
    <w:rsid w:val="007E0F41"/>
    <w:rsid w:val="007E1AEF"/>
    <w:rsid w:val="007E289B"/>
    <w:rsid w:val="007E2D65"/>
    <w:rsid w:val="007E2DCE"/>
    <w:rsid w:val="007E3A17"/>
    <w:rsid w:val="007E3B48"/>
    <w:rsid w:val="007E506D"/>
    <w:rsid w:val="007E531E"/>
    <w:rsid w:val="007F25F2"/>
    <w:rsid w:val="007F2EEF"/>
    <w:rsid w:val="007F3A73"/>
    <w:rsid w:val="007F437E"/>
    <w:rsid w:val="007F4DD5"/>
    <w:rsid w:val="007F503E"/>
    <w:rsid w:val="007F50ED"/>
    <w:rsid w:val="007F58D6"/>
    <w:rsid w:val="007F67FF"/>
    <w:rsid w:val="007F70CC"/>
    <w:rsid w:val="007F7508"/>
    <w:rsid w:val="007F7BAA"/>
    <w:rsid w:val="00801053"/>
    <w:rsid w:val="0080157B"/>
    <w:rsid w:val="00802CD9"/>
    <w:rsid w:val="00803BEE"/>
    <w:rsid w:val="00804386"/>
    <w:rsid w:val="0080489C"/>
    <w:rsid w:val="008050CE"/>
    <w:rsid w:val="00806A44"/>
    <w:rsid w:val="00807705"/>
    <w:rsid w:val="00811417"/>
    <w:rsid w:val="008114A7"/>
    <w:rsid w:val="008121D5"/>
    <w:rsid w:val="00812987"/>
    <w:rsid w:val="008134C9"/>
    <w:rsid w:val="00813772"/>
    <w:rsid w:val="00813C6C"/>
    <w:rsid w:val="00813F32"/>
    <w:rsid w:val="008159B3"/>
    <w:rsid w:val="008166BD"/>
    <w:rsid w:val="008168D4"/>
    <w:rsid w:val="00816E94"/>
    <w:rsid w:val="00820842"/>
    <w:rsid w:val="0082085B"/>
    <w:rsid w:val="00820B11"/>
    <w:rsid w:val="00821869"/>
    <w:rsid w:val="0082292B"/>
    <w:rsid w:val="00824682"/>
    <w:rsid w:val="00824EAF"/>
    <w:rsid w:val="00825F16"/>
    <w:rsid w:val="0082786E"/>
    <w:rsid w:val="008310C5"/>
    <w:rsid w:val="00831A33"/>
    <w:rsid w:val="00832A77"/>
    <w:rsid w:val="00832DF1"/>
    <w:rsid w:val="0083482D"/>
    <w:rsid w:val="00835400"/>
    <w:rsid w:val="00835562"/>
    <w:rsid w:val="00835BD2"/>
    <w:rsid w:val="008371DC"/>
    <w:rsid w:val="00842470"/>
    <w:rsid w:val="00843D0E"/>
    <w:rsid w:val="00844929"/>
    <w:rsid w:val="00844CE8"/>
    <w:rsid w:val="00844FB9"/>
    <w:rsid w:val="00847F77"/>
    <w:rsid w:val="008503F0"/>
    <w:rsid w:val="00850A34"/>
    <w:rsid w:val="00851C36"/>
    <w:rsid w:val="00853E72"/>
    <w:rsid w:val="008541B2"/>
    <w:rsid w:val="0085503C"/>
    <w:rsid w:val="00855336"/>
    <w:rsid w:val="00856072"/>
    <w:rsid w:val="008575C9"/>
    <w:rsid w:val="00857660"/>
    <w:rsid w:val="0086318C"/>
    <w:rsid w:val="00863930"/>
    <w:rsid w:val="0086393F"/>
    <w:rsid w:val="00863F70"/>
    <w:rsid w:val="008648E0"/>
    <w:rsid w:val="00864D52"/>
    <w:rsid w:val="00865AEB"/>
    <w:rsid w:val="00865D9F"/>
    <w:rsid w:val="008663BC"/>
    <w:rsid w:val="00867BB4"/>
    <w:rsid w:val="008709D1"/>
    <w:rsid w:val="0087205E"/>
    <w:rsid w:val="00872319"/>
    <w:rsid w:val="00872662"/>
    <w:rsid w:val="00872891"/>
    <w:rsid w:val="00875785"/>
    <w:rsid w:val="00880E4D"/>
    <w:rsid w:val="00880F64"/>
    <w:rsid w:val="00881E5A"/>
    <w:rsid w:val="00882002"/>
    <w:rsid w:val="008827AD"/>
    <w:rsid w:val="00882D2B"/>
    <w:rsid w:val="0088335E"/>
    <w:rsid w:val="00883388"/>
    <w:rsid w:val="00883615"/>
    <w:rsid w:val="00884416"/>
    <w:rsid w:val="0088487E"/>
    <w:rsid w:val="0088624A"/>
    <w:rsid w:val="00886516"/>
    <w:rsid w:val="008866ED"/>
    <w:rsid w:val="00890018"/>
    <w:rsid w:val="00891954"/>
    <w:rsid w:val="0089261D"/>
    <w:rsid w:val="00893DDF"/>
    <w:rsid w:val="00894766"/>
    <w:rsid w:val="00894C85"/>
    <w:rsid w:val="008950D6"/>
    <w:rsid w:val="008962BD"/>
    <w:rsid w:val="008964DD"/>
    <w:rsid w:val="008975E7"/>
    <w:rsid w:val="00897AF4"/>
    <w:rsid w:val="008A14EF"/>
    <w:rsid w:val="008A1C48"/>
    <w:rsid w:val="008A3356"/>
    <w:rsid w:val="008A3F36"/>
    <w:rsid w:val="008A4C25"/>
    <w:rsid w:val="008A5017"/>
    <w:rsid w:val="008A585A"/>
    <w:rsid w:val="008A6115"/>
    <w:rsid w:val="008A7D88"/>
    <w:rsid w:val="008A7F84"/>
    <w:rsid w:val="008A7F99"/>
    <w:rsid w:val="008B0142"/>
    <w:rsid w:val="008B1218"/>
    <w:rsid w:val="008B1369"/>
    <w:rsid w:val="008B1D59"/>
    <w:rsid w:val="008B48AF"/>
    <w:rsid w:val="008B5DF9"/>
    <w:rsid w:val="008B5E76"/>
    <w:rsid w:val="008B68DB"/>
    <w:rsid w:val="008C0E97"/>
    <w:rsid w:val="008C19E0"/>
    <w:rsid w:val="008C2270"/>
    <w:rsid w:val="008C3471"/>
    <w:rsid w:val="008C3B74"/>
    <w:rsid w:val="008C46B1"/>
    <w:rsid w:val="008C4FA4"/>
    <w:rsid w:val="008C5A4B"/>
    <w:rsid w:val="008C72E7"/>
    <w:rsid w:val="008C769F"/>
    <w:rsid w:val="008C79AE"/>
    <w:rsid w:val="008C7DBB"/>
    <w:rsid w:val="008D05B4"/>
    <w:rsid w:val="008D1834"/>
    <w:rsid w:val="008D240C"/>
    <w:rsid w:val="008D245C"/>
    <w:rsid w:val="008D2915"/>
    <w:rsid w:val="008D352F"/>
    <w:rsid w:val="008D365D"/>
    <w:rsid w:val="008D453A"/>
    <w:rsid w:val="008D4D07"/>
    <w:rsid w:val="008D4EE7"/>
    <w:rsid w:val="008D690D"/>
    <w:rsid w:val="008D6E03"/>
    <w:rsid w:val="008D7431"/>
    <w:rsid w:val="008E01D4"/>
    <w:rsid w:val="008E0D4B"/>
    <w:rsid w:val="008E3850"/>
    <w:rsid w:val="008E3998"/>
    <w:rsid w:val="008E3C23"/>
    <w:rsid w:val="008E3C45"/>
    <w:rsid w:val="008E44F1"/>
    <w:rsid w:val="008E523F"/>
    <w:rsid w:val="008E6251"/>
    <w:rsid w:val="008F001D"/>
    <w:rsid w:val="008F2EE7"/>
    <w:rsid w:val="008F31E6"/>
    <w:rsid w:val="008F46D6"/>
    <w:rsid w:val="008F4839"/>
    <w:rsid w:val="008F551F"/>
    <w:rsid w:val="008F5EEA"/>
    <w:rsid w:val="008F629E"/>
    <w:rsid w:val="008F63BF"/>
    <w:rsid w:val="008F707C"/>
    <w:rsid w:val="0090159A"/>
    <w:rsid w:val="00901938"/>
    <w:rsid w:val="009019AA"/>
    <w:rsid w:val="00902D2F"/>
    <w:rsid w:val="00902EC9"/>
    <w:rsid w:val="00903303"/>
    <w:rsid w:val="0090443E"/>
    <w:rsid w:val="00904858"/>
    <w:rsid w:val="00905431"/>
    <w:rsid w:val="00905766"/>
    <w:rsid w:val="00905781"/>
    <w:rsid w:val="0090660F"/>
    <w:rsid w:val="00906A16"/>
    <w:rsid w:val="00906CE1"/>
    <w:rsid w:val="00907123"/>
    <w:rsid w:val="00907745"/>
    <w:rsid w:val="00907A9E"/>
    <w:rsid w:val="00907AF2"/>
    <w:rsid w:val="00910080"/>
    <w:rsid w:val="009111BE"/>
    <w:rsid w:val="00911370"/>
    <w:rsid w:val="00911CF2"/>
    <w:rsid w:val="00912C2E"/>
    <w:rsid w:val="00913279"/>
    <w:rsid w:val="0091430B"/>
    <w:rsid w:val="00916000"/>
    <w:rsid w:val="00916555"/>
    <w:rsid w:val="009201ED"/>
    <w:rsid w:val="00920825"/>
    <w:rsid w:val="00921B0B"/>
    <w:rsid w:val="0092202B"/>
    <w:rsid w:val="00922205"/>
    <w:rsid w:val="009224EB"/>
    <w:rsid w:val="0092275E"/>
    <w:rsid w:val="00922F17"/>
    <w:rsid w:val="00924B6D"/>
    <w:rsid w:val="00924C28"/>
    <w:rsid w:val="00926BB1"/>
    <w:rsid w:val="00927E89"/>
    <w:rsid w:val="00927FFE"/>
    <w:rsid w:val="00930E49"/>
    <w:rsid w:val="00930F7A"/>
    <w:rsid w:val="009314F3"/>
    <w:rsid w:val="009323B5"/>
    <w:rsid w:val="00933375"/>
    <w:rsid w:val="009340E8"/>
    <w:rsid w:val="009348AF"/>
    <w:rsid w:val="009359E5"/>
    <w:rsid w:val="00935EC7"/>
    <w:rsid w:val="00936244"/>
    <w:rsid w:val="00936943"/>
    <w:rsid w:val="00937711"/>
    <w:rsid w:val="00937A63"/>
    <w:rsid w:val="00940901"/>
    <w:rsid w:val="00942222"/>
    <w:rsid w:val="009429D1"/>
    <w:rsid w:val="00946AF8"/>
    <w:rsid w:val="00946B66"/>
    <w:rsid w:val="0094745A"/>
    <w:rsid w:val="009506AD"/>
    <w:rsid w:val="00951081"/>
    <w:rsid w:val="009510D7"/>
    <w:rsid w:val="0095272C"/>
    <w:rsid w:val="00952A8D"/>
    <w:rsid w:val="009538AD"/>
    <w:rsid w:val="0095440A"/>
    <w:rsid w:val="00954F90"/>
    <w:rsid w:val="00955103"/>
    <w:rsid w:val="009558F9"/>
    <w:rsid w:val="00956D56"/>
    <w:rsid w:val="009579EB"/>
    <w:rsid w:val="00957B2B"/>
    <w:rsid w:val="009610BC"/>
    <w:rsid w:val="00961A17"/>
    <w:rsid w:val="00962436"/>
    <w:rsid w:val="00962643"/>
    <w:rsid w:val="0096302F"/>
    <w:rsid w:val="00963A2F"/>
    <w:rsid w:val="00963AD4"/>
    <w:rsid w:val="009646DA"/>
    <w:rsid w:val="00965610"/>
    <w:rsid w:val="00966C50"/>
    <w:rsid w:val="009671C8"/>
    <w:rsid w:val="009675D2"/>
    <w:rsid w:val="00967EA1"/>
    <w:rsid w:val="00970DB2"/>
    <w:rsid w:val="009717BE"/>
    <w:rsid w:val="00974CBF"/>
    <w:rsid w:val="009758FA"/>
    <w:rsid w:val="0097670C"/>
    <w:rsid w:val="00976B3F"/>
    <w:rsid w:val="0098077C"/>
    <w:rsid w:val="00980F6F"/>
    <w:rsid w:val="00981E38"/>
    <w:rsid w:val="00984EF0"/>
    <w:rsid w:val="00985390"/>
    <w:rsid w:val="009865BE"/>
    <w:rsid w:val="00986CF5"/>
    <w:rsid w:val="00987671"/>
    <w:rsid w:val="00987DA7"/>
    <w:rsid w:val="009905C3"/>
    <w:rsid w:val="00990DF9"/>
    <w:rsid w:val="00991855"/>
    <w:rsid w:val="00991FF7"/>
    <w:rsid w:val="009939B9"/>
    <w:rsid w:val="00993BAA"/>
    <w:rsid w:val="00994386"/>
    <w:rsid w:val="00994B9E"/>
    <w:rsid w:val="0099565D"/>
    <w:rsid w:val="009957EB"/>
    <w:rsid w:val="00995932"/>
    <w:rsid w:val="00996B50"/>
    <w:rsid w:val="00996CDB"/>
    <w:rsid w:val="009A10C6"/>
    <w:rsid w:val="009A125C"/>
    <w:rsid w:val="009A14E1"/>
    <w:rsid w:val="009A20AF"/>
    <w:rsid w:val="009A25A2"/>
    <w:rsid w:val="009A3A5E"/>
    <w:rsid w:val="009A3B28"/>
    <w:rsid w:val="009A4247"/>
    <w:rsid w:val="009A50AE"/>
    <w:rsid w:val="009A51A6"/>
    <w:rsid w:val="009A58D9"/>
    <w:rsid w:val="009A5C6B"/>
    <w:rsid w:val="009A5D0E"/>
    <w:rsid w:val="009A61BE"/>
    <w:rsid w:val="009A6C53"/>
    <w:rsid w:val="009A7A1B"/>
    <w:rsid w:val="009B0180"/>
    <w:rsid w:val="009B305A"/>
    <w:rsid w:val="009B383B"/>
    <w:rsid w:val="009B4397"/>
    <w:rsid w:val="009B4939"/>
    <w:rsid w:val="009B4CA3"/>
    <w:rsid w:val="009B69D3"/>
    <w:rsid w:val="009B78A7"/>
    <w:rsid w:val="009B7E19"/>
    <w:rsid w:val="009C00D0"/>
    <w:rsid w:val="009C1073"/>
    <w:rsid w:val="009C13C5"/>
    <w:rsid w:val="009C1B07"/>
    <w:rsid w:val="009C20A5"/>
    <w:rsid w:val="009C29D4"/>
    <w:rsid w:val="009C3B28"/>
    <w:rsid w:val="009C48BC"/>
    <w:rsid w:val="009C67C3"/>
    <w:rsid w:val="009C6EDA"/>
    <w:rsid w:val="009C7000"/>
    <w:rsid w:val="009C7D0F"/>
    <w:rsid w:val="009D0972"/>
    <w:rsid w:val="009D1946"/>
    <w:rsid w:val="009D1E0F"/>
    <w:rsid w:val="009D2406"/>
    <w:rsid w:val="009D355C"/>
    <w:rsid w:val="009D372C"/>
    <w:rsid w:val="009D4284"/>
    <w:rsid w:val="009D4CDB"/>
    <w:rsid w:val="009D5049"/>
    <w:rsid w:val="009D53BB"/>
    <w:rsid w:val="009D5547"/>
    <w:rsid w:val="009D6861"/>
    <w:rsid w:val="009E02E3"/>
    <w:rsid w:val="009E07D0"/>
    <w:rsid w:val="009E1E30"/>
    <w:rsid w:val="009E2035"/>
    <w:rsid w:val="009E2EAB"/>
    <w:rsid w:val="009E30FC"/>
    <w:rsid w:val="009E3824"/>
    <w:rsid w:val="009E3FF5"/>
    <w:rsid w:val="009E49C6"/>
    <w:rsid w:val="009E5B45"/>
    <w:rsid w:val="009E5F6E"/>
    <w:rsid w:val="009E6652"/>
    <w:rsid w:val="009E7C90"/>
    <w:rsid w:val="009E7ED5"/>
    <w:rsid w:val="009F04DD"/>
    <w:rsid w:val="009F069A"/>
    <w:rsid w:val="009F2403"/>
    <w:rsid w:val="009F2E69"/>
    <w:rsid w:val="009F31FF"/>
    <w:rsid w:val="009F3471"/>
    <w:rsid w:val="009F4D08"/>
    <w:rsid w:val="009F4F6F"/>
    <w:rsid w:val="009F58C7"/>
    <w:rsid w:val="009F592F"/>
    <w:rsid w:val="009F5B6D"/>
    <w:rsid w:val="009F61A8"/>
    <w:rsid w:val="009F6C39"/>
    <w:rsid w:val="009F721D"/>
    <w:rsid w:val="009F7460"/>
    <w:rsid w:val="009F79D3"/>
    <w:rsid w:val="009F7AB4"/>
    <w:rsid w:val="00A00815"/>
    <w:rsid w:val="00A0147D"/>
    <w:rsid w:val="00A01D10"/>
    <w:rsid w:val="00A023EB"/>
    <w:rsid w:val="00A03A7A"/>
    <w:rsid w:val="00A041E3"/>
    <w:rsid w:val="00A058DD"/>
    <w:rsid w:val="00A05F5B"/>
    <w:rsid w:val="00A067D1"/>
    <w:rsid w:val="00A107D1"/>
    <w:rsid w:val="00A10857"/>
    <w:rsid w:val="00A10BD0"/>
    <w:rsid w:val="00A10BDF"/>
    <w:rsid w:val="00A134B0"/>
    <w:rsid w:val="00A137F3"/>
    <w:rsid w:val="00A1435A"/>
    <w:rsid w:val="00A14BEA"/>
    <w:rsid w:val="00A15238"/>
    <w:rsid w:val="00A16182"/>
    <w:rsid w:val="00A17205"/>
    <w:rsid w:val="00A17BC1"/>
    <w:rsid w:val="00A17F87"/>
    <w:rsid w:val="00A20E93"/>
    <w:rsid w:val="00A20ECB"/>
    <w:rsid w:val="00A217D3"/>
    <w:rsid w:val="00A21E9F"/>
    <w:rsid w:val="00A229F0"/>
    <w:rsid w:val="00A230BC"/>
    <w:rsid w:val="00A23291"/>
    <w:rsid w:val="00A23A23"/>
    <w:rsid w:val="00A23A9E"/>
    <w:rsid w:val="00A23BEC"/>
    <w:rsid w:val="00A24D1A"/>
    <w:rsid w:val="00A258C1"/>
    <w:rsid w:val="00A26F77"/>
    <w:rsid w:val="00A273E3"/>
    <w:rsid w:val="00A276C3"/>
    <w:rsid w:val="00A27DBF"/>
    <w:rsid w:val="00A30421"/>
    <w:rsid w:val="00A3059C"/>
    <w:rsid w:val="00A30F33"/>
    <w:rsid w:val="00A310FE"/>
    <w:rsid w:val="00A31517"/>
    <w:rsid w:val="00A31BC8"/>
    <w:rsid w:val="00A31CE1"/>
    <w:rsid w:val="00A31FD1"/>
    <w:rsid w:val="00A32944"/>
    <w:rsid w:val="00A32ECD"/>
    <w:rsid w:val="00A33D74"/>
    <w:rsid w:val="00A34941"/>
    <w:rsid w:val="00A35141"/>
    <w:rsid w:val="00A35158"/>
    <w:rsid w:val="00A3541C"/>
    <w:rsid w:val="00A354D4"/>
    <w:rsid w:val="00A35C3D"/>
    <w:rsid w:val="00A35EC5"/>
    <w:rsid w:val="00A3673E"/>
    <w:rsid w:val="00A3677A"/>
    <w:rsid w:val="00A419B9"/>
    <w:rsid w:val="00A42F80"/>
    <w:rsid w:val="00A44189"/>
    <w:rsid w:val="00A441A6"/>
    <w:rsid w:val="00A44F3D"/>
    <w:rsid w:val="00A45104"/>
    <w:rsid w:val="00A45118"/>
    <w:rsid w:val="00A45FE8"/>
    <w:rsid w:val="00A46261"/>
    <w:rsid w:val="00A4654A"/>
    <w:rsid w:val="00A46C5A"/>
    <w:rsid w:val="00A46CDD"/>
    <w:rsid w:val="00A47E2C"/>
    <w:rsid w:val="00A47FE6"/>
    <w:rsid w:val="00A50111"/>
    <w:rsid w:val="00A5044A"/>
    <w:rsid w:val="00A50B01"/>
    <w:rsid w:val="00A5196F"/>
    <w:rsid w:val="00A52D9A"/>
    <w:rsid w:val="00A52DCF"/>
    <w:rsid w:val="00A53D15"/>
    <w:rsid w:val="00A54080"/>
    <w:rsid w:val="00A54125"/>
    <w:rsid w:val="00A542E6"/>
    <w:rsid w:val="00A55515"/>
    <w:rsid w:val="00A55D27"/>
    <w:rsid w:val="00A61C1D"/>
    <w:rsid w:val="00A61F02"/>
    <w:rsid w:val="00A62121"/>
    <w:rsid w:val="00A63B65"/>
    <w:rsid w:val="00A63F60"/>
    <w:rsid w:val="00A654D6"/>
    <w:rsid w:val="00A6588D"/>
    <w:rsid w:val="00A65A6C"/>
    <w:rsid w:val="00A65CB3"/>
    <w:rsid w:val="00A65D23"/>
    <w:rsid w:val="00A65F9E"/>
    <w:rsid w:val="00A66836"/>
    <w:rsid w:val="00A67AD3"/>
    <w:rsid w:val="00A703B2"/>
    <w:rsid w:val="00A70697"/>
    <w:rsid w:val="00A71C27"/>
    <w:rsid w:val="00A737C7"/>
    <w:rsid w:val="00A74A38"/>
    <w:rsid w:val="00A756D6"/>
    <w:rsid w:val="00A763BB"/>
    <w:rsid w:val="00A76F6F"/>
    <w:rsid w:val="00A77862"/>
    <w:rsid w:val="00A80560"/>
    <w:rsid w:val="00A80A81"/>
    <w:rsid w:val="00A83282"/>
    <w:rsid w:val="00A83769"/>
    <w:rsid w:val="00A84600"/>
    <w:rsid w:val="00A85043"/>
    <w:rsid w:val="00A8635C"/>
    <w:rsid w:val="00A8639E"/>
    <w:rsid w:val="00A8672C"/>
    <w:rsid w:val="00A86EE3"/>
    <w:rsid w:val="00A879A2"/>
    <w:rsid w:val="00A87D99"/>
    <w:rsid w:val="00A90147"/>
    <w:rsid w:val="00A91BE4"/>
    <w:rsid w:val="00A91CEB"/>
    <w:rsid w:val="00A91D2E"/>
    <w:rsid w:val="00A91ED9"/>
    <w:rsid w:val="00A93090"/>
    <w:rsid w:val="00A944DA"/>
    <w:rsid w:val="00A947BD"/>
    <w:rsid w:val="00A94A96"/>
    <w:rsid w:val="00A94D52"/>
    <w:rsid w:val="00A951FE"/>
    <w:rsid w:val="00A95940"/>
    <w:rsid w:val="00A95FED"/>
    <w:rsid w:val="00A968A2"/>
    <w:rsid w:val="00A96BC7"/>
    <w:rsid w:val="00A97362"/>
    <w:rsid w:val="00A97C0E"/>
    <w:rsid w:val="00A97D84"/>
    <w:rsid w:val="00AA06B7"/>
    <w:rsid w:val="00AA0861"/>
    <w:rsid w:val="00AA09DC"/>
    <w:rsid w:val="00AA1700"/>
    <w:rsid w:val="00AA1892"/>
    <w:rsid w:val="00AA1E3A"/>
    <w:rsid w:val="00AA24A3"/>
    <w:rsid w:val="00AA277C"/>
    <w:rsid w:val="00AA42E9"/>
    <w:rsid w:val="00AA554F"/>
    <w:rsid w:val="00AA5A5A"/>
    <w:rsid w:val="00AA5E97"/>
    <w:rsid w:val="00AA6075"/>
    <w:rsid w:val="00AA6A61"/>
    <w:rsid w:val="00AA6B0B"/>
    <w:rsid w:val="00AB029A"/>
    <w:rsid w:val="00AB2226"/>
    <w:rsid w:val="00AB32BE"/>
    <w:rsid w:val="00AB3C22"/>
    <w:rsid w:val="00AB4C7A"/>
    <w:rsid w:val="00AB5759"/>
    <w:rsid w:val="00AB6DB0"/>
    <w:rsid w:val="00AB7072"/>
    <w:rsid w:val="00AB70A4"/>
    <w:rsid w:val="00AB7BC1"/>
    <w:rsid w:val="00AC00F6"/>
    <w:rsid w:val="00AC0C60"/>
    <w:rsid w:val="00AC0D61"/>
    <w:rsid w:val="00AC0F97"/>
    <w:rsid w:val="00AC10FD"/>
    <w:rsid w:val="00AC13A9"/>
    <w:rsid w:val="00AC2052"/>
    <w:rsid w:val="00AC2546"/>
    <w:rsid w:val="00AC2768"/>
    <w:rsid w:val="00AC347D"/>
    <w:rsid w:val="00AC36DC"/>
    <w:rsid w:val="00AC493F"/>
    <w:rsid w:val="00AC4AEB"/>
    <w:rsid w:val="00AC5575"/>
    <w:rsid w:val="00AC5D13"/>
    <w:rsid w:val="00AC603F"/>
    <w:rsid w:val="00AC663F"/>
    <w:rsid w:val="00AC6E61"/>
    <w:rsid w:val="00AD00DA"/>
    <w:rsid w:val="00AD04DA"/>
    <w:rsid w:val="00AD0514"/>
    <w:rsid w:val="00AD1C57"/>
    <w:rsid w:val="00AD26E5"/>
    <w:rsid w:val="00AD2770"/>
    <w:rsid w:val="00AD2CF8"/>
    <w:rsid w:val="00AD3958"/>
    <w:rsid w:val="00AD4BD1"/>
    <w:rsid w:val="00AD6506"/>
    <w:rsid w:val="00AD76CC"/>
    <w:rsid w:val="00AE0680"/>
    <w:rsid w:val="00AE0E8E"/>
    <w:rsid w:val="00AE1537"/>
    <w:rsid w:val="00AE189F"/>
    <w:rsid w:val="00AE214E"/>
    <w:rsid w:val="00AE29C5"/>
    <w:rsid w:val="00AE3876"/>
    <w:rsid w:val="00AE3A71"/>
    <w:rsid w:val="00AE3BB8"/>
    <w:rsid w:val="00AE3BD0"/>
    <w:rsid w:val="00AE4C9D"/>
    <w:rsid w:val="00AE6B4F"/>
    <w:rsid w:val="00AE6F16"/>
    <w:rsid w:val="00AE739F"/>
    <w:rsid w:val="00AE73E5"/>
    <w:rsid w:val="00AE754B"/>
    <w:rsid w:val="00AF0CEA"/>
    <w:rsid w:val="00AF2BF7"/>
    <w:rsid w:val="00AF445F"/>
    <w:rsid w:val="00AF469B"/>
    <w:rsid w:val="00AF4A60"/>
    <w:rsid w:val="00AF4DF3"/>
    <w:rsid w:val="00AF5037"/>
    <w:rsid w:val="00AF513F"/>
    <w:rsid w:val="00AF5C6A"/>
    <w:rsid w:val="00AF6275"/>
    <w:rsid w:val="00AF6DBA"/>
    <w:rsid w:val="00AF7D4A"/>
    <w:rsid w:val="00B001C8"/>
    <w:rsid w:val="00B00B1E"/>
    <w:rsid w:val="00B0148D"/>
    <w:rsid w:val="00B01A9F"/>
    <w:rsid w:val="00B028E2"/>
    <w:rsid w:val="00B02FC6"/>
    <w:rsid w:val="00B03717"/>
    <w:rsid w:val="00B04BF4"/>
    <w:rsid w:val="00B04D00"/>
    <w:rsid w:val="00B06754"/>
    <w:rsid w:val="00B06BB3"/>
    <w:rsid w:val="00B070B3"/>
    <w:rsid w:val="00B07E40"/>
    <w:rsid w:val="00B07EA6"/>
    <w:rsid w:val="00B10BB3"/>
    <w:rsid w:val="00B110DF"/>
    <w:rsid w:val="00B11523"/>
    <w:rsid w:val="00B1163D"/>
    <w:rsid w:val="00B116F6"/>
    <w:rsid w:val="00B11847"/>
    <w:rsid w:val="00B11B24"/>
    <w:rsid w:val="00B1313E"/>
    <w:rsid w:val="00B1346D"/>
    <w:rsid w:val="00B13E4E"/>
    <w:rsid w:val="00B142A3"/>
    <w:rsid w:val="00B1451A"/>
    <w:rsid w:val="00B14DDB"/>
    <w:rsid w:val="00B16303"/>
    <w:rsid w:val="00B16B62"/>
    <w:rsid w:val="00B16C54"/>
    <w:rsid w:val="00B202EB"/>
    <w:rsid w:val="00B20902"/>
    <w:rsid w:val="00B21B1D"/>
    <w:rsid w:val="00B21ECD"/>
    <w:rsid w:val="00B223DC"/>
    <w:rsid w:val="00B22DAC"/>
    <w:rsid w:val="00B232E2"/>
    <w:rsid w:val="00B24363"/>
    <w:rsid w:val="00B24F0E"/>
    <w:rsid w:val="00B2526D"/>
    <w:rsid w:val="00B25AA4"/>
    <w:rsid w:val="00B26CA9"/>
    <w:rsid w:val="00B26F53"/>
    <w:rsid w:val="00B27015"/>
    <w:rsid w:val="00B27548"/>
    <w:rsid w:val="00B27C94"/>
    <w:rsid w:val="00B30688"/>
    <w:rsid w:val="00B32A4B"/>
    <w:rsid w:val="00B332A5"/>
    <w:rsid w:val="00B33536"/>
    <w:rsid w:val="00B33D57"/>
    <w:rsid w:val="00B3591B"/>
    <w:rsid w:val="00B369E7"/>
    <w:rsid w:val="00B37026"/>
    <w:rsid w:val="00B400B1"/>
    <w:rsid w:val="00B4010A"/>
    <w:rsid w:val="00B4372F"/>
    <w:rsid w:val="00B4781C"/>
    <w:rsid w:val="00B50FAC"/>
    <w:rsid w:val="00B51766"/>
    <w:rsid w:val="00B540B6"/>
    <w:rsid w:val="00B54445"/>
    <w:rsid w:val="00B54571"/>
    <w:rsid w:val="00B54B7E"/>
    <w:rsid w:val="00B5564E"/>
    <w:rsid w:val="00B557D1"/>
    <w:rsid w:val="00B55A9D"/>
    <w:rsid w:val="00B55BBB"/>
    <w:rsid w:val="00B57508"/>
    <w:rsid w:val="00B5783F"/>
    <w:rsid w:val="00B60912"/>
    <w:rsid w:val="00B61293"/>
    <w:rsid w:val="00B6163E"/>
    <w:rsid w:val="00B61AF4"/>
    <w:rsid w:val="00B62472"/>
    <w:rsid w:val="00B63B39"/>
    <w:rsid w:val="00B63DFD"/>
    <w:rsid w:val="00B641BC"/>
    <w:rsid w:val="00B6498A"/>
    <w:rsid w:val="00B65200"/>
    <w:rsid w:val="00B6537E"/>
    <w:rsid w:val="00B655E8"/>
    <w:rsid w:val="00B65B9C"/>
    <w:rsid w:val="00B65E3E"/>
    <w:rsid w:val="00B66407"/>
    <w:rsid w:val="00B66D33"/>
    <w:rsid w:val="00B6732E"/>
    <w:rsid w:val="00B67D82"/>
    <w:rsid w:val="00B709F5"/>
    <w:rsid w:val="00B71A86"/>
    <w:rsid w:val="00B76750"/>
    <w:rsid w:val="00B803E2"/>
    <w:rsid w:val="00B807E0"/>
    <w:rsid w:val="00B80E6A"/>
    <w:rsid w:val="00B80EA9"/>
    <w:rsid w:val="00B80F02"/>
    <w:rsid w:val="00B815C4"/>
    <w:rsid w:val="00B81BD1"/>
    <w:rsid w:val="00B821B7"/>
    <w:rsid w:val="00B823F4"/>
    <w:rsid w:val="00B82B2A"/>
    <w:rsid w:val="00B83B2D"/>
    <w:rsid w:val="00B84567"/>
    <w:rsid w:val="00B8497D"/>
    <w:rsid w:val="00B85166"/>
    <w:rsid w:val="00B8681B"/>
    <w:rsid w:val="00B86CB9"/>
    <w:rsid w:val="00B874AE"/>
    <w:rsid w:val="00B87887"/>
    <w:rsid w:val="00B90528"/>
    <w:rsid w:val="00B909F4"/>
    <w:rsid w:val="00B913F4"/>
    <w:rsid w:val="00B91526"/>
    <w:rsid w:val="00B91C41"/>
    <w:rsid w:val="00B9619B"/>
    <w:rsid w:val="00BA083E"/>
    <w:rsid w:val="00BA11D4"/>
    <w:rsid w:val="00BA1DB7"/>
    <w:rsid w:val="00BA258A"/>
    <w:rsid w:val="00BA3661"/>
    <w:rsid w:val="00BA3C8F"/>
    <w:rsid w:val="00BA3D4E"/>
    <w:rsid w:val="00BA59A6"/>
    <w:rsid w:val="00BA7D29"/>
    <w:rsid w:val="00BB0012"/>
    <w:rsid w:val="00BB0333"/>
    <w:rsid w:val="00BB1CF6"/>
    <w:rsid w:val="00BB35A4"/>
    <w:rsid w:val="00BB3D90"/>
    <w:rsid w:val="00BB402F"/>
    <w:rsid w:val="00BB4905"/>
    <w:rsid w:val="00BB4935"/>
    <w:rsid w:val="00BB51F6"/>
    <w:rsid w:val="00BB6CEB"/>
    <w:rsid w:val="00BB7307"/>
    <w:rsid w:val="00BB7543"/>
    <w:rsid w:val="00BC0904"/>
    <w:rsid w:val="00BC10B3"/>
    <w:rsid w:val="00BC1526"/>
    <w:rsid w:val="00BC2B94"/>
    <w:rsid w:val="00BC3A51"/>
    <w:rsid w:val="00BC491C"/>
    <w:rsid w:val="00BC4F5F"/>
    <w:rsid w:val="00BC5176"/>
    <w:rsid w:val="00BC5570"/>
    <w:rsid w:val="00BC560C"/>
    <w:rsid w:val="00BC5716"/>
    <w:rsid w:val="00BC5746"/>
    <w:rsid w:val="00BC651E"/>
    <w:rsid w:val="00BC6731"/>
    <w:rsid w:val="00BD0231"/>
    <w:rsid w:val="00BD0E3A"/>
    <w:rsid w:val="00BD1E93"/>
    <w:rsid w:val="00BD29A4"/>
    <w:rsid w:val="00BD4318"/>
    <w:rsid w:val="00BD4DAB"/>
    <w:rsid w:val="00BD62DE"/>
    <w:rsid w:val="00BD68D1"/>
    <w:rsid w:val="00BD6F2A"/>
    <w:rsid w:val="00BD7247"/>
    <w:rsid w:val="00BD7E23"/>
    <w:rsid w:val="00BE0E3B"/>
    <w:rsid w:val="00BE33F6"/>
    <w:rsid w:val="00BE34DF"/>
    <w:rsid w:val="00BE37A8"/>
    <w:rsid w:val="00BE45FB"/>
    <w:rsid w:val="00BE4933"/>
    <w:rsid w:val="00BE5DBE"/>
    <w:rsid w:val="00BE60E7"/>
    <w:rsid w:val="00BE63D8"/>
    <w:rsid w:val="00BE65B6"/>
    <w:rsid w:val="00BE75B3"/>
    <w:rsid w:val="00BE77BA"/>
    <w:rsid w:val="00BF1180"/>
    <w:rsid w:val="00BF230B"/>
    <w:rsid w:val="00BF270E"/>
    <w:rsid w:val="00BF32C7"/>
    <w:rsid w:val="00BF508C"/>
    <w:rsid w:val="00BF694D"/>
    <w:rsid w:val="00BF6FEB"/>
    <w:rsid w:val="00BF7B79"/>
    <w:rsid w:val="00BF7D75"/>
    <w:rsid w:val="00C00804"/>
    <w:rsid w:val="00C00900"/>
    <w:rsid w:val="00C009C8"/>
    <w:rsid w:val="00C00AE9"/>
    <w:rsid w:val="00C00E43"/>
    <w:rsid w:val="00C01066"/>
    <w:rsid w:val="00C012F1"/>
    <w:rsid w:val="00C0138E"/>
    <w:rsid w:val="00C02C3E"/>
    <w:rsid w:val="00C02D4E"/>
    <w:rsid w:val="00C03980"/>
    <w:rsid w:val="00C04245"/>
    <w:rsid w:val="00C047B0"/>
    <w:rsid w:val="00C0605B"/>
    <w:rsid w:val="00C072A3"/>
    <w:rsid w:val="00C07726"/>
    <w:rsid w:val="00C0777E"/>
    <w:rsid w:val="00C07995"/>
    <w:rsid w:val="00C07A14"/>
    <w:rsid w:val="00C07BE5"/>
    <w:rsid w:val="00C10E2D"/>
    <w:rsid w:val="00C10F8B"/>
    <w:rsid w:val="00C11162"/>
    <w:rsid w:val="00C112AE"/>
    <w:rsid w:val="00C11341"/>
    <w:rsid w:val="00C11406"/>
    <w:rsid w:val="00C12691"/>
    <w:rsid w:val="00C13088"/>
    <w:rsid w:val="00C134DE"/>
    <w:rsid w:val="00C14236"/>
    <w:rsid w:val="00C15039"/>
    <w:rsid w:val="00C157F7"/>
    <w:rsid w:val="00C16DD5"/>
    <w:rsid w:val="00C175BC"/>
    <w:rsid w:val="00C17850"/>
    <w:rsid w:val="00C17D24"/>
    <w:rsid w:val="00C207D8"/>
    <w:rsid w:val="00C20990"/>
    <w:rsid w:val="00C2186C"/>
    <w:rsid w:val="00C2350F"/>
    <w:rsid w:val="00C249DE"/>
    <w:rsid w:val="00C24C76"/>
    <w:rsid w:val="00C24F6E"/>
    <w:rsid w:val="00C2527A"/>
    <w:rsid w:val="00C26FA9"/>
    <w:rsid w:val="00C27C72"/>
    <w:rsid w:val="00C27F89"/>
    <w:rsid w:val="00C305EC"/>
    <w:rsid w:val="00C30FFC"/>
    <w:rsid w:val="00C31A20"/>
    <w:rsid w:val="00C31C05"/>
    <w:rsid w:val="00C335DE"/>
    <w:rsid w:val="00C3555E"/>
    <w:rsid w:val="00C361C9"/>
    <w:rsid w:val="00C406B9"/>
    <w:rsid w:val="00C40F8D"/>
    <w:rsid w:val="00C411AC"/>
    <w:rsid w:val="00C42253"/>
    <w:rsid w:val="00C42ACB"/>
    <w:rsid w:val="00C42F45"/>
    <w:rsid w:val="00C4397C"/>
    <w:rsid w:val="00C43FC5"/>
    <w:rsid w:val="00C444A3"/>
    <w:rsid w:val="00C447BF"/>
    <w:rsid w:val="00C44857"/>
    <w:rsid w:val="00C45C7C"/>
    <w:rsid w:val="00C46630"/>
    <w:rsid w:val="00C4682B"/>
    <w:rsid w:val="00C46ECB"/>
    <w:rsid w:val="00C46F11"/>
    <w:rsid w:val="00C47176"/>
    <w:rsid w:val="00C475AD"/>
    <w:rsid w:val="00C47D58"/>
    <w:rsid w:val="00C5109B"/>
    <w:rsid w:val="00C51361"/>
    <w:rsid w:val="00C517D1"/>
    <w:rsid w:val="00C53E47"/>
    <w:rsid w:val="00C543D7"/>
    <w:rsid w:val="00C54A4E"/>
    <w:rsid w:val="00C55164"/>
    <w:rsid w:val="00C554C0"/>
    <w:rsid w:val="00C55DDF"/>
    <w:rsid w:val="00C57A23"/>
    <w:rsid w:val="00C6029C"/>
    <w:rsid w:val="00C6128C"/>
    <w:rsid w:val="00C61DE3"/>
    <w:rsid w:val="00C63688"/>
    <w:rsid w:val="00C643C5"/>
    <w:rsid w:val="00C64477"/>
    <w:rsid w:val="00C64A17"/>
    <w:rsid w:val="00C6532F"/>
    <w:rsid w:val="00C653D8"/>
    <w:rsid w:val="00C66EC4"/>
    <w:rsid w:val="00C71DBA"/>
    <w:rsid w:val="00C72CFA"/>
    <w:rsid w:val="00C7422B"/>
    <w:rsid w:val="00C74566"/>
    <w:rsid w:val="00C749C4"/>
    <w:rsid w:val="00C75E9E"/>
    <w:rsid w:val="00C7678E"/>
    <w:rsid w:val="00C767FC"/>
    <w:rsid w:val="00C769CC"/>
    <w:rsid w:val="00C77029"/>
    <w:rsid w:val="00C8088E"/>
    <w:rsid w:val="00C80AB7"/>
    <w:rsid w:val="00C813DF"/>
    <w:rsid w:val="00C833DC"/>
    <w:rsid w:val="00C8389A"/>
    <w:rsid w:val="00C839A4"/>
    <w:rsid w:val="00C83F6C"/>
    <w:rsid w:val="00C84060"/>
    <w:rsid w:val="00C84186"/>
    <w:rsid w:val="00C8435E"/>
    <w:rsid w:val="00C8541C"/>
    <w:rsid w:val="00C85B68"/>
    <w:rsid w:val="00C85DD5"/>
    <w:rsid w:val="00C86917"/>
    <w:rsid w:val="00C8706E"/>
    <w:rsid w:val="00C879D4"/>
    <w:rsid w:val="00C904BC"/>
    <w:rsid w:val="00C90FFD"/>
    <w:rsid w:val="00C91069"/>
    <w:rsid w:val="00C917FD"/>
    <w:rsid w:val="00C91C64"/>
    <w:rsid w:val="00C91F2C"/>
    <w:rsid w:val="00C92156"/>
    <w:rsid w:val="00C92CB0"/>
    <w:rsid w:val="00C94B10"/>
    <w:rsid w:val="00C94CC2"/>
    <w:rsid w:val="00C95893"/>
    <w:rsid w:val="00C9591B"/>
    <w:rsid w:val="00C96460"/>
    <w:rsid w:val="00C967F0"/>
    <w:rsid w:val="00C9768C"/>
    <w:rsid w:val="00CA0809"/>
    <w:rsid w:val="00CA17BE"/>
    <w:rsid w:val="00CA265E"/>
    <w:rsid w:val="00CA2CEF"/>
    <w:rsid w:val="00CA39BC"/>
    <w:rsid w:val="00CA4A98"/>
    <w:rsid w:val="00CA52A1"/>
    <w:rsid w:val="00CA613E"/>
    <w:rsid w:val="00CA629E"/>
    <w:rsid w:val="00CA66DB"/>
    <w:rsid w:val="00CA68E4"/>
    <w:rsid w:val="00CA711A"/>
    <w:rsid w:val="00CA7E22"/>
    <w:rsid w:val="00CA7EE3"/>
    <w:rsid w:val="00CB07A4"/>
    <w:rsid w:val="00CB141E"/>
    <w:rsid w:val="00CB1741"/>
    <w:rsid w:val="00CB1F66"/>
    <w:rsid w:val="00CB2021"/>
    <w:rsid w:val="00CB20D6"/>
    <w:rsid w:val="00CB24F7"/>
    <w:rsid w:val="00CB2822"/>
    <w:rsid w:val="00CB4DFB"/>
    <w:rsid w:val="00CB4FCA"/>
    <w:rsid w:val="00CB6772"/>
    <w:rsid w:val="00CB74D2"/>
    <w:rsid w:val="00CC08FF"/>
    <w:rsid w:val="00CC239B"/>
    <w:rsid w:val="00CC438D"/>
    <w:rsid w:val="00CC566A"/>
    <w:rsid w:val="00CC5E31"/>
    <w:rsid w:val="00CC7D26"/>
    <w:rsid w:val="00CC7D94"/>
    <w:rsid w:val="00CD0727"/>
    <w:rsid w:val="00CD07E8"/>
    <w:rsid w:val="00CD0E2D"/>
    <w:rsid w:val="00CD208E"/>
    <w:rsid w:val="00CD281E"/>
    <w:rsid w:val="00CD2D6F"/>
    <w:rsid w:val="00CD3C86"/>
    <w:rsid w:val="00CD4427"/>
    <w:rsid w:val="00CD4914"/>
    <w:rsid w:val="00CD500E"/>
    <w:rsid w:val="00CD5EDB"/>
    <w:rsid w:val="00CD6131"/>
    <w:rsid w:val="00CD668C"/>
    <w:rsid w:val="00CD6752"/>
    <w:rsid w:val="00CD6776"/>
    <w:rsid w:val="00CD7062"/>
    <w:rsid w:val="00CD78CB"/>
    <w:rsid w:val="00CD7A7C"/>
    <w:rsid w:val="00CE0894"/>
    <w:rsid w:val="00CE11DD"/>
    <w:rsid w:val="00CE27D1"/>
    <w:rsid w:val="00CE2842"/>
    <w:rsid w:val="00CE375E"/>
    <w:rsid w:val="00CE3AEE"/>
    <w:rsid w:val="00CE415B"/>
    <w:rsid w:val="00CE49B7"/>
    <w:rsid w:val="00CE7253"/>
    <w:rsid w:val="00CE7FA8"/>
    <w:rsid w:val="00CF0182"/>
    <w:rsid w:val="00CF04E9"/>
    <w:rsid w:val="00CF0570"/>
    <w:rsid w:val="00CF0907"/>
    <w:rsid w:val="00CF1811"/>
    <w:rsid w:val="00CF1FE0"/>
    <w:rsid w:val="00CF2177"/>
    <w:rsid w:val="00CF2853"/>
    <w:rsid w:val="00CF361A"/>
    <w:rsid w:val="00CF5732"/>
    <w:rsid w:val="00CF674C"/>
    <w:rsid w:val="00CF73A0"/>
    <w:rsid w:val="00CF7907"/>
    <w:rsid w:val="00CF7B00"/>
    <w:rsid w:val="00D0072F"/>
    <w:rsid w:val="00D0282B"/>
    <w:rsid w:val="00D02F63"/>
    <w:rsid w:val="00D03878"/>
    <w:rsid w:val="00D04112"/>
    <w:rsid w:val="00D04CB0"/>
    <w:rsid w:val="00D05102"/>
    <w:rsid w:val="00D05119"/>
    <w:rsid w:val="00D057BC"/>
    <w:rsid w:val="00D058C4"/>
    <w:rsid w:val="00D062DC"/>
    <w:rsid w:val="00D06921"/>
    <w:rsid w:val="00D0697B"/>
    <w:rsid w:val="00D07B6E"/>
    <w:rsid w:val="00D07D8C"/>
    <w:rsid w:val="00D07DE9"/>
    <w:rsid w:val="00D10C39"/>
    <w:rsid w:val="00D10D65"/>
    <w:rsid w:val="00D11939"/>
    <w:rsid w:val="00D120EE"/>
    <w:rsid w:val="00D122A9"/>
    <w:rsid w:val="00D12752"/>
    <w:rsid w:val="00D12B75"/>
    <w:rsid w:val="00D13EC2"/>
    <w:rsid w:val="00D155E5"/>
    <w:rsid w:val="00D158C5"/>
    <w:rsid w:val="00D158C8"/>
    <w:rsid w:val="00D15FE6"/>
    <w:rsid w:val="00D166DD"/>
    <w:rsid w:val="00D17E9F"/>
    <w:rsid w:val="00D21FA1"/>
    <w:rsid w:val="00D22B80"/>
    <w:rsid w:val="00D22C64"/>
    <w:rsid w:val="00D23296"/>
    <w:rsid w:val="00D234F5"/>
    <w:rsid w:val="00D24837"/>
    <w:rsid w:val="00D249CD"/>
    <w:rsid w:val="00D249DA"/>
    <w:rsid w:val="00D24BE3"/>
    <w:rsid w:val="00D258E8"/>
    <w:rsid w:val="00D26210"/>
    <w:rsid w:val="00D263B5"/>
    <w:rsid w:val="00D27D06"/>
    <w:rsid w:val="00D30A3C"/>
    <w:rsid w:val="00D3143C"/>
    <w:rsid w:val="00D3189E"/>
    <w:rsid w:val="00D31A8F"/>
    <w:rsid w:val="00D32550"/>
    <w:rsid w:val="00D32829"/>
    <w:rsid w:val="00D32BF3"/>
    <w:rsid w:val="00D32F98"/>
    <w:rsid w:val="00D330F6"/>
    <w:rsid w:val="00D336E3"/>
    <w:rsid w:val="00D3380E"/>
    <w:rsid w:val="00D34CFA"/>
    <w:rsid w:val="00D35456"/>
    <w:rsid w:val="00D35F1A"/>
    <w:rsid w:val="00D361B0"/>
    <w:rsid w:val="00D361B2"/>
    <w:rsid w:val="00D36819"/>
    <w:rsid w:val="00D36A59"/>
    <w:rsid w:val="00D36DD9"/>
    <w:rsid w:val="00D37725"/>
    <w:rsid w:val="00D41062"/>
    <w:rsid w:val="00D41BB6"/>
    <w:rsid w:val="00D41BC1"/>
    <w:rsid w:val="00D4204F"/>
    <w:rsid w:val="00D43357"/>
    <w:rsid w:val="00D4496D"/>
    <w:rsid w:val="00D449F1"/>
    <w:rsid w:val="00D45A82"/>
    <w:rsid w:val="00D46BC8"/>
    <w:rsid w:val="00D479A7"/>
    <w:rsid w:val="00D51445"/>
    <w:rsid w:val="00D51520"/>
    <w:rsid w:val="00D54232"/>
    <w:rsid w:val="00D55850"/>
    <w:rsid w:val="00D55B47"/>
    <w:rsid w:val="00D56382"/>
    <w:rsid w:val="00D60CCA"/>
    <w:rsid w:val="00D6142C"/>
    <w:rsid w:val="00D6143F"/>
    <w:rsid w:val="00D614FA"/>
    <w:rsid w:val="00D61996"/>
    <w:rsid w:val="00D6242A"/>
    <w:rsid w:val="00D6252A"/>
    <w:rsid w:val="00D63183"/>
    <w:rsid w:val="00D63942"/>
    <w:rsid w:val="00D644A5"/>
    <w:rsid w:val="00D66510"/>
    <w:rsid w:val="00D67383"/>
    <w:rsid w:val="00D7029C"/>
    <w:rsid w:val="00D70535"/>
    <w:rsid w:val="00D7068F"/>
    <w:rsid w:val="00D71125"/>
    <w:rsid w:val="00D7150D"/>
    <w:rsid w:val="00D71D09"/>
    <w:rsid w:val="00D71E95"/>
    <w:rsid w:val="00D73055"/>
    <w:rsid w:val="00D76655"/>
    <w:rsid w:val="00D77246"/>
    <w:rsid w:val="00D800B8"/>
    <w:rsid w:val="00D805EF"/>
    <w:rsid w:val="00D80737"/>
    <w:rsid w:val="00D808D0"/>
    <w:rsid w:val="00D82405"/>
    <w:rsid w:val="00D82581"/>
    <w:rsid w:val="00D839C5"/>
    <w:rsid w:val="00D84811"/>
    <w:rsid w:val="00D87724"/>
    <w:rsid w:val="00D878C8"/>
    <w:rsid w:val="00D87E8C"/>
    <w:rsid w:val="00D90ED9"/>
    <w:rsid w:val="00D926AF"/>
    <w:rsid w:val="00D929D3"/>
    <w:rsid w:val="00D92DA3"/>
    <w:rsid w:val="00D931D9"/>
    <w:rsid w:val="00D935BB"/>
    <w:rsid w:val="00D93665"/>
    <w:rsid w:val="00D93677"/>
    <w:rsid w:val="00D95452"/>
    <w:rsid w:val="00D95B8E"/>
    <w:rsid w:val="00D95E77"/>
    <w:rsid w:val="00D95F98"/>
    <w:rsid w:val="00D96464"/>
    <w:rsid w:val="00D96D41"/>
    <w:rsid w:val="00D9792F"/>
    <w:rsid w:val="00DA121F"/>
    <w:rsid w:val="00DA2591"/>
    <w:rsid w:val="00DA3178"/>
    <w:rsid w:val="00DA5284"/>
    <w:rsid w:val="00DB0351"/>
    <w:rsid w:val="00DB0F38"/>
    <w:rsid w:val="00DB0F76"/>
    <w:rsid w:val="00DB160D"/>
    <w:rsid w:val="00DB2410"/>
    <w:rsid w:val="00DB2F35"/>
    <w:rsid w:val="00DB2F8A"/>
    <w:rsid w:val="00DB3ADF"/>
    <w:rsid w:val="00DB5D58"/>
    <w:rsid w:val="00DB66E1"/>
    <w:rsid w:val="00DB7A07"/>
    <w:rsid w:val="00DB7C1C"/>
    <w:rsid w:val="00DC0EA2"/>
    <w:rsid w:val="00DC1012"/>
    <w:rsid w:val="00DC16EB"/>
    <w:rsid w:val="00DC2BD9"/>
    <w:rsid w:val="00DC310D"/>
    <w:rsid w:val="00DC34AD"/>
    <w:rsid w:val="00DC34DC"/>
    <w:rsid w:val="00DC369D"/>
    <w:rsid w:val="00DC3B59"/>
    <w:rsid w:val="00DC4245"/>
    <w:rsid w:val="00DC4603"/>
    <w:rsid w:val="00DC551B"/>
    <w:rsid w:val="00DC5DC9"/>
    <w:rsid w:val="00DC6352"/>
    <w:rsid w:val="00DC697C"/>
    <w:rsid w:val="00DC6AEB"/>
    <w:rsid w:val="00DC7A18"/>
    <w:rsid w:val="00DD1ADE"/>
    <w:rsid w:val="00DD3C82"/>
    <w:rsid w:val="00DD471E"/>
    <w:rsid w:val="00DD52FB"/>
    <w:rsid w:val="00DD7626"/>
    <w:rsid w:val="00DD7FA4"/>
    <w:rsid w:val="00DE068F"/>
    <w:rsid w:val="00DE16DF"/>
    <w:rsid w:val="00DE38E2"/>
    <w:rsid w:val="00DE3B0A"/>
    <w:rsid w:val="00DE4B04"/>
    <w:rsid w:val="00DE553D"/>
    <w:rsid w:val="00DE598E"/>
    <w:rsid w:val="00DE5F25"/>
    <w:rsid w:val="00DE7271"/>
    <w:rsid w:val="00DE72C4"/>
    <w:rsid w:val="00DE7D9E"/>
    <w:rsid w:val="00DE7DC5"/>
    <w:rsid w:val="00DF07B3"/>
    <w:rsid w:val="00DF07B5"/>
    <w:rsid w:val="00DF08E6"/>
    <w:rsid w:val="00DF0F01"/>
    <w:rsid w:val="00DF19C9"/>
    <w:rsid w:val="00DF1BC5"/>
    <w:rsid w:val="00DF1C17"/>
    <w:rsid w:val="00DF2A17"/>
    <w:rsid w:val="00DF36FA"/>
    <w:rsid w:val="00DF5133"/>
    <w:rsid w:val="00DF6373"/>
    <w:rsid w:val="00DF65F6"/>
    <w:rsid w:val="00DF741D"/>
    <w:rsid w:val="00DF7494"/>
    <w:rsid w:val="00E012CD"/>
    <w:rsid w:val="00E02F24"/>
    <w:rsid w:val="00E03F95"/>
    <w:rsid w:val="00E0570E"/>
    <w:rsid w:val="00E06C00"/>
    <w:rsid w:val="00E0784F"/>
    <w:rsid w:val="00E12109"/>
    <w:rsid w:val="00E12E82"/>
    <w:rsid w:val="00E149F4"/>
    <w:rsid w:val="00E1535E"/>
    <w:rsid w:val="00E155A9"/>
    <w:rsid w:val="00E15603"/>
    <w:rsid w:val="00E17698"/>
    <w:rsid w:val="00E211A1"/>
    <w:rsid w:val="00E214AA"/>
    <w:rsid w:val="00E21C6B"/>
    <w:rsid w:val="00E21E69"/>
    <w:rsid w:val="00E223D2"/>
    <w:rsid w:val="00E2287E"/>
    <w:rsid w:val="00E22E9B"/>
    <w:rsid w:val="00E232AC"/>
    <w:rsid w:val="00E24B71"/>
    <w:rsid w:val="00E25A87"/>
    <w:rsid w:val="00E27DD2"/>
    <w:rsid w:val="00E27F1E"/>
    <w:rsid w:val="00E31020"/>
    <w:rsid w:val="00E31F46"/>
    <w:rsid w:val="00E32F58"/>
    <w:rsid w:val="00E3383F"/>
    <w:rsid w:val="00E33B0A"/>
    <w:rsid w:val="00E33F9C"/>
    <w:rsid w:val="00E34117"/>
    <w:rsid w:val="00E35CD5"/>
    <w:rsid w:val="00E35FF4"/>
    <w:rsid w:val="00E36CD7"/>
    <w:rsid w:val="00E37F6E"/>
    <w:rsid w:val="00E41714"/>
    <w:rsid w:val="00E42384"/>
    <w:rsid w:val="00E43E43"/>
    <w:rsid w:val="00E44100"/>
    <w:rsid w:val="00E441B1"/>
    <w:rsid w:val="00E4435B"/>
    <w:rsid w:val="00E44D91"/>
    <w:rsid w:val="00E456DB"/>
    <w:rsid w:val="00E45769"/>
    <w:rsid w:val="00E46138"/>
    <w:rsid w:val="00E506DF"/>
    <w:rsid w:val="00E515B1"/>
    <w:rsid w:val="00E51C35"/>
    <w:rsid w:val="00E51E66"/>
    <w:rsid w:val="00E533CD"/>
    <w:rsid w:val="00E542FC"/>
    <w:rsid w:val="00E54DFB"/>
    <w:rsid w:val="00E56067"/>
    <w:rsid w:val="00E56373"/>
    <w:rsid w:val="00E566A1"/>
    <w:rsid w:val="00E56895"/>
    <w:rsid w:val="00E57189"/>
    <w:rsid w:val="00E57640"/>
    <w:rsid w:val="00E576AC"/>
    <w:rsid w:val="00E60060"/>
    <w:rsid w:val="00E60B7A"/>
    <w:rsid w:val="00E61646"/>
    <w:rsid w:val="00E61CE3"/>
    <w:rsid w:val="00E6254A"/>
    <w:rsid w:val="00E62A04"/>
    <w:rsid w:val="00E62F37"/>
    <w:rsid w:val="00E64351"/>
    <w:rsid w:val="00E648FC"/>
    <w:rsid w:val="00E64BEB"/>
    <w:rsid w:val="00E64EDC"/>
    <w:rsid w:val="00E64F24"/>
    <w:rsid w:val="00E66FCB"/>
    <w:rsid w:val="00E718F2"/>
    <w:rsid w:val="00E71C0E"/>
    <w:rsid w:val="00E72282"/>
    <w:rsid w:val="00E729E9"/>
    <w:rsid w:val="00E73305"/>
    <w:rsid w:val="00E7379E"/>
    <w:rsid w:val="00E74475"/>
    <w:rsid w:val="00E7461F"/>
    <w:rsid w:val="00E748D9"/>
    <w:rsid w:val="00E74DEE"/>
    <w:rsid w:val="00E75ADE"/>
    <w:rsid w:val="00E75CCD"/>
    <w:rsid w:val="00E760E7"/>
    <w:rsid w:val="00E77052"/>
    <w:rsid w:val="00E80101"/>
    <w:rsid w:val="00E80B3B"/>
    <w:rsid w:val="00E80F68"/>
    <w:rsid w:val="00E83EE7"/>
    <w:rsid w:val="00E8402B"/>
    <w:rsid w:val="00E84183"/>
    <w:rsid w:val="00E84944"/>
    <w:rsid w:val="00E84AA2"/>
    <w:rsid w:val="00E85297"/>
    <w:rsid w:val="00E85A8D"/>
    <w:rsid w:val="00E85F32"/>
    <w:rsid w:val="00E86399"/>
    <w:rsid w:val="00E86CAF"/>
    <w:rsid w:val="00E900DB"/>
    <w:rsid w:val="00E90596"/>
    <w:rsid w:val="00E90890"/>
    <w:rsid w:val="00E90F34"/>
    <w:rsid w:val="00E91F3E"/>
    <w:rsid w:val="00E92AD2"/>
    <w:rsid w:val="00E93737"/>
    <w:rsid w:val="00E93EF0"/>
    <w:rsid w:val="00E94CDD"/>
    <w:rsid w:val="00E94CEF"/>
    <w:rsid w:val="00E95E57"/>
    <w:rsid w:val="00E96378"/>
    <w:rsid w:val="00E9794F"/>
    <w:rsid w:val="00E97B42"/>
    <w:rsid w:val="00EA04B7"/>
    <w:rsid w:val="00EA14D8"/>
    <w:rsid w:val="00EA173B"/>
    <w:rsid w:val="00EA25AA"/>
    <w:rsid w:val="00EA3C8A"/>
    <w:rsid w:val="00EA3D3E"/>
    <w:rsid w:val="00EA4CDF"/>
    <w:rsid w:val="00EA5B14"/>
    <w:rsid w:val="00EA60BF"/>
    <w:rsid w:val="00EA6552"/>
    <w:rsid w:val="00EA696E"/>
    <w:rsid w:val="00EA6A64"/>
    <w:rsid w:val="00EA7A73"/>
    <w:rsid w:val="00EB0109"/>
    <w:rsid w:val="00EB0806"/>
    <w:rsid w:val="00EB0DF7"/>
    <w:rsid w:val="00EB18B9"/>
    <w:rsid w:val="00EB1AFC"/>
    <w:rsid w:val="00EB23D2"/>
    <w:rsid w:val="00EB241A"/>
    <w:rsid w:val="00EB313A"/>
    <w:rsid w:val="00EB4383"/>
    <w:rsid w:val="00EB46F3"/>
    <w:rsid w:val="00EB4FB1"/>
    <w:rsid w:val="00EB523E"/>
    <w:rsid w:val="00EB5689"/>
    <w:rsid w:val="00EB6675"/>
    <w:rsid w:val="00EB67C5"/>
    <w:rsid w:val="00EB6F0E"/>
    <w:rsid w:val="00EC0331"/>
    <w:rsid w:val="00EC170B"/>
    <w:rsid w:val="00EC2A43"/>
    <w:rsid w:val="00EC2A53"/>
    <w:rsid w:val="00EC2D39"/>
    <w:rsid w:val="00EC3424"/>
    <w:rsid w:val="00EC3572"/>
    <w:rsid w:val="00EC38B8"/>
    <w:rsid w:val="00EC3AC1"/>
    <w:rsid w:val="00EC3CD1"/>
    <w:rsid w:val="00EC41DF"/>
    <w:rsid w:val="00EC5D50"/>
    <w:rsid w:val="00EC6643"/>
    <w:rsid w:val="00EC6E18"/>
    <w:rsid w:val="00EC7DB5"/>
    <w:rsid w:val="00ED0656"/>
    <w:rsid w:val="00ED14FD"/>
    <w:rsid w:val="00ED26DF"/>
    <w:rsid w:val="00ED275F"/>
    <w:rsid w:val="00ED2A5E"/>
    <w:rsid w:val="00ED2BB9"/>
    <w:rsid w:val="00ED3881"/>
    <w:rsid w:val="00ED5B41"/>
    <w:rsid w:val="00ED5ED3"/>
    <w:rsid w:val="00ED7049"/>
    <w:rsid w:val="00ED70F5"/>
    <w:rsid w:val="00ED72B0"/>
    <w:rsid w:val="00ED750E"/>
    <w:rsid w:val="00ED7A31"/>
    <w:rsid w:val="00EE21D0"/>
    <w:rsid w:val="00EE22A0"/>
    <w:rsid w:val="00EE4389"/>
    <w:rsid w:val="00EE452E"/>
    <w:rsid w:val="00EE48C5"/>
    <w:rsid w:val="00EE5B49"/>
    <w:rsid w:val="00EE65A7"/>
    <w:rsid w:val="00EE6FE8"/>
    <w:rsid w:val="00EF17B2"/>
    <w:rsid w:val="00EF1FD8"/>
    <w:rsid w:val="00EF2AE8"/>
    <w:rsid w:val="00EF3554"/>
    <w:rsid w:val="00EF422A"/>
    <w:rsid w:val="00EF6DCB"/>
    <w:rsid w:val="00EF74B2"/>
    <w:rsid w:val="00EF753D"/>
    <w:rsid w:val="00F00C73"/>
    <w:rsid w:val="00F013E6"/>
    <w:rsid w:val="00F0382C"/>
    <w:rsid w:val="00F03DA7"/>
    <w:rsid w:val="00F043A1"/>
    <w:rsid w:val="00F04C18"/>
    <w:rsid w:val="00F06198"/>
    <w:rsid w:val="00F06E50"/>
    <w:rsid w:val="00F072AD"/>
    <w:rsid w:val="00F07BBC"/>
    <w:rsid w:val="00F10554"/>
    <w:rsid w:val="00F10D25"/>
    <w:rsid w:val="00F10EA7"/>
    <w:rsid w:val="00F12454"/>
    <w:rsid w:val="00F1299A"/>
    <w:rsid w:val="00F14705"/>
    <w:rsid w:val="00F1591B"/>
    <w:rsid w:val="00F15DBB"/>
    <w:rsid w:val="00F1605E"/>
    <w:rsid w:val="00F16A22"/>
    <w:rsid w:val="00F16B95"/>
    <w:rsid w:val="00F208FE"/>
    <w:rsid w:val="00F209C6"/>
    <w:rsid w:val="00F21586"/>
    <w:rsid w:val="00F21B0F"/>
    <w:rsid w:val="00F21F2E"/>
    <w:rsid w:val="00F22D4D"/>
    <w:rsid w:val="00F242AA"/>
    <w:rsid w:val="00F247B7"/>
    <w:rsid w:val="00F25885"/>
    <w:rsid w:val="00F258FB"/>
    <w:rsid w:val="00F25F7F"/>
    <w:rsid w:val="00F26005"/>
    <w:rsid w:val="00F26AAF"/>
    <w:rsid w:val="00F26F91"/>
    <w:rsid w:val="00F271D5"/>
    <w:rsid w:val="00F279AF"/>
    <w:rsid w:val="00F27FC8"/>
    <w:rsid w:val="00F307E3"/>
    <w:rsid w:val="00F30927"/>
    <w:rsid w:val="00F315AB"/>
    <w:rsid w:val="00F31829"/>
    <w:rsid w:val="00F34429"/>
    <w:rsid w:val="00F34F23"/>
    <w:rsid w:val="00F35377"/>
    <w:rsid w:val="00F353F4"/>
    <w:rsid w:val="00F3609F"/>
    <w:rsid w:val="00F36160"/>
    <w:rsid w:val="00F3674E"/>
    <w:rsid w:val="00F36CA0"/>
    <w:rsid w:val="00F36F79"/>
    <w:rsid w:val="00F40169"/>
    <w:rsid w:val="00F40AF4"/>
    <w:rsid w:val="00F4234A"/>
    <w:rsid w:val="00F43977"/>
    <w:rsid w:val="00F44B70"/>
    <w:rsid w:val="00F45C04"/>
    <w:rsid w:val="00F464C1"/>
    <w:rsid w:val="00F47C65"/>
    <w:rsid w:val="00F50191"/>
    <w:rsid w:val="00F50445"/>
    <w:rsid w:val="00F50F9B"/>
    <w:rsid w:val="00F54750"/>
    <w:rsid w:val="00F54ABC"/>
    <w:rsid w:val="00F55D06"/>
    <w:rsid w:val="00F5630A"/>
    <w:rsid w:val="00F57251"/>
    <w:rsid w:val="00F61171"/>
    <w:rsid w:val="00F6130E"/>
    <w:rsid w:val="00F61DF8"/>
    <w:rsid w:val="00F61F28"/>
    <w:rsid w:val="00F62408"/>
    <w:rsid w:val="00F62BBB"/>
    <w:rsid w:val="00F6350E"/>
    <w:rsid w:val="00F64DC3"/>
    <w:rsid w:val="00F65387"/>
    <w:rsid w:val="00F653E1"/>
    <w:rsid w:val="00F65712"/>
    <w:rsid w:val="00F6581A"/>
    <w:rsid w:val="00F66902"/>
    <w:rsid w:val="00F6700D"/>
    <w:rsid w:val="00F675E7"/>
    <w:rsid w:val="00F676A9"/>
    <w:rsid w:val="00F678FF"/>
    <w:rsid w:val="00F71767"/>
    <w:rsid w:val="00F71CB4"/>
    <w:rsid w:val="00F71DEC"/>
    <w:rsid w:val="00F73AA2"/>
    <w:rsid w:val="00F73C52"/>
    <w:rsid w:val="00F75558"/>
    <w:rsid w:val="00F758A3"/>
    <w:rsid w:val="00F759BA"/>
    <w:rsid w:val="00F75D63"/>
    <w:rsid w:val="00F76704"/>
    <w:rsid w:val="00F76BE1"/>
    <w:rsid w:val="00F77046"/>
    <w:rsid w:val="00F811D8"/>
    <w:rsid w:val="00F819B8"/>
    <w:rsid w:val="00F8227F"/>
    <w:rsid w:val="00F83905"/>
    <w:rsid w:val="00F8471B"/>
    <w:rsid w:val="00F84AF6"/>
    <w:rsid w:val="00F84D86"/>
    <w:rsid w:val="00F86342"/>
    <w:rsid w:val="00F86AA8"/>
    <w:rsid w:val="00F86B21"/>
    <w:rsid w:val="00F86C67"/>
    <w:rsid w:val="00F86E3D"/>
    <w:rsid w:val="00F87B0E"/>
    <w:rsid w:val="00F90113"/>
    <w:rsid w:val="00F9145F"/>
    <w:rsid w:val="00F91A87"/>
    <w:rsid w:val="00F92CE2"/>
    <w:rsid w:val="00F95A20"/>
    <w:rsid w:val="00F95E2D"/>
    <w:rsid w:val="00F95E49"/>
    <w:rsid w:val="00F967E7"/>
    <w:rsid w:val="00F968FC"/>
    <w:rsid w:val="00F96A63"/>
    <w:rsid w:val="00F96DA6"/>
    <w:rsid w:val="00F97907"/>
    <w:rsid w:val="00FA1653"/>
    <w:rsid w:val="00FA16BB"/>
    <w:rsid w:val="00FA1B4F"/>
    <w:rsid w:val="00FA1DF6"/>
    <w:rsid w:val="00FA249E"/>
    <w:rsid w:val="00FA3624"/>
    <w:rsid w:val="00FA3C00"/>
    <w:rsid w:val="00FA3D5C"/>
    <w:rsid w:val="00FA3DD8"/>
    <w:rsid w:val="00FA7BDF"/>
    <w:rsid w:val="00FB0C26"/>
    <w:rsid w:val="00FB0EF5"/>
    <w:rsid w:val="00FB10E1"/>
    <w:rsid w:val="00FB190E"/>
    <w:rsid w:val="00FB2FBC"/>
    <w:rsid w:val="00FB3260"/>
    <w:rsid w:val="00FB39BA"/>
    <w:rsid w:val="00FB445D"/>
    <w:rsid w:val="00FB48DF"/>
    <w:rsid w:val="00FB61B1"/>
    <w:rsid w:val="00FB6404"/>
    <w:rsid w:val="00FB671D"/>
    <w:rsid w:val="00FC0CD2"/>
    <w:rsid w:val="00FC16A0"/>
    <w:rsid w:val="00FC2A43"/>
    <w:rsid w:val="00FC3138"/>
    <w:rsid w:val="00FC34D7"/>
    <w:rsid w:val="00FC3FFC"/>
    <w:rsid w:val="00FC4775"/>
    <w:rsid w:val="00FC5552"/>
    <w:rsid w:val="00FC6BE6"/>
    <w:rsid w:val="00FD080C"/>
    <w:rsid w:val="00FD10DA"/>
    <w:rsid w:val="00FD1255"/>
    <w:rsid w:val="00FD18DD"/>
    <w:rsid w:val="00FD3338"/>
    <w:rsid w:val="00FD4E47"/>
    <w:rsid w:val="00FD50B6"/>
    <w:rsid w:val="00FD58C4"/>
    <w:rsid w:val="00FD6365"/>
    <w:rsid w:val="00FD772E"/>
    <w:rsid w:val="00FE04C0"/>
    <w:rsid w:val="00FE1911"/>
    <w:rsid w:val="00FE293A"/>
    <w:rsid w:val="00FE2B02"/>
    <w:rsid w:val="00FE3634"/>
    <w:rsid w:val="00FE41CF"/>
    <w:rsid w:val="00FE4715"/>
    <w:rsid w:val="00FE6ED5"/>
    <w:rsid w:val="00FF056F"/>
    <w:rsid w:val="00FF16BB"/>
    <w:rsid w:val="00FF17E9"/>
    <w:rsid w:val="00FF3C84"/>
    <w:rsid w:val="00FF476E"/>
    <w:rsid w:val="00FF50AE"/>
    <w:rsid w:val="00FF5236"/>
    <w:rsid w:val="00FF5F0F"/>
    <w:rsid w:val="00FF7366"/>
    <w:rsid w:val="00FF7649"/>
    <w:rsid w:val="00FF76A9"/>
    <w:rsid w:val="00FF7E81"/>
    <w:rsid w:val="01544977"/>
    <w:rsid w:val="0185DFF6"/>
    <w:rsid w:val="01B69926"/>
    <w:rsid w:val="01F02B53"/>
    <w:rsid w:val="01F81C3D"/>
    <w:rsid w:val="022FD3BD"/>
    <w:rsid w:val="0237ABC3"/>
    <w:rsid w:val="025604B9"/>
    <w:rsid w:val="02825B45"/>
    <w:rsid w:val="02868F4C"/>
    <w:rsid w:val="028AFB95"/>
    <w:rsid w:val="02C70E60"/>
    <w:rsid w:val="02C7EB78"/>
    <w:rsid w:val="02E550A8"/>
    <w:rsid w:val="02E6BA97"/>
    <w:rsid w:val="02E95490"/>
    <w:rsid w:val="030F5E06"/>
    <w:rsid w:val="03134F66"/>
    <w:rsid w:val="0342A1D7"/>
    <w:rsid w:val="03720E01"/>
    <w:rsid w:val="03ECE0D6"/>
    <w:rsid w:val="040EF9E1"/>
    <w:rsid w:val="042887A3"/>
    <w:rsid w:val="045ADC56"/>
    <w:rsid w:val="0465D1FF"/>
    <w:rsid w:val="04829856"/>
    <w:rsid w:val="04920207"/>
    <w:rsid w:val="049474F3"/>
    <w:rsid w:val="050441B7"/>
    <w:rsid w:val="051E6254"/>
    <w:rsid w:val="055AB4E8"/>
    <w:rsid w:val="055DAD0B"/>
    <w:rsid w:val="057166B2"/>
    <w:rsid w:val="05981A12"/>
    <w:rsid w:val="05A5E620"/>
    <w:rsid w:val="05E82DFC"/>
    <w:rsid w:val="05F61B06"/>
    <w:rsid w:val="05FEE226"/>
    <w:rsid w:val="0601F23E"/>
    <w:rsid w:val="0620A3E0"/>
    <w:rsid w:val="0627BA9A"/>
    <w:rsid w:val="06577FDA"/>
    <w:rsid w:val="0665D76D"/>
    <w:rsid w:val="0721C149"/>
    <w:rsid w:val="0739A1C0"/>
    <w:rsid w:val="07D432DC"/>
    <w:rsid w:val="07FAC28E"/>
    <w:rsid w:val="0836D620"/>
    <w:rsid w:val="08E49FD5"/>
    <w:rsid w:val="08F52BD6"/>
    <w:rsid w:val="09ECBB97"/>
    <w:rsid w:val="0A279435"/>
    <w:rsid w:val="0A399B74"/>
    <w:rsid w:val="0A5FF47D"/>
    <w:rsid w:val="0AA55391"/>
    <w:rsid w:val="0AFFCAB6"/>
    <w:rsid w:val="0B04BC20"/>
    <w:rsid w:val="0B15CAF9"/>
    <w:rsid w:val="0B388EBE"/>
    <w:rsid w:val="0B41AB4F"/>
    <w:rsid w:val="0B6B6288"/>
    <w:rsid w:val="0BB0430C"/>
    <w:rsid w:val="0C2DD815"/>
    <w:rsid w:val="0CC94931"/>
    <w:rsid w:val="0D693F78"/>
    <w:rsid w:val="0D7E9EB3"/>
    <w:rsid w:val="0D9FBEED"/>
    <w:rsid w:val="0DB673A6"/>
    <w:rsid w:val="0E72310B"/>
    <w:rsid w:val="0E81D0F5"/>
    <w:rsid w:val="0EA24FA5"/>
    <w:rsid w:val="0EAD694C"/>
    <w:rsid w:val="0ECEDF9E"/>
    <w:rsid w:val="0F3F7716"/>
    <w:rsid w:val="0F51CC56"/>
    <w:rsid w:val="0F62DA19"/>
    <w:rsid w:val="0FC0525B"/>
    <w:rsid w:val="0FC13A8A"/>
    <w:rsid w:val="10519663"/>
    <w:rsid w:val="1073FD19"/>
    <w:rsid w:val="10896691"/>
    <w:rsid w:val="108B8130"/>
    <w:rsid w:val="10E56A81"/>
    <w:rsid w:val="10ED7662"/>
    <w:rsid w:val="116F7142"/>
    <w:rsid w:val="117984A0"/>
    <w:rsid w:val="1197CA3B"/>
    <w:rsid w:val="119EBC3F"/>
    <w:rsid w:val="11C19799"/>
    <w:rsid w:val="12692BC4"/>
    <w:rsid w:val="1296C825"/>
    <w:rsid w:val="129AA6C8"/>
    <w:rsid w:val="12B755FB"/>
    <w:rsid w:val="12CC7DAA"/>
    <w:rsid w:val="12D29EB6"/>
    <w:rsid w:val="12ED6542"/>
    <w:rsid w:val="13316314"/>
    <w:rsid w:val="13400800"/>
    <w:rsid w:val="1358D56E"/>
    <w:rsid w:val="13812BF5"/>
    <w:rsid w:val="13924709"/>
    <w:rsid w:val="139F3066"/>
    <w:rsid w:val="13C1207F"/>
    <w:rsid w:val="13C87A24"/>
    <w:rsid w:val="1415B895"/>
    <w:rsid w:val="1418E47E"/>
    <w:rsid w:val="1465E976"/>
    <w:rsid w:val="1482271C"/>
    <w:rsid w:val="149A37F6"/>
    <w:rsid w:val="14B098B7"/>
    <w:rsid w:val="14E3F967"/>
    <w:rsid w:val="14F2BF5E"/>
    <w:rsid w:val="151E7AC2"/>
    <w:rsid w:val="1565F593"/>
    <w:rsid w:val="158AB8AB"/>
    <w:rsid w:val="159AB37F"/>
    <w:rsid w:val="15FD0F65"/>
    <w:rsid w:val="16427338"/>
    <w:rsid w:val="165ADECA"/>
    <w:rsid w:val="168E8FBF"/>
    <w:rsid w:val="169664BE"/>
    <w:rsid w:val="16C4EF59"/>
    <w:rsid w:val="16D308C9"/>
    <w:rsid w:val="16E9DD06"/>
    <w:rsid w:val="1705D7E0"/>
    <w:rsid w:val="17140C6A"/>
    <w:rsid w:val="1742BFDB"/>
    <w:rsid w:val="17DEEF1D"/>
    <w:rsid w:val="17E82861"/>
    <w:rsid w:val="18182C00"/>
    <w:rsid w:val="181FB9EC"/>
    <w:rsid w:val="189786C3"/>
    <w:rsid w:val="18A4C8FD"/>
    <w:rsid w:val="193EB07F"/>
    <w:rsid w:val="193F4E69"/>
    <w:rsid w:val="19A0B35F"/>
    <w:rsid w:val="19A7ABD7"/>
    <w:rsid w:val="19C36123"/>
    <w:rsid w:val="19E15981"/>
    <w:rsid w:val="19E3FF7A"/>
    <w:rsid w:val="1A92FCF9"/>
    <w:rsid w:val="1AA4F756"/>
    <w:rsid w:val="1AB061DE"/>
    <w:rsid w:val="1B217B45"/>
    <w:rsid w:val="1B3203D2"/>
    <w:rsid w:val="1B41BF9B"/>
    <w:rsid w:val="1B95E389"/>
    <w:rsid w:val="1BAD04A7"/>
    <w:rsid w:val="1C423DF2"/>
    <w:rsid w:val="1C555F73"/>
    <w:rsid w:val="1C7626E0"/>
    <w:rsid w:val="1C9FE025"/>
    <w:rsid w:val="1CE4E728"/>
    <w:rsid w:val="1D116D9C"/>
    <w:rsid w:val="1D3367D3"/>
    <w:rsid w:val="1D33C6DA"/>
    <w:rsid w:val="1D89787D"/>
    <w:rsid w:val="1D98624B"/>
    <w:rsid w:val="1E05A015"/>
    <w:rsid w:val="1E15F469"/>
    <w:rsid w:val="1E21D652"/>
    <w:rsid w:val="1E721DF4"/>
    <w:rsid w:val="1E874D77"/>
    <w:rsid w:val="1E8CB662"/>
    <w:rsid w:val="1EA2344A"/>
    <w:rsid w:val="1EC64D79"/>
    <w:rsid w:val="1EDD69A3"/>
    <w:rsid w:val="1F5FB555"/>
    <w:rsid w:val="1F8D6497"/>
    <w:rsid w:val="1FA0DB13"/>
    <w:rsid w:val="1FC06749"/>
    <w:rsid w:val="1FC17709"/>
    <w:rsid w:val="20394BD9"/>
    <w:rsid w:val="20731D56"/>
    <w:rsid w:val="20AFFF31"/>
    <w:rsid w:val="20C5A493"/>
    <w:rsid w:val="20FE8E73"/>
    <w:rsid w:val="210B27E3"/>
    <w:rsid w:val="210F82E9"/>
    <w:rsid w:val="214C8D31"/>
    <w:rsid w:val="214D8054"/>
    <w:rsid w:val="214DC14B"/>
    <w:rsid w:val="21510043"/>
    <w:rsid w:val="2170DED7"/>
    <w:rsid w:val="2191E935"/>
    <w:rsid w:val="21ABCCC8"/>
    <w:rsid w:val="21D6E4E0"/>
    <w:rsid w:val="21EC9E3A"/>
    <w:rsid w:val="220296E4"/>
    <w:rsid w:val="2204E797"/>
    <w:rsid w:val="22298C0D"/>
    <w:rsid w:val="22309C81"/>
    <w:rsid w:val="223F279A"/>
    <w:rsid w:val="2258B917"/>
    <w:rsid w:val="22671515"/>
    <w:rsid w:val="229065C9"/>
    <w:rsid w:val="22A1B0F8"/>
    <w:rsid w:val="22DB926D"/>
    <w:rsid w:val="22F0DA6A"/>
    <w:rsid w:val="22F831E1"/>
    <w:rsid w:val="2389E5E9"/>
    <w:rsid w:val="2392B09E"/>
    <w:rsid w:val="23B0DAC6"/>
    <w:rsid w:val="23BF4354"/>
    <w:rsid w:val="2404A673"/>
    <w:rsid w:val="2438D010"/>
    <w:rsid w:val="24A32AD5"/>
    <w:rsid w:val="24C01A23"/>
    <w:rsid w:val="24C49DE4"/>
    <w:rsid w:val="24E9E6C2"/>
    <w:rsid w:val="25121079"/>
    <w:rsid w:val="25D03CFE"/>
    <w:rsid w:val="25ED4D1B"/>
    <w:rsid w:val="26178BB2"/>
    <w:rsid w:val="261D04CA"/>
    <w:rsid w:val="2664FA6D"/>
    <w:rsid w:val="26B7432D"/>
    <w:rsid w:val="26BAE45C"/>
    <w:rsid w:val="26DFB51D"/>
    <w:rsid w:val="271364D4"/>
    <w:rsid w:val="27157467"/>
    <w:rsid w:val="274ED227"/>
    <w:rsid w:val="275074B8"/>
    <w:rsid w:val="27722E5B"/>
    <w:rsid w:val="27E8A0C7"/>
    <w:rsid w:val="28193AB1"/>
    <w:rsid w:val="281B76AA"/>
    <w:rsid w:val="283D7342"/>
    <w:rsid w:val="2910F27C"/>
    <w:rsid w:val="2911842F"/>
    <w:rsid w:val="29183B5D"/>
    <w:rsid w:val="292724B2"/>
    <w:rsid w:val="2961B15E"/>
    <w:rsid w:val="29C0BE61"/>
    <w:rsid w:val="29D61DD6"/>
    <w:rsid w:val="29E1A688"/>
    <w:rsid w:val="2A2BAEB3"/>
    <w:rsid w:val="2A77149B"/>
    <w:rsid w:val="2AD969D1"/>
    <w:rsid w:val="2AF6E1F6"/>
    <w:rsid w:val="2B01F2A6"/>
    <w:rsid w:val="2B184316"/>
    <w:rsid w:val="2B3291A2"/>
    <w:rsid w:val="2B386B90"/>
    <w:rsid w:val="2B3B0517"/>
    <w:rsid w:val="2B8BEB2B"/>
    <w:rsid w:val="2B9E7C73"/>
    <w:rsid w:val="2BAE4658"/>
    <w:rsid w:val="2C603D91"/>
    <w:rsid w:val="2C78C752"/>
    <w:rsid w:val="2CB6BB47"/>
    <w:rsid w:val="2CBAF9C5"/>
    <w:rsid w:val="2CC58C3F"/>
    <w:rsid w:val="2CC6238A"/>
    <w:rsid w:val="2CCDEED1"/>
    <w:rsid w:val="2CD7BE93"/>
    <w:rsid w:val="2D33C7D7"/>
    <w:rsid w:val="2D481AC8"/>
    <w:rsid w:val="2D632256"/>
    <w:rsid w:val="2D65FEE3"/>
    <w:rsid w:val="2DA41287"/>
    <w:rsid w:val="2DCCB2B3"/>
    <w:rsid w:val="2DE8C3E2"/>
    <w:rsid w:val="2E15356D"/>
    <w:rsid w:val="2E1EE295"/>
    <w:rsid w:val="2E4F1468"/>
    <w:rsid w:val="2E7AD955"/>
    <w:rsid w:val="2EDBAA4A"/>
    <w:rsid w:val="2F12E727"/>
    <w:rsid w:val="2F481C27"/>
    <w:rsid w:val="3080DAE6"/>
    <w:rsid w:val="30853D30"/>
    <w:rsid w:val="308E1898"/>
    <w:rsid w:val="309BACF8"/>
    <w:rsid w:val="30B32DA8"/>
    <w:rsid w:val="30CF71E5"/>
    <w:rsid w:val="30DDAAFF"/>
    <w:rsid w:val="30F89624"/>
    <w:rsid w:val="3123DCF8"/>
    <w:rsid w:val="3254827C"/>
    <w:rsid w:val="329AC5A3"/>
    <w:rsid w:val="32D82D58"/>
    <w:rsid w:val="32DF5DB6"/>
    <w:rsid w:val="32E6CBBE"/>
    <w:rsid w:val="33158C93"/>
    <w:rsid w:val="333372CA"/>
    <w:rsid w:val="3369F4E7"/>
    <w:rsid w:val="3379ABD7"/>
    <w:rsid w:val="3385A782"/>
    <w:rsid w:val="338888CE"/>
    <w:rsid w:val="33CBDA1E"/>
    <w:rsid w:val="33EC3B3C"/>
    <w:rsid w:val="33F29312"/>
    <w:rsid w:val="345EBA18"/>
    <w:rsid w:val="345ED3A8"/>
    <w:rsid w:val="347F620B"/>
    <w:rsid w:val="34B53F8A"/>
    <w:rsid w:val="34D531F2"/>
    <w:rsid w:val="34DC445B"/>
    <w:rsid w:val="34F20AC4"/>
    <w:rsid w:val="34F49577"/>
    <w:rsid w:val="357984FF"/>
    <w:rsid w:val="3596A05D"/>
    <w:rsid w:val="35D41F26"/>
    <w:rsid w:val="35D68289"/>
    <w:rsid w:val="35E82948"/>
    <w:rsid w:val="35FA2D79"/>
    <w:rsid w:val="360B8C5B"/>
    <w:rsid w:val="36131B5E"/>
    <w:rsid w:val="361337EC"/>
    <w:rsid w:val="361408E8"/>
    <w:rsid w:val="361AA02C"/>
    <w:rsid w:val="3644A54D"/>
    <w:rsid w:val="367A5505"/>
    <w:rsid w:val="3683C611"/>
    <w:rsid w:val="3699E340"/>
    <w:rsid w:val="369CC248"/>
    <w:rsid w:val="36B677D2"/>
    <w:rsid w:val="36E93C31"/>
    <w:rsid w:val="36EC7594"/>
    <w:rsid w:val="36FDAFD7"/>
    <w:rsid w:val="37142724"/>
    <w:rsid w:val="373C9E50"/>
    <w:rsid w:val="373E385B"/>
    <w:rsid w:val="37AD1611"/>
    <w:rsid w:val="37AEBC55"/>
    <w:rsid w:val="37CE9EC6"/>
    <w:rsid w:val="389FF5CA"/>
    <w:rsid w:val="38F10425"/>
    <w:rsid w:val="391D225F"/>
    <w:rsid w:val="393C3701"/>
    <w:rsid w:val="393EC3BC"/>
    <w:rsid w:val="395A5752"/>
    <w:rsid w:val="39823494"/>
    <w:rsid w:val="398A451D"/>
    <w:rsid w:val="39D95B30"/>
    <w:rsid w:val="39E4D3C5"/>
    <w:rsid w:val="39EC3DE6"/>
    <w:rsid w:val="39F7CA52"/>
    <w:rsid w:val="3A203569"/>
    <w:rsid w:val="3A31995F"/>
    <w:rsid w:val="3ACD2857"/>
    <w:rsid w:val="3ADDBB6B"/>
    <w:rsid w:val="3AE27234"/>
    <w:rsid w:val="3AE56790"/>
    <w:rsid w:val="3B7D0D9F"/>
    <w:rsid w:val="3BC61B33"/>
    <w:rsid w:val="3BF63E51"/>
    <w:rsid w:val="3C045EDA"/>
    <w:rsid w:val="3C075DBF"/>
    <w:rsid w:val="3C0BD963"/>
    <w:rsid w:val="3C388042"/>
    <w:rsid w:val="3C4EDC99"/>
    <w:rsid w:val="3C57E12C"/>
    <w:rsid w:val="3C733595"/>
    <w:rsid w:val="3D161A59"/>
    <w:rsid w:val="3D1E7F09"/>
    <w:rsid w:val="3D75CE5C"/>
    <w:rsid w:val="3D774659"/>
    <w:rsid w:val="3DC6800A"/>
    <w:rsid w:val="3DEF42A6"/>
    <w:rsid w:val="3DF6F277"/>
    <w:rsid w:val="3E9609AB"/>
    <w:rsid w:val="3E9D0135"/>
    <w:rsid w:val="3EA5F765"/>
    <w:rsid w:val="3EA8A1C8"/>
    <w:rsid w:val="3EC60C72"/>
    <w:rsid w:val="3ED6B43E"/>
    <w:rsid w:val="3EE3C110"/>
    <w:rsid w:val="3EEFFD8A"/>
    <w:rsid w:val="3F60B733"/>
    <w:rsid w:val="3F7A22F4"/>
    <w:rsid w:val="3FA0D547"/>
    <w:rsid w:val="4005E9B0"/>
    <w:rsid w:val="400A87AC"/>
    <w:rsid w:val="406DE998"/>
    <w:rsid w:val="406F2E95"/>
    <w:rsid w:val="40DE234E"/>
    <w:rsid w:val="40F1371D"/>
    <w:rsid w:val="410A3DD8"/>
    <w:rsid w:val="411A18D7"/>
    <w:rsid w:val="412A1F00"/>
    <w:rsid w:val="414FA508"/>
    <w:rsid w:val="41631146"/>
    <w:rsid w:val="41897E8A"/>
    <w:rsid w:val="41BB47D3"/>
    <w:rsid w:val="41EC8CD6"/>
    <w:rsid w:val="41F2BAB8"/>
    <w:rsid w:val="42738FC5"/>
    <w:rsid w:val="42DACC19"/>
    <w:rsid w:val="42F731A3"/>
    <w:rsid w:val="42FA837E"/>
    <w:rsid w:val="43081EB2"/>
    <w:rsid w:val="4324C706"/>
    <w:rsid w:val="434BDAC6"/>
    <w:rsid w:val="43A69A1E"/>
    <w:rsid w:val="43AE63B7"/>
    <w:rsid w:val="43F8F915"/>
    <w:rsid w:val="43FFE416"/>
    <w:rsid w:val="4438C669"/>
    <w:rsid w:val="44399031"/>
    <w:rsid w:val="4457F593"/>
    <w:rsid w:val="4460A0BC"/>
    <w:rsid w:val="44D0D8C5"/>
    <w:rsid w:val="44ED8985"/>
    <w:rsid w:val="45388A18"/>
    <w:rsid w:val="45426A7F"/>
    <w:rsid w:val="456D8B58"/>
    <w:rsid w:val="45B250B8"/>
    <w:rsid w:val="45D7D5E6"/>
    <w:rsid w:val="46189BC9"/>
    <w:rsid w:val="462024AD"/>
    <w:rsid w:val="46C3BA51"/>
    <w:rsid w:val="46D441EE"/>
    <w:rsid w:val="46D803F0"/>
    <w:rsid w:val="47207877"/>
    <w:rsid w:val="4738C39C"/>
    <w:rsid w:val="474E8C0A"/>
    <w:rsid w:val="47898506"/>
    <w:rsid w:val="47931D70"/>
    <w:rsid w:val="47B12BF7"/>
    <w:rsid w:val="47BBEBCF"/>
    <w:rsid w:val="47E08663"/>
    <w:rsid w:val="47F06AA5"/>
    <w:rsid w:val="4810938B"/>
    <w:rsid w:val="482360AB"/>
    <w:rsid w:val="48361B09"/>
    <w:rsid w:val="486DA135"/>
    <w:rsid w:val="4884D335"/>
    <w:rsid w:val="48BE886D"/>
    <w:rsid w:val="48C82130"/>
    <w:rsid w:val="492F613F"/>
    <w:rsid w:val="493C4A6A"/>
    <w:rsid w:val="4953DB8E"/>
    <w:rsid w:val="4986CE58"/>
    <w:rsid w:val="49E51F45"/>
    <w:rsid w:val="4A0EC1AA"/>
    <w:rsid w:val="4A3B2907"/>
    <w:rsid w:val="4A6871E3"/>
    <w:rsid w:val="4AB530A3"/>
    <w:rsid w:val="4AC699BA"/>
    <w:rsid w:val="4B31B54A"/>
    <w:rsid w:val="4B4386C5"/>
    <w:rsid w:val="4B8C7638"/>
    <w:rsid w:val="4BAC46ED"/>
    <w:rsid w:val="4BBBE2A7"/>
    <w:rsid w:val="4C5FFE17"/>
    <w:rsid w:val="4C6FEC35"/>
    <w:rsid w:val="4C76D6BA"/>
    <w:rsid w:val="4C7AEC4D"/>
    <w:rsid w:val="4C7B1E8A"/>
    <w:rsid w:val="4CEF48AE"/>
    <w:rsid w:val="4D3E9E0B"/>
    <w:rsid w:val="4D50EAE5"/>
    <w:rsid w:val="4D6552B4"/>
    <w:rsid w:val="4D854C19"/>
    <w:rsid w:val="4DA01F17"/>
    <w:rsid w:val="4DC4D39F"/>
    <w:rsid w:val="4E5411B8"/>
    <w:rsid w:val="4EE3AD6F"/>
    <w:rsid w:val="4EF31E60"/>
    <w:rsid w:val="4EFF8580"/>
    <w:rsid w:val="4F2D3B69"/>
    <w:rsid w:val="4F2DBB67"/>
    <w:rsid w:val="4F2DF8A0"/>
    <w:rsid w:val="4F466CD9"/>
    <w:rsid w:val="4F60A400"/>
    <w:rsid w:val="4F7C7967"/>
    <w:rsid w:val="4FA598B9"/>
    <w:rsid w:val="4FC0748E"/>
    <w:rsid w:val="4FD0CDE8"/>
    <w:rsid w:val="4FD42513"/>
    <w:rsid w:val="500F6179"/>
    <w:rsid w:val="50343885"/>
    <w:rsid w:val="5035E926"/>
    <w:rsid w:val="50449C0C"/>
    <w:rsid w:val="506D17F1"/>
    <w:rsid w:val="508F2441"/>
    <w:rsid w:val="509BCB72"/>
    <w:rsid w:val="50BAC0E4"/>
    <w:rsid w:val="50D5F476"/>
    <w:rsid w:val="50DDDDED"/>
    <w:rsid w:val="50F9C0F1"/>
    <w:rsid w:val="50FC7461"/>
    <w:rsid w:val="510988DD"/>
    <w:rsid w:val="5113C0B1"/>
    <w:rsid w:val="5118B8DF"/>
    <w:rsid w:val="5130711E"/>
    <w:rsid w:val="51349177"/>
    <w:rsid w:val="518FE95B"/>
    <w:rsid w:val="519F166F"/>
    <w:rsid w:val="51CB265D"/>
    <w:rsid w:val="51F88291"/>
    <w:rsid w:val="522E619E"/>
    <w:rsid w:val="52683CC6"/>
    <w:rsid w:val="5283C278"/>
    <w:rsid w:val="52855C36"/>
    <w:rsid w:val="52C52921"/>
    <w:rsid w:val="52DDF674"/>
    <w:rsid w:val="52F65224"/>
    <w:rsid w:val="531828AE"/>
    <w:rsid w:val="536BD947"/>
    <w:rsid w:val="53828359"/>
    <w:rsid w:val="5385DCA3"/>
    <w:rsid w:val="53DF9DFF"/>
    <w:rsid w:val="540085E7"/>
    <w:rsid w:val="54444DE6"/>
    <w:rsid w:val="54453415"/>
    <w:rsid w:val="5452BDF9"/>
    <w:rsid w:val="545BD1B3"/>
    <w:rsid w:val="54F3CFFB"/>
    <w:rsid w:val="55146304"/>
    <w:rsid w:val="55356942"/>
    <w:rsid w:val="5562CCF1"/>
    <w:rsid w:val="5586E102"/>
    <w:rsid w:val="55BCFCF8"/>
    <w:rsid w:val="55C05121"/>
    <w:rsid w:val="560F8847"/>
    <w:rsid w:val="563005E9"/>
    <w:rsid w:val="566F2C45"/>
    <w:rsid w:val="56BC15F9"/>
    <w:rsid w:val="56E51CD7"/>
    <w:rsid w:val="57138221"/>
    <w:rsid w:val="577B1163"/>
    <w:rsid w:val="5794B0DA"/>
    <w:rsid w:val="57993B62"/>
    <w:rsid w:val="57AC148E"/>
    <w:rsid w:val="57AEE0C4"/>
    <w:rsid w:val="5816D15E"/>
    <w:rsid w:val="581FF152"/>
    <w:rsid w:val="582E30B7"/>
    <w:rsid w:val="586ADF93"/>
    <w:rsid w:val="589D34B0"/>
    <w:rsid w:val="59AB8AE5"/>
    <w:rsid w:val="59B7813A"/>
    <w:rsid w:val="59D0C1FC"/>
    <w:rsid w:val="59E987F1"/>
    <w:rsid w:val="5AB3518D"/>
    <w:rsid w:val="5AFFEA78"/>
    <w:rsid w:val="5B11B1CD"/>
    <w:rsid w:val="5B59CB83"/>
    <w:rsid w:val="5B980391"/>
    <w:rsid w:val="5BA36534"/>
    <w:rsid w:val="5BD39723"/>
    <w:rsid w:val="5C03E1CD"/>
    <w:rsid w:val="5C296B7C"/>
    <w:rsid w:val="5C54B1F2"/>
    <w:rsid w:val="5C899243"/>
    <w:rsid w:val="5C985D91"/>
    <w:rsid w:val="5D223716"/>
    <w:rsid w:val="5D29BEFA"/>
    <w:rsid w:val="5D2ED301"/>
    <w:rsid w:val="5D98116B"/>
    <w:rsid w:val="5DA7F4D8"/>
    <w:rsid w:val="5DCB26E4"/>
    <w:rsid w:val="5EDF7E38"/>
    <w:rsid w:val="5F0735DC"/>
    <w:rsid w:val="5F43D6F3"/>
    <w:rsid w:val="5FA23BEF"/>
    <w:rsid w:val="5FE29104"/>
    <w:rsid w:val="6023F7FD"/>
    <w:rsid w:val="60285927"/>
    <w:rsid w:val="605952FD"/>
    <w:rsid w:val="60AA08AE"/>
    <w:rsid w:val="60ACFB12"/>
    <w:rsid w:val="60C374EF"/>
    <w:rsid w:val="60E5ADB9"/>
    <w:rsid w:val="6128D87F"/>
    <w:rsid w:val="6145AE40"/>
    <w:rsid w:val="614E59A7"/>
    <w:rsid w:val="616AA955"/>
    <w:rsid w:val="61C821CA"/>
    <w:rsid w:val="61FDD6D6"/>
    <w:rsid w:val="621A3CC7"/>
    <w:rsid w:val="62494649"/>
    <w:rsid w:val="62BB8857"/>
    <w:rsid w:val="6367D967"/>
    <w:rsid w:val="639683B0"/>
    <w:rsid w:val="639BD2C6"/>
    <w:rsid w:val="644D8B17"/>
    <w:rsid w:val="64692D92"/>
    <w:rsid w:val="649453EB"/>
    <w:rsid w:val="64F44EB1"/>
    <w:rsid w:val="65121D77"/>
    <w:rsid w:val="65146047"/>
    <w:rsid w:val="654647E3"/>
    <w:rsid w:val="655C5000"/>
    <w:rsid w:val="655EC262"/>
    <w:rsid w:val="6560989C"/>
    <w:rsid w:val="6573D98E"/>
    <w:rsid w:val="657F2244"/>
    <w:rsid w:val="66030015"/>
    <w:rsid w:val="66339CF3"/>
    <w:rsid w:val="664F8230"/>
    <w:rsid w:val="667F6AA9"/>
    <w:rsid w:val="6702FD2B"/>
    <w:rsid w:val="6708D50E"/>
    <w:rsid w:val="671732FF"/>
    <w:rsid w:val="6728617D"/>
    <w:rsid w:val="676BC3B7"/>
    <w:rsid w:val="67C397E1"/>
    <w:rsid w:val="67CE8FF6"/>
    <w:rsid w:val="6810E69D"/>
    <w:rsid w:val="6828D953"/>
    <w:rsid w:val="6857960E"/>
    <w:rsid w:val="688E7582"/>
    <w:rsid w:val="690C6F39"/>
    <w:rsid w:val="690D7363"/>
    <w:rsid w:val="694E57AD"/>
    <w:rsid w:val="69758CFD"/>
    <w:rsid w:val="697610EF"/>
    <w:rsid w:val="699C6131"/>
    <w:rsid w:val="6A1C4161"/>
    <w:rsid w:val="6A2B448D"/>
    <w:rsid w:val="6A3F9051"/>
    <w:rsid w:val="6A4316BC"/>
    <w:rsid w:val="6A5CE1C8"/>
    <w:rsid w:val="6AC1B202"/>
    <w:rsid w:val="6B0613AC"/>
    <w:rsid w:val="6B3EB442"/>
    <w:rsid w:val="6B676E70"/>
    <w:rsid w:val="6BA75ED4"/>
    <w:rsid w:val="6BB24D09"/>
    <w:rsid w:val="6C3039C6"/>
    <w:rsid w:val="6C3428B7"/>
    <w:rsid w:val="6C556C30"/>
    <w:rsid w:val="6CA7DD9B"/>
    <w:rsid w:val="6D57EE8F"/>
    <w:rsid w:val="6D5A7CB9"/>
    <w:rsid w:val="6D79C2ED"/>
    <w:rsid w:val="6D7EA290"/>
    <w:rsid w:val="6DC60628"/>
    <w:rsid w:val="6DD305E4"/>
    <w:rsid w:val="6DDD027B"/>
    <w:rsid w:val="6E78EEBA"/>
    <w:rsid w:val="6EB91437"/>
    <w:rsid w:val="6EC351BB"/>
    <w:rsid w:val="6EE5B16F"/>
    <w:rsid w:val="6EEDBBDC"/>
    <w:rsid w:val="6F51F31C"/>
    <w:rsid w:val="6F61D689"/>
    <w:rsid w:val="6F68A9A0"/>
    <w:rsid w:val="6F6FB5D9"/>
    <w:rsid w:val="6FB93F89"/>
    <w:rsid w:val="6FBD0511"/>
    <w:rsid w:val="6FE6034D"/>
    <w:rsid w:val="6FE6E53E"/>
    <w:rsid w:val="70044E34"/>
    <w:rsid w:val="702434E4"/>
    <w:rsid w:val="70322B03"/>
    <w:rsid w:val="705FCA34"/>
    <w:rsid w:val="7082CC63"/>
    <w:rsid w:val="70EE41A8"/>
    <w:rsid w:val="7186026D"/>
    <w:rsid w:val="71A90E57"/>
    <w:rsid w:val="71C129EC"/>
    <w:rsid w:val="71C853D8"/>
    <w:rsid w:val="720D2A1A"/>
    <w:rsid w:val="72379B2A"/>
    <w:rsid w:val="726892EA"/>
    <w:rsid w:val="72AE7186"/>
    <w:rsid w:val="72CE63D6"/>
    <w:rsid w:val="72D20887"/>
    <w:rsid w:val="72D5811E"/>
    <w:rsid w:val="73070FD9"/>
    <w:rsid w:val="733BE23F"/>
    <w:rsid w:val="73FF0B8D"/>
    <w:rsid w:val="74030B4F"/>
    <w:rsid w:val="741B6A6B"/>
    <w:rsid w:val="74576D74"/>
    <w:rsid w:val="74FB47DC"/>
    <w:rsid w:val="75133A8C"/>
    <w:rsid w:val="7513ACDB"/>
    <w:rsid w:val="754006F2"/>
    <w:rsid w:val="75B7EFB0"/>
    <w:rsid w:val="75EC98D3"/>
    <w:rsid w:val="7613F1F6"/>
    <w:rsid w:val="761923E7"/>
    <w:rsid w:val="762527D8"/>
    <w:rsid w:val="76502EA0"/>
    <w:rsid w:val="7657EF3E"/>
    <w:rsid w:val="76746BF2"/>
    <w:rsid w:val="769367E3"/>
    <w:rsid w:val="76BE86C6"/>
    <w:rsid w:val="76D83826"/>
    <w:rsid w:val="77715E23"/>
    <w:rsid w:val="7771DBD6"/>
    <w:rsid w:val="77DD4DB8"/>
    <w:rsid w:val="77EBFF01"/>
    <w:rsid w:val="78282BF9"/>
    <w:rsid w:val="785A5727"/>
    <w:rsid w:val="7896498C"/>
    <w:rsid w:val="78B10E43"/>
    <w:rsid w:val="78D07622"/>
    <w:rsid w:val="78D11584"/>
    <w:rsid w:val="78F6B49D"/>
    <w:rsid w:val="79235ACB"/>
    <w:rsid w:val="7943BDA9"/>
    <w:rsid w:val="7972C993"/>
    <w:rsid w:val="797DA752"/>
    <w:rsid w:val="79DF52C2"/>
    <w:rsid w:val="7A1655F6"/>
    <w:rsid w:val="7A866118"/>
    <w:rsid w:val="7A9AB3B3"/>
    <w:rsid w:val="7AAA1617"/>
    <w:rsid w:val="7AAD5524"/>
    <w:rsid w:val="7AB573CA"/>
    <w:rsid w:val="7B2E956A"/>
    <w:rsid w:val="7B80C344"/>
    <w:rsid w:val="7BB6D196"/>
    <w:rsid w:val="7BB7B20A"/>
    <w:rsid w:val="7BE23562"/>
    <w:rsid w:val="7BFD8C94"/>
    <w:rsid w:val="7CDE3F37"/>
    <w:rsid w:val="7CE51E4D"/>
    <w:rsid w:val="7CF27A44"/>
    <w:rsid w:val="7D36EE76"/>
    <w:rsid w:val="7D41F48F"/>
    <w:rsid w:val="7D4DF226"/>
    <w:rsid w:val="7D52A1F7"/>
    <w:rsid w:val="7D826D5B"/>
    <w:rsid w:val="7D93BBF5"/>
    <w:rsid w:val="7DF92047"/>
    <w:rsid w:val="7E428C00"/>
    <w:rsid w:val="7E5E8F7D"/>
    <w:rsid w:val="7ECF5848"/>
    <w:rsid w:val="7ED76A97"/>
    <w:rsid w:val="7EE6095F"/>
    <w:rsid w:val="7F1840EF"/>
    <w:rsid w:val="7F5D844E"/>
    <w:rsid w:val="7F647437"/>
    <w:rsid w:val="7F786694"/>
    <w:rsid w:val="7F878309"/>
    <w:rsid w:val="7FDB7E7F"/>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8AAAAC"/>
  <w15:docId w15:val="{4A404CB9-ABD7-41DF-9947-4A11C46E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C29"/>
    <w:pPr>
      <w:widowControl w:val="0"/>
      <w:autoSpaceDE w:val="0"/>
      <w:autoSpaceDN w:val="0"/>
      <w:adjustRightInd w:val="0"/>
    </w:pPr>
    <w:rPr>
      <w:rFonts w:ascii="@MS Mincho" w:eastAsia="@MS Mincho"/>
      <w:sz w:val="24"/>
      <w:szCs w:val="24"/>
    </w:rPr>
  </w:style>
  <w:style w:type="paragraph" w:styleId="Heading1">
    <w:name w:val="heading 1"/>
    <w:basedOn w:val="Normal"/>
    <w:next w:val="Normal"/>
    <w:link w:val="Heading1Char"/>
    <w:uiPriority w:val="9"/>
    <w:qFormat/>
    <w:locked/>
    <w:rsid w:val="00DB0F76"/>
    <w:pPr>
      <w:keepNext/>
      <w:keepLines/>
      <w:spacing w:before="480"/>
      <w:outlineLvl w:val="0"/>
    </w:pPr>
    <w:rPr>
      <w:rFonts w:asciiTheme="majorHAnsi" w:eastAsiaTheme="majorEastAsia" w:hAnsiTheme="majorHAnsi" w:cstheme="majorBidi"/>
      <w:b/>
      <w:bCs/>
      <w:color w:val="535356" w:themeColor="accent1" w:themeShade="BF"/>
      <w:sz w:val="28"/>
      <w:szCs w:val="28"/>
    </w:rPr>
  </w:style>
  <w:style w:type="paragraph" w:styleId="Heading2">
    <w:name w:val="heading 2"/>
    <w:basedOn w:val="Normal"/>
    <w:link w:val="Heading2Char"/>
    <w:uiPriority w:val="9"/>
    <w:qFormat/>
    <w:locked/>
    <w:rsid w:val="00AA554F"/>
    <w:pPr>
      <w:widowControl/>
      <w:autoSpaceDE/>
      <w:autoSpaceDN/>
      <w:adjustRightInd/>
      <w:spacing w:before="100" w:beforeAutospacing="1" w:after="100" w:afterAutospacing="1"/>
      <w:outlineLvl w:val="1"/>
    </w:pPr>
    <w:rPr>
      <w:rFonts w:ascii="Times New Roman" w:eastAsia="Times New Roman"/>
      <w:b/>
      <w:bCs/>
      <w:sz w:val="36"/>
      <w:szCs w:val="36"/>
    </w:rPr>
  </w:style>
  <w:style w:type="paragraph" w:styleId="Heading3">
    <w:name w:val="heading 3"/>
    <w:basedOn w:val="Normal"/>
    <w:link w:val="Heading3Char"/>
    <w:uiPriority w:val="9"/>
    <w:qFormat/>
    <w:locked/>
    <w:rsid w:val="00AA554F"/>
    <w:pPr>
      <w:widowControl/>
      <w:autoSpaceDE/>
      <w:autoSpaceDN/>
      <w:adjustRightInd/>
      <w:spacing w:before="100" w:beforeAutospacing="1" w:after="100" w:afterAutospacing="1"/>
      <w:outlineLvl w:val="2"/>
    </w:pPr>
    <w:rPr>
      <w:rFonts w:ascii="Times New Roman" w:eastAsia="Times New Roman"/>
      <w:b/>
      <w:bCs/>
      <w:sz w:val="27"/>
      <w:szCs w:val="27"/>
    </w:rPr>
  </w:style>
  <w:style w:type="paragraph" w:styleId="Heading4">
    <w:name w:val="heading 4"/>
    <w:basedOn w:val="Normal"/>
    <w:next w:val="Normal"/>
    <w:link w:val="Heading4Char"/>
    <w:uiPriority w:val="9"/>
    <w:unhideWhenUsed/>
    <w:qFormat/>
    <w:locked/>
    <w:rsid w:val="004249E2"/>
    <w:pPr>
      <w:keepNext/>
      <w:keepLines/>
      <w:widowControl/>
      <w:autoSpaceDE/>
      <w:autoSpaceDN/>
      <w:adjustRightInd/>
      <w:spacing w:before="80" w:after="40" w:line="278" w:lineRule="auto"/>
      <w:outlineLvl w:val="3"/>
    </w:pPr>
    <w:rPr>
      <w:rFonts w:asciiTheme="minorHAnsi" w:eastAsiaTheme="majorEastAsia" w:hAnsiTheme="minorHAnsi" w:cstheme="majorBidi"/>
      <w:i/>
      <w:iCs/>
      <w:color w:val="535356" w:themeColor="accent1" w:themeShade="BF"/>
      <w:kern w:val="2"/>
      <w14:ligatures w14:val="standardContextual"/>
    </w:rPr>
  </w:style>
  <w:style w:type="paragraph" w:styleId="Heading5">
    <w:name w:val="heading 5"/>
    <w:basedOn w:val="Normal"/>
    <w:next w:val="Normal"/>
    <w:link w:val="Heading5Char"/>
    <w:uiPriority w:val="9"/>
    <w:semiHidden/>
    <w:unhideWhenUsed/>
    <w:qFormat/>
    <w:locked/>
    <w:rsid w:val="004249E2"/>
    <w:pPr>
      <w:keepNext/>
      <w:keepLines/>
      <w:widowControl/>
      <w:autoSpaceDE/>
      <w:autoSpaceDN/>
      <w:adjustRightInd/>
      <w:spacing w:before="80" w:after="40" w:line="278" w:lineRule="auto"/>
      <w:outlineLvl w:val="4"/>
    </w:pPr>
    <w:rPr>
      <w:rFonts w:asciiTheme="minorHAnsi" w:eastAsiaTheme="majorEastAsia" w:hAnsiTheme="minorHAnsi" w:cstheme="majorBidi"/>
      <w:color w:val="535356" w:themeColor="accent1" w:themeShade="BF"/>
      <w:kern w:val="2"/>
      <w14:ligatures w14:val="standardContextual"/>
    </w:rPr>
  </w:style>
  <w:style w:type="paragraph" w:styleId="Heading6">
    <w:name w:val="heading 6"/>
    <w:basedOn w:val="Normal"/>
    <w:link w:val="Heading6Char"/>
    <w:uiPriority w:val="9"/>
    <w:qFormat/>
    <w:locked/>
    <w:rsid w:val="00AA554F"/>
    <w:pPr>
      <w:widowControl/>
      <w:autoSpaceDE/>
      <w:autoSpaceDN/>
      <w:adjustRightInd/>
      <w:spacing w:before="100" w:beforeAutospacing="1" w:after="100" w:afterAutospacing="1"/>
      <w:outlineLvl w:val="5"/>
    </w:pPr>
    <w:rPr>
      <w:rFonts w:ascii="Times New Roman" w:eastAsia="Times New Roman"/>
      <w:b/>
      <w:bCs/>
      <w:sz w:val="15"/>
      <w:szCs w:val="15"/>
    </w:rPr>
  </w:style>
  <w:style w:type="paragraph" w:styleId="Heading7">
    <w:name w:val="heading 7"/>
    <w:basedOn w:val="Normal"/>
    <w:next w:val="Normal"/>
    <w:link w:val="Heading7Char"/>
    <w:uiPriority w:val="9"/>
    <w:semiHidden/>
    <w:unhideWhenUsed/>
    <w:qFormat/>
    <w:locked/>
    <w:rsid w:val="004249E2"/>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locked/>
    <w:rsid w:val="004249E2"/>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locked/>
    <w:rsid w:val="004249E2"/>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E54C8D"/>
    <w:pPr>
      <w:widowControl/>
      <w:autoSpaceDE/>
      <w:autoSpaceDN/>
      <w:adjustRightInd/>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C9210A"/>
    <w:rPr>
      <w:rFonts w:ascii="Lucida Grande" w:hAnsi="Lucida Grande"/>
      <w:sz w:val="18"/>
      <w:szCs w:val="18"/>
    </w:rPr>
  </w:style>
  <w:style w:type="character" w:customStyle="1" w:styleId="BalloonTextChar1">
    <w:name w:val="Balloon Text Char1"/>
    <w:link w:val="BalloonText"/>
    <w:uiPriority w:val="99"/>
    <w:semiHidden/>
    <w:locked/>
    <w:rsid w:val="00F66EEC"/>
    <w:rPr>
      <w:rFonts w:eastAsia="@MS Mincho" w:cs="Times New Roman"/>
      <w:sz w:val="2"/>
    </w:rPr>
  </w:style>
  <w:style w:type="character" w:styleId="FootnoteReference">
    <w:name w:val="footnote reference"/>
    <w:uiPriority w:val="99"/>
    <w:semiHidden/>
    <w:rsid w:val="008D0C29"/>
    <w:rPr>
      <w:rFonts w:cs="Times New Roman"/>
    </w:rPr>
  </w:style>
  <w:style w:type="paragraph" w:styleId="FootnoteText">
    <w:name w:val="footnote text"/>
    <w:basedOn w:val="Normal"/>
    <w:link w:val="FootnoteTextChar"/>
    <w:uiPriority w:val="99"/>
    <w:rsid w:val="00D87CB5"/>
    <w:rPr>
      <w:rFonts w:ascii="Times New Roman" w:eastAsia="Times New Roman"/>
      <w:sz w:val="20"/>
      <w:szCs w:val="20"/>
    </w:rPr>
  </w:style>
  <w:style w:type="character" w:customStyle="1" w:styleId="FootnoteTextChar">
    <w:name w:val="Footnote Text Char"/>
    <w:link w:val="FootnoteText"/>
    <w:uiPriority w:val="99"/>
    <w:semiHidden/>
    <w:locked/>
    <w:rsid w:val="00F66EEC"/>
    <w:rPr>
      <w:rFonts w:ascii="@MS Mincho" w:eastAsia="@MS Mincho" w:cs="Times New Roman"/>
    </w:rPr>
  </w:style>
  <w:style w:type="paragraph" w:styleId="EndnoteText">
    <w:name w:val="endnote text"/>
    <w:basedOn w:val="Normal"/>
    <w:link w:val="EndnoteTextChar"/>
    <w:uiPriority w:val="99"/>
    <w:semiHidden/>
    <w:rsid w:val="00415C75"/>
    <w:rPr>
      <w:sz w:val="20"/>
      <w:szCs w:val="20"/>
    </w:rPr>
  </w:style>
  <w:style w:type="character" w:customStyle="1" w:styleId="EndnoteTextChar">
    <w:name w:val="Endnote Text Char"/>
    <w:link w:val="EndnoteText"/>
    <w:uiPriority w:val="99"/>
    <w:semiHidden/>
    <w:locked/>
    <w:rsid w:val="00F66EEC"/>
    <w:rPr>
      <w:rFonts w:ascii="@MS Mincho" w:eastAsia="@MS Mincho" w:cs="Times New Roman"/>
    </w:rPr>
  </w:style>
  <w:style w:type="character" w:styleId="EndnoteReference">
    <w:name w:val="endnote reference"/>
    <w:uiPriority w:val="99"/>
    <w:semiHidden/>
    <w:rsid w:val="00415C75"/>
    <w:rPr>
      <w:rFonts w:cs="Times New Roman"/>
      <w:vertAlign w:val="superscript"/>
    </w:rPr>
  </w:style>
  <w:style w:type="character" w:customStyle="1" w:styleId="yshortcuts">
    <w:name w:val="yshortcuts"/>
    <w:uiPriority w:val="99"/>
    <w:rsid w:val="00904348"/>
    <w:rPr>
      <w:rFonts w:cs="Times New Roman"/>
    </w:rPr>
  </w:style>
  <w:style w:type="character" w:styleId="CommentReference">
    <w:name w:val="annotation reference"/>
    <w:semiHidden/>
    <w:rsid w:val="008B110F"/>
    <w:rPr>
      <w:rFonts w:cs="Times New Roman"/>
      <w:sz w:val="16"/>
      <w:szCs w:val="16"/>
    </w:rPr>
  </w:style>
  <w:style w:type="paragraph" w:styleId="CommentText">
    <w:name w:val="annotation text"/>
    <w:basedOn w:val="Normal"/>
    <w:link w:val="CommentTextChar"/>
    <w:semiHidden/>
    <w:rsid w:val="008B110F"/>
    <w:rPr>
      <w:sz w:val="20"/>
      <w:szCs w:val="20"/>
    </w:rPr>
  </w:style>
  <w:style w:type="character" w:customStyle="1" w:styleId="CommentTextChar">
    <w:name w:val="Comment Text Char"/>
    <w:link w:val="CommentText"/>
    <w:uiPriority w:val="99"/>
    <w:semiHidden/>
    <w:locked/>
    <w:rsid w:val="00F66EEC"/>
    <w:rPr>
      <w:rFonts w:ascii="@MS Mincho" w:eastAsia="@MS Mincho" w:cs="Times New Roman"/>
    </w:rPr>
  </w:style>
  <w:style w:type="paragraph" w:styleId="CommentSubject">
    <w:name w:val="annotation subject"/>
    <w:basedOn w:val="CommentText"/>
    <w:next w:val="CommentText"/>
    <w:link w:val="CommentSubjectChar"/>
    <w:uiPriority w:val="99"/>
    <w:semiHidden/>
    <w:rsid w:val="008B110F"/>
    <w:rPr>
      <w:b/>
      <w:bCs/>
    </w:rPr>
  </w:style>
  <w:style w:type="character" w:customStyle="1" w:styleId="CommentSubjectChar">
    <w:name w:val="Comment Subject Char"/>
    <w:link w:val="CommentSubject"/>
    <w:uiPriority w:val="99"/>
    <w:semiHidden/>
    <w:locked/>
    <w:rsid w:val="00F66EEC"/>
    <w:rPr>
      <w:rFonts w:ascii="@MS Mincho" w:eastAsia="@MS Mincho" w:cs="Times New Roman"/>
      <w:b/>
      <w:bCs/>
    </w:rPr>
  </w:style>
  <w:style w:type="character" w:customStyle="1" w:styleId="blueboldtwelve1">
    <w:name w:val="blueboldtwelve1"/>
    <w:uiPriority w:val="99"/>
    <w:rsid w:val="006B1986"/>
    <w:rPr>
      <w:rFonts w:ascii="Verdana" w:hAnsi="Verdana" w:cs="Times New Roman"/>
      <w:b/>
      <w:bCs/>
      <w:color w:val="003399"/>
      <w:sz w:val="24"/>
      <w:szCs w:val="24"/>
    </w:rPr>
  </w:style>
  <w:style w:type="paragraph" w:styleId="Footer">
    <w:name w:val="footer"/>
    <w:basedOn w:val="Normal"/>
    <w:link w:val="FooterChar"/>
    <w:uiPriority w:val="99"/>
    <w:rsid w:val="005076FD"/>
    <w:pPr>
      <w:tabs>
        <w:tab w:val="center" w:pos="4320"/>
        <w:tab w:val="right" w:pos="8640"/>
      </w:tabs>
    </w:pPr>
  </w:style>
  <w:style w:type="character" w:styleId="PageNumber">
    <w:name w:val="page number"/>
    <w:basedOn w:val="DefaultParagraphFont"/>
    <w:rsid w:val="005076FD"/>
  </w:style>
  <w:style w:type="character" w:styleId="Strong">
    <w:name w:val="Strong"/>
    <w:uiPriority w:val="22"/>
    <w:qFormat/>
    <w:locked/>
    <w:rsid w:val="004B1B5A"/>
    <w:rPr>
      <w:b/>
      <w:bCs/>
    </w:rPr>
  </w:style>
  <w:style w:type="paragraph" w:customStyle="1" w:styleId="blueten1">
    <w:name w:val="blueten1"/>
    <w:basedOn w:val="Normal"/>
    <w:rsid w:val="004B1B5A"/>
    <w:pPr>
      <w:widowControl/>
      <w:autoSpaceDE/>
      <w:autoSpaceDN/>
      <w:adjustRightInd/>
      <w:spacing w:before="100" w:beforeAutospacing="1" w:after="100" w:afterAutospacing="1"/>
    </w:pPr>
    <w:rPr>
      <w:rFonts w:ascii="Times New Roman" w:eastAsia="Times New Roman"/>
      <w:color w:val="000000"/>
      <w:sz w:val="19"/>
      <w:szCs w:val="19"/>
    </w:rPr>
  </w:style>
  <w:style w:type="paragraph" w:styleId="Header">
    <w:name w:val="header"/>
    <w:basedOn w:val="Normal"/>
    <w:rsid w:val="009E3B73"/>
    <w:pPr>
      <w:tabs>
        <w:tab w:val="center" w:pos="4320"/>
        <w:tab w:val="right" w:pos="8640"/>
      </w:tabs>
    </w:pPr>
  </w:style>
  <w:style w:type="paragraph" w:styleId="Subtitle">
    <w:name w:val="Subtitle"/>
    <w:basedOn w:val="Normal"/>
    <w:next w:val="Normal"/>
    <w:link w:val="SubtitleChar"/>
    <w:uiPriority w:val="11"/>
    <w:qFormat/>
    <w:locked/>
    <w:rsid w:val="00880926"/>
    <w:pPr>
      <w:spacing w:after="60"/>
      <w:jc w:val="center"/>
      <w:outlineLvl w:val="1"/>
    </w:pPr>
    <w:rPr>
      <w:rFonts w:ascii="Cambria" w:eastAsia="Times New Roman" w:hAnsi="Cambria"/>
    </w:rPr>
  </w:style>
  <w:style w:type="character" w:customStyle="1" w:styleId="SubtitleChar">
    <w:name w:val="Subtitle Char"/>
    <w:link w:val="Subtitle"/>
    <w:uiPriority w:val="11"/>
    <w:rsid w:val="00880926"/>
    <w:rPr>
      <w:rFonts w:ascii="Cambria" w:eastAsia="Times New Roman" w:hAnsi="Cambria" w:cs="Times New Roman"/>
      <w:sz w:val="24"/>
      <w:szCs w:val="24"/>
    </w:rPr>
  </w:style>
  <w:style w:type="paragraph" w:styleId="NormalWeb">
    <w:name w:val="Normal (Web)"/>
    <w:basedOn w:val="Normal"/>
    <w:uiPriority w:val="99"/>
    <w:unhideWhenUsed/>
    <w:rsid w:val="0086393F"/>
    <w:pPr>
      <w:widowControl/>
      <w:autoSpaceDE/>
      <w:autoSpaceDN/>
      <w:adjustRightInd/>
      <w:spacing w:before="100" w:beforeAutospacing="1" w:after="100" w:afterAutospacing="1"/>
    </w:pPr>
    <w:rPr>
      <w:rFonts w:ascii="Times New Roman" w:eastAsia="Times New Roman"/>
    </w:rPr>
  </w:style>
  <w:style w:type="paragraph" w:styleId="Revision">
    <w:name w:val="Revision"/>
    <w:hidden/>
    <w:uiPriority w:val="99"/>
    <w:semiHidden/>
    <w:rsid w:val="006013BA"/>
    <w:rPr>
      <w:rFonts w:ascii="@MS Mincho" w:eastAsia="@MS Mincho"/>
      <w:sz w:val="24"/>
      <w:szCs w:val="24"/>
    </w:rPr>
  </w:style>
  <w:style w:type="paragraph" w:styleId="HTMLPreformatted">
    <w:name w:val="HTML Preformatted"/>
    <w:basedOn w:val="Normal"/>
    <w:link w:val="HTMLPreformattedChar"/>
    <w:uiPriority w:val="99"/>
    <w:unhideWhenUsed/>
    <w:rsid w:val="0087205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205E"/>
    <w:rPr>
      <w:rFonts w:ascii="Consolas" w:eastAsia="@MS Mincho" w:hAnsi="Consolas" w:cs="Consolas"/>
    </w:rPr>
  </w:style>
  <w:style w:type="table" w:styleId="TableGrid">
    <w:name w:val="Table Grid"/>
    <w:basedOn w:val="TableNormal"/>
    <w:uiPriority w:val="59"/>
    <w:rsid w:val="00A0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0F76"/>
    <w:rPr>
      <w:rFonts w:asciiTheme="majorHAnsi" w:eastAsiaTheme="majorEastAsia" w:hAnsiTheme="majorHAnsi" w:cstheme="majorBidi"/>
      <w:b/>
      <w:bCs/>
      <w:color w:val="535356" w:themeColor="accent1" w:themeShade="BF"/>
      <w:sz w:val="28"/>
      <w:szCs w:val="28"/>
    </w:rPr>
  </w:style>
  <w:style w:type="character" w:styleId="Hyperlink">
    <w:name w:val="Hyperlink"/>
    <w:basedOn w:val="DefaultParagraphFont"/>
    <w:uiPriority w:val="99"/>
    <w:unhideWhenUsed/>
    <w:rsid w:val="00A258C1"/>
    <w:rPr>
      <w:color w:val="0000FF"/>
      <w:u w:val="single"/>
    </w:rPr>
  </w:style>
  <w:style w:type="paragraph" w:styleId="ListParagraph">
    <w:name w:val="List Paragraph"/>
    <w:basedOn w:val="Normal"/>
    <w:uiPriority w:val="34"/>
    <w:qFormat/>
    <w:rsid w:val="006878BE"/>
    <w:pPr>
      <w:ind w:left="720"/>
      <w:contextualSpacing/>
    </w:pPr>
  </w:style>
  <w:style w:type="character" w:styleId="FollowedHyperlink">
    <w:name w:val="FollowedHyperlink"/>
    <w:basedOn w:val="DefaultParagraphFont"/>
    <w:uiPriority w:val="99"/>
    <w:semiHidden/>
    <w:unhideWhenUsed/>
    <w:rsid w:val="00E27F1E"/>
    <w:rPr>
      <w:color w:val="ABAFA5" w:themeColor="followedHyperlink"/>
      <w:u w:val="single"/>
    </w:rPr>
  </w:style>
  <w:style w:type="character" w:customStyle="1" w:styleId="blackten">
    <w:name w:val="blackten"/>
    <w:basedOn w:val="DefaultParagraphFont"/>
    <w:rsid w:val="00043A96"/>
  </w:style>
  <w:style w:type="character" w:customStyle="1" w:styleId="FooterChar">
    <w:name w:val="Footer Char"/>
    <w:basedOn w:val="DefaultParagraphFont"/>
    <w:link w:val="Footer"/>
    <w:uiPriority w:val="99"/>
    <w:rsid w:val="00F47C65"/>
    <w:rPr>
      <w:rFonts w:ascii="@MS Mincho" w:eastAsia="@MS Mincho"/>
      <w:sz w:val="24"/>
      <w:szCs w:val="24"/>
    </w:rPr>
  </w:style>
  <w:style w:type="character" w:styleId="UnresolvedMention">
    <w:name w:val="Unresolved Mention"/>
    <w:basedOn w:val="DefaultParagraphFont"/>
    <w:uiPriority w:val="99"/>
    <w:semiHidden/>
    <w:unhideWhenUsed/>
    <w:rsid w:val="00EB4FB1"/>
    <w:rPr>
      <w:color w:val="605E5C"/>
      <w:shd w:val="clear" w:color="auto" w:fill="E1DFDD"/>
    </w:rPr>
  </w:style>
  <w:style w:type="character" w:customStyle="1" w:styleId="Heading2Char">
    <w:name w:val="Heading 2 Char"/>
    <w:basedOn w:val="DefaultParagraphFont"/>
    <w:link w:val="Heading2"/>
    <w:uiPriority w:val="9"/>
    <w:rsid w:val="00AA554F"/>
    <w:rPr>
      <w:b/>
      <w:bCs/>
      <w:sz w:val="36"/>
      <w:szCs w:val="36"/>
    </w:rPr>
  </w:style>
  <w:style w:type="character" w:customStyle="1" w:styleId="Heading3Char">
    <w:name w:val="Heading 3 Char"/>
    <w:basedOn w:val="DefaultParagraphFont"/>
    <w:link w:val="Heading3"/>
    <w:uiPriority w:val="9"/>
    <w:rsid w:val="00AA554F"/>
    <w:rPr>
      <w:b/>
      <w:bCs/>
      <w:sz w:val="27"/>
      <w:szCs w:val="27"/>
    </w:rPr>
  </w:style>
  <w:style w:type="character" w:customStyle="1" w:styleId="Heading6Char">
    <w:name w:val="Heading 6 Char"/>
    <w:basedOn w:val="DefaultParagraphFont"/>
    <w:link w:val="Heading6"/>
    <w:uiPriority w:val="9"/>
    <w:rsid w:val="00AA554F"/>
    <w:rPr>
      <w:b/>
      <w:bCs/>
      <w:sz w:val="15"/>
      <w:szCs w:val="15"/>
    </w:rPr>
  </w:style>
  <w:style w:type="paragraph" w:customStyle="1" w:styleId="msonormal">
    <w:name w:val="msonormal"/>
    <w:basedOn w:val="Normal"/>
    <w:rsid w:val="00AA554F"/>
    <w:pPr>
      <w:widowControl/>
      <w:autoSpaceDE/>
      <w:autoSpaceDN/>
      <w:adjustRightInd/>
      <w:spacing w:before="100" w:beforeAutospacing="1" w:after="100" w:afterAutospacing="1"/>
    </w:pPr>
    <w:rPr>
      <w:rFonts w:ascii="Times New Roman" w:eastAsia="Times New Roman"/>
    </w:rPr>
  </w:style>
  <w:style w:type="paragraph" w:customStyle="1" w:styleId="indent-1">
    <w:name w:val="indent-1"/>
    <w:basedOn w:val="Normal"/>
    <w:rsid w:val="00AA554F"/>
    <w:pPr>
      <w:widowControl/>
      <w:autoSpaceDE/>
      <w:autoSpaceDN/>
      <w:adjustRightInd/>
      <w:spacing w:before="100" w:beforeAutospacing="1" w:after="100" w:afterAutospacing="1"/>
    </w:pPr>
    <w:rPr>
      <w:rFonts w:ascii="Times New Roman" w:eastAsia="Times New Roman"/>
    </w:rPr>
  </w:style>
  <w:style w:type="character" w:customStyle="1" w:styleId="paragraph-hierarchy">
    <w:name w:val="paragraph-hierarchy"/>
    <w:basedOn w:val="DefaultParagraphFont"/>
    <w:rsid w:val="00AA554F"/>
  </w:style>
  <w:style w:type="character" w:customStyle="1" w:styleId="paren">
    <w:name w:val="paren"/>
    <w:basedOn w:val="DefaultParagraphFont"/>
    <w:rsid w:val="00AA554F"/>
  </w:style>
  <w:style w:type="character" w:styleId="Emphasis">
    <w:name w:val="Emphasis"/>
    <w:basedOn w:val="DefaultParagraphFont"/>
    <w:uiPriority w:val="20"/>
    <w:qFormat/>
    <w:locked/>
    <w:rsid w:val="00AA554F"/>
    <w:rPr>
      <w:i/>
      <w:iCs/>
    </w:rPr>
  </w:style>
  <w:style w:type="paragraph" w:customStyle="1" w:styleId="indent-2">
    <w:name w:val="indent-2"/>
    <w:basedOn w:val="Normal"/>
    <w:rsid w:val="00AA554F"/>
    <w:pPr>
      <w:widowControl/>
      <w:autoSpaceDE/>
      <w:autoSpaceDN/>
      <w:adjustRightInd/>
      <w:spacing w:before="100" w:beforeAutospacing="1" w:after="100" w:afterAutospacing="1"/>
    </w:pPr>
    <w:rPr>
      <w:rFonts w:ascii="Times New Roman" w:eastAsia="Times New Roman"/>
    </w:rPr>
  </w:style>
  <w:style w:type="paragraph" w:customStyle="1" w:styleId="hd3-paragraph">
    <w:name w:val="hd3-paragraph"/>
    <w:basedOn w:val="Normal"/>
    <w:rsid w:val="00AA554F"/>
    <w:pPr>
      <w:widowControl/>
      <w:autoSpaceDE/>
      <w:autoSpaceDN/>
      <w:adjustRightInd/>
      <w:spacing w:before="100" w:beforeAutospacing="1" w:after="100" w:afterAutospacing="1"/>
    </w:pPr>
    <w:rPr>
      <w:rFonts w:ascii="Times New Roman" w:eastAsia="Times New Roman"/>
    </w:rPr>
  </w:style>
  <w:style w:type="paragraph" w:customStyle="1" w:styleId="indent-3">
    <w:name w:val="indent-3"/>
    <w:basedOn w:val="Normal"/>
    <w:rsid w:val="00AA554F"/>
    <w:pPr>
      <w:widowControl/>
      <w:autoSpaceDE/>
      <w:autoSpaceDN/>
      <w:adjustRightInd/>
      <w:spacing w:before="100" w:beforeAutospacing="1" w:after="100" w:afterAutospacing="1"/>
    </w:pPr>
    <w:rPr>
      <w:rFonts w:ascii="Times New Roman" w:eastAsia="Times New Roman"/>
    </w:rPr>
  </w:style>
  <w:style w:type="paragraph" w:customStyle="1" w:styleId="indent-4">
    <w:name w:val="indent-4"/>
    <w:basedOn w:val="Normal"/>
    <w:rsid w:val="00AA554F"/>
    <w:pPr>
      <w:widowControl/>
      <w:autoSpaceDE/>
      <w:autoSpaceDN/>
      <w:adjustRightInd/>
      <w:spacing w:before="100" w:beforeAutospacing="1" w:after="100" w:afterAutospacing="1"/>
    </w:pPr>
    <w:rPr>
      <w:rFonts w:ascii="Times New Roman" w:eastAsia="Times New Roman"/>
    </w:rPr>
  </w:style>
  <w:style w:type="paragraph" w:customStyle="1" w:styleId="table-title">
    <w:name w:val="table-title"/>
    <w:basedOn w:val="Normal"/>
    <w:rsid w:val="00AA554F"/>
    <w:pPr>
      <w:widowControl/>
      <w:autoSpaceDE/>
      <w:autoSpaceDN/>
      <w:adjustRightInd/>
      <w:spacing w:before="100" w:beforeAutospacing="1" w:after="100" w:afterAutospacing="1"/>
    </w:pPr>
    <w:rPr>
      <w:rFonts w:ascii="Times New Roman" w:eastAsia="Times New Roman"/>
    </w:rPr>
  </w:style>
  <w:style w:type="paragraph" w:customStyle="1" w:styleId="table-note">
    <w:name w:val="table-note"/>
    <w:basedOn w:val="Normal"/>
    <w:rsid w:val="00AA554F"/>
    <w:pPr>
      <w:widowControl/>
      <w:autoSpaceDE/>
      <w:autoSpaceDN/>
      <w:adjustRightInd/>
      <w:spacing w:before="100" w:beforeAutospacing="1" w:after="100" w:afterAutospacing="1"/>
    </w:pPr>
    <w:rPr>
      <w:rFonts w:ascii="Times New Roman" w:eastAsia="Times New Roman"/>
    </w:rPr>
  </w:style>
  <w:style w:type="paragraph" w:customStyle="1" w:styleId="flush-paragraph-1">
    <w:name w:val="flush-paragraph-1"/>
    <w:basedOn w:val="Normal"/>
    <w:rsid w:val="00AA554F"/>
    <w:pPr>
      <w:widowControl/>
      <w:autoSpaceDE/>
      <w:autoSpaceDN/>
      <w:adjustRightInd/>
      <w:spacing w:before="100" w:beforeAutospacing="1" w:after="100" w:afterAutospacing="1"/>
    </w:pPr>
    <w:rPr>
      <w:rFonts w:ascii="Times New Roman" w:eastAsia="Times New Roman"/>
    </w:rPr>
  </w:style>
  <w:style w:type="paragraph" w:customStyle="1" w:styleId="indent-5">
    <w:name w:val="indent-5"/>
    <w:basedOn w:val="Normal"/>
    <w:rsid w:val="00AA554F"/>
    <w:pPr>
      <w:widowControl/>
      <w:autoSpaceDE/>
      <w:autoSpaceDN/>
      <w:adjustRightInd/>
      <w:spacing w:before="100" w:beforeAutospacing="1" w:after="100" w:afterAutospacing="1"/>
    </w:pPr>
    <w:rPr>
      <w:rFonts w:ascii="Times New Roman" w:eastAsia="Times New Roman"/>
    </w:rPr>
  </w:style>
  <w:style w:type="paragraph" w:customStyle="1" w:styleId="flush-paragraph">
    <w:name w:val="flush-paragraph"/>
    <w:basedOn w:val="Normal"/>
    <w:rsid w:val="00AA554F"/>
    <w:pPr>
      <w:widowControl/>
      <w:autoSpaceDE/>
      <w:autoSpaceDN/>
      <w:adjustRightInd/>
      <w:spacing w:before="100" w:beforeAutospacing="1" w:after="100" w:afterAutospacing="1"/>
    </w:pPr>
    <w:rPr>
      <w:rFonts w:ascii="Times New Roman" w:eastAsia="Times New Roman"/>
    </w:rPr>
  </w:style>
  <w:style w:type="character" w:customStyle="1" w:styleId="minor-caps">
    <w:name w:val="minor-caps"/>
    <w:basedOn w:val="DefaultParagraphFont"/>
    <w:rsid w:val="00AA554F"/>
  </w:style>
  <w:style w:type="paragraph" w:customStyle="1" w:styleId="citation">
    <w:name w:val="citation"/>
    <w:basedOn w:val="Normal"/>
    <w:rsid w:val="00AA554F"/>
    <w:pPr>
      <w:widowControl/>
      <w:autoSpaceDE/>
      <w:autoSpaceDN/>
      <w:adjustRightInd/>
      <w:spacing w:before="100" w:beforeAutospacing="1" w:after="100" w:afterAutospacing="1"/>
    </w:pPr>
    <w:rPr>
      <w:rFonts w:ascii="Times New Roman" w:eastAsia="Times New Roman"/>
    </w:rPr>
  </w:style>
  <w:style w:type="character" w:customStyle="1" w:styleId="inline-header">
    <w:name w:val="inline-header"/>
    <w:basedOn w:val="DefaultParagraphFont"/>
    <w:rsid w:val="00AA554F"/>
  </w:style>
  <w:style w:type="character" w:customStyle="1" w:styleId="inline-paragraph">
    <w:name w:val="inline-paragraph"/>
    <w:basedOn w:val="DefaultParagraphFont"/>
    <w:rsid w:val="00AA554F"/>
  </w:style>
  <w:style w:type="character" w:customStyle="1" w:styleId="Heading4Char">
    <w:name w:val="Heading 4 Char"/>
    <w:basedOn w:val="DefaultParagraphFont"/>
    <w:link w:val="Heading4"/>
    <w:uiPriority w:val="9"/>
    <w:rsid w:val="004249E2"/>
    <w:rPr>
      <w:rFonts w:asciiTheme="minorHAnsi" w:eastAsiaTheme="majorEastAsia" w:hAnsiTheme="minorHAnsi" w:cstheme="majorBidi"/>
      <w:i/>
      <w:iCs/>
      <w:color w:val="53535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249E2"/>
    <w:rPr>
      <w:rFonts w:asciiTheme="minorHAnsi" w:eastAsiaTheme="majorEastAsia" w:hAnsiTheme="minorHAnsi" w:cstheme="majorBidi"/>
      <w:color w:val="535356" w:themeColor="accent1" w:themeShade="BF"/>
      <w:kern w:val="2"/>
      <w:sz w:val="24"/>
      <w:szCs w:val="24"/>
      <w14:ligatures w14:val="standardContextual"/>
    </w:rPr>
  </w:style>
  <w:style w:type="character" w:customStyle="1" w:styleId="Heading7Char">
    <w:name w:val="Heading 7 Char"/>
    <w:basedOn w:val="DefaultParagraphFont"/>
    <w:link w:val="Heading7"/>
    <w:uiPriority w:val="9"/>
    <w:semiHidden/>
    <w:rsid w:val="004249E2"/>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249E2"/>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249E2"/>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locked/>
    <w:rsid w:val="004249E2"/>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49E2"/>
    <w:rPr>
      <w:rFonts w:asciiTheme="majorHAnsi" w:eastAsiaTheme="majorEastAsia" w:hAnsiTheme="majorHAnsi" w:cstheme="majorBidi"/>
      <w:spacing w:val="-10"/>
      <w:kern w:val="28"/>
      <w:sz w:val="56"/>
      <w:szCs w:val="56"/>
      <w14:ligatures w14:val="standardContextual"/>
    </w:rPr>
  </w:style>
  <w:style w:type="paragraph" w:styleId="Quote">
    <w:name w:val="Quote"/>
    <w:basedOn w:val="Normal"/>
    <w:next w:val="Normal"/>
    <w:link w:val="QuoteChar"/>
    <w:uiPriority w:val="29"/>
    <w:qFormat/>
    <w:rsid w:val="004249E2"/>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249E2"/>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249E2"/>
    <w:rPr>
      <w:i/>
      <w:iCs/>
      <w:color w:val="535356" w:themeColor="accent1" w:themeShade="BF"/>
    </w:rPr>
  </w:style>
  <w:style w:type="paragraph" w:styleId="IntenseQuote">
    <w:name w:val="Intense Quote"/>
    <w:basedOn w:val="Normal"/>
    <w:next w:val="Normal"/>
    <w:link w:val="IntenseQuoteChar"/>
    <w:uiPriority w:val="30"/>
    <w:qFormat/>
    <w:rsid w:val="004249E2"/>
    <w:pPr>
      <w:widowControl/>
      <w:pBdr>
        <w:top w:val="single" w:sz="4" w:space="10" w:color="535356" w:themeColor="accent1" w:themeShade="BF"/>
        <w:bottom w:val="single" w:sz="4" w:space="10" w:color="53535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535356" w:themeColor="accent1" w:themeShade="BF"/>
      <w:kern w:val="2"/>
      <w14:ligatures w14:val="standardContextual"/>
    </w:rPr>
  </w:style>
  <w:style w:type="character" w:customStyle="1" w:styleId="IntenseQuoteChar">
    <w:name w:val="Intense Quote Char"/>
    <w:basedOn w:val="DefaultParagraphFont"/>
    <w:link w:val="IntenseQuote"/>
    <w:uiPriority w:val="30"/>
    <w:rsid w:val="004249E2"/>
    <w:rPr>
      <w:rFonts w:asciiTheme="minorHAnsi" w:eastAsiaTheme="minorHAnsi" w:hAnsiTheme="minorHAnsi" w:cstheme="minorBidi"/>
      <w:i/>
      <w:iCs/>
      <w:color w:val="535356" w:themeColor="accent1" w:themeShade="BF"/>
      <w:kern w:val="2"/>
      <w:sz w:val="24"/>
      <w:szCs w:val="24"/>
      <w14:ligatures w14:val="standardContextual"/>
    </w:rPr>
  </w:style>
  <w:style w:type="character" w:styleId="IntenseReference">
    <w:name w:val="Intense Reference"/>
    <w:basedOn w:val="DefaultParagraphFont"/>
    <w:uiPriority w:val="32"/>
    <w:qFormat/>
    <w:rsid w:val="004249E2"/>
    <w:rPr>
      <w:b/>
      <w:bCs/>
      <w:smallCaps/>
      <w:color w:val="535356" w:themeColor="accent1" w:themeShade="BF"/>
      <w:spacing w:val="5"/>
    </w:rPr>
  </w:style>
  <w:style w:type="paragraph" w:customStyle="1" w:styleId="dropdown">
    <w:name w:val="dropdown"/>
    <w:basedOn w:val="Normal"/>
    <w:rsid w:val="004249E2"/>
    <w:pPr>
      <w:widowControl/>
      <w:autoSpaceDE/>
      <w:autoSpaceDN/>
      <w:adjustRightInd/>
      <w:spacing w:before="100" w:beforeAutospacing="1" w:after="100" w:afterAutospacing="1"/>
    </w:pPr>
    <w:rPr>
      <w:rFonts w:ascii="Times New Roman" w:eastAsia="Times New Roman"/>
    </w:rPr>
  </w:style>
  <w:style w:type="character" w:customStyle="1" w:styleId="icon-ecfr">
    <w:name w:val="icon-ecfr"/>
    <w:basedOn w:val="DefaultParagraphFont"/>
    <w:rsid w:val="004249E2"/>
  </w:style>
  <w:style w:type="paragraph" w:customStyle="1" w:styleId="nav-search">
    <w:name w:val="nav-search"/>
    <w:basedOn w:val="Normal"/>
    <w:rsid w:val="004249E2"/>
    <w:pPr>
      <w:widowControl/>
      <w:autoSpaceDE/>
      <w:autoSpaceDN/>
      <w:adjustRightInd/>
      <w:spacing w:before="100" w:beforeAutospacing="1" w:after="100" w:afterAutospacing="1"/>
    </w:pPr>
    <w:rPr>
      <w:rFonts w:ascii="Times New Roman" w:eastAsia="Times New Roman"/>
    </w:rPr>
  </w:style>
  <w:style w:type="paragraph" w:customStyle="1" w:styleId="nav-recent-changes">
    <w:name w:val="nav-recent-changes"/>
    <w:basedOn w:val="Normal"/>
    <w:rsid w:val="004249E2"/>
    <w:pPr>
      <w:widowControl/>
      <w:autoSpaceDE/>
      <w:autoSpaceDN/>
      <w:adjustRightInd/>
      <w:spacing w:before="100" w:beforeAutospacing="1" w:after="100" w:afterAutospacing="1"/>
    </w:pPr>
    <w:rPr>
      <w:rFonts w:ascii="Times New Roman" w:eastAsia="Times New Roman"/>
    </w:rPr>
  </w:style>
  <w:style w:type="paragraph" w:customStyle="1" w:styleId="nav-inline-search">
    <w:name w:val="nav-inline-search"/>
    <w:basedOn w:val="Normal"/>
    <w:rsid w:val="004249E2"/>
    <w:pPr>
      <w:widowControl/>
      <w:autoSpaceDE/>
      <w:autoSpaceDN/>
      <w:adjustRightInd/>
      <w:spacing w:before="100" w:beforeAutospacing="1" w:after="100" w:afterAutospacing="1"/>
    </w:pPr>
    <w:rPr>
      <w:rFonts w:ascii="Times New Roman" w:eastAsia="Times New Roman"/>
    </w:rPr>
  </w:style>
  <w:style w:type="paragraph" w:styleId="HTMLTopofForm">
    <w:name w:val="HTML Top of Form"/>
    <w:basedOn w:val="Normal"/>
    <w:next w:val="Normal"/>
    <w:link w:val="z-TopofFormChar"/>
    <w:hidden/>
    <w:uiPriority w:val="99"/>
    <w:semiHidden/>
    <w:unhideWhenUsed/>
    <w:rsid w:val="004249E2"/>
    <w:pPr>
      <w:widowControl/>
      <w:pBdr>
        <w:bottom w:val="single" w:sz="6" w:space="1" w:color="auto"/>
      </w:pBdr>
      <w:autoSpaceDE/>
      <w:autoSpaceDN/>
      <w:adjustRightInd/>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4249E2"/>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4249E2"/>
    <w:pPr>
      <w:widowControl/>
      <w:pBdr>
        <w:top w:val="single" w:sz="6" w:space="1" w:color="auto"/>
      </w:pBdr>
      <w:autoSpaceDE/>
      <w:autoSpaceDN/>
      <w:adjustRightInd/>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4249E2"/>
    <w:rPr>
      <w:rFonts w:ascii="Arial" w:hAnsi="Arial" w:cs="Arial"/>
      <w:vanish/>
      <w:sz w:val="16"/>
      <w:szCs w:val="16"/>
    </w:rPr>
  </w:style>
  <w:style w:type="character" w:customStyle="1" w:styleId="reader-aid">
    <w:name w:val="reader-aid"/>
    <w:basedOn w:val="DefaultParagraphFont"/>
    <w:rsid w:val="004249E2"/>
  </w:style>
  <w:style w:type="character" w:customStyle="1" w:styleId="svg-tooltip">
    <w:name w:val="svg-tooltip"/>
    <w:basedOn w:val="DefaultParagraphFont"/>
    <w:rsid w:val="004249E2"/>
  </w:style>
  <w:style w:type="character" w:customStyle="1" w:styleId="input-group-btn">
    <w:name w:val="input-group-btn"/>
    <w:basedOn w:val="DefaultParagraphFont"/>
    <w:rsid w:val="004249E2"/>
  </w:style>
  <w:style w:type="paragraph" w:customStyle="1" w:styleId="breadcrumb-current">
    <w:name w:val="breadcrumb-current"/>
    <w:basedOn w:val="Normal"/>
    <w:rsid w:val="004249E2"/>
    <w:pPr>
      <w:widowControl/>
      <w:autoSpaceDE/>
      <w:autoSpaceDN/>
      <w:adjustRightInd/>
      <w:spacing w:before="100" w:beforeAutospacing="1" w:after="100" w:afterAutospacing="1"/>
    </w:pPr>
    <w:rPr>
      <w:rFonts w:ascii="Times New Roman" w:eastAsia="Times New Roman"/>
    </w:rPr>
  </w:style>
  <w:style w:type="paragraph" w:customStyle="1" w:styleId="button">
    <w:name w:val="button"/>
    <w:basedOn w:val="Normal"/>
    <w:rsid w:val="004249E2"/>
    <w:pPr>
      <w:widowControl/>
      <w:autoSpaceDE/>
      <w:autoSpaceDN/>
      <w:adjustRightInd/>
      <w:spacing w:before="100" w:beforeAutospacing="1" w:after="100" w:afterAutospacing="1"/>
    </w:pPr>
    <w:rPr>
      <w:rFonts w:ascii="Times New Roman" w:eastAsia="Times New Roman"/>
    </w:rPr>
  </w:style>
  <w:style w:type="paragraph" w:customStyle="1" w:styleId="inactive">
    <w:name w:val="inactive"/>
    <w:basedOn w:val="Normal"/>
    <w:rsid w:val="004249E2"/>
    <w:pPr>
      <w:widowControl/>
      <w:autoSpaceDE/>
      <w:autoSpaceDN/>
      <w:adjustRightInd/>
      <w:spacing w:before="100" w:beforeAutospacing="1" w:after="100" w:afterAutospacing="1"/>
    </w:pPr>
    <w:rPr>
      <w:rFonts w:ascii="Times New Roman" w:eastAsia="Times New Roman"/>
    </w:rPr>
  </w:style>
  <w:style w:type="paragraph" w:customStyle="1" w:styleId="enhanced">
    <w:name w:val="enhanced"/>
    <w:basedOn w:val="Normal"/>
    <w:rsid w:val="004249E2"/>
    <w:pPr>
      <w:widowControl/>
      <w:autoSpaceDE/>
      <w:autoSpaceDN/>
      <w:adjustRightInd/>
      <w:spacing w:before="100" w:beforeAutospacing="1" w:after="100" w:afterAutospacing="1"/>
    </w:pPr>
    <w:rPr>
      <w:rFonts w:ascii="Times New Roman" w:eastAsia="Times New Roman"/>
    </w:rPr>
  </w:style>
  <w:style w:type="paragraph" w:customStyle="1" w:styleId="divider">
    <w:name w:val="divider"/>
    <w:basedOn w:val="Normal"/>
    <w:rsid w:val="004249E2"/>
    <w:pPr>
      <w:widowControl/>
      <w:autoSpaceDE/>
      <w:autoSpaceDN/>
      <w:adjustRightInd/>
      <w:spacing w:before="100" w:beforeAutospacing="1" w:after="100" w:afterAutospacing="1"/>
    </w:pPr>
    <w:rPr>
      <w:rFonts w:ascii="Times New Roman" w:eastAsia="Times New Roman"/>
    </w:rPr>
  </w:style>
  <w:style w:type="character" w:customStyle="1" w:styleId="content-tools-target">
    <w:name w:val="content-tools-target"/>
    <w:basedOn w:val="DefaultParagraphFont"/>
    <w:rsid w:val="004249E2"/>
  </w:style>
  <w:style w:type="character" w:customStyle="1" w:styleId="text">
    <w:name w:val="text"/>
    <w:basedOn w:val="DefaultParagraphFont"/>
    <w:rsid w:val="004249E2"/>
  </w:style>
  <w:style w:type="paragraph" w:customStyle="1" w:styleId="Title1">
    <w:name w:val="Title1"/>
    <w:basedOn w:val="Normal"/>
    <w:rsid w:val="004249E2"/>
    <w:pPr>
      <w:widowControl/>
      <w:autoSpaceDE/>
      <w:autoSpaceDN/>
      <w:adjustRightInd/>
      <w:spacing w:before="100" w:beforeAutospacing="1" w:after="100" w:afterAutospacing="1"/>
    </w:pPr>
    <w:rPr>
      <w:rFonts w:ascii="Times New Roman"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hyperlink" Target="http://www.bls.gov/news.release/archives/ecec_12172024.htm" TargetMode="External" /><Relationship Id="rId12" Type="http://schemas.openxmlformats.org/officeDocument/2006/relationships/hyperlink" Target="https://pubs.usgs.gov/periodicals/mcs2025/mcs2025.pdf" TargetMode="External" /><Relationship Id="rId13" Type="http://schemas.openxmlformats.org/officeDocument/2006/relationships/hyperlink" Target="http://minerals.usgs.gov/minerals/pubs/mcs/2011/mcs2011.pdf" TargetMode="External" /><Relationship Id="rId14" Type="http://schemas.openxmlformats.org/officeDocument/2006/relationships/hyperlink" Target="https://www.census.gov/programs-surveys/cbp/data/tables.All.List_1592946817.html)" TargetMode="External" /><Relationship Id="rId15" Type="http://schemas.openxmlformats.org/officeDocument/2006/relationships/hyperlink" Target="http://minerals.usgs.gov/minerals/pubs/mcs/2009/mcs2009.pdf," TargetMode="External" /><Relationship Id="rId16" Type="http://schemas.openxmlformats.org/officeDocument/2006/relationships/hyperlink" Target="https://data.census.gov/cedsci/table?q=NAICS%2031-33&amp;tid=CBP2020.CB2000CBP"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header" Target="header4.xml"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batterycouncil.org/policy-initiatives/industry-impact/economic-impact/" TargetMode="External" /><Relationship Id="rId2" Type="http://schemas.openxmlformats.org/officeDocument/2006/relationships/hyperlink" Target="http://www.bls.gov/jlt/data.htm" TargetMode="External" /><Relationship Id="rId3" Type="http://schemas.openxmlformats.org/officeDocument/2006/relationships/hyperlink" Target="https://www.sgsgalson.com/sag-detail/std/Lead/7439-92-1/" TargetMode="External" /><Relationship Id="rId4" Type="http://schemas.openxmlformats.org/officeDocument/2006/relationships/hyperlink" Target="https://www.fairhealthconsumer.org/medical" TargetMode="External" /></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Props1.xml><?xml version="1.0" encoding="utf-8"?>
<ds:datastoreItem xmlns:ds="http://schemas.openxmlformats.org/officeDocument/2006/customXml" ds:itemID="{0551F663-C27B-451A-803D-8F5CE50662F1}">
  <ds:schemaRefs>
    <ds:schemaRef ds:uri="http://schemas.microsoft.com/sharepoint/v3/contenttype/forms"/>
  </ds:schemaRefs>
</ds:datastoreItem>
</file>

<file path=customXml/itemProps2.xml><?xml version="1.0" encoding="utf-8"?>
<ds:datastoreItem xmlns:ds="http://schemas.openxmlformats.org/officeDocument/2006/customXml" ds:itemID="{03D1FED7-BDEA-4B88-9B54-5182C9802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4DBC0-EC34-4387-B832-A2BE63E1B79D}">
  <ds:schemaRefs>
    <ds:schemaRef ds:uri="http://schemas.openxmlformats.org/officeDocument/2006/bibliography"/>
  </ds:schemaRefs>
</ds:datastoreItem>
</file>

<file path=customXml/itemProps4.xml><?xml version="1.0" encoding="utf-8"?>
<ds:datastoreItem xmlns:ds="http://schemas.openxmlformats.org/officeDocument/2006/customXml" ds:itemID="{7372D861-E0E2-4E25-9756-0BE08192C323}">
  <ds:schemaRefs>
    <ds:schemaRef ds:uri="http://schemas.openxmlformats.org/officeDocument/2006/bibliography"/>
  </ds:schemaRefs>
</ds:datastoreItem>
</file>

<file path=customXml/itemProps5.xml><?xml version="1.0" encoding="utf-8"?>
<ds:datastoreItem xmlns:ds="http://schemas.openxmlformats.org/officeDocument/2006/customXml" ds:itemID="{39B7A9E1-7480-40C5-9007-6273895CBFF0}">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12438</Words>
  <Characters>70902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83174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Bouchet, Nicole - OASAM OCIO</cp:lastModifiedBy>
  <cp:revision>2</cp:revision>
  <cp:lastPrinted>2025-07-31T13:29:00Z</cp:lastPrinted>
  <dcterms:created xsi:type="dcterms:W3CDTF">2025-12-03T18:16:00Z</dcterms:created>
  <dcterms:modified xsi:type="dcterms:W3CDTF">2025-12-03T18:16:00Z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