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61B3F" w:rsidRPr="005C6CA9" w:rsidP="004A22F3" w14:paraId="137D7255" w14:textId="77777777">
      <w:pPr>
        <w:suppressAutoHyphens/>
        <w:jc w:val="center"/>
        <w:rPr>
          <w:b/>
        </w:rPr>
      </w:pPr>
      <w:bookmarkStart w:id="0" w:name="_Hlk114563386"/>
      <w:r w:rsidRPr="005C6CA9">
        <w:rPr>
          <w:b/>
          <w:bCs/>
        </w:rPr>
        <w:t>Supporting Statement</w:t>
      </w:r>
      <w:r w:rsidRPr="005C6CA9">
        <w:rPr>
          <w:b/>
        </w:rPr>
        <w:t xml:space="preserve"> for</w:t>
      </w:r>
    </w:p>
    <w:p w:rsidR="00224ADA" w:rsidRPr="005C6CA9" w:rsidP="004A22F3" w14:paraId="3B0BB628" w14:textId="40A8E435">
      <w:pPr>
        <w:suppressAutoHyphens/>
        <w:jc w:val="center"/>
        <w:rPr>
          <w:b/>
          <w:bCs/>
          <w:color w:val="FF0000"/>
        </w:rPr>
      </w:pPr>
      <w:r w:rsidRPr="00966163">
        <w:rPr>
          <w:b/>
        </w:rPr>
        <w:t>Program to Prevent Smoking in Hazardous Areas of Underground Coal Mines</w:t>
      </w:r>
      <w:r>
        <w:rPr>
          <w:b/>
        </w:rPr>
        <w:t xml:space="preserve"> </w:t>
      </w:r>
    </w:p>
    <w:p w:rsidR="00861B3F" w:rsidRPr="005C6CA9" w:rsidP="004A22F3" w14:paraId="33F0F79A" w14:textId="0D55E054">
      <w:pPr>
        <w:suppressAutoHyphens/>
        <w:jc w:val="center"/>
        <w:rPr>
          <w:b/>
          <w:color w:val="FF0000"/>
        </w:rPr>
      </w:pPr>
      <w:r w:rsidRPr="005C6CA9">
        <w:rPr>
          <w:b/>
        </w:rPr>
        <w:t>Paperwork Reduction Act Submission</w:t>
      </w:r>
    </w:p>
    <w:p w:rsidR="00861B3F" w:rsidRPr="005C6CA9" w:rsidP="004A22F3" w14:paraId="3E579288" w14:textId="77777777">
      <w:pPr>
        <w:suppressAutoHyphens/>
        <w:jc w:val="center"/>
        <w:rPr>
          <w:b/>
        </w:rPr>
      </w:pPr>
    </w:p>
    <w:p w:rsidR="00861B3F" w:rsidRPr="00C31A6C" w:rsidP="004A22F3" w14:paraId="409D3F1A" w14:textId="6532B620">
      <w:pPr>
        <w:widowControl/>
        <w:autoSpaceDE/>
        <w:autoSpaceDN/>
        <w:adjustRightInd/>
        <w:rPr>
          <w:rFonts w:eastAsiaTheme="minorHAnsi"/>
          <w:color w:val="000000" w:themeColor="text1"/>
          <w:szCs w:val="22"/>
        </w:rPr>
      </w:pPr>
      <w:r w:rsidRPr="00C31A6C">
        <w:rPr>
          <w:bCs/>
          <w:color w:val="000000" w:themeColor="text1"/>
        </w:rPr>
        <w:t xml:space="preserve">This </w:t>
      </w:r>
      <w:r w:rsidRPr="00C31A6C" w:rsidR="00B227F0">
        <w:rPr>
          <w:bCs/>
          <w:color w:val="000000" w:themeColor="text1"/>
        </w:rPr>
        <w:t>information collection request (</w:t>
      </w:r>
      <w:r w:rsidRPr="00C31A6C" w:rsidR="00B227F0">
        <w:rPr>
          <w:color w:val="000000" w:themeColor="text1"/>
        </w:rPr>
        <w:t>ICR)</w:t>
      </w:r>
      <w:r w:rsidRPr="00C31A6C">
        <w:rPr>
          <w:bCs/>
          <w:color w:val="000000" w:themeColor="text1"/>
        </w:rPr>
        <w:t xml:space="preserve"> seeks to extend, without chang</w:t>
      </w:r>
      <w:r w:rsidRPr="00C31A6C" w:rsidR="00BC060A">
        <w:rPr>
          <w:bCs/>
          <w:color w:val="000000" w:themeColor="text1"/>
        </w:rPr>
        <w:t>e</w:t>
      </w:r>
      <w:r w:rsidRPr="00C31A6C" w:rsidR="002D0F05">
        <w:rPr>
          <w:color w:val="000000" w:themeColor="text1"/>
        </w:rPr>
        <w:t>,</w:t>
      </w:r>
      <w:r w:rsidRPr="00C31A6C" w:rsidR="00BC060A">
        <w:rPr>
          <w:color w:val="000000" w:themeColor="text1"/>
        </w:rPr>
        <w:t xml:space="preserve"> </w:t>
      </w:r>
      <w:r w:rsidRPr="00C31A6C" w:rsidR="002D0F05">
        <w:rPr>
          <w:bCs/>
          <w:color w:val="000000" w:themeColor="text1"/>
        </w:rPr>
        <w:t xml:space="preserve">a currently approved </w:t>
      </w:r>
      <w:r w:rsidRPr="00C31A6C">
        <w:rPr>
          <w:bCs/>
          <w:color w:val="000000" w:themeColor="text1"/>
        </w:rPr>
        <w:t>information collection.</w:t>
      </w:r>
    </w:p>
    <w:p w:rsidR="00861B3F" w:rsidRPr="00C31A6C" w:rsidP="004A22F3" w14:paraId="6B8A9E29" w14:textId="77777777">
      <w:pPr>
        <w:rPr>
          <w:color w:val="000000" w:themeColor="text1"/>
        </w:rPr>
      </w:pPr>
    </w:p>
    <w:p w:rsidR="00861B3F" w:rsidRPr="00C31A6C" w:rsidP="004A22F3" w14:paraId="3FE2834E" w14:textId="02EE377D">
      <w:pPr>
        <w:tabs>
          <w:tab w:val="left" w:pos="-720"/>
        </w:tabs>
        <w:suppressAutoHyphens/>
        <w:rPr>
          <w:b/>
          <w:color w:val="000000" w:themeColor="text1"/>
        </w:rPr>
      </w:pPr>
      <w:r w:rsidRPr="00C31A6C">
        <w:rPr>
          <w:b/>
          <w:color w:val="000000" w:themeColor="text1"/>
          <w:u w:val="single"/>
        </w:rPr>
        <w:t>OMB Control Number</w:t>
      </w:r>
      <w:r w:rsidRPr="00832143">
        <w:rPr>
          <w:b/>
          <w:bCs/>
          <w:color w:val="000000" w:themeColor="text1"/>
        </w:rPr>
        <w:t>:</w:t>
      </w:r>
      <w:r w:rsidRPr="00C31A6C">
        <w:rPr>
          <w:color w:val="000000" w:themeColor="text1"/>
        </w:rPr>
        <w:t xml:space="preserve"> 1219</w:t>
      </w:r>
      <w:r w:rsidRPr="00C31A6C" w:rsidR="00224ADA">
        <w:rPr>
          <w:color w:val="000000" w:themeColor="text1"/>
        </w:rPr>
        <w:t>-0041</w:t>
      </w:r>
    </w:p>
    <w:p w:rsidR="00861B3F" w:rsidRPr="00C31A6C" w:rsidP="004A22F3" w14:paraId="6FD41D47" w14:textId="77777777">
      <w:pPr>
        <w:tabs>
          <w:tab w:val="left" w:pos="-720"/>
        </w:tabs>
        <w:suppressAutoHyphens/>
        <w:rPr>
          <w:b/>
          <w:color w:val="000000" w:themeColor="text1"/>
        </w:rPr>
      </w:pPr>
    </w:p>
    <w:p w:rsidR="000A5DB6" w:rsidRPr="00C31A6C" w:rsidP="004A22F3" w14:paraId="17AE0CA0" w14:textId="3D669D54">
      <w:pPr>
        <w:tabs>
          <w:tab w:val="left" w:pos="-720"/>
        </w:tabs>
        <w:suppressAutoHyphens/>
        <w:rPr>
          <w:b/>
          <w:color w:val="000000" w:themeColor="text1"/>
        </w:rPr>
      </w:pPr>
      <w:r w:rsidRPr="00C31A6C">
        <w:rPr>
          <w:b/>
          <w:color w:val="000000" w:themeColor="text1"/>
          <w:u w:val="single"/>
        </w:rPr>
        <w:t>Information Collection Request Title</w:t>
      </w:r>
      <w:r w:rsidRPr="00C31A6C">
        <w:rPr>
          <w:b/>
          <w:color w:val="000000" w:themeColor="text1"/>
        </w:rPr>
        <w:t xml:space="preserve">: </w:t>
      </w:r>
      <w:bookmarkStart w:id="1" w:name="_Hlk103349820"/>
      <w:r w:rsidRPr="007A4E8F">
        <w:rPr>
          <w:bCs/>
          <w:color w:val="000000" w:themeColor="text1"/>
        </w:rPr>
        <w:t>Program to Prevent Smoking in Hazardous Areas of Underground Coal Mines</w:t>
      </w:r>
      <w:r w:rsidRPr="000A5DB6">
        <w:rPr>
          <w:b/>
          <w:color w:val="000000" w:themeColor="text1"/>
        </w:rPr>
        <w:t xml:space="preserve"> </w:t>
      </w:r>
    </w:p>
    <w:bookmarkEnd w:id="1"/>
    <w:p w:rsidR="00861B3F" w:rsidRPr="00C31A6C" w:rsidP="004A22F3" w14:paraId="7B26500A" w14:textId="77777777">
      <w:pPr>
        <w:tabs>
          <w:tab w:val="left" w:pos="-720"/>
        </w:tabs>
        <w:suppressAutoHyphens/>
        <w:rPr>
          <w:b/>
          <w:color w:val="000000" w:themeColor="text1"/>
        </w:rPr>
      </w:pPr>
    </w:p>
    <w:p w:rsidR="00861B3F" w:rsidRPr="00C31A6C" w:rsidP="004A22F3" w14:paraId="07D97EAE" w14:textId="18A2B62A">
      <w:pPr>
        <w:tabs>
          <w:tab w:val="left" w:pos="-720"/>
        </w:tabs>
        <w:suppressAutoHyphens/>
        <w:rPr>
          <w:b/>
          <w:color w:val="000000" w:themeColor="text1"/>
        </w:rPr>
      </w:pPr>
      <w:r w:rsidRPr="00C31A6C">
        <w:rPr>
          <w:b/>
          <w:color w:val="000000" w:themeColor="text1"/>
          <w:u w:val="single"/>
        </w:rPr>
        <w:t xml:space="preserve">Type of </w:t>
      </w:r>
      <w:r w:rsidRPr="00C31A6C" w:rsidR="00541732">
        <w:rPr>
          <w:b/>
          <w:color w:val="000000" w:themeColor="text1"/>
          <w:u w:val="single"/>
        </w:rPr>
        <w:t xml:space="preserve">OMB </w:t>
      </w:r>
      <w:r w:rsidRPr="00C31A6C">
        <w:rPr>
          <w:b/>
          <w:color w:val="000000" w:themeColor="text1"/>
          <w:u w:val="single"/>
        </w:rPr>
        <w:t>Review</w:t>
      </w:r>
      <w:r w:rsidRPr="00C31A6C">
        <w:rPr>
          <w:b/>
          <w:color w:val="000000" w:themeColor="text1"/>
        </w:rPr>
        <w:t xml:space="preserve">: </w:t>
      </w:r>
      <w:r w:rsidRPr="00C31A6C" w:rsidR="00AA68DD">
        <w:rPr>
          <w:bCs/>
          <w:color w:val="000000" w:themeColor="text1"/>
        </w:rPr>
        <w:t>Extension</w:t>
      </w:r>
      <w:r w:rsidR="006B6632">
        <w:rPr>
          <w:bCs/>
          <w:color w:val="000000" w:themeColor="text1"/>
        </w:rPr>
        <w:t>, without change, of a currently approved information collection</w:t>
      </w:r>
    </w:p>
    <w:p w:rsidR="00861B3F" w:rsidRPr="00C31A6C" w:rsidP="004A22F3" w14:paraId="3DDD942E" w14:textId="77777777">
      <w:pPr>
        <w:tabs>
          <w:tab w:val="left" w:pos="-720"/>
        </w:tabs>
        <w:suppressAutoHyphens/>
        <w:rPr>
          <w:b/>
          <w:color w:val="000000" w:themeColor="text1"/>
        </w:rPr>
      </w:pPr>
    </w:p>
    <w:p w:rsidR="00AA68DD" w:rsidRPr="00C31A6C" w:rsidP="004A22F3" w14:paraId="7E2E76E4" w14:textId="77777777">
      <w:pPr>
        <w:rPr>
          <w:b/>
          <w:color w:val="000000" w:themeColor="text1"/>
        </w:rPr>
      </w:pPr>
      <w:r w:rsidRPr="00C31A6C">
        <w:rPr>
          <w:b/>
          <w:color w:val="000000" w:themeColor="text1"/>
          <w:u w:val="single"/>
        </w:rPr>
        <w:t>Authority</w:t>
      </w:r>
      <w:r w:rsidRPr="00C31A6C">
        <w:rPr>
          <w:b/>
          <w:color w:val="000000" w:themeColor="text1"/>
        </w:rPr>
        <w:t>:</w:t>
      </w:r>
      <w:r w:rsidRPr="00C31A6C" w:rsidR="00BA12DF">
        <w:rPr>
          <w:b/>
          <w:color w:val="000000" w:themeColor="text1"/>
        </w:rPr>
        <w:t xml:space="preserve"> </w:t>
      </w:r>
    </w:p>
    <w:p w:rsidR="00224ADA" w:rsidRPr="007A4E8F" w:rsidP="00224ADA" w14:paraId="6A1857B6" w14:textId="4A63A261">
      <w:pPr>
        <w:rPr>
          <w:bCs/>
          <w:color w:val="000000" w:themeColor="text1"/>
        </w:rPr>
      </w:pPr>
      <w:r w:rsidRPr="007A4E8F">
        <w:rPr>
          <w:bCs/>
          <w:color w:val="000000" w:themeColor="text1"/>
        </w:rPr>
        <w:t>Part 75</w:t>
      </w:r>
      <w:r w:rsidRPr="005C6CA9" w:rsidR="00BD010C">
        <w:rPr>
          <w:bCs/>
          <w:color w:val="FF0000"/>
        </w:rPr>
        <w:t xml:space="preserve"> </w:t>
      </w:r>
      <w:r w:rsidRPr="002B7C83" w:rsidR="00BD010C">
        <w:rPr>
          <w:bCs/>
          <w:color w:val="000000" w:themeColor="text1"/>
        </w:rPr>
        <w:t xml:space="preserve">– </w:t>
      </w:r>
      <w:r w:rsidRPr="007A4E8F">
        <w:rPr>
          <w:bCs/>
          <w:color w:val="000000" w:themeColor="text1"/>
        </w:rPr>
        <w:t>Mandatory Safety Standards—Underground Coal Mines</w:t>
      </w:r>
    </w:p>
    <w:p w:rsidR="00224ADA" w:rsidRPr="007A4E8F" w:rsidP="007A4E8F" w14:paraId="42E9C034" w14:textId="7BB87708">
      <w:pPr>
        <w:ind w:left="720" w:hanging="450"/>
        <w:rPr>
          <w:bCs/>
          <w:color w:val="000000" w:themeColor="text1"/>
        </w:rPr>
      </w:pPr>
      <w:r>
        <w:rPr>
          <w:bCs/>
          <w:color w:val="000000" w:themeColor="text1"/>
        </w:rPr>
        <w:t xml:space="preserve">      </w:t>
      </w:r>
      <w:r w:rsidRPr="007A4E8F">
        <w:rPr>
          <w:bCs/>
          <w:color w:val="000000" w:themeColor="text1"/>
        </w:rPr>
        <w:t>Subpart R</w:t>
      </w:r>
      <w:r w:rsidRPr="005C6CA9" w:rsidR="00BD010C">
        <w:rPr>
          <w:bCs/>
          <w:color w:val="FF0000"/>
        </w:rPr>
        <w:t xml:space="preserve"> </w:t>
      </w:r>
      <w:r w:rsidRPr="002B7C83" w:rsidR="00BD010C">
        <w:rPr>
          <w:bCs/>
          <w:color w:val="000000" w:themeColor="text1"/>
        </w:rPr>
        <w:t xml:space="preserve">– </w:t>
      </w:r>
      <w:r w:rsidRPr="007A4E8F">
        <w:rPr>
          <w:bCs/>
          <w:color w:val="000000" w:themeColor="text1"/>
        </w:rPr>
        <w:t>Miscellaneous</w:t>
      </w:r>
    </w:p>
    <w:p w:rsidR="00224ADA" w:rsidRPr="007A4E8F" w:rsidP="007A4E8F" w14:paraId="1C7F51A0" w14:textId="4AF609E0">
      <w:pPr>
        <w:ind w:left="720" w:hanging="180"/>
        <w:rPr>
          <w:bCs/>
          <w:color w:val="000000" w:themeColor="text1"/>
        </w:rPr>
      </w:pPr>
      <w:r>
        <w:rPr>
          <w:bCs/>
          <w:color w:val="000000" w:themeColor="text1"/>
        </w:rPr>
        <w:t xml:space="preserve">                 </w:t>
      </w:r>
      <w:r w:rsidRPr="007A4E8F">
        <w:rPr>
          <w:bCs/>
          <w:color w:val="000000" w:themeColor="text1"/>
        </w:rPr>
        <w:t>30 CFR 75.1702</w:t>
      </w:r>
      <w:r w:rsidR="0063088A">
        <w:rPr>
          <w:bCs/>
          <w:color w:val="000000" w:themeColor="text1"/>
        </w:rPr>
        <w:t xml:space="preserve"> -</w:t>
      </w:r>
      <w:r w:rsidRPr="007A4E8F">
        <w:rPr>
          <w:bCs/>
          <w:color w:val="000000" w:themeColor="text1"/>
        </w:rPr>
        <w:t xml:space="preserve"> Smoking; prohibition.</w:t>
      </w:r>
    </w:p>
    <w:p w:rsidR="00F05E7E" w:rsidRPr="00C31A6C" w:rsidP="007A4E8F" w14:paraId="3DC9A0E9" w14:textId="13BC8AF5">
      <w:pPr>
        <w:ind w:left="720" w:hanging="180"/>
        <w:rPr>
          <w:bCs/>
          <w:color w:val="000000" w:themeColor="text1"/>
        </w:rPr>
      </w:pPr>
      <w:r>
        <w:rPr>
          <w:bCs/>
          <w:color w:val="000000" w:themeColor="text1"/>
        </w:rPr>
        <w:t xml:space="preserve">                 </w:t>
      </w:r>
      <w:r w:rsidRPr="007A4E8F" w:rsidR="00224ADA">
        <w:rPr>
          <w:bCs/>
          <w:color w:val="000000" w:themeColor="text1"/>
        </w:rPr>
        <w:t>30 CFR 75.1702-1</w:t>
      </w:r>
      <w:r w:rsidR="0063088A">
        <w:rPr>
          <w:bCs/>
          <w:color w:val="000000" w:themeColor="text1"/>
        </w:rPr>
        <w:t xml:space="preserve"> -</w:t>
      </w:r>
      <w:r w:rsidRPr="007A4E8F" w:rsidR="00224ADA">
        <w:rPr>
          <w:bCs/>
          <w:color w:val="000000" w:themeColor="text1"/>
        </w:rPr>
        <w:t xml:space="preserve"> Smoking programs.</w:t>
      </w:r>
    </w:p>
    <w:p w:rsidR="00861B3F" w:rsidRPr="00C31A6C" w:rsidP="004A22F3" w14:paraId="2F93BBBA" w14:textId="77777777">
      <w:pPr>
        <w:tabs>
          <w:tab w:val="left" w:pos="-720"/>
        </w:tabs>
        <w:suppressAutoHyphens/>
        <w:rPr>
          <w:b/>
          <w:color w:val="000000" w:themeColor="text1"/>
        </w:rPr>
      </w:pPr>
    </w:p>
    <w:p w:rsidR="00861B3F" w:rsidRPr="00C31A6C" w:rsidP="004A22F3" w14:paraId="7777C6C5" w14:textId="7E01EAD4">
      <w:pPr>
        <w:rPr>
          <w:b/>
          <w:color w:val="000000" w:themeColor="text1"/>
        </w:rPr>
      </w:pPr>
      <w:r w:rsidRPr="00C31A6C">
        <w:rPr>
          <w:b/>
          <w:color w:val="000000" w:themeColor="text1"/>
          <w:u w:val="single"/>
        </w:rPr>
        <w:t>Collection Instrument(s)</w:t>
      </w:r>
      <w:r w:rsidRPr="00C31A6C">
        <w:rPr>
          <w:b/>
          <w:color w:val="000000" w:themeColor="text1"/>
        </w:rPr>
        <w:t>:</w:t>
      </w:r>
      <w:r w:rsidRPr="00C31A6C">
        <w:rPr>
          <w:color w:val="000000" w:themeColor="text1"/>
        </w:rPr>
        <w:t xml:space="preserve"> </w:t>
      </w:r>
      <w:r w:rsidRPr="00C31A6C" w:rsidR="00224ADA">
        <w:rPr>
          <w:color w:val="000000" w:themeColor="text1"/>
        </w:rPr>
        <w:t>None</w:t>
      </w:r>
    </w:p>
    <w:p w:rsidR="00861B3F" w:rsidRPr="005C6CA9" w:rsidP="004A22F3" w14:paraId="3BE9B174" w14:textId="77777777">
      <w:pPr>
        <w:rPr>
          <w:b/>
          <w:bCs/>
          <w:color w:val="000000"/>
        </w:rPr>
      </w:pPr>
    </w:p>
    <w:p w:rsidR="00B227F0" w:rsidRPr="005C6CA9" w:rsidP="004A22F3" w14:paraId="3261DED4" w14:textId="77777777">
      <w:pPr>
        <w:pStyle w:val="Default"/>
        <w:rPr>
          <w:rFonts w:ascii="Times New Roman" w:hAnsi="Times New Roman" w:cs="Times New Roman"/>
          <w:b/>
          <w:color w:val="auto"/>
        </w:rPr>
      </w:pPr>
      <w:r w:rsidRPr="005C6CA9">
        <w:rPr>
          <w:rFonts w:ascii="Times New Roman" w:hAnsi="Times New Roman" w:cs="Times New Roman"/>
          <w:b/>
          <w:color w:val="auto"/>
        </w:rPr>
        <w:t>General Instructions</w:t>
      </w:r>
    </w:p>
    <w:p w:rsidR="00B227F0" w:rsidRPr="005C6CA9" w:rsidP="004A22F3" w14:paraId="6FAE27B4" w14:textId="77777777">
      <w:pPr>
        <w:pStyle w:val="Default"/>
        <w:rPr>
          <w:rFonts w:ascii="Times New Roman" w:hAnsi="Times New Roman" w:cs="Times New Roman"/>
          <w:b/>
          <w:color w:val="auto"/>
        </w:rPr>
      </w:pPr>
    </w:p>
    <w:p w:rsidR="00B227F0" w:rsidRPr="005C6CA9" w:rsidP="004A22F3" w14:paraId="0736298B" w14:textId="031BD00F">
      <w:pPr>
        <w:pStyle w:val="Default"/>
        <w:rPr>
          <w:rFonts w:ascii="Times New Roman" w:hAnsi="Times New Roman" w:cs="Times New Roman"/>
          <w:b/>
          <w:color w:val="auto"/>
        </w:rPr>
      </w:pPr>
      <w:r w:rsidRPr="005C6CA9">
        <w:rPr>
          <w:rFonts w:ascii="Times New Roman" w:hAnsi="Times New Roman" w:cs="Times New Roman"/>
          <w:b/>
          <w:color w:val="auto"/>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B227F0" w:rsidRPr="005C6CA9" w:rsidP="004A22F3" w14:paraId="43E4646E" w14:textId="77777777">
      <w:pPr>
        <w:pStyle w:val="Default"/>
        <w:rPr>
          <w:rFonts w:ascii="Times New Roman" w:hAnsi="Times New Roman" w:cs="Times New Roman"/>
          <w:b/>
          <w:color w:val="auto"/>
        </w:rPr>
      </w:pPr>
    </w:p>
    <w:p w:rsidR="00B227F0" w:rsidRPr="005C6CA9" w:rsidP="004A22F3" w14:paraId="2BEDACE0" w14:textId="77777777">
      <w:pPr>
        <w:pStyle w:val="Default"/>
        <w:rPr>
          <w:rFonts w:ascii="Times New Roman" w:hAnsi="Times New Roman" w:cs="Times New Roman"/>
          <w:b/>
          <w:color w:val="auto"/>
        </w:rPr>
      </w:pPr>
      <w:r w:rsidRPr="005C6CA9">
        <w:rPr>
          <w:rFonts w:ascii="Times New Roman" w:hAnsi="Times New Roman" w:cs="Times New Roman"/>
          <w:b/>
          <w:color w:val="auto"/>
        </w:rPr>
        <w:t>Specific Instructions</w:t>
      </w:r>
    </w:p>
    <w:p w:rsidR="00B227F0" w:rsidRPr="005C6CA9" w:rsidP="004A22F3" w14:paraId="580DC9D7" w14:textId="77777777">
      <w:pPr>
        <w:pStyle w:val="Default"/>
        <w:rPr>
          <w:rFonts w:ascii="Times New Roman" w:hAnsi="Times New Roman" w:cs="Times New Roman"/>
          <w:b/>
          <w:color w:val="auto"/>
        </w:rPr>
      </w:pPr>
    </w:p>
    <w:p w:rsidR="00B227F0" w:rsidRPr="005C6CA9" w:rsidP="004A22F3" w14:paraId="24052D5A" w14:textId="77777777">
      <w:pPr>
        <w:pStyle w:val="Default"/>
        <w:rPr>
          <w:rFonts w:ascii="Times New Roman" w:hAnsi="Times New Roman" w:cs="Times New Roman"/>
          <w:color w:val="auto"/>
        </w:rPr>
      </w:pPr>
      <w:r w:rsidRPr="005C6CA9">
        <w:rPr>
          <w:rFonts w:ascii="Times New Roman" w:hAnsi="Times New Roman" w:cs="Times New Roman"/>
          <w:b/>
          <w:color w:val="auto"/>
        </w:rPr>
        <w:t>A.  Justification</w:t>
      </w:r>
      <w:r w:rsidRPr="005C6CA9">
        <w:rPr>
          <w:rFonts w:ascii="Times New Roman" w:hAnsi="Times New Roman" w:cs="Times New Roman"/>
          <w:color w:val="auto"/>
        </w:rPr>
        <w:t xml:space="preserve"> </w:t>
      </w:r>
    </w:p>
    <w:p w:rsidR="00B227F0" w:rsidRPr="005C6CA9" w:rsidP="004A22F3" w14:paraId="75A98CEA" w14:textId="77777777">
      <w:pPr>
        <w:pStyle w:val="Default"/>
        <w:rPr>
          <w:rFonts w:ascii="Times New Roman" w:hAnsi="Times New Roman" w:cs="Times New Roman"/>
          <w:color w:val="auto"/>
        </w:rPr>
      </w:pPr>
      <w:r w:rsidRPr="005C6CA9">
        <w:rPr>
          <w:rFonts w:ascii="Times New Roman" w:hAnsi="Times New Roman" w:cs="Times New Roman"/>
          <w:color w:val="auto"/>
        </w:rPr>
        <w:t xml:space="preserve"> </w:t>
      </w:r>
    </w:p>
    <w:p w:rsidR="00B227F0" w:rsidRPr="005C6CA9" w:rsidP="004A22F3" w14:paraId="048FE832" w14:textId="7B82313C">
      <w:pPr>
        <w:pStyle w:val="Default"/>
        <w:rPr>
          <w:rFonts w:ascii="Times New Roman" w:hAnsi="Times New Roman" w:cs="Times New Roman"/>
          <w:color w:val="auto"/>
        </w:rPr>
      </w:pPr>
      <w:r w:rsidRPr="005C6CA9">
        <w:rPr>
          <w:rFonts w:ascii="Times New Roman" w:hAnsi="Times New Roman" w:cs="Times New Roman"/>
          <w:b/>
          <w:color w:val="auto"/>
        </w:rPr>
        <w:t>1.</w:t>
      </w:r>
      <w:r w:rsidRPr="005C6CA9">
        <w:rPr>
          <w:rFonts w:ascii="Times New Roman" w:hAnsi="Times New Roman" w:cs="Times New Roman"/>
          <w:color w:val="auto"/>
        </w:rPr>
        <w:t xml:space="preserve"> </w:t>
      </w:r>
      <w:r w:rsidRPr="005C6CA9">
        <w:rPr>
          <w:rFonts w:ascii="Times New Roman" w:hAnsi="Times New Roman" w:cs="Times New Roman"/>
          <w:b/>
          <w:color w:val="auto"/>
        </w:rPr>
        <w:t xml:space="preserve">Explain the circumstances that make the collection of information necessary.  Identify any legal or administrative requirements that necessitate the collection. </w:t>
      </w:r>
      <w:bookmarkStart w:id="2" w:name="_Hlk193113062"/>
      <w:r w:rsidRPr="005C6CA9">
        <w:rPr>
          <w:rFonts w:ascii="Times New Roman" w:hAnsi="Times New Roman" w:cs="Times New Roman"/>
          <w:b/>
          <w:color w:val="auto"/>
        </w:rPr>
        <w:t>Attach a copy of</w:t>
      </w:r>
      <w:r w:rsidRPr="005C6CA9" w:rsidR="00AA68DD">
        <w:rPr>
          <w:rFonts w:ascii="Times New Roman" w:hAnsi="Times New Roman" w:cs="Times New Roman"/>
          <w:b/>
          <w:color w:val="auto"/>
        </w:rPr>
        <w:t xml:space="preserve"> </w:t>
      </w:r>
      <w:r w:rsidRPr="005C6CA9">
        <w:rPr>
          <w:rFonts w:ascii="Times New Roman" w:hAnsi="Times New Roman" w:cs="Times New Roman"/>
          <w:b/>
          <w:color w:val="auto"/>
        </w:rPr>
        <w:t xml:space="preserve">the appropriate section of each statute and regulation mandating or authorizing the collection of information. </w:t>
      </w:r>
    </w:p>
    <w:p w:rsidR="00B227F0" w:rsidRPr="005C6CA9" w:rsidP="004A22F3" w14:paraId="1FCB6AF5" w14:textId="77777777">
      <w:pPr>
        <w:pStyle w:val="Default"/>
        <w:rPr>
          <w:rFonts w:ascii="Times New Roman" w:hAnsi="Times New Roman" w:cs="Times New Roman"/>
          <w:color w:val="auto"/>
        </w:rPr>
      </w:pPr>
      <w:r w:rsidRPr="005C6CA9">
        <w:rPr>
          <w:rFonts w:ascii="Times New Roman" w:hAnsi="Times New Roman" w:cs="Times New Roman"/>
          <w:b/>
          <w:color w:val="auto"/>
        </w:rPr>
        <w:t xml:space="preserve"> </w:t>
      </w:r>
    </w:p>
    <w:bookmarkEnd w:id="2"/>
    <w:p w:rsidR="00CB3898" w:rsidRPr="005C6CA9" w:rsidP="004A22F3" w14:paraId="30E722ED" w14:textId="2DBDD49E">
      <w:pPr>
        <w:pStyle w:val="Default"/>
        <w:rPr>
          <w:rFonts w:ascii="Times New Roman" w:hAnsi="Times New Roman" w:cs="Times New Roman"/>
          <w:color w:val="auto"/>
        </w:rPr>
      </w:pPr>
      <w:r w:rsidRPr="005C6CA9">
        <w:rPr>
          <w:rFonts w:ascii="Times New Roman" w:hAnsi="Times New Roman" w:cs="Times New Roman"/>
          <w:color w:val="auto"/>
        </w:rPr>
        <w:t>Section 103(h) of the Federal Mine Safety and Health Act of 1977</w:t>
      </w:r>
      <w:r w:rsidRPr="005C6CA9" w:rsidR="006A05E7">
        <w:rPr>
          <w:rFonts w:ascii="Times New Roman" w:hAnsi="Times New Roman" w:cs="Times New Roman"/>
          <w:color w:val="auto"/>
        </w:rPr>
        <w:t xml:space="preserve"> (Mine Act)</w:t>
      </w:r>
      <w:r w:rsidR="007A4E8F">
        <w:rPr>
          <w:rFonts w:ascii="Times New Roman" w:hAnsi="Times New Roman" w:cs="Times New Roman"/>
          <w:color w:val="auto"/>
        </w:rPr>
        <w:t>,</w:t>
      </w:r>
      <w:r w:rsidRPr="005C6CA9">
        <w:rPr>
          <w:rFonts w:ascii="Times New Roman" w:hAnsi="Times New Roman" w:cs="Times New Roman"/>
        </w:rPr>
        <w:t xml:space="preserve"> as amended</w:t>
      </w:r>
      <w:r w:rsidRPr="005C6CA9">
        <w:rPr>
          <w:rFonts w:ascii="Times New Roman" w:hAnsi="Times New Roman" w:cs="Times New Roman"/>
          <w:color w:val="auto"/>
        </w:rPr>
        <w:t xml:space="preserve">, 30 U.S.C. 813(h), authorizes the Mine Safety and Health Administration (MSHA) to collect information necessary to carry out its duty in protecting the safety and health of miners. Further, </w:t>
      </w:r>
      <w:bookmarkStart w:id="3" w:name="_Hlk157593570"/>
      <w:r w:rsidRPr="005C6CA9">
        <w:rPr>
          <w:rFonts w:ascii="Times New Roman" w:hAnsi="Times New Roman" w:cs="Times New Roman"/>
          <w:color w:val="auto"/>
        </w:rPr>
        <w:t xml:space="preserve">section 101(a) of the Mine Act, 30 U.S.C. 811(a), authorizes the Secretary of Labor (Secretary) </w:t>
      </w:r>
      <w:bookmarkEnd w:id="3"/>
      <w:r w:rsidRPr="005C6CA9">
        <w:rPr>
          <w:rFonts w:ascii="Times New Roman" w:hAnsi="Times New Roman" w:cs="Times New Roman"/>
          <w:color w:val="auto"/>
        </w:rPr>
        <w:t xml:space="preserve">to develop, promulgate, and revise as may be appropriate, improved mandatory health or safety standards for the protection of life and prevention of injuries in coal, metal, and nonmetal </w:t>
      </w:r>
      <w:r w:rsidR="00AE642F">
        <w:rPr>
          <w:rFonts w:ascii="Times New Roman" w:hAnsi="Times New Roman" w:cs="Times New Roman"/>
          <w:color w:val="auto"/>
        </w:rPr>
        <w:t xml:space="preserve">(MNM) </w:t>
      </w:r>
      <w:r w:rsidRPr="005C6CA9">
        <w:rPr>
          <w:rFonts w:ascii="Times New Roman" w:hAnsi="Times New Roman" w:cs="Times New Roman"/>
          <w:color w:val="auto"/>
        </w:rPr>
        <w:t>mines.</w:t>
      </w:r>
    </w:p>
    <w:p w:rsidR="00F70C76" w:rsidRPr="005C6CA9" w:rsidP="004A22F3" w14:paraId="308C7C3D" w14:textId="77777777">
      <w:pPr>
        <w:pStyle w:val="Default"/>
        <w:rPr>
          <w:rFonts w:ascii="Times New Roman" w:hAnsi="Times New Roman" w:cs="Times New Roman"/>
          <w:color w:val="auto"/>
        </w:rPr>
      </w:pPr>
    </w:p>
    <w:p w:rsidR="0063088A" w:rsidRPr="005C6CA9" w:rsidP="0063088A" w14:paraId="1A8C15FF" w14:textId="77777777">
      <w:pPr>
        <w:pStyle w:val="Default"/>
        <w:rPr>
          <w:rFonts w:ascii="Times New Roman" w:hAnsi="Times New Roman" w:cs="Times New Roman"/>
        </w:rPr>
      </w:pPr>
      <w:r w:rsidRPr="005C6CA9">
        <w:rPr>
          <w:rFonts w:ascii="Times New Roman" w:hAnsi="Times New Roman" w:cs="Times New Roman"/>
        </w:rPr>
        <w:t xml:space="preserve">The Paperwork Reduction Act </w:t>
      </w:r>
      <w:r>
        <w:rPr>
          <w:rFonts w:ascii="Times New Roman" w:hAnsi="Times New Roman" w:cs="Times New Roman"/>
        </w:rPr>
        <w:t xml:space="preserve">of 1995 </w:t>
      </w:r>
      <w:r w:rsidRPr="005C6CA9">
        <w:rPr>
          <w:rFonts w:ascii="Times New Roman" w:hAnsi="Times New Roman" w:cs="Times New Roman"/>
        </w:rPr>
        <w:t xml:space="preserve">(PRA) governs paperwork burdens imposed on the public by Federal agencies for using identical questions to collect information from 10 or more persons. </w:t>
      </w:r>
      <w:r>
        <w:rPr>
          <w:rFonts w:ascii="Times New Roman" w:hAnsi="Times New Roman" w:cs="Times New Roman"/>
        </w:rPr>
        <w:t>The PRA defines p</w:t>
      </w:r>
      <w:r w:rsidRPr="005C6CA9">
        <w:rPr>
          <w:rFonts w:ascii="Times New Roman" w:hAnsi="Times New Roman" w:cs="Times New Roman"/>
        </w:rPr>
        <w:t xml:space="preserve">aperwork burden in 44 U.S.C. 3502(2) as time, effort, or financial resources expended to generate, maintain, or provide information to or for a Federal agency. Under 44 U.S.C. 3507, </w:t>
      </w:r>
      <w:r>
        <w:rPr>
          <w:rFonts w:ascii="Times New Roman" w:hAnsi="Times New Roman" w:cs="Times New Roman"/>
        </w:rPr>
        <w:t xml:space="preserve">the PRA also establishes </w:t>
      </w:r>
      <w:r w:rsidRPr="005C6CA9">
        <w:rPr>
          <w:rFonts w:ascii="Times New Roman" w:hAnsi="Times New Roman" w:cs="Times New Roman"/>
        </w:rPr>
        <w:t>policies and procedures of information collection for controlling paperwork burdens imposed by Federal agencies on the public</w:t>
      </w:r>
      <w:bookmarkStart w:id="4" w:name="_Hlk196911088"/>
      <w:r w:rsidRPr="005C6CA9">
        <w:rPr>
          <w:rFonts w:ascii="Times New Roman" w:hAnsi="Times New Roman" w:cs="Times New Roman"/>
          <w:bCs/>
        </w:rPr>
        <w:t>, including evaluating public comments</w:t>
      </w:r>
      <w:bookmarkEnd w:id="4"/>
      <w:r w:rsidRPr="005C6CA9">
        <w:rPr>
          <w:rFonts w:ascii="Times New Roman" w:hAnsi="Times New Roman" w:cs="Times New Roman"/>
        </w:rPr>
        <w:t>. </w:t>
      </w:r>
    </w:p>
    <w:p w:rsidR="00B03537" w:rsidRPr="005C6CA9" w:rsidP="004A22F3" w14:paraId="522C5757" w14:textId="77777777">
      <w:pPr>
        <w:pStyle w:val="Default"/>
        <w:rPr>
          <w:rFonts w:ascii="Times New Roman" w:hAnsi="Times New Roman" w:cs="Times New Roman"/>
          <w:color w:val="auto"/>
        </w:rPr>
      </w:pPr>
    </w:p>
    <w:p w:rsidR="00057069" w:rsidRPr="005C6CA9" w:rsidP="004A22F3" w14:paraId="355E7F51" w14:textId="0CD28152">
      <w:pPr>
        <w:pStyle w:val="Default"/>
        <w:rPr>
          <w:rFonts w:ascii="Times New Roman" w:hAnsi="Times New Roman" w:cs="Times New Roman"/>
          <w:color w:val="auto"/>
        </w:rPr>
      </w:pPr>
      <w:bookmarkStart w:id="5" w:name="_Hlk200001381"/>
      <w:bookmarkStart w:id="6" w:name="_Hlk169763927"/>
      <w:r w:rsidRPr="005C6CA9">
        <w:rPr>
          <w:rFonts w:ascii="Times New Roman" w:hAnsi="Times New Roman" w:cs="Times New Roman"/>
          <w:color w:val="auto"/>
        </w:rPr>
        <w:t>To</w:t>
      </w:r>
      <w:r w:rsidRPr="005C6CA9" w:rsidR="00F70C76">
        <w:rPr>
          <w:rFonts w:ascii="Times New Roman" w:hAnsi="Times New Roman" w:cs="Times New Roman"/>
          <w:color w:val="auto"/>
        </w:rPr>
        <w:t xml:space="preserve"> fulfill </w:t>
      </w:r>
      <w:r w:rsidR="0063088A">
        <w:rPr>
          <w:rFonts w:ascii="Times New Roman" w:hAnsi="Times New Roman" w:cs="Times New Roman"/>
          <w:color w:val="auto"/>
        </w:rPr>
        <w:t>its</w:t>
      </w:r>
      <w:r w:rsidRPr="005C6CA9" w:rsidR="00F70C76">
        <w:rPr>
          <w:rFonts w:ascii="Times New Roman" w:hAnsi="Times New Roman" w:cs="Times New Roman"/>
          <w:color w:val="auto"/>
        </w:rPr>
        <w:t xml:space="preserve"> statutory mandate to promote miners’ health and safety, MSHA requires</w:t>
      </w:r>
      <w:r w:rsidR="0063088A">
        <w:rPr>
          <w:rFonts w:ascii="Times New Roman" w:hAnsi="Times New Roman" w:cs="Times New Roman"/>
          <w:color w:val="auto"/>
        </w:rPr>
        <w:t xml:space="preserve"> </w:t>
      </w:r>
      <w:r w:rsidRPr="005C6CA9" w:rsidR="00F70C76">
        <w:rPr>
          <w:rFonts w:ascii="Times New Roman" w:hAnsi="Times New Roman" w:cs="Times New Roman"/>
          <w:color w:val="auto"/>
        </w:rPr>
        <w:t>information</w:t>
      </w:r>
      <w:r w:rsidRPr="005C6CA9" w:rsidR="00522EC1">
        <w:rPr>
          <w:rFonts w:ascii="Times New Roman" w:hAnsi="Times New Roman" w:cs="Times New Roman"/>
          <w:color w:val="auto"/>
        </w:rPr>
        <w:t xml:space="preserve"> </w:t>
      </w:r>
      <w:r w:rsidRPr="005C6CA9">
        <w:rPr>
          <w:rFonts w:ascii="Times New Roman" w:hAnsi="Times New Roman" w:cs="Times New Roman"/>
          <w:color w:val="auto"/>
        </w:rPr>
        <w:t xml:space="preserve">collected </w:t>
      </w:r>
      <w:r w:rsidRPr="005C6CA9" w:rsidR="00522EC1">
        <w:rPr>
          <w:rFonts w:ascii="Times New Roman" w:hAnsi="Times New Roman" w:cs="Times New Roman"/>
          <w:color w:val="auto"/>
        </w:rPr>
        <w:t>under th</w:t>
      </w:r>
      <w:r w:rsidR="00865336">
        <w:rPr>
          <w:rFonts w:ascii="Times New Roman" w:hAnsi="Times New Roman" w:cs="Times New Roman"/>
          <w:color w:val="auto"/>
        </w:rPr>
        <w:t>is</w:t>
      </w:r>
      <w:r w:rsidRPr="005C6CA9" w:rsidR="00522EC1">
        <w:rPr>
          <w:rFonts w:ascii="Times New Roman" w:hAnsi="Times New Roman" w:cs="Times New Roman"/>
          <w:color w:val="auto"/>
        </w:rPr>
        <w:t xml:space="preserve"> </w:t>
      </w:r>
      <w:r w:rsidRPr="005C6CA9">
        <w:rPr>
          <w:rFonts w:ascii="Times New Roman" w:hAnsi="Times New Roman" w:cs="Times New Roman"/>
          <w:color w:val="auto"/>
        </w:rPr>
        <w:t xml:space="preserve">ICR </w:t>
      </w:r>
      <w:r w:rsidRPr="005C6CA9" w:rsidR="003752D3">
        <w:rPr>
          <w:rFonts w:ascii="Times New Roman" w:hAnsi="Times New Roman" w:cs="Times New Roman"/>
          <w:color w:val="auto"/>
        </w:rPr>
        <w:t>titled</w:t>
      </w:r>
      <w:r w:rsidRPr="005C6CA9" w:rsidR="00F50585">
        <w:rPr>
          <w:rFonts w:ascii="Times New Roman" w:hAnsi="Times New Roman" w:cs="Times New Roman"/>
          <w:color w:val="auto"/>
        </w:rPr>
        <w:t xml:space="preserve"> </w:t>
      </w:r>
      <w:r w:rsidRPr="005C6CA9" w:rsidR="000C4082">
        <w:rPr>
          <w:rFonts w:ascii="Times New Roman" w:hAnsi="Times New Roman" w:cs="Times New Roman"/>
          <w:color w:val="auto"/>
        </w:rPr>
        <w:t>“</w:t>
      </w:r>
      <w:r w:rsidRPr="00C76A71" w:rsidR="00CB6CE1">
        <w:rPr>
          <w:rFonts w:ascii="Times New Roman" w:hAnsi="Times New Roman" w:cs="Times New Roman"/>
          <w:color w:val="auto"/>
        </w:rPr>
        <w:t>Program to Prevent Smoking in Hazardous Areas of Underground Coal Mines</w:t>
      </w:r>
      <w:r w:rsidR="0085525B">
        <w:rPr>
          <w:rFonts w:ascii="Times New Roman" w:hAnsi="Times New Roman" w:cs="Times New Roman"/>
          <w:color w:val="auto"/>
        </w:rPr>
        <w:t>.</w:t>
      </w:r>
      <w:r w:rsidRPr="005C6CA9" w:rsidR="000C4082">
        <w:rPr>
          <w:rFonts w:ascii="Times New Roman" w:hAnsi="Times New Roman" w:cs="Times New Roman"/>
          <w:color w:val="auto"/>
        </w:rPr>
        <w:t>”</w:t>
      </w:r>
      <w:r w:rsidRPr="005C6CA9" w:rsidR="00F70C76">
        <w:rPr>
          <w:rFonts w:ascii="Times New Roman" w:hAnsi="Times New Roman" w:cs="Times New Roman"/>
          <w:color w:val="auto"/>
        </w:rPr>
        <w:t xml:space="preserve"> </w:t>
      </w:r>
      <w:r w:rsidRPr="00526A8C" w:rsidR="00CB6CE1">
        <w:rPr>
          <w:rFonts w:ascii="Times New Roman" w:hAnsi="Times New Roman" w:cs="Times New Roman"/>
          <w:color w:val="auto"/>
        </w:rPr>
        <w:t>Th</w:t>
      </w:r>
      <w:r w:rsidR="0063088A">
        <w:rPr>
          <w:rFonts w:ascii="Times New Roman" w:hAnsi="Times New Roman" w:cs="Times New Roman"/>
          <w:color w:val="auto"/>
        </w:rPr>
        <w:t>is</w:t>
      </w:r>
      <w:r w:rsidRPr="00526A8C" w:rsidR="00CB6CE1">
        <w:rPr>
          <w:rFonts w:ascii="Times New Roman" w:hAnsi="Times New Roman" w:cs="Times New Roman"/>
          <w:color w:val="auto"/>
        </w:rPr>
        <w:t xml:space="preserve"> information collection is intended to ensure </w:t>
      </w:r>
      <w:r w:rsidRPr="00C76A71" w:rsidR="00CB6CE1">
        <w:rPr>
          <w:rFonts w:ascii="Times New Roman" w:hAnsi="Times New Roman" w:cs="Times New Roman"/>
          <w:color w:val="auto"/>
        </w:rPr>
        <w:t xml:space="preserve">persons entering the underground area of the mine do not carry smoking materials, matches, or lighters </w:t>
      </w:r>
      <w:bookmarkStart w:id="7" w:name="_Hlk179284225"/>
      <w:r w:rsidR="00CB6CE1">
        <w:rPr>
          <w:rFonts w:ascii="Times New Roman" w:hAnsi="Times New Roman" w:cs="Times New Roman"/>
          <w:color w:val="auto"/>
        </w:rPr>
        <w:t>and</w:t>
      </w:r>
      <w:r w:rsidR="0063088A">
        <w:rPr>
          <w:rFonts w:ascii="Times New Roman" w:hAnsi="Times New Roman" w:cs="Times New Roman"/>
          <w:color w:val="auto"/>
        </w:rPr>
        <w:t xml:space="preserve"> </w:t>
      </w:r>
      <w:r w:rsidR="00CB6CE1">
        <w:rPr>
          <w:rFonts w:ascii="Times New Roman" w:hAnsi="Times New Roman" w:cs="Times New Roman"/>
          <w:color w:val="auto"/>
        </w:rPr>
        <w:t xml:space="preserve">determine </w:t>
      </w:r>
      <w:r w:rsidR="0063088A">
        <w:rPr>
          <w:rFonts w:ascii="Times New Roman" w:hAnsi="Times New Roman" w:cs="Times New Roman"/>
          <w:color w:val="auto"/>
        </w:rPr>
        <w:t>the</w:t>
      </w:r>
      <w:r w:rsidRPr="00C76A71" w:rsidR="00CB6CE1">
        <w:rPr>
          <w:rFonts w:ascii="Times New Roman" w:hAnsi="Times New Roman" w:cs="Times New Roman"/>
          <w:color w:val="auto"/>
        </w:rPr>
        <w:t xml:space="preserve"> mine operator’s compliance with the </w:t>
      </w:r>
      <w:r w:rsidR="0063088A">
        <w:rPr>
          <w:rFonts w:ascii="Times New Roman" w:hAnsi="Times New Roman" w:cs="Times New Roman"/>
          <w:color w:val="auto"/>
        </w:rPr>
        <w:t>requirement</w:t>
      </w:r>
      <w:r w:rsidRPr="00C76A71" w:rsidR="00CB6CE1">
        <w:rPr>
          <w:rFonts w:ascii="Times New Roman" w:hAnsi="Times New Roman" w:cs="Times New Roman"/>
          <w:color w:val="auto"/>
        </w:rPr>
        <w:t xml:space="preserve"> to institute a smoking prevention program</w:t>
      </w:r>
      <w:bookmarkEnd w:id="7"/>
      <w:r w:rsidRPr="00526A8C" w:rsidR="00CB6CE1">
        <w:rPr>
          <w:rFonts w:ascii="Times New Roman" w:hAnsi="Times New Roman" w:cs="Times New Roman"/>
          <w:color w:val="auto"/>
        </w:rPr>
        <w:t>.</w:t>
      </w:r>
    </w:p>
    <w:bookmarkEnd w:id="5"/>
    <w:p w:rsidR="00057069" w:rsidRPr="005C6CA9" w:rsidP="004A22F3" w14:paraId="61CFCABB" w14:textId="77777777">
      <w:pPr>
        <w:pStyle w:val="Default"/>
        <w:rPr>
          <w:rFonts w:ascii="Times New Roman" w:hAnsi="Times New Roman" w:cs="Times New Roman"/>
          <w:color w:val="auto"/>
        </w:rPr>
      </w:pPr>
    </w:p>
    <w:p w:rsidR="00130F58" w:rsidP="00C31A6C" w14:paraId="0457B33B" w14:textId="592522CF">
      <w:pPr>
        <w:pStyle w:val="Default"/>
        <w:rPr>
          <w:rFonts w:ascii="Times New Roman" w:hAnsi="Times New Roman" w:cs="Times New Roman"/>
          <w:color w:val="auto"/>
        </w:rPr>
      </w:pPr>
      <w:bookmarkStart w:id="8" w:name="_Hlk200001289"/>
      <w:r w:rsidRPr="00DF0D2F">
        <w:rPr>
          <w:rFonts w:ascii="Times New Roman" w:hAnsi="Times New Roman" w:cs="Times New Roman"/>
          <w:color w:val="auto"/>
        </w:rPr>
        <w:t>Burden costs associated with the ICR include</w:t>
      </w:r>
      <w:r w:rsidR="007A4E8F">
        <w:rPr>
          <w:rFonts w:ascii="Times New Roman" w:hAnsi="Times New Roman" w:cs="Times New Roman"/>
          <w:color w:val="auto"/>
        </w:rPr>
        <w:t xml:space="preserve"> </w:t>
      </w:r>
      <w:r w:rsidR="00515ED5">
        <w:rPr>
          <w:rFonts w:ascii="Times New Roman" w:hAnsi="Times New Roman" w:cs="Times New Roman"/>
          <w:color w:val="auto"/>
        </w:rPr>
        <w:t>d</w:t>
      </w:r>
      <w:r w:rsidR="001818EC">
        <w:rPr>
          <w:rFonts w:ascii="Times New Roman" w:hAnsi="Times New Roman" w:cs="Times New Roman"/>
          <w:color w:val="auto"/>
        </w:rPr>
        <w:t>evelop</w:t>
      </w:r>
      <w:r w:rsidR="00515ED5">
        <w:rPr>
          <w:rFonts w:ascii="Times New Roman" w:hAnsi="Times New Roman" w:cs="Times New Roman"/>
          <w:color w:val="auto"/>
        </w:rPr>
        <w:t xml:space="preserve">ing and </w:t>
      </w:r>
      <w:r w:rsidR="00D34742">
        <w:rPr>
          <w:rFonts w:ascii="Times New Roman" w:hAnsi="Times New Roman" w:cs="Times New Roman"/>
          <w:color w:val="auto"/>
        </w:rPr>
        <w:t xml:space="preserve">submitting </w:t>
      </w:r>
      <w:r w:rsidR="007A4E8F">
        <w:rPr>
          <w:rFonts w:ascii="Times New Roman" w:hAnsi="Times New Roman" w:cs="Times New Roman"/>
          <w:color w:val="auto"/>
        </w:rPr>
        <w:t>s</w:t>
      </w:r>
      <w:r w:rsidRPr="00DF0D2F">
        <w:rPr>
          <w:rFonts w:ascii="Times New Roman" w:hAnsi="Times New Roman" w:cs="Times New Roman"/>
          <w:color w:val="auto"/>
        </w:rPr>
        <w:t xml:space="preserve">moking </w:t>
      </w:r>
      <w:r w:rsidR="004412B3">
        <w:rPr>
          <w:rFonts w:ascii="Times New Roman" w:hAnsi="Times New Roman" w:cs="Times New Roman"/>
          <w:color w:val="auto"/>
        </w:rPr>
        <w:t xml:space="preserve">prevention </w:t>
      </w:r>
      <w:r w:rsidRPr="00DF0D2F">
        <w:rPr>
          <w:rFonts w:ascii="Times New Roman" w:hAnsi="Times New Roman" w:cs="Times New Roman"/>
          <w:color w:val="auto"/>
        </w:rPr>
        <w:t>programs</w:t>
      </w:r>
      <w:r w:rsidR="00D34742">
        <w:rPr>
          <w:rFonts w:ascii="Times New Roman" w:hAnsi="Times New Roman" w:cs="Times New Roman"/>
          <w:color w:val="auto"/>
        </w:rPr>
        <w:t xml:space="preserve"> for MSHA’s approval</w:t>
      </w:r>
      <w:r w:rsidR="007A4E8F">
        <w:rPr>
          <w:rFonts w:ascii="Times New Roman" w:hAnsi="Times New Roman" w:cs="Times New Roman"/>
          <w:color w:val="auto"/>
        </w:rPr>
        <w:t>.</w:t>
      </w:r>
    </w:p>
    <w:bookmarkEnd w:id="6"/>
    <w:p w:rsidR="00C73040" w:rsidP="004A22F3" w14:paraId="66A14350" w14:textId="5C22D97D">
      <w:pPr>
        <w:pStyle w:val="Default"/>
        <w:rPr>
          <w:rFonts w:ascii="Times New Roman" w:hAnsi="Times New Roman" w:cs="Times New Roman"/>
          <w:color w:val="auto"/>
        </w:rPr>
      </w:pPr>
    </w:p>
    <w:p w:rsidR="00C44ACD" w:rsidRPr="00071109" w:rsidP="00C44ACD" w14:paraId="299B4ACF" w14:textId="1E530A05">
      <w:pPr>
        <w:pStyle w:val="Default"/>
        <w:rPr>
          <w:rFonts w:ascii="Times New Roman" w:hAnsi="Times New Roman" w:cs="Times New Roman"/>
          <w:bCs/>
        </w:rPr>
      </w:pPr>
      <w:r w:rsidRPr="00071109">
        <w:rPr>
          <w:rFonts w:ascii="Times New Roman" w:hAnsi="Times New Roman" w:cs="Times New Roman"/>
          <w:bCs/>
        </w:rPr>
        <w:t>Authorization and the associated rule text are described below.</w:t>
      </w:r>
    </w:p>
    <w:p w:rsidR="00130F58" w:rsidRPr="005F116E" w:rsidP="00130F58" w14:paraId="09204E8C" w14:textId="77777777">
      <w:pPr>
        <w:pStyle w:val="Default"/>
        <w:rPr>
          <w:rFonts w:ascii="Times New Roman" w:hAnsi="Times New Roman" w:cs="Times New Roman"/>
          <w:color w:val="auto"/>
        </w:rPr>
      </w:pPr>
    </w:p>
    <w:p w:rsidR="00130F58" w:rsidRPr="001818EC" w:rsidP="00C31A6C" w14:paraId="377216C5" w14:textId="1B8BEAA1">
      <w:pPr>
        <w:pStyle w:val="ListParagraph"/>
        <w:numPr>
          <w:ilvl w:val="0"/>
          <w:numId w:val="26"/>
        </w:numPr>
        <w:spacing w:after="0" w:line="240" w:lineRule="auto"/>
        <w:rPr>
          <w:b/>
          <w:bCs/>
        </w:rPr>
      </w:pPr>
      <w:bookmarkStart w:id="9" w:name="_Hlk194581781"/>
      <w:r w:rsidRPr="001818EC">
        <w:rPr>
          <w:b/>
          <w:bCs/>
          <w:szCs w:val="24"/>
        </w:rPr>
        <w:t>D</w:t>
      </w:r>
      <w:r w:rsidRPr="001818EC" w:rsidR="001818EC">
        <w:rPr>
          <w:b/>
          <w:bCs/>
          <w:szCs w:val="24"/>
        </w:rPr>
        <w:t>evelopi</w:t>
      </w:r>
      <w:r w:rsidRPr="001818EC">
        <w:rPr>
          <w:b/>
          <w:bCs/>
          <w:szCs w:val="24"/>
        </w:rPr>
        <w:t>ng Smoking</w:t>
      </w:r>
      <w:r w:rsidRPr="001818EC" w:rsidR="007A4E8F">
        <w:rPr>
          <w:b/>
          <w:bCs/>
          <w:szCs w:val="24"/>
        </w:rPr>
        <w:t xml:space="preserve"> </w:t>
      </w:r>
      <w:r w:rsidR="00074445">
        <w:rPr>
          <w:b/>
          <w:bCs/>
          <w:szCs w:val="24"/>
        </w:rPr>
        <w:t xml:space="preserve">Prevention </w:t>
      </w:r>
      <w:r w:rsidRPr="001818EC" w:rsidR="007A4E8F">
        <w:rPr>
          <w:b/>
          <w:bCs/>
          <w:szCs w:val="24"/>
        </w:rPr>
        <w:t>Programs</w:t>
      </w:r>
      <w:r w:rsidRPr="001818EC">
        <w:rPr>
          <w:b/>
          <w:bCs/>
          <w:szCs w:val="24"/>
        </w:rPr>
        <w:t xml:space="preserve"> </w:t>
      </w:r>
      <w:bookmarkEnd w:id="9"/>
    </w:p>
    <w:p w:rsidR="00130F58" w:rsidRPr="00771184" w:rsidP="00130F58" w14:paraId="2EE0491A" w14:textId="77777777">
      <w:pPr>
        <w:pStyle w:val="Default"/>
        <w:ind w:left="360"/>
        <w:rPr>
          <w:rFonts w:ascii="Times New Roman" w:hAnsi="Times New Roman" w:cs="Times New Roman"/>
          <w:color w:val="auto"/>
        </w:rPr>
      </w:pPr>
    </w:p>
    <w:p w:rsidR="006D7BF2" w:rsidRPr="00771184" w:rsidP="00130F58" w14:paraId="055CF71C" w14:textId="0D01CFA2">
      <w:pPr>
        <w:pStyle w:val="Default"/>
        <w:rPr>
          <w:rFonts w:ascii="Times New Roman" w:hAnsi="Times New Roman" w:cs="Times New Roman"/>
          <w:color w:val="auto"/>
        </w:rPr>
      </w:pPr>
      <w:bookmarkStart w:id="10" w:name="_Hlk200004383"/>
      <w:r w:rsidRPr="00771184">
        <w:rPr>
          <w:rFonts w:ascii="Times New Roman" w:hAnsi="Times New Roman" w:cs="Times New Roman"/>
          <w:color w:val="auto"/>
        </w:rPr>
        <w:t xml:space="preserve">Under </w:t>
      </w:r>
      <w:r w:rsidRPr="00E176D7">
        <w:rPr>
          <w:rFonts w:ascii="Times New Roman" w:hAnsi="Times New Roman" w:cs="Times New Roman"/>
          <w:color w:val="auto"/>
        </w:rPr>
        <w:t>30 CFR 75.1702</w:t>
      </w:r>
      <w:r w:rsidR="007A4E8F">
        <w:rPr>
          <w:rFonts w:ascii="Times New Roman" w:hAnsi="Times New Roman" w:cs="Times New Roman"/>
          <w:color w:val="auto"/>
        </w:rPr>
        <w:t>,</w:t>
      </w:r>
      <w:r w:rsidR="00A65953">
        <w:rPr>
          <w:rFonts w:ascii="Times New Roman" w:hAnsi="Times New Roman" w:cs="Times New Roman"/>
          <w:color w:val="auto"/>
        </w:rPr>
        <w:t xml:space="preserve"> </w:t>
      </w:r>
      <w:r w:rsidR="000F58DF">
        <w:rPr>
          <w:rFonts w:ascii="Times New Roman" w:hAnsi="Times New Roman" w:cs="Times New Roman"/>
          <w:color w:val="auto"/>
        </w:rPr>
        <w:t>n</w:t>
      </w:r>
      <w:r w:rsidRPr="006D7BF2">
        <w:rPr>
          <w:rFonts w:ascii="Times New Roman" w:hAnsi="Times New Roman" w:cs="Times New Roman"/>
          <w:color w:val="auto"/>
        </w:rPr>
        <w:t xml:space="preserve">o person </w:t>
      </w:r>
      <w:r w:rsidR="007A4E8F">
        <w:rPr>
          <w:rFonts w:ascii="Times New Roman" w:hAnsi="Times New Roman" w:cs="Times New Roman"/>
          <w:color w:val="auto"/>
        </w:rPr>
        <w:t xml:space="preserve">is allowed to </w:t>
      </w:r>
      <w:r w:rsidRPr="006D7BF2">
        <w:rPr>
          <w:rFonts w:ascii="Times New Roman" w:hAnsi="Times New Roman" w:cs="Times New Roman"/>
          <w:color w:val="auto"/>
        </w:rPr>
        <w:t xml:space="preserve">smoke, carry smoking materials, matches, or lighters underground, or smoke in or around oil houses, explosives magazines, or other surface areas where such practice may cause a fire or explosion. The operator </w:t>
      </w:r>
      <w:r w:rsidR="000F58DF">
        <w:rPr>
          <w:rFonts w:ascii="Times New Roman" w:hAnsi="Times New Roman" w:cs="Times New Roman"/>
          <w:color w:val="auto"/>
        </w:rPr>
        <w:t>must</w:t>
      </w:r>
      <w:r w:rsidRPr="006D7BF2">
        <w:rPr>
          <w:rFonts w:ascii="Times New Roman" w:hAnsi="Times New Roman" w:cs="Times New Roman"/>
          <w:color w:val="auto"/>
        </w:rPr>
        <w:t xml:space="preserve"> institute a program, approved by the Secretary, to </w:t>
      </w:r>
      <w:r w:rsidR="007A4E8F">
        <w:rPr>
          <w:rFonts w:ascii="Times New Roman" w:hAnsi="Times New Roman" w:cs="Times New Roman"/>
          <w:color w:val="auto"/>
        </w:rPr>
        <w:t>e</w:t>
      </w:r>
      <w:r w:rsidRPr="006D7BF2">
        <w:rPr>
          <w:rFonts w:ascii="Times New Roman" w:hAnsi="Times New Roman" w:cs="Times New Roman"/>
          <w:color w:val="auto"/>
        </w:rPr>
        <w:t>nsure that any person entering the underground area of the mine does not carry smoking materials, matches, or lighters.</w:t>
      </w:r>
    </w:p>
    <w:p w:rsidR="001818EC" w:rsidRPr="00771184" w:rsidP="00130F58" w14:paraId="0852D2EF" w14:textId="77777777">
      <w:pPr>
        <w:pStyle w:val="Default"/>
        <w:rPr>
          <w:rFonts w:ascii="Times New Roman" w:hAnsi="Times New Roman" w:cs="Times New Roman"/>
          <w:color w:val="auto"/>
        </w:rPr>
      </w:pPr>
    </w:p>
    <w:p w:rsidR="001818EC" w:rsidRPr="001818EC" w:rsidP="00C31A6C" w14:paraId="0F451521" w14:textId="4D0C810B">
      <w:pPr>
        <w:pStyle w:val="ListParagraph"/>
        <w:numPr>
          <w:ilvl w:val="0"/>
          <w:numId w:val="26"/>
        </w:numPr>
        <w:spacing w:after="0" w:line="240" w:lineRule="auto"/>
        <w:rPr>
          <w:b/>
          <w:bCs/>
        </w:rPr>
      </w:pPr>
      <w:bookmarkStart w:id="11" w:name="_Hlk194581793"/>
      <w:r w:rsidRPr="001818EC">
        <w:rPr>
          <w:b/>
          <w:bCs/>
          <w:szCs w:val="24"/>
        </w:rPr>
        <w:t xml:space="preserve">Submitting Smoking </w:t>
      </w:r>
      <w:r w:rsidR="00074445">
        <w:rPr>
          <w:b/>
          <w:bCs/>
          <w:szCs w:val="24"/>
        </w:rPr>
        <w:t xml:space="preserve">Prevention </w:t>
      </w:r>
      <w:r w:rsidRPr="001818EC">
        <w:rPr>
          <w:b/>
          <w:bCs/>
          <w:szCs w:val="24"/>
        </w:rPr>
        <w:t xml:space="preserve">Programs </w:t>
      </w:r>
    </w:p>
    <w:bookmarkEnd w:id="11"/>
    <w:p w:rsidR="00130F58" w:rsidRPr="00771184" w:rsidP="00130F58" w14:paraId="47D72B59" w14:textId="77777777">
      <w:pPr>
        <w:pStyle w:val="Default"/>
        <w:rPr>
          <w:rFonts w:ascii="Times New Roman" w:hAnsi="Times New Roman" w:cs="Times New Roman"/>
          <w:color w:val="auto"/>
        </w:rPr>
      </w:pPr>
    </w:p>
    <w:p w:rsidR="00CB3898" w:rsidRPr="005C6CA9" w:rsidP="00C31A6C" w14:paraId="0DB78B4F" w14:textId="23A6CF7D">
      <w:r>
        <w:t xml:space="preserve">Under </w:t>
      </w:r>
      <w:r w:rsidRPr="00771184">
        <w:t>30 CFR 75.1702-1</w:t>
      </w:r>
      <w:r>
        <w:t>,</w:t>
      </w:r>
      <w:r w:rsidRPr="00771184">
        <w:t xml:space="preserve"> </w:t>
      </w:r>
      <w:r w:rsidR="00F84069">
        <w:t>p</w:t>
      </w:r>
      <w:r w:rsidRPr="00F84069" w:rsidR="00F84069">
        <w:t>rograms</w:t>
      </w:r>
      <w:r w:rsidR="00A65953">
        <w:t xml:space="preserve"> to </w:t>
      </w:r>
      <w:r w:rsidR="00C31A6C">
        <w:t>ensure</w:t>
      </w:r>
      <w:r w:rsidR="00A65953">
        <w:t xml:space="preserve"> that any person entering the underground area of the mine does not carry smoking materials, matches, or lighters</w:t>
      </w:r>
      <w:r w:rsidRPr="00F84069" w:rsidR="00F84069">
        <w:t xml:space="preserve"> </w:t>
      </w:r>
      <w:r w:rsidR="001A4EF2">
        <w:t>must</w:t>
      </w:r>
      <w:r w:rsidRPr="00F84069" w:rsidR="00F84069">
        <w:t xml:space="preserve"> be submitted to the District Manager for approval</w:t>
      </w:r>
      <w:r w:rsidR="001A4EF2">
        <w:t>.</w:t>
      </w:r>
    </w:p>
    <w:bookmarkEnd w:id="8"/>
    <w:bookmarkEnd w:id="10"/>
    <w:p w:rsidR="004F2736" w:rsidRPr="005C6CA9" w:rsidP="004A22F3" w14:paraId="798E5CDC" w14:textId="77777777">
      <w:pPr>
        <w:pStyle w:val="Default"/>
        <w:rPr>
          <w:rFonts w:ascii="Times New Roman" w:hAnsi="Times New Roman" w:cs="Times New Roman"/>
          <w:color w:val="auto"/>
        </w:rPr>
      </w:pPr>
    </w:p>
    <w:p w:rsidR="00CB3898" w:rsidRPr="005C6CA9" w:rsidP="004A22F3" w14:paraId="0CA1ECF3" w14:textId="0571BD16">
      <w:pPr>
        <w:pStyle w:val="Default"/>
        <w:keepNext/>
        <w:widowControl/>
        <w:rPr>
          <w:rFonts w:ascii="Times New Roman" w:hAnsi="Times New Roman" w:cs="Times New Roman"/>
          <w:b/>
          <w:bCs/>
          <w:color w:val="auto"/>
        </w:rPr>
      </w:pPr>
      <w:r w:rsidRPr="005C6CA9">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p>
    <w:p w:rsidR="00C73040" w:rsidRPr="005C6CA9" w:rsidP="004A22F3" w14:paraId="6C9C34C2" w14:textId="77777777">
      <w:pPr>
        <w:pStyle w:val="Default"/>
        <w:keepNext/>
        <w:widowControl/>
        <w:rPr>
          <w:rFonts w:ascii="Times New Roman" w:hAnsi="Times New Roman" w:cs="Times New Roman"/>
          <w:b/>
          <w:bCs/>
          <w:color w:val="auto"/>
        </w:rPr>
      </w:pPr>
    </w:p>
    <w:p w:rsidR="00D97F3B" w:rsidRPr="002B05F7" w:rsidP="00D97F3B" w14:paraId="1FD59554" w14:textId="57165C7A">
      <w:pPr>
        <w:pStyle w:val="Default"/>
        <w:keepNext/>
        <w:widowControl/>
        <w:rPr>
          <w:rFonts w:ascii="Times New Roman" w:hAnsi="Times New Roman" w:cs="Times New Roman"/>
          <w:color w:val="auto"/>
        </w:rPr>
      </w:pPr>
      <w:r w:rsidRPr="002B05F7">
        <w:rPr>
          <w:rFonts w:ascii="Times New Roman" w:hAnsi="Times New Roman" w:cs="Times New Roman"/>
          <w:color w:val="auto"/>
        </w:rPr>
        <w:t xml:space="preserve">The smoking prevention program is a written description </w:t>
      </w:r>
      <w:r w:rsidR="00EC52FC">
        <w:rPr>
          <w:rFonts w:ascii="Times New Roman" w:hAnsi="Times New Roman" w:cs="Times New Roman"/>
          <w:color w:val="auto"/>
        </w:rPr>
        <w:t xml:space="preserve">of </w:t>
      </w:r>
      <w:r w:rsidRPr="00EC52FC" w:rsidR="00EC52FC">
        <w:rPr>
          <w:rFonts w:ascii="Times New Roman" w:hAnsi="Times New Roman" w:cs="Times New Roman"/>
          <w:color w:val="auto"/>
        </w:rPr>
        <w:t xml:space="preserve">the frequency, locations, and methods of searches conducted to prevent the carrying of smoking materials into an underground coal mine. </w:t>
      </w:r>
      <w:r w:rsidR="00EC52FC">
        <w:rPr>
          <w:rFonts w:ascii="Times New Roman" w:hAnsi="Times New Roman" w:cs="Times New Roman"/>
          <w:color w:val="auto"/>
        </w:rPr>
        <w:t xml:space="preserve">It is </w:t>
      </w:r>
      <w:r w:rsidRPr="002B05F7">
        <w:rPr>
          <w:rFonts w:ascii="Times New Roman" w:hAnsi="Times New Roman" w:cs="Times New Roman"/>
          <w:color w:val="auto"/>
        </w:rPr>
        <w:t xml:space="preserve">prepared for and approved by the District Manager. </w:t>
      </w:r>
    </w:p>
    <w:p w:rsidR="00D97F3B" w:rsidRPr="002B05F7" w:rsidP="00D97F3B" w14:paraId="5FCE6B70" w14:textId="77777777">
      <w:pPr>
        <w:pStyle w:val="Default"/>
        <w:keepNext/>
        <w:widowControl/>
        <w:rPr>
          <w:rFonts w:ascii="Times New Roman" w:hAnsi="Times New Roman" w:cs="Times New Roman"/>
          <w:color w:val="auto"/>
        </w:rPr>
      </w:pPr>
    </w:p>
    <w:p w:rsidR="001A4EF2" w:rsidRPr="005F116E" w:rsidP="001A4EF2" w14:paraId="7F97C49C" w14:textId="60CE12A2">
      <w:pPr>
        <w:pStyle w:val="Default"/>
        <w:keepNext/>
        <w:widowControl/>
        <w:rPr>
          <w:rFonts w:ascii="Times New Roman" w:hAnsi="Times New Roman" w:cs="Times New Roman"/>
          <w:color w:val="auto"/>
        </w:rPr>
      </w:pPr>
      <w:r w:rsidRPr="002B05F7">
        <w:rPr>
          <w:rFonts w:ascii="Times New Roman" w:hAnsi="Times New Roman" w:cs="Times New Roman"/>
          <w:color w:val="auto"/>
        </w:rPr>
        <w:t xml:space="preserve">MSHA uses the </w:t>
      </w:r>
      <w:r w:rsidR="002028BE">
        <w:rPr>
          <w:rFonts w:ascii="Times New Roman" w:hAnsi="Times New Roman" w:cs="Times New Roman"/>
          <w:color w:val="auto"/>
        </w:rPr>
        <w:t xml:space="preserve">collected </w:t>
      </w:r>
      <w:r w:rsidRPr="002B05F7">
        <w:rPr>
          <w:rFonts w:ascii="Times New Roman" w:hAnsi="Times New Roman" w:cs="Times New Roman"/>
          <w:color w:val="auto"/>
        </w:rPr>
        <w:t xml:space="preserve">information to determine a mine operator’s compliance with the </w:t>
      </w:r>
      <w:r w:rsidR="004412B3">
        <w:rPr>
          <w:rFonts w:ascii="Times New Roman" w:hAnsi="Times New Roman" w:cs="Times New Roman"/>
          <w:color w:val="auto"/>
        </w:rPr>
        <w:t>requirement</w:t>
      </w:r>
      <w:r w:rsidRPr="002B05F7" w:rsidR="004412B3">
        <w:rPr>
          <w:rFonts w:ascii="Times New Roman" w:hAnsi="Times New Roman" w:cs="Times New Roman"/>
          <w:color w:val="auto"/>
        </w:rPr>
        <w:t xml:space="preserve"> </w:t>
      </w:r>
      <w:r w:rsidRPr="002B05F7">
        <w:rPr>
          <w:rFonts w:ascii="Times New Roman" w:hAnsi="Times New Roman" w:cs="Times New Roman"/>
          <w:color w:val="auto"/>
        </w:rPr>
        <w:t xml:space="preserve">to institute a smoking prevention program that ensures persons entering the underground area of the mine do not carry smoking materials, matches, or lighters. </w:t>
      </w:r>
    </w:p>
    <w:p w:rsidR="00B227F0" w:rsidRPr="005C6CA9" w:rsidP="004A22F3" w14:paraId="59D2F399" w14:textId="3B0BEDD6">
      <w:pPr>
        <w:pStyle w:val="Default"/>
        <w:rPr>
          <w:rFonts w:ascii="Times New Roman" w:hAnsi="Times New Roman" w:cs="Times New Roman"/>
          <w:color w:val="auto"/>
        </w:rPr>
      </w:pPr>
    </w:p>
    <w:p w:rsidR="00CB3898" w:rsidRPr="005C6CA9" w:rsidP="004A22F3" w14:paraId="440B4438" w14:textId="77777777">
      <w:pPr>
        <w:pStyle w:val="Default"/>
        <w:keepNext/>
        <w:widowControl/>
        <w:rPr>
          <w:rFonts w:ascii="Times New Roman" w:hAnsi="Times New Roman" w:cs="Times New Roman"/>
          <w:b/>
          <w:bCs/>
          <w:color w:val="auto"/>
        </w:rPr>
      </w:pPr>
      <w:r w:rsidRPr="005C6CA9">
        <w:rPr>
          <w:rFonts w:ascii="Times New Roman" w:hAnsi="Times New Roman" w:cs="Times New Roman"/>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C0294" w:rsidRPr="005C6CA9" w:rsidP="004A22F3" w14:paraId="33312318" w14:textId="77777777">
      <w:pPr>
        <w:pStyle w:val="Default"/>
        <w:keepNext/>
        <w:widowControl/>
        <w:rPr>
          <w:rFonts w:ascii="Times New Roman" w:hAnsi="Times New Roman" w:cs="Times New Roman"/>
          <w:b/>
          <w:bCs/>
          <w:color w:val="auto"/>
        </w:rPr>
      </w:pPr>
    </w:p>
    <w:p w:rsidR="00A65953" w:rsidP="001A4EF2" w14:paraId="1B1A4ACC" w14:textId="5F450E29">
      <w:pPr>
        <w:pStyle w:val="Default"/>
        <w:keepNext/>
        <w:widowControl/>
        <w:rPr>
          <w:rFonts w:ascii="Times New Roman" w:hAnsi="Times New Roman" w:cs="Times New Roman"/>
          <w:color w:val="auto"/>
        </w:rPr>
      </w:pPr>
      <w:r w:rsidRPr="002B05F7">
        <w:rPr>
          <w:rFonts w:ascii="Times New Roman" w:hAnsi="Times New Roman" w:cs="Times New Roman"/>
          <w:color w:val="auto"/>
        </w:rPr>
        <w:t>No improved information technology has been identified that would reduce the burden</w:t>
      </w:r>
      <w:r>
        <w:rPr>
          <w:rFonts w:ascii="Times New Roman" w:hAnsi="Times New Roman" w:cs="Times New Roman"/>
          <w:color w:val="auto"/>
        </w:rPr>
        <w:t xml:space="preserve"> of this collection</w:t>
      </w:r>
      <w:r w:rsidRPr="002B05F7">
        <w:rPr>
          <w:rFonts w:ascii="Times New Roman" w:hAnsi="Times New Roman" w:cs="Times New Roman"/>
          <w:color w:val="auto"/>
        </w:rPr>
        <w:t xml:space="preserve">. </w:t>
      </w:r>
      <w:r w:rsidR="004412B3">
        <w:rPr>
          <w:rFonts w:ascii="Times New Roman" w:hAnsi="Times New Roman" w:cs="Times New Roman"/>
          <w:color w:val="auto"/>
        </w:rPr>
        <w:t>To</w:t>
      </w:r>
      <w:r w:rsidRPr="00BC060A">
        <w:rPr>
          <w:rFonts w:ascii="Times New Roman" w:hAnsi="Times New Roman" w:cs="Times New Roman"/>
          <w:color w:val="auto"/>
        </w:rPr>
        <w:t xml:space="preserve"> comply with the Government Paperwork Elimination Act, </w:t>
      </w:r>
      <w:r>
        <w:rPr>
          <w:rFonts w:ascii="Times New Roman" w:hAnsi="Times New Roman" w:cs="Times New Roman"/>
          <w:color w:val="auto"/>
        </w:rPr>
        <w:t xml:space="preserve">the mine operator </w:t>
      </w:r>
      <w:r w:rsidRPr="00740E2F">
        <w:rPr>
          <w:rFonts w:ascii="Times New Roman" w:hAnsi="Times New Roman" w:cs="Times New Roman"/>
          <w:color w:val="auto"/>
        </w:rPr>
        <w:t>may</w:t>
      </w:r>
      <w:r>
        <w:rPr>
          <w:rFonts w:ascii="Times New Roman" w:hAnsi="Times New Roman" w:cs="Times New Roman"/>
          <w:color w:val="auto"/>
        </w:rPr>
        <w:t xml:space="preserve"> submit or</w:t>
      </w:r>
      <w:r w:rsidRPr="00740E2F">
        <w:rPr>
          <w:rFonts w:ascii="Times New Roman" w:hAnsi="Times New Roman" w:cs="Times New Roman"/>
          <w:color w:val="auto"/>
        </w:rPr>
        <w:t xml:space="preserve"> retain the records </w:t>
      </w:r>
      <w:r w:rsidRPr="00BC060A">
        <w:rPr>
          <w:rFonts w:ascii="Times New Roman" w:hAnsi="Times New Roman" w:cs="Times New Roman"/>
          <w:color w:val="auto"/>
        </w:rPr>
        <w:t xml:space="preserve">in whatever method they choose, </w:t>
      </w:r>
      <w:r w:rsidRPr="005C6CA9">
        <w:rPr>
          <w:rFonts w:ascii="Times New Roman" w:hAnsi="Times New Roman" w:cs="Times New Roman"/>
          <w:color w:val="auto"/>
        </w:rPr>
        <w:t>including using computer technology to store records electronically.</w:t>
      </w:r>
      <w:r w:rsidRPr="00BC060A">
        <w:rPr>
          <w:rFonts w:ascii="Times New Roman" w:hAnsi="Times New Roman" w:cs="Times New Roman"/>
          <w:color w:val="auto"/>
        </w:rPr>
        <w:t xml:space="preserve"> </w:t>
      </w:r>
    </w:p>
    <w:p w:rsidR="00A65953" w:rsidP="001A4EF2" w14:paraId="1AA7BF80" w14:textId="77777777">
      <w:pPr>
        <w:pStyle w:val="Default"/>
        <w:keepNext/>
        <w:widowControl/>
        <w:rPr>
          <w:rFonts w:ascii="Times New Roman" w:hAnsi="Times New Roman" w:cs="Times New Roman"/>
          <w:color w:val="auto"/>
        </w:rPr>
      </w:pPr>
    </w:p>
    <w:p w:rsidR="001A4EF2" w:rsidRPr="002B05F7" w:rsidP="001A4EF2" w14:paraId="7E414FAB" w14:textId="4BCE5E67">
      <w:pPr>
        <w:pStyle w:val="Default"/>
        <w:keepNext/>
        <w:widowControl/>
        <w:rPr>
          <w:rFonts w:ascii="Times New Roman" w:hAnsi="Times New Roman" w:cs="Times New Roman"/>
          <w:color w:val="auto"/>
        </w:rPr>
      </w:pPr>
      <w:r w:rsidRPr="002B05F7">
        <w:rPr>
          <w:rFonts w:ascii="Times New Roman" w:hAnsi="Times New Roman" w:cs="Times New Roman"/>
          <w:color w:val="auto"/>
        </w:rPr>
        <w:t xml:space="preserve">The </w:t>
      </w:r>
      <w:r w:rsidRPr="002B05F7" w:rsidR="00D97F3B">
        <w:rPr>
          <w:rFonts w:ascii="Times New Roman" w:hAnsi="Times New Roman" w:cs="Times New Roman"/>
          <w:color w:val="auto"/>
        </w:rPr>
        <w:t xml:space="preserve">smoking prevention </w:t>
      </w:r>
      <w:r w:rsidRPr="002B05F7">
        <w:rPr>
          <w:rFonts w:ascii="Times New Roman" w:hAnsi="Times New Roman" w:cs="Times New Roman"/>
          <w:color w:val="auto"/>
        </w:rPr>
        <w:t>program can be prepared using</w:t>
      </w:r>
      <w:r w:rsidR="004412B3">
        <w:rPr>
          <w:rFonts w:ascii="Times New Roman" w:hAnsi="Times New Roman" w:cs="Times New Roman"/>
          <w:color w:val="auto"/>
        </w:rPr>
        <w:t xml:space="preserve"> basic</w:t>
      </w:r>
      <w:r w:rsidRPr="002B05F7">
        <w:rPr>
          <w:rFonts w:ascii="Times New Roman" w:hAnsi="Times New Roman" w:cs="Times New Roman"/>
          <w:color w:val="auto"/>
        </w:rPr>
        <w:t xml:space="preserve"> word processing programs and submitted via email</w:t>
      </w:r>
      <w:r>
        <w:rPr>
          <w:rFonts w:ascii="Times New Roman" w:hAnsi="Times New Roman" w:cs="Times New Roman"/>
          <w:color w:val="auto"/>
        </w:rPr>
        <w:t xml:space="preserve">. </w:t>
      </w:r>
      <w:r w:rsidRPr="005D05A8">
        <w:rPr>
          <w:rFonts w:ascii="Times New Roman" w:hAnsi="Times New Roman" w:cs="Times New Roman"/>
          <w:color w:val="auto"/>
        </w:rPr>
        <w:t xml:space="preserve">Mine operators may submit </w:t>
      </w:r>
      <w:r w:rsidR="00B6621F">
        <w:rPr>
          <w:rFonts w:ascii="Times New Roman" w:hAnsi="Times New Roman" w:cs="Times New Roman"/>
          <w:color w:val="auto"/>
        </w:rPr>
        <w:t>the program</w:t>
      </w:r>
      <w:r w:rsidRPr="005D05A8">
        <w:rPr>
          <w:rFonts w:ascii="Times New Roman" w:hAnsi="Times New Roman" w:cs="Times New Roman"/>
          <w:color w:val="auto"/>
        </w:rPr>
        <w:t xml:space="preserve"> documents via email</w:t>
      </w:r>
      <w:r w:rsidRPr="00B6621F" w:rsidR="00B6621F">
        <w:rPr>
          <w:rFonts w:ascii="Times New Roman" w:hAnsi="Times New Roman" w:cs="Times New Roman"/>
          <w:color w:val="auto"/>
        </w:rPr>
        <w:t xml:space="preserve"> </w:t>
      </w:r>
      <w:r w:rsidRPr="005D05A8" w:rsidR="00B6621F">
        <w:rPr>
          <w:rFonts w:ascii="Times New Roman" w:hAnsi="Times New Roman" w:cs="Times New Roman"/>
          <w:color w:val="auto"/>
        </w:rPr>
        <w:t>if they have the capability of affixing transmittable authorization signatures</w:t>
      </w:r>
      <w:r w:rsidRPr="005D05A8">
        <w:rPr>
          <w:rFonts w:ascii="Times New Roman" w:hAnsi="Times New Roman" w:cs="Times New Roman"/>
          <w:color w:val="auto"/>
        </w:rPr>
        <w:t xml:space="preserve">. For </w:t>
      </w:r>
      <w:r w:rsidRPr="005D05A8" w:rsidR="00C1605F">
        <w:rPr>
          <w:rFonts w:ascii="Times New Roman" w:hAnsi="Times New Roman" w:cs="Times New Roman"/>
          <w:color w:val="auto"/>
        </w:rPr>
        <w:t>operators</w:t>
      </w:r>
      <w:r w:rsidRPr="005D05A8">
        <w:rPr>
          <w:rFonts w:ascii="Times New Roman" w:hAnsi="Times New Roman" w:cs="Times New Roman"/>
          <w:color w:val="auto"/>
        </w:rPr>
        <w:t xml:space="preserve"> without the capability of affixing transmittable authorization signatures, they may submit the application by email or facsimile if it is followed by a signed hard copy.</w:t>
      </w:r>
      <w:r w:rsidRPr="002B05F7">
        <w:rPr>
          <w:rFonts w:ascii="Times New Roman" w:hAnsi="Times New Roman" w:cs="Times New Roman"/>
          <w:color w:val="auto"/>
        </w:rPr>
        <w:t xml:space="preserve"> </w:t>
      </w:r>
      <w:r w:rsidR="006B0C4E">
        <w:rPr>
          <w:rFonts w:ascii="Times New Roman" w:hAnsi="Times New Roman" w:cs="Times New Roman"/>
          <w:color w:val="auto"/>
        </w:rPr>
        <w:t>Operators choose to submit programs via email</w:t>
      </w:r>
      <w:r w:rsidRPr="002B05F7">
        <w:rPr>
          <w:rFonts w:ascii="Times New Roman" w:hAnsi="Times New Roman" w:cs="Times New Roman"/>
          <w:color w:val="auto"/>
        </w:rPr>
        <w:t xml:space="preserve"> </w:t>
      </w:r>
      <w:r w:rsidR="006B0C4E">
        <w:rPr>
          <w:rFonts w:ascii="Times New Roman" w:hAnsi="Times New Roman" w:cs="Times New Roman"/>
          <w:color w:val="auto"/>
        </w:rPr>
        <w:t>roughly</w:t>
      </w:r>
      <w:r w:rsidRPr="002B05F7">
        <w:rPr>
          <w:rFonts w:ascii="Times New Roman" w:hAnsi="Times New Roman" w:cs="Times New Roman"/>
          <w:color w:val="auto"/>
        </w:rPr>
        <w:t xml:space="preserve"> 70 percent of the time.  </w:t>
      </w:r>
    </w:p>
    <w:p w:rsidR="00360E57" w:rsidRPr="005C6CA9" w:rsidP="004A22F3" w14:paraId="7F1B421A" w14:textId="77777777">
      <w:pPr>
        <w:pStyle w:val="Default"/>
        <w:rPr>
          <w:rFonts w:ascii="Times New Roman" w:hAnsi="Times New Roman" w:cs="Times New Roman"/>
          <w:color w:val="FF0000"/>
        </w:rPr>
      </w:pPr>
    </w:p>
    <w:p w:rsidR="00CB3898" w:rsidRPr="005C6CA9" w:rsidP="004A22F3" w14:paraId="60804496" w14:textId="77777777">
      <w:pPr>
        <w:pStyle w:val="Default"/>
        <w:keepNext/>
        <w:widowControl/>
        <w:rPr>
          <w:rFonts w:ascii="Times New Roman" w:hAnsi="Times New Roman" w:cs="Times New Roman"/>
          <w:color w:val="auto"/>
        </w:rPr>
      </w:pPr>
      <w:r w:rsidRPr="005C6CA9">
        <w:rPr>
          <w:rFonts w:ascii="Times New Roman" w:hAnsi="Times New Roman" w:cs="Times New Roman"/>
          <w:b/>
          <w:bCs/>
          <w:color w:val="auto"/>
        </w:rPr>
        <w:t>4. Describe efforts to identify duplication. Show specifically why any similar information already available cannot be used or modified for use for the purposes described in Item A.2 above.</w:t>
      </w:r>
    </w:p>
    <w:p w:rsidR="00CB3898" w:rsidRPr="005C6CA9" w:rsidP="004A22F3" w14:paraId="081BAF24" w14:textId="77777777">
      <w:pPr>
        <w:pStyle w:val="Default"/>
        <w:rPr>
          <w:rFonts w:ascii="Times New Roman" w:hAnsi="Times New Roman" w:cs="Times New Roman"/>
          <w:color w:val="auto"/>
        </w:rPr>
      </w:pPr>
    </w:p>
    <w:p w:rsidR="006B0C4E" w:rsidP="00284DB0" w14:paraId="431D4128" w14:textId="4A2DA279">
      <w:pPr>
        <w:pStyle w:val="Default"/>
        <w:rPr>
          <w:rFonts w:ascii="Times New Roman" w:hAnsi="Times New Roman" w:cs="Times New Roman"/>
          <w:color w:val="auto"/>
        </w:rPr>
      </w:pPr>
      <w:r w:rsidRPr="00BC060A">
        <w:rPr>
          <w:rFonts w:ascii="Times New Roman" w:hAnsi="Times New Roman" w:cs="Times New Roman"/>
          <w:color w:val="auto"/>
        </w:rPr>
        <w:t xml:space="preserve">No similar or duplicate information is available or submitted to MSHA. </w:t>
      </w:r>
      <w:r w:rsidR="00B6621F">
        <w:rPr>
          <w:rFonts w:ascii="Times New Roman" w:hAnsi="Times New Roman" w:cs="Times New Roman"/>
          <w:color w:val="auto"/>
        </w:rPr>
        <w:t>E</w:t>
      </w:r>
      <w:r>
        <w:rPr>
          <w:rFonts w:ascii="Times New Roman" w:hAnsi="Times New Roman" w:cs="Times New Roman"/>
          <w:color w:val="auto"/>
        </w:rPr>
        <w:t>ach smoking prevention program must be tailored to the individual mine</w:t>
      </w:r>
      <w:r w:rsidR="00B6621F">
        <w:rPr>
          <w:rFonts w:ascii="Times New Roman" w:hAnsi="Times New Roman" w:cs="Times New Roman"/>
          <w:color w:val="auto"/>
        </w:rPr>
        <w:t>’s unique condition</w:t>
      </w:r>
      <w:r w:rsidR="00FC12F3">
        <w:rPr>
          <w:rFonts w:ascii="Times New Roman" w:hAnsi="Times New Roman" w:cs="Times New Roman"/>
          <w:color w:val="auto"/>
        </w:rPr>
        <w:t>s</w:t>
      </w:r>
      <w:r w:rsidR="00B6621F">
        <w:rPr>
          <w:rFonts w:ascii="Times New Roman" w:hAnsi="Times New Roman" w:cs="Times New Roman"/>
          <w:color w:val="auto"/>
        </w:rPr>
        <w:t xml:space="preserve"> for MSHA approval</w:t>
      </w:r>
      <w:r>
        <w:rPr>
          <w:rFonts w:ascii="Times New Roman" w:hAnsi="Times New Roman" w:cs="Times New Roman"/>
          <w:color w:val="auto"/>
        </w:rPr>
        <w:t>.</w:t>
      </w:r>
      <w:r w:rsidRPr="003B4A62">
        <w:rPr>
          <w:rFonts w:ascii="Times New Roman" w:hAnsi="Times New Roman" w:cs="Times New Roman"/>
          <w:color w:val="auto"/>
        </w:rPr>
        <w:t xml:space="preserve"> </w:t>
      </w:r>
    </w:p>
    <w:p w:rsidR="006B0C4E" w:rsidP="00284DB0" w14:paraId="78C58E2E" w14:textId="77777777">
      <w:pPr>
        <w:pStyle w:val="Default"/>
        <w:rPr>
          <w:rFonts w:ascii="Times New Roman" w:hAnsi="Times New Roman" w:cs="Times New Roman"/>
          <w:color w:val="auto"/>
        </w:rPr>
      </w:pPr>
    </w:p>
    <w:p w:rsidR="00284DB0" w:rsidRPr="00BC060A" w:rsidP="00284DB0" w14:paraId="1E06DBC1" w14:textId="16F24841">
      <w:pPr>
        <w:pStyle w:val="Default"/>
        <w:rPr>
          <w:rFonts w:ascii="Times New Roman" w:hAnsi="Times New Roman" w:cs="Times New Roman"/>
          <w:color w:val="auto"/>
        </w:rPr>
      </w:pPr>
      <w:r w:rsidRPr="003B4A62">
        <w:rPr>
          <w:rFonts w:ascii="Times New Roman" w:hAnsi="Times New Roman" w:cs="Times New Roman"/>
          <w:color w:val="auto"/>
        </w:rPr>
        <w:t>Where State agencies require a smoking prevention program, MSHA will accept the same program if the program satisfies the requirements of 30 CFR 75.1702.</w:t>
      </w:r>
    </w:p>
    <w:p w:rsidR="00B227F0" w:rsidRPr="005C6CA9" w:rsidP="004A22F3" w14:paraId="2D29A9BF" w14:textId="77777777">
      <w:pPr>
        <w:rPr>
          <w:b/>
          <w:bCs/>
          <w:color w:val="000000"/>
        </w:rPr>
      </w:pPr>
    </w:p>
    <w:p w:rsidR="008E3383" w14:paraId="07DAB016" w14:textId="77777777">
      <w:pPr>
        <w:widowControl/>
        <w:autoSpaceDE/>
        <w:autoSpaceDN/>
        <w:adjustRightInd/>
        <w:spacing w:after="160" w:line="259" w:lineRule="auto"/>
        <w:rPr>
          <w:b/>
        </w:rPr>
      </w:pPr>
      <w:r>
        <w:rPr>
          <w:b/>
        </w:rPr>
        <w:br w:type="page"/>
      </w:r>
    </w:p>
    <w:p w:rsidR="00B227F0" w:rsidRPr="005C6CA9" w:rsidP="004A22F3" w14:paraId="156335B6" w14:textId="6EC49D7D">
      <w:pPr>
        <w:pStyle w:val="Default"/>
        <w:rPr>
          <w:rFonts w:ascii="Times New Roman" w:hAnsi="Times New Roman" w:cs="Times New Roman"/>
          <w:color w:val="auto"/>
        </w:rPr>
      </w:pPr>
      <w:r w:rsidRPr="005C6CA9">
        <w:rPr>
          <w:rFonts w:ascii="Times New Roman" w:hAnsi="Times New Roman" w:cs="Times New Roman"/>
          <w:b/>
          <w:color w:val="auto"/>
        </w:rPr>
        <w:t xml:space="preserve">5. If the collection of information impacts small businesses or other small entities, describe any methods used to minimize burden. </w:t>
      </w:r>
    </w:p>
    <w:p w:rsidR="00B227F0" w:rsidRPr="005C6CA9" w:rsidP="004A22F3" w14:paraId="1A103BF2" w14:textId="77777777">
      <w:pPr>
        <w:pStyle w:val="Default"/>
        <w:rPr>
          <w:rFonts w:ascii="Times New Roman" w:hAnsi="Times New Roman" w:cs="Times New Roman"/>
          <w:color w:val="auto"/>
        </w:rPr>
      </w:pPr>
      <w:r w:rsidRPr="005C6CA9">
        <w:rPr>
          <w:rFonts w:ascii="Times New Roman" w:hAnsi="Times New Roman" w:cs="Times New Roman"/>
          <w:color w:val="auto"/>
        </w:rPr>
        <w:t xml:space="preserve"> </w:t>
      </w:r>
    </w:p>
    <w:p w:rsidR="00B227F0" w:rsidRPr="005C6CA9" w:rsidP="004A22F3" w14:paraId="6A189E0E" w14:textId="4866EF8C">
      <w:pPr>
        <w:rPr>
          <w:b/>
          <w:bCs/>
          <w:color w:val="000000"/>
        </w:rPr>
      </w:pPr>
      <w:bookmarkStart w:id="12" w:name="_Hlk161038748"/>
      <w:r w:rsidRPr="005C6CA9">
        <w:t>The information collection provisions apply to all mine operat</w:t>
      </w:r>
      <w:r w:rsidRPr="005C6CA9" w:rsidR="00D4281C">
        <w:t>or</w:t>
      </w:r>
      <w:r w:rsidRPr="005C6CA9">
        <w:t xml:space="preserve">s, </w:t>
      </w:r>
      <w:bookmarkStart w:id="13" w:name="_Hlk184192506"/>
      <w:r w:rsidRPr="005C6CA9">
        <w:t>both large and small</w:t>
      </w:r>
      <w:bookmarkEnd w:id="13"/>
      <w:r w:rsidRPr="005C6CA9">
        <w:t>. Congress intended that the Secretary enforce the law at all mining operat</w:t>
      </w:r>
      <w:r w:rsidR="00007BC6">
        <w:t>ions</w:t>
      </w:r>
      <w:r w:rsidRPr="005C6CA9">
        <w:t xml:space="preserve"> within the Agency’s jurisdiction regardless of size and that information collection and recordkeeping requirements be consistent with efficient and effective enforcement of the Mine Act. [S</w:t>
      </w:r>
      <w:r w:rsidRPr="005C6CA9" w:rsidR="005D1278">
        <w:t>.</w:t>
      </w:r>
      <w:r w:rsidRPr="005C6CA9">
        <w:t xml:space="preserve"> Rep</w:t>
      </w:r>
      <w:r w:rsidRPr="005C6CA9" w:rsidR="005D1278">
        <w:t>.</w:t>
      </w:r>
      <w:r w:rsidRPr="005C6CA9">
        <w:t xml:space="preserve"> No. 95-181 (1977)]. Section 103(e) of the Mine Act</w:t>
      </w:r>
      <w:bookmarkStart w:id="14" w:name="_Hlk172026654"/>
      <w:r w:rsidRPr="005C6CA9" w:rsidR="007E5D54">
        <w:t>, 30 U.S.C. 813(e),</w:t>
      </w:r>
      <w:r w:rsidRPr="005C6CA9">
        <w:t xml:space="preserve"> </w:t>
      </w:r>
      <w:bookmarkEnd w:id="14"/>
      <w:r w:rsidRPr="005C6CA9">
        <w:t>directs the Secretary not to impose an unreasonable burden on small businesses when obtaining any information under the Mine Act. MSHA considered the burden on small mines when developing the collection</w:t>
      </w:r>
      <w:r w:rsidRPr="005C6CA9" w:rsidR="00D4281C">
        <w:t xml:space="preserve"> and</w:t>
      </w:r>
      <w:r w:rsidRPr="005C6CA9" w:rsidR="00052BD8">
        <w:t xml:space="preserve"> believes that these information collection requirements do not have a significant impact on a substantial number of small </w:t>
      </w:r>
      <w:r w:rsidRPr="005C6CA9" w:rsidR="0097052A">
        <w:t>businesses</w:t>
      </w:r>
      <w:r w:rsidRPr="005C6CA9" w:rsidR="00052BD8">
        <w:t xml:space="preserve"> or </w:t>
      </w:r>
      <w:r w:rsidRPr="005C6CA9" w:rsidR="00F50585">
        <w:t>other</w:t>
      </w:r>
      <w:r w:rsidRPr="005C6CA9" w:rsidR="00052BD8">
        <w:t xml:space="preserve"> small entities. </w:t>
      </w:r>
    </w:p>
    <w:bookmarkEnd w:id="12"/>
    <w:p w:rsidR="00B227F0" w:rsidRPr="005C6CA9" w:rsidP="004A22F3" w14:paraId="7C2F69CC" w14:textId="77777777">
      <w:pPr>
        <w:rPr>
          <w:b/>
          <w:bCs/>
          <w:color w:val="000000"/>
        </w:rPr>
      </w:pPr>
    </w:p>
    <w:p w:rsidR="00CB3898" w:rsidRPr="005C6CA9" w:rsidP="004A22F3" w14:paraId="7D497CB0" w14:textId="77777777">
      <w:pPr>
        <w:pStyle w:val="Default"/>
        <w:keepNext/>
        <w:widowControl/>
        <w:rPr>
          <w:rFonts w:ascii="Times New Roman" w:hAnsi="Times New Roman" w:cs="Times New Roman"/>
          <w:b/>
          <w:bCs/>
          <w:color w:val="auto"/>
        </w:rPr>
      </w:pPr>
      <w:r w:rsidRPr="005C6CA9">
        <w:rPr>
          <w:rFonts w:ascii="Times New Roman" w:hAnsi="Times New Roman" w:cs="Times New Roman"/>
          <w:b/>
          <w:bCs/>
          <w:color w:val="auto"/>
        </w:rPr>
        <w:t>6. Describe the consequence to federal program or policy activities if the collection is not conducted or is conducted less frequently, as well as any technical or legal obstacles to reducing burden.</w:t>
      </w:r>
    </w:p>
    <w:p w:rsidR="005C0294" w:rsidRPr="005C6CA9" w:rsidP="004A22F3" w14:paraId="5D0EEA43" w14:textId="77777777">
      <w:pPr>
        <w:pStyle w:val="Default"/>
        <w:keepNext/>
        <w:widowControl/>
        <w:rPr>
          <w:rFonts w:ascii="Times New Roman" w:hAnsi="Times New Roman" w:cs="Times New Roman"/>
          <w:b/>
          <w:bCs/>
          <w:color w:val="auto"/>
        </w:rPr>
      </w:pPr>
    </w:p>
    <w:p w:rsidR="00284DB0" w:rsidRPr="00C82ED4" w:rsidP="00284DB0" w14:paraId="7294FA9E" w14:textId="5ED1864D">
      <w:pPr>
        <w:pStyle w:val="Default"/>
        <w:keepNext/>
        <w:widowControl/>
        <w:rPr>
          <w:rFonts w:ascii="Times New Roman" w:hAnsi="Times New Roman" w:cs="Times New Roman"/>
          <w:color w:val="auto"/>
        </w:rPr>
      </w:pPr>
      <w:r>
        <w:rPr>
          <w:rFonts w:ascii="Times New Roman" w:hAnsi="Times New Roman" w:cs="Times New Roman"/>
          <w:color w:val="auto"/>
        </w:rPr>
        <w:t xml:space="preserve">If </w:t>
      </w:r>
      <w:r w:rsidR="006B0C4E">
        <w:rPr>
          <w:rFonts w:ascii="Times New Roman" w:hAnsi="Times New Roman" w:cs="Times New Roman"/>
          <w:color w:val="auto"/>
        </w:rPr>
        <w:t xml:space="preserve">MSHA </w:t>
      </w:r>
      <w:r>
        <w:rPr>
          <w:rFonts w:ascii="Times New Roman" w:hAnsi="Times New Roman" w:cs="Times New Roman"/>
          <w:color w:val="auto"/>
        </w:rPr>
        <w:t xml:space="preserve">did </w:t>
      </w:r>
      <w:r w:rsidR="006B0C4E">
        <w:rPr>
          <w:rFonts w:ascii="Times New Roman" w:hAnsi="Times New Roman" w:cs="Times New Roman"/>
          <w:color w:val="auto"/>
        </w:rPr>
        <w:t xml:space="preserve">not collect </w:t>
      </w:r>
      <w:r w:rsidR="004412B3">
        <w:rPr>
          <w:rFonts w:ascii="Times New Roman" w:hAnsi="Times New Roman" w:cs="Times New Roman"/>
          <w:color w:val="auto"/>
        </w:rPr>
        <w:t>and approve the</w:t>
      </w:r>
      <w:r w:rsidR="006B0C4E">
        <w:rPr>
          <w:rFonts w:ascii="Times New Roman" w:hAnsi="Times New Roman" w:cs="Times New Roman"/>
          <w:color w:val="auto"/>
        </w:rPr>
        <w:t xml:space="preserve"> </w:t>
      </w:r>
      <w:r w:rsidR="00E97A9E">
        <w:rPr>
          <w:rFonts w:ascii="Times New Roman" w:hAnsi="Times New Roman" w:cs="Times New Roman"/>
          <w:color w:val="auto"/>
        </w:rPr>
        <w:t xml:space="preserve">required information on </w:t>
      </w:r>
      <w:r w:rsidR="006B0C4E">
        <w:rPr>
          <w:rFonts w:ascii="Times New Roman" w:hAnsi="Times New Roman" w:cs="Times New Roman"/>
          <w:color w:val="auto"/>
        </w:rPr>
        <w:t>smoking prevention programs</w:t>
      </w:r>
      <w:r w:rsidR="00E97A9E">
        <w:rPr>
          <w:rFonts w:ascii="Times New Roman" w:hAnsi="Times New Roman" w:cs="Times New Roman"/>
          <w:color w:val="auto"/>
        </w:rPr>
        <w:t>,</w:t>
      </w:r>
      <w:r w:rsidR="006B0C4E">
        <w:rPr>
          <w:rFonts w:ascii="Times New Roman" w:hAnsi="Times New Roman" w:cs="Times New Roman"/>
          <w:color w:val="auto"/>
        </w:rPr>
        <w:t xml:space="preserve"> the </w:t>
      </w:r>
      <w:r>
        <w:rPr>
          <w:rFonts w:ascii="Times New Roman" w:hAnsi="Times New Roman" w:cs="Times New Roman"/>
          <w:color w:val="auto"/>
        </w:rPr>
        <w:t>A</w:t>
      </w:r>
      <w:r w:rsidR="006B0C4E">
        <w:rPr>
          <w:rFonts w:ascii="Times New Roman" w:hAnsi="Times New Roman" w:cs="Times New Roman"/>
          <w:color w:val="auto"/>
        </w:rPr>
        <w:t>gency</w:t>
      </w:r>
      <w:r w:rsidRPr="00C82ED4">
        <w:rPr>
          <w:rFonts w:ascii="Times New Roman" w:hAnsi="Times New Roman" w:cs="Times New Roman"/>
          <w:color w:val="auto"/>
        </w:rPr>
        <w:t xml:space="preserve"> would not </w:t>
      </w:r>
      <w:r>
        <w:rPr>
          <w:rFonts w:ascii="Times New Roman" w:hAnsi="Times New Roman" w:cs="Times New Roman"/>
          <w:color w:val="auto"/>
        </w:rPr>
        <w:t xml:space="preserve">be able </w:t>
      </w:r>
      <w:r w:rsidRPr="00785997">
        <w:rPr>
          <w:rFonts w:ascii="Times New Roman" w:hAnsi="Times New Roman" w:cs="Times New Roman"/>
          <w:color w:val="auto"/>
        </w:rPr>
        <w:t xml:space="preserve">to determine </w:t>
      </w:r>
      <w:r w:rsidR="0024345A">
        <w:rPr>
          <w:rFonts w:ascii="Times New Roman" w:hAnsi="Times New Roman" w:cs="Times New Roman"/>
          <w:color w:val="auto"/>
        </w:rPr>
        <w:t xml:space="preserve">whether </w:t>
      </w:r>
      <w:r w:rsidRPr="00785997">
        <w:rPr>
          <w:rFonts w:ascii="Times New Roman" w:hAnsi="Times New Roman" w:cs="Times New Roman"/>
          <w:color w:val="auto"/>
        </w:rPr>
        <w:t xml:space="preserve">a mine operator </w:t>
      </w:r>
      <w:r w:rsidR="0024345A">
        <w:rPr>
          <w:rFonts w:ascii="Times New Roman" w:hAnsi="Times New Roman" w:cs="Times New Roman"/>
          <w:color w:val="auto"/>
        </w:rPr>
        <w:t xml:space="preserve">is </w:t>
      </w:r>
      <w:r w:rsidRPr="00785997">
        <w:rPr>
          <w:rFonts w:ascii="Times New Roman" w:hAnsi="Times New Roman" w:cs="Times New Roman"/>
          <w:color w:val="auto"/>
        </w:rPr>
        <w:t>compl</w:t>
      </w:r>
      <w:r w:rsidR="0024345A">
        <w:rPr>
          <w:rFonts w:ascii="Times New Roman" w:hAnsi="Times New Roman" w:cs="Times New Roman"/>
          <w:color w:val="auto"/>
        </w:rPr>
        <w:t>ying</w:t>
      </w:r>
      <w:r w:rsidRPr="00785997">
        <w:rPr>
          <w:rFonts w:ascii="Times New Roman" w:hAnsi="Times New Roman" w:cs="Times New Roman"/>
          <w:color w:val="auto"/>
        </w:rPr>
        <w:t xml:space="preserve"> with the standard</w:t>
      </w:r>
      <w:r w:rsidR="004412B3">
        <w:rPr>
          <w:rFonts w:ascii="Times New Roman" w:hAnsi="Times New Roman" w:cs="Times New Roman"/>
          <w:color w:val="auto"/>
        </w:rPr>
        <w:t xml:space="preserve"> requiring them</w:t>
      </w:r>
      <w:r w:rsidRPr="00785997">
        <w:rPr>
          <w:rFonts w:ascii="Times New Roman" w:hAnsi="Times New Roman" w:cs="Times New Roman"/>
          <w:color w:val="auto"/>
        </w:rPr>
        <w:t xml:space="preserve"> to institute </w:t>
      </w:r>
      <w:r w:rsidR="00E97A9E">
        <w:rPr>
          <w:rFonts w:ascii="Times New Roman" w:hAnsi="Times New Roman" w:cs="Times New Roman"/>
          <w:color w:val="auto"/>
        </w:rPr>
        <w:t xml:space="preserve">the </w:t>
      </w:r>
      <w:r w:rsidRPr="00785997">
        <w:rPr>
          <w:rFonts w:ascii="Times New Roman" w:hAnsi="Times New Roman" w:cs="Times New Roman"/>
          <w:color w:val="auto"/>
        </w:rPr>
        <w:t xml:space="preserve">program </w:t>
      </w:r>
      <w:r>
        <w:rPr>
          <w:rFonts w:ascii="Times New Roman" w:hAnsi="Times New Roman" w:cs="Times New Roman"/>
          <w:color w:val="auto"/>
        </w:rPr>
        <w:t xml:space="preserve">and to </w:t>
      </w:r>
      <w:r w:rsidRPr="00785997">
        <w:rPr>
          <w:rFonts w:ascii="Times New Roman" w:hAnsi="Times New Roman" w:cs="Times New Roman"/>
          <w:color w:val="auto"/>
        </w:rPr>
        <w:t>ensure that any person entering the underground area of the mine does not carry smoking materials, matches, or lighters.</w:t>
      </w:r>
      <w:r>
        <w:rPr>
          <w:rFonts w:ascii="Times New Roman" w:hAnsi="Times New Roman" w:cs="Times New Roman"/>
          <w:color w:val="auto"/>
        </w:rPr>
        <w:t xml:space="preserve"> </w:t>
      </w:r>
    </w:p>
    <w:p w:rsidR="00B227F0" w:rsidRPr="005C6CA9" w:rsidP="004A22F3" w14:paraId="4BE11804" w14:textId="77777777">
      <w:pPr>
        <w:rPr>
          <w:b/>
          <w:bCs/>
          <w:color w:val="000000"/>
        </w:rPr>
      </w:pPr>
    </w:p>
    <w:p w:rsidR="00CB3898" w:rsidRPr="005C6CA9" w:rsidP="004A22F3" w14:paraId="010929AC" w14:textId="77777777">
      <w:pPr>
        <w:pStyle w:val="Default"/>
        <w:widowControl/>
        <w:rPr>
          <w:rFonts w:ascii="Times New Roman" w:hAnsi="Times New Roman" w:cs="Times New Roman"/>
          <w:b/>
          <w:bCs/>
          <w:color w:val="auto"/>
        </w:rPr>
      </w:pPr>
      <w:r w:rsidRPr="005C6CA9">
        <w:rPr>
          <w:rFonts w:ascii="Times New Roman" w:hAnsi="Times New Roman" w:cs="Times New Roman"/>
          <w:b/>
          <w:bCs/>
          <w:color w:val="auto"/>
        </w:rPr>
        <w:t>7. Explain any special circumstances that would cause an information collection to be conducted in a manner:</w:t>
      </w:r>
    </w:p>
    <w:p w:rsidR="00CB3898" w:rsidRPr="005C6CA9" w:rsidP="004A22F3" w14:paraId="5790525F" w14:textId="77777777">
      <w:pPr>
        <w:pStyle w:val="ListParagraph"/>
        <w:tabs>
          <w:tab w:val="left" w:pos="720"/>
        </w:tabs>
        <w:spacing w:after="0" w:line="240" w:lineRule="auto"/>
        <w:ind w:left="0"/>
        <w:rPr>
          <w:b/>
          <w:bCs/>
        </w:rPr>
      </w:pPr>
    </w:p>
    <w:p w:rsidR="00CB3898" w:rsidRPr="005C6CA9" w:rsidP="004A22F3" w14:paraId="56B4EAC4" w14:textId="77777777">
      <w:pPr>
        <w:pStyle w:val="ListParagraph"/>
        <w:numPr>
          <w:ilvl w:val="0"/>
          <w:numId w:val="10"/>
        </w:numPr>
        <w:autoSpaceDE w:val="0"/>
        <w:autoSpaceDN w:val="0"/>
        <w:adjustRightInd w:val="0"/>
        <w:spacing w:after="0" w:line="240" w:lineRule="auto"/>
        <w:ind w:left="360"/>
        <w:rPr>
          <w:b/>
          <w:bCs/>
        </w:rPr>
      </w:pPr>
      <w:r w:rsidRPr="005C6CA9">
        <w:rPr>
          <w:b/>
          <w:bCs/>
        </w:rPr>
        <w:t>Requiring respondents to report information to the agency more often than quarterly;</w:t>
      </w:r>
    </w:p>
    <w:p w:rsidR="00CB3898" w:rsidRPr="005C6CA9" w:rsidP="004A22F3" w14:paraId="759F47DA" w14:textId="77777777">
      <w:pPr>
        <w:pStyle w:val="Default"/>
        <w:widowControl/>
        <w:tabs>
          <w:tab w:val="left" w:pos="720"/>
        </w:tabs>
        <w:ind w:left="360"/>
        <w:rPr>
          <w:rFonts w:ascii="Times New Roman" w:hAnsi="Times New Roman" w:cs="Times New Roman"/>
          <w:b/>
          <w:bCs/>
          <w:color w:val="auto"/>
        </w:rPr>
      </w:pPr>
    </w:p>
    <w:p w:rsidR="00CB3898" w:rsidRPr="005C6CA9" w:rsidP="004A22F3" w14:paraId="7A94708D" w14:textId="77777777">
      <w:pPr>
        <w:pStyle w:val="Default"/>
        <w:widowControl/>
        <w:numPr>
          <w:ilvl w:val="0"/>
          <w:numId w:val="10"/>
        </w:numPr>
        <w:tabs>
          <w:tab w:val="left" w:pos="720"/>
        </w:tabs>
        <w:ind w:left="360"/>
        <w:rPr>
          <w:rFonts w:ascii="Times New Roman" w:hAnsi="Times New Roman" w:cs="Times New Roman"/>
          <w:b/>
          <w:bCs/>
          <w:color w:val="auto"/>
        </w:rPr>
      </w:pPr>
      <w:r w:rsidRPr="005C6CA9">
        <w:rPr>
          <w:rFonts w:ascii="Times New Roman" w:hAnsi="Times New Roman" w:cs="Times New Roman"/>
          <w:b/>
          <w:bCs/>
          <w:color w:val="auto"/>
        </w:rPr>
        <w:t>Requiring respondents to prepare a written response to a collection of information in fewer than 30 days after receipt of it;</w:t>
      </w:r>
    </w:p>
    <w:p w:rsidR="00CB3898" w:rsidRPr="005C6CA9" w:rsidP="004A22F3" w14:paraId="2BAEC2E4" w14:textId="77777777">
      <w:pPr>
        <w:pStyle w:val="Default"/>
        <w:widowControl/>
        <w:tabs>
          <w:tab w:val="left" w:pos="720"/>
        </w:tabs>
        <w:ind w:left="360"/>
        <w:rPr>
          <w:rFonts w:ascii="Times New Roman" w:hAnsi="Times New Roman" w:cs="Times New Roman"/>
          <w:b/>
          <w:bCs/>
          <w:color w:val="auto"/>
        </w:rPr>
      </w:pPr>
    </w:p>
    <w:p w:rsidR="00CB3898" w:rsidRPr="005C6CA9" w:rsidP="004A22F3" w14:paraId="6A776D6E" w14:textId="77777777">
      <w:pPr>
        <w:pStyle w:val="Default"/>
        <w:widowControl/>
        <w:numPr>
          <w:ilvl w:val="0"/>
          <w:numId w:val="10"/>
        </w:numPr>
        <w:tabs>
          <w:tab w:val="left" w:pos="720"/>
        </w:tabs>
        <w:ind w:left="360"/>
        <w:rPr>
          <w:rFonts w:ascii="Times New Roman" w:hAnsi="Times New Roman" w:cs="Times New Roman"/>
          <w:b/>
          <w:bCs/>
          <w:color w:val="auto"/>
        </w:rPr>
      </w:pPr>
      <w:r w:rsidRPr="005C6CA9">
        <w:rPr>
          <w:rFonts w:ascii="Times New Roman" w:hAnsi="Times New Roman" w:cs="Times New Roman"/>
          <w:b/>
          <w:bCs/>
          <w:color w:val="auto"/>
        </w:rPr>
        <w:t>Requiring respondents to submit more than an original and two copies of any document;</w:t>
      </w:r>
    </w:p>
    <w:p w:rsidR="00CB3898" w:rsidRPr="005C6CA9" w:rsidP="004A22F3" w14:paraId="02AE158B" w14:textId="77777777">
      <w:pPr>
        <w:pStyle w:val="Default"/>
        <w:widowControl/>
        <w:tabs>
          <w:tab w:val="left" w:pos="720"/>
        </w:tabs>
        <w:ind w:left="360"/>
        <w:rPr>
          <w:rFonts w:ascii="Times New Roman" w:hAnsi="Times New Roman" w:cs="Times New Roman"/>
          <w:b/>
          <w:bCs/>
          <w:color w:val="auto"/>
        </w:rPr>
      </w:pPr>
    </w:p>
    <w:p w:rsidR="00CB3898" w:rsidRPr="005C6CA9" w:rsidP="004A22F3" w14:paraId="6B7D1D48" w14:textId="77777777">
      <w:pPr>
        <w:pStyle w:val="Default"/>
        <w:widowControl/>
        <w:numPr>
          <w:ilvl w:val="0"/>
          <w:numId w:val="10"/>
        </w:numPr>
        <w:tabs>
          <w:tab w:val="left" w:pos="720"/>
        </w:tabs>
        <w:ind w:left="360"/>
        <w:rPr>
          <w:rFonts w:ascii="Times New Roman" w:hAnsi="Times New Roman" w:cs="Times New Roman"/>
          <w:b/>
          <w:bCs/>
          <w:color w:val="auto"/>
        </w:rPr>
      </w:pPr>
      <w:r w:rsidRPr="005C6CA9">
        <w:rPr>
          <w:rFonts w:ascii="Times New Roman" w:hAnsi="Times New Roman" w:cs="Times New Roman"/>
          <w:b/>
          <w:bCs/>
          <w:color w:val="auto"/>
        </w:rPr>
        <w:t>Requiring respondents to retain records, other than health, medical, government contract, grant-in-aid, or tax records for more than three years;</w:t>
      </w:r>
    </w:p>
    <w:p w:rsidR="00CB3898" w:rsidRPr="005C6CA9" w:rsidP="004A22F3" w14:paraId="39D93E4F" w14:textId="77777777">
      <w:pPr>
        <w:pStyle w:val="Default"/>
        <w:widowControl/>
        <w:tabs>
          <w:tab w:val="left" w:pos="720"/>
        </w:tabs>
        <w:ind w:left="360"/>
        <w:rPr>
          <w:rFonts w:ascii="Times New Roman" w:hAnsi="Times New Roman" w:cs="Times New Roman"/>
          <w:b/>
          <w:bCs/>
          <w:color w:val="auto"/>
        </w:rPr>
      </w:pPr>
    </w:p>
    <w:p w:rsidR="00CB3898" w:rsidRPr="005C6CA9" w:rsidP="004A22F3" w14:paraId="5E381D83" w14:textId="77777777">
      <w:pPr>
        <w:pStyle w:val="Default"/>
        <w:widowControl/>
        <w:numPr>
          <w:ilvl w:val="0"/>
          <w:numId w:val="10"/>
        </w:numPr>
        <w:tabs>
          <w:tab w:val="left" w:pos="720"/>
        </w:tabs>
        <w:ind w:left="360"/>
        <w:rPr>
          <w:rFonts w:ascii="Times New Roman" w:hAnsi="Times New Roman" w:cs="Times New Roman"/>
          <w:b/>
          <w:bCs/>
          <w:color w:val="auto"/>
        </w:rPr>
      </w:pPr>
      <w:r w:rsidRPr="005C6CA9">
        <w:rPr>
          <w:rFonts w:ascii="Times New Roman" w:hAnsi="Times New Roman" w:cs="Times New Roman"/>
          <w:b/>
          <w:bCs/>
          <w:color w:val="auto"/>
        </w:rPr>
        <w:t>In connection with a statistical survey, that is not designed to produce valid and reliable results that can be generalized to the universe of study;</w:t>
      </w:r>
    </w:p>
    <w:p w:rsidR="00CB3898" w:rsidRPr="005C6CA9" w:rsidP="004A22F3" w14:paraId="29D10900" w14:textId="77777777">
      <w:pPr>
        <w:pStyle w:val="Default"/>
        <w:widowControl/>
        <w:tabs>
          <w:tab w:val="left" w:pos="720"/>
        </w:tabs>
        <w:ind w:left="360"/>
        <w:rPr>
          <w:rFonts w:ascii="Times New Roman" w:hAnsi="Times New Roman" w:cs="Times New Roman"/>
          <w:b/>
          <w:bCs/>
          <w:color w:val="auto"/>
        </w:rPr>
      </w:pPr>
    </w:p>
    <w:p w:rsidR="00CB3898" w:rsidRPr="005C6CA9" w:rsidP="004A22F3" w14:paraId="535319BE" w14:textId="77777777">
      <w:pPr>
        <w:pStyle w:val="Default"/>
        <w:widowControl/>
        <w:numPr>
          <w:ilvl w:val="0"/>
          <w:numId w:val="10"/>
        </w:numPr>
        <w:tabs>
          <w:tab w:val="left" w:pos="720"/>
        </w:tabs>
        <w:ind w:left="360"/>
        <w:rPr>
          <w:rFonts w:ascii="Times New Roman" w:hAnsi="Times New Roman" w:cs="Times New Roman"/>
          <w:b/>
          <w:bCs/>
          <w:color w:val="auto"/>
        </w:rPr>
      </w:pPr>
      <w:r w:rsidRPr="005C6CA9">
        <w:rPr>
          <w:rFonts w:ascii="Times New Roman" w:hAnsi="Times New Roman" w:cs="Times New Roman"/>
          <w:b/>
          <w:bCs/>
          <w:color w:val="auto"/>
        </w:rPr>
        <w:t>Requiring the use of a statistical data classification that has not been reviewed and approved by OMB;</w:t>
      </w:r>
    </w:p>
    <w:p w:rsidR="00B0195C" w14:paraId="360F7893" w14:textId="09BB9B8F">
      <w:pPr>
        <w:widowControl/>
        <w:autoSpaceDE/>
        <w:autoSpaceDN/>
        <w:adjustRightInd/>
        <w:spacing w:after="160" w:line="259" w:lineRule="auto"/>
        <w:rPr>
          <w:b/>
          <w:bCs/>
        </w:rPr>
      </w:pPr>
      <w:r>
        <w:rPr>
          <w:b/>
          <w:bCs/>
        </w:rPr>
        <w:br w:type="page"/>
      </w:r>
    </w:p>
    <w:p w:rsidR="00CB3898" w:rsidRPr="005C6CA9" w:rsidP="004A22F3" w14:paraId="0A915E1F" w14:textId="77777777">
      <w:pPr>
        <w:pStyle w:val="Default"/>
        <w:widowControl/>
        <w:numPr>
          <w:ilvl w:val="0"/>
          <w:numId w:val="10"/>
        </w:numPr>
        <w:tabs>
          <w:tab w:val="left" w:pos="720"/>
        </w:tabs>
        <w:ind w:left="360"/>
        <w:rPr>
          <w:rFonts w:ascii="Times New Roman" w:hAnsi="Times New Roman" w:cs="Times New Roman"/>
          <w:b/>
          <w:bCs/>
          <w:color w:val="auto"/>
        </w:rPr>
      </w:pPr>
      <w:r w:rsidRPr="005C6CA9">
        <w:rPr>
          <w:rFonts w:ascii="Times New Roman" w:hAnsi="Times New Roman" w:cs="Times New Roman"/>
          <w:b/>
          <w:bCs/>
          <w:color w:val="auto"/>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B3898" w:rsidRPr="005C6CA9" w:rsidP="004A22F3" w14:paraId="05D48004" w14:textId="77777777">
      <w:pPr>
        <w:pStyle w:val="Default"/>
        <w:widowControl/>
        <w:tabs>
          <w:tab w:val="left" w:pos="720"/>
        </w:tabs>
        <w:ind w:left="360"/>
        <w:rPr>
          <w:rFonts w:ascii="Times New Roman" w:hAnsi="Times New Roman" w:cs="Times New Roman"/>
          <w:color w:val="auto"/>
        </w:rPr>
      </w:pPr>
    </w:p>
    <w:p w:rsidR="00CB3898" w:rsidRPr="005C6CA9" w:rsidP="004A22F3" w14:paraId="443FC822" w14:textId="77777777">
      <w:pPr>
        <w:pStyle w:val="Default"/>
        <w:widowControl/>
        <w:numPr>
          <w:ilvl w:val="0"/>
          <w:numId w:val="10"/>
        </w:numPr>
        <w:tabs>
          <w:tab w:val="left" w:pos="720"/>
        </w:tabs>
        <w:ind w:left="360"/>
        <w:rPr>
          <w:rFonts w:ascii="Times New Roman" w:hAnsi="Times New Roman" w:cs="Times New Roman"/>
          <w:color w:val="auto"/>
        </w:rPr>
      </w:pPr>
      <w:r w:rsidRPr="005C6CA9">
        <w:rPr>
          <w:rFonts w:ascii="Times New Roman" w:hAnsi="Times New Roman" w:cs="Times New Roman"/>
          <w:b/>
          <w:bCs/>
          <w:color w:val="auto"/>
        </w:rPr>
        <w:t>Requiring respondents to submit proprietary trade secret, or other confidential information unless the agency can demonstrate that it has instituted procedures to protect the information's confidentiality to the extent permitted by law.</w:t>
      </w:r>
    </w:p>
    <w:p w:rsidR="00CB3898" w:rsidRPr="005C6CA9" w:rsidP="004A22F3" w14:paraId="01316DB1" w14:textId="77777777">
      <w:pPr>
        <w:rPr>
          <w:b/>
          <w:bCs/>
          <w:color w:val="000000"/>
        </w:rPr>
      </w:pPr>
    </w:p>
    <w:p w:rsidR="00337135" w:rsidRPr="005C6CA9" w:rsidP="004A22F3" w14:paraId="1812B0F0" w14:textId="15F9E166">
      <w:pPr>
        <w:pStyle w:val="Default"/>
        <w:keepNext/>
        <w:widowControl/>
        <w:rPr>
          <w:rFonts w:ascii="Times New Roman" w:hAnsi="Times New Roman" w:cs="Times New Roman"/>
          <w:color w:val="auto"/>
        </w:rPr>
      </w:pPr>
      <w:r w:rsidRPr="005C6CA9">
        <w:rPr>
          <w:rFonts w:ascii="Times New Roman" w:hAnsi="Times New Roman" w:cs="Times New Roman"/>
          <w:color w:val="auto"/>
        </w:rPr>
        <w:t xml:space="preserve">This collection of information is consistent with the guidelines in </w:t>
      </w:r>
      <w:r w:rsidRPr="005C6CA9" w:rsidR="00EB338F">
        <w:rPr>
          <w:rFonts w:ascii="Times New Roman" w:hAnsi="Times New Roman" w:cs="Times New Roman"/>
          <w:color w:val="auto"/>
        </w:rPr>
        <w:t>5 CFR 1320.5</w:t>
      </w:r>
      <w:r w:rsidRPr="005C6CA9">
        <w:rPr>
          <w:rFonts w:ascii="Times New Roman" w:hAnsi="Times New Roman" w:cs="Times New Roman"/>
          <w:color w:val="auto"/>
        </w:rPr>
        <w:t>.</w:t>
      </w:r>
    </w:p>
    <w:p w:rsidR="00A663DB" w:rsidRPr="005C6CA9" w:rsidP="004A22F3" w14:paraId="0E3CEBFF" w14:textId="77777777">
      <w:pPr>
        <w:pStyle w:val="Default"/>
        <w:keepNext/>
        <w:widowControl/>
        <w:rPr>
          <w:rFonts w:ascii="Times New Roman" w:hAnsi="Times New Roman" w:cs="Times New Roman"/>
          <w:color w:val="auto"/>
        </w:rPr>
      </w:pPr>
    </w:p>
    <w:p w:rsidR="00CB3898" w:rsidRPr="005C6CA9" w:rsidP="004A22F3" w14:paraId="69FD13C8" w14:textId="0CD2D613">
      <w:pPr>
        <w:pStyle w:val="Default"/>
        <w:keepNext/>
        <w:widowControl/>
        <w:rPr>
          <w:rFonts w:ascii="Times New Roman" w:hAnsi="Times New Roman" w:cs="Times New Roman"/>
          <w:b/>
          <w:bCs/>
        </w:rPr>
      </w:pPr>
      <w:r w:rsidRPr="005C6CA9">
        <w:rPr>
          <w:rFonts w:ascii="Times New Roman" w:hAnsi="Times New Roman" w:cs="Times New Roman"/>
          <w:b/>
          <w:bCs/>
          <w:color w:val="auto"/>
        </w:rPr>
        <w:t>8. I</w:t>
      </w:r>
      <w:r w:rsidRPr="005C6CA9">
        <w:rPr>
          <w:rFonts w:ascii="Times New Roman" w:hAnsi="Times New Roman" w:cs="Times New Roman"/>
          <w:b/>
          <w:bCs/>
        </w:rPr>
        <w:t xml:space="preserve">f applicable, provide a copy and identify the date and page number of publication in the </w:t>
      </w:r>
      <w:r w:rsidRPr="005C6CA9">
        <w:rPr>
          <w:rFonts w:ascii="Times New Roman" w:hAnsi="Times New Roman" w:cs="Times New Roman"/>
          <w:b/>
          <w:bCs/>
          <w:i/>
        </w:rPr>
        <w:t>Federal Register</w:t>
      </w:r>
      <w:r w:rsidRPr="005C6CA9">
        <w:rPr>
          <w:rFonts w:ascii="Times New Roman" w:hAnsi="Times New Roman" w:cs="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B3898" w:rsidRPr="005C6CA9" w:rsidP="004A22F3" w14:paraId="2CECD692" w14:textId="77777777">
      <w:pPr>
        <w:pStyle w:val="Default"/>
        <w:keepNext/>
        <w:tabs>
          <w:tab w:val="left" w:pos="720"/>
        </w:tabs>
        <w:ind w:hanging="360"/>
        <w:rPr>
          <w:rFonts w:ascii="Times New Roman" w:hAnsi="Times New Roman" w:cs="Times New Roman"/>
          <w:b/>
          <w:bCs/>
        </w:rPr>
      </w:pPr>
    </w:p>
    <w:p w:rsidR="00CB3898" w:rsidRPr="005C6CA9" w:rsidP="004A22F3" w14:paraId="14F05CA2" w14:textId="77777777">
      <w:pPr>
        <w:pStyle w:val="Default"/>
        <w:keepNext/>
        <w:tabs>
          <w:tab w:val="left" w:pos="720"/>
        </w:tabs>
        <w:rPr>
          <w:rFonts w:ascii="Times New Roman" w:hAnsi="Times New Roman" w:cs="Times New Roman"/>
          <w:b/>
          <w:bCs/>
        </w:rPr>
      </w:pPr>
      <w:r w:rsidRPr="005C6CA9">
        <w:rPr>
          <w:rFonts w:ascii="Times New Roman" w:hAnsi="Times New Roman"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3898" w:rsidRPr="005C6CA9" w:rsidP="004A22F3" w14:paraId="641E722A" w14:textId="77777777">
      <w:pPr>
        <w:pStyle w:val="Default"/>
        <w:keepNext/>
        <w:tabs>
          <w:tab w:val="left" w:pos="720"/>
        </w:tabs>
        <w:ind w:hanging="360"/>
        <w:rPr>
          <w:rFonts w:ascii="Times New Roman" w:hAnsi="Times New Roman" w:cs="Times New Roman"/>
          <w:b/>
          <w:bCs/>
        </w:rPr>
      </w:pPr>
    </w:p>
    <w:p w:rsidR="00CB3898" w:rsidRPr="005C6CA9" w:rsidP="004A22F3" w14:paraId="7F0EA1C0" w14:textId="77777777">
      <w:pPr>
        <w:pStyle w:val="Default"/>
        <w:keepNext/>
        <w:tabs>
          <w:tab w:val="left" w:pos="720"/>
        </w:tabs>
        <w:rPr>
          <w:rFonts w:ascii="Times New Roman" w:hAnsi="Times New Roman" w:cs="Times New Roman"/>
          <w:b/>
          <w:bCs/>
        </w:rPr>
      </w:pPr>
      <w:r w:rsidRPr="005C6CA9">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3898" w:rsidRPr="005C6CA9" w:rsidP="004A22F3" w14:paraId="03F0FACA" w14:textId="77777777">
      <w:pPr>
        <w:rPr>
          <w:b/>
          <w:bCs/>
          <w:color w:val="000000"/>
        </w:rPr>
      </w:pPr>
    </w:p>
    <w:p w:rsidR="006B0C4E" w:rsidRPr="005C6CA9" w:rsidP="006B0C4E" w14:paraId="53745833" w14:textId="7561BAB3">
      <w:pPr>
        <w:rPr>
          <w:color w:val="000000"/>
        </w:rPr>
      </w:pPr>
      <w:bookmarkStart w:id="15" w:name="_Hlk165286212"/>
      <w:r w:rsidRPr="005C6CA9">
        <w:rPr>
          <w:color w:val="000000"/>
        </w:rPr>
        <w:t xml:space="preserve">In accordance with 5 CFR 1320.8(d), MSHA will publish the proposed information collection requirements in the </w:t>
      </w:r>
      <w:r w:rsidRPr="003B213F">
        <w:rPr>
          <w:i/>
          <w:iCs/>
          <w:color w:val="000000"/>
        </w:rPr>
        <w:t>Federal Register</w:t>
      </w:r>
      <w:r w:rsidRPr="005C6CA9">
        <w:rPr>
          <w:color w:val="000000"/>
        </w:rPr>
        <w:t xml:space="preserve">, notify the public that these information collection requirements are being reviewed in accordance with the </w:t>
      </w:r>
      <w:r>
        <w:rPr>
          <w:color w:val="000000"/>
        </w:rPr>
        <w:t>PRA</w:t>
      </w:r>
      <w:r w:rsidRPr="005C6CA9">
        <w:rPr>
          <w:color w:val="000000"/>
        </w:rPr>
        <w:t>, and provid</w:t>
      </w:r>
      <w:r>
        <w:rPr>
          <w:color w:val="000000"/>
        </w:rPr>
        <w:t>e</w:t>
      </w:r>
      <w:r w:rsidRPr="005C6CA9">
        <w:rPr>
          <w:color w:val="000000"/>
        </w:rPr>
        <w:t xml:space="preserve"> 60 days for the public to submit comments.</w:t>
      </w:r>
      <w:r w:rsidRPr="00395EB9" w:rsidR="00395EB9">
        <w:t xml:space="preserve"> </w:t>
      </w:r>
      <w:r w:rsidRPr="00395EB9" w:rsidR="00395EB9">
        <w:rPr>
          <w:color w:val="000000"/>
        </w:rPr>
        <w:t>MSHA published a 60-day Federal Register notice on September 25, 2025 (90 FR 46263).</w:t>
      </w:r>
      <w:r w:rsidRPr="00492F18" w:rsidR="00492F18">
        <w:t xml:space="preserve"> </w:t>
      </w:r>
      <w:r w:rsidRPr="00492F18" w:rsidR="00492F18">
        <w:rPr>
          <w:color w:val="000000"/>
        </w:rPr>
        <w:t>MSHA received no comments.</w:t>
      </w:r>
    </w:p>
    <w:bookmarkEnd w:id="15"/>
    <w:p w:rsidR="00C73040" w:rsidRPr="005C6CA9" w:rsidP="004A22F3" w14:paraId="724A9986" w14:textId="77777777">
      <w:pPr>
        <w:rPr>
          <w:b/>
          <w:bCs/>
          <w:color w:val="000000"/>
        </w:rPr>
      </w:pPr>
    </w:p>
    <w:p w:rsidR="00CB3898" w:rsidRPr="005C6CA9" w:rsidP="004A22F3" w14:paraId="0473FBF4" w14:textId="77777777">
      <w:pPr>
        <w:pStyle w:val="Default"/>
        <w:keepNext/>
        <w:widowControl/>
        <w:rPr>
          <w:rFonts w:ascii="Times New Roman" w:hAnsi="Times New Roman" w:cs="Times New Roman"/>
          <w:color w:val="auto"/>
        </w:rPr>
      </w:pPr>
      <w:r w:rsidRPr="005C6CA9">
        <w:rPr>
          <w:rFonts w:ascii="Times New Roman" w:hAnsi="Times New Roman" w:cs="Times New Roman"/>
          <w:b/>
          <w:bCs/>
          <w:color w:val="auto"/>
        </w:rPr>
        <w:t>9. Explain any decision to provide any payments or gifts to respondents, other than remuneration of contractors or grantees.</w:t>
      </w:r>
    </w:p>
    <w:p w:rsidR="00CB3898" w:rsidRPr="005C6CA9" w:rsidP="004A22F3" w14:paraId="70958373" w14:textId="77777777">
      <w:pPr>
        <w:pStyle w:val="Default"/>
        <w:keepNext/>
        <w:widowControl/>
        <w:tabs>
          <w:tab w:val="left" w:pos="720"/>
        </w:tabs>
        <w:rPr>
          <w:rFonts w:ascii="Times New Roman" w:hAnsi="Times New Roman" w:cs="Times New Roman"/>
          <w:color w:val="auto"/>
        </w:rPr>
      </w:pPr>
    </w:p>
    <w:p w:rsidR="00CB3898" w:rsidRPr="005C6CA9" w:rsidP="004A22F3" w14:paraId="32E0BB61" w14:textId="77777777">
      <w:pPr>
        <w:pStyle w:val="Default"/>
        <w:widowControl/>
        <w:tabs>
          <w:tab w:val="left" w:pos="720"/>
        </w:tabs>
        <w:rPr>
          <w:rFonts w:ascii="Times New Roman" w:hAnsi="Times New Roman" w:cs="Times New Roman"/>
          <w:color w:val="auto"/>
        </w:rPr>
      </w:pPr>
      <w:r w:rsidRPr="005C6CA9">
        <w:rPr>
          <w:rFonts w:ascii="Times New Roman" w:hAnsi="Times New Roman" w:cs="Times New Roman"/>
          <w:color w:val="auto"/>
        </w:rPr>
        <w:t>MSHA does not provide payment or gifts to respondents.</w:t>
      </w:r>
    </w:p>
    <w:p w:rsidR="00CB3898" w:rsidRPr="005C6CA9" w:rsidP="004A22F3" w14:paraId="1CB014CE" w14:textId="77777777">
      <w:pPr>
        <w:rPr>
          <w:b/>
          <w:bCs/>
          <w:color w:val="000000"/>
        </w:rPr>
      </w:pPr>
    </w:p>
    <w:p w:rsidR="00CB3898" w:rsidRPr="005C6CA9" w:rsidP="004A22F3" w14:paraId="45EC017F" w14:textId="77777777">
      <w:pPr>
        <w:pStyle w:val="Default"/>
        <w:keepNext/>
        <w:widowControl/>
        <w:rPr>
          <w:rFonts w:ascii="Times New Roman" w:hAnsi="Times New Roman" w:cs="Times New Roman"/>
          <w:b/>
          <w:bCs/>
          <w:color w:val="auto"/>
        </w:rPr>
      </w:pPr>
      <w:r w:rsidRPr="005C6CA9">
        <w:rPr>
          <w:rFonts w:ascii="Times New Roman" w:hAnsi="Times New Roman" w:cs="Times New Roman"/>
          <w:b/>
          <w:bCs/>
          <w:color w:val="auto"/>
        </w:rPr>
        <w:t>10. Describe any assurance of confidentiality provided to respondents and the basis for the assurance in statute, regulation, or agency policy.</w:t>
      </w:r>
    </w:p>
    <w:p w:rsidR="00C33930" w:rsidRPr="005C6CA9" w:rsidP="004A22F3" w14:paraId="0A5414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2C31" w:rsidRPr="005C6CA9" w:rsidP="006134B7" w14:paraId="225CA599" w14:textId="572512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FF0000"/>
        </w:rPr>
      </w:pPr>
      <w:bookmarkStart w:id="16" w:name="_Hlk192748474"/>
      <w:r w:rsidRPr="005C6CA9">
        <w:t xml:space="preserve">There is no assurance of confidentiality provided to respondents.  </w:t>
      </w:r>
      <w:bookmarkEnd w:id="16"/>
    </w:p>
    <w:p w:rsidR="00A77349" w14:paraId="24405100" w14:textId="77777777">
      <w:pPr>
        <w:widowControl/>
        <w:autoSpaceDE/>
        <w:autoSpaceDN/>
        <w:adjustRightInd/>
        <w:spacing w:after="160" w:line="259" w:lineRule="auto"/>
        <w:rPr>
          <w:b/>
          <w:bCs/>
        </w:rPr>
      </w:pPr>
      <w:r>
        <w:rPr>
          <w:b/>
          <w:bCs/>
        </w:rPr>
        <w:br w:type="page"/>
      </w:r>
    </w:p>
    <w:p w:rsidR="00CB3898" w:rsidRPr="005C6CA9" w:rsidP="004A22F3" w14:paraId="19B20D5D" w14:textId="4C318ECE">
      <w:pPr>
        <w:pStyle w:val="Default"/>
        <w:keepNext/>
        <w:widowControl/>
        <w:rPr>
          <w:rFonts w:ascii="Times New Roman" w:hAnsi="Times New Roman" w:cs="Times New Roman"/>
          <w:color w:val="auto"/>
        </w:rPr>
      </w:pPr>
      <w:r w:rsidRPr="005C6CA9">
        <w:rPr>
          <w:rFonts w:ascii="Times New Roman" w:hAnsi="Times New Roman" w:cs="Times New Roman"/>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B3898" w:rsidRPr="005C6CA9" w:rsidP="004A22F3" w14:paraId="0E3FE669" w14:textId="77777777">
      <w:pPr>
        <w:rPr>
          <w:b/>
          <w:bCs/>
          <w:color w:val="000000"/>
        </w:rPr>
      </w:pPr>
    </w:p>
    <w:p w:rsidR="00CB3898" w:rsidRPr="005C6CA9" w:rsidP="004A22F3" w14:paraId="5D221538" w14:textId="28A3D02E">
      <w:pPr>
        <w:rPr>
          <w:color w:val="000000"/>
        </w:rPr>
      </w:pPr>
      <w:r w:rsidRPr="005C6CA9">
        <w:rPr>
          <w:color w:val="000000"/>
        </w:rPr>
        <w:t>There are no questions of a sensitive nature.</w:t>
      </w:r>
    </w:p>
    <w:p w:rsidR="00CB3898" w:rsidRPr="005C6CA9" w:rsidP="004A22F3" w14:paraId="45ED85A8" w14:textId="77777777">
      <w:pPr>
        <w:rPr>
          <w:b/>
          <w:bCs/>
          <w:color w:val="000000"/>
        </w:rPr>
      </w:pPr>
    </w:p>
    <w:p w:rsidR="008F7DDE" w:rsidRPr="005C6CA9" w:rsidP="004A22F3" w14:paraId="4D2FF76B" w14:textId="7594A938">
      <w:pPr>
        <w:rPr>
          <w:b/>
          <w:bCs/>
          <w:color w:val="000000"/>
        </w:rPr>
      </w:pPr>
      <w:r w:rsidRPr="005C6CA9">
        <w:rPr>
          <w:b/>
          <w:bCs/>
          <w:color w:val="000000"/>
        </w:rPr>
        <w:t>12</w:t>
      </w:r>
      <w:r w:rsidRPr="005C6CA9" w:rsidR="00C1605F">
        <w:rPr>
          <w:b/>
          <w:bCs/>
          <w:color w:val="000000"/>
        </w:rPr>
        <w:t>. Provide</w:t>
      </w:r>
      <w:r w:rsidRPr="005C6CA9">
        <w:rPr>
          <w:b/>
          <w:bCs/>
          <w:color w:val="000000"/>
        </w:rPr>
        <w:t xml:space="preserve"> estimates of the hour burden of the collection of information.  The statement should:</w:t>
      </w:r>
    </w:p>
    <w:p w:rsidR="008F7DDE" w:rsidRPr="005C6CA9" w:rsidP="004A22F3" w14:paraId="443392FF" w14:textId="77777777">
      <w:pPr>
        <w:rPr>
          <w:b/>
          <w:bCs/>
          <w:color w:val="000000"/>
        </w:rPr>
      </w:pPr>
    </w:p>
    <w:p w:rsidR="008F7DDE" w:rsidRPr="005C6CA9" w:rsidP="004A22F3" w14:paraId="099B1349" w14:textId="77777777">
      <w:pPr>
        <w:pStyle w:val="ListParagraph"/>
        <w:numPr>
          <w:ilvl w:val="0"/>
          <w:numId w:val="1"/>
        </w:numPr>
        <w:tabs>
          <w:tab w:val="left" w:pos="-1440"/>
        </w:tabs>
        <w:spacing w:after="0" w:line="240" w:lineRule="auto"/>
        <w:rPr>
          <w:b/>
          <w:bCs/>
          <w:color w:val="000000"/>
          <w:szCs w:val="24"/>
        </w:rPr>
      </w:pPr>
      <w:r w:rsidRPr="005C6CA9">
        <w:rPr>
          <w:b/>
          <w:bCs/>
          <w:color w:val="000000"/>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C91F5E" w:rsidRPr="005C6CA9" w:rsidP="005C6CA9" w14:paraId="5A8181A2" w14:textId="77777777">
      <w:pPr>
        <w:pStyle w:val="ListParagraph"/>
        <w:tabs>
          <w:tab w:val="left" w:pos="-1440"/>
        </w:tabs>
        <w:spacing w:after="0" w:line="240" w:lineRule="auto"/>
        <w:rPr>
          <w:b/>
          <w:bCs/>
          <w:color w:val="000000"/>
          <w:szCs w:val="24"/>
        </w:rPr>
      </w:pPr>
    </w:p>
    <w:p w:rsidR="008F7DDE" w:rsidRPr="005C6CA9" w:rsidP="004A22F3" w14:paraId="1D3F9869" w14:textId="77777777">
      <w:pPr>
        <w:pStyle w:val="ListParagraph"/>
        <w:numPr>
          <w:ilvl w:val="0"/>
          <w:numId w:val="1"/>
        </w:numPr>
        <w:tabs>
          <w:tab w:val="left" w:pos="-1440"/>
        </w:tabs>
        <w:spacing w:after="0" w:line="240" w:lineRule="auto"/>
        <w:rPr>
          <w:b/>
          <w:bCs/>
          <w:color w:val="000000"/>
          <w:szCs w:val="24"/>
        </w:rPr>
      </w:pPr>
      <w:r w:rsidRPr="005C6CA9">
        <w:rPr>
          <w:b/>
          <w:bCs/>
          <w:color w:val="000000"/>
          <w:szCs w:val="24"/>
        </w:rPr>
        <w:t>If this request for approval covers more than one form, provide separate hour burden estimates for each form and aggregate the hour burdens.</w:t>
      </w:r>
    </w:p>
    <w:p w:rsidR="00C91F5E" w:rsidRPr="005C6CA9" w:rsidP="005C6CA9" w14:paraId="5B6FBB36" w14:textId="77777777">
      <w:pPr>
        <w:tabs>
          <w:tab w:val="left" w:pos="-1440"/>
        </w:tabs>
        <w:rPr>
          <w:b/>
          <w:bCs/>
          <w:color w:val="000000"/>
        </w:rPr>
      </w:pPr>
    </w:p>
    <w:p w:rsidR="008F7DDE" w:rsidRPr="005C6CA9" w:rsidP="004A22F3" w14:paraId="2BC6B329" w14:textId="77777777">
      <w:pPr>
        <w:pStyle w:val="ListParagraph"/>
        <w:numPr>
          <w:ilvl w:val="0"/>
          <w:numId w:val="1"/>
        </w:numPr>
        <w:tabs>
          <w:tab w:val="left" w:pos="-1440"/>
        </w:tabs>
        <w:spacing w:after="0" w:line="240" w:lineRule="auto"/>
        <w:rPr>
          <w:b/>
          <w:bCs/>
          <w:color w:val="000000"/>
          <w:szCs w:val="24"/>
        </w:rPr>
      </w:pPr>
      <w:r w:rsidRPr="005C6CA9">
        <w:rPr>
          <w:b/>
          <w:bCs/>
          <w:color w:val="000000"/>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13AE9" w:rsidRPr="005C6CA9" w:rsidP="004A22F3" w14:paraId="26F54DD5" w14:textId="77777777"/>
    <w:p w:rsidR="008F7DDE" w:rsidRPr="005C6CA9" w:rsidP="004A22F3" w14:paraId="7315BACB" w14:textId="66111699">
      <w:pPr>
        <w:rPr>
          <w:b/>
          <w:bCs/>
          <w:iCs/>
        </w:rPr>
      </w:pPr>
      <w:r w:rsidRPr="005C6CA9">
        <w:rPr>
          <w:b/>
          <w:bCs/>
          <w:iCs/>
        </w:rPr>
        <w:t>Respondents</w:t>
      </w:r>
    </w:p>
    <w:p w:rsidR="00E87A6F" w:rsidRPr="005C6CA9" w:rsidP="004A22F3" w14:paraId="13265EE2" w14:textId="77777777">
      <w:pPr>
        <w:contextualSpacing/>
      </w:pPr>
      <w:bookmarkStart w:id="17" w:name="_Hlk171945184"/>
    </w:p>
    <w:p w:rsidR="00BF32A1" w:rsidP="004A22F3" w14:paraId="1D935101" w14:textId="0EF6F226">
      <w:pPr>
        <w:contextualSpacing/>
      </w:pPr>
      <w:r w:rsidRPr="005C6CA9">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w:t>
      </w:r>
      <w:r w:rsidR="00A35679">
        <w:t xml:space="preserve">with </w:t>
      </w:r>
      <w:r w:rsidRPr="005C6CA9">
        <w:t xml:space="preserve">the number of mines and employment, and from this information MSHA tracks the number of active and inactive mines and mine types throughout the United States. </w:t>
      </w:r>
      <w:bookmarkEnd w:id="17"/>
    </w:p>
    <w:p w:rsidR="00E90CA6" w:rsidP="00E90CA6" w14:paraId="2E94CC8F" w14:textId="77777777"/>
    <w:p w:rsidR="00A0560B" w:rsidP="00E90CA6" w14:paraId="0410597E" w14:textId="1171EA5E">
      <w:r w:rsidRPr="005E1F20">
        <w:t>MSHA maintains a database that records the submission and approval of smoking prevention programs required under 30 CFR 75.1702 and 75.1702-1. A smoking prevention program remains in effect for the life of the mine</w:t>
      </w:r>
      <w:r w:rsidR="006B0C4E">
        <w:t>.</w:t>
      </w:r>
      <w:r w:rsidRPr="005E1F20">
        <w:t xml:space="preserve"> </w:t>
      </w:r>
      <w:r w:rsidR="006B0C4E">
        <w:t>M</w:t>
      </w:r>
      <w:r w:rsidRPr="005E1F20">
        <w:t>ines</w:t>
      </w:r>
      <w:r w:rsidR="006B0C4E">
        <w:t xml:space="preserve"> </w:t>
      </w:r>
      <w:r w:rsidRPr="005E1F20">
        <w:t xml:space="preserve">occasionally revise their programs and submit </w:t>
      </w:r>
      <w:r w:rsidR="00E97A9E">
        <w:t>the</w:t>
      </w:r>
      <w:r w:rsidR="006B0C4E">
        <w:t xml:space="preserve"> revisions </w:t>
      </w:r>
      <w:r w:rsidRPr="005E1F20">
        <w:t xml:space="preserve">to MSHA. </w:t>
      </w:r>
      <w:r w:rsidR="004412B3">
        <w:t>T</w:t>
      </w:r>
      <w:r w:rsidRPr="005E1F20">
        <w:t>he</w:t>
      </w:r>
      <w:r w:rsidR="006B0C4E">
        <w:t xml:space="preserve"> estimated</w:t>
      </w:r>
      <w:r w:rsidRPr="005E1F20">
        <w:t xml:space="preserve"> number of annual responses </w:t>
      </w:r>
      <w:r w:rsidR="006B0C4E">
        <w:t xml:space="preserve">covers </w:t>
      </w:r>
      <w:r w:rsidRPr="005E1F20">
        <w:t xml:space="preserve">programs developed </w:t>
      </w:r>
      <w:r w:rsidRPr="005E1F20">
        <w:t>for new mines,</w:t>
      </w:r>
      <w:r w:rsidR="006B0C4E">
        <w:t xml:space="preserve"> </w:t>
      </w:r>
      <w:r w:rsidRPr="005E1F20">
        <w:t>mines</w:t>
      </w:r>
      <w:r w:rsidR="00511565">
        <w:t xml:space="preserve"> that</w:t>
      </w:r>
      <w:r w:rsidRPr="005E1F20">
        <w:t xml:space="preserve"> chang</w:t>
      </w:r>
      <w:r w:rsidR="006B0C4E">
        <w:t>e</w:t>
      </w:r>
      <w:r w:rsidRPr="005E1F20">
        <w:t xml:space="preserve"> ownership, and </w:t>
      </w:r>
      <w:r w:rsidR="004412B3">
        <w:t xml:space="preserve">the </w:t>
      </w:r>
      <w:r w:rsidRPr="005E1F20">
        <w:t xml:space="preserve">occasional </w:t>
      </w:r>
      <w:r w:rsidR="004D76FA">
        <w:t xml:space="preserve">program </w:t>
      </w:r>
      <w:r w:rsidRPr="005E1F20">
        <w:t xml:space="preserve">revision. </w:t>
      </w:r>
      <w:r>
        <w:t>From 2022 through 2024</w:t>
      </w:r>
      <w:r w:rsidRPr="005E1F20">
        <w:t xml:space="preserve">, </w:t>
      </w:r>
      <w:r>
        <w:t xml:space="preserve">72 unique underground </w:t>
      </w:r>
      <w:r w:rsidRPr="00A85F71">
        <w:t>coal mines</w:t>
      </w:r>
      <w:r>
        <w:t xml:space="preserve"> submitted</w:t>
      </w:r>
      <w:r w:rsidRPr="005E1F20">
        <w:t xml:space="preserve"> </w:t>
      </w:r>
      <w:r>
        <w:t>73</w:t>
      </w:r>
      <w:r w:rsidRPr="005E1F20">
        <w:t xml:space="preserve"> new and revised smoking prevention programs</w:t>
      </w:r>
      <w:r>
        <w:t xml:space="preserve"> for MSHA’s</w:t>
      </w:r>
      <w:r w:rsidRPr="005E1F20">
        <w:t xml:space="preserve"> approv</w:t>
      </w:r>
      <w:r>
        <w:t>al</w:t>
      </w:r>
      <w:r w:rsidR="001923C2">
        <w:t>.</w:t>
      </w:r>
      <w:r w:rsidR="004412B3">
        <w:t xml:space="preserve"> </w:t>
      </w:r>
      <w:r w:rsidR="001923C2">
        <w:t>T</w:t>
      </w:r>
      <w:r w:rsidR="004412B3">
        <w:t>his translates to</w:t>
      </w:r>
      <w:r>
        <w:t xml:space="preserve"> an average of 25 programs approved</w:t>
      </w:r>
      <w:r w:rsidRPr="005E1F20">
        <w:t xml:space="preserve"> </w:t>
      </w:r>
      <w:r w:rsidR="006B0C4E">
        <w:t>annually</w:t>
      </w:r>
      <w:r w:rsidRPr="00A0560B">
        <w:t xml:space="preserve"> </w:t>
      </w:r>
      <w:r>
        <w:t xml:space="preserve">from </w:t>
      </w:r>
      <w:r w:rsidR="00F36242">
        <w:t>24</w:t>
      </w:r>
      <w:r>
        <w:t xml:space="preserve"> </w:t>
      </w:r>
      <w:r w:rsidR="00F36242">
        <w:t xml:space="preserve">unique </w:t>
      </w:r>
      <w:r>
        <w:t>mines</w:t>
      </w:r>
      <w:r w:rsidRPr="005E1F20">
        <w:t xml:space="preserve">. </w:t>
      </w:r>
    </w:p>
    <w:p w:rsidR="00B0195C" w:rsidP="00E90CA6" w14:paraId="3AEB3565" w14:textId="77777777"/>
    <w:p w:rsidR="00B227F0" w:rsidRPr="005C6CA9" w:rsidP="004A22F3" w14:paraId="73FF745E" w14:textId="629A1D75">
      <w:pPr>
        <w:rPr>
          <w:b/>
        </w:rPr>
      </w:pPr>
      <w:r w:rsidRPr="005E1F20">
        <w:t xml:space="preserve"> </w:t>
      </w:r>
      <w:bookmarkStart w:id="18" w:name="_Hlk189055170"/>
      <w:bookmarkStart w:id="19" w:name="_Hlk192753872"/>
      <w:r w:rsidRPr="005C6CA9">
        <w:rPr>
          <w:b/>
        </w:rPr>
        <w:t>Wage Rate Determination</w:t>
      </w:r>
      <w:r>
        <w:rPr>
          <w:rStyle w:val="FootnoteReference"/>
          <w:b/>
        </w:rPr>
        <w:footnoteReference w:id="3"/>
      </w:r>
    </w:p>
    <w:bookmarkEnd w:id="18"/>
    <w:p w:rsidR="00B227F0" w:rsidRPr="005C6CA9" w:rsidP="004A22F3" w14:paraId="2A20346F" w14:textId="77777777"/>
    <w:p w:rsidR="008F7DDE" w:rsidRPr="005C6CA9" w:rsidP="004A22F3" w14:paraId="095FE9F1" w14:textId="57541FFB">
      <w:bookmarkStart w:id="22" w:name="_Hlk189054988"/>
      <w:r w:rsidRPr="005C6CA9">
        <w:t>MSHA use</w:t>
      </w:r>
      <w:r w:rsidRPr="005C6CA9" w:rsidR="004E6A42">
        <w:t>s</w:t>
      </w:r>
      <w:r w:rsidRPr="005C6CA9">
        <w:t xml:space="preserve"> data from </w:t>
      </w:r>
      <w:r w:rsidRPr="005C6CA9">
        <w:t>the May</w:t>
      </w:r>
      <w:r w:rsidRPr="005C6CA9">
        <w:t xml:space="preserve"> 202</w:t>
      </w:r>
      <w:r w:rsidRPr="005C6CA9" w:rsidR="00B16B53">
        <w:t>4</w:t>
      </w:r>
      <w:r w:rsidRPr="005C6CA9">
        <w:t xml:space="preserve"> Occupational Employment and Wage Statistics (OEWS) published by the Bureau of Labor Statistics (BLS) for hourly wage rates</w:t>
      </w:r>
      <w:r>
        <w:rPr>
          <w:vertAlign w:val="superscript"/>
        </w:rPr>
        <w:footnoteReference w:id="4"/>
      </w:r>
      <w:r w:rsidRPr="005C6CA9">
        <w:t xml:space="preserve"> and adjust</w:t>
      </w:r>
      <w:r w:rsidRPr="005C6CA9" w:rsidR="00F74113">
        <w:t>s</w:t>
      </w:r>
      <w:r w:rsidRPr="005C6CA9">
        <w:t xml:space="preserve"> the rates for benefits</w:t>
      </w:r>
      <w:r w:rsidRPr="005C6CA9" w:rsidR="00EC1441">
        <w:t>,</w:t>
      </w:r>
      <w:r>
        <w:rPr>
          <w:vertAlign w:val="superscript"/>
        </w:rPr>
        <w:footnoteReference w:id="5"/>
      </w:r>
      <w:r w:rsidRPr="005C6CA9">
        <w:t xml:space="preserve"> wage inflation,</w:t>
      </w:r>
      <w:r>
        <w:rPr>
          <w:vertAlign w:val="superscript"/>
        </w:rPr>
        <w:footnoteReference w:id="6"/>
      </w:r>
      <w:r w:rsidRPr="005C6CA9">
        <w:t xml:space="preserve"> </w:t>
      </w:r>
      <w:r w:rsidRPr="005C6CA9" w:rsidR="008C0F50">
        <w:t>and overhead costs</w:t>
      </w:r>
      <w:r w:rsidRPr="005C6CA9" w:rsidR="005D15DB">
        <w:t>.</w:t>
      </w:r>
      <w:r>
        <w:rPr>
          <w:rStyle w:val="FootnoteReference"/>
        </w:rPr>
        <w:footnoteReference w:id="7"/>
      </w:r>
      <w:r w:rsidRPr="005C6CA9">
        <w:t xml:space="preserve"> The occupations listed below in Table 12-1 are those that </w:t>
      </w:r>
      <w:r w:rsidR="005405E4">
        <w:t>a</w:t>
      </w:r>
      <w:r w:rsidRPr="005C6CA9" w:rsidR="005405E4">
        <w:t xml:space="preserve">re </w:t>
      </w:r>
      <w:r w:rsidRPr="005C6CA9">
        <w:t>determined to be relevant for the cost calculations.</w:t>
      </w:r>
    </w:p>
    <w:bookmarkEnd w:id="19"/>
    <w:bookmarkEnd w:id="22"/>
    <w:p w:rsidR="008F7DDE" w:rsidRPr="005C6CA9" w:rsidP="004A22F3" w14:paraId="3F9E7700" w14:textId="77777777">
      <w:pPr>
        <w:rPr>
          <w:iCs/>
        </w:rPr>
      </w:pPr>
    </w:p>
    <w:p w:rsidR="008F7DDE" w:rsidRPr="005C6CA9" w:rsidP="005C6CA9" w14:paraId="27201460" w14:textId="308B3065">
      <w:pPr>
        <w:rPr>
          <w:b/>
          <w:bCs/>
        </w:rPr>
      </w:pPr>
      <w:bookmarkStart w:id="24" w:name="_Hlk114568286"/>
      <w:bookmarkStart w:id="25" w:name="_Hlk192753954"/>
      <w:r w:rsidRPr="005C6CA9">
        <w:rPr>
          <w:b/>
          <w:bCs/>
          <w:iCs/>
        </w:rPr>
        <w:t>Table 12-1</w:t>
      </w:r>
      <w:r w:rsidRPr="005C6CA9" w:rsidR="00B227F0">
        <w:rPr>
          <w:b/>
          <w:bCs/>
          <w:iCs/>
        </w:rPr>
        <w:t xml:space="preserve">. </w:t>
      </w:r>
      <w:r w:rsidRPr="005C6CA9">
        <w:rPr>
          <w:b/>
          <w:bCs/>
          <w:iCs/>
        </w:rPr>
        <w:t>Hourly Wage Rates</w:t>
      </w:r>
    </w:p>
    <w:tbl>
      <w:tblPr>
        <w:tblStyle w:val="TableGrid"/>
        <w:tblW w:w="0" w:type="auto"/>
        <w:tblLook w:val="04A0"/>
      </w:tblPr>
      <w:tblGrid>
        <w:gridCol w:w="1567"/>
        <w:gridCol w:w="871"/>
        <w:gridCol w:w="1029"/>
        <w:gridCol w:w="1134"/>
        <w:gridCol w:w="1182"/>
        <w:gridCol w:w="1634"/>
        <w:gridCol w:w="1933"/>
      </w:tblGrid>
      <w:tr w14:paraId="079B285C" w14:textId="77777777" w:rsidTr="007628FE">
        <w:tblPrEx>
          <w:tblW w:w="0" w:type="auto"/>
          <w:tblLook w:val="04A0"/>
        </w:tblPrEx>
        <w:tc>
          <w:tcPr>
            <w:tcW w:w="1567" w:type="dxa"/>
            <w:shd w:val="clear" w:color="auto" w:fill="8EAADB" w:themeFill="accent1" w:themeFillTint="99"/>
            <w:vAlign w:val="center"/>
          </w:tcPr>
          <w:bookmarkEnd w:id="24"/>
          <w:p w:rsidR="006C29C4" w:rsidRPr="005C6CA9" w:rsidP="004A22F3" w14:paraId="1EE2587D" w14:textId="77777777">
            <w:pPr>
              <w:rPr>
                <w:iCs/>
                <w:sz w:val="20"/>
                <w:szCs w:val="20"/>
              </w:rPr>
            </w:pPr>
            <w:r w:rsidRPr="005C6CA9">
              <w:rPr>
                <w:iCs/>
                <w:sz w:val="20"/>
                <w:szCs w:val="20"/>
              </w:rPr>
              <w:t>Occupation</w:t>
            </w:r>
          </w:p>
        </w:tc>
        <w:tc>
          <w:tcPr>
            <w:tcW w:w="871" w:type="dxa"/>
            <w:shd w:val="clear" w:color="auto" w:fill="8EAADB" w:themeFill="accent1" w:themeFillTint="99"/>
            <w:vAlign w:val="center"/>
          </w:tcPr>
          <w:p w:rsidR="006C29C4" w:rsidRPr="005C6CA9" w:rsidP="004A22F3" w14:paraId="6C697F9C" w14:textId="77777777">
            <w:pPr>
              <w:jc w:val="center"/>
              <w:rPr>
                <w:iCs/>
                <w:sz w:val="20"/>
                <w:szCs w:val="20"/>
              </w:rPr>
            </w:pPr>
            <w:r w:rsidRPr="005C6CA9">
              <w:rPr>
                <w:iCs/>
                <w:sz w:val="20"/>
                <w:szCs w:val="20"/>
              </w:rPr>
              <w:t>NAICS Code</w:t>
            </w:r>
          </w:p>
        </w:tc>
        <w:tc>
          <w:tcPr>
            <w:tcW w:w="1029" w:type="dxa"/>
            <w:shd w:val="clear" w:color="auto" w:fill="8EAADB" w:themeFill="accent1" w:themeFillTint="99"/>
            <w:vAlign w:val="center"/>
          </w:tcPr>
          <w:p w:rsidR="006C29C4" w:rsidRPr="005C6CA9" w:rsidP="004A22F3" w14:paraId="26517976" w14:textId="5AB890C3">
            <w:pPr>
              <w:jc w:val="center"/>
              <w:rPr>
                <w:iCs/>
                <w:sz w:val="20"/>
                <w:szCs w:val="20"/>
              </w:rPr>
            </w:pPr>
            <w:r w:rsidRPr="005C6CA9">
              <w:rPr>
                <w:iCs/>
                <w:sz w:val="20"/>
                <w:szCs w:val="20"/>
              </w:rPr>
              <w:t xml:space="preserve">Mean </w:t>
            </w:r>
            <w:r w:rsidRPr="005C6CA9" w:rsidR="009F163B">
              <w:rPr>
                <w:iCs/>
                <w:sz w:val="20"/>
                <w:szCs w:val="20"/>
              </w:rPr>
              <w:t>Hourl</w:t>
            </w:r>
            <w:r w:rsidRPr="005C6CA9" w:rsidR="00831DFE">
              <w:rPr>
                <w:iCs/>
                <w:sz w:val="20"/>
                <w:szCs w:val="20"/>
              </w:rPr>
              <w:t xml:space="preserve">y </w:t>
            </w:r>
            <w:r w:rsidRPr="005C6CA9">
              <w:rPr>
                <w:iCs/>
                <w:sz w:val="20"/>
                <w:szCs w:val="20"/>
              </w:rPr>
              <w:t>Wage Rate</w:t>
            </w:r>
          </w:p>
        </w:tc>
        <w:tc>
          <w:tcPr>
            <w:tcW w:w="1134" w:type="dxa"/>
            <w:shd w:val="clear" w:color="auto" w:fill="8EAADB" w:themeFill="accent1" w:themeFillTint="99"/>
            <w:vAlign w:val="center"/>
          </w:tcPr>
          <w:p w:rsidR="006C29C4" w:rsidRPr="005C6CA9" w:rsidP="004A22F3" w14:paraId="1EAD6C07" w14:textId="77777777">
            <w:pPr>
              <w:jc w:val="center"/>
              <w:rPr>
                <w:iCs/>
                <w:sz w:val="20"/>
                <w:szCs w:val="20"/>
              </w:rPr>
            </w:pPr>
            <w:r w:rsidRPr="005C6CA9">
              <w:rPr>
                <w:iCs/>
                <w:sz w:val="20"/>
                <w:szCs w:val="20"/>
              </w:rPr>
              <w:t>Benefit Multiplier</w:t>
            </w:r>
          </w:p>
        </w:tc>
        <w:tc>
          <w:tcPr>
            <w:tcW w:w="1182" w:type="dxa"/>
            <w:shd w:val="clear" w:color="auto" w:fill="8EAADB" w:themeFill="accent1" w:themeFillTint="99"/>
            <w:vAlign w:val="center"/>
          </w:tcPr>
          <w:p w:rsidR="006C29C4" w:rsidRPr="005C6CA9" w:rsidP="004A22F3" w14:paraId="7E15F8F1" w14:textId="77777777">
            <w:pPr>
              <w:jc w:val="center"/>
              <w:rPr>
                <w:iCs/>
                <w:sz w:val="20"/>
                <w:szCs w:val="20"/>
              </w:rPr>
            </w:pPr>
            <w:r w:rsidRPr="005C6CA9">
              <w:rPr>
                <w:iCs/>
                <w:sz w:val="20"/>
                <w:szCs w:val="20"/>
              </w:rPr>
              <w:t>Inflation Multiplier</w:t>
            </w:r>
          </w:p>
        </w:tc>
        <w:tc>
          <w:tcPr>
            <w:tcW w:w="1634" w:type="dxa"/>
            <w:shd w:val="clear" w:color="auto" w:fill="8EAADB" w:themeFill="accent1" w:themeFillTint="99"/>
            <w:vAlign w:val="center"/>
          </w:tcPr>
          <w:p w:rsidR="006C29C4" w:rsidRPr="005C6CA9" w:rsidP="004A22F3" w14:paraId="3B2CC1CA" w14:textId="707B7DE7">
            <w:pPr>
              <w:jc w:val="center"/>
              <w:rPr>
                <w:iCs/>
                <w:sz w:val="20"/>
                <w:szCs w:val="20"/>
              </w:rPr>
            </w:pPr>
            <w:r w:rsidRPr="005C6CA9">
              <w:rPr>
                <w:iCs/>
                <w:sz w:val="20"/>
                <w:szCs w:val="20"/>
              </w:rPr>
              <w:t>Overhead Cost Multiplier</w:t>
            </w:r>
          </w:p>
        </w:tc>
        <w:tc>
          <w:tcPr>
            <w:tcW w:w="1933" w:type="dxa"/>
            <w:shd w:val="clear" w:color="auto" w:fill="8EAADB" w:themeFill="accent1" w:themeFillTint="99"/>
            <w:vAlign w:val="center"/>
          </w:tcPr>
          <w:p w:rsidR="006C29C4" w:rsidRPr="005C6CA9" w:rsidP="004A22F3" w14:paraId="2BFC42CB" w14:textId="6C8B684A">
            <w:pPr>
              <w:jc w:val="center"/>
              <w:rPr>
                <w:iCs/>
                <w:sz w:val="20"/>
                <w:szCs w:val="20"/>
              </w:rPr>
            </w:pPr>
            <w:r w:rsidRPr="005C6CA9">
              <w:rPr>
                <w:iCs/>
                <w:sz w:val="20"/>
                <w:szCs w:val="20"/>
              </w:rPr>
              <w:t>Loaded Hourly Wage Rate</w:t>
            </w:r>
          </w:p>
        </w:tc>
      </w:tr>
      <w:tr w14:paraId="692A2EF1" w14:textId="77777777" w:rsidTr="007628FE">
        <w:tblPrEx>
          <w:tblW w:w="0" w:type="auto"/>
          <w:tblLook w:val="04A0"/>
        </w:tblPrEx>
        <w:tc>
          <w:tcPr>
            <w:tcW w:w="1567" w:type="dxa"/>
            <w:shd w:val="clear" w:color="auto" w:fill="8EAADB" w:themeFill="accent1" w:themeFillTint="99"/>
            <w:vAlign w:val="center"/>
          </w:tcPr>
          <w:p w:rsidR="009A3438" w:rsidRPr="005C6CA9" w:rsidP="004A22F3" w14:paraId="077030A5" w14:textId="77777777">
            <w:pPr>
              <w:jc w:val="center"/>
              <w:rPr>
                <w:iCs/>
                <w:sz w:val="20"/>
                <w:szCs w:val="20"/>
              </w:rPr>
            </w:pPr>
          </w:p>
        </w:tc>
        <w:tc>
          <w:tcPr>
            <w:tcW w:w="871" w:type="dxa"/>
            <w:shd w:val="clear" w:color="auto" w:fill="8EAADB" w:themeFill="accent1" w:themeFillTint="99"/>
            <w:vAlign w:val="center"/>
          </w:tcPr>
          <w:p w:rsidR="009A3438" w:rsidRPr="005C6CA9" w:rsidP="004A22F3" w14:paraId="7606DB2B" w14:textId="77777777">
            <w:pPr>
              <w:jc w:val="center"/>
              <w:rPr>
                <w:iCs/>
                <w:sz w:val="20"/>
                <w:szCs w:val="20"/>
              </w:rPr>
            </w:pPr>
          </w:p>
        </w:tc>
        <w:tc>
          <w:tcPr>
            <w:tcW w:w="1029" w:type="dxa"/>
            <w:shd w:val="clear" w:color="auto" w:fill="8EAADB" w:themeFill="accent1" w:themeFillTint="99"/>
          </w:tcPr>
          <w:p w:rsidR="009A3438" w:rsidRPr="005C6CA9" w:rsidP="004A22F3" w14:paraId="0012E76D" w14:textId="6E1F14B4">
            <w:pPr>
              <w:jc w:val="center"/>
              <w:rPr>
                <w:iCs/>
                <w:sz w:val="20"/>
                <w:szCs w:val="20"/>
              </w:rPr>
            </w:pPr>
            <w:r w:rsidRPr="005C6CA9">
              <w:rPr>
                <w:iCs/>
                <w:sz w:val="20"/>
                <w:szCs w:val="20"/>
              </w:rPr>
              <w:t>A</w:t>
            </w:r>
          </w:p>
        </w:tc>
        <w:tc>
          <w:tcPr>
            <w:tcW w:w="1134" w:type="dxa"/>
            <w:shd w:val="clear" w:color="auto" w:fill="8EAADB" w:themeFill="accent1" w:themeFillTint="99"/>
          </w:tcPr>
          <w:p w:rsidR="009A3438" w:rsidRPr="005C6CA9" w:rsidP="004A22F3" w14:paraId="7044FC2A" w14:textId="396A3CFF">
            <w:pPr>
              <w:jc w:val="center"/>
              <w:rPr>
                <w:iCs/>
                <w:sz w:val="20"/>
                <w:szCs w:val="20"/>
              </w:rPr>
            </w:pPr>
            <w:r w:rsidRPr="005C6CA9">
              <w:rPr>
                <w:iCs/>
                <w:sz w:val="20"/>
                <w:szCs w:val="20"/>
              </w:rPr>
              <w:t>B</w:t>
            </w:r>
          </w:p>
        </w:tc>
        <w:tc>
          <w:tcPr>
            <w:tcW w:w="1182" w:type="dxa"/>
            <w:shd w:val="clear" w:color="auto" w:fill="8EAADB" w:themeFill="accent1" w:themeFillTint="99"/>
          </w:tcPr>
          <w:p w:rsidR="009A3438" w:rsidRPr="005C6CA9" w:rsidP="004A22F3" w14:paraId="218AC09C" w14:textId="3BB2C300">
            <w:pPr>
              <w:jc w:val="center"/>
              <w:rPr>
                <w:iCs/>
                <w:sz w:val="20"/>
                <w:szCs w:val="20"/>
              </w:rPr>
            </w:pPr>
            <w:r w:rsidRPr="005C6CA9">
              <w:rPr>
                <w:iCs/>
                <w:sz w:val="20"/>
                <w:szCs w:val="20"/>
              </w:rPr>
              <w:t>C</w:t>
            </w:r>
          </w:p>
        </w:tc>
        <w:tc>
          <w:tcPr>
            <w:tcW w:w="1634" w:type="dxa"/>
            <w:shd w:val="clear" w:color="auto" w:fill="8EAADB" w:themeFill="accent1" w:themeFillTint="99"/>
          </w:tcPr>
          <w:p w:rsidR="009A3438" w:rsidRPr="005C6CA9" w:rsidP="004A22F3" w14:paraId="630BF0C5" w14:textId="53EFB1F6">
            <w:pPr>
              <w:jc w:val="center"/>
              <w:rPr>
                <w:iCs/>
                <w:sz w:val="20"/>
                <w:szCs w:val="20"/>
              </w:rPr>
            </w:pPr>
            <w:r w:rsidRPr="005C6CA9">
              <w:rPr>
                <w:iCs/>
                <w:sz w:val="20"/>
                <w:szCs w:val="20"/>
              </w:rPr>
              <w:t>D</w:t>
            </w:r>
          </w:p>
        </w:tc>
        <w:tc>
          <w:tcPr>
            <w:tcW w:w="1933" w:type="dxa"/>
            <w:shd w:val="clear" w:color="auto" w:fill="8EAADB" w:themeFill="accent1" w:themeFillTint="99"/>
          </w:tcPr>
          <w:p w:rsidR="009A3438" w:rsidRPr="005C6CA9" w:rsidP="004A22F3" w14:paraId="5C209613" w14:textId="2D8B17D7">
            <w:pPr>
              <w:jc w:val="center"/>
              <w:rPr>
                <w:iCs/>
                <w:sz w:val="20"/>
                <w:szCs w:val="20"/>
              </w:rPr>
            </w:pPr>
            <w:r w:rsidRPr="005C6CA9">
              <w:rPr>
                <w:iCs/>
                <w:sz w:val="20"/>
                <w:szCs w:val="20"/>
              </w:rPr>
              <w:t>A x B x C x D</w:t>
            </w:r>
          </w:p>
        </w:tc>
      </w:tr>
      <w:tr w14:paraId="4E50488C" w14:textId="77777777" w:rsidTr="007628FE">
        <w:tblPrEx>
          <w:tblW w:w="0" w:type="auto"/>
          <w:tblLook w:val="04A0"/>
        </w:tblPrEx>
        <w:tc>
          <w:tcPr>
            <w:tcW w:w="1567" w:type="dxa"/>
            <w:vAlign w:val="center"/>
          </w:tcPr>
          <w:p w:rsidR="009A3438" w:rsidRPr="005C6CA9" w:rsidP="004A22F3" w14:paraId="66681741" w14:textId="1C5F1DED">
            <w:pPr>
              <w:rPr>
                <w:iCs/>
                <w:sz w:val="20"/>
                <w:szCs w:val="20"/>
              </w:rPr>
            </w:pPr>
            <w:r w:rsidRPr="005C6CA9">
              <w:rPr>
                <w:iCs/>
                <w:sz w:val="20"/>
                <w:szCs w:val="20"/>
              </w:rPr>
              <w:t>Mining Supervisor [a]</w:t>
            </w:r>
          </w:p>
        </w:tc>
        <w:tc>
          <w:tcPr>
            <w:tcW w:w="871" w:type="dxa"/>
            <w:vAlign w:val="center"/>
          </w:tcPr>
          <w:p w:rsidR="009A3438" w:rsidRPr="005C6CA9" w:rsidP="004A22F3" w14:paraId="4250FD8B" w14:textId="7CD50D81">
            <w:pPr>
              <w:jc w:val="center"/>
              <w:rPr>
                <w:iCs/>
                <w:sz w:val="20"/>
                <w:szCs w:val="20"/>
              </w:rPr>
            </w:pPr>
            <w:r>
              <w:rPr>
                <w:iCs/>
                <w:sz w:val="20"/>
                <w:szCs w:val="20"/>
              </w:rPr>
              <w:t>212100</w:t>
            </w:r>
          </w:p>
        </w:tc>
        <w:tc>
          <w:tcPr>
            <w:tcW w:w="1029" w:type="dxa"/>
            <w:vAlign w:val="center"/>
          </w:tcPr>
          <w:p w:rsidR="009A3438" w:rsidRPr="005C6CA9" w:rsidP="004A22F3" w14:paraId="381B8AAC" w14:textId="2427236B">
            <w:pPr>
              <w:jc w:val="center"/>
              <w:rPr>
                <w:iCs/>
                <w:sz w:val="20"/>
                <w:szCs w:val="20"/>
              </w:rPr>
            </w:pPr>
            <w:r w:rsidRPr="005C6CA9">
              <w:rPr>
                <w:iCs/>
                <w:sz w:val="20"/>
                <w:szCs w:val="20"/>
              </w:rPr>
              <w:t>$</w:t>
            </w:r>
            <w:r w:rsidR="005A7308">
              <w:rPr>
                <w:iCs/>
                <w:sz w:val="20"/>
                <w:szCs w:val="20"/>
              </w:rPr>
              <w:t>55.10</w:t>
            </w:r>
          </w:p>
        </w:tc>
        <w:tc>
          <w:tcPr>
            <w:tcW w:w="1134" w:type="dxa"/>
            <w:vAlign w:val="center"/>
          </w:tcPr>
          <w:p w:rsidR="009A3438" w:rsidRPr="005C6CA9" w:rsidP="004A22F3" w14:paraId="13A3C5C6" w14:textId="1D0BF111">
            <w:pPr>
              <w:jc w:val="center"/>
              <w:rPr>
                <w:iCs/>
                <w:sz w:val="20"/>
                <w:szCs w:val="20"/>
              </w:rPr>
            </w:pPr>
            <w:r w:rsidRPr="005C6CA9">
              <w:rPr>
                <w:iCs/>
                <w:sz w:val="20"/>
                <w:szCs w:val="20"/>
              </w:rPr>
              <w:t>1.4</w:t>
            </w:r>
            <w:r w:rsidRPr="005C6CA9" w:rsidR="00C9513A">
              <w:rPr>
                <w:iCs/>
                <w:sz w:val="20"/>
                <w:szCs w:val="20"/>
              </w:rPr>
              <w:t>5</w:t>
            </w:r>
            <w:r w:rsidRPr="005C6CA9" w:rsidR="00DC2CAF">
              <w:rPr>
                <w:iCs/>
                <w:sz w:val="20"/>
                <w:szCs w:val="20"/>
              </w:rPr>
              <w:t>3</w:t>
            </w:r>
          </w:p>
        </w:tc>
        <w:tc>
          <w:tcPr>
            <w:tcW w:w="1182" w:type="dxa"/>
            <w:vAlign w:val="center"/>
          </w:tcPr>
          <w:p w:rsidR="009A3438" w:rsidRPr="005C6CA9" w:rsidP="004A22F3" w14:paraId="0CE6F5E1" w14:textId="6E2BE85F">
            <w:pPr>
              <w:jc w:val="center"/>
              <w:rPr>
                <w:iCs/>
                <w:sz w:val="20"/>
                <w:szCs w:val="20"/>
              </w:rPr>
            </w:pPr>
            <w:r w:rsidRPr="005C6CA9">
              <w:rPr>
                <w:iCs/>
                <w:sz w:val="20"/>
                <w:szCs w:val="20"/>
              </w:rPr>
              <w:t>1.0</w:t>
            </w:r>
            <w:r w:rsidRPr="005C6CA9" w:rsidR="00B16B53">
              <w:rPr>
                <w:iCs/>
                <w:sz w:val="20"/>
                <w:szCs w:val="20"/>
              </w:rPr>
              <w:t>22</w:t>
            </w:r>
          </w:p>
        </w:tc>
        <w:tc>
          <w:tcPr>
            <w:tcW w:w="1634" w:type="dxa"/>
            <w:vAlign w:val="center"/>
          </w:tcPr>
          <w:p w:rsidR="009A3438" w:rsidRPr="005C6CA9" w:rsidP="004A22F3" w14:paraId="5EA137E5" w14:textId="0AD5A600">
            <w:pPr>
              <w:jc w:val="center"/>
              <w:rPr>
                <w:iCs/>
                <w:sz w:val="20"/>
                <w:szCs w:val="20"/>
              </w:rPr>
            </w:pPr>
            <w:r w:rsidRPr="005C6CA9">
              <w:rPr>
                <w:iCs/>
                <w:sz w:val="20"/>
                <w:szCs w:val="20"/>
              </w:rPr>
              <w:t>1.</w:t>
            </w:r>
            <w:r w:rsidRPr="005C6CA9" w:rsidR="00883AE8">
              <w:rPr>
                <w:iCs/>
                <w:sz w:val="20"/>
                <w:szCs w:val="20"/>
              </w:rPr>
              <w:t>01</w:t>
            </w:r>
          </w:p>
        </w:tc>
        <w:tc>
          <w:tcPr>
            <w:tcW w:w="1933" w:type="dxa"/>
            <w:vAlign w:val="center"/>
          </w:tcPr>
          <w:p w:rsidR="009A3438" w:rsidRPr="005C6CA9" w:rsidP="004A22F3" w14:paraId="13736E04" w14:textId="36114F31">
            <w:pPr>
              <w:jc w:val="center"/>
              <w:rPr>
                <w:iCs/>
                <w:sz w:val="20"/>
                <w:szCs w:val="20"/>
              </w:rPr>
            </w:pPr>
            <w:r w:rsidRPr="005C6CA9">
              <w:rPr>
                <w:iCs/>
                <w:sz w:val="20"/>
                <w:szCs w:val="20"/>
              </w:rPr>
              <w:t>$</w:t>
            </w:r>
            <w:r w:rsidR="005A7308">
              <w:rPr>
                <w:iCs/>
                <w:sz w:val="20"/>
                <w:szCs w:val="20"/>
              </w:rPr>
              <w:t>82.63</w:t>
            </w:r>
          </w:p>
        </w:tc>
      </w:tr>
      <w:tr w14:paraId="2219170D" w14:textId="77777777" w:rsidTr="006134B7">
        <w:tblPrEx>
          <w:tblW w:w="0" w:type="auto"/>
          <w:tblLook w:val="04A0"/>
        </w:tblPrEx>
        <w:tc>
          <w:tcPr>
            <w:tcW w:w="1567" w:type="dxa"/>
            <w:vAlign w:val="bottom"/>
          </w:tcPr>
          <w:p w:rsidR="00801EFD" w:rsidRPr="005C6CA9" w:rsidP="00801EFD" w14:paraId="2A1D656D" w14:textId="46C1A9C3">
            <w:pPr>
              <w:rPr>
                <w:iCs/>
                <w:sz w:val="20"/>
                <w:szCs w:val="20"/>
              </w:rPr>
            </w:pPr>
            <w:r>
              <w:rPr>
                <w:color w:val="000000"/>
                <w:sz w:val="20"/>
                <w:szCs w:val="20"/>
              </w:rPr>
              <w:t>Clerk [b]</w:t>
            </w:r>
          </w:p>
        </w:tc>
        <w:tc>
          <w:tcPr>
            <w:tcW w:w="871" w:type="dxa"/>
            <w:vAlign w:val="bottom"/>
          </w:tcPr>
          <w:p w:rsidR="00801EFD" w:rsidP="00801EFD" w14:paraId="44C8DD84" w14:textId="4FD01240">
            <w:pPr>
              <w:jc w:val="center"/>
              <w:rPr>
                <w:iCs/>
                <w:sz w:val="20"/>
                <w:szCs w:val="20"/>
              </w:rPr>
            </w:pPr>
            <w:r>
              <w:rPr>
                <w:color w:val="000000"/>
                <w:sz w:val="20"/>
                <w:szCs w:val="20"/>
              </w:rPr>
              <w:t>212100</w:t>
            </w:r>
          </w:p>
        </w:tc>
        <w:tc>
          <w:tcPr>
            <w:tcW w:w="1029" w:type="dxa"/>
            <w:vAlign w:val="bottom"/>
          </w:tcPr>
          <w:p w:rsidR="00801EFD" w:rsidRPr="005C6CA9" w:rsidP="00801EFD" w14:paraId="68E6DF67" w14:textId="7C591217">
            <w:pPr>
              <w:jc w:val="center"/>
              <w:rPr>
                <w:iCs/>
                <w:sz w:val="20"/>
                <w:szCs w:val="20"/>
              </w:rPr>
            </w:pPr>
            <w:r>
              <w:rPr>
                <w:color w:val="000000"/>
                <w:sz w:val="20"/>
                <w:szCs w:val="20"/>
              </w:rPr>
              <w:t xml:space="preserve">$25.63 </w:t>
            </w:r>
          </w:p>
        </w:tc>
        <w:tc>
          <w:tcPr>
            <w:tcW w:w="1134" w:type="dxa"/>
            <w:vAlign w:val="bottom"/>
          </w:tcPr>
          <w:p w:rsidR="00801EFD" w:rsidRPr="005C6CA9" w:rsidP="00801EFD" w14:paraId="7C155312" w14:textId="0017EB54">
            <w:pPr>
              <w:jc w:val="center"/>
              <w:rPr>
                <w:iCs/>
                <w:sz w:val="20"/>
                <w:szCs w:val="20"/>
              </w:rPr>
            </w:pPr>
            <w:r>
              <w:rPr>
                <w:color w:val="000000"/>
                <w:sz w:val="20"/>
                <w:szCs w:val="20"/>
              </w:rPr>
              <w:t>1.453</w:t>
            </w:r>
          </w:p>
        </w:tc>
        <w:tc>
          <w:tcPr>
            <w:tcW w:w="1182" w:type="dxa"/>
            <w:vAlign w:val="bottom"/>
          </w:tcPr>
          <w:p w:rsidR="00801EFD" w:rsidRPr="005C6CA9" w:rsidP="00801EFD" w14:paraId="5920E5E1" w14:textId="30ABA971">
            <w:pPr>
              <w:jc w:val="center"/>
              <w:rPr>
                <w:iCs/>
                <w:sz w:val="20"/>
                <w:szCs w:val="20"/>
              </w:rPr>
            </w:pPr>
            <w:r>
              <w:rPr>
                <w:color w:val="000000"/>
                <w:sz w:val="20"/>
                <w:szCs w:val="20"/>
              </w:rPr>
              <w:t>1.022</w:t>
            </w:r>
          </w:p>
        </w:tc>
        <w:tc>
          <w:tcPr>
            <w:tcW w:w="1634" w:type="dxa"/>
            <w:vAlign w:val="bottom"/>
          </w:tcPr>
          <w:p w:rsidR="00801EFD" w:rsidRPr="005C6CA9" w:rsidP="00801EFD" w14:paraId="5E1FCAD1" w14:textId="4490292C">
            <w:pPr>
              <w:jc w:val="center"/>
              <w:rPr>
                <w:iCs/>
                <w:sz w:val="20"/>
                <w:szCs w:val="20"/>
              </w:rPr>
            </w:pPr>
            <w:r>
              <w:rPr>
                <w:color w:val="000000"/>
                <w:sz w:val="20"/>
                <w:szCs w:val="20"/>
              </w:rPr>
              <w:t>1.01</w:t>
            </w:r>
          </w:p>
        </w:tc>
        <w:tc>
          <w:tcPr>
            <w:tcW w:w="1933" w:type="dxa"/>
            <w:vAlign w:val="bottom"/>
          </w:tcPr>
          <w:p w:rsidR="00801EFD" w:rsidRPr="005C6CA9" w:rsidP="00801EFD" w14:paraId="04B4AB37" w14:textId="69884B48">
            <w:pPr>
              <w:jc w:val="center"/>
              <w:rPr>
                <w:iCs/>
                <w:sz w:val="20"/>
                <w:szCs w:val="20"/>
              </w:rPr>
            </w:pPr>
            <w:r>
              <w:rPr>
                <w:color w:val="000000"/>
                <w:sz w:val="20"/>
                <w:szCs w:val="20"/>
              </w:rPr>
              <w:t xml:space="preserve">$38.44 </w:t>
            </w:r>
          </w:p>
        </w:tc>
      </w:tr>
    </w:tbl>
    <w:p w:rsidR="008C1F83" w:rsidRPr="005C6CA9" w:rsidP="004A22F3" w14:paraId="7E422526" w14:textId="77777777">
      <w:pPr>
        <w:pStyle w:val="Default"/>
        <w:rPr>
          <w:rFonts w:ascii="Times New Roman" w:hAnsi="Times New Roman" w:cs="Times New Roman"/>
          <w:sz w:val="20"/>
          <w:szCs w:val="20"/>
        </w:rPr>
      </w:pPr>
      <w:bookmarkStart w:id="26" w:name="_Hlk114568297"/>
      <w:r w:rsidRPr="005C6CA9">
        <w:rPr>
          <w:rFonts w:ascii="Times New Roman" w:hAnsi="Times New Roman" w:cs="Times New Roman"/>
          <w:sz w:val="20"/>
          <w:szCs w:val="20"/>
        </w:rPr>
        <w:t xml:space="preserve">Notes: </w:t>
      </w:r>
    </w:p>
    <w:p w:rsidR="008C1F83" w:rsidRPr="005A7308" w:rsidP="004A22F3" w14:paraId="1B810AB0" w14:textId="2D8761EE">
      <w:pPr>
        <w:pStyle w:val="Default"/>
        <w:rPr>
          <w:rFonts w:ascii="Times New Roman" w:hAnsi="Times New Roman" w:cs="Times New Roman"/>
          <w:sz w:val="20"/>
          <w:szCs w:val="20"/>
        </w:rPr>
      </w:pPr>
      <w:r w:rsidRPr="005C6CA9">
        <w:rPr>
          <w:rFonts w:ascii="Times New Roman" w:hAnsi="Times New Roman" w:cs="Times New Roman"/>
          <w:sz w:val="20"/>
          <w:szCs w:val="20"/>
        </w:rPr>
        <w:t xml:space="preserve">Benefit Multiplier – </w:t>
      </w:r>
      <w:r w:rsidRPr="005C6CA9" w:rsidR="00B227F0">
        <w:rPr>
          <w:rFonts w:ascii="Times New Roman" w:hAnsi="Times New Roman" w:cs="Times New Roman"/>
          <w:sz w:val="20"/>
          <w:szCs w:val="20"/>
        </w:rPr>
        <w:t>MSHA use</w:t>
      </w:r>
      <w:r w:rsidRPr="005C6CA9" w:rsidR="0045114A">
        <w:rPr>
          <w:rFonts w:ascii="Times New Roman" w:hAnsi="Times New Roman" w:cs="Times New Roman"/>
          <w:sz w:val="20"/>
          <w:szCs w:val="20"/>
        </w:rPr>
        <w:t>s</w:t>
      </w:r>
      <w:r w:rsidRPr="005C6CA9" w:rsidR="00B227F0">
        <w:rPr>
          <w:rFonts w:ascii="Times New Roman" w:hAnsi="Times New Roman" w:cs="Times New Roman"/>
          <w:sz w:val="20"/>
          <w:szCs w:val="20"/>
        </w:rPr>
        <w:t xml:space="preserve"> the latest 4-quarter moving average </w:t>
      </w:r>
      <w:r w:rsidRPr="005A7308" w:rsidR="00B227F0">
        <w:rPr>
          <w:rFonts w:ascii="Times New Roman" w:hAnsi="Times New Roman" w:cs="Times New Roman"/>
          <w:sz w:val="20"/>
          <w:szCs w:val="20"/>
        </w:rPr>
        <w:t>202</w:t>
      </w:r>
      <w:r w:rsidRPr="005A7308" w:rsidR="00DC2CAF">
        <w:rPr>
          <w:rFonts w:ascii="Times New Roman" w:hAnsi="Times New Roman" w:cs="Times New Roman"/>
          <w:sz w:val="20"/>
          <w:szCs w:val="20"/>
        </w:rPr>
        <w:t>4</w:t>
      </w:r>
      <w:r w:rsidRPr="005A7308" w:rsidR="00B227F0">
        <w:rPr>
          <w:rFonts w:ascii="Times New Roman" w:hAnsi="Times New Roman" w:cs="Times New Roman"/>
          <w:sz w:val="20"/>
          <w:szCs w:val="20"/>
        </w:rPr>
        <w:t>Q</w:t>
      </w:r>
      <w:r w:rsidRPr="005A7308" w:rsidR="00DC2CAF">
        <w:rPr>
          <w:rFonts w:ascii="Times New Roman" w:hAnsi="Times New Roman" w:cs="Times New Roman"/>
          <w:sz w:val="20"/>
          <w:szCs w:val="20"/>
        </w:rPr>
        <w:t>1</w:t>
      </w:r>
      <w:r w:rsidRPr="005A7308" w:rsidR="00B227F0">
        <w:rPr>
          <w:rFonts w:ascii="Times New Roman" w:hAnsi="Times New Roman" w:cs="Times New Roman"/>
          <w:sz w:val="20"/>
          <w:szCs w:val="20"/>
        </w:rPr>
        <w:t>-</w:t>
      </w:r>
      <w:r w:rsidRPr="00D141DD" w:rsidR="00B227F0">
        <w:rPr>
          <w:rFonts w:ascii="Times New Roman" w:hAnsi="Times New Roman" w:cs="Times New Roman"/>
          <w:sz w:val="20"/>
          <w:szCs w:val="20"/>
        </w:rPr>
        <w:t>202</w:t>
      </w:r>
      <w:r w:rsidRPr="00D141DD" w:rsidR="00EC1441">
        <w:rPr>
          <w:rFonts w:ascii="Times New Roman" w:hAnsi="Times New Roman" w:cs="Times New Roman"/>
          <w:sz w:val="20"/>
          <w:szCs w:val="20"/>
        </w:rPr>
        <w:t>4</w:t>
      </w:r>
      <w:r w:rsidRPr="00D141DD" w:rsidR="00B227F0">
        <w:rPr>
          <w:rFonts w:ascii="Times New Roman" w:hAnsi="Times New Roman" w:cs="Times New Roman"/>
          <w:sz w:val="20"/>
          <w:szCs w:val="20"/>
        </w:rPr>
        <w:t>Q</w:t>
      </w:r>
      <w:r w:rsidRPr="00D141DD" w:rsidR="00DC2CAF">
        <w:rPr>
          <w:rFonts w:ascii="Times New Roman" w:hAnsi="Times New Roman" w:cs="Times New Roman"/>
          <w:sz w:val="20"/>
          <w:szCs w:val="20"/>
        </w:rPr>
        <w:t>4</w:t>
      </w:r>
      <w:r w:rsidRPr="005A7308" w:rsidR="00B227F0">
        <w:rPr>
          <w:rFonts w:ascii="Times New Roman" w:hAnsi="Times New Roman" w:cs="Times New Roman"/>
          <w:sz w:val="20"/>
          <w:szCs w:val="20"/>
        </w:rPr>
        <w:t xml:space="preserve"> to determine that 3</w:t>
      </w:r>
      <w:r w:rsidR="00343E92">
        <w:rPr>
          <w:rFonts w:ascii="Times New Roman" w:hAnsi="Times New Roman" w:cs="Times New Roman"/>
          <w:sz w:val="20"/>
          <w:szCs w:val="20"/>
        </w:rPr>
        <w:t>1.2</w:t>
      </w:r>
      <w:r w:rsidRPr="005A7308" w:rsidR="00B227F0">
        <w:rPr>
          <w:rFonts w:ascii="Times New Roman" w:hAnsi="Times New Roman" w:cs="Times New Roman"/>
          <w:sz w:val="20"/>
          <w:szCs w:val="20"/>
        </w:rPr>
        <w:t xml:space="preserve"> percent of total loaded wages are benefits for private industry workers in construction, extraction, farming, fishing, and </w:t>
      </w:r>
      <w:r w:rsidRPr="005A7308" w:rsidR="00B227F0">
        <w:rPr>
          <w:rFonts w:ascii="Times New Roman" w:hAnsi="Times New Roman" w:cs="Times New Roman"/>
          <w:sz w:val="20"/>
          <w:szCs w:val="20"/>
        </w:rPr>
        <w:t>forestry occupations. The benefit multiplier is 1.4</w:t>
      </w:r>
      <w:r w:rsidRPr="005A7308" w:rsidR="00C9513A">
        <w:rPr>
          <w:rFonts w:ascii="Times New Roman" w:hAnsi="Times New Roman" w:cs="Times New Roman"/>
          <w:sz w:val="20"/>
          <w:szCs w:val="20"/>
        </w:rPr>
        <w:t>5</w:t>
      </w:r>
      <w:r w:rsidRPr="005A7308" w:rsidR="00BC2748">
        <w:rPr>
          <w:rFonts w:ascii="Times New Roman" w:hAnsi="Times New Roman" w:cs="Times New Roman"/>
          <w:sz w:val="20"/>
          <w:szCs w:val="20"/>
        </w:rPr>
        <w:t>3</w:t>
      </w:r>
      <w:r w:rsidRPr="005A7308" w:rsidR="00D60D9E">
        <w:rPr>
          <w:rFonts w:ascii="Times New Roman" w:hAnsi="Times New Roman" w:cs="Times New Roman"/>
          <w:sz w:val="20"/>
          <w:szCs w:val="20"/>
        </w:rPr>
        <w:t xml:space="preserve"> </w:t>
      </w:r>
      <w:r w:rsidRPr="005A7308" w:rsidR="00B227F0">
        <w:rPr>
          <w:rFonts w:ascii="Times New Roman" w:hAnsi="Times New Roman" w:cs="Times New Roman"/>
          <w:sz w:val="20"/>
          <w:szCs w:val="20"/>
        </w:rPr>
        <w:t>= 1+(0.3</w:t>
      </w:r>
      <w:r w:rsidR="00343E92">
        <w:rPr>
          <w:rFonts w:ascii="Times New Roman" w:hAnsi="Times New Roman" w:cs="Times New Roman"/>
          <w:sz w:val="20"/>
          <w:szCs w:val="20"/>
        </w:rPr>
        <w:t>12</w:t>
      </w:r>
      <w:r w:rsidRPr="005A7308" w:rsidR="00B227F0">
        <w:rPr>
          <w:rFonts w:ascii="Times New Roman" w:hAnsi="Times New Roman" w:cs="Times New Roman"/>
          <w:sz w:val="20"/>
          <w:szCs w:val="20"/>
        </w:rPr>
        <w:t>/(1-0.3</w:t>
      </w:r>
      <w:r w:rsidR="00343E92">
        <w:rPr>
          <w:rFonts w:ascii="Times New Roman" w:hAnsi="Times New Roman" w:cs="Times New Roman"/>
          <w:sz w:val="20"/>
          <w:szCs w:val="20"/>
        </w:rPr>
        <w:t>12</w:t>
      </w:r>
      <w:r w:rsidRPr="005A7308" w:rsidR="00B227F0">
        <w:rPr>
          <w:rFonts w:ascii="Times New Roman" w:hAnsi="Times New Roman" w:cs="Times New Roman"/>
          <w:sz w:val="20"/>
          <w:szCs w:val="20"/>
        </w:rPr>
        <w:t xml:space="preserve">)). </w:t>
      </w:r>
    </w:p>
    <w:p w:rsidR="008C1F83" w:rsidRPr="005C6CA9" w:rsidP="004A22F3" w14:paraId="73F07397" w14:textId="40A6AF44">
      <w:pPr>
        <w:pStyle w:val="Default"/>
        <w:rPr>
          <w:rFonts w:ascii="Times New Roman" w:hAnsi="Times New Roman" w:cs="Times New Roman"/>
          <w:sz w:val="20"/>
          <w:szCs w:val="20"/>
        </w:rPr>
      </w:pPr>
      <w:r w:rsidRPr="005A7308">
        <w:rPr>
          <w:rFonts w:ascii="Times New Roman" w:hAnsi="Times New Roman" w:cs="Times New Roman"/>
          <w:sz w:val="20"/>
          <w:szCs w:val="20"/>
        </w:rPr>
        <w:t xml:space="preserve">Inflation Multiplier – </w:t>
      </w:r>
      <w:r w:rsidRPr="005A7308" w:rsidR="00B227F0">
        <w:rPr>
          <w:rFonts w:ascii="Times New Roman" w:hAnsi="Times New Roman" w:cs="Times New Roman"/>
          <w:sz w:val="20"/>
          <w:szCs w:val="20"/>
        </w:rPr>
        <w:t xml:space="preserve">The inflation multiplier </w:t>
      </w:r>
      <w:r w:rsidRPr="005A7308" w:rsidR="0045114A">
        <w:rPr>
          <w:rFonts w:ascii="Times New Roman" w:hAnsi="Times New Roman" w:cs="Times New Roman"/>
          <w:sz w:val="20"/>
          <w:szCs w:val="20"/>
        </w:rPr>
        <w:t>i</w:t>
      </w:r>
      <w:r w:rsidRPr="005A7308" w:rsidR="00B227F0">
        <w:rPr>
          <w:rFonts w:ascii="Times New Roman" w:hAnsi="Times New Roman" w:cs="Times New Roman"/>
          <w:sz w:val="20"/>
          <w:szCs w:val="20"/>
        </w:rPr>
        <w:t xml:space="preserve">s determined by using the employment price index from the most current quarter, </w:t>
      </w:r>
      <w:r w:rsidRPr="00E13ED7" w:rsidR="00B227F0">
        <w:rPr>
          <w:rFonts w:ascii="Times New Roman" w:hAnsi="Times New Roman" w:cs="Times New Roman"/>
          <w:sz w:val="20"/>
          <w:szCs w:val="20"/>
        </w:rPr>
        <w:t>202</w:t>
      </w:r>
      <w:r w:rsidRPr="00E13ED7" w:rsidR="00EC1441">
        <w:rPr>
          <w:rFonts w:ascii="Times New Roman" w:hAnsi="Times New Roman" w:cs="Times New Roman"/>
          <w:sz w:val="20"/>
          <w:szCs w:val="20"/>
        </w:rPr>
        <w:t>4</w:t>
      </w:r>
      <w:r w:rsidRPr="00E13ED7" w:rsidR="00B227F0">
        <w:rPr>
          <w:rFonts w:ascii="Times New Roman" w:hAnsi="Times New Roman" w:cs="Times New Roman"/>
          <w:sz w:val="20"/>
          <w:szCs w:val="20"/>
        </w:rPr>
        <w:t>Q</w:t>
      </w:r>
      <w:r w:rsidRPr="00E13ED7" w:rsidR="00DC2CAF">
        <w:rPr>
          <w:rFonts w:ascii="Times New Roman" w:hAnsi="Times New Roman" w:cs="Times New Roman"/>
          <w:sz w:val="20"/>
          <w:szCs w:val="20"/>
        </w:rPr>
        <w:t>4</w:t>
      </w:r>
      <w:r w:rsidRPr="005A7308" w:rsidR="00B227F0">
        <w:rPr>
          <w:rFonts w:ascii="Times New Roman" w:hAnsi="Times New Roman" w:cs="Times New Roman"/>
          <w:sz w:val="20"/>
          <w:szCs w:val="20"/>
        </w:rPr>
        <w:t>, div</w:t>
      </w:r>
      <w:r w:rsidRPr="005C6CA9" w:rsidR="00B227F0">
        <w:rPr>
          <w:rFonts w:ascii="Times New Roman" w:hAnsi="Times New Roman" w:cs="Times New Roman"/>
          <w:sz w:val="20"/>
          <w:szCs w:val="20"/>
        </w:rPr>
        <w:t>ided by the base year and quarter of the OEWS employment and wage statistics, 20</w:t>
      </w:r>
      <w:r w:rsidRPr="005C6CA9" w:rsidR="009A3438">
        <w:rPr>
          <w:rFonts w:ascii="Times New Roman" w:hAnsi="Times New Roman" w:cs="Times New Roman"/>
          <w:sz w:val="20"/>
          <w:szCs w:val="20"/>
        </w:rPr>
        <w:t>2</w:t>
      </w:r>
      <w:r w:rsidRPr="005C6CA9" w:rsidR="00B16B53">
        <w:rPr>
          <w:rFonts w:ascii="Times New Roman" w:hAnsi="Times New Roman" w:cs="Times New Roman"/>
          <w:sz w:val="20"/>
          <w:szCs w:val="20"/>
        </w:rPr>
        <w:t>4</w:t>
      </w:r>
      <w:r w:rsidRPr="005C6CA9" w:rsidR="00B227F0">
        <w:rPr>
          <w:rFonts w:ascii="Times New Roman" w:hAnsi="Times New Roman" w:cs="Times New Roman"/>
          <w:sz w:val="20"/>
          <w:szCs w:val="20"/>
        </w:rPr>
        <w:t>Q2, for private industry workers in construction, extraction, farming, fishing, and forestry occupations, current dollar index. The inflation multiplier is 1.0</w:t>
      </w:r>
      <w:r w:rsidRPr="005C6CA9" w:rsidR="00B16B53">
        <w:rPr>
          <w:rFonts w:ascii="Times New Roman" w:hAnsi="Times New Roman" w:cs="Times New Roman"/>
          <w:sz w:val="20"/>
          <w:szCs w:val="20"/>
        </w:rPr>
        <w:t>22</w:t>
      </w:r>
      <w:r w:rsidRPr="005C6CA9" w:rsidR="00B227F0">
        <w:rPr>
          <w:rFonts w:ascii="Times New Roman" w:hAnsi="Times New Roman" w:cs="Times New Roman"/>
          <w:sz w:val="20"/>
          <w:szCs w:val="20"/>
        </w:rPr>
        <w:t xml:space="preserve"> = </w:t>
      </w:r>
      <w:r w:rsidRPr="005C6CA9" w:rsidR="009A3438">
        <w:rPr>
          <w:rFonts w:ascii="Times New Roman" w:hAnsi="Times New Roman" w:cs="Times New Roman"/>
          <w:sz w:val="20"/>
          <w:szCs w:val="20"/>
        </w:rPr>
        <w:t>16</w:t>
      </w:r>
      <w:r w:rsidRPr="005C6CA9" w:rsidR="00DC2CAF">
        <w:rPr>
          <w:rFonts w:ascii="Times New Roman" w:hAnsi="Times New Roman" w:cs="Times New Roman"/>
          <w:sz w:val="20"/>
          <w:szCs w:val="20"/>
        </w:rPr>
        <w:t>6.7</w:t>
      </w:r>
      <w:r w:rsidRPr="005C6CA9" w:rsidR="00B227F0">
        <w:rPr>
          <w:rFonts w:ascii="Times New Roman" w:hAnsi="Times New Roman" w:cs="Times New Roman"/>
          <w:sz w:val="20"/>
          <w:szCs w:val="20"/>
        </w:rPr>
        <w:t>/</w:t>
      </w:r>
      <w:r w:rsidRPr="005C6CA9" w:rsidR="009A3438">
        <w:rPr>
          <w:rFonts w:ascii="Times New Roman" w:hAnsi="Times New Roman" w:cs="Times New Roman"/>
          <w:sz w:val="20"/>
          <w:szCs w:val="20"/>
        </w:rPr>
        <w:t>1</w:t>
      </w:r>
      <w:r w:rsidRPr="005C6CA9" w:rsidR="00B16B53">
        <w:rPr>
          <w:rFonts w:ascii="Times New Roman" w:hAnsi="Times New Roman" w:cs="Times New Roman"/>
          <w:sz w:val="20"/>
          <w:szCs w:val="20"/>
        </w:rPr>
        <w:t>63.1</w:t>
      </w:r>
      <w:r w:rsidRPr="005C6CA9" w:rsidR="00B227F0">
        <w:rPr>
          <w:rFonts w:ascii="Times New Roman" w:hAnsi="Times New Roman" w:cs="Times New Roman"/>
          <w:sz w:val="20"/>
          <w:szCs w:val="20"/>
        </w:rPr>
        <w:t xml:space="preserve">. </w:t>
      </w:r>
    </w:p>
    <w:p w:rsidR="00B227F0" w:rsidRPr="005C6CA9" w:rsidP="004A22F3" w14:paraId="79FBD567" w14:textId="662A61F9">
      <w:pPr>
        <w:pStyle w:val="Default"/>
        <w:rPr>
          <w:rFonts w:ascii="Times New Roman" w:hAnsi="Times New Roman" w:cs="Times New Roman"/>
          <w:sz w:val="20"/>
          <w:szCs w:val="20"/>
        </w:rPr>
      </w:pPr>
      <w:bookmarkStart w:id="27" w:name="_Hlk190781081"/>
      <w:r w:rsidRPr="005C6CA9">
        <w:rPr>
          <w:rFonts w:ascii="Times New Roman" w:hAnsi="Times New Roman" w:cs="Times New Roman"/>
          <w:sz w:val="20"/>
          <w:szCs w:val="20"/>
        </w:rPr>
        <w:t>Overhead Multiplier – MSHA use</w:t>
      </w:r>
      <w:r w:rsidRPr="005C6CA9" w:rsidR="0045114A">
        <w:rPr>
          <w:rFonts w:ascii="Times New Roman" w:hAnsi="Times New Roman" w:cs="Times New Roman"/>
          <w:sz w:val="20"/>
          <w:szCs w:val="20"/>
        </w:rPr>
        <w:t>s</w:t>
      </w:r>
      <w:r w:rsidRPr="005C6CA9">
        <w:rPr>
          <w:rFonts w:ascii="Times New Roman" w:hAnsi="Times New Roman" w:cs="Times New Roman"/>
          <w:sz w:val="20"/>
          <w:szCs w:val="20"/>
        </w:rPr>
        <w:t xml:space="preserve"> the overhead multiplier of 1.</w:t>
      </w:r>
      <w:r w:rsidRPr="005C6CA9" w:rsidR="00F430D7">
        <w:rPr>
          <w:rFonts w:ascii="Times New Roman" w:hAnsi="Times New Roman" w:cs="Times New Roman"/>
          <w:sz w:val="20"/>
          <w:szCs w:val="20"/>
        </w:rPr>
        <w:t>01</w:t>
      </w:r>
      <w:r w:rsidRPr="005C6CA9">
        <w:rPr>
          <w:rFonts w:ascii="Times New Roman" w:hAnsi="Times New Roman" w:cs="Times New Roman"/>
          <w:sz w:val="20"/>
          <w:szCs w:val="20"/>
        </w:rPr>
        <w:t>.</w:t>
      </w:r>
    </w:p>
    <w:p w:rsidR="00D72082" w:rsidP="004A22F3" w14:paraId="26FD2700" w14:textId="7451C74D">
      <w:pPr>
        <w:rPr>
          <w:sz w:val="20"/>
          <w:szCs w:val="20"/>
        </w:rPr>
      </w:pPr>
      <w:bookmarkStart w:id="28" w:name="_Hlk192754981"/>
      <w:bookmarkEnd w:id="25"/>
      <w:bookmarkEnd w:id="27"/>
      <w:r w:rsidRPr="005C6CA9">
        <w:rPr>
          <w:sz w:val="20"/>
          <w:szCs w:val="20"/>
        </w:rPr>
        <w:t xml:space="preserve">[a] </w:t>
      </w:r>
      <w:r w:rsidRPr="005C6CA9" w:rsidR="008F7DDE">
        <w:rPr>
          <w:sz w:val="20"/>
          <w:szCs w:val="20"/>
        </w:rPr>
        <w:t>The Standard Occupation Codes (SOC</w:t>
      </w:r>
      <w:r w:rsidRPr="005C6CA9" w:rsidR="00200E84">
        <w:rPr>
          <w:sz w:val="20"/>
          <w:szCs w:val="20"/>
        </w:rPr>
        <w:t>s</w:t>
      </w:r>
      <w:r w:rsidRPr="005C6CA9" w:rsidR="008F7DDE">
        <w:rPr>
          <w:sz w:val="20"/>
          <w:szCs w:val="20"/>
        </w:rPr>
        <w:t>) used for this occupation are (47-1</w:t>
      </w:r>
      <w:r w:rsidRPr="005C6CA9" w:rsidR="005E589E">
        <w:rPr>
          <w:sz w:val="20"/>
          <w:szCs w:val="20"/>
        </w:rPr>
        <w:t>01</w:t>
      </w:r>
      <w:r w:rsidRPr="005C6CA9" w:rsidR="008F7DDE">
        <w:rPr>
          <w:sz w:val="20"/>
          <w:szCs w:val="20"/>
        </w:rPr>
        <w:t>1), (49-1011), (51-1011), and (53-1047).</w:t>
      </w:r>
      <w:bookmarkEnd w:id="28"/>
    </w:p>
    <w:p w:rsidR="00801EFD" w:rsidRPr="005C6CA9" w:rsidP="004A22F3" w14:paraId="5BB76F6E" w14:textId="6FCFB5F7">
      <w:pPr>
        <w:rPr>
          <w:sz w:val="20"/>
          <w:szCs w:val="20"/>
        </w:rPr>
      </w:pPr>
      <w:r>
        <w:rPr>
          <w:sz w:val="20"/>
          <w:szCs w:val="20"/>
        </w:rPr>
        <w:t xml:space="preserve">[b] The SOCs used for this occupation are (43-3031), (43-3051), (43-5061), (43-5071), and (43-9061). </w:t>
      </w:r>
    </w:p>
    <w:bookmarkEnd w:id="26"/>
    <w:p w:rsidR="008F7DDE" w:rsidRPr="005C6CA9" w:rsidP="005C6CA9" w14:paraId="005AE4E8" w14:textId="77777777"/>
    <w:p w:rsidR="00EA6474" w:rsidRPr="005C6CA9" w:rsidP="004A22F3" w14:paraId="18F91EEC" w14:textId="77777777">
      <w:pPr>
        <w:pStyle w:val="Default"/>
        <w:rPr>
          <w:rFonts w:ascii="Times New Roman" w:hAnsi="Times New Roman" w:cs="Times New Roman"/>
          <w:b/>
          <w:bCs/>
        </w:rPr>
      </w:pPr>
      <w:bookmarkStart w:id="29" w:name="_Hlk114568327"/>
      <w:r w:rsidRPr="005C6CA9">
        <w:rPr>
          <w:rFonts w:ascii="Times New Roman" w:hAnsi="Times New Roman" w:cs="Times New Roman"/>
          <w:b/>
          <w:bCs/>
        </w:rPr>
        <w:t>Hour Burden</w:t>
      </w:r>
    </w:p>
    <w:p w:rsidR="00EA6474" w:rsidRPr="005C6CA9" w:rsidP="004A22F3" w14:paraId="4E72742E" w14:textId="77777777">
      <w:pPr>
        <w:pStyle w:val="Default"/>
        <w:rPr>
          <w:rFonts w:ascii="Times New Roman" w:hAnsi="Times New Roman" w:cs="Times New Roman"/>
          <w:b/>
          <w:bCs/>
        </w:rPr>
      </w:pPr>
    </w:p>
    <w:p w:rsidR="009A3438" w:rsidRPr="005C6CA9" w:rsidP="00E13ED7" w14:paraId="499E0853" w14:textId="2BCCA365">
      <w:pPr>
        <w:pStyle w:val="ListParagraph"/>
        <w:numPr>
          <w:ilvl w:val="0"/>
          <w:numId w:val="27"/>
        </w:numPr>
        <w:spacing w:after="0" w:line="240" w:lineRule="auto"/>
        <w:rPr>
          <w:b/>
          <w:bCs/>
          <w:szCs w:val="24"/>
        </w:rPr>
      </w:pPr>
      <w:r w:rsidRPr="001818EC">
        <w:rPr>
          <w:b/>
          <w:bCs/>
          <w:szCs w:val="24"/>
        </w:rPr>
        <w:t>Develop</w:t>
      </w:r>
      <w:r w:rsidRPr="001818EC" w:rsidR="00574CA1">
        <w:rPr>
          <w:b/>
          <w:bCs/>
          <w:szCs w:val="24"/>
        </w:rPr>
        <w:t xml:space="preserve">ing </w:t>
      </w:r>
      <w:r w:rsidR="002C7311">
        <w:rPr>
          <w:b/>
          <w:bCs/>
          <w:szCs w:val="24"/>
        </w:rPr>
        <w:t>Smoking</w:t>
      </w:r>
      <w:r w:rsidR="00074445">
        <w:rPr>
          <w:b/>
          <w:bCs/>
          <w:szCs w:val="24"/>
        </w:rPr>
        <w:t xml:space="preserve"> Prevention</w:t>
      </w:r>
      <w:r w:rsidR="002C7311">
        <w:rPr>
          <w:b/>
          <w:bCs/>
          <w:szCs w:val="24"/>
        </w:rPr>
        <w:t xml:space="preserve"> Programs</w:t>
      </w:r>
    </w:p>
    <w:p w:rsidR="009A3438" w:rsidRPr="005C6CA9" w:rsidP="005C6CA9" w14:paraId="3E0F48EE" w14:textId="77777777"/>
    <w:p w:rsidR="00E90CA6" w:rsidRPr="005E1F20" w:rsidP="00E90CA6" w14:paraId="1260ABC0" w14:textId="01FF4CDE">
      <w:pPr>
        <w:widowControl/>
        <w:autoSpaceDE/>
        <w:autoSpaceDN/>
        <w:adjustRightInd/>
      </w:pPr>
      <w:r>
        <w:t>Under 30 CFR 75.1702</w:t>
      </w:r>
      <w:r w:rsidR="00574CA1">
        <w:t xml:space="preserve"> and 75.1702</w:t>
      </w:r>
      <w:r>
        <w:t>-1</w:t>
      </w:r>
      <w:r w:rsidR="00574CA1">
        <w:t>,</w:t>
      </w:r>
      <w:r>
        <w:t xml:space="preserve"> mine operators must develop a smoking prevention program and that program </w:t>
      </w:r>
      <w:r w:rsidR="004412B3">
        <w:t xml:space="preserve">must be </w:t>
      </w:r>
      <w:r>
        <w:t>approved by MSHA</w:t>
      </w:r>
      <w:r w:rsidR="00711854">
        <w:t xml:space="preserve">. </w:t>
      </w:r>
      <w:r w:rsidR="007F1ACB">
        <w:t xml:space="preserve">MSHA assumes that there </w:t>
      </w:r>
      <w:r w:rsidR="00574CA1">
        <w:t xml:space="preserve">would </w:t>
      </w:r>
      <w:r w:rsidR="007F1ACB">
        <w:t xml:space="preserve">be </w:t>
      </w:r>
      <w:r w:rsidR="00711854">
        <w:t xml:space="preserve">25 </w:t>
      </w:r>
      <w:r w:rsidR="00574CA1">
        <w:t>programs</w:t>
      </w:r>
      <w:r w:rsidR="004412B3">
        <w:t xml:space="preserve"> submitted</w:t>
      </w:r>
      <w:r w:rsidR="00574CA1">
        <w:t xml:space="preserve"> each year, including </w:t>
      </w:r>
      <w:r w:rsidR="00C0738B">
        <w:t>programs</w:t>
      </w:r>
      <w:r w:rsidR="004412B3">
        <w:t xml:space="preserve"> developed for new mines</w:t>
      </w:r>
      <w:r w:rsidR="00711854">
        <w:t xml:space="preserve"> </w:t>
      </w:r>
      <w:r w:rsidR="00574CA1">
        <w:t>and</w:t>
      </w:r>
      <w:r w:rsidR="009005E2">
        <w:t xml:space="preserve"> revised</w:t>
      </w:r>
      <w:r w:rsidR="004412B3">
        <w:t xml:space="preserve"> programs for</w:t>
      </w:r>
      <w:r w:rsidR="00574CA1">
        <w:t xml:space="preserve"> existing </w:t>
      </w:r>
      <w:r w:rsidR="004412B3">
        <w:t>mines</w:t>
      </w:r>
      <w:r>
        <w:t xml:space="preserve">. </w:t>
      </w:r>
      <w:r w:rsidRPr="005E1F20">
        <w:t xml:space="preserve">MSHA estimates that </w:t>
      </w:r>
      <w:r w:rsidR="002E2900">
        <w:t xml:space="preserve">it takes </w:t>
      </w:r>
      <w:r w:rsidRPr="005E1F20">
        <w:t xml:space="preserve">a </w:t>
      </w:r>
      <w:r w:rsidR="00574CA1">
        <w:t xml:space="preserve">coal </w:t>
      </w:r>
      <w:r w:rsidRPr="005E1F20">
        <w:t>min</w:t>
      </w:r>
      <w:r w:rsidR="00C0738B">
        <w:t>ing</w:t>
      </w:r>
      <w:r w:rsidRPr="005E1F20">
        <w:t xml:space="preserve"> </w:t>
      </w:r>
      <w:r w:rsidR="002C7311">
        <w:t>supervisor</w:t>
      </w:r>
      <w:r w:rsidRPr="005E1F20">
        <w:t>, earning $</w:t>
      </w:r>
      <w:r w:rsidR="002C7311">
        <w:t>82.63</w:t>
      </w:r>
      <w:r w:rsidRPr="005E1F20">
        <w:t xml:space="preserve"> per hour</w:t>
      </w:r>
      <w:r w:rsidR="002C7311">
        <w:t>,</w:t>
      </w:r>
      <w:r>
        <w:rPr>
          <w:rStyle w:val="FootnoteReference"/>
        </w:rPr>
        <w:t xml:space="preserve"> </w:t>
      </w:r>
      <w:r w:rsidRPr="005E1F20">
        <w:t>30 minutes</w:t>
      </w:r>
      <w:r w:rsidR="002C7311">
        <w:t xml:space="preserve"> to</w:t>
      </w:r>
      <w:r w:rsidRPr="005E1F20">
        <w:t xml:space="preserve"> develop or revise a smoking prevention program</w:t>
      </w:r>
      <w:r w:rsidR="002C7311">
        <w:t xml:space="preserve"> to submit to MSHA</w:t>
      </w:r>
      <w:r w:rsidRPr="005E1F20">
        <w:t xml:space="preserve">. </w:t>
      </w:r>
    </w:p>
    <w:bookmarkEnd w:id="29"/>
    <w:p w:rsidR="008F7DDE" w:rsidRPr="005C6CA9" w:rsidP="005C6CA9" w14:paraId="75BF07C9" w14:textId="77777777">
      <w:pPr>
        <w:autoSpaceDE/>
        <w:autoSpaceDN/>
        <w:adjustRightInd/>
      </w:pPr>
    </w:p>
    <w:p w:rsidR="00052BD8" w:rsidRPr="005C6CA9" w:rsidP="004A22F3" w14:paraId="7FF16E26" w14:textId="1B950511">
      <w:pPr>
        <w:widowControl/>
        <w:autoSpaceDE/>
        <w:autoSpaceDN/>
        <w:adjustRightInd/>
        <w:rPr>
          <w:b/>
          <w:bCs/>
          <w:color w:val="000000"/>
        </w:rPr>
      </w:pPr>
      <w:bookmarkStart w:id="30" w:name="_Hlk114568917"/>
      <w:bookmarkStart w:id="31" w:name="_Hlk192756600"/>
      <w:r w:rsidRPr="005C6CA9">
        <w:rPr>
          <w:b/>
          <w:bCs/>
          <w:color w:val="000000"/>
        </w:rPr>
        <w:t xml:space="preserve">Table 12-2. Estimated Annual Respondent Hour and Cost Burden, </w:t>
      </w:r>
      <w:r w:rsidRPr="00145B94" w:rsidR="00145B94">
        <w:rPr>
          <w:b/>
          <w:bCs/>
          <w:color w:val="000000"/>
        </w:rPr>
        <w:t>Develop or Revise Smoking Prevention Program</w:t>
      </w:r>
      <w:r w:rsidR="00074445">
        <w:rPr>
          <w:b/>
          <w:bCs/>
          <w:color w:val="000000"/>
        </w:rPr>
        <w:t>s</w:t>
      </w:r>
      <w:r w:rsidRPr="00145B94" w:rsidR="00145B94">
        <w:rPr>
          <w:b/>
          <w:bCs/>
          <w:color w:val="000000"/>
        </w:rPr>
        <w:t xml:space="preserve"> (30 CFR 75.1702)</w:t>
      </w:r>
    </w:p>
    <w:tbl>
      <w:tblPr>
        <w:tblStyle w:val="TableGrid"/>
        <w:tblW w:w="9445" w:type="dxa"/>
        <w:tblLayout w:type="fixed"/>
        <w:tblLook w:val="04A0"/>
      </w:tblPr>
      <w:tblGrid>
        <w:gridCol w:w="1525"/>
        <w:gridCol w:w="1260"/>
        <w:gridCol w:w="1350"/>
        <w:gridCol w:w="1170"/>
        <w:gridCol w:w="1080"/>
        <w:gridCol w:w="990"/>
        <w:gridCol w:w="990"/>
        <w:gridCol w:w="1080"/>
      </w:tblGrid>
      <w:tr w14:paraId="25A98629" w14:textId="77777777" w:rsidTr="00E13ED7">
        <w:tblPrEx>
          <w:tblW w:w="9445" w:type="dxa"/>
          <w:tblLayout w:type="fixed"/>
          <w:tblLook w:val="04A0"/>
        </w:tblPrEx>
        <w:trPr>
          <w:trHeight w:val="747"/>
        </w:trPr>
        <w:tc>
          <w:tcPr>
            <w:tcW w:w="1525" w:type="dxa"/>
            <w:shd w:val="clear" w:color="auto" w:fill="8EAADB" w:themeFill="accent1" w:themeFillTint="99"/>
            <w:vAlign w:val="center"/>
            <w:hideMark/>
          </w:tcPr>
          <w:p w:rsidR="008F7DDE" w:rsidRPr="005C6CA9" w:rsidP="004A22F3" w14:paraId="77F9E0DB" w14:textId="62C65A13">
            <w:pPr>
              <w:widowControl/>
              <w:autoSpaceDE/>
              <w:autoSpaceDN/>
              <w:adjustRightInd/>
              <w:rPr>
                <w:rFonts w:eastAsiaTheme="minorHAnsi"/>
                <w:sz w:val="20"/>
                <w:szCs w:val="20"/>
              </w:rPr>
            </w:pPr>
            <w:bookmarkStart w:id="32" w:name="_Hlk114568834"/>
            <w:bookmarkEnd w:id="30"/>
            <w:r w:rsidRPr="005C6CA9">
              <w:rPr>
                <w:rFonts w:eastAsiaTheme="minorHAnsi"/>
                <w:sz w:val="20"/>
                <w:szCs w:val="20"/>
              </w:rPr>
              <w:t>Activity (Occupation)</w:t>
            </w:r>
          </w:p>
        </w:tc>
        <w:tc>
          <w:tcPr>
            <w:tcW w:w="1260" w:type="dxa"/>
            <w:shd w:val="clear" w:color="auto" w:fill="8EAADB" w:themeFill="accent1" w:themeFillTint="99"/>
            <w:vAlign w:val="center"/>
            <w:hideMark/>
          </w:tcPr>
          <w:p w:rsidR="008F7DDE" w:rsidRPr="005C6CA9" w:rsidP="004A22F3" w14:paraId="03098F4A" w14:textId="77777777">
            <w:pPr>
              <w:widowControl/>
              <w:autoSpaceDE/>
              <w:autoSpaceDN/>
              <w:adjustRightInd/>
              <w:jc w:val="center"/>
              <w:rPr>
                <w:rFonts w:eastAsiaTheme="minorHAnsi"/>
                <w:sz w:val="20"/>
                <w:szCs w:val="20"/>
              </w:rPr>
            </w:pPr>
            <w:r w:rsidRPr="005C6CA9">
              <w:rPr>
                <w:rFonts w:eastAsiaTheme="minorHAnsi"/>
                <w:sz w:val="20"/>
                <w:szCs w:val="20"/>
              </w:rPr>
              <w:t>Number of Respondents</w:t>
            </w:r>
          </w:p>
          <w:p w:rsidR="00FA0B6E" w:rsidRPr="005C6CA9" w:rsidP="004A22F3" w14:paraId="48341AAF" w14:textId="3CFFCEE8">
            <w:pPr>
              <w:widowControl/>
              <w:autoSpaceDE/>
              <w:autoSpaceDN/>
              <w:adjustRightInd/>
              <w:jc w:val="center"/>
              <w:rPr>
                <w:rFonts w:eastAsiaTheme="minorHAnsi"/>
                <w:sz w:val="20"/>
                <w:szCs w:val="20"/>
              </w:rPr>
            </w:pPr>
            <w:r w:rsidRPr="005C6CA9">
              <w:rPr>
                <w:rFonts w:eastAsiaTheme="minorHAnsi"/>
                <w:sz w:val="20"/>
                <w:szCs w:val="20"/>
              </w:rPr>
              <w:t>(</w:t>
            </w:r>
            <w:r w:rsidR="000A5789">
              <w:rPr>
                <w:rFonts w:eastAsiaTheme="minorHAnsi"/>
                <w:sz w:val="20"/>
                <w:szCs w:val="20"/>
              </w:rPr>
              <w:t>Mines</w:t>
            </w:r>
            <w:r w:rsidRPr="005C6CA9">
              <w:rPr>
                <w:rFonts w:eastAsiaTheme="minorHAnsi"/>
                <w:sz w:val="20"/>
                <w:szCs w:val="20"/>
              </w:rPr>
              <w:t>)</w:t>
            </w:r>
          </w:p>
        </w:tc>
        <w:tc>
          <w:tcPr>
            <w:tcW w:w="1350" w:type="dxa"/>
            <w:shd w:val="clear" w:color="auto" w:fill="8EAADB" w:themeFill="accent1" w:themeFillTint="99"/>
            <w:vAlign w:val="center"/>
          </w:tcPr>
          <w:p w:rsidR="008F7DDE" w:rsidRPr="005C6CA9" w:rsidP="004A22F3" w14:paraId="11F0965A" w14:textId="5D77E492">
            <w:pPr>
              <w:widowControl/>
              <w:autoSpaceDE/>
              <w:autoSpaceDN/>
              <w:adjustRightInd/>
              <w:jc w:val="center"/>
              <w:rPr>
                <w:rFonts w:eastAsiaTheme="minorHAnsi"/>
                <w:sz w:val="20"/>
                <w:szCs w:val="20"/>
              </w:rPr>
            </w:pPr>
            <w:r w:rsidRPr="005C6CA9">
              <w:rPr>
                <w:rFonts w:eastAsiaTheme="minorHAnsi"/>
                <w:sz w:val="20"/>
                <w:szCs w:val="20"/>
              </w:rPr>
              <w:t>Number of Responses per Respondent</w:t>
            </w:r>
          </w:p>
        </w:tc>
        <w:tc>
          <w:tcPr>
            <w:tcW w:w="1170" w:type="dxa"/>
            <w:shd w:val="clear" w:color="auto" w:fill="8EAADB" w:themeFill="accent1" w:themeFillTint="99"/>
            <w:vAlign w:val="center"/>
          </w:tcPr>
          <w:p w:rsidR="008F7DDE" w:rsidRPr="005C6CA9" w:rsidP="004A22F3" w14:paraId="55C4A7F3" w14:textId="1A3653F6">
            <w:pPr>
              <w:widowControl/>
              <w:autoSpaceDE/>
              <w:autoSpaceDN/>
              <w:adjustRightInd/>
              <w:jc w:val="center"/>
              <w:rPr>
                <w:rFonts w:eastAsiaTheme="minorHAnsi"/>
                <w:sz w:val="20"/>
                <w:szCs w:val="20"/>
              </w:rPr>
            </w:pPr>
            <w:r w:rsidRPr="005C6CA9">
              <w:rPr>
                <w:rFonts w:eastAsiaTheme="minorHAnsi"/>
                <w:sz w:val="20"/>
                <w:szCs w:val="20"/>
              </w:rPr>
              <w:t>Total Responses</w:t>
            </w:r>
            <w:r w:rsidRPr="005C6CA9" w:rsidR="007863E3">
              <w:rPr>
                <w:rFonts w:eastAsiaTheme="minorHAnsi"/>
                <w:sz w:val="20"/>
                <w:szCs w:val="20"/>
              </w:rPr>
              <w:t xml:space="preserve"> (</w:t>
            </w:r>
            <w:r w:rsidR="009005E2">
              <w:rPr>
                <w:rFonts w:eastAsiaTheme="minorHAnsi"/>
                <w:sz w:val="20"/>
                <w:szCs w:val="20"/>
              </w:rPr>
              <w:t>Programs</w:t>
            </w:r>
            <w:r w:rsidRPr="005C6CA9" w:rsidR="007863E3">
              <w:rPr>
                <w:rFonts w:eastAsiaTheme="minorHAnsi"/>
                <w:sz w:val="20"/>
                <w:szCs w:val="20"/>
              </w:rPr>
              <w:t>)</w:t>
            </w:r>
          </w:p>
        </w:tc>
        <w:tc>
          <w:tcPr>
            <w:tcW w:w="1080" w:type="dxa"/>
            <w:shd w:val="clear" w:color="auto" w:fill="8EAADB" w:themeFill="accent1" w:themeFillTint="99"/>
            <w:vAlign w:val="center"/>
          </w:tcPr>
          <w:p w:rsidR="008F7DDE" w:rsidRPr="005C6CA9" w:rsidP="004A22F3" w14:paraId="746C0A63" w14:textId="707A020B">
            <w:pPr>
              <w:widowControl/>
              <w:autoSpaceDE/>
              <w:autoSpaceDN/>
              <w:adjustRightInd/>
              <w:jc w:val="center"/>
              <w:rPr>
                <w:rFonts w:eastAsiaTheme="minorHAnsi"/>
                <w:sz w:val="20"/>
                <w:szCs w:val="20"/>
              </w:rPr>
            </w:pPr>
            <w:r w:rsidRPr="005C6CA9">
              <w:rPr>
                <w:rFonts w:eastAsiaTheme="minorHAnsi"/>
                <w:sz w:val="20"/>
                <w:szCs w:val="20"/>
              </w:rPr>
              <w:t>Average Burden (</w:t>
            </w:r>
            <w:r w:rsidRPr="005C6CA9" w:rsidR="009A3438">
              <w:rPr>
                <w:rFonts w:eastAsiaTheme="minorHAnsi"/>
                <w:sz w:val="20"/>
                <w:szCs w:val="20"/>
              </w:rPr>
              <w:t>Hours</w:t>
            </w:r>
            <w:r w:rsidRPr="005C6CA9">
              <w:rPr>
                <w:rFonts w:eastAsiaTheme="minorHAnsi"/>
                <w:sz w:val="20"/>
                <w:szCs w:val="20"/>
              </w:rPr>
              <w:t>)</w:t>
            </w:r>
          </w:p>
        </w:tc>
        <w:tc>
          <w:tcPr>
            <w:tcW w:w="990" w:type="dxa"/>
            <w:shd w:val="clear" w:color="auto" w:fill="8EAADB" w:themeFill="accent1" w:themeFillTint="99"/>
            <w:vAlign w:val="center"/>
            <w:hideMark/>
          </w:tcPr>
          <w:p w:rsidR="008F7DDE" w:rsidRPr="005C6CA9" w:rsidP="004A22F3" w14:paraId="6FD7747E" w14:textId="1AB100CF">
            <w:pPr>
              <w:widowControl/>
              <w:autoSpaceDE/>
              <w:autoSpaceDN/>
              <w:adjustRightInd/>
              <w:jc w:val="center"/>
              <w:rPr>
                <w:rFonts w:eastAsiaTheme="minorHAnsi"/>
                <w:sz w:val="20"/>
                <w:szCs w:val="20"/>
              </w:rPr>
            </w:pPr>
            <w:r w:rsidRPr="005C6CA9">
              <w:rPr>
                <w:rFonts w:eastAsiaTheme="minorHAnsi"/>
                <w:sz w:val="20"/>
                <w:szCs w:val="20"/>
              </w:rPr>
              <w:t>Total Burden (Hours)</w:t>
            </w:r>
          </w:p>
        </w:tc>
        <w:tc>
          <w:tcPr>
            <w:tcW w:w="990" w:type="dxa"/>
            <w:shd w:val="clear" w:color="auto" w:fill="8EAADB" w:themeFill="accent1" w:themeFillTint="99"/>
            <w:vAlign w:val="center"/>
            <w:hideMark/>
          </w:tcPr>
          <w:p w:rsidR="008F7DDE" w:rsidRPr="005C6CA9" w:rsidP="004A22F3" w14:paraId="379D01C8" w14:textId="3FA62A27">
            <w:pPr>
              <w:widowControl/>
              <w:autoSpaceDE/>
              <w:autoSpaceDN/>
              <w:adjustRightInd/>
              <w:jc w:val="center"/>
              <w:rPr>
                <w:rFonts w:eastAsiaTheme="minorHAnsi"/>
                <w:sz w:val="20"/>
                <w:szCs w:val="20"/>
              </w:rPr>
            </w:pPr>
            <w:r w:rsidRPr="005C6CA9">
              <w:rPr>
                <w:rFonts w:eastAsiaTheme="minorHAnsi"/>
                <w:sz w:val="20"/>
                <w:szCs w:val="20"/>
              </w:rPr>
              <w:t>Hourly Wage Rate</w:t>
            </w:r>
          </w:p>
        </w:tc>
        <w:tc>
          <w:tcPr>
            <w:tcW w:w="1080" w:type="dxa"/>
            <w:shd w:val="clear" w:color="auto" w:fill="8EAADB" w:themeFill="accent1" w:themeFillTint="99"/>
            <w:vAlign w:val="center"/>
            <w:hideMark/>
          </w:tcPr>
          <w:p w:rsidR="008F7DDE" w:rsidRPr="005C6CA9" w:rsidP="004A22F3" w14:paraId="1D5A20D0" w14:textId="049CFAA1">
            <w:pPr>
              <w:widowControl/>
              <w:autoSpaceDE/>
              <w:autoSpaceDN/>
              <w:adjustRightInd/>
              <w:jc w:val="center"/>
              <w:rPr>
                <w:rFonts w:eastAsiaTheme="minorHAnsi"/>
                <w:sz w:val="20"/>
                <w:szCs w:val="20"/>
              </w:rPr>
            </w:pPr>
            <w:r w:rsidRPr="005C6CA9">
              <w:rPr>
                <w:rFonts w:eastAsiaTheme="minorHAnsi"/>
                <w:sz w:val="20"/>
                <w:szCs w:val="20"/>
              </w:rPr>
              <w:t>Total Burden Cost</w:t>
            </w:r>
          </w:p>
        </w:tc>
      </w:tr>
      <w:tr w14:paraId="317ADA85" w14:textId="77777777" w:rsidTr="00E13ED7">
        <w:tblPrEx>
          <w:tblW w:w="9445" w:type="dxa"/>
          <w:tblLayout w:type="fixed"/>
          <w:tblLook w:val="04A0"/>
        </w:tblPrEx>
        <w:trPr>
          <w:trHeight w:val="363"/>
        </w:trPr>
        <w:tc>
          <w:tcPr>
            <w:tcW w:w="1525" w:type="dxa"/>
            <w:noWrap/>
            <w:vAlign w:val="bottom"/>
            <w:hideMark/>
          </w:tcPr>
          <w:p w:rsidR="009005E2" w:rsidRPr="005C6CA9" w:rsidP="009005E2" w14:paraId="738C8804" w14:textId="4968DFDF">
            <w:pPr>
              <w:widowControl/>
              <w:autoSpaceDE/>
              <w:autoSpaceDN/>
              <w:adjustRightInd/>
              <w:rPr>
                <w:rFonts w:eastAsiaTheme="minorHAnsi"/>
                <w:bCs/>
                <w:sz w:val="20"/>
                <w:szCs w:val="20"/>
              </w:rPr>
            </w:pPr>
            <w:r>
              <w:rPr>
                <w:color w:val="000000"/>
                <w:sz w:val="20"/>
                <w:szCs w:val="20"/>
              </w:rPr>
              <w:t>Develop</w:t>
            </w:r>
            <w:r w:rsidR="00BF6073">
              <w:rPr>
                <w:color w:val="000000"/>
                <w:sz w:val="20"/>
                <w:szCs w:val="20"/>
              </w:rPr>
              <w:t>ing</w:t>
            </w:r>
            <w:r>
              <w:rPr>
                <w:color w:val="000000"/>
                <w:sz w:val="20"/>
                <w:szCs w:val="20"/>
              </w:rPr>
              <w:t xml:space="preserve"> or </w:t>
            </w:r>
            <w:r w:rsidR="00074445">
              <w:rPr>
                <w:color w:val="000000"/>
                <w:sz w:val="20"/>
                <w:szCs w:val="20"/>
              </w:rPr>
              <w:t>R</w:t>
            </w:r>
            <w:r>
              <w:rPr>
                <w:color w:val="000000"/>
                <w:sz w:val="20"/>
                <w:szCs w:val="20"/>
              </w:rPr>
              <w:t>evis</w:t>
            </w:r>
            <w:r w:rsidR="00BF6073">
              <w:rPr>
                <w:color w:val="000000"/>
                <w:sz w:val="20"/>
                <w:szCs w:val="20"/>
              </w:rPr>
              <w:t>ing</w:t>
            </w:r>
            <w:r w:rsidR="00074445">
              <w:rPr>
                <w:color w:val="000000"/>
                <w:sz w:val="20"/>
                <w:szCs w:val="20"/>
              </w:rPr>
              <w:t xml:space="preserve"> S</w:t>
            </w:r>
            <w:r>
              <w:rPr>
                <w:color w:val="000000"/>
                <w:sz w:val="20"/>
                <w:szCs w:val="20"/>
              </w:rPr>
              <w:t xml:space="preserve">moking </w:t>
            </w:r>
            <w:r w:rsidR="00074445">
              <w:rPr>
                <w:color w:val="000000"/>
                <w:sz w:val="20"/>
                <w:szCs w:val="20"/>
              </w:rPr>
              <w:t>P</w:t>
            </w:r>
            <w:r w:rsidR="009D4AFC">
              <w:rPr>
                <w:color w:val="000000"/>
                <w:sz w:val="20"/>
                <w:szCs w:val="20"/>
              </w:rPr>
              <w:t xml:space="preserve">revention </w:t>
            </w:r>
            <w:r w:rsidR="00074445">
              <w:rPr>
                <w:color w:val="000000"/>
                <w:sz w:val="20"/>
                <w:szCs w:val="20"/>
              </w:rPr>
              <w:t>P</w:t>
            </w:r>
            <w:r>
              <w:rPr>
                <w:color w:val="000000"/>
                <w:sz w:val="20"/>
                <w:szCs w:val="20"/>
              </w:rPr>
              <w:t>rograms</w:t>
            </w:r>
            <w:r w:rsidR="00C0738B">
              <w:rPr>
                <w:color w:val="000000"/>
                <w:sz w:val="20"/>
                <w:szCs w:val="20"/>
              </w:rPr>
              <w:t xml:space="preserve"> (</w:t>
            </w:r>
            <w:r w:rsidR="00A25C04">
              <w:rPr>
                <w:color w:val="000000"/>
                <w:sz w:val="20"/>
                <w:szCs w:val="20"/>
              </w:rPr>
              <w:t>M</w:t>
            </w:r>
            <w:r w:rsidR="00C0738B">
              <w:rPr>
                <w:color w:val="000000"/>
                <w:sz w:val="20"/>
                <w:szCs w:val="20"/>
              </w:rPr>
              <w:t xml:space="preserve">ining </w:t>
            </w:r>
            <w:r w:rsidR="00156372">
              <w:rPr>
                <w:color w:val="000000"/>
                <w:sz w:val="20"/>
                <w:szCs w:val="20"/>
              </w:rPr>
              <w:t>S</w:t>
            </w:r>
            <w:r w:rsidR="00C0738B">
              <w:rPr>
                <w:color w:val="000000"/>
                <w:sz w:val="20"/>
                <w:szCs w:val="20"/>
              </w:rPr>
              <w:t>upervisor)</w:t>
            </w:r>
          </w:p>
        </w:tc>
        <w:tc>
          <w:tcPr>
            <w:tcW w:w="1260" w:type="dxa"/>
            <w:noWrap/>
            <w:vAlign w:val="center"/>
          </w:tcPr>
          <w:p w:rsidR="009005E2" w:rsidRPr="005C6CA9" w:rsidP="009005E2" w14:paraId="714AF956" w14:textId="3FEC4CC7">
            <w:pPr>
              <w:widowControl/>
              <w:autoSpaceDE/>
              <w:autoSpaceDN/>
              <w:adjustRightInd/>
              <w:jc w:val="right"/>
              <w:rPr>
                <w:rFonts w:eastAsiaTheme="minorHAnsi"/>
                <w:bCs/>
                <w:sz w:val="20"/>
                <w:szCs w:val="20"/>
              </w:rPr>
            </w:pPr>
            <w:r>
              <w:rPr>
                <w:color w:val="000000"/>
                <w:sz w:val="20"/>
                <w:szCs w:val="20"/>
              </w:rPr>
              <w:t>2</w:t>
            </w:r>
            <w:r w:rsidR="001818EC">
              <w:rPr>
                <w:color w:val="000000"/>
                <w:sz w:val="20"/>
                <w:szCs w:val="20"/>
              </w:rPr>
              <w:t>4</w:t>
            </w:r>
          </w:p>
        </w:tc>
        <w:tc>
          <w:tcPr>
            <w:tcW w:w="1350" w:type="dxa"/>
            <w:vAlign w:val="center"/>
          </w:tcPr>
          <w:p w:rsidR="009005E2" w:rsidRPr="005C6CA9" w:rsidP="009005E2" w14:paraId="644C4A0E" w14:textId="668555A3">
            <w:pPr>
              <w:widowControl/>
              <w:autoSpaceDE/>
              <w:autoSpaceDN/>
              <w:adjustRightInd/>
              <w:jc w:val="right"/>
              <w:rPr>
                <w:rFonts w:eastAsiaTheme="minorHAnsi"/>
                <w:bCs/>
                <w:sz w:val="20"/>
                <w:szCs w:val="20"/>
              </w:rPr>
            </w:pPr>
            <w:r>
              <w:rPr>
                <w:color w:val="000000"/>
                <w:sz w:val="20"/>
                <w:szCs w:val="20"/>
              </w:rPr>
              <w:t>1</w:t>
            </w:r>
            <w:r w:rsidR="001818EC">
              <w:rPr>
                <w:color w:val="000000"/>
                <w:sz w:val="20"/>
                <w:szCs w:val="20"/>
              </w:rPr>
              <w:t>.04</w:t>
            </w:r>
          </w:p>
        </w:tc>
        <w:tc>
          <w:tcPr>
            <w:tcW w:w="1170" w:type="dxa"/>
            <w:vAlign w:val="center"/>
          </w:tcPr>
          <w:p w:rsidR="009005E2" w:rsidRPr="005C6CA9" w:rsidP="009005E2" w14:paraId="5DC1F7FD" w14:textId="486DE60E">
            <w:pPr>
              <w:widowControl/>
              <w:autoSpaceDE/>
              <w:autoSpaceDN/>
              <w:adjustRightInd/>
              <w:jc w:val="right"/>
              <w:rPr>
                <w:rFonts w:eastAsiaTheme="minorHAnsi"/>
                <w:bCs/>
                <w:sz w:val="20"/>
                <w:szCs w:val="20"/>
              </w:rPr>
            </w:pPr>
            <w:r>
              <w:rPr>
                <w:color w:val="000000"/>
                <w:sz w:val="20"/>
                <w:szCs w:val="20"/>
              </w:rPr>
              <w:t>25</w:t>
            </w:r>
          </w:p>
        </w:tc>
        <w:tc>
          <w:tcPr>
            <w:tcW w:w="1080" w:type="dxa"/>
            <w:vAlign w:val="center"/>
          </w:tcPr>
          <w:p w:rsidR="009005E2" w:rsidRPr="005C6CA9" w:rsidP="009005E2" w14:paraId="75539D3E" w14:textId="3B1F912F">
            <w:pPr>
              <w:widowControl/>
              <w:autoSpaceDE/>
              <w:autoSpaceDN/>
              <w:adjustRightInd/>
              <w:jc w:val="right"/>
              <w:rPr>
                <w:rFonts w:eastAsiaTheme="minorHAnsi"/>
                <w:bCs/>
                <w:sz w:val="20"/>
                <w:szCs w:val="20"/>
              </w:rPr>
            </w:pPr>
            <w:r>
              <w:rPr>
                <w:color w:val="000000"/>
                <w:sz w:val="20"/>
                <w:szCs w:val="20"/>
              </w:rPr>
              <w:t>0.5</w:t>
            </w:r>
          </w:p>
        </w:tc>
        <w:tc>
          <w:tcPr>
            <w:tcW w:w="990" w:type="dxa"/>
            <w:noWrap/>
            <w:vAlign w:val="center"/>
          </w:tcPr>
          <w:p w:rsidR="009005E2" w:rsidRPr="005C6CA9" w:rsidP="009005E2" w14:paraId="23C448CA" w14:textId="451199B5">
            <w:pPr>
              <w:widowControl/>
              <w:autoSpaceDE/>
              <w:autoSpaceDN/>
              <w:adjustRightInd/>
              <w:jc w:val="right"/>
              <w:rPr>
                <w:rFonts w:eastAsiaTheme="minorHAnsi"/>
                <w:bCs/>
                <w:sz w:val="20"/>
                <w:szCs w:val="20"/>
              </w:rPr>
            </w:pPr>
            <w:r>
              <w:rPr>
                <w:color w:val="000000"/>
                <w:sz w:val="20"/>
                <w:szCs w:val="20"/>
              </w:rPr>
              <w:t>12.50</w:t>
            </w:r>
          </w:p>
        </w:tc>
        <w:tc>
          <w:tcPr>
            <w:tcW w:w="990" w:type="dxa"/>
            <w:noWrap/>
            <w:vAlign w:val="center"/>
            <w:hideMark/>
          </w:tcPr>
          <w:p w:rsidR="009005E2" w:rsidRPr="005C6CA9" w:rsidP="009005E2" w14:paraId="3C292B33" w14:textId="0B31A61C">
            <w:pPr>
              <w:widowControl/>
              <w:autoSpaceDE/>
              <w:autoSpaceDN/>
              <w:adjustRightInd/>
              <w:jc w:val="right"/>
              <w:rPr>
                <w:rFonts w:eastAsiaTheme="minorHAnsi"/>
                <w:bCs/>
                <w:sz w:val="20"/>
                <w:szCs w:val="20"/>
              </w:rPr>
            </w:pPr>
            <w:r>
              <w:rPr>
                <w:color w:val="000000"/>
                <w:sz w:val="20"/>
                <w:szCs w:val="20"/>
              </w:rPr>
              <w:t xml:space="preserve">$82.63 </w:t>
            </w:r>
          </w:p>
        </w:tc>
        <w:tc>
          <w:tcPr>
            <w:tcW w:w="1080" w:type="dxa"/>
            <w:noWrap/>
            <w:vAlign w:val="center"/>
            <w:hideMark/>
          </w:tcPr>
          <w:p w:rsidR="009005E2" w:rsidRPr="005C6CA9" w:rsidP="009005E2" w14:paraId="126B17C0" w14:textId="4E563804">
            <w:pPr>
              <w:widowControl/>
              <w:autoSpaceDE/>
              <w:autoSpaceDN/>
              <w:adjustRightInd/>
              <w:jc w:val="right"/>
              <w:rPr>
                <w:rFonts w:eastAsiaTheme="minorHAnsi"/>
                <w:bCs/>
                <w:sz w:val="20"/>
                <w:szCs w:val="20"/>
              </w:rPr>
            </w:pPr>
            <w:r>
              <w:rPr>
                <w:color w:val="000000"/>
                <w:sz w:val="20"/>
                <w:szCs w:val="20"/>
              </w:rPr>
              <w:t xml:space="preserve">$1,032.88 </w:t>
            </w:r>
          </w:p>
        </w:tc>
      </w:tr>
      <w:tr w14:paraId="45D0E5A5" w14:textId="77777777" w:rsidTr="009005E2">
        <w:tblPrEx>
          <w:tblW w:w="9445" w:type="dxa"/>
          <w:tblLayout w:type="fixed"/>
          <w:tblLook w:val="04A0"/>
        </w:tblPrEx>
        <w:trPr>
          <w:trHeight w:val="363"/>
        </w:trPr>
        <w:tc>
          <w:tcPr>
            <w:tcW w:w="1525" w:type="dxa"/>
            <w:noWrap/>
            <w:vAlign w:val="bottom"/>
            <w:hideMark/>
          </w:tcPr>
          <w:p w:rsidR="009005E2" w:rsidRPr="005C6CA9" w:rsidP="009005E2" w14:paraId="5D26DC1F" w14:textId="493C84FF">
            <w:pPr>
              <w:widowControl/>
              <w:autoSpaceDE/>
              <w:autoSpaceDN/>
              <w:adjustRightInd/>
              <w:rPr>
                <w:rFonts w:eastAsiaTheme="minorHAnsi"/>
                <w:b/>
                <w:bCs/>
                <w:i/>
                <w:iCs/>
                <w:sz w:val="20"/>
                <w:szCs w:val="20"/>
              </w:rPr>
            </w:pPr>
            <w:r>
              <w:rPr>
                <w:b/>
                <w:bCs/>
                <w:i/>
                <w:iCs/>
                <w:color w:val="000000"/>
                <w:sz w:val="20"/>
                <w:szCs w:val="20"/>
              </w:rPr>
              <w:t>Subtotal (Rounded)</w:t>
            </w:r>
          </w:p>
        </w:tc>
        <w:tc>
          <w:tcPr>
            <w:tcW w:w="1260" w:type="dxa"/>
            <w:vAlign w:val="bottom"/>
          </w:tcPr>
          <w:p w:rsidR="009005E2" w:rsidRPr="005C6CA9" w:rsidP="009005E2" w14:paraId="36D77C69" w14:textId="2A9A8B23">
            <w:pPr>
              <w:widowControl/>
              <w:autoSpaceDE/>
              <w:autoSpaceDN/>
              <w:adjustRightInd/>
              <w:jc w:val="right"/>
              <w:rPr>
                <w:rFonts w:eastAsiaTheme="minorHAnsi"/>
                <w:b/>
                <w:bCs/>
                <w:i/>
                <w:iCs/>
                <w:sz w:val="20"/>
                <w:szCs w:val="20"/>
              </w:rPr>
            </w:pPr>
            <w:r>
              <w:rPr>
                <w:b/>
                <w:bCs/>
                <w:color w:val="000000"/>
                <w:sz w:val="20"/>
                <w:szCs w:val="20"/>
              </w:rPr>
              <w:t>2</w:t>
            </w:r>
            <w:r w:rsidR="001818EC">
              <w:rPr>
                <w:b/>
                <w:bCs/>
                <w:color w:val="000000"/>
                <w:sz w:val="20"/>
                <w:szCs w:val="20"/>
              </w:rPr>
              <w:t>4</w:t>
            </w:r>
          </w:p>
        </w:tc>
        <w:tc>
          <w:tcPr>
            <w:tcW w:w="1350" w:type="dxa"/>
            <w:shd w:val="clear" w:color="auto" w:fill="000000" w:themeFill="text1"/>
            <w:vAlign w:val="bottom"/>
          </w:tcPr>
          <w:p w:rsidR="009005E2" w:rsidRPr="005C6CA9" w:rsidP="009005E2" w14:paraId="03CC983F" w14:textId="4065BE13">
            <w:pPr>
              <w:widowControl/>
              <w:autoSpaceDE/>
              <w:autoSpaceDN/>
              <w:adjustRightInd/>
              <w:jc w:val="right"/>
              <w:rPr>
                <w:rFonts w:eastAsiaTheme="minorHAnsi"/>
                <w:b/>
                <w:bCs/>
                <w:i/>
                <w:iCs/>
                <w:sz w:val="20"/>
                <w:szCs w:val="20"/>
              </w:rPr>
            </w:pPr>
            <w:r>
              <w:rPr>
                <w:b/>
                <w:bCs/>
                <w:color w:val="000000"/>
                <w:sz w:val="20"/>
                <w:szCs w:val="20"/>
              </w:rPr>
              <w:t> </w:t>
            </w:r>
          </w:p>
        </w:tc>
        <w:tc>
          <w:tcPr>
            <w:tcW w:w="1170" w:type="dxa"/>
            <w:vAlign w:val="bottom"/>
          </w:tcPr>
          <w:p w:rsidR="009005E2" w:rsidRPr="005C6CA9" w:rsidP="009005E2" w14:paraId="5AF96308" w14:textId="306345E0">
            <w:pPr>
              <w:widowControl/>
              <w:autoSpaceDE/>
              <w:autoSpaceDN/>
              <w:adjustRightInd/>
              <w:jc w:val="right"/>
              <w:rPr>
                <w:rFonts w:eastAsiaTheme="minorHAnsi"/>
                <w:b/>
                <w:bCs/>
                <w:i/>
                <w:iCs/>
                <w:sz w:val="20"/>
                <w:szCs w:val="20"/>
              </w:rPr>
            </w:pPr>
            <w:r>
              <w:rPr>
                <w:b/>
                <w:bCs/>
                <w:color w:val="000000"/>
                <w:sz w:val="20"/>
                <w:szCs w:val="20"/>
              </w:rPr>
              <w:t>25</w:t>
            </w:r>
          </w:p>
        </w:tc>
        <w:tc>
          <w:tcPr>
            <w:tcW w:w="1080" w:type="dxa"/>
            <w:shd w:val="clear" w:color="auto" w:fill="000000" w:themeFill="text1"/>
            <w:vAlign w:val="bottom"/>
          </w:tcPr>
          <w:p w:rsidR="009005E2" w:rsidRPr="005C6CA9" w:rsidP="009005E2" w14:paraId="2C5901F3" w14:textId="1D271029">
            <w:pPr>
              <w:widowControl/>
              <w:autoSpaceDE/>
              <w:autoSpaceDN/>
              <w:adjustRightInd/>
              <w:jc w:val="right"/>
              <w:rPr>
                <w:rFonts w:eastAsiaTheme="minorHAnsi"/>
                <w:b/>
                <w:bCs/>
                <w:i/>
                <w:iCs/>
                <w:sz w:val="20"/>
                <w:szCs w:val="20"/>
              </w:rPr>
            </w:pPr>
            <w:r>
              <w:rPr>
                <w:b/>
                <w:bCs/>
                <w:color w:val="000000"/>
                <w:sz w:val="20"/>
                <w:szCs w:val="20"/>
              </w:rPr>
              <w:t> </w:t>
            </w:r>
          </w:p>
        </w:tc>
        <w:tc>
          <w:tcPr>
            <w:tcW w:w="990" w:type="dxa"/>
            <w:vAlign w:val="bottom"/>
          </w:tcPr>
          <w:p w:rsidR="009005E2" w:rsidRPr="005C6CA9" w:rsidP="009005E2" w14:paraId="6DAC8B29" w14:textId="6AF46E59">
            <w:pPr>
              <w:widowControl/>
              <w:autoSpaceDE/>
              <w:autoSpaceDN/>
              <w:adjustRightInd/>
              <w:jc w:val="right"/>
              <w:rPr>
                <w:rFonts w:eastAsiaTheme="minorHAnsi"/>
                <w:b/>
                <w:bCs/>
                <w:i/>
                <w:iCs/>
                <w:sz w:val="20"/>
                <w:szCs w:val="20"/>
              </w:rPr>
            </w:pPr>
            <w:r>
              <w:rPr>
                <w:b/>
                <w:bCs/>
                <w:color w:val="000000"/>
                <w:sz w:val="20"/>
                <w:szCs w:val="20"/>
              </w:rPr>
              <w:t>13</w:t>
            </w:r>
          </w:p>
        </w:tc>
        <w:tc>
          <w:tcPr>
            <w:tcW w:w="990" w:type="dxa"/>
            <w:shd w:val="clear" w:color="auto" w:fill="000000" w:themeFill="text1"/>
            <w:noWrap/>
            <w:vAlign w:val="bottom"/>
            <w:hideMark/>
          </w:tcPr>
          <w:p w:rsidR="009005E2" w:rsidRPr="005C6CA9" w:rsidP="009005E2" w14:paraId="0F639377" w14:textId="5D0CFBB9">
            <w:pPr>
              <w:widowControl/>
              <w:autoSpaceDE/>
              <w:autoSpaceDN/>
              <w:adjustRightInd/>
              <w:jc w:val="right"/>
              <w:rPr>
                <w:rFonts w:eastAsiaTheme="minorHAnsi"/>
                <w:b/>
                <w:bCs/>
                <w:i/>
                <w:iCs/>
                <w:sz w:val="20"/>
                <w:szCs w:val="20"/>
              </w:rPr>
            </w:pPr>
            <w:r>
              <w:rPr>
                <w:b/>
                <w:bCs/>
                <w:color w:val="000000"/>
                <w:sz w:val="20"/>
                <w:szCs w:val="20"/>
              </w:rPr>
              <w:t> </w:t>
            </w:r>
          </w:p>
        </w:tc>
        <w:tc>
          <w:tcPr>
            <w:tcW w:w="1080" w:type="dxa"/>
            <w:noWrap/>
            <w:vAlign w:val="bottom"/>
            <w:hideMark/>
          </w:tcPr>
          <w:p w:rsidR="009005E2" w:rsidRPr="005C6CA9" w:rsidP="009005E2" w14:paraId="7A1D0189" w14:textId="58018954">
            <w:pPr>
              <w:widowControl/>
              <w:autoSpaceDE/>
              <w:autoSpaceDN/>
              <w:adjustRightInd/>
              <w:jc w:val="right"/>
              <w:rPr>
                <w:rFonts w:eastAsiaTheme="minorHAnsi"/>
                <w:b/>
                <w:bCs/>
                <w:i/>
                <w:iCs/>
                <w:sz w:val="20"/>
                <w:szCs w:val="20"/>
              </w:rPr>
            </w:pPr>
            <w:r>
              <w:rPr>
                <w:b/>
                <w:bCs/>
                <w:color w:val="000000"/>
                <w:sz w:val="20"/>
                <w:szCs w:val="20"/>
              </w:rPr>
              <w:t xml:space="preserve">$1,033 </w:t>
            </w:r>
          </w:p>
        </w:tc>
      </w:tr>
    </w:tbl>
    <w:bookmarkEnd w:id="31"/>
    <w:bookmarkEnd w:id="32"/>
    <w:p w:rsidR="00D02861" w:rsidRPr="005C6CA9" w:rsidP="005C6CA9" w14:paraId="29B66DF6" w14:textId="4EC9B1FC">
      <w:pPr>
        <w:keepLines/>
        <w:autoSpaceDE/>
        <w:autoSpaceDN/>
        <w:adjustRightInd/>
      </w:pPr>
      <w:r w:rsidRPr="005C6CA9">
        <w:rPr>
          <w:sz w:val="20"/>
          <w:szCs w:val="20"/>
        </w:rPr>
        <w:t>Note: The number of responses per respondent is calculated by dividing the number of responses by the number of respondents and round</w:t>
      </w:r>
      <w:r w:rsidR="00156372">
        <w:rPr>
          <w:sz w:val="20"/>
          <w:szCs w:val="20"/>
        </w:rPr>
        <w:t>ing</w:t>
      </w:r>
      <w:r w:rsidRPr="005C6CA9">
        <w:rPr>
          <w:sz w:val="20"/>
          <w:szCs w:val="20"/>
        </w:rPr>
        <w:t>.</w:t>
      </w:r>
    </w:p>
    <w:p w:rsidR="001818EC" w:rsidP="005C6CA9" w14:paraId="12783293" w14:textId="77777777">
      <w:pPr>
        <w:widowControl/>
        <w:autoSpaceDE/>
        <w:autoSpaceDN/>
        <w:adjustRightInd/>
        <w:rPr>
          <w:bCs/>
          <w:sz w:val="20"/>
          <w:szCs w:val="20"/>
        </w:rPr>
      </w:pPr>
    </w:p>
    <w:p w:rsidR="001818EC" w:rsidRPr="005C6CA9" w:rsidP="00E13ED7" w14:paraId="2417016B" w14:textId="1034DF0C">
      <w:pPr>
        <w:pStyle w:val="ListParagraph"/>
        <w:numPr>
          <w:ilvl w:val="0"/>
          <w:numId w:val="27"/>
        </w:numPr>
        <w:spacing w:after="0" w:line="240" w:lineRule="auto"/>
        <w:rPr>
          <w:b/>
          <w:bCs/>
          <w:szCs w:val="24"/>
        </w:rPr>
      </w:pPr>
      <w:r w:rsidRPr="001818EC">
        <w:rPr>
          <w:b/>
          <w:bCs/>
          <w:szCs w:val="24"/>
        </w:rPr>
        <w:t xml:space="preserve">Submitting </w:t>
      </w:r>
      <w:r>
        <w:rPr>
          <w:b/>
          <w:bCs/>
          <w:szCs w:val="24"/>
        </w:rPr>
        <w:t xml:space="preserve">Smoking </w:t>
      </w:r>
      <w:r w:rsidR="00074445">
        <w:rPr>
          <w:b/>
          <w:bCs/>
          <w:szCs w:val="24"/>
        </w:rPr>
        <w:t xml:space="preserve">Prevention </w:t>
      </w:r>
      <w:r>
        <w:rPr>
          <w:b/>
          <w:bCs/>
          <w:szCs w:val="24"/>
        </w:rPr>
        <w:t>Programs</w:t>
      </w:r>
    </w:p>
    <w:p w:rsidR="001818EC" w:rsidRPr="005C6CA9" w:rsidP="001818EC" w14:paraId="549B5F49" w14:textId="77777777"/>
    <w:p w:rsidR="00BA10E2" w:rsidRPr="006134B7" w:rsidP="006134B7" w14:paraId="0C5F5357" w14:textId="2BC77D5F">
      <w:pPr>
        <w:rPr>
          <w:color w:val="000000"/>
        </w:rPr>
      </w:pPr>
      <w:r>
        <w:t>Under 30 CFR 75.1702-1,</w:t>
      </w:r>
      <w:r w:rsidR="00C249E5">
        <w:t xml:space="preserve"> operators must submit their smoking prevention </w:t>
      </w:r>
      <w:r w:rsidR="00511565">
        <w:t>programs</w:t>
      </w:r>
      <w:r w:rsidR="00C249E5">
        <w:t xml:space="preserve"> to MSHA for approval. </w:t>
      </w:r>
      <w:r>
        <w:t>Operators choose to submit programs via email</w:t>
      </w:r>
      <w:r w:rsidRPr="002B05F7">
        <w:t xml:space="preserve"> </w:t>
      </w:r>
      <w:r>
        <w:t>roughly</w:t>
      </w:r>
      <w:r w:rsidRPr="002B05F7">
        <w:t xml:space="preserve"> 70 percent of the time</w:t>
      </w:r>
      <w:r w:rsidR="00C249E5">
        <w:t xml:space="preserve"> and </w:t>
      </w:r>
      <w:r w:rsidR="009D4AFC">
        <w:t xml:space="preserve">MSHA estimates that </w:t>
      </w:r>
      <w:r w:rsidR="00C249E5">
        <w:t>the labor cost to send these plans through email is de minimis.</w:t>
      </w:r>
      <w:r w:rsidR="00E24593">
        <w:t xml:space="preserve"> MSHA estimates that the other 30 percent </w:t>
      </w:r>
      <w:r w:rsidR="009D4AFC">
        <w:t xml:space="preserve">of </w:t>
      </w:r>
      <w:r w:rsidR="00156372">
        <w:t>the program</w:t>
      </w:r>
      <w:r w:rsidR="009D4AFC">
        <w:t xml:space="preserve">s will be </w:t>
      </w:r>
      <w:r w:rsidR="00156372">
        <w:t xml:space="preserve">submitted </w:t>
      </w:r>
      <w:r w:rsidR="009D4AFC">
        <w:t>physically</w:t>
      </w:r>
      <w:r w:rsidRPr="00E65B52" w:rsidR="00E65B52">
        <w:t xml:space="preserve"> </w:t>
      </w:r>
      <w:r w:rsidR="00E65B52">
        <w:t>through regular mail</w:t>
      </w:r>
      <w:r w:rsidR="00763803">
        <w:t>.</w:t>
      </w:r>
      <w:r w:rsidR="009D4AFC">
        <w:t xml:space="preserve"> </w:t>
      </w:r>
      <w:r w:rsidR="00763803">
        <w:t xml:space="preserve">This equates to </w:t>
      </w:r>
      <w:r w:rsidR="009D4AFC">
        <w:t>roughly</w:t>
      </w:r>
      <w:r w:rsidR="00E24593">
        <w:t xml:space="preserve"> 8</w:t>
      </w:r>
      <w:r w:rsidR="009D4AFC">
        <w:t xml:space="preserve"> programs per year.</w:t>
      </w:r>
      <w:r w:rsidR="00E24593">
        <w:t xml:space="preserve"> </w:t>
      </w:r>
    </w:p>
    <w:p w:rsidR="00BA10E2" w:rsidP="00435EBD" w14:paraId="1B39AF9D" w14:textId="77777777">
      <w:pPr>
        <w:keepLines/>
        <w:tabs>
          <w:tab w:val="left" w:pos="8640"/>
        </w:tabs>
        <w:autoSpaceDE/>
        <w:autoSpaceDN/>
        <w:adjustRightInd/>
      </w:pPr>
    </w:p>
    <w:p w:rsidR="001E1896" w:rsidP="00435EBD" w14:paraId="07F57D11" w14:textId="77777777">
      <w:pPr>
        <w:keepLines/>
        <w:tabs>
          <w:tab w:val="left" w:pos="8640"/>
        </w:tabs>
        <w:autoSpaceDE/>
        <w:autoSpaceDN/>
        <w:adjustRightInd/>
        <w:rPr>
          <w:b/>
          <w:bCs/>
        </w:rPr>
      </w:pPr>
    </w:p>
    <w:p w:rsidR="00BA10E2" w:rsidP="00435EBD" w14:paraId="03A3E81E" w14:textId="4FBC5AD5">
      <w:pPr>
        <w:keepLines/>
        <w:tabs>
          <w:tab w:val="left" w:pos="8640"/>
        </w:tabs>
        <w:autoSpaceDE/>
        <w:autoSpaceDN/>
        <w:adjustRightInd/>
      </w:pPr>
      <w:r w:rsidRPr="00F00032">
        <w:rPr>
          <w:b/>
          <w:bCs/>
        </w:rPr>
        <w:t>Table 12-3</w:t>
      </w:r>
      <w:r w:rsidR="00156372">
        <w:rPr>
          <w:b/>
          <w:bCs/>
        </w:rPr>
        <w:t>A</w:t>
      </w:r>
      <w:r w:rsidRPr="00F00032">
        <w:rPr>
          <w:b/>
          <w:bCs/>
        </w:rPr>
        <w:t>. Number of Smoking Programs</w:t>
      </w:r>
      <w:r w:rsidR="00074445">
        <w:rPr>
          <w:b/>
          <w:bCs/>
        </w:rPr>
        <w:t xml:space="preserve"> Submitted Physically</w:t>
      </w:r>
    </w:p>
    <w:tbl>
      <w:tblPr>
        <w:tblW w:w="8075" w:type="dxa"/>
        <w:tblInd w:w="-5" w:type="dxa"/>
        <w:tblLook w:val="04A0"/>
      </w:tblPr>
      <w:tblGrid>
        <w:gridCol w:w="2772"/>
        <w:gridCol w:w="1278"/>
        <w:gridCol w:w="1415"/>
        <w:gridCol w:w="2610"/>
      </w:tblGrid>
      <w:tr w14:paraId="663656A4" w14:textId="77777777" w:rsidTr="006134B7">
        <w:tblPrEx>
          <w:tblW w:w="8075" w:type="dxa"/>
          <w:tblInd w:w="-5" w:type="dxa"/>
          <w:tblLook w:val="04A0"/>
        </w:tblPrEx>
        <w:trPr>
          <w:trHeight w:val="432"/>
        </w:trPr>
        <w:tc>
          <w:tcPr>
            <w:tcW w:w="277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rsidR="00F00032" w:rsidRPr="006134B7" w:rsidP="006134B7" w14:paraId="3D35A06D" w14:textId="1918D06A">
            <w:pPr>
              <w:widowControl/>
              <w:autoSpaceDE/>
              <w:autoSpaceDN/>
              <w:adjustRightInd/>
              <w:rPr>
                <w:color w:val="000000"/>
                <w:sz w:val="20"/>
                <w:szCs w:val="20"/>
              </w:rPr>
            </w:pPr>
          </w:p>
        </w:tc>
        <w:tc>
          <w:tcPr>
            <w:tcW w:w="1278"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rsidR="00F00032" w:rsidRPr="006134B7" w:rsidP="009D4AFC" w14:paraId="4D5855CE" w14:textId="33288200">
            <w:pPr>
              <w:widowControl/>
              <w:autoSpaceDE/>
              <w:autoSpaceDN/>
              <w:adjustRightInd/>
              <w:jc w:val="center"/>
              <w:rPr>
                <w:color w:val="000000"/>
                <w:sz w:val="20"/>
                <w:szCs w:val="20"/>
              </w:rPr>
            </w:pPr>
            <w:r w:rsidRPr="006134B7">
              <w:rPr>
                <w:color w:val="000000"/>
                <w:sz w:val="20"/>
                <w:szCs w:val="20"/>
              </w:rPr>
              <w:t xml:space="preserve">Number of </w:t>
            </w:r>
            <w:r w:rsidRPr="006134B7" w:rsidR="00CF297F">
              <w:rPr>
                <w:color w:val="000000"/>
                <w:sz w:val="20"/>
                <w:szCs w:val="20"/>
              </w:rPr>
              <w:t>Programs</w:t>
            </w:r>
          </w:p>
        </w:tc>
        <w:tc>
          <w:tcPr>
            <w:tcW w:w="1415"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rsidR="00F00032" w:rsidRPr="006134B7" w:rsidP="009D4AFC" w14:paraId="50E0A25E" w14:textId="3D566552">
            <w:pPr>
              <w:widowControl/>
              <w:autoSpaceDE/>
              <w:autoSpaceDN/>
              <w:adjustRightInd/>
              <w:jc w:val="center"/>
              <w:rPr>
                <w:color w:val="000000"/>
                <w:sz w:val="20"/>
                <w:szCs w:val="20"/>
              </w:rPr>
            </w:pPr>
            <w:r w:rsidRPr="006134B7">
              <w:rPr>
                <w:color w:val="000000"/>
                <w:sz w:val="20"/>
                <w:szCs w:val="20"/>
              </w:rPr>
              <w:t xml:space="preserve">Share of </w:t>
            </w:r>
            <w:r w:rsidR="00E65B52">
              <w:rPr>
                <w:color w:val="000000"/>
                <w:sz w:val="20"/>
                <w:szCs w:val="20"/>
              </w:rPr>
              <w:t>Programs</w:t>
            </w:r>
            <w:r w:rsidRPr="006134B7" w:rsidR="009D4AFC">
              <w:rPr>
                <w:color w:val="000000"/>
                <w:sz w:val="20"/>
                <w:szCs w:val="20"/>
              </w:rPr>
              <w:t xml:space="preserve"> Submi</w:t>
            </w:r>
            <w:r w:rsidR="00074445">
              <w:rPr>
                <w:color w:val="000000"/>
                <w:sz w:val="20"/>
                <w:szCs w:val="20"/>
              </w:rPr>
              <w:t>tted Physically</w:t>
            </w:r>
          </w:p>
        </w:tc>
        <w:tc>
          <w:tcPr>
            <w:tcW w:w="261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rsidR="00F00032" w:rsidRPr="006134B7" w:rsidP="009D4AFC" w14:paraId="54C1C484" w14:textId="749B8810">
            <w:pPr>
              <w:widowControl/>
              <w:autoSpaceDE/>
              <w:autoSpaceDN/>
              <w:adjustRightInd/>
              <w:jc w:val="center"/>
              <w:rPr>
                <w:color w:val="000000"/>
                <w:sz w:val="20"/>
                <w:szCs w:val="20"/>
              </w:rPr>
            </w:pPr>
            <w:r w:rsidRPr="006134B7">
              <w:rPr>
                <w:color w:val="000000"/>
                <w:sz w:val="20"/>
                <w:szCs w:val="20"/>
              </w:rPr>
              <w:t xml:space="preserve">Number of Programs </w:t>
            </w:r>
            <w:r w:rsidR="00074445">
              <w:rPr>
                <w:color w:val="000000"/>
                <w:sz w:val="20"/>
                <w:szCs w:val="20"/>
              </w:rPr>
              <w:t xml:space="preserve">with a Physical Submission </w:t>
            </w:r>
            <w:r w:rsidRPr="006134B7">
              <w:rPr>
                <w:color w:val="000000"/>
                <w:sz w:val="20"/>
                <w:szCs w:val="20"/>
              </w:rPr>
              <w:t>(Rounded)</w:t>
            </w:r>
          </w:p>
        </w:tc>
      </w:tr>
      <w:tr w14:paraId="45C835C2" w14:textId="77777777" w:rsidTr="00074445">
        <w:tblPrEx>
          <w:tblW w:w="8075" w:type="dxa"/>
          <w:tblInd w:w="-5" w:type="dxa"/>
          <w:tblLook w:val="04A0"/>
        </w:tblPrEx>
        <w:trPr>
          <w:trHeight w:val="144"/>
        </w:trPr>
        <w:tc>
          <w:tcPr>
            <w:tcW w:w="2772" w:type="dxa"/>
            <w:tcBorders>
              <w:top w:val="nil"/>
              <w:left w:val="single" w:sz="4" w:space="0" w:color="auto"/>
              <w:bottom w:val="single" w:sz="4" w:space="0" w:color="auto"/>
              <w:right w:val="single" w:sz="4" w:space="0" w:color="auto"/>
            </w:tcBorders>
            <w:vAlign w:val="bottom"/>
            <w:hideMark/>
          </w:tcPr>
          <w:p w:rsidR="00F00032" w:rsidRPr="006134B7" w:rsidP="009D4AFC" w14:paraId="26CABB80" w14:textId="4281284C">
            <w:pPr>
              <w:widowControl/>
              <w:autoSpaceDE/>
              <w:autoSpaceDN/>
              <w:adjustRightInd/>
              <w:rPr>
                <w:color w:val="000000"/>
                <w:sz w:val="20"/>
                <w:szCs w:val="20"/>
              </w:rPr>
            </w:pPr>
            <w:r>
              <w:rPr>
                <w:color w:val="000000"/>
                <w:sz w:val="20"/>
                <w:szCs w:val="20"/>
              </w:rPr>
              <w:t xml:space="preserve">Smoking Prevention </w:t>
            </w:r>
            <w:r w:rsidRPr="006134B7" w:rsidR="00CF297F">
              <w:rPr>
                <w:color w:val="000000"/>
                <w:sz w:val="20"/>
                <w:szCs w:val="20"/>
              </w:rPr>
              <w:t>Programs</w:t>
            </w:r>
          </w:p>
        </w:tc>
        <w:tc>
          <w:tcPr>
            <w:tcW w:w="1278" w:type="dxa"/>
            <w:tcBorders>
              <w:top w:val="nil"/>
              <w:left w:val="nil"/>
              <w:bottom w:val="single" w:sz="4" w:space="0" w:color="auto"/>
              <w:right w:val="single" w:sz="4" w:space="0" w:color="auto"/>
            </w:tcBorders>
            <w:noWrap/>
            <w:vAlign w:val="bottom"/>
            <w:hideMark/>
          </w:tcPr>
          <w:p w:rsidR="00F00032" w:rsidRPr="006134B7" w:rsidP="00F00032" w14:paraId="4A87F6BD" w14:textId="77777777">
            <w:pPr>
              <w:widowControl/>
              <w:autoSpaceDE/>
              <w:autoSpaceDN/>
              <w:adjustRightInd/>
              <w:jc w:val="right"/>
              <w:rPr>
                <w:color w:val="000000"/>
                <w:sz w:val="20"/>
                <w:szCs w:val="20"/>
              </w:rPr>
            </w:pPr>
            <w:r w:rsidRPr="006134B7">
              <w:rPr>
                <w:color w:val="000000"/>
                <w:sz w:val="20"/>
                <w:szCs w:val="20"/>
              </w:rPr>
              <w:t>25</w:t>
            </w:r>
          </w:p>
        </w:tc>
        <w:tc>
          <w:tcPr>
            <w:tcW w:w="1415" w:type="dxa"/>
            <w:tcBorders>
              <w:top w:val="nil"/>
              <w:left w:val="nil"/>
              <w:bottom w:val="single" w:sz="4" w:space="0" w:color="auto"/>
              <w:right w:val="single" w:sz="4" w:space="0" w:color="auto"/>
            </w:tcBorders>
            <w:noWrap/>
            <w:vAlign w:val="bottom"/>
            <w:hideMark/>
          </w:tcPr>
          <w:p w:rsidR="00F00032" w:rsidRPr="006134B7" w:rsidP="00F00032" w14:paraId="5D11974F" w14:textId="77777777">
            <w:pPr>
              <w:widowControl/>
              <w:autoSpaceDE/>
              <w:autoSpaceDN/>
              <w:adjustRightInd/>
              <w:jc w:val="right"/>
              <w:rPr>
                <w:color w:val="000000"/>
                <w:sz w:val="20"/>
                <w:szCs w:val="20"/>
              </w:rPr>
            </w:pPr>
            <w:r w:rsidRPr="006134B7">
              <w:rPr>
                <w:color w:val="000000"/>
                <w:sz w:val="20"/>
                <w:szCs w:val="20"/>
              </w:rPr>
              <w:t>30%</w:t>
            </w:r>
          </w:p>
        </w:tc>
        <w:tc>
          <w:tcPr>
            <w:tcW w:w="2610" w:type="dxa"/>
            <w:tcBorders>
              <w:top w:val="nil"/>
              <w:left w:val="nil"/>
              <w:bottom w:val="single" w:sz="4" w:space="0" w:color="auto"/>
              <w:right w:val="single" w:sz="4" w:space="0" w:color="auto"/>
            </w:tcBorders>
            <w:noWrap/>
            <w:vAlign w:val="bottom"/>
            <w:hideMark/>
          </w:tcPr>
          <w:p w:rsidR="00F00032" w:rsidRPr="006134B7" w:rsidP="00F00032" w14:paraId="06E6AC10" w14:textId="77777777">
            <w:pPr>
              <w:widowControl/>
              <w:autoSpaceDE/>
              <w:autoSpaceDN/>
              <w:adjustRightInd/>
              <w:jc w:val="right"/>
              <w:rPr>
                <w:color w:val="000000"/>
                <w:sz w:val="20"/>
                <w:szCs w:val="20"/>
              </w:rPr>
            </w:pPr>
            <w:r w:rsidRPr="006134B7">
              <w:rPr>
                <w:color w:val="000000"/>
                <w:sz w:val="20"/>
                <w:szCs w:val="20"/>
              </w:rPr>
              <w:t>8</w:t>
            </w:r>
          </w:p>
        </w:tc>
      </w:tr>
      <w:tr w14:paraId="49968BC2" w14:textId="77777777" w:rsidTr="00074445">
        <w:tblPrEx>
          <w:tblW w:w="8075" w:type="dxa"/>
          <w:tblInd w:w="-5" w:type="dxa"/>
          <w:tblLook w:val="04A0"/>
        </w:tblPrEx>
        <w:trPr>
          <w:trHeight w:val="144"/>
        </w:trPr>
        <w:tc>
          <w:tcPr>
            <w:tcW w:w="2772" w:type="dxa"/>
            <w:tcBorders>
              <w:top w:val="nil"/>
              <w:left w:val="single" w:sz="4" w:space="0" w:color="auto"/>
              <w:bottom w:val="single" w:sz="4" w:space="0" w:color="auto"/>
              <w:right w:val="single" w:sz="4" w:space="0" w:color="auto"/>
            </w:tcBorders>
            <w:noWrap/>
            <w:vAlign w:val="bottom"/>
            <w:hideMark/>
          </w:tcPr>
          <w:p w:rsidR="00F00032" w:rsidRPr="006134B7" w:rsidP="009D4AFC" w14:paraId="373282C6" w14:textId="77777777">
            <w:pPr>
              <w:widowControl/>
              <w:autoSpaceDE/>
              <w:autoSpaceDN/>
              <w:adjustRightInd/>
              <w:rPr>
                <w:b/>
                <w:bCs/>
                <w:i/>
                <w:iCs/>
                <w:color w:val="000000"/>
                <w:sz w:val="20"/>
                <w:szCs w:val="20"/>
              </w:rPr>
            </w:pPr>
            <w:r w:rsidRPr="006134B7">
              <w:rPr>
                <w:b/>
                <w:bCs/>
                <w:i/>
                <w:iCs/>
                <w:color w:val="000000"/>
                <w:sz w:val="20"/>
                <w:szCs w:val="20"/>
              </w:rPr>
              <w:t>Subtotal (Rounded)</w:t>
            </w:r>
          </w:p>
        </w:tc>
        <w:tc>
          <w:tcPr>
            <w:tcW w:w="1278" w:type="dxa"/>
            <w:tcBorders>
              <w:top w:val="nil"/>
              <w:left w:val="nil"/>
              <w:bottom w:val="single" w:sz="4" w:space="0" w:color="auto"/>
              <w:right w:val="single" w:sz="4" w:space="0" w:color="auto"/>
            </w:tcBorders>
            <w:noWrap/>
            <w:vAlign w:val="bottom"/>
            <w:hideMark/>
          </w:tcPr>
          <w:p w:rsidR="00F00032" w:rsidRPr="006134B7" w:rsidP="00F00032" w14:paraId="27CFBD4C" w14:textId="77777777">
            <w:pPr>
              <w:widowControl/>
              <w:autoSpaceDE/>
              <w:autoSpaceDN/>
              <w:adjustRightInd/>
              <w:jc w:val="right"/>
              <w:rPr>
                <w:b/>
                <w:bCs/>
                <w:i/>
                <w:iCs/>
                <w:color w:val="000000"/>
                <w:sz w:val="20"/>
                <w:szCs w:val="20"/>
              </w:rPr>
            </w:pPr>
            <w:r w:rsidRPr="006134B7">
              <w:rPr>
                <w:b/>
                <w:bCs/>
                <w:i/>
                <w:iCs/>
                <w:color w:val="000000"/>
                <w:sz w:val="20"/>
                <w:szCs w:val="20"/>
              </w:rPr>
              <w:t>25</w:t>
            </w:r>
          </w:p>
        </w:tc>
        <w:tc>
          <w:tcPr>
            <w:tcW w:w="1415" w:type="dxa"/>
            <w:tcBorders>
              <w:top w:val="nil"/>
              <w:left w:val="nil"/>
              <w:bottom w:val="single" w:sz="4" w:space="0" w:color="auto"/>
              <w:right w:val="single" w:sz="4" w:space="0" w:color="auto"/>
            </w:tcBorders>
            <w:shd w:val="clear" w:color="000000" w:fill="000000"/>
            <w:noWrap/>
            <w:vAlign w:val="bottom"/>
            <w:hideMark/>
          </w:tcPr>
          <w:p w:rsidR="00F00032" w:rsidRPr="006134B7" w:rsidP="00F00032" w14:paraId="679DDE81" w14:textId="77777777">
            <w:pPr>
              <w:widowControl/>
              <w:autoSpaceDE/>
              <w:autoSpaceDN/>
              <w:adjustRightInd/>
              <w:jc w:val="right"/>
              <w:rPr>
                <w:color w:val="000000"/>
                <w:sz w:val="20"/>
                <w:szCs w:val="20"/>
              </w:rPr>
            </w:pPr>
            <w:r w:rsidRPr="006134B7">
              <w:rPr>
                <w:color w:val="000000"/>
                <w:sz w:val="20"/>
                <w:szCs w:val="20"/>
              </w:rPr>
              <w:t> </w:t>
            </w:r>
          </w:p>
        </w:tc>
        <w:tc>
          <w:tcPr>
            <w:tcW w:w="2610" w:type="dxa"/>
            <w:tcBorders>
              <w:top w:val="nil"/>
              <w:left w:val="nil"/>
              <w:bottom w:val="single" w:sz="4" w:space="0" w:color="auto"/>
              <w:right w:val="single" w:sz="4" w:space="0" w:color="auto"/>
            </w:tcBorders>
            <w:noWrap/>
            <w:vAlign w:val="bottom"/>
            <w:hideMark/>
          </w:tcPr>
          <w:p w:rsidR="00F00032" w:rsidRPr="006134B7" w:rsidP="00F00032" w14:paraId="2E6DE929" w14:textId="77777777">
            <w:pPr>
              <w:widowControl/>
              <w:autoSpaceDE/>
              <w:autoSpaceDN/>
              <w:adjustRightInd/>
              <w:jc w:val="right"/>
              <w:rPr>
                <w:b/>
                <w:bCs/>
                <w:i/>
                <w:iCs/>
                <w:color w:val="000000"/>
                <w:sz w:val="20"/>
                <w:szCs w:val="20"/>
              </w:rPr>
            </w:pPr>
            <w:r w:rsidRPr="006134B7">
              <w:rPr>
                <w:b/>
                <w:bCs/>
                <w:i/>
                <w:iCs/>
                <w:color w:val="000000"/>
                <w:sz w:val="20"/>
                <w:szCs w:val="20"/>
              </w:rPr>
              <w:t>8</w:t>
            </w:r>
          </w:p>
        </w:tc>
      </w:tr>
    </w:tbl>
    <w:p w:rsidR="00BA10E2" w:rsidP="00435EBD" w14:paraId="1CFE31DC" w14:textId="77777777">
      <w:pPr>
        <w:keepLines/>
        <w:tabs>
          <w:tab w:val="left" w:pos="8640"/>
        </w:tabs>
        <w:autoSpaceDE/>
        <w:autoSpaceDN/>
        <w:adjustRightInd/>
      </w:pPr>
    </w:p>
    <w:p w:rsidR="001818EC" w:rsidP="00435EBD" w14:paraId="1E5C804A" w14:textId="2DC81088">
      <w:pPr>
        <w:keepLines/>
        <w:tabs>
          <w:tab w:val="left" w:pos="8640"/>
        </w:tabs>
        <w:autoSpaceDE/>
        <w:autoSpaceDN/>
        <w:adjustRightInd/>
      </w:pPr>
      <w:r>
        <w:t>MSHA estimates</w:t>
      </w:r>
      <w:r w:rsidR="00E65B52">
        <w:t xml:space="preserve"> that it takes </w:t>
      </w:r>
      <w:r>
        <w:t xml:space="preserve">a clerk, earning $38.44 per hour, 1 minute to </w:t>
      </w:r>
      <w:r w:rsidR="00BF6073">
        <w:t>print and</w:t>
      </w:r>
      <w:r w:rsidR="00E65B52">
        <w:t xml:space="preserve"> submit a hard copy of the smoking prevention program </w:t>
      </w:r>
      <w:r w:rsidR="009D4AFC">
        <w:t>for submission to</w:t>
      </w:r>
      <w:r>
        <w:t xml:space="preserve"> MSHA.</w:t>
      </w:r>
      <w:r w:rsidRPr="00E65B52" w:rsidR="00E65B52">
        <w:t xml:space="preserve"> </w:t>
      </w:r>
    </w:p>
    <w:p w:rsidR="001818EC" w:rsidP="00435EBD" w14:paraId="3D86C169" w14:textId="77777777">
      <w:pPr>
        <w:keepLines/>
        <w:tabs>
          <w:tab w:val="left" w:pos="8640"/>
        </w:tabs>
        <w:autoSpaceDE/>
        <w:autoSpaceDN/>
        <w:adjustRightInd/>
      </w:pPr>
    </w:p>
    <w:p w:rsidR="00012D29" w:rsidRPr="005C6CA9" w:rsidP="00012D29" w14:paraId="6EED807C" w14:textId="6F2F0373">
      <w:pPr>
        <w:widowControl/>
        <w:autoSpaceDE/>
        <w:autoSpaceDN/>
        <w:adjustRightInd/>
        <w:rPr>
          <w:b/>
          <w:bCs/>
          <w:color w:val="000000"/>
        </w:rPr>
      </w:pPr>
      <w:r w:rsidRPr="005C6CA9">
        <w:rPr>
          <w:b/>
          <w:bCs/>
          <w:color w:val="000000"/>
        </w:rPr>
        <w:t>Table 12-</w:t>
      </w:r>
      <w:r w:rsidR="00BF6073">
        <w:rPr>
          <w:b/>
          <w:bCs/>
          <w:color w:val="000000"/>
        </w:rPr>
        <w:t>3</w:t>
      </w:r>
      <w:r w:rsidRPr="005C6CA9">
        <w:rPr>
          <w:b/>
          <w:bCs/>
          <w:color w:val="000000"/>
        </w:rPr>
        <w:t xml:space="preserve">. Estimated Annual Respondent Hour and Cost Burden, </w:t>
      </w:r>
      <w:r w:rsidR="00AA4DBF">
        <w:rPr>
          <w:b/>
          <w:bCs/>
          <w:color w:val="000000"/>
        </w:rPr>
        <w:t xml:space="preserve">Submitting Smoking </w:t>
      </w:r>
      <w:r w:rsidR="00016DB4">
        <w:rPr>
          <w:b/>
          <w:bCs/>
          <w:color w:val="000000"/>
        </w:rPr>
        <w:t xml:space="preserve">Prevention </w:t>
      </w:r>
      <w:r w:rsidR="00AA4DBF">
        <w:rPr>
          <w:b/>
          <w:bCs/>
          <w:color w:val="000000"/>
        </w:rPr>
        <w:t xml:space="preserve">Programs </w:t>
      </w:r>
      <w:r w:rsidRPr="00145B94">
        <w:rPr>
          <w:b/>
          <w:bCs/>
          <w:color w:val="000000"/>
        </w:rPr>
        <w:t>(30 CFR 75.1702-1)</w:t>
      </w:r>
    </w:p>
    <w:tbl>
      <w:tblPr>
        <w:tblStyle w:val="TableGrid"/>
        <w:tblW w:w="9445" w:type="dxa"/>
        <w:tblLayout w:type="fixed"/>
        <w:tblLook w:val="04A0"/>
      </w:tblPr>
      <w:tblGrid>
        <w:gridCol w:w="1525"/>
        <w:gridCol w:w="1260"/>
        <w:gridCol w:w="1350"/>
        <w:gridCol w:w="1170"/>
        <w:gridCol w:w="1080"/>
        <w:gridCol w:w="990"/>
        <w:gridCol w:w="990"/>
        <w:gridCol w:w="1080"/>
      </w:tblGrid>
      <w:tr w14:paraId="0474A653" w14:textId="77777777" w:rsidTr="00A32C2C">
        <w:tblPrEx>
          <w:tblW w:w="9445" w:type="dxa"/>
          <w:tblLayout w:type="fixed"/>
          <w:tblLook w:val="04A0"/>
        </w:tblPrEx>
        <w:trPr>
          <w:trHeight w:val="747"/>
        </w:trPr>
        <w:tc>
          <w:tcPr>
            <w:tcW w:w="1525" w:type="dxa"/>
            <w:shd w:val="clear" w:color="auto" w:fill="8EAADB" w:themeFill="accent1" w:themeFillTint="99"/>
            <w:vAlign w:val="center"/>
            <w:hideMark/>
          </w:tcPr>
          <w:p w:rsidR="00012D29" w:rsidRPr="005C6CA9" w:rsidP="00A32C2C" w14:paraId="2867189F" w14:textId="77777777">
            <w:pPr>
              <w:widowControl/>
              <w:autoSpaceDE/>
              <w:autoSpaceDN/>
              <w:adjustRightInd/>
              <w:rPr>
                <w:rFonts w:eastAsiaTheme="minorHAnsi"/>
                <w:sz w:val="20"/>
                <w:szCs w:val="20"/>
              </w:rPr>
            </w:pPr>
            <w:r w:rsidRPr="005C6CA9">
              <w:rPr>
                <w:rFonts w:eastAsiaTheme="minorHAnsi"/>
                <w:sz w:val="20"/>
                <w:szCs w:val="20"/>
              </w:rPr>
              <w:t>Activity (Occupation)</w:t>
            </w:r>
          </w:p>
        </w:tc>
        <w:tc>
          <w:tcPr>
            <w:tcW w:w="1260" w:type="dxa"/>
            <w:shd w:val="clear" w:color="auto" w:fill="8EAADB" w:themeFill="accent1" w:themeFillTint="99"/>
            <w:vAlign w:val="center"/>
            <w:hideMark/>
          </w:tcPr>
          <w:p w:rsidR="00012D29" w:rsidRPr="005C6CA9" w:rsidP="00A32C2C" w14:paraId="1628641B" w14:textId="77777777">
            <w:pPr>
              <w:widowControl/>
              <w:autoSpaceDE/>
              <w:autoSpaceDN/>
              <w:adjustRightInd/>
              <w:jc w:val="center"/>
              <w:rPr>
                <w:rFonts w:eastAsiaTheme="minorHAnsi"/>
                <w:sz w:val="20"/>
                <w:szCs w:val="20"/>
              </w:rPr>
            </w:pPr>
            <w:r w:rsidRPr="005C6CA9">
              <w:rPr>
                <w:rFonts w:eastAsiaTheme="minorHAnsi"/>
                <w:sz w:val="20"/>
                <w:szCs w:val="20"/>
              </w:rPr>
              <w:t>Number of Respondents</w:t>
            </w:r>
          </w:p>
          <w:p w:rsidR="00012D29" w:rsidRPr="005C6CA9" w:rsidP="00A32C2C" w14:paraId="26951935" w14:textId="77777777">
            <w:pPr>
              <w:widowControl/>
              <w:autoSpaceDE/>
              <w:autoSpaceDN/>
              <w:adjustRightInd/>
              <w:jc w:val="center"/>
              <w:rPr>
                <w:rFonts w:eastAsiaTheme="minorHAnsi"/>
                <w:sz w:val="20"/>
                <w:szCs w:val="20"/>
              </w:rPr>
            </w:pPr>
            <w:r w:rsidRPr="005C6CA9">
              <w:rPr>
                <w:rFonts w:eastAsiaTheme="minorHAnsi"/>
                <w:sz w:val="20"/>
                <w:szCs w:val="20"/>
              </w:rPr>
              <w:t>(</w:t>
            </w:r>
            <w:r>
              <w:rPr>
                <w:rFonts w:eastAsiaTheme="minorHAnsi"/>
                <w:sz w:val="20"/>
                <w:szCs w:val="20"/>
              </w:rPr>
              <w:t>Mines</w:t>
            </w:r>
            <w:r w:rsidRPr="005C6CA9">
              <w:rPr>
                <w:rFonts w:eastAsiaTheme="minorHAnsi"/>
                <w:sz w:val="20"/>
                <w:szCs w:val="20"/>
              </w:rPr>
              <w:t>)</w:t>
            </w:r>
          </w:p>
        </w:tc>
        <w:tc>
          <w:tcPr>
            <w:tcW w:w="1350" w:type="dxa"/>
            <w:shd w:val="clear" w:color="auto" w:fill="8EAADB" w:themeFill="accent1" w:themeFillTint="99"/>
            <w:vAlign w:val="center"/>
          </w:tcPr>
          <w:p w:rsidR="00012D29" w:rsidRPr="005C6CA9" w:rsidP="00A32C2C" w14:paraId="40F4BEFA" w14:textId="77777777">
            <w:pPr>
              <w:widowControl/>
              <w:autoSpaceDE/>
              <w:autoSpaceDN/>
              <w:adjustRightInd/>
              <w:jc w:val="center"/>
              <w:rPr>
                <w:rFonts w:eastAsiaTheme="minorHAnsi"/>
                <w:sz w:val="20"/>
                <w:szCs w:val="20"/>
              </w:rPr>
            </w:pPr>
            <w:r w:rsidRPr="005C6CA9">
              <w:rPr>
                <w:rFonts w:eastAsiaTheme="minorHAnsi"/>
                <w:sz w:val="20"/>
                <w:szCs w:val="20"/>
              </w:rPr>
              <w:t>Number of Responses per Respondent</w:t>
            </w:r>
          </w:p>
        </w:tc>
        <w:tc>
          <w:tcPr>
            <w:tcW w:w="1170" w:type="dxa"/>
            <w:shd w:val="clear" w:color="auto" w:fill="8EAADB" w:themeFill="accent1" w:themeFillTint="99"/>
            <w:vAlign w:val="center"/>
          </w:tcPr>
          <w:p w:rsidR="00012D29" w:rsidRPr="005C6CA9" w:rsidP="00A32C2C" w14:paraId="084F438E" w14:textId="77777777">
            <w:pPr>
              <w:widowControl/>
              <w:autoSpaceDE/>
              <w:autoSpaceDN/>
              <w:adjustRightInd/>
              <w:jc w:val="center"/>
              <w:rPr>
                <w:rFonts w:eastAsiaTheme="minorHAnsi"/>
                <w:sz w:val="20"/>
                <w:szCs w:val="20"/>
              </w:rPr>
            </w:pPr>
            <w:r w:rsidRPr="005C6CA9">
              <w:rPr>
                <w:rFonts w:eastAsiaTheme="minorHAnsi"/>
                <w:sz w:val="20"/>
                <w:szCs w:val="20"/>
              </w:rPr>
              <w:t>Total Responses (</w:t>
            </w:r>
            <w:r>
              <w:rPr>
                <w:rFonts w:eastAsiaTheme="minorHAnsi"/>
                <w:sz w:val="20"/>
                <w:szCs w:val="20"/>
              </w:rPr>
              <w:t>Programs</w:t>
            </w:r>
            <w:r w:rsidRPr="005C6CA9">
              <w:rPr>
                <w:rFonts w:eastAsiaTheme="minorHAnsi"/>
                <w:sz w:val="20"/>
                <w:szCs w:val="20"/>
              </w:rPr>
              <w:t>)</w:t>
            </w:r>
          </w:p>
        </w:tc>
        <w:tc>
          <w:tcPr>
            <w:tcW w:w="1080" w:type="dxa"/>
            <w:shd w:val="clear" w:color="auto" w:fill="8EAADB" w:themeFill="accent1" w:themeFillTint="99"/>
            <w:vAlign w:val="center"/>
          </w:tcPr>
          <w:p w:rsidR="00012D29" w:rsidRPr="005C6CA9" w:rsidP="00A32C2C" w14:paraId="63DF640B" w14:textId="77777777">
            <w:pPr>
              <w:widowControl/>
              <w:autoSpaceDE/>
              <w:autoSpaceDN/>
              <w:adjustRightInd/>
              <w:jc w:val="center"/>
              <w:rPr>
                <w:rFonts w:eastAsiaTheme="minorHAnsi"/>
                <w:sz w:val="20"/>
                <w:szCs w:val="20"/>
              </w:rPr>
            </w:pPr>
            <w:r w:rsidRPr="005C6CA9">
              <w:rPr>
                <w:rFonts w:eastAsiaTheme="minorHAnsi"/>
                <w:sz w:val="20"/>
                <w:szCs w:val="20"/>
              </w:rPr>
              <w:t>Average Burden (Hours)</w:t>
            </w:r>
          </w:p>
        </w:tc>
        <w:tc>
          <w:tcPr>
            <w:tcW w:w="990" w:type="dxa"/>
            <w:shd w:val="clear" w:color="auto" w:fill="8EAADB" w:themeFill="accent1" w:themeFillTint="99"/>
            <w:vAlign w:val="center"/>
            <w:hideMark/>
          </w:tcPr>
          <w:p w:rsidR="00012D29" w:rsidRPr="005C6CA9" w:rsidP="00A32C2C" w14:paraId="0C0DE273" w14:textId="77777777">
            <w:pPr>
              <w:widowControl/>
              <w:autoSpaceDE/>
              <w:autoSpaceDN/>
              <w:adjustRightInd/>
              <w:jc w:val="center"/>
              <w:rPr>
                <w:rFonts w:eastAsiaTheme="minorHAnsi"/>
                <w:sz w:val="20"/>
                <w:szCs w:val="20"/>
              </w:rPr>
            </w:pPr>
            <w:r w:rsidRPr="005C6CA9">
              <w:rPr>
                <w:rFonts w:eastAsiaTheme="minorHAnsi"/>
                <w:sz w:val="20"/>
                <w:szCs w:val="20"/>
              </w:rPr>
              <w:t>Total Burden (Hours)</w:t>
            </w:r>
          </w:p>
        </w:tc>
        <w:tc>
          <w:tcPr>
            <w:tcW w:w="990" w:type="dxa"/>
            <w:shd w:val="clear" w:color="auto" w:fill="8EAADB" w:themeFill="accent1" w:themeFillTint="99"/>
            <w:vAlign w:val="center"/>
            <w:hideMark/>
          </w:tcPr>
          <w:p w:rsidR="00012D29" w:rsidRPr="005C6CA9" w:rsidP="00A32C2C" w14:paraId="0BB51133" w14:textId="77777777">
            <w:pPr>
              <w:widowControl/>
              <w:autoSpaceDE/>
              <w:autoSpaceDN/>
              <w:adjustRightInd/>
              <w:jc w:val="center"/>
              <w:rPr>
                <w:rFonts w:eastAsiaTheme="minorHAnsi"/>
                <w:sz w:val="20"/>
                <w:szCs w:val="20"/>
              </w:rPr>
            </w:pPr>
            <w:r w:rsidRPr="005C6CA9">
              <w:rPr>
                <w:rFonts w:eastAsiaTheme="minorHAnsi"/>
                <w:sz w:val="20"/>
                <w:szCs w:val="20"/>
              </w:rPr>
              <w:t>Hourly Wage Rate</w:t>
            </w:r>
          </w:p>
        </w:tc>
        <w:tc>
          <w:tcPr>
            <w:tcW w:w="1080" w:type="dxa"/>
            <w:shd w:val="clear" w:color="auto" w:fill="8EAADB" w:themeFill="accent1" w:themeFillTint="99"/>
            <w:vAlign w:val="center"/>
            <w:hideMark/>
          </w:tcPr>
          <w:p w:rsidR="00012D29" w:rsidRPr="005C6CA9" w:rsidP="00A32C2C" w14:paraId="3C618694" w14:textId="77777777">
            <w:pPr>
              <w:widowControl/>
              <w:autoSpaceDE/>
              <w:autoSpaceDN/>
              <w:adjustRightInd/>
              <w:jc w:val="center"/>
              <w:rPr>
                <w:rFonts w:eastAsiaTheme="minorHAnsi"/>
                <w:sz w:val="20"/>
                <w:szCs w:val="20"/>
              </w:rPr>
            </w:pPr>
            <w:r w:rsidRPr="005C6CA9">
              <w:rPr>
                <w:rFonts w:eastAsiaTheme="minorHAnsi"/>
                <w:sz w:val="20"/>
                <w:szCs w:val="20"/>
              </w:rPr>
              <w:t>Total Burden Cost</w:t>
            </w:r>
          </w:p>
        </w:tc>
      </w:tr>
      <w:tr w14:paraId="229E4006" w14:textId="77777777" w:rsidTr="006134B7">
        <w:tblPrEx>
          <w:tblW w:w="9445" w:type="dxa"/>
          <w:tblLayout w:type="fixed"/>
          <w:tblLook w:val="04A0"/>
        </w:tblPrEx>
        <w:trPr>
          <w:trHeight w:val="363"/>
        </w:trPr>
        <w:tc>
          <w:tcPr>
            <w:tcW w:w="1525" w:type="dxa"/>
            <w:noWrap/>
            <w:vAlign w:val="bottom"/>
            <w:hideMark/>
          </w:tcPr>
          <w:p w:rsidR="00CF297F" w:rsidRPr="005C6CA9" w:rsidP="00016DB4" w14:paraId="0A1D675E" w14:textId="3BB4A6DF">
            <w:pPr>
              <w:widowControl/>
              <w:autoSpaceDE/>
              <w:autoSpaceDN/>
              <w:adjustRightInd/>
              <w:rPr>
                <w:rFonts w:eastAsiaTheme="minorHAnsi"/>
                <w:bCs/>
                <w:sz w:val="20"/>
                <w:szCs w:val="20"/>
              </w:rPr>
            </w:pPr>
            <w:r>
              <w:rPr>
                <w:color w:val="000000"/>
                <w:sz w:val="20"/>
                <w:szCs w:val="20"/>
              </w:rPr>
              <w:t xml:space="preserve">Submitting Smoking </w:t>
            </w:r>
            <w:r w:rsidR="00016DB4">
              <w:rPr>
                <w:color w:val="000000"/>
                <w:sz w:val="20"/>
                <w:szCs w:val="20"/>
              </w:rPr>
              <w:t xml:space="preserve">Prevention </w:t>
            </w:r>
            <w:r>
              <w:rPr>
                <w:color w:val="000000"/>
                <w:sz w:val="20"/>
                <w:szCs w:val="20"/>
              </w:rPr>
              <w:t>Programs (Clerk)</w:t>
            </w:r>
          </w:p>
        </w:tc>
        <w:tc>
          <w:tcPr>
            <w:tcW w:w="1260" w:type="dxa"/>
            <w:noWrap/>
            <w:vAlign w:val="center"/>
          </w:tcPr>
          <w:p w:rsidR="00CF297F" w:rsidRPr="005C6CA9" w:rsidP="00CF297F" w14:paraId="251330E1" w14:textId="217597EB">
            <w:pPr>
              <w:widowControl/>
              <w:autoSpaceDE/>
              <w:autoSpaceDN/>
              <w:adjustRightInd/>
              <w:jc w:val="right"/>
              <w:rPr>
                <w:rFonts w:eastAsiaTheme="minorHAnsi"/>
                <w:bCs/>
                <w:sz w:val="20"/>
                <w:szCs w:val="20"/>
              </w:rPr>
            </w:pPr>
            <w:r>
              <w:rPr>
                <w:color w:val="000000"/>
                <w:sz w:val="20"/>
                <w:szCs w:val="20"/>
              </w:rPr>
              <w:t>24</w:t>
            </w:r>
          </w:p>
        </w:tc>
        <w:tc>
          <w:tcPr>
            <w:tcW w:w="1350" w:type="dxa"/>
            <w:vAlign w:val="center"/>
          </w:tcPr>
          <w:p w:rsidR="00CF297F" w:rsidRPr="005C6CA9" w:rsidP="00CF297F" w14:paraId="6C46F643" w14:textId="2149C7E4">
            <w:pPr>
              <w:widowControl/>
              <w:autoSpaceDE/>
              <w:autoSpaceDN/>
              <w:adjustRightInd/>
              <w:jc w:val="right"/>
              <w:rPr>
                <w:rFonts w:eastAsiaTheme="minorHAnsi"/>
                <w:bCs/>
                <w:sz w:val="20"/>
                <w:szCs w:val="20"/>
              </w:rPr>
            </w:pPr>
            <w:r>
              <w:rPr>
                <w:color w:val="000000"/>
                <w:sz w:val="20"/>
                <w:szCs w:val="20"/>
              </w:rPr>
              <w:t>0.33</w:t>
            </w:r>
          </w:p>
        </w:tc>
        <w:tc>
          <w:tcPr>
            <w:tcW w:w="1170" w:type="dxa"/>
            <w:vAlign w:val="center"/>
          </w:tcPr>
          <w:p w:rsidR="00CF297F" w:rsidRPr="005C6CA9" w:rsidP="00CF297F" w14:paraId="79624FF6" w14:textId="3A54616C">
            <w:pPr>
              <w:widowControl/>
              <w:autoSpaceDE/>
              <w:autoSpaceDN/>
              <w:adjustRightInd/>
              <w:jc w:val="right"/>
              <w:rPr>
                <w:rFonts w:eastAsiaTheme="minorHAnsi"/>
                <w:bCs/>
                <w:sz w:val="20"/>
                <w:szCs w:val="20"/>
              </w:rPr>
            </w:pPr>
            <w:r>
              <w:rPr>
                <w:color w:val="000000"/>
                <w:sz w:val="20"/>
                <w:szCs w:val="20"/>
              </w:rPr>
              <w:t>8</w:t>
            </w:r>
          </w:p>
        </w:tc>
        <w:tc>
          <w:tcPr>
            <w:tcW w:w="1080" w:type="dxa"/>
            <w:vAlign w:val="center"/>
          </w:tcPr>
          <w:p w:rsidR="00CF297F" w:rsidRPr="005C6CA9" w:rsidP="00CF297F" w14:paraId="4BA298A9" w14:textId="39F1C288">
            <w:pPr>
              <w:widowControl/>
              <w:autoSpaceDE/>
              <w:autoSpaceDN/>
              <w:adjustRightInd/>
              <w:jc w:val="right"/>
              <w:rPr>
                <w:rFonts w:eastAsiaTheme="minorHAnsi"/>
                <w:bCs/>
                <w:sz w:val="20"/>
                <w:szCs w:val="20"/>
              </w:rPr>
            </w:pPr>
            <w:r>
              <w:rPr>
                <w:color w:val="000000"/>
                <w:sz w:val="20"/>
                <w:szCs w:val="20"/>
              </w:rPr>
              <w:t>0.02</w:t>
            </w:r>
          </w:p>
        </w:tc>
        <w:tc>
          <w:tcPr>
            <w:tcW w:w="990" w:type="dxa"/>
            <w:noWrap/>
            <w:vAlign w:val="center"/>
          </w:tcPr>
          <w:p w:rsidR="00CF297F" w:rsidRPr="005C6CA9" w:rsidP="00CF297F" w14:paraId="37C774D2" w14:textId="1F74525C">
            <w:pPr>
              <w:widowControl/>
              <w:autoSpaceDE/>
              <w:autoSpaceDN/>
              <w:adjustRightInd/>
              <w:jc w:val="right"/>
              <w:rPr>
                <w:rFonts w:eastAsiaTheme="minorHAnsi"/>
                <w:bCs/>
                <w:sz w:val="20"/>
                <w:szCs w:val="20"/>
              </w:rPr>
            </w:pPr>
            <w:r>
              <w:rPr>
                <w:color w:val="000000"/>
                <w:sz w:val="20"/>
                <w:szCs w:val="20"/>
              </w:rPr>
              <w:t>0.13</w:t>
            </w:r>
          </w:p>
        </w:tc>
        <w:tc>
          <w:tcPr>
            <w:tcW w:w="990" w:type="dxa"/>
            <w:noWrap/>
            <w:vAlign w:val="center"/>
            <w:hideMark/>
          </w:tcPr>
          <w:p w:rsidR="00CF297F" w:rsidRPr="005C6CA9" w:rsidP="00CF297F" w14:paraId="79D96591" w14:textId="271CA8CD">
            <w:pPr>
              <w:widowControl/>
              <w:autoSpaceDE/>
              <w:autoSpaceDN/>
              <w:adjustRightInd/>
              <w:jc w:val="right"/>
              <w:rPr>
                <w:rFonts w:eastAsiaTheme="minorHAnsi"/>
                <w:bCs/>
                <w:sz w:val="20"/>
                <w:szCs w:val="20"/>
              </w:rPr>
            </w:pPr>
            <w:r>
              <w:rPr>
                <w:color w:val="000000"/>
                <w:sz w:val="20"/>
                <w:szCs w:val="20"/>
              </w:rPr>
              <w:t xml:space="preserve">$38.44 </w:t>
            </w:r>
          </w:p>
        </w:tc>
        <w:tc>
          <w:tcPr>
            <w:tcW w:w="1080" w:type="dxa"/>
            <w:noWrap/>
            <w:vAlign w:val="center"/>
            <w:hideMark/>
          </w:tcPr>
          <w:p w:rsidR="00CF297F" w:rsidRPr="005C6CA9" w:rsidP="00CF297F" w14:paraId="241A5E3E" w14:textId="23D0C6E3">
            <w:pPr>
              <w:widowControl/>
              <w:autoSpaceDE/>
              <w:autoSpaceDN/>
              <w:adjustRightInd/>
              <w:jc w:val="right"/>
              <w:rPr>
                <w:rFonts w:eastAsiaTheme="minorHAnsi"/>
                <w:bCs/>
                <w:sz w:val="20"/>
                <w:szCs w:val="20"/>
              </w:rPr>
            </w:pPr>
            <w:r>
              <w:rPr>
                <w:color w:val="000000"/>
                <w:sz w:val="20"/>
                <w:szCs w:val="20"/>
              </w:rPr>
              <w:t xml:space="preserve">$5.13 </w:t>
            </w:r>
          </w:p>
        </w:tc>
      </w:tr>
      <w:tr w14:paraId="69D2A27A" w14:textId="77777777" w:rsidTr="00A32C2C">
        <w:tblPrEx>
          <w:tblW w:w="9445" w:type="dxa"/>
          <w:tblLayout w:type="fixed"/>
          <w:tblLook w:val="04A0"/>
        </w:tblPrEx>
        <w:trPr>
          <w:trHeight w:val="363"/>
        </w:trPr>
        <w:tc>
          <w:tcPr>
            <w:tcW w:w="1525" w:type="dxa"/>
            <w:noWrap/>
            <w:vAlign w:val="bottom"/>
            <w:hideMark/>
          </w:tcPr>
          <w:p w:rsidR="00CF297F" w:rsidRPr="005C6CA9" w:rsidP="00CF297F" w14:paraId="2C0AF54E" w14:textId="69525358">
            <w:pPr>
              <w:widowControl/>
              <w:autoSpaceDE/>
              <w:autoSpaceDN/>
              <w:adjustRightInd/>
              <w:rPr>
                <w:rFonts w:eastAsiaTheme="minorHAnsi"/>
                <w:b/>
                <w:bCs/>
                <w:i/>
                <w:iCs/>
                <w:sz w:val="20"/>
                <w:szCs w:val="20"/>
              </w:rPr>
            </w:pPr>
            <w:r>
              <w:rPr>
                <w:b/>
                <w:bCs/>
                <w:i/>
                <w:iCs/>
                <w:color w:val="000000"/>
                <w:sz w:val="20"/>
                <w:szCs w:val="20"/>
              </w:rPr>
              <w:t>Subtotal (Rounded)</w:t>
            </w:r>
          </w:p>
        </w:tc>
        <w:tc>
          <w:tcPr>
            <w:tcW w:w="1260" w:type="dxa"/>
            <w:vAlign w:val="bottom"/>
          </w:tcPr>
          <w:p w:rsidR="00CF297F" w:rsidRPr="005C6CA9" w:rsidP="00CF297F" w14:paraId="3B7183FC" w14:textId="35CDAC7F">
            <w:pPr>
              <w:widowControl/>
              <w:autoSpaceDE/>
              <w:autoSpaceDN/>
              <w:adjustRightInd/>
              <w:jc w:val="right"/>
              <w:rPr>
                <w:rFonts w:eastAsiaTheme="minorHAnsi"/>
                <w:b/>
                <w:bCs/>
                <w:i/>
                <w:iCs/>
                <w:sz w:val="20"/>
                <w:szCs w:val="20"/>
              </w:rPr>
            </w:pPr>
            <w:r>
              <w:rPr>
                <w:b/>
                <w:bCs/>
                <w:color w:val="000000"/>
                <w:sz w:val="20"/>
                <w:szCs w:val="20"/>
              </w:rPr>
              <w:t>24</w:t>
            </w:r>
          </w:p>
        </w:tc>
        <w:tc>
          <w:tcPr>
            <w:tcW w:w="1350" w:type="dxa"/>
            <w:shd w:val="clear" w:color="auto" w:fill="000000" w:themeFill="text1"/>
            <w:vAlign w:val="bottom"/>
          </w:tcPr>
          <w:p w:rsidR="00CF297F" w:rsidRPr="005C6CA9" w:rsidP="00CF297F" w14:paraId="0CE11B70" w14:textId="17668261">
            <w:pPr>
              <w:widowControl/>
              <w:autoSpaceDE/>
              <w:autoSpaceDN/>
              <w:adjustRightInd/>
              <w:jc w:val="right"/>
              <w:rPr>
                <w:rFonts w:eastAsiaTheme="minorHAnsi"/>
                <w:b/>
                <w:bCs/>
                <w:i/>
                <w:iCs/>
                <w:sz w:val="20"/>
                <w:szCs w:val="20"/>
              </w:rPr>
            </w:pPr>
            <w:r>
              <w:rPr>
                <w:b/>
                <w:bCs/>
                <w:color w:val="000000"/>
                <w:sz w:val="20"/>
                <w:szCs w:val="20"/>
              </w:rPr>
              <w:t> </w:t>
            </w:r>
          </w:p>
        </w:tc>
        <w:tc>
          <w:tcPr>
            <w:tcW w:w="1170" w:type="dxa"/>
            <w:vAlign w:val="bottom"/>
          </w:tcPr>
          <w:p w:rsidR="00CF297F" w:rsidRPr="005C6CA9" w:rsidP="00CF297F" w14:paraId="32E656B4" w14:textId="0DD4F4D7">
            <w:pPr>
              <w:widowControl/>
              <w:autoSpaceDE/>
              <w:autoSpaceDN/>
              <w:adjustRightInd/>
              <w:jc w:val="right"/>
              <w:rPr>
                <w:rFonts w:eastAsiaTheme="minorHAnsi"/>
                <w:b/>
                <w:bCs/>
                <w:i/>
                <w:iCs/>
                <w:sz w:val="20"/>
                <w:szCs w:val="20"/>
              </w:rPr>
            </w:pPr>
            <w:r>
              <w:rPr>
                <w:b/>
                <w:bCs/>
                <w:color w:val="000000"/>
                <w:sz w:val="20"/>
                <w:szCs w:val="20"/>
              </w:rPr>
              <w:t>8</w:t>
            </w:r>
          </w:p>
        </w:tc>
        <w:tc>
          <w:tcPr>
            <w:tcW w:w="1080" w:type="dxa"/>
            <w:shd w:val="clear" w:color="auto" w:fill="000000" w:themeFill="text1"/>
            <w:vAlign w:val="bottom"/>
          </w:tcPr>
          <w:p w:rsidR="00CF297F" w:rsidRPr="005C6CA9" w:rsidP="00CF297F" w14:paraId="49990803" w14:textId="4796C2D1">
            <w:pPr>
              <w:widowControl/>
              <w:autoSpaceDE/>
              <w:autoSpaceDN/>
              <w:adjustRightInd/>
              <w:jc w:val="right"/>
              <w:rPr>
                <w:rFonts w:eastAsiaTheme="minorHAnsi"/>
                <w:b/>
                <w:bCs/>
                <w:i/>
                <w:iCs/>
                <w:sz w:val="20"/>
                <w:szCs w:val="20"/>
              </w:rPr>
            </w:pPr>
            <w:r>
              <w:rPr>
                <w:b/>
                <w:bCs/>
                <w:color w:val="000000"/>
                <w:sz w:val="20"/>
                <w:szCs w:val="20"/>
              </w:rPr>
              <w:t> </w:t>
            </w:r>
          </w:p>
        </w:tc>
        <w:tc>
          <w:tcPr>
            <w:tcW w:w="990" w:type="dxa"/>
            <w:vAlign w:val="bottom"/>
          </w:tcPr>
          <w:p w:rsidR="00CF297F" w:rsidRPr="005C6CA9" w:rsidP="00CF297F" w14:paraId="0ED54604" w14:textId="48831E96">
            <w:pPr>
              <w:widowControl/>
              <w:autoSpaceDE/>
              <w:autoSpaceDN/>
              <w:adjustRightInd/>
              <w:jc w:val="right"/>
              <w:rPr>
                <w:rFonts w:eastAsiaTheme="minorHAnsi"/>
                <w:b/>
                <w:bCs/>
                <w:i/>
                <w:iCs/>
                <w:sz w:val="20"/>
                <w:szCs w:val="20"/>
              </w:rPr>
            </w:pPr>
            <w:r>
              <w:rPr>
                <w:b/>
                <w:bCs/>
                <w:color w:val="000000"/>
                <w:sz w:val="20"/>
                <w:szCs w:val="20"/>
              </w:rPr>
              <w:t>0</w:t>
            </w:r>
            <w:r w:rsidR="00756D0B">
              <w:rPr>
                <w:b/>
                <w:bCs/>
                <w:color w:val="000000"/>
                <w:sz w:val="20"/>
                <w:szCs w:val="20"/>
              </w:rPr>
              <w:t>.1</w:t>
            </w:r>
          </w:p>
        </w:tc>
        <w:tc>
          <w:tcPr>
            <w:tcW w:w="990" w:type="dxa"/>
            <w:shd w:val="clear" w:color="auto" w:fill="000000" w:themeFill="text1"/>
            <w:noWrap/>
            <w:vAlign w:val="bottom"/>
            <w:hideMark/>
          </w:tcPr>
          <w:p w:rsidR="00CF297F" w:rsidRPr="005C6CA9" w:rsidP="00CF297F" w14:paraId="26EBC2A6" w14:textId="2F337BC9">
            <w:pPr>
              <w:widowControl/>
              <w:autoSpaceDE/>
              <w:autoSpaceDN/>
              <w:adjustRightInd/>
              <w:jc w:val="right"/>
              <w:rPr>
                <w:rFonts w:eastAsiaTheme="minorHAnsi"/>
                <w:b/>
                <w:bCs/>
                <w:i/>
                <w:iCs/>
                <w:sz w:val="20"/>
                <w:szCs w:val="20"/>
              </w:rPr>
            </w:pPr>
            <w:r>
              <w:rPr>
                <w:b/>
                <w:bCs/>
                <w:color w:val="000000"/>
                <w:sz w:val="20"/>
                <w:szCs w:val="20"/>
              </w:rPr>
              <w:t> </w:t>
            </w:r>
          </w:p>
        </w:tc>
        <w:tc>
          <w:tcPr>
            <w:tcW w:w="1080" w:type="dxa"/>
            <w:noWrap/>
            <w:vAlign w:val="bottom"/>
            <w:hideMark/>
          </w:tcPr>
          <w:p w:rsidR="00CF297F" w:rsidRPr="005C6CA9" w:rsidP="00CF297F" w14:paraId="3D9720D0" w14:textId="2CA164F7">
            <w:pPr>
              <w:widowControl/>
              <w:autoSpaceDE/>
              <w:autoSpaceDN/>
              <w:adjustRightInd/>
              <w:jc w:val="right"/>
              <w:rPr>
                <w:rFonts w:eastAsiaTheme="minorHAnsi"/>
                <w:b/>
                <w:bCs/>
                <w:i/>
                <w:iCs/>
                <w:sz w:val="20"/>
                <w:szCs w:val="20"/>
              </w:rPr>
            </w:pPr>
            <w:r>
              <w:rPr>
                <w:b/>
                <w:bCs/>
                <w:color w:val="000000"/>
                <w:sz w:val="20"/>
                <w:szCs w:val="20"/>
              </w:rPr>
              <w:t xml:space="preserve">$5 </w:t>
            </w:r>
          </w:p>
        </w:tc>
      </w:tr>
    </w:tbl>
    <w:p w:rsidR="00012D29" w:rsidRPr="005C6CA9" w:rsidP="00012D29" w14:paraId="50B01722" w14:textId="40C78853">
      <w:pPr>
        <w:keepLines/>
        <w:autoSpaceDE/>
        <w:autoSpaceDN/>
        <w:adjustRightInd/>
      </w:pPr>
      <w:r w:rsidRPr="005C6CA9">
        <w:rPr>
          <w:sz w:val="20"/>
          <w:szCs w:val="20"/>
        </w:rPr>
        <w:t>Note: The number of responses per respondent is calculated by dividing the number of responses by the number of respondents and round</w:t>
      </w:r>
      <w:r w:rsidR="009D4AFC">
        <w:rPr>
          <w:sz w:val="20"/>
          <w:szCs w:val="20"/>
        </w:rPr>
        <w:t>ing</w:t>
      </w:r>
      <w:r w:rsidRPr="005C6CA9">
        <w:rPr>
          <w:sz w:val="20"/>
          <w:szCs w:val="20"/>
        </w:rPr>
        <w:t>.</w:t>
      </w:r>
    </w:p>
    <w:p w:rsidR="001818EC" w:rsidP="00435EBD" w14:paraId="36D79511" w14:textId="77777777">
      <w:pPr>
        <w:keepLines/>
        <w:tabs>
          <w:tab w:val="left" w:pos="8640"/>
        </w:tabs>
        <w:autoSpaceDE/>
        <w:autoSpaceDN/>
        <w:adjustRightInd/>
        <w:rPr>
          <w:bCs/>
          <w:sz w:val="20"/>
          <w:szCs w:val="20"/>
        </w:rPr>
      </w:pPr>
    </w:p>
    <w:p w:rsidR="00EA6474" w:rsidRPr="005C6CA9" w:rsidP="004A22F3" w14:paraId="6CEF18D4" w14:textId="77777777">
      <w:pPr>
        <w:pStyle w:val="Default"/>
        <w:rPr>
          <w:rFonts w:ascii="Times New Roman" w:hAnsi="Times New Roman" w:cs="Times New Roman"/>
          <w:b/>
          <w:bCs/>
        </w:rPr>
      </w:pPr>
      <w:bookmarkStart w:id="33" w:name="_Hlk181187861"/>
      <w:bookmarkStart w:id="34" w:name="_Hlk114568991"/>
      <w:r w:rsidRPr="005C6CA9">
        <w:rPr>
          <w:rFonts w:ascii="Times New Roman" w:hAnsi="Times New Roman" w:cs="Times New Roman"/>
          <w:b/>
          <w:bCs/>
        </w:rPr>
        <w:t>Hour Burden Summary</w:t>
      </w:r>
    </w:p>
    <w:p w:rsidR="00EA6474" w:rsidRPr="005C6CA9" w:rsidP="004A22F3" w14:paraId="18F30ECF" w14:textId="77777777">
      <w:pPr>
        <w:widowControl/>
        <w:rPr>
          <w:bCs/>
        </w:rPr>
      </w:pPr>
    </w:p>
    <w:p w:rsidR="00052BD8" w:rsidRPr="005C6CA9" w:rsidP="004A22F3" w14:paraId="6A157573" w14:textId="123FA8EE">
      <w:pPr>
        <w:widowControl/>
        <w:rPr>
          <w:bCs/>
        </w:rPr>
      </w:pPr>
      <w:r w:rsidRPr="005C6CA9">
        <w:t xml:space="preserve">MSHA estimates that the </w:t>
      </w:r>
      <w:r w:rsidR="008F2230">
        <w:t>2</w:t>
      </w:r>
      <w:r w:rsidR="001818EC">
        <w:t>4</w:t>
      </w:r>
      <w:r w:rsidRPr="005C6CA9" w:rsidR="008F2230">
        <w:t xml:space="preserve"> </w:t>
      </w:r>
      <w:r w:rsidRPr="005C6CA9">
        <w:t xml:space="preserve">respondents would incur, on average, an annual collection burden of </w:t>
      </w:r>
      <w:r w:rsidR="008F2230">
        <w:t>13</w:t>
      </w:r>
      <w:r w:rsidRPr="005C6CA9" w:rsidR="008F2230">
        <w:t xml:space="preserve"> </w:t>
      </w:r>
      <w:r w:rsidRPr="005C6CA9">
        <w:t>hours with an associated annual cost of $</w:t>
      </w:r>
      <w:r w:rsidR="008F2230">
        <w:t>1,03</w:t>
      </w:r>
      <w:r w:rsidR="00AA4DBF">
        <w:t>8</w:t>
      </w:r>
      <w:r w:rsidRPr="005C6CA9">
        <w:t xml:space="preserve">. </w:t>
      </w:r>
      <w:bookmarkStart w:id="35" w:name="_Hlk172027024"/>
      <w:r w:rsidRPr="005C6CA9">
        <w:t>The annual respondent hour and cost burden</w:t>
      </w:r>
      <w:r w:rsidRPr="005C6CA9" w:rsidR="00F60373">
        <w:t xml:space="preserve"> of this information collection</w:t>
      </w:r>
      <w:r w:rsidRPr="005C6CA9">
        <w:t xml:space="preserve"> i</w:t>
      </w:r>
      <w:r w:rsidRPr="005C6CA9" w:rsidR="00EA383A">
        <w:t>s</w:t>
      </w:r>
      <w:r w:rsidRPr="005C6CA9">
        <w:t xml:space="preserve"> summarized in </w:t>
      </w:r>
      <w:r w:rsidRPr="005C6CA9" w:rsidR="00AD607F">
        <w:t>the table below.</w:t>
      </w:r>
    </w:p>
    <w:bookmarkEnd w:id="33"/>
    <w:bookmarkEnd w:id="35"/>
    <w:p w:rsidR="00052BD8" w:rsidRPr="005C6CA9" w:rsidP="004A22F3" w14:paraId="2CE2D9AF" w14:textId="77777777">
      <w:pPr>
        <w:widowControl/>
        <w:rPr>
          <w:bCs/>
        </w:rPr>
      </w:pPr>
    </w:p>
    <w:p w:rsidR="008F7DDE" w:rsidRPr="005C6CA9" w:rsidP="004A22F3" w14:paraId="3E6EB7E2" w14:textId="79A44F01">
      <w:pPr>
        <w:widowControl/>
        <w:autoSpaceDE/>
        <w:autoSpaceDN/>
        <w:adjustRightInd/>
        <w:rPr>
          <w:b/>
          <w:bCs/>
          <w:color w:val="000000"/>
        </w:rPr>
      </w:pPr>
      <w:bookmarkStart w:id="36" w:name="_Hlk114568999"/>
      <w:bookmarkEnd w:id="34"/>
      <w:r w:rsidRPr="005C6CA9">
        <w:rPr>
          <w:b/>
          <w:bCs/>
          <w:color w:val="000000"/>
        </w:rPr>
        <w:t>Table 12-</w:t>
      </w:r>
      <w:r w:rsidR="00BF6073">
        <w:rPr>
          <w:b/>
          <w:bCs/>
          <w:color w:val="000000"/>
        </w:rPr>
        <w:t>4</w:t>
      </w:r>
      <w:r w:rsidRPr="005C6CA9" w:rsidR="00D75BE4">
        <w:rPr>
          <w:b/>
          <w:bCs/>
          <w:color w:val="000000"/>
        </w:rPr>
        <w:t xml:space="preserve">. </w:t>
      </w:r>
      <w:bookmarkStart w:id="37" w:name="_Hlk167267643"/>
      <w:r w:rsidRPr="005C6CA9" w:rsidR="00D75BE4">
        <w:rPr>
          <w:b/>
          <w:bCs/>
          <w:color w:val="000000"/>
        </w:rPr>
        <w:t>E</w:t>
      </w:r>
      <w:r w:rsidRPr="005C6CA9" w:rsidR="000D5FB5">
        <w:rPr>
          <w:b/>
          <w:bCs/>
          <w:color w:val="000000"/>
        </w:rPr>
        <w:t>stimated Annual Respondent Hour and Cost Burden</w:t>
      </w:r>
      <w:bookmarkEnd w:id="37"/>
      <w:r w:rsidRPr="005C6CA9" w:rsidR="000D5FB5">
        <w:rPr>
          <w:b/>
          <w:bCs/>
          <w:color w:val="000000"/>
        </w:rPr>
        <w:t xml:space="preserve">, Summary </w:t>
      </w:r>
    </w:p>
    <w:tbl>
      <w:tblPr>
        <w:tblStyle w:val="TableGrid"/>
        <w:tblW w:w="9414" w:type="dxa"/>
        <w:tblInd w:w="-5" w:type="dxa"/>
        <w:tblLayout w:type="fixed"/>
        <w:tblLook w:val="04A0"/>
      </w:tblPr>
      <w:tblGrid>
        <w:gridCol w:w="1620"/>
        <w:gridCol w:w="1350"/>
        <w:gridCol w:w="1228"/>
        <w:gridCol w:w="1202"/>
        <w:gridCol w:w="927"/>
        <w:gridCol w:w="1143"/>
        <w:gridCol w:w="828"/>
        <w:gridCol w:w="1116"/>
      </w:tblGrid>
      <w:tr w14:paraId="374ECECE" w14:textId="77777777" w:rsidTr="006134B7">
        <w:tblPrEx>
          <w:tblW w:w="9414" w:type="dxa"/>
          <w:tblInd w:w="-5" w:type="dxa"/>
          <w:tblLayout w:type="fixed"/>
          <w:tblLook w:val="04A0"/>
        </w:tblPrEx>
        <w:trPr>
          <w:trHeight w:val="614"/>
        </w:trPr>
        <w:tc>
          <w:tcPr>
            <w:tcW w:w="1620" w:type="dxa"/>
            <w:shd w:val="clear" w:color="auto" w:fill="8EAADB" w:themeFill="accent1" w:themeFillTint="99"/>
            <w:vAlign w:val="bottom"/>
          </w:tcPr>
          <w:p w:rsidR="000D5FB5" w:rsidRPr="005C6CA9" w:rsidP="00016DB4" w14:paraId="4645E488" w14:textId="4DA3D2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0"/>
                <w:szCs w:val="20"/>
              </w:rPr>
            </w:pPr>
            <w:bookmarkStart w:id="38" w:name="_Hlk114568982"/>
            <w:bookmarkEnd w:id="36"/>
            <w:r w:rsidRPr="005C6CA9">
              <w:rPr>
                <w:sz w:val="20"/>
                <w:szCs w:val="20"/>
              </w:rPr>
              <w:t>Activity</w:t>
            </w:r>
          </w:p>
        </w:tc>
        <w:tc>
          <w:tcPr>
            <w:tcW w:w="1350" w:type="dxa"/>
            <w:shd w:val="clear" w:color="auto" w:fill="8EAADB" w:themeFill="accent1" w:themeFillTint="99"/>
            <w:vAlign w:val="bottom"/>
          </w:tcPr>
          <w:p w:rsidR="00FA0B6E" w:rsidRPr="005C6CA9" w:rsidP="00016DB4" w14:paraId="025D001D" w14:textId="2F77DFD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5C6CA9">
              <w:rPr>
                <w:sz w:val="20"/>
                <w:szCs w:val="20"/>
              </w:rPr>
              <w:t xml:space="preserve">Number of </w:t>
            </w:r>
            <w:r w:rsidRPr="005C6CA9" w:rsidR="000D5FB5">
              <w:rPr>
                <w:sz w:val="20"/>
                <w:szCs w:val="20"/>
              </w:rPr>
              <w:t>Respondents</w:t>
            </w:r>
          </w:p>
        </w:tc>
        <w:tc>
          <w:tcPr>
            <w:tcW w:w="1228" w:type="dxa"/>
            <w:shd w:val="clear" w:color="auto" w:fill="8EAADB" w:themeFill="accent1" w:themeFillTint="99"/>
            <w:vAlign w:val="bottom"/>
          </w:tcPr>
          <w:p w:rsidR="000D5FB5" w:rsidRPr="005C6CA9" w:rsidP="00016DB4" w14:paraId="1D6E3657" w14:textId="380994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5C6CA9">
              <w:rPr>
                <w:sz w:val="20"/>
                <w:szCs w:val="20"/>
              </w:rPr>
              <w:t>Number of Responses per Respondent</w:t>
            </w:r>
          </w:p>
        </w:tc>
        <w:tc>
          <w:tcPr>
            <w:tcW w:w="1202" w:type="dxa"/>
            <w:shd w:val="clear" w:color="auto" w:fill="8EAADB" w:themeFill="accent1" w:themeFillTint="99"/>
            <w:vAlign w:val="bottom"/>
          </w:tcPr>
          <w:p w:rsidR="000D5FB5" w:rsidRPr="005C6CA9" w:rsidP="00016DB4" w14:paraId="7C987A6C" w14:textId="1F9402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5C6CA9">
              <w:rPr>
                <w:sz w:val="20"/>
                <w:szCs w:val="20"/>
              </w:rPr>
              <w:t>Total Responses</w:t>
            </w:r>
          </w:p>
        </w:tc>
        <w:tc>
          <w:tcPr>
            <w:tcW w:w="927" w:type="dxa"/>
            <w:shd w:val="clear" w:color="auto" w:fill="8EAADB" w:themeFill="accent1" w:themeFillTint="99"/>
            <w:vAlign w:val="bottom"/>
          </w:tcPr>
          <w:p w:rsidR="000D5FB5" w:rsidRPr="005C6CA9" w:rsidP="00016DB4" w14:paraId="0622A6EB" w14:textId="6C596F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5C6CA9">
              <w:rPr>
                <w:sz w:val="20"/>
                <w:szCs w:val="20"/>
              </w:rPr>
              <w:t>Average Burden (Hours)</w:t>
            </w:r>
          </w:p>
        </w:tc>
        <w:tc>
          <w:tcPr>
            <w:tcW w:w="1143" w:type="dxa"/>
            <w:shd w:val="clear" w:color="auto" w:fill="8EAADB" w:themeFill="accent1" w:themeFillTint="99"/>
            <w:vAlign w:val="bottom"/>
          </w:tcPr>
          <w:p w:rsidR="000D5FB5" w:rsidRPr="005C6CA9" w:rsidP="00016DB4" w14:paraId="3758A1F8" w14:textId="150527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5C6CA9">
              <w:rPr>
                <w:sz w:val="20"/>
                <w:szCs w:val="20"/>
              </w:rPr>
              <w:t>Total Burden (Hours)</w:t>
            </w:r>
          </w:p>
        </w:tc>
        <w:tc>
          <w:tcPr>
            <w:tcW w:w="828" w:type="dxa"/>
            <w:shd w:val="clear" w:color="auto" w:fill="8EAADB" w:themeFill="accent1" w:themeFillTint="99"/>
            <w:vAlign w:val="bottom"/>
          </w:tcPr>
          <w:p w:rsidR="000D5FB5" w:rsidRPr="005C6CA9" w:rsidP="00016DB4" w14:paraId="3DEDF306" w14:textId="3028D3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5C6CA9">
              <w:rPr>
                <w:sz w:val="20"/>
                <w:szCs w:val="20"/>
              </w:rPr>
              <w:t>Hourly Wage Rate</w:t>
            </w:r>
          </w:p>
        </w:tc>
        <w:tc>
          <w:tcPr>
            <w:tcW w:w="1116" w:type="dxa"/>
            <w:shd w:val="clear" w:color="auto" w:fill="8EAADB" w:themeFill="accent1" w:themeFillTint="99"/>
            <w:vAlign w:val="bottom"/>
          </w:tcPr>
          <w:p w:rsidR="000D5FB5" w:rsidRPr="005C6CA9" w:rsidP="00016DB4" w14:paraId="6772B9CD" w14:textId="01BD1F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5C6CA9">
              <w:rPr>
                <w:sz w:val="20"/>
                <w:szCs w:val="20"/>
              </w:rPr>
              <w:t>Total Burden Cost</w:t>
            </w:r>
          </w:p>
        </w:tc>
      </w:tr>
      <w:tr w14:paraId="4282501E" w14:textId="77777777" w:rsidTr="006134B7">
        <w:tblPrEx>
          <w:tblW w:w="9414" w:type="dxa"/>
          <w:tblInd w:w="-5" w:type="dxa"/>
          <w:tblLayout w:type="fixed"/>
          <w:tblLook w:val="04A0"/>
        </w:tblPrEx>
        <w:trPr>
          <w:trHeight w:val="307"/>
        </w:trPr>
        <w:tc>
          <w:tcPr>
            <w:tcW w:w="1620" w:type="dxa"/>
            <w:vAlign w:val="bottom"/>
          </w:tcPr>
          <w:p w:rsidR="00CF297F" w:rsidRPr="005C6CA9" w:rsidP="00016DB4" w14:paraId="65608CCD" w14:textId="6DDB0B6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Pr>
                <w:color w:val="000000"/>
                <w:sz w:val="20"/>
                <w:szCs w:val="20"/>
              </w:rPr>
              <w:t>I. Develop</w:t>
            </w:r>
            <w:r w:rsidR="00BF6073">
              <w:rPr>
                <w:color w:val="000000"/>
                <w:sz w:val="20"/>
                <w:szCs w:val="20"/>
              </w:rPr>
              <w:t>ing</w:t>
            </w:r>
            <w:r>
              <w:rPr>
                <w:color w:val="000000"/>
                <w:sz w:val="20"/>
                <w:szCs w:val="20"/>
              </w:rPr>
              <w:t xml:space="preserve"> or Revis</w:t>
            </w:r>
            <w:r w:rsidR="00BF6073">
              <w:rPr>
                <w:color w:val="000000"/>
                <w:sz w:val="20"/>
                <w:szCs w:val="20"/>
              </w:rPr>
              <w:t>ing</w:t>
            </w:r>
            <w:r w:rsidR="00074445">
              <w:rPr>
                <w:color w:val="000000"/>
                <w:sz w:val="20"/>
                <w:szCs w:val="20"/>
              </w:rPr>
              <w:t xml:space="preserve"> </w:t>
            </w:r>
            <w:r>
              <w:rPr>
                <w:color w:val="000000"/>
                <w:sz w:val="20"/>
                <w:szCs w:val="20"/>
              </w:rPr>
              <w:t xml:space="preserve">Smoking </w:t>
            </w:r>
            <w:r w:rsidR="00016DB4">
              <w:rPr>
                <w:color w:val="000000"/>
                <w:sz w:val="20"/>
                <w:szCs w:val="20"/>
              </w:rPr>
              <w:t xml:space="preserve">Prevention </w:t>
            </w:r>
            <w:r>
              <w:rPr>
                <w:color w:val="000000"/>
                <w:sz w:val="20"/>
                <w:szCs w:val="20"/>
              </w:rPr>
              <w:t>Programs</w:t>
            </w:r>
          </w:p>
        </w:tc>
        <w:tc>
          <w:tcPr>
            <w:tcW w:w="1350" w:type="dxa"/>
            <w:vAlign w:val="center"/>
          </w:tcPr>
          <w:p w:rsidR="00CF297F" w:rsidRPr="005C6CA9" w:rsidP="00CF297F" w14:paraId="440677C1" w14:textId="32120E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color w:val="000000"/>
                <w:sz w:val="20"/>
                <w:szCs w:val="20"/>
              </w:rPr>
              <w:t>24</w:t>
            </w:r>
          </w:p>
        </w:tc>
        <w:tc>
          <w:tcPr>
            <w:tcW w:w="1228" w:type="dxa"/>
            <w:vAlign w:val="center"/>
          </w:tcPr>
          <w:p w:rsidR="00CF297F" w:rsidRPr="005C6CA9" w:rsidP="00CF297F" w14:paraId="0C47DEFD" w14:textId="38114C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color w:val="000000"/>
                <w:sz w:val="20"/>
                <w:szCs w:val="20"/>
              </w:rPr>
              <w:t>1</w:t>
            </w:r>
          </w:p>
        </w:tc>
        <w:tc>
          <w:tcPr>
            <w:tcW w:w="1202" w:type="dxa"/>
            <w:vAlign w:val="center"/>
          </w:tcPr>
          <w:p w:rsidR="00CF297F" w:rsidRPr="005C6CA9" w:rsidP="00CF297F" w14:paraId="22AA57E9" w14:textId="56FE951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color w:val="000000"/>
                <w:sz w:val="20"/>
                <w:szCs w:val="20"/>
              </w:rPr>
              <w:t>25</w:t>
            </w:r>
          </w:p>
        </w:tc>
        <w:tc>
          <w:tcPr>
            <w:tcW w:w="927" w:type="dxa"/>
            <w:vAlign w:val="center"/>
          </w:tcPr>
          <w:p w:rsidR="00CF297F" w:rsidRPr="005C6CA9" w:rsidP="00CF297F" w14:paraId="5A9D5146" w14:textId="009120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color w:val="000000"/>
                <w:sz w:val="20"/>
                <w:szCs w:val="20"/>
              </w:rPr>
              <w:t>0.5</w:t>
            </w:r>
          </w:p>
        </w:tc>
        <w:tc>
          <w:tcPr>
            <w:tcW w:w="1143" w:type="dxa"/>
            <w:vAlign w:val="center"/>
          </w:tcPr>
          <w:p w:rsidR="00CF297F" w:rsidRPr="005C6CA9" w:rsidP="00CF297F" w14:paraId="75208E80" w14:textId="295504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color w:val="000000"/>
                <w:sz w:val="20"/>
                <w:szCs w:val="20"/>
              </w:rPr>
              <w:t>12.50</w:t>
            </w:r>
          </w:p>
        </w:tc>
        <w:tc>
          <w:tcPr>
            <w:tcW w:w="828" w:type="dxa"/>
            <w:vAlign w:val="center"/>
          </w:tcPr>
          <w:p w:rsidR="00CF297F" w:rsidRPr="005C6CA9" w:rsidP="00CF297F" w14:paraId="124E61EC" w14:textId="546F08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sz w:val="20"/>
                <w:szCs w:val="20"/>
              </w:rPr>
            </w:pPr>
            <w:r>
              <w:rPr>
                <w:color w:val="000000"/>
                <w:sz w:val="20"/>
                <w:szCs w:val="20"/>
              </w:rPr>
              <w:t xml:space="preserve">$82.63 </w:t>
            </w:r>
          </w:p>
        </w:tc>
        <w:tc>
          <w:tcPr>
            <w:tcW w:w="1116" w:type="dxa"/>
            <w:vAlign w:val="center"/>
          </w:tcPr>
          <w:p w:rsidR="00CF297F" w:rsidRPr="005C6CA9" w:rsidP="00CF297F" w14:paraId="2DDE4177" w14:textId="173626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sz w:val="20"/>
                <w:szCs w:val="20"/>
              </w:rPr>
            </w:pPr>
            <w:r>
              <w:rPr>
                <w:color w:val="000000"/>
                <w:sz w:val="20"/>
                <w:szCs w:val="20"/>
              </w:rPr>
              <w:t>$1,032.88</w:t>
            </w:r>
          </w:p>
        </w:tc>
      </w:tr>
      <w:tr w14:paraId="04523E07" w14:textId="77777777" w:rsidTr="006134B7">
        <w:tblPrEx>
          <w:tblW w:w="9414" w:type="dxa"/>
          <w:tblInd w:w="-5" w:type="dxa"/>
          <w:tblLayout w:type="fixed"/>
          <w:tblLook w:val="04A0"/>
        </w:tblPrEx>
        <w:trPr>
          <w:trHeight w:val="307"/>
        </w:trPr>
        <w:tc>
          <w:tcPr>
            <w:tcW w:w="1620" w:type="dxa"/>
            <w:vAlign w:val="bottom"/>
          </w:tcPr>
          <w:p w:rsidR="00CF297F" w:rsidP="00016DB4" w14:paraId="45A1C127" w14:textId="07517E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z w:val="20"/>
                <w:szCs w:val="20"/>
              </w:rPr>
            </w:pPr>
            <w:r>
              <w:rPr>
                <w:color w:val="000000"/>
                <w:sz w:val="20"/>
              </w:rPr>
              <w:t xml:space="preserve">II. Submitting Smoking </w:t>
            </w:r>
            <w:r w:rsidR="00016DB4">
              <w:rPr>
                <w:color w:val="000000"/>
                <w:sz w:val="20"/>
              </w:rPr>
              <w:t xml:space="preserve">Prevention </w:t>
            </w:r>
            <w:r>
              <w:rPr>
                <w:color w:val="000000"/>
                <w:sz w:val="20"/>
              </w:rPr>
              <w:t>Program</w:t>
            </w:r>
            <w:r w:rsidR="00BF6073">
              <w:rPr>
                <w:color w:val="000000"/>
                <w:sz w:val="20"/>
              </w:rPr>
              <w:t>s</w:t>
            </w:r>
          </w:p>
        </w:tc>
        <w:tc>
          <w:tcPr>
            <w:tcW w:w="1350" w:type="dxa"/>
            <w:vAlign w:val="center"/>
          </w:tcPr>
          <w:p w:rsidR="00CF297F" w:rsidP="00CF297F" w14:paraId="697BC1F8" w14:textId="73B2ADC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color w:val="000000"/>
                <w:sz w:val="20"/>
                <w:szCs w:val="20"/>
              </w:rPr>
              <w:t>24</w:t>
            </w:r>
          </w:p>
        </w:tc>
        <w:tc>
          <w:tcPr>
            <w:tcW w:w="1228" w:type="dxa"/>
            <w:vAlign w:val="center"/>
          </w:tcPr>
          <w:p w:rsidR="00CF297F" w:rsidP="00CF297F" w14:paraId="4BCD27E7" w14:textId="3C6C53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color w:val="000000"/>
                <w:sz w:val="20"/>
                <w:szCs w:val="20"/>
              </w:rPr>
              <w:t>0.3</w:t>
            </w:r>
            <w:r w:rsidR="0009469D">
              <w:rPr>
                <w:color w:val="000000"/>
                <w:sz w:val="20"/>
                <w:szCs w:val="20"/>
              </w:rPr>
              <w:t>3</w:t>
            </w:r>
          </w:p>
        </w:tc>
        <w:tc>
          <w:tcPr>
            <w:tcW w:w="1202" w:type="dxa"/>
            <w:vAlign w:val="center"/>
          </w:tcPr>
          <w:p w:rsidR="00CF297F" w:rsidP="00CF297F" w14:paraId="18809679" w14:textId="40298C9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color w:val="000000"/>
                <w:sz w:val="20"/>
                <w:szCs w:val="20"/>
              </w:rPr>
              <w:t>8</w:t>
            </w:r>
          </w:p>
        </w:tc>
        <w:tc>
          <w:tcPr>
            <w:tcW w:w="927" w:type="dxa"/>
            <w:vAlign w:val="center"/>
          </w:tcPr>
          <w:p w:rsidR="00CF297F" w:rsidP="00CF297F" w14:paraId="1819535C" w14:textId="1504017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color w:val="000000"/>
                <w:sz w:val="20"/>
                <w:szCs w:val="20"/>
              </w:rPr>
              <w:t>0.02</w:t>
            </w:r>
          </w:p>
        </w:tc>
        <w:tc>
          <w:tcPr>
            <w:tcW w:w="1143" w:type="dxa"/>
            <w:vAlign w:val="center"/>
          </w:tcPr>
          <w:p w:rsidR="00CF297F" w:rsidP="00CF297F" w14:paraId="1E9FBB21" w14:textId="35F3E7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color w:val="000000"/>
                <w:sz w:val="20"/>
                <w:szCs w:val="20"/>
              </w:rPr>
              <w:t>0.1</w:t>
            </w:r>
            <w:r w:rsidR="009D4AFC">
              <w:rPr>
                <w:color w:val="000000"/>
                <w:sz w:val="20"/>
                <w:szCs w:val="20"/>
              </w:rPr>
              <w:t>3</w:t>
            </w:r>
          </w:p>
        </w:tc>
        <w:tc>
          <w:tcPr>
            <w:tcW w:w="828" w:type="dxa"/>
            <w:vAlign w:val="center"/>
          </w:tcPr>
          <w:p w:rsidR="00CF297F" w:rsidP="00CF297F" w14:paraId="70DA9822" w14:textId="2A1BB5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color w:val="000000"/>
                <w:sz w:val="20"/>
                <w:szCs w:val="20"/>
              </w:rPr>
              <w:t xml:space="preserve">$38.44 </w:t>
            </w:r>
          </w:p>
        </w:tc>
        <w:tc>
          <w:tcPr>
            <w:tcW w:w="1116" w:type="dxa"/>
            <w:vAlign w:val="center"/>
          </w:tcPr>
          <w:p w:rsidR="00CF297F" w:rsidP="00CF297F" w14:paraId="0D0B4492" w14:textId="040CFB2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color w:val="000000"/>
                <w:sz w:val="20"/>
                <w:szCs w:val="20"/>
              </w:rPr>
              <w:t>$5.13</w:t>
            </w:r>
          </w:p>
        </w:tc>
      </w:tr>
      <w:tr w14:paraId="7CDDDCD7" w14:textId="77777777" w:rsidTr="006134B7">
        <w:tblPrEx>
          <w:tblW w:w="9414" w:type="dxa"/>
          <w:tblInd w:w="-5" w:type="dxa"/>
          <w:tblLayout w:type="fixed"/>
          <w:tblLook w:val="04A0"/>
        </w:tblPrEx>
        <w:trPr>
          <w:trHeight w:val="144"/>
        </w:trPr>
        <w:tc>
          <w:tcPr>
            <w:tcW w:w="1620" w:type="dxa"/>
            <w:vAlign w:val="bottom"/>
          </w:tcPr>
          <w:p w:rsidR="00CF297F" w:rsidRPr="005C6CA9" w:rsidP="00016DB4" w14:paraId="1FCE5A8E" w14:textId="2F4BCD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i/>
                <w:iCs/>
                <w:sz w:val="20"/>
                <w:szCs w:val="20"/>
              </w:rPr>
            </w:pPr>
            <w:r>
              <w:rPr>
                <w:b/>
                <w:bCs/>
                <w:i/>
                <w:iCs/>
                <w:color w:val="000000"/>
                <w:sz w:val="20"/>
                <w:szCs w:val="20"/>
              </w:rPr>
              <w:t>Total (Rounded)</w:t>
            </w:r>
          </w:p>
        </w:tc>
        <w:tc>
          <w:tcPr>
            <w:tcW w:w="1350" w:type="dxa"/>
            <w:vAlign w:val="center"/>
          </w:tcPr>
          <w:p w:rsidR="00CF297F" w:rsidRPr="005C6CA9" w:rsidP="00CF297F" w14:paraId="4A74AF16" w14:textId="4A7C0C9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Pr>
                <w:b/>
                <w:bCs/>
                <w:color w:val="000000"/>
                <w:sz w:val="20"/>
                <w:szCs w:val="20"/>
              </w:rPr>
              <w:t>24</w:t>
            </w:r>
          </w:p>
        </w:tc>
        <w:tc>
          <w:tcPr>
            <w:tcW w:w="1228" w:type="dxa"/>
            <w:shd w:val="clear" w:color="auto" w:fill="000000" w:themeFill="text1"/>
            <w:vAlign w:val="center"/>
          </w:tcPr>
          <w:p w:rsidR="00CF297F" w:rsidRPr="005C6CA9" w:rsidP="00CF297F" w14:paraId="27642701" w14:textId="5C6940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Pr>
                <w:b/>
                <w:bCs/>
                <w:color w:val="000000"/>
                <w:sz w:val="20"/>
                <w:szCs w:val="20"/>
              </w:rPr>
              <w:t> </w:t>
            </w:r>
          </w:p>
        </w:tc>
        <w:tc>
          <w:tcPr>
            <w:tcW w:w="1202" w:type="dxa"/>
            <w:vAlign w:val="center"/>
          </w:tcPr>
          <w:p w:rsidR="00CF297F" w:rsidRPr="005C6CA9" w:rsidP="00CF297F" w14:paraId="7F92697B" w14:textId="00D681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Pr>
                <w:b/>
                <w:bCs/>
                <w:color w:val="000000"/>
                <w:sz w:val="20"/>
                <w:szCs w:val="20"/>
              </w:rPr>
              <w:t>33</w:t>
            </w:r>
          </w:p>
        </w:tc>
        <w:tc>
          <w:tcPr>
            <w:tcW w:w="927" w:type="dxa"/>
            <w:shd w:val="clear" w:color="auto" w:fill="000000" w:themeFill="text1"/>
            <w:vAlign w:val="center"/>
          </w:tcPr>
          <w:p w:rsidR="00CF297F" w:rsidRPr="005C6CA9" w:rsidP="00CF297F" w14:paraId="5A3702C1" w14:textId="4CD687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Pr>
                <w:b/>
                <w:bCs/>
                <w:color w:val="000000"/>
                <w:sz w:val="20"/>
                <w:szCs w:val="20"/>
              </w:rPr>
              <w:t> </w:t>
            </w:r>
          </w:p>
        </w:tc>
        <w:tc>
          <w:tcPr>
            <w:tcW w:w="1143" w:type="dxa"/>
            <w:vAlign w:val="center"/>
          </w:tcPr>
          <w:p w:rsidR="00CF297F" w:rsidRPr="005C6CA9" w:rsidP="00CF297F" w14:paraId="382DBFCD" w14:textId="5453D5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Pr>
                <w:b/>
                <w:bCs/>
                <w:color w:val="000000"/>
                <w:sz w:val="20"/>
                <w:szCs w:val="20"/>
              </w:rPr>
              <w:t>13</w:t>
            </w:r>
          </w:p>
        </w:tc>
        <w:tc>
          <w:tcPr>
            <w:tcW w:w="828" w:type="dxa"/>
            <w:shd w:val="clear" w:color="auto" w:fill="000000" w:themeFill="text1"/>
            <w:vAlign w:val="center"/>
          </w:tcPr>
          <w:p w:rsidR="00CF297F" w:rsidRPr="005C6CA9" w:rsidP="00CF297F" w14:paraId="0A662691" w14:textId="5D1DD12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Pr>
                <w:b/>
                <w:bCs/>
                <w:color w:val="000000"/>
                <w:sz w:val="20"/>
                <w:szCs w:val="20"/>
              </w:rPr>
              <w:t> </w:t>
            </w:r>
          </w:p>
        </w:tc>
        <w:tc>
          <w:tcPr>
            <w:tcW w:w="1116" w:type="dxa"/>
            <w:vAlign w:val="center"/>
          </w:tcPr>
          <w:p w:rsidR="00CF297F" w:rsidRPr="005C6CA9" w:rsidP="00CF297F" w14:paraId="509B9CDE" w14:textId="43A17D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Pr>
                <w:b/>
                <w:bCs/>
                <w:color w:val="000000"/>
                <w:sz w:val="20"/>
                <w:szCs w:val="20"/>
              </w:rPr>
              <w:t xml:space="preserve">$1,038 </w:t>
            </w:r>
          </w:p>
        </w:tc>
      </w:tr>
    </w:tbl>
    <w:p w:rsidR="001818EC" w:rsidRPr="005C6CA9" w:rsidP="001818EC" w14:paraId="0A5712FB" w14:textId="1E684558">
      <w:pPr>
        <w:keepLines/>
        <w:autoSpaceDE/>
        <w:autoSpaceDN/>
        <w:adjustRightInd/>
      </w:pPr>
      <w:bookmarkStart w:id="39" w:name="_Hlk185344491"/>
      <w:bookmarkStart w:id="40" w:name="_Hlk181188185"/>
      <w:bookmarkEnd w:id="38"/>
      <w:r w:rsidRPr="005C6CA9">
        <w:rPr>
          <w:sz w:val="20"/>
          <w:szCs w:val="20"/>
        </w:rPr>
        <w:t xml:space="preserve">Note: </w:t>
      </w:r>
      <w:r w:rsidRPr="00BF6073" w:rsidR="00BF6073">
        <w:rPr>
          <w:sz w:val="20"/>
          <w:szCs w:val="20"/>
        </w:rPr>
        <w:t xml:space="preserve">Note: The total number of respondents is not a sum of respondents from each cost category. It corresponds to the number of </w:t>
      </w:r>
      <w:r w:rsidR="00BF6073">
        <w:rPr>
          <w:sz w:val="20"/>
          <w:szCs w:val="20"/>
        </w:rPr>
        <w:t>underground coal mines submitting new or revised smoking prevention programs</w:t>
      </w:r>
      <w:r w:rsidRPr="00BF6073" w:rsidR="00BF6073">
        <w:rPr>
          <w:sz w:val="20"/>
          <w:szCs w:val="20"/>
        </w:rPr>
        <w:t>.</w:t>
      </w:r>
      <w:r w:rsidR="00BF6073">
        <w:rPr>
          <w:sz w:val="20"/>
          <w:szCs w:val="20"/>
        </w:rPr>
        <w:t xml:space="preserve"> </w:t>
      </w:r>
      <w:r w:rsidRPr="005C6CA9">
        <w:rPr>
          <w:sz w:val="20"/>
          <w:szCs w:val="20"/>
        </w:rPr>
        <w:t>The number of responses per respondent is calculated by dividing the number of responses by the number of respondents and round</w:t>
      </w:r>
      <w:r w:rsidR="00074445">
        <w:rPr>
          <w:sz w:val="20"/>
          <w:szCs w:val="20"/>
        </w:rPr>
        <w:t>ing</w:t>
      </w:r>
      <w:r w:rsidRPr="005C6CA9">
        <w:rPr>
          <w:sz w:val="20"/>
          <w:szCs w:val="20"/>
        </w:rPr>
        <w:t>.</w:t>
      </w:r>
    </w:p>
    <w:bookmarkEnd w:id="39"/>
    <w:bookmarkEnd w:id="40"/>
    <w:p w:rsidR="00D75BE4" w:rsidRPr="005C6CA9" w:rsidP="004A22F3" w14:paraId="29DB2914" w14:textId="77777777">
      <w:pPr>
        <w:widowControl/>
        <w:rPr>
          <w:sz w:val="20"/>
          <w:szCs w:val="20"/>
        </w:rPr>
      </w:pPr>
    </w:p>
    <w:p w:rsidR="008F7DDE" w:rsidP="004A22F3" w14:paraId="75C67996" w14:textId="30CF4A5E">
      <w:pPr>
        <w:rPr>
          <w:b/>
          <w:bCs/>
          <w:color w:val="000000"/>
        </w:rPr>
      </w:pPr>
      <w:r w:rsidRPr="005C6CA9">
        <w:rPr>
          <w:b/>
          <w:bCs/>
          <w:color w:val="000000"/>
        </w:rPr>
        <w:t>13</w:t>
      </w:r>
      <w:r w:rsidRPr="005C6CA9" w:rsidR="008F2230">
        <w:rPr>
          <w:b/>
          <w:bCs/>
          <w:color w:val="000000"/>
        </w:rPr>
        <w:t>. Provide</w:t>
      </w:r>
      <w:r w:rsidRPr="005C6CA9">
        <w:rPr>
          <w:b/>
          <w:bCs/>
          <w:color w:val="000000"/>
        </w:rPr>
        <w:t xml:space="preserve"> an estimate of the total annual cost burden to respondents or record keepers resulting from the collection of information.  (Do not include the cost of any hour burden already reflected on the burden worksheet).</w:t>
      </w:r>
    </w:p>
    <w:p w:rsidR="00EE13D1" w:rsidRPr="005C6CA9" w:rsidP="004A22F3" w14:paraId="707D2E6D" w14:textId="77777777">
      <w:pPr>
        <w:rPr>
          <w:b/>
          <w:bCs/>
          <w:color w:val="000000"/>
        </w:rPr>
      </w:pPr>
    </w:p>
    <w:p w:rsidR="008F7DDE" w:rsidP="004A22F3" w14:paraId="5A33710B" w14:textId="77777777">
      <w:pPr>
        <w:pStyle w:val="ListParagraph"/>
        <w:numPr>
          <w:ilvl w:val="0"/>
          <w:numId w:val="2"/>
        </w:numPr>
        <w:tabs>
          <w:tab w:val="left" w:pos="-1440"/>
        </w:tabs>
        <w:spacing w:after="0" w:line="240" w:lineRule="auto"/>
        <w:rPr>
          <w:b/>
          <w:bCs/>
          <w:color w:val="000000"/>
          <w:szCs w:val="24"/>
        </w:rPr>
      </w:pPr>
      <w:r w:rsidRPr="005C6CA9">
        <w:rPr>
          <w:b/>
          <w:bCs/>
          <w:color w:val="000000"/>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77349" w:rsidRPr="005C6CA9" w:rsidP="00A77349" w14:paraId="4DE3F537" w14:textId="77777777">
      <w:pPr>
        <w:pStyle w:val="ListParagraph"/>
        <w:tabs>
          <w:tab w:val="left" w:pos="-1440"/>
        </w:tabs>
        <w:spacing w:after="0" w:line="240" w:lineRule="auto"/>
        <w:rPr>
          <w:b/>
          <w:bCs/>
          <w:color w:val="000000"/>
          <w:szCs w:val="24"/>
        </w:rPr>
      </w:pPr>
    </w:p>
    <w:p w:rsidR="008F7DDE" w:rsidP="004A22F3" w14:paraId="02848F16" w14:textId="77777777">
      <w:pPr>
        <w:pStyle w:val="ListParagraph"/>
        <w:numPr>
          <w:ilvl w:val="0"/>
          <w:numId w:val="2"/>
        </w:numPr>
        <w:tabs>
          <w:tab w:val="left" w:pos="-1440"/>
        </w:tabs>
        <w:spacing w:after="0" w:line="240" w:lineRule="auto"/>
        <w:rPr>
          <w:b/>
          <w:bCs/>
          <w:color w:val="000000"/>
          <w:szCs w:val="24"/>
        </w:rPr>
      </w:pPr>
      <w:r w:rsidRPr="005C6CA9">
        <w:rPr>
          <w:b/>
          <w:bCs/>
          <w:color w:val="000000"/>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77349" w:rsidRPr="00A77349" w:rsidP="00A77349" w14:paraId="011F0555" w14:textId="77777777">
      <w:pPr>
        <w:pStyle w:val="ListParagraph"/>
        <w:rPr>
          <w:b/>
          <w:bCs/>
          <w:color w:val="000000"/>
          <w:szCs w:val="24"/>
        </w:rPr>
      </w:pPr>
    </w:p>
    <w:p w:rsidR="008F7DDE" w:rsidRPr="005C6CA9" w:rsidP="004A22F3" w14:paraId="3271FB89" w14:textId="77777777">
      <w:pPr>
        <w:pStyle w:val="ListParagraph"/>
        <w:numPr>
          <w:ilvl w:val="0"/>
          <w:numId w:val="2"/>
        </w:numPr>
        <w:tabs>
          <w:tab w:val="left" w:pos="-1440"/>
        </w:tabs>
        <w:spacing w:after="0" w:line="240" w:lineRule="auto"/>
        <w:rPr>
          <w:b/>
          <w:bCs/>
          <w:color w:val="000000"/>
          <w:szCs w:val="24"/>
        </w:rPr>
      </w:pPr>
      <w:r w:rsidRPr="005C6CA9">
        <w:rPr>
          <w:b/>
          <w:bCs/>
          <w:color w:val="000000"/>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7DDE" w:rsidRPr="005C6CA9" w:rsidP="004A22F3" w14:paraId="701EA8DD" w14:textId="77777777">
      <w:pPr>
        <w:rPr>
          <w:b/>
          <w:bCs/>
          <w:color w:val="000000"/>
        </w:rPr>
      </w:pPr>
      <w:bookmarkStart w:id="41" w:name="OLE_LINK6"/>
      <w:bookmarkStart w:id="42" w:name="OLE_LINK7"/>
    </w:p>
    <w:p w:rsidR="00352D7C" w:rsidP="004A22F3" w14:paraId="312C1F36" w14:textId="6931EB74">
      <w:pPr>
        <w:rPr>
          <w:color w:val="000000"/>
        </w:rPr>
      </w:pPr>
      <w:bookmarkStart w:id="43" w:name="_Hlk114570255"/>
      <w:r>
        <w:t xml:space="preserve">Smoking prevention </w:t>
      </w:r>
      <w:bookmarkEnd w:id="41"/>
      <w:bookmarkEnd w:id="42"/>
      <w:bookmarkEnd w:id="43"/>
      <w:r>
        <w:rPr>
          <w:color w:val="000000"/>
        </w:rPr>
        <w:t>p</w:t>
      </w:r>
      <w:r w:rsidR="00C400A8">
        <w:rPr>
          <w:color w:val="000000"/>
        </w:rPr>
        <w:t xml:space="preserve">rograms need to be submitted to MSHA for approval. </w:t>
      </w:r>
      <w:r w:rsidR="00C249E5">
        <w:rPr>
          <w:color w:val="000000"/>
        </w:rPr>
        <w:t>MSHA estimates that</w:t>
      </w:r>
      <w:r w:rsidR="00C400A8">
        <w:rPr>
          <w:color w:val="000000"/>
        </w:rPr>
        <w:t xml:space="preserve"> 70</w:t>
      </w:r>
      <w:r w:rsidR="00BF6073">
        <w:rPr>
          <w:color w:val="000000"/>
        </w:rPr>
        <w:t xml:space="preserve"> percent</w:t>
      </w:r>
      <w:r w:rsidR="00C400A8">
        <w:rPr>
          <w:color w:val="000000"/>
        </w:rPr>
        <w:t xml:space="preserve"> of programs</w:t>
      </w:r>
      <w:r w:rsidR="00C249E5">
        <w:rPr>
          <w:color w:val="000000"/>
        </w:rPr>
        <w:t xml:space="preserve"> </w:t>
      </w:r>
      <w:r w:rsidR="00C400A8">
        <w:rPr>
          <w:color w:val="000000"/>
        </w:rPr>
        <w:t xml:space="preserve">are submitted through email or other electronic means </w:t>
      </w:r>
      <w:r w:rsidR="00C249E5">
        <w:rPr>
          <w:color w:val="000000"/>
        </w:rPr>
        <w:t xml:space="preserve">and that there </w:t>
      </w:r>
      <w:r w:rsidR="00CE552D">
        <w:rPr>
          <w:color w:val="000000"/>
        </w:rPr>
        <w:t>are</w:t>
      </w:r>
      <w:r w:rsidR="00C249E5">
        <w:rPr>
          <w:color w:val="000000"/>
        </w:rPr>
        <w:t xml:space="preserve"> </w:t>
      </w:r>
      <w:r w:rsidR="00C400A8">
        <w:rPr>
          <w:color w:val="000000"/>
        </w:rPr>
        <w:t>no additional costs</w:t>
      </w:r>
      <w:r w:rsidR="00C249E5">
        <w:rPr>
          <w:color w:val="000000"/>
        </w:rPr>
        <w:t xml:space="preserve"> associated with submitting these programs</w:t>
      </w:r>
      <w:r w:rsidR="00BF6073">
        <w:rPr>
          <w:color w:val="000000"/>
        </w:rPr>
        <w:t xml:space="preserve"> electronically</w:t>
      </w:r>
      <w:r>
        <w:rPr>
          <w:color w:val="000000"/>
        </w:rPr>
        <w:t>.</w:t>
      </w:r>
    </w:p>
    <w:p w:rsidR="00174845" w:rsidP="004A22F3" w14:paraId="68D02398" w14:textId="77777777">
      <w:pPr>
        <w:rPr>
          <w:color w:val="000000"/>
        </w:rPr>
      </w:pPr>
    </w:p>
    <w:p w:rsidR="00715424" w:rsidRPr="006134B7" w:rsidP="00174845" w14:paraId="38CE725D" w14:textId="5D746D4E">
      <w:pPr>
        <w:rPr>
          <w:color w:val="000000"/>
        </w:rPr>
      </w:pPr>
      <w:r>
        <w:t>MSHA</w:t>
      </w:r>
      <w:r w:rsidR="009D4AFC">
        <w:t xml:space="preserve"> also</w:t>
      </w:r>
      <w:r>
        <w:t xml:space="preserve"> estimates</w:t>
      </w:r>
      <w:r w:rsidR="009D4AFC">
        <w:t xml:space="preserve"> that</w:t>
      </w:r>
      <w:r>
        <w:t xml:space="preserve"> there are no additional costs associated with the </w:t>
      </w:r>
      <w:r w:rsidR="00BF6073">
        <w:t xml:space="preserve">remaining </w:t>
      </w:r>
      <w:r>
        <w:t>30</w:t>
      </w:r>
      <w:r w:rsidR="00BF6073">
        <w:t xml:space="preserve"> percent</w:t>
      </w:r>
      <w:r>
        <w:t xml:space="preserve"> of programs submitted through mail as hard copies.</w:t>
      </w:r>
      <w:r w:rsidR="00174845">
        <w:t xml:space="preserve"> </w:t>
      </w:r>
      <w:r w:rsidR="00BF6073">
        <w:t>I</w:t>
      </w:r>
      <w:r w:rsidR="00174845">
        <w:t xml:space="preserve">n </w:t>
      </w:r>
      <w:r w:rsidRPr="005E1F20" w:rsidR="00174845">
        <w:t>MSHA’s experience smoking prevention program</w:t>
      </w:r>
      <w:r w:rsidR="00CE552D">
        <w:t>s</w:t>
      </w:r>
      <w:r w:rsidRPr="005E1F20" w:rsidR="00174845">
        <w:t xml:space="preserve"> </w:t>
      </w:r>
      <w:r w:rsidR="00CE552D">
        <w:t>are</w:t>
      </w:r>
      <w:r w:rsidRPr="005E1F20" w:rsidR="00174845">
        <w:t xml:space="preserve"> relatively straightforward, requir</w:t>
      </w:r>
      <w:r w:rsidR="000837FA">
        <w:t>e</w:t>
      </w:r>
      <w:r w:rsidRPr="005E1F20" w:rsidR="00174845">
        <w:t xml:space="preserve"> minimal effort, and a</w:t>
      </w:r>
      <w:r w:rsidR="006337F6">
        <w:t>re</w:t>
      </w:r>
      <w:r w:rsidRPr="005E1F20" w:rsidR="00174845">
        <w:t xml:space="preserve"> typically submit</w:t>
      </w:r>
      <w:r w:rsidR="006337F6">
        <w:t>ted</w:t>
      </w:r>
      <w:r w:rsidRPr="005E1F20" w:rsidR="00174845">
        <w:t xml:space="preserve"> along with other mandatory plan</w:t>
      </w:r>
      <w:r w:rsidR="00174845">
        <w:t>s.</w:t>
      </w:r>
      <w:r w:rsidR="00C249E5">
        <w:t xml:space="preserve"> </w:t>
      </w:r>
      <w:r w:rsidR="004573A9">
        <w:t>Therefore</w:t>
      </w:r>
      <w:r w:rsidR="00AA4DBF">
        <w:t>,</w:t>
      </w:r>
      <w:r w:rsidR="00C249E5">
        <w:t xml:space="preserve"> the cost of sending the smoking prevention plan along with other mandatory plans is de minimis.</w:t>
      </w:r>
    </w:p>
    <w:p w:rsidR="00C400A8" w:rsidRPr="005C6CA9" w:rsidP="004A22F3" w14:paraId="29F8DAD6" w14:textId="77777777">
      <w:pPr>
        <w:rPr>
          <w:b/>
          <w:bCs/>
          <w:color w:val="000000"/>
        </w:rPr>
      </w:pPr>
    </w:p>
    <w:p w:rsidR="00EE13D1" w:rsidP="004A22F3" w14:paraId="5D465983" w14:textId="77777777">
      <w:pPr>
        <w:rPr>
          <w:b/>
          <w:bCs/>
          <w:color w:val="000000"/>
        </w:rPr>
      </w:pPr>
    </w:p>
    <w:p w:rsidR="008F7DDE" w:rsidRPr="005C6CA9" w:rsidP="004A22F3" w14:paraId="6154050E" w14:textId="0D6B025D">
      <w:pPr>
        <w:rPr>
          <w:bCs/>
          <w:color w:val="000000"/>
        </w:rPr>
      </w:pPr>
      <w:r w:rsidRPr="005C6CA9">
        <w:rPr>
          <w:b/>
          <w:bCs/>
          <w:color w:val="000000"/>
        </w:rPr>
        <w:t xml:space="preserve">14. Provide estimates of annualized cost to the </w:t>
      </w:r>
      <w:r w:rsidRPr="005C6CA9" w:rsidR="00CD484D">
        <w:rPr>
          <w:b/>
          <w:bCs/>
          <w:color w:val="000000"/>
        </w:rPr>
        <w:t>f</w:t>
      </w:r>
      <w:r w:rsidRPr="005C6CA9">
        <w:rPr>
          <w:b/>
          <w:bCs/>
          <w:color w:val="000000"/>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B362F" w:rsidRPr="005C6CA9" w:rsidP="004A22F3" w14:paraId="7C844DF4" w14:textId="77777777">
      <w:pPr>
        <w:rPr>
          <w:b/>
          <w:bCs/>
          <w:color w:val="000000"/>
          <w:szCs w:val="22"/>
        </w:rPr>
      </w:pPr>
    </w:p>
    <w:p w:rsidR="00F74113" w:rsidRPr="005C6CA9" w:rsidP="004A22F3" w14:paraId="4E8483F0" w14:textId="61BF009C">
      <w:pPr>
        <w:rPr>
          <w:color w:val="000000"/>
        </w:rPr>
      </w:pPr>
      <w:bookmarkStart w:id="44" w:name="_Hlk192769156"/>
      <w:r w:rsidRPr="005C6CA9">
        <w:rPr>
          <w:color w:val="000000"/>
        </w:rPr>
        <w:t xml:space="preserve">MSHA uses data from the FedScope published by the Office of Personnel Management for hourly wage rates of Federal employees and adjusts the rates for benefits and overhead. The occupations listed below in Table 14-1 are those that were determined to be relevant for the </w:t>
      </w:r>
      <w:r w:rsidRPr="005C6CA9" w:rsidR="00CD484D">
        <w:rPr>
          <w:color w:val="000000"/>
        </w:rPr>
        <w:t>f</w:t>
      </w:r>
      <w:r w:rsidRPr="005C6CA9">
        <w:rPr>
          <w:color w:val="000000"/>
        </w:rPr>
        <w:t>ederal government cost calculations.</w:t>
      </w:r>
    </w:p>
    <w:p w:rsidR="00F74113" w:rsidRPr="005C6CA9" w:rsidP="004A22F3" w14:paraId="375D8972" w14:textId="77777777">
      <w:pPr>
        <w:rPr>
          <w:b/>
          <w:bCs/>
          <w:color w:val="000000"/>
          <w:szCs w:val="22"/>
        </w:rPr>
      </w:pPr>
    </w:p>
    <w:p w:rsidR="00D22375" w:rsidRPr="005C6CA9" w:rsidP="004A22F3" w14:paraId="76B4F606" w14:textId="5F3E5B0A">
      <w:pPr>
        <w:rPr>
          <w:b/>
          <w:bCs/>
          <w:color w:val="000000"/>
        </w:rPr>
      </w:pPr>
      <w:r w:rsidRPr="005C6CA9">
        <w:rPr>
          <w:b/>
          <w:bCs/>
          <w:color w:val="000000"/>
        </w:rPr>
        <w:t>Table 14-1</w:t>
      </w:r>
      <w:r w:rsidRPr="005C6CA9" w:rsidR="00D73216">
        <w:rPr>
          <w:b/>
          <w:bCs/>
          <w:color w:val="000000"/>
        </w:rPr>
        <w:t>.</w:t>
      </w:r>
      <w:r w:rsidRPr="005C6CA9">
        <w:rPr>
          <w:b/>
          <w:bCs/>
          <w:color w:val="000000"/>
        </w:rPr>
        <w:t xml:space="preserve"> Federal Hourly Wage Rates</w:t>
      </w:r>
    </w:p>
    <w:tbl>
      <w:tblPr>
        <w:tblStyle w:val="TableGrid"/>
        <w:tblW w:w="9445" w:type="dxa"/>
        <w:tblLook w:val="04A0"/>
      </w:tblPr>
      <w:tblGrid>
        <w:gridCol w:w="2965"/>
        <w:gridCol w:w="1350"/>
        <w:gridCol w:w="1260"/>
        <w:gridCol w:w="2070"/>
        <w:gridCol w:w="1800"/>
      </w:tblGrid>
      <w:tr w14:paraId="0F79EAD2" w14:textId="77777777" w:rsidTr="006134B7">
        <w:tblPrEx>
          <w:tblW w:w="9445" w:type="dxa"/>
          <w:tblLook w:val="04A0"/>
        </w:tblPrEx>
        <w:trPr>
          <w:trHeight w:val="478"/>
        </w:trPr>
        <w:tc>
          <w:tcPr>
            <w:tcW w:w="2965" w:type="dxa"/>
            <w:shd w:val="clear" w:color="auto" w:fill="8EAADB" w:themeFill="accent1" w:themeFillTint="99"/>
            <w:vAlign w:val="bottom"/>
          </w:tcPr>
          <w:p w:rsidR="00D22375" w:rsidRPr="005C6CA9" w:rsidP="00016DB4" w14:paraId="191EF5D1" w14:textId="3FBB28D8">
            <w:pPr>
              <w:rPr>
                <w:iCs/>
                <w:sz w:val="20"/>
              </w:rPr>
            </w:pPr>
            <w:r w:rsidRPr="005C6CA9">
              <w:rPr>
                <w:iCs/>
                <w:sz w:val="20"/>
              </w:rPr>
              <w:t>Occupation</w:t>
            </w:r>
          </w:p>
        </w:tc>
        <w:tc>
          <w:tcPr>
            <w:tcW w:w="1350" w:type="dxa"/>
            <w:shd w:val="clear" w:color="auto" w:fill="8EAADB" w:themeFill="accent1" w:themeFillTint="99"/>
            <w:vAlign w:val="center"/>
          </w:tcPr>
          <w:p w:rsidR="00D22375" w:rsidRPr="005C6CA9" w:rsidP="004A22F3" w14:paraId="53C91EFA" w14:textId="77777777">
            <w:pPr>
              <w:jc w:val="center"/>
              <w:rPr>
                <w:iCs/>
                <w:sz w:val="20"/>
              </w:rPr>
            </w:pPr>
            <w:r w:rsidRPr="005C6CA9">
              <w:rPr>
                <w:iCs/>
                <w:sz w:val="20"/>
              </w:rPr>
              <w:t>Occupation Code</w:t>
            </w:r>
          </w:p>
        </w:tc>
        <w:tc>
          <w:tcPr>
            <w:tcW w:w="1260" w:type="dxa"/>
            <w:shd w:val="clear" w:color="auto" w:fill="8EAADB" w:themeFill="accent1" w:themeFillTint="99"/>
            <w:vAlign w:val="center"/>
          </w:tcPr>
          <w:p w:rsidR="00D22375" w:rsidRPr="005C6CA9" w:rsidP="004A22F3" w14:paraId="65B644AB" w14:textId="77875688">
            <w:pPr>
              <w:jc w:val="center"/>
              <w:rPr>
                <w:iCs/>
                <w:sz w:val="20"/>
              </w:rPr>
            </w:pPr>
            <w:r w:rsidRPr="005C6CA9">
              <w:rPr>
                <w:iCs/>
                <w:sz w:val="20"/>
              </w:rPr>
              <w:t>Mean</w:t>
            </w:r>
            <w:r w:rsidRPr="005C6CA9" w:rsidR="00BC2CDC">
              <w:rPr>
                <w:iCs/>
                <w:sz w:val="20"/>
              </w:rPr>
              <w:t xml:space="preserve"> </w:t>
            </w:r>
            <w:r w:rsidRPr="005C6CA9" w:rsidR="0003653B">
              <w:rPr>
                <w:iCs/>
                <w:sz w:val="20"/>
              </w:rPr>
              <w:t xml:space="preserve">Hourly </w:t>
            </w:r>
            <w:r w:rsidRPr="005C6CA9">
              <w:rPr>
                <w:iCs/>
                <w:sz w:val="20"/>
              </w:rPr>
              <w:t>Wage Rate</w:t>
            </w:r>
          </w:p>
        </w:tc>
        <w:tc>
          <w:tcPr>
            <w:tcW w:w="2070" w:type="dxa"/>
            <w:shd w:val="clear" w:color="auto" w:fill="8EAADB" w:themeFill="accent1" w:themeFillTint="99"/>
            <w:vAlign w:val="center"/>
          </w:tcPr>
          <w:p w:rsidR="00D22375" w:rsidRPr="005C6CA9" w:rsidP="004A22F3" w14:paraId="1C754AE3" w14:textId="7AB02101">
            <w:pPr>
              <w:jc w:val="center"/>
              <w:rPr>
                <w:iCs/>
                <w:sz w:val="20"/>
              </w:rPr>
            </w:pPr>
            <w:r w:rsidRPr="005C6CA9">
              <w:rPr>
                <w:iCs/>
                <w:sz w:val="20"/>
              </w:rPr>
              <w:t>Benefit</w:t>
            </w:r>
            <w:r w:rsidRPr="005C6CA9" w:rsidR="00F16D8E">
              <w:rPr>
                <w:iCs/>
                <w:sz w:val="20"/>
              </w:rPr>
              <w:t xml:space="preserve"> &amp; Overhead </w:t>
            </w:r>
            <w:r w:rsidRPr="005C6CA9">
              <w:rPr>
                <w:iCs/>
                <w:sz w:val="20"/>
              </w:rPr>
              <w:t>Multiplier</w:t>
            </w:r>
            <w:r w:rsidRPr="005C6CA9" w:rsidR="00B24B40">
              <w:rPr>
                <w:iCs/>
                <w:sz w:val="20"/>
              </w:rPr>
              <w:t xml:space="preserve"> [a]</w:t>
            </w:r>
          </w:p>
        </w:tc>
        <w:tc>
          <w:tcPr>
            <w:tcW w:w="1800" w:type="dxa"/>
            <w:shd w:val="clear" w:color="auto" w:fill="8EAADB" w:themeFill="accent1" w:themeFillTint="99"/>
            <w:vAlign w:val="center"/>
          </w:tcPr>
          <w:p w:rsidR="00D22375" w:rsidRPr="005C6CA9" w:rsidP="004A22F3" w14:paraId="5AC6961E" w14:textId="77777777">
            <w:pPr>
              <w:jc w:val="center"/>
              <w:rPr>
                <w:iCs/>
                <w:sz w:val="20"/>
              </w:rPr>
            </w:pPr>
            <w:r w:rsidRPr="005C6CA9">
              <w:rPr>
                <w:iCs/>
                <w:sz w:val="20"/>
              </w:rPr>
              <w:t>Loaded Hourly Wage Rate</w:t>
            </w:r>
          </w:p>
        </w:tc>
      </w:tr>
      <w:tr w14:paraId="2DA2475E" w14:textId="77777777" w:rsidTr="006134B7">
        <w:tblPrEx>
          <w:tblW w:w="9445" w:type="dxa"/>
          <w:tblLook w:val="04A0"/>
        </w:tblPrEx>
        <w:trPr>
          <w:trHeight w:val="233"/>
        </w:trPr>
        <w:tc>
          <w:tcPr>
            <w:tcW w:w="2965" w:type="dxa"/>
            <w:shd w:val="clear" w:color="auto" w:fill="8EAADB" w:themeFill="accent1" w:themeFillTint="99"/>
            <w:vAlign w:val="bottom"/>
          </w:tcPr>
          <w:p w:rsidR="00D75BE4" w:rsidRPr="005C6CA9" w:rsidP="00016DB4" w14:paraId="595E4D13" w14:textId="77777777">
            <w:pPr>
              <w:rPr>
                <w:iCs/>
                <w:sz w:val="20"/>
              </w:rPr>
            </w:pPr>
          </w:p>
        </w:tc>
        <w:tc>
          <w:tcPr>
            <w:tcW w:w="1350" w:type="dxa"/>
            <w:shd w:val="clear" w:color="auto" w:fill="8EAADB" w:themeFill="accent1" w:themeFillTint="99"/>
            <w:vAlign w:val="center"/>
          </w:tcPr>
          <w:p w:rsidR="00D75BE4" w:rsidRPr="005C6CA9" w:rsidP="004A22F3" w14:paraId="11BFAB25" w14:textId="77777777">
            <w:pPr>
              <w:jc w:val="center"/>
              <w:rPr>
                <w:iCs/>
                <w:sz w:val="20"/>
              </w:rPr>
            </w:pPr>
          </w:p>
        </w:tc>
        <w:tc>
          <w:tcPr>
            <w:tcW w:w="1260" w:type="dxa"/>
            <w:shd w:val="clear" w:color="auto" w:fill="8EAADB" w:themeFill="accent1" w:themeFillTint="99"/>
            <w:vAlign w:val="center"/>
          </w:tcPr>
          <w:p w:rsidR="00D75BE4" w:rsidRPr="005C6CA9" w:rsidP="004A22F3" w14:paraId="01156ABC" w14:textId="03605850">
            <w:pPr>
              <w:jc w:val="center"/>
              <w:rPr>
                <w:iCs/>
                <w:sz w:val="20"/>
              </w:rPr>
            </w:pPr>
            <w:r w:rsidRPr="005C6CA9">
              <w:rPr>
                <w:iCs/>
                <w:sz w:val="20"/>
              </w:rPr>
              <w:t>A</w:t>
            </w:r>
          </w:p>
        </w:tc>
        <w:tc>
          <w:tcPr>
            <w:tcW w:w="2070" w:type="dxa"/>
            <w:shd w:val="clear" w:color="auto" w:fill="8EAADB" w:themeFill="accent1" w:themeFillTint="99"/>
            <w:vAlign w:val="center"/>
          </w:tcPr>
          <w:p w:rsidR="00D75BE4" w:rsidRPr="005C6CA9" w:rsidP="004A22F3" w14:paraId="2DAC5BEE" w14:textId="22289476">
            <w:pPr>
              <w:jc w:val="center"/>
              <w:rPr>
                <w:iCs/>
                <w:sz w:val="20"/>
              </w:rPr>
            </w:pPr>
            <w:r w:rsidRPr="005C6CA9">
              <w:rPr>
                <w:iCs/>
                <w:sz w:val="20"/>
              </w:rPr>
              <w:t>B</w:t>
            </w:r>
          </w:p>
        </w:tc>
        <w:tc>
          <w:tcPr>
            <w:tcW w:w="1800" w:type="dxa"/>
            <w:shd w:val="clear" w:color="auto" w:fill="8EAADB" w:themeFill="accent1" w:themeFillTint="99"/>
            <w:vAlign w:val="center"/>
          </w:tcPr>
          <w:p w:rsidR="00D75BE4" w:rsidRPr="005C6CA9" w:rsidP="004A22F3" w14:paraId="484F84B1" w14:textId="748779E7">
            <w:pPr>
              <w:jc w:val="center"/>
              <w:rPr>
                <w:iCs/>
                <w:sz w:val="20"/>
              </w:rPr>
            </w:pPr>
            <w:r w:rsidRPr="005C6CA9">
              <w:rPr>
                <w:iCs/>
                <w:sz w:val="20"/>
              </w:rPr>
              <w:t>A x B</w:t>
            </w:r>
          </w:p>
        </w:tc>
      </w:tr>
      <w:tr w14:paraId="331CBA19" w14:textId="77777777" w:rsidTr="006134B7">
        <w:tblPrEx>
          <w:tblW w:w="9445" w:type="dxa"/>
          <w:tblLook w:val="04A0"/>
        </w:tblPrEx>
        <w:trPr>
          <w:trHeight w:val="246"/>
        </w:trPr>
        <w:tc>
          <w:tcPr>
            <w:tcW w:w="2965" w:type="dxa"/>
            <w:vAlign w:val="bottom"/>
          </w:tcPr>
          <w:p w:rsidR="00D75BE4" w:rsidRPr="005C6CA9" w:rsidP="00016DB4" w14:paraId="53323FAC" w14:textId="0BF7A0A2">
            <w:pPr>
              <w:rPr>
                <w:iCs/>
                <w:sz w:val="20"/>
              </w:rPr>
            </w:pPr>
            <w:r w:rsidRPr="005C6CA9">
              <w:rPr>
                <w:iCs/>
                <w:sz w:val="20"/>
              </w:rPr>
              <w:t>GS-12 Inspector</w:t>
            </w:r>
            <w:r w:rsidRPr="005C6CA9" w:rsidR="00B24B40">
              <w:rPr>
                <w:iCs/>
                <w:sz w:val="20"/>
              </w:rPr>
              <w:t xml:space="preserve"> [b]</w:t>
            </w:r>
          </w:p>
        </w:tc>
        <w:tc>
          <w:tcPr>
            <w:tcW w:w="1350" w:type="dxa"/>
            <w:vAlign w:val="center"/>
          </w:tcPr>
          <w:p w:rsidR="00D75BE4" w:rsidRPr="005C6CA9" w:rsidP="004A22F3" w14:paraId="49C18AF7" w14:textId="513E69CB">
            <w:pPr>
              <w:jc w:val="center"/>
              <w:rPr>
                <w:iCs/>
                <w:sz w:val="20"/>
              </w:rPr>
            </w:pPr>
            <w:r w:rsidRPr="005C6CA9">
              <w:rPr>
                <w:iCs/>
                <w:sz w:val="20"/>
              </w:rPr>
              <w:t>1822</w:t>
            </w:r>
          </w:p>
        </w:tc>
        <w:tc>
          <w:tcPr>
            <w:tcW w:w="1260" w:type="dxa"/>
            <w:vAlign w:val="center"/>
          </w:tcPr>
          <w:p w:rsidR="00D75BE4" w:rsidRPr="005C6CA9" w:rsidP="004A22F3" w14:paraId="20FD0BA3" w14:textId="1E0F94E5">
            <w:pPr>
              <w:jc w:val="center"/>
              <w:rPr>
                <w:iCs/>
                <w:sz w:val="20"/>
              </w:rPr>
            </w:pPr>
            <w:r w:rsidRPr="005C6CA9">
              <w:rPr>
                <w:iCs/>
                <w:sz w:val="20"/>
              </w:rPr>
              <w:t>$4</w:t>
            </w:r>
            <w:r w:rsidRPr="005C6CA9" w:rsidR="00D70967">
              <w:rPr>
                <w:iCs/>
                <w:sz w:val="20"/>
              </w:rPr>
              <w:t>9.52</w:t>
            </w:r>
          </w:p>
        </w:tc>
        <w:tc>
          <w:tcPr>
            <w:tcW w:w="2070" w:type="dxa"/>
            <w:vAlign w:val="center"/>
          </w:tcPr>
          <w:p w:rsidR="00D75BE4" w:rsidRPr="005C6CA9" w:rsidP="004A22F3" w14:paraId="26B420E4" w14:textId="56CFE7D6">
            <w:pPr>
              <w:jc w:val="center"/>
              <w:rPr>
                <w:iCs/>
                <w:sz w:val="20"/>
              </w:rPr>
            </w:pPr>
            <w:r w:rsidRPr="005C6CA9">
              <w:rPr>
                <w:iCs/>
                <w:sz w:val="20"/>
              </w:rPr>
              <w:t>1.5</w:t>
            </w:r>
            <w:r w:rsidRPr="005C6CA9" w:rsidR="00FD26C5">
              <w:rPr>
                <w:iCs/>
                <w:sz w:val="20"/>
              </w:rPr>
              <w:t>8</w:t>
            </w:r>
            <w:r w:rsidRPr="005C6CA9" w:rsidR="00D70967">
              <w:rPr>
                <w:iCs/>
                <w:sz w:val="20"/>
              </w:rPr>
              <w:t>7</w:t>
            </w:r>
          </w:p>
        </w:tc>
        <w:tc>
          <w:tcPr>
            <w:tcW w:w="1800" w:type="dxa"/>
            <w:vAlign w:val="center"/>
          </w:tcPr>
          <w:p w:rsidR="00D75BE4" w:rsidRPr="005C6CA9" w:rsidP="004A22F3" w14:paraId="675E98E7" w14:textId="27206CA7">
            <w:pPr>
              <w:jc w:val="center"/>
              <w:rPr>
                <w:iCs/>
                <w:sz w:val="20"/>
              </w:rPr>
            </w:pPr>
            <w:r w:rsidRPr="005C6CA9">
              <w:rPr>
                <w:iCs/>
                <w:sz w:val="20"/>
              </w:rPr>
              <w:t>$7</w:t>
            </w:r>
            <w:r w:rsidRPr="005C6CA9" w:rsidR="00D70967">
              <w:rPr>
                <w:iCs/>
                <w:sz w:val="20"/>
              </w:rPr>
              <w:t>8.60</w:t>
            </w:r>
          </w:p>
        </w:tc>
      </w:tr>
    </w:tbl>
    <w:p w:rsidR="00BC2CDC" w:rsidRPr="005C6CA9" w:rsidP="004A22F3" w14:paraId="7020BEF5" w14:textId="21F5134B">
      <w:pPr>
        <w:rPr>
          <w:color w:val="000000"/>
          <w:sz w:val="20"/>
          <w:szCs w:val="20"/>
        </w:rPr>
      </w:pPr>
      <w:r w:rsidRPr="005C6CA9">
        <w:rPr>
          <w:color w:val="000000"/>
          <w:sz w:val="20"/>
          <w:szCs w:val="20"/>
        </w:rPr>
        <w:t>Note</w:t>
      </w:r>
      <w:r w:rsidRPr="005C6CA9" w:rsidR="00130FC7">
        <w:rPr>
          <w:color w:val="000000"/>
          <w:sz w:val="20"/>
          <w:szCs w:val="20"/>
        </w:rPr>
        <w:t>s</w:t>
      </w:r>
      <w:r w:rsidRPr="005C6CA9">
        <w:rPr>
          <w:color w:val="000000"/>
          <w:sz w:val="20"/>
          <w:szCs w:val="20"/>
        </w:rPr>
        <w:t xml:space="preserve">: Hourly wage rates </w:t>
      </w:r>
      <w:r w:rsidRPr="005C6CA9" w:rsidR="008125AC">
        <w:rPr>
          <w:color w:val="000000"/>
          <w:sz w:val="20"/>
          <w:szCs w:val="20"/>
        </w:rPr>
        <w:t xml:space="preserve">are </w:t>
      </w:r>
      <w:r w:rsidRPr="005C6CA9">
        <w:rPr>
          <w:color w:val="000000"/>
          <w:sz w:val="20"/>
          <w:szCs w:val="20"/>
        </w:rPr>
        <w:t>developed from Office of Personnel Management (OPM) September 202</w:t>
      </w:r>
      <w:r w:rsidRPr="005C6CA9" w:rsidR="00E67EA6">
        <w:rPr>
          <w:color w:val="000000"/>
          <w:sz w:val="20"/>
          <w:szCs w:val="20"/>
        </w:rPr>
        <w:t>4</w:t>
      </w:r>
      <w:r w:rsidRPr="005C6CA9">
        <w:rPr>
          <w:color w:val="000000"/>
          <w:sz w:val="20"/>
          <w:szCs w:val="20"/>
        </w:rPr>
        <w:t xml:space="preserve"> FedScope Employment Cube, </w:t>
      </w:r>
      <w:hyperlink r:id="rId6" w:history="1">
        <w:r w:rsidRPr="00DA44D5" w:rsidR="001A4EF2">
          <w:rPr>
            <w:rStyle w:val="Hyperlink"/>
            <w:sz w:val="20"/>
            <w:szCs w:val="20"/>
          </w:rPr>
          <w:t>http://www.fedscope.opm.gov/</w:t>
        </w:r>
      </w:hyperlink>
      <w:r w:rsidRPr="005C6CA9">
        <w:rPr>
          <w:color w:val="000000"/>
          <w:sz w:val="20"/>
          <w:szCs w:val="20"/>
        </w:rPr>
        <w:t xml:space="preserve">. </w:t>
      </w:r>
    </w:p>
    <w:p w:rsidR="00B94D82" w:rsidRPr="005C6CA9" w:rsidP="004A22F3" w14:paraId="6BAFD197" w14:textId="33DD3443">
      <w:pPr>
        <w:rPr>
          <w:color w:val="000000"/>
          <w:sz w:val="20"/>
          <w:szCs w:val="20"/>
        </w:rPr>
      </w:pPr>
      <w:bookmarkStart w:id="45" w:name="_Hlk167360775"/>
      <w:r w:rsidRPr="005C6CA9">
        <w:rPr>
          <w:color w:val="000000"/>
          <w:sz w:val="20"/>
          <w:szCs w:val="20"/>
        </w:rPr>
        <w:t>[a] Benefit and overhead multiplier = 1 + (MSHA personnel benefits</w:t>
      </w:r>
      <w:r w:rsidRPr="005C6CA9" w:rsidR="00D70967">
        <w:rPr>
          <w:color w:val="000000"/>
          <w:sz w:val="20"/>
          <w:szCs w:val="20"/>
        </w:rPr>
        <w:t xml:space="preserve"> </w:t>
      </w:r>
      <w:r w:rsidRPr="005C6CA9" w:rsidR="00AC7A6E">
        <w:rPr>
          <w:color w:val="000000"/>
          <w:sz w:val="20"/>
          <w:szCs w:val="20"/>
        </w:rPr>
        <w:t>+ Federal Employees' Compensation Act</w:t>
      </w:r>
      <w:r w:rsidRPr="005C6CA9" w:rsidR="00D70967">
        <w:rPr>
          <w:color w:val="000000"/>
          <w:sz w:val="20"/>
          <w:szCs w:val="20"/>
        </w:rPr>
        <w:t xml:space="preserve"> </w:t>
      </w:r>
      <w:r w:rsidRPr="005C6CA9" w:rsidR="00AC7A6E">
        <w:rPr>
          <w:color w:val="000000"/>
          <w:sz w:val="20"/>
          <w:szCs w:val="20"/>
        </w:rPr>
        <w:t>+</w:t>
      </w:r>
      <w:r w:rsidRPr="005C6CA9" w:rsidR="00D70967">
        <w:rPr>
          <w:color w:val="000000"/>
          <w:sz w:val="20"/>
          <w:szCs w:val="20"/>
        </w:rPr>
        <w:t xml:space="preserve"> </w:t>
      </w:r>
      <w:r w:rsidRPr="005C6CA9" w:rsidR="00AC7A6E">
        <w:rPr>
          <w:color w:val="000000"/>
          <w:sz w:val="20"/>
          <w:szCs w:val="20"/>
        </w:rPr>
        <w:t>benefits for former personnel</w:t>
      </w:r>
      <w:r w:rsidRPr="005C6CA9" w:rsidR="00D70967">
        <w:rPr>
          <w:color w:val="000000"/>
          <w:sz w:val="20"/>
          <w:szCs w:val="20"/>
        </w:rPr>
        <w:t xml:space="preserve"> </w:t>
      </w:r>
      <w:r w:rsidRPr="005C6CA9" w:rsidR="00AC7A6E">
        <w:rPr>
          <w:color w:val="000000"/>
          <w:sz w:val="20"/>
          <w:szCs w:val="20"/>
        </w:rPr>
        <w:t>+</w:t>
      </w:r>
      <w:r w:rsidRPr="005C6CA9">
        <w:rPr>
          <w:color w:val="000000"/>
          <w:sz w:val="20"/>
          <w:szCs w:val="20"/>
        </w:rPr>
        <w:t xml:space="preserve"> travel</w:t>
      </w:r>
      <w:r w:rsidRPr="005C6CA9" w:rsidR="005A0BDD">
        <w:rPr>
          <w:color w:val="000000"/>
          <w:sz w:val="20"/>
          <w:szCs w:val="20"/>
        </w:rPr>
        <w:t xml:space="preserve"> </w:t>
      </w:r>
      <w:bookmarkStart w:id="46" w:name="_Hlk172027222"/>
      <w:r w:rsidRPr="005C6CA9" w:rsidR="005A0BDD">
        <w:rPr>
          <w:color w:val="000000"/>
          <w:sz w:val="20"/>
          <w:szCs w:val="20"/>
        </w:rPr>
        <w:t>and</w:t>
      </w:r>
      <w:r w:rsidRPr="005C6CA9">
        <w:rPr>
          <w:color w:val="000000"/>
          <w:sz w:val="20"/>
          <w:szCs w:val="20"/>
        </w:rPr>
        <w:t xml:space="preserve"> </w:t>
      </w:r>
      <w:r w:rsidRPr="005C6CA9" w:rsidR="005A0BDD">
        <w:rPr>
          <w:color w:val="000000"/>
          <w:sz w:val="20"/>
          <w:szCs w:val="20"/>
        </w:rPr>
        <w:t>transportation</w:t>
      </w:r>
      <w:bookmarkEnd w:id="46"/>
      <w:r w:rsidRPr="005C6CA9" w:rsidR="00AC7A6E">
        <w:rPr>
          <w:color w:val="000000"/>
          <w:sz w:val="20"/>
          <w:szCs w:val="20"/>
        </w:rPr>
        <w:t xml:space="preserve"> (persons and things)</w:t>
      </w:r>
      <w:r w:rsidRPr="005C6CA9" w:rsidR="00D70967">
        <w:rPr>
          <w:color w:val="000000"/>
          <w:sz w:val="20"/>
          <w:szCs w:val="20"/>
        </w:rPr>
        <w:t xml:space="preserve"> </w:t>
      </w:r>
      <w:r w:rsidRPr="005C6CA9" w:rsidR="00AC7A6E">
        <w:rPr>
          <w:color w:val="000000"/>
          <w:sz w:val="20"/>
          <w:szCs w:val="20"/>
        </w:rPr>
        <w:t xml:space="preserve">+ </w:t>
      </w:r>
      <w:r w:rsidRPr="005C6CA9" w:rsidR="00D70967">
        <w:rPr>
          <w:color w:val="000000"/>
          <w:sz w:val="20"/>
          <w:szCs w:val="20"/>
        </w:rPr>
        <w:t>r</w:t>
      </w:r>
      <w:r w:rsidRPr="005C6CA9" w:rsidR="00AC7A6E">
        <w:rPr>
          <w:color w:val="000000"/>
          <w:sz w:val="20"/>
          <w:szCs w:val="20"/>
        </w:rPr>
        <w:t xml:space="preserve">ental </w:t>
      </w:r>
      <w:r w:rsidRPr="005C6CA9" w:rsidR="00D70967">
        <w:rPr>
          <w:color w:val="000000"/>
          <w:sz w:val="20"/>
          <w:szCs w:val="20"/>
        </w:rPr>
        <w:t>p</w:t>
      </w:r>
      <w:r w:rsidRPr="005C6CA9" w:rsidR="00AC7A6E">
        <w:rPr>
          <w:color w:val="000000"/>
          <w:sz w:val="20"/>
          <w:szCs w:val="20"/>
        </w:rPr>
        <w:t>ayments (GSA and others)</w:t>
      </w:r>
      <w:r w:rsidRPr="005C6CA9" w:rsidR="00D70967">
        <w:rPr>
          <w:color w:val="000000"/>
          <w:sz w:val="20"/>
          <w:szCs w:val="20"/>
        </w:rPr>
        <w:t>)</w:t>
      </w:r>
      <w:r w:rsidRPr="005C6CA9" w:rsidR="00E16933">
        <w:rPr>
          <w:color w:val="000000"/>
          <w:sz w:val="20"/>
          <w:szCs w:val="20"/>
        </w:rPr>
        <w:t>/</w:t>
      </w:r>
      <w:r w:rsidRPr="005C6CA9">
        <w:rPr>
          <w:color w:val="000000"/>
          <w:sz w:val="20"/>
          <w:szCs w:val="20"/>
        </w:rPr>
        <w:t xml:space="preserve"> </w:t>
      </w:r>
      <w:r w:rsidRPr="005C6CA9" w:rsidR="00D70967">
        <w:rPr>
          <w:color w:val="000000"/>
          <w:sz w:val="20"/>
          <w:szCs w:val="20"/>
        </w:rPr>
        <w:t>costs of pay adjustments</w:t>
      </w:r>
      <w:r w:rsidRPr="005C6CA9" w:rsidR="0071655A">
        <w:rPr>
          <w:color w:val="000000"/>
          <w:sz w:val="20"/>
          <w:szCs w:val="20"/>
        </w:rPr>
        <w:t xml:space="preserve"> </w:t>
      </w:r>
      <w:bookmarkStart w:id="47" w:name="_Hlk172027172"/>
      <w:r w:rsidRPr="005C6CA9" w:rsidR="0071655A">
        <w:rPr>
          <w:color w:val="000000"/>
          <w:sz w:val="20"/>
          <w:szCs w:val="20"/>
        </w:rPr>
        <w:t xml:space="preserve">= </w:t>
      </w:r>
      <w:r w:rsidRPr="005C6CA9" w:rsidR="00AC7A6E">
        <w:rPr>
          <w:color w:val="000000"/>
          <w:sz w:val="20"/>
          <w:szCs w:val="20"/>
        </w:rPr>
        <w:t>(1+ ((69,203+6,746+20+7,888+5,762 +16,633+71) / 181,036)</w:t>
      </w:r>
      <w:r w:rsidRPr="005C6CA9" w:rsidR="00D70967">
        <w:rPr>
          <w:color w:val="000000"/>
          <w:sz w:val="20"/>
          <w:szCs w:val="20"/>
        </w:rPr>
        <w:t xml:space="preserve"> </w:t>
      </w:r>
      <w:r w:rsidRPr="005C6CA9">
        <w:rPr>
          <w:color w:val="000000"/>
          <w:sz w:val="20"/>
          <w:szCs w:val="20"/>
        </w:rPr>
        <w:t>submission, use FY202</w:t>
      </w:r>
      <w:r w:rsidRPr="005C6CA9" w:rsidR="001411A7">
        <w:rPr>
          <w:color w:val="000000"/>
          <w:sz w:val="20"/>
          <w:szCs w:val="20"/>
        </w:rPr>
        <w:t>4</w:t>
      </w:r>
      <w:r w:rsidRPr="005C6CA9">
        <w:rPr>
          <w:color w:val="000000"/>
          <w:sz w:val="20"/>
          <w:szCs w:val="20"/>
        </w:rPr>
        <w:t xml:space="preserve"> Revised Enacted Budget: </w:t>
      </w:r>
      <w:hyperlink r:id="rId7" w:history="1">
        <w:r w:rsidRPr="005C6CA9" w:rsidR="00D70967">
          <w:rPr>
            <w:rStyle w:val="Hyperlink"/>
            <w:sz w:val="20"/>
            <w:szCs w:val="20"/>
          </w:rPr>
          <w:t>https://www.dol.gov/sites/dolgov/files/general/budget/2025/CBJ-2025-V2-13.pdf</w:t>
        </w:r>
      </w:hyperlink>
      <w:r w:rsidRPr="005C6CA9">
        <w:rPr>
          <w:color w:val="000000"/>
          <w:sz w:val="20"/>
          <w:szCs w:val="20"/>
        </w:rPr>
        <w:t>)</w:t>
      </w:r>
      <w:bookmarkEnd w:id="47"/>
      <w:r w:rsidRPr="005C6CA9">
        <w:rPr>
          <w:color w:val="000000"/>
          <w:sz w:val="20"/>
          <w:szCs w:val="20"/>
        </w:rPr>
        <w:t>.</w:t>
      </w:r>
    </w:p>
    <w:p w:rsidR="00FD26C5" w:rsidRPr="005C6CA9" w:rsidP="004A22F3" w14:paraId="00A43573" w14:textId="625D2E6B">
      <w:pPr>
        <w:rPr>
          <w:color w:val="000000"/>
          <w:sz w:val="20"/>
          <w:szCs w:val="20"/>
        </w:rPr>
      </w:pPr>
      <w:r w:rsidRPr="005C6CA9">
        <w:rPr>
          <w:color w:val="000000"/>
          <w:sz w:val="20"/>
          <w:szCs w:val="20"/>
        </w:rPr>
        <w:t xml:space="preserve">[b] Data search qualifiers </w:t>
      </w:r>
      <w:r w:rsidRPr="005C6CA9" w:rsidR="00E16933">
        <w:rPr>
          <w:color w:val="000000"/>
          <w:sz w:val="20"/>
          <w:szCs w:val="20"/>
        </w:rPr>
        <w:t>a</w:t>
      </w:r>
      <w:r w:rsidRPr="005C6CA9">
        <w:rPr>
          <w:color w:val="000000"/>
          <w:sz w:val="20"/>
          <w:szCs w:val="20"/>
        </w:rPr>
        <w:t>re: Agency = DLMS, Occupation = 1822 (Mine Safety and Health Inspection), Work Schedule = Full-Time, Salary Grade = GS-12, Measure = Average Salary. The hourly wage is the annual salary divided by 2,087. In order to include the cost of benefits and overhead, MSHA multiplie</w:t>
      </w:r>
      <w:r w:rsidRPr="005C6CA9" w:rsidR="00E16933">
        <w:rPr>
          <w:color w:val="000000"/>
          <w:sz w:val="20"/>
          <w:szCs w:val="20"/>
        </w:rPr>
        <w:t>s</w:t>
      </w:r>
      <w:r w:rsidRPr="005C6CA9">
        <w:rPr>
          <w:color w:val="000000"/>
          <w:sz w:val="20"/>
          <w:szCs w:val="20"/>
        </w:rPr>
        <w:t xml:space="preserve"> the average annual salary by a </w:t>
      </w:r>
      <w:r w:rsidRPr="005C6CA9" w:rsidR="00725CCD">
        <w:rPr>
          <w:color w:val="000000"/>
          <w:sz w:val="20"/>
          <w:szCs w:val="20"/>
        </w:rPr>
        <w:t>F</w:t>
      </w:r>
      <w:r w:rsidRPr="005C6CA9">
        <w:rPr>
          <w:color w:val="000000"/>
          <w:sz w:val="20"/>
          <w:szCs w:val="20"/>
        </w:rPr>
        <w:t>ederal benefit and overhead multiplier for MSHA of 1.58</w:t>
      </w:r>
      <w:r w:rsidRPr="005C6CA9" w:rsidR="001411A7">
        <w:rPr>
          <w:color w:val="000000"/>
          <w:sz w:val="20"/>
          <w:szCs w:val="20"/>
        </w:rPr>
        <w:t>7</w:t>
      </w:r>
      <w:r w:rsidRPr="005C6CA9">
        <w:rPr>
          <w:color w:val="000000"/>
          <w:sz w:val="20"/>
          <w:szCs w:val="20"/>
        </w:rPr>
        <w:t xml:space="preserve">. </w:t>
      </w:r>
      <w:r w:rsidRPr="005C6CA9" w:rsidR="008125AC">
        <w:rPr>
          <w:color w:val="000000"/>
          <w:sz w:val="20"/>
          <w:szCs w:val="20"/>
        </w:rPr>
        <w:t>Loaded hourly rate is</w:t>
      </w:r>
      <w:r w:rsidRPr="005C6CA9">
        <w:rPr>
          <w:color w:val="000000"/>
          <w:sz w:val="20"/>
          <w:szCs w:val="20"/>
        </w:rPr>
        <w:t xml:space="preserve"> $</w:t>
      </w:r>
      <w:r w:rsidRPr="005C6CA9" w:rsidR="004823B3">
        <w:rPr>
          <w:color w:val="000000"/>
          <w:sz w:val="20"/>
          <w:szCs w:val="20"/>
        </w:rPr>
        <w:t>78.60</w:t>
      </w:r>
      <w:r w:rsidRPr="005C6CA9">
        <w:rPr>
          <w:color w:val="000000"/>
          <w:sz w:val="20"/>
          <w:szCs w:val="20"/>
        </w:rPr>
        <w:t xml:space="preserve"> = </w:t>
      </w:r>
      <w:r w:rsidRPr="005C6CA9" w:rsidR="00404CA4">
        <w:rPr>
          <w:color w:val="000000"/>
          <w:sz w:val="20"/>
          <w:szCs w:val="20"/>
        </w:rPr>
        <w:t>(</w:t>
      </w:r>
      <w:r w:rsidRPr="005C6CA9">
        <w:rPr>
          <w:color w:val="000000"/>
          <w:sz w:val="20"/>
          <w:szCs w:val="20"/>
        </w:rPr>
        <w:t>($</w:t>
      </w:r>
      <w:r w:rsidRPr="00D40CC0" w:rsidR="00D40CC0">
        <w:rPr>
          <w:color w:val="000000"/>
          <w:sz w:val="20"/>
          <w:szCs w:val="20"/>
        </w:rPr>
        <w:t xml:space="preserve">103,358 </w:t>
      </w:r>
      <w:r w:rsidRPr="005C6CA9">
        <w:rPr>
          <w:color w:val="000000"/>
          <w:sz w:val="20"/>
          <w:szCs w:val="20"/>
        </w:rPr>
        <w:t>/ 2,087</w:t>
      </w:r>
      <w:r w:rsidRPr="005C6CA9" w:rsidR="00404CA4">
        <w:rPr>
          <w:color w:val="000000"/>
          <w:sz w:val="20"/>
          <w:szCs w:val="20"/>
        </w:rPr>
        <w:t>)</w:t>
      </w:r>
      <w:r w:rsidRPr="005C6CA9">
        <w:rPr>
          <w:color w:val="000000"/>
          <w:sz w:val="20"/>
          <w:szCs w:val="20"/>
        </w:rPr>
        <w:t xml:space="preserve"> x 1.58</w:t>
      </w:r>
      <w:r w:rsidRPr="005C6CA9" w:rsidR="00842921">
        <w:rPr>
          <w:color w:val="000000"/>
          <w:sz w:val="20"/>
          <w:szCs w:val="20"/>
        </w:rPr>
        <w:t>7</w:t>
      </w:r>
      <w:r w:rsidRPr="005C6CA9">
        <w:rPr>
          <w:color w:val="000000"/>
          <w:sz w:val="20"/>
          <w:szCs w:val="20"/>
        </w:rPr>
        <w:t>).</w:t>
      </w:r>
    </w:p>
    <w:bookmarkEnd w:id="45"/>
    <w:p w:rsidR="00FC7738" w:rsidP="004A22F3" w14:paraId="380D37AE" w14:textId="77777777">
      <w:pPr>
        <w:rPr>
          <w:color w:val="000000"/>
          <w:sz w:val="20"/>
          <w:szCs w:val="20"/>
        </w:rPr>
      </w:pPr>
    </w:p>
    <w:p w:rsidR="00FC7738" w:rsidP="006134B7" w14:paraId="48F7584E" w14:textId="55325B3E">
      <w:pPr>
        <w:pStyle w:val="Default"/>
        <w:numPr>
          <w:ilvl w:val="0"/>
          <w:numId w:val="31"/>
        </w:numPr>
        <w:rPr>
          <w:rFonts w:ascii="Times New Roman" w:hAnsi="Times New Roman" w:cs="Times New Roman"/>
          <w:b/>
          <w:bCs/>
          <w:color w:val="auto"/>
        </w:rPr>
      </w:pPr>
      <w:r>
        <w:rPr>
          <w:rFonts w:ascii="Times New Roman" w:hAnsi="Times New Roman" w:cs="Times New Roman"/>
          <w:b/>
          <w:bCs/>
          <w:color w:val="auto"/>
        </w:rPr>
        <w:t xml:space="preserve">Reviewing </w:t>
      </w:r>
      <w:r w:rsidRPr="00771184">
        <w:rPr>
          <w:rFonts w:ascii="Times New Roman" w:hAnsi="Times New Roman" w:cs="Times New Roman"/>
          <w:b/>
          <w:bCs/>
          <w:color w:val="auto"/>
        </w:rPr>
        <w:t>Smoking</w:t>
      </w:r>
      <w:r w:rsidR="00074445">
        <w:rPr>
          <w:rFonts w:ascii="Times New Roman" w:hAnsi="Times New Roman" w:cs="Times New Roman"/>
          <w:b/>
          <w:bCs/>
          <w:color w:val="auto"/>
        </w:rPr>
        <w:t xml:space="preserve"> Prevention</w:t>
      </w:r>
      <w:r w:rsidRPr="00771184">
        <w:rPr>
          <w:rFonts w:ascii="Times New Roman" w:hAnsi="Times New Roman" w:cs="Times New Roman"/>
          <w:b/>
          <w:bCs/>
          <w:color w:val="auto"/>
        </w:rPr>
        <w:t xml:space="preserve"> </w:t>
      </w:r>
      <w:r>
        <w:rPr>
          <w:rFonts w:ascii="Times New Roman" w:hAnsi="Times New Roman" w:cs="Times New Roman"/>
          <w:b/>
          <w:bCs/>
          <w:color w:val="auto"/>
        </w:rPr>
        <w:t>P</w:t>
      </w:r>
      <w:r w:rsidRPr="00771184">
        <w:rPr>
          <w:rFonts w:ascii="Times New Roman" w:hAnsi="Times New Roman" w:cs="Times New Roman"/>
          <w:b/>
          <w:bCs/>
          <w:color w:val="auto"/>
        </w:rPr>
        <w:t>rograms</w:t>
      </w:r>
      <w:r>
        <w:rPr>
          <w:rFonts w:ascii="Times New Roman" w:hAnsi="Times New Roman" w:cs="Times New Roman"/>
          <w:b/>
          <w:bCs/>
          <w:color w:val="auto"/>
        </w:rPr>
        <w:t xml:space="preserve"> </w:t>
      </w:r>
    </w:p>
    <w:p w:rsidR="00FC7738" w:rsidP="00FC7738" w14:paraId="4F3933DA" w14:textId="77777777">
      <w:pPr>
        <w:pStyle w:val="Default"/>
        <w:rPr>
          <w:rFonts w:ascii="Times New Roman" w:hAnsi="Times New Roman" w:cs="Times New Roman"/>
          <w:b/>
          <w:bCs/>
          <w:color w:val="auto"/>
        </w:rPr>
      </w:pPr>
    </w:p>
    <w:p w:rsidR="00FC7738" w:rsidRPr="00E13ED7" w:rsidP="00E13ED7" w14:paraId="69F8E92C" w14:textId="35CEEB14">
      <w:pPr>
        <w:pStyle w:val="Default"/>
        <w:rPr>
          <w:rFonts w:ascii="Times New Roman" w:hAnsi="Times New Roman" w:cs="Times New Roman"/>
          <w:color w:val="auto"/>
        </w:rPr>
      </w:pPr>
      <w:r>
        <w:rPr>
          <w:rFonts w:ascii="Times New Roman" w:hAnsi="Times New Roman" w:cs="Times New Roman"/>
          <w:color w:val="auto"/>
        </w:rPr>
        <w:t xml:space="preserve">Under 30 CFR 75.1702-1, MSHA must </w:t>
      </w:r>
      <w:r w:rsidR="00F274E3">
        <w:rPr>
          <w:rFonts w:ascii="Times New Roman" w:hAnsi="Times New Roman" w:cs="Times New Roman"/>
          <w:color w:val="auto"/>
        </w:rPr>
        <w:t>review</w:t>
      </w:r>
      <w:r>
        <w:rPr>
          <w:rFonts w:ascii="Times New Roman" w:hAnsi="Times New Roman" w:cs="Times New Roman"/>
          <w:color w:val="auto"/>
        </w:rPr>
        <w:t xml:space="preserve"> </w:t>
      </w:r>
      <w:r w:rsidR="00F274E3">
        <w:rPr>
          <w:rFonts w:ascii="Times New Roman" w:hAnsi="Times New Roman" w:cs="Times New Roman"/>
          <w:color w:val="auto"/>
        </w:rPr>
        <w:t xml:space="preserve">new or revised </w:t>
      </w:r>
      <w:r>
        <w:rPr>
          <w:rFonts w:ascii="Times New Roman" w:hAnsi="Times New Roman" w:cs="Times New Roman"/>
          <w:color w:val="auto"/>
        </w:rPr>
        <w:t>smoking programs submitted by mine operators</w:t>
      </w:r>
      <w:r w:rsidR="00F274E3">
        <w:rPr>
          <w:rFonts w:ascii="Times New Roman" w:hAnsi="Times New Roman" w:cs="Times New Roman"/>
          <w:color w:val="auto"/>
        </w:rPr>
        <w:t xml:space="preserve"> for approval</w:t>
      </w:r>
      <w:r>
        <w:rPr>
          <w:rFonts w:ascii="Times New Roman" w:hAnsi="Times New Roman" w:cs="Times New Roman"/>
          <w:color w:val="auto"/>
        </w:rPr>
        <w:t>.</w:t>
      </w:r>
      <w:r w:rsidR="00F274E3">
        <w:rPr>
          <w:rFonts w:ascii="Times New Roman" w:hAnsi="Times New Roman" w:cs="Times New Roman"/>
          <w:color w:val="auto"/>
        </w:rPr>
        <w:t xml:space="preserve"> Additionally, MSHA is required to review </w:t>
      </w:r>
      <w:r w:rsidRPr="00F274E3" w:rsidR="00F274E3">
        <w:rPr>
          <w:rFonts w:ascii="Times New Roman" w:hAnsi="Times New Roman" w:cs="Times New Roman"/>
          <w:color w:val="auto"/>
        </w:rPr>
        <w:t xml:space="preserve">smoking prevention programs </w:t>
      </w:r>
      <w:r w:rsidR="00A27E15">
        <w:rPr>
          <w:rFonts w:ascii="Times New Roman" w:hAnsi="Times New Roman" w:cs="Times New Roman"/>
          <w:color w:val="auto"/>
        </w:rPr>
        <w:t xml:space="preserve">even </w:t>
      </w:r>
      <w:r w:rsidR="00B22028">
        <w:rPr>
          <w:rFonts w:ascii="Times New Roman" w:hAnsi="Times New Roman" w:cs="Times New Roman"/>
          <w:color w:val="auto"/>
        </w:rPr>
        <w:t>if</w:t>
      </w:r>
      <w:r w:rsidR="00A27E15">
        <w:rPr>
          <w:rFonts w:ascii="Times New Roman" w:hAnsi="Times New Roman" w:cs="Times New Roman"/>
          <w:color w:val="auto"/>
        </w:rPr>
        <w:t xml:space="preserve"> </w:t>
      </w:r>
      <w:r w:rsidRPr="00F274E3" w:rsidR="00F274E3">
        <w:rPr>
          <w:rFonts w:ascii="Times New Roman" w:hAnsi="Times New Roman" w:cs="Times New Roman"/>
          <w:color w:val="auto"/>
        </w:rPr>
        <w:t>they are not revised</w:t>
      </w:r>
      <w:r w:rsidR="00F274E3">
        <w:rPr>
          <w:rFonts w:ascii="Times New Roman" w:hAnsi="Times New Roman" w:cs="Times New Roman"/>
          <w:color w:val="auto"/>
        </w:rPr>
        <w:t>.</w:t>
      </w:r>
    </w:p>
    <w:p w:rsidR="00FC7738" w:rsidRPr="005C6CA9" w:rsidP="004A22F3" w14:paraId="6893C06B" w14:textId="77777777">
      <w:pPr>
        <w:rPr>
          <w:color w:val="000000"/>
          <w:sz w:val="20"/>
          <w:szCs w:val="20"/>
        </w:rPr>
      </w:pPr>
    </w:p>
    <w:bookmarkEnd w:id="44"/>
    <w:p w:rsidR="00FB072C" w:rsidRPr="007F5FAB" w:rsidP="00FB072C" w14:paraId="274AFBC2" w14:textId="25023BFA">
      <w:pPr>
        <w:rPr>
          <w:b/>
          <w:color w:val="000000"/>
        </w:rPr>
      </w:pPr>
      <w:r>
        <w:rPr>
          <w:b/>
          <w:color w:val="000000"/>
        </w:rPr>
        <w:t>I</w:t>
      </w:r>
      <w:r w:rsidR="00DE75A6">
        <w:rPr>
          <w:b/>
          <w:color w:val="000000"/>
        </w:rPr>
        <w:t>I</w:t>
      </w:r>
      <w:r>
        <w:rPr>
          <w:b/>
          <w:color w:val="000000"/>
        </w:rPr>
        <w:t>-1</w:t>
      </w:r>
      <w:r w:rsidR="00744BF5">
        <w:rPr>
          <w:b/>
          <w:color w:val="000000"/>
        </w:rPr>
        <w:t>.</w:t>
      </w:r>
      <w:r>
        <w:rPr>
          <w:b/>
          <w:color w:val="000000"/>
        </w:rPr>
        <w:t xml:space="preserve"> Reviewing New and Revised Smok</w:t>
      </w:r>
      <w:r w:rsidR="0006013D">
        <w:rPr>
          <w:b/>
          <w:color w:val="000000"/>
        </w:rPr>
        <w:t>ing</w:t>
      </w:r>
      <w:r>
        <w:rPr>
          <w:b/>
          <w:color w:val="000000"/>
        </w:rPr>
        <w:t xml:space="preserve"> </w:t>
      </w:r>
      <w:r w:rsidR="00016DB4">
        <w:rPr>
          <w:b/>
          <w:color w:val="000000"/>
        </w:rPr>
        <w:t xml:space="preserve">Prevention </w:t>
      </w:r>
      <w:r>
        <w:rPr>
          <w:b/>
          <w:color w:val="000000"/>
        </w:rPr>
        <w:t>Programs</w:t>
      </w:r>
    </w:p>
    <w:p w:rsidR="0029325D" w:rsidRPr="005C6CA9" w:rsidP="004A22F3" w14:paraId="634CDE2F" w14:textId="77777777">
      <w:pPr>
        <w:rPr>
          <w:b/>
          <w:color w:val="000000"/>
        </w:rPr>
      </w:pPr>
    </w:p>
    <w:p w:rsidR="00E31DE6" w:rsidRPr="005E1F20" w:rsidP="00E31DE6" w14:paraId="49D19689" w14:textId="47006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E1F20">
        <w:t xml:space="preserve">MSHA's records show that </w:t>
      </w:r>
      <w:r>
        <w:t xml:space="preserve">from 2022 through 2024 </w:t>
      </w:r>
      <w:r w:rsidRPr="005E1F20">
        <w:t xml:space="preserve">it received </w:t>
      </w:r>
      <w:r>
        <w:t>73</w:t>
      </w:r>
      <w:r w:rsidRPr="005E1F20">
        <w:t xml:space="preserve"> new and revised smoking prevention programs</w:t>
      </w:r>
      <w:r>
        <w:t xml:space="preserve"> for a rounded average of 25 per year</w:t>
      </w:r>
      <w:r w:rsidRPr="005E1F20">
        <w:t xml:space="preserve">. MSHA estimates </w:t>
      </w:r>
      <w:r w:rsidR="00A27E15">
        <w:t xml:space="preserve">it takes </w:t>
      </w:r>
      <w:r w:rsidRPr="005E1F20">
        <w:t>a GS-12</w:t>
      </w:r>
      <w:r w:rsidR="00A27E15">
        <w:t xml:space="preserve"> inspector</w:t>
      </w:r>
      <w:r w:rsidR="0094327E">
        <w:t>,</w:t>
      </w:r>
      <w:r w:rsidRPr="005E1F20">
        <w:t xml:space="preserve"> earning </w:t>
      </w:r>
      <w:r w:rsidRPr="005E1F20">
        <w:rPr>
          <w:bCs/>
        </w:rPr>
        <w:t>$</w:t>
      </w:r>
      <w:r w:rsidR="0094327E">
        <w:rPr>
          <w:bCs/>
        </w:rPr>
        <w:t>78.60</w:t>
      </w:r>
      <w:r w:rsidRPr="005E1F20">
        <w:rPr>
          <w:bCs/>
        </w:rPr>
        <w:t xml:space="preserve"> </w:t>
      </w:r>
      <w:r w:rsidRPr="005E1F20">
        <w:t>per hour</w:t>
      </w:r>
      <w:r w:rsidR="0094327E">
        <w:t>,</w:t>
      </w:r>
      <w:r w:rsidRPr="005E1F20">
        <w:t xml:space="preserve"> 30 minutes to review and approve a smoking prevention program. </w:t>
      </w:r>
    </w:p>
    <w:p w:rsidR="00D22375" w:rsidRPr="005C6CA9" w:rsidP="004A22F3" w14:paraId="20588460" w14:textId="77777777">
      <w:pPr>
        <w:rPr>
          <w:b/>
          <w:color w:val="000000"/>
        </w:rPr>
      </w:pPr>
    </w:p>
    <w:p w:rsidR="00B0195C" w14:paraId="0F4ABE8A" w14:textId="77777777">
      <w:pPr>
        <w:widowControl/>
        <w:autoSpaceDE/>
        <w:autoSpaceDN/>
        <w:adjustRightInd/>
        <w:spacing w:after="160" w:line="259" w:lineRule="auto"/>
        <w:rPr>
          <w:b/>
          <w:color w:val="000000"/>
        </w:rPr>
      </w:pPr>
      <w:bookmarkStart w:id="48" w:name="_Hlk192769455"/>
      <w:r>
        <w:rPr>
          <w:b/>
          <w:color w:val="000000"/>
        </w:rPr>
        <w:br w:type="page"/>
      </w:r>
    </w:p>
    <w:p w:rsidR="00D22375" w:rsidRPr="005C6CA9" w:rsidP="004A22F3" w14:paraId="700A7EA9" w14:textId="6C6C3C1B">
      <w:pPr>
        <w:rPr>
          <w:b/>
          <w:color w:val="000000"/>
        </w:rPr>
      </w:pPr>
      <w:r w:rsidRPr="005C6CA9">
        <w:rPr>
          <w:b/>
          <w:color w:val="000000"/>
        </w:rPr>
        <w:t>Table 14-2</w:t>
      </w:r>
      <w:r w:rsidRPr="005C6CA9" w:rsidR="00D73216">
        <w:rPr>
          <w:b/>
          <w:color w:val="000000"/>
        </w:rPr>
        <w:t>.</w:t>
      </w:r>
      <w:r w:rsidRPr="005C6CA9">
        <w:rPr>
          <w:b/>
          <w:color w:val="000000"/>
        </w:rPr>
        <w:t xml:space="preserve"> Estimated Federal Hour and Cost Burden, </w:t>
      </w:r>
      <w:r w:rsidR="00B950D9">
        <w:rPr>
          <w:b/>
          <w:color w:val="000000"/>
        </w:rPr>
        <w:t>Reviewing New and Revised Smok</w:t>
      </w:r>
      <w:r w:rsidR="0006013D">
        <w:rPr>
          <w:b/>
          <w:color w:val="000000"/>
        </w:rPr>
        <w:t>ing</w:t>
      </w:r>
      <w:r w:rsidR="00B950D9">
        <w:rPr>
          <w:b/>
          <w:color w:val="000000"/>
        </w:rPr>
        <w:t xml:space="preserve"> </w:t>
      </w:r>
      <w:r w:rsidR="00016DB4">
        <w:rPr>
          <w:b/>
          <w:color w:val="000000"/>
        </w:rPr>
        <w:t xml:space="preserve">Prevention </w:t>
      </w:r>
      <w:r w:rsidR="00B950D9">
        <w:rPr>
          <w:b/>
          <w:color w:val="000000"/>
        </w:rPr>
        <w:t>Programs</w:t>
      </w:r>
      <w:r w:rsidRPr="005C6CA9" w:rsidR="00B950D9">
        <w:rPr>
          <w:b/>
          <w:color w:val="000000"/>
        </w:rPr>
        <w:t xml:space="preserve"> </w:t>
      </w:r>
      <w:r w:rsidRPr="00B950D9" w:rsidR="00B950D9">
        <w:rPr>
          <w:b/>
          <w:color w:val="000000"/>
        </w:rPr>
        <w:t>(30 CFR 75.1702-1)</w:t>
      </w:r>
    </w:p>
    <w:tbl>
      <w:tblPr>
        <w:tblStyle w:val="TableGrid"/>
        <w:tblW w:w="9245" w:type="dxa"/>
        <w:tblInd w:w="-5" w:type="dxa"/>
        <w:tblLayout w:type="fixed"/>
        <w:tblLook w:val="04A0"/>
      </w:tblPr>
      <w:tblGrid>
        <w:gridCol w:w="2610"/>
        <w:gridCol w:w="1350"/>
        <w:gridCol w:w="1440"/>
        <w:gridCol w:w="1253"/>
        <w:gridCol w:w="1178"/>
        <w:gridCol w:w="1414"/>
      </w:tblGrid>
      <w:tr w14:paraId="3FC83096" w14:textId="77777777" w:rsidTr="0003653B">
        <w:tblPrEx>
          <w:tblW w:w="9245" w:type="dxa"/>
          <w:tblInd w:w="-5" w:type="dxa"/>
          <w:tblLayout w:type="fixed"/>
          <w:tblLook w:val="04A0"/>
        </w:tblPrEx>
        <w:trPr>
          <w:trHeight w:val="766"/>
        </w:trPr>
        <w:tc>
          <w:tcPr>
            <w:tcW w:w="2610" w:type="dxa"/>
            <w:shd w:val="clear" w:color="auto" w:fill="8EAADB" w:themeFill="accent1" w:themeFillTint="99"/>
            <w:vAlign w:val="center"/>
            <w:hideMark/>
          </w:tcPr>
          <w:p w:rsidR="00E807A0" w:rsidRPr="005C6CA9" w:rsidP="004A22F3" w14:paraId="5F9D18D4" w14:textId="4F003E94">
            <w:pPr>
              <w:widowControl/>
              <w:autoSpaceDE/>
              <w:autoSpaceDN/>
              <w:adjustRightInd/>
              <w:rPr>
                <w:color w:val="000000"/>
                <w:sz w:val="20"/>
                <w:szCs w:val="20"/>
              </w:rPr>
            </w:pPr>
            <w:bookmarkStart w:id="49" w:name="_Hlk115692850"/>
            <w:r w:rsidRPr="005C6CA9">
              <w:rPr>
                <w:color w:val="000000"/>
                <w:sz w:val="20"/>
                <w:szCs w:val="20"/>
              </w:rPr>
              <w:t>Federal Occupation</w:t>
            </w:r>
          </w:p>
        </w:tc>
        <w:tc>
          <w:tcPr>
            <w:tcW w:w="1350" w:type="dxa"/>
            <w:shd w:val="clear" w:color="auto" w:fill="8EAADB" w:themeFill="accent1" w:themeFillTint="99"/>
            <w:vAlign w:val="center"/>
            <w:hideMark/>
          </w:tcPr>
          <w:p w:rsidR="00E807A0" w:rsidRPr="005C6CA9" w:rsidP="004A22F3" w14:paraId="28CE77D3" w14:textId="6C6AE54A">
            <w:pPr>
              <w:widowControl/>
              <w:autoSpaceDE/>
              <w:autoSpaceDN/>
              <w:adjustRightInd/>
              <w:jc w:val="center"/>
              <w:rPr>
                <w:rFonts w:eastAsia="Calibri"/>
                <w:sz w:val="20"/>
                <w:szCs w:val="20"/>
              </w:rPr>
            </w:pPr>
            <w:r w:rsidRPr="005C6CA9">
              <w:rPr>
                <w:color w:val="000000"/>
                <w:sz w:val="20"/>
                <w:szCs w:val="20"/>
              </w:rPr>
              <w:t>Number of Responses (</w:t>
            </w:r>
            <w:r w:rsidR="0006013D">
              <w:rPr>
                <w:color w:val="000000"/>
                <w:sz w:val="20"/>
                <w:szCs w:val="20"/>
              </w:rPr>
              <w:t>Programs</w:t>
            </w:r>
            <w:r w:rsidRPr="005C6CA9">
              <w:rPr>
                <w:color w:val="000000"/>
                <w:sz w:val="20"/>
                <w:szCs w:val="20"/>
              </w:rPr>
              <w:t>)</w:t>
            </w:r>
          </w:p>
        </w:tc>
        <w:tc>
          <w:tcPr>
            <w:tcW w:w="1440" w:type="dxa"/>
            <w:shd w:val="clear" w:color="auto" w:fill="8EAADB" w:themeFill="accent1" w:themeFillTint="99"/>
            <w:vAlign w:val="center"/>
          </w:tcPr>
          <w:p w:rsidR="00E807A0" w:rsidRPr="005C6CA9" w:rsidP="004A22F3" w14:paraId="13D7A854" w14:textId="63C32418">
            <w:pPr>
              <w:widowControl/>
              <w:autoSpaceDE/>
              <w:autoSpaceDN/>
              <w:adjustRightInd/>
              <w:jc w:val="center"/>
              <w:rPr>
                <w:rFonts w:eastAsia="Calibri"/>
                <w:sz w:val="20"/>
                <w:szCs w:val="20"/>
              </w:rPr>
            </w:pPr>
            <w:r w:rsidRPr="005C6CA9">
              <w:rPr>
                <w:color w:val="000000"/>
                <w:sz w:val="20"/>
                <w:szCs w:val="20"/>
              </w:rPr>
              <w:t>Average Burden (Hours)</w:t>
            </w:r>
          </w:p>
        </w:tc>
        <w:tc>
          <w:tcPr>
            <w:tcW w:w="1253" w:type="dxa"/>
            <w:shd w:val="clear" w:color="auto" w:fill="8EAADB" w:themeFill="accent1" w:themeFillTint="99"/>
            <w:vAlign w:val="center"/>
            <w:hideMark/>
          </w:tcPr>
          <w:p w:rsidR="00E807A0" w:rsidRPr="005C6CA9" w:rsidP="004A22F3" w14:paraId="53616DB7" w14:textId="7A1D9F7E">
            <w:pPr>
              <w:widowControl/>
              <w:autoSpaceDE/>
              <w:autoSpaceDN/>
              <w:adjustRightInd/>
              <w:jc w:val="center"/>
              <w:rPr>
                <w:rFonts w:eastAsia="Calibri"/>
                <w:sz w:val="20"/>
                <w:szCs w:val="20"/>
              </w:rPr>
            </w:pPr>
            <w:r w:rsidRPr="005C6CA9">
              <w:rPr>
                <w:color w:val="000000"/>
                <w:sz w:val="20"/>
                <w:szCs w:val="20"/>
              </w:rPr>
              <w:t>Total Burden (Hours)</w:t>
            </w:r>
          </w:p>
        </w:tc>
        <w:tc>
          <w:tcPr>
            <w:tcW w:w="1178" w:type="dxa"/>
            <w:shd w:val="clear" w:color="auto" w:fill="8EAADB" w:themeFill="accent1" w:themeFillTint="99"/>
            <w:vAlign w:val="center"/>
            <w:hideMark/>
          </w:tcPr>
          <w:p w:rsidR="00E807A0" w:rsidRPr="005C6CA9" w:rsidP="004A22F3" w14:paraId="5BBADF18" w14:textId="0249F3BC">
            <w:pPr>
              <w:widowControl/>
              <w:autoSpaceDE/>
              <w:autoSpaceDN/>
              <w:adjustRightInd/>
              <w:jc w:val="center"/>
              <w:rPr>
                <w:rFonts w:eastAsia="Calibri"/>
                <w:sz w:val="20"/>
                <w:szCs w:val="20"/>
              </w:rPr>
            </w:pPr>
            <w:r w:rsidRPr="005C6CA9">
              <w:rPr>
                <w:color w:val="000000"/>
                <w:sz w:val="20"/>
                <w:szCs w:val="20"/>
              </w:rPr>
              <w:t>Hourly Wage Rate</w:t>
            </w:r>
          </w:p>
        </w:tc>
        <w:tc>
          <w:tcPr>
            <w:tcW w:w="1414" w:type="dxa"/>
            <w:shd w:val="clear" w:color="auto" w:fill="8EAADB" w:themeFill="accent1" w:themeFillTint="99"/>
            <w:vAlign w:val="center"/>
            <w:hideMark/>
          </w:tcPr>
          <w:p w:rsidR="00E807A0" w:rsidRPr="005C6CA9" w:rsidP="004A22F3" w14:paraId="2B0D7EDA" w14:textId="6EC35D94">
            <w:pPr>
              <w:widowControl/>
              <w:autoSpaceDE/>
              <w:autoSpaceDN/>
              <w:adjustRightInd/>
              <w:jc w:val="center"/>
              <w:rPr>
                <w:rFonts w:eastAsia="Calibri"/>
                <w:sz w:val="20"/>
                <w:szCs w:val="20"/>
              </w:rPr>
            </w:pPr>
            <w:r w:rsidRPr="005C6CA9">
              <w:rPr>
                <w:color w:val="000000"/>
                <w:sz w:val="20"/>
                <w:szCs w:val="20"/>
              </w:rPr>
              <w:t>Total Burden Cost</w:t>
            </w:r>
          </w:p>
        </w:tc>
      </w:tr>
      <w:tr w14:paraId="7B4A0381" w14:textId="77777777" w:rsidTr="0003653B">
        <w:tblPrEx>
          <w:tblW w:w="9245" w:type="dxa"/>
          <w:tblInd w:w="-5" w:type="dxa"/>
          <w:tblLayout w:type="fixed"/>
          <w:tblLook w:val="04A0"/>
        </w:tblPrEx>
        <w:trPr>
          <w:trHeight w:val="372"/>
        </w:trPr>
        <w:tc>
          <w:tcPr>
            <w:tcW w:w="2610" w:type="dxa"/>
            <w:noWrap/>
            <w:vAlign w:val="center"/>
          </w:tcPr>
          <w:p w:rsidR="00055019" w:rsidRPr="005C6CA9" w:rsidP="00055019" w14:paraId="1F59AE74" w14:textId="5BEB48D5">
            <w:pPr>
              <w:widowControl/>
              <w:autoSpaceDE/>
              <w:autoSpaceDN/>
              <w:adjustRightInd/>
              <w:rPr>
                <w:rFonts w:eastAsia="Calibri"/>
                <w:bCs/>
                <w:sz w:val="20"/>
                <w:szCs w:val="20"/>
              </w:rPr>
            </w:pPr>
            <w:r w:rsidRPr="005C6CA9">
              <w:rPr>
                <w:iCs/>
                <w:sz w:val="20"/>
              </w:rPr>
              <w:t>GS-12 Inspector</w:t>
            </w:r>
          </w:p>
        </w:tc>
        <w:tc>
          <w:tcPr>
            <w:tcW w:w="1350" w:type="dxa"/>
            <w:noWrap/>
            <w:vAlign w:val="center"/>
          </w:tcPr>
          <w:p w:rsidR="00055019" w:rsidRPr="005C6CA9" w:rsidP="00055019" w14:paraId="4E865C40" w14:textId="18CA7DCB">
            <w:pPr>
              <w:widowControl/>
              <w:autoSpaceDE/>
              <w:autoSpaceDN/>
              <w:adjustRightInd/>
              <w:jc w:val="right"/>
              <w:rPr>
                <w:rFonts w:eastAsia="Calibri"/>
                <w:bCs/>
                <w:sz w:val="20"/>
                <w:szCs w:val="20"/>
              </w:rPr>
            </w:pPr>
            <w:r>
              <w:rPr>
                <w:color w:val="000000"/>
                <w:sz w:val="20"/>
                <w:szCs w:val="20"/>
              </w:rPr>
              <w:t>25</w:t>
            </w:r>
          </w:p>
        </w:tc>
        <w:tc>
          <w:tcPr>
            <w:tcW w:w="1440" w:type="dxa"/>
            <w:vAlign w:val="center"/>
          </w:tcPr>
          <w:p w:rsidR="00055019" w:rsidRPr="005C6CA9" w:rsidP="00055019" w14:paraId="138DE15D" w14:textId="2B488CCB">
            <w:pPr>
              <w:widowControl/>
              <w:autoSpaceDE/>
              <w:autoSpaceDN/>
              <w:adjustRightInd/>
              <w:jc w:val="right"/>
              <w:rPr>
                <w:rFonts w:eastAsia="Calibri"/>
                <w:bCs/>
                <w:sz w:val="20"/>
                <w:szCs w:val="20"/>
              </w:rPr>
            </w:pPr>
            <w:r>
              <w:rPr>
                <w:color w:val="000000"/>
                <w:sz w:val="20"/>
                <w:szCs w:val="20"/>
              </w:rPr>
              <w:t>0.50</w:t>
            </w:r>
          </w:p>
        </w:tc>
        <w:tc>
          <w:tcPr>
            <w:tcW w:w="1253" w:type="dxa"/>
            <w:noWrap/>
            <w:vAlign w:val="center"/>
          </w:tcPr>
          <w:p w:rsidR="00055019" w:rsidRPr="005C6CA9" w:rsidP="00055019" w14:paraId="450B65A8" w14:textId="194E1C7E">
            <w:pPr>
              <w:widowControl/>
              <w:autoSpaceDE/>
              <w:autoSpaceDN/>
              <w:adjustRightInd/>
              <w:jc w:val="right"/>
              <w:rPr>
                <w:rFonts w:eastAsia="Calibri"/>
                <w:bCs/>
                <w:sz w:val="20"/>
                <w:szCs w:val="20"/>
              </w:rPr>
            </w:pPr>
            <w:r>
              <w:rPr>
                <w:color w:val="000000"/>
                <w:sz w:val="20"/>
                <w:szCs w:val="20"/>
              </w:rPr>
              <w:t>12.5</w:t>
            </w:r>
          </w:p>
        </w:tc>
        <w:tc>
          <w:tcPr>
            <w:tcW w:w="1178" w:type="dxa"/>
            <w:noWrap/>
            <w:vAlign w:val="center"/>
          </w:tcPr>
          <w:p w:rsidR="00055019" w:rsidRPr="005C6CA9" w:rsidP="00055019" w14:paraId="6147B2B3" w14:textId="6C560471">
            <w:pPr>
              <w:widowControl/>
              <w:autoSpaceDE/>
              <w:autoSpaceDN/>
              <w:adjustRightInd/>
              <w:jc w:val="right"/>
              <w:rPr>
                <w:rFonts w:eastAsia="Calibri"/>
                <w:bCs/>
                <w:sz w:val="20"/>
                <w:szCs w:val="20"/>
              </w:rPr>
            </w:pPr>
            <w:r>
              <w:rPr>
                <w:color w:val="000000"/>
                <w:sz w:val="20"/>
                <w:szCs w:val="20"/>
              </w:rPr>
              <w:t>$78.60</w:t>
            </w:r>
          </w:p>
        </w:tc>
        <w:tc>
          <w:tcPr>
            <w:tcW w:w="1414" w:type="dxa"/>
            <w:noWrap/>
            <w:vAlign w:val="center"/>
          </w:tcPr>
          <w:p w:rsidR="00055019" w:rsidRPr="005C6CA9" w:rsidP="00055019" w14:paraId="169F609C" w14:textId="3AF566ED">
            <w:pPr>
              <w:widowControl/>
              <w:autoSpaceDE/>
              <w:autoSpaceDN/>
              <w:adjustRightInd/>
              <w:jc w:val="right"/>
              <w:rPr>
                <w:rFonts w:eastAsia="Calibri"/>
                <w:bCs/>
                <w:sz w:val="20"/>
                <w:szCs w:val="20"/>
              </w:rPr>
            </w:pPr>
            <w:r>
              <w:rPr>
                <w:color w:val="000000"/>
                <w:sz w:val="20"/>
                <w:szCs w:val="20"/>
              </w:rPr>
              <w:t xml:space="preserve">$982.50 </w:t>
            </w:r>
          </w:p>
        </w:tc>
      </w:tr>
      <w:tr w14:paraId="5CEB0AD0" w14:textId="77777777" w:rsidTr="0003653B">
        <w:tblPrEx>
          <w:tblW w:w="9245" w:type="dxa"/>
          <w:tblInd w:w="-5" w:type="dxa"/>
          <w:tblLayout w:type="fixed"/>
          <w:tblLook w:val="04A0"/>
        </w:tblPrEx>
        <w:trPr>
          <w:trHeight w:val="372"/>
        </w:trPr>
        <w:tc>
          <w:tcPr>
            <w:tcW w:w="2610" w:type="dxa"/>
            <w:noWrap/>
            <w:vAlign w:val="center"/>
            <w:hideMark/>
          </w:tcPr>
          <w:p w:rsidR="00055019" w:rsidRPr="005C6CA9" w:rsidP="00055019" w14:paraId="61756CF7" w14:textId="78EE81B5">
            <w:pPr>
              <w:widowControl/>
              <w:autoSpaceDE/>
              <w:autoSpaceDN/>
              <w:adjustRightInd/>
              <w:rPr>
                <w:rFonts w:eastAsia="Calibri"/>
                <w:b/>
                <w:bCs/>
                <w:i/>
                <w:iCs/>
                <w:sz w:val="20"/>
                <w:szCs w:val="20"/>
              </w:rPr>
            </w:pPr>
            <w:r w:rsidRPr="005C6CA9">
              <w:rPr>
                <w:rFonts w:eastAsia="Calibri"/>
                <w:b/>
                <w:bCs/>
                <w:i/>
                <w:iCs/>
                <w:sz w:val="20"/>
                <w:szCs w:val="20"/>
              </w:rPr>
              <w:t>Subtotal (Rounded)</w:t>
            </w:r>
          </w:p>
        </w:tc>
        <w:tc>
          <w:tcPr>
            <w:tcW w:w="1350" w:type="dxa"/>
            <w:vAlign w:val="center"/>
          </w:tcPr>
          <w:p w:rsidR="00055019" w:rsidRPr="005C6CA9" w:rsidP="00055019" w14:paraId="70E2185E" w14:textId="5A256F3C">
            <w:pPr>
              <w:widowControl/>
              <w:autoSpaceDE/>
              <w:autoSpaceDN/>
              <w:adjustRightInd/>
              <w:jc w:val="right"/>
              <w:rPr>
                <w:rFonts w:eastAsia="Calibri"/>
                <w:b/>
                <w:bCs/>
                <w:sz w:val="20"/>
                <w:szCs w:val="20"/>
              </w:rPr>
            </w:pPr>
            <w:r>
              <w:rPr>
                <w:b/>
                <w:bCs/>
                <w:color w:val="000000"/>
                <w:sz w:val="20"/>
                <w:szCs w:val="20"/>
              </w:rPr>
              <w:t>25</w:t>
            </w:r>
          </w:p>
        </w:tc>
        <w:tc>
          <w:tcPr>
            <w:tcW w:w="1440" w:type="dxa"/>
            <w:shd w:val="clear" w:color="auto" w:fill="000000"/>
            <w:vAlign w:val="center"/>
          </w:tcPr>
          <w:p w:rsidR="00055019" w:rsidRPr="005C6CA9" w:rsidP="00055019" w14:paraId="2CCDC9C8" w14:textId="69292564">
            <w:pPr>
              <w:widowControl/>
              <w:autoSpaceDE/>
              <w:autoSpaceDN/>
              <w:adjustRightInd/>
              <w:jc w:val="right"/>
              <w:rPr>
                <w:rFonts w:eastAsia="Calibri"/>
                <w:b/>
                <w:bCs/>
                <w:sz w:val="20"/>
                <w:szCs w:val="20"/>
              </w:rPr>
            </w:pPr>
            <w:r>
              <w:rPr>
                <w:b/>
                <w:bCs/>
                <w:color w:val="000000"/>
                <w:sz w:val="20"/>
                <w:szCs w:val="20"/>
              </w:rPr>
              <w:t> </w:t>
            </w:r>
          </w:p>
        </w:tc>
        <w:tc>
          <w:tcPr>
            <w:tcW w:w="1253" w:type="dxa"/>
            <w:vAlign w:val="center"/>
          </w:tcPr>
          <w:p w:rsidR="00055019" w:rsidRPr="005C6CA9" w:rsidP="00055019" w14:paraId="6DC2CC67" w14:textId="6A8C49F0">
            <w:pPr>
              <w:widowControl/>
              <w:autoSpaceDE/>
              <w:autoSpaceDN/>
              <w:adjustRightInd/>
              <w:jc w:val="right"/>
              <w:rPr>
                <w:rFonts w:eastAsia="Calibri"/>
                <w:b/>
                <w:bCs/>
                <w:sz w:val="20"/>
                <w:szCs w:val="20"/>
              </w:rPr>
            </w:pPr>
            <w:r>
              <w:rPr>
                <w:b/>
                <w:bCs/>
                <w:color w:val="000000"/>
                <w:sz w:val="20"/>
                <w:szCs w:val="20"/>
              </w:rPr>
              <w:t>13</w:t>
            </w:r>
          </w:p>
        </w:tc>
        <w:tc>
          <w:tcPr>
            <w:tcW w:w="1178" w:type="dxa"/>
            <w:shd w:val="clear" w:color="auto" w:fill="000000"/>
            <w:noWrap/>
            <w:vAlign w:val="center"/>
            <w:hideMark/>
          </w:tcPr>
          <w:p w:rsidR="00055019" w:rsidRPr="005C6CA9" w:rsidP="00055019" w14:paraId="652887F2" w14:textId="22FD6983">
            <w:pPr>
              <w:widowControl/>
              <w:autoSpaceDE/>
              <w:autoSpaceDN/>
              <w:adjustRightInd/>
              <w:jc w:val="right"/>
              <w:rPr>
                <w:rFonts w:eastAsia="Calibri"/>
                <w:b/>
                <w:bCs/>
                <w:sz w:val="20"/>
                <w:szCs w:val="20"/>
              </w:rPr>
            </w:pPr>
            <w:r>
              <w:rPr>
                <w:b/>
                <w:bCs/>
                <w:color w:val="000000"/>
                <w:sz w:val="20"/>
                <w:szCs w:val="20"/>
              </w:rPr>
              <w:t> </w:t>
            </w:r>
          </w:p>
        </w:tc>
        <w:tc>
          <w:tcPr>
            <w:tcW w:w="1414" w:type="dxa"/>
            <w:noWrap/>
            <w:vAlign w:val="center"/>
            <w:hideMark/>
          </w:tcPr>
          <w:p w:rsidR="00055019" w:rsidRPr="005C6CA9" w:rsidP="00055019" w14:paraId="5EF44AEB" w14:textId="737A5FF2">
            <w:pPr>
              <w:widowControl/>
              <w:autoSpaceDE/>
              <w:autoSpaceDN/>
              <w:adjustRightInd/>
              <w:jc w:val="right"/>
              <w:rPr>
                <w:rFonts w:eastAsia="Calibri"/>
                <w:b/>
                <w:bCs/>
                <w:sz w:val="20"/>
                <w:szCs w:val="20"/>
              </w:rPr>
            </w:pPr>
            <w:r>
              <w:rPr>
                <w:b/>
                <w:bCs/>
                <w:color w:val="000000"/>
                <w:sz w:val="20"/>
                <w:szCs w:val="20"/>
              </w:rPr>
              <w:t xml:space="preserve">$983 </w:t>
            </w:r>
          </w:p>
        </w:tc>
      </w:tr>
      <w:bookmarkEnd w:id="48"/>
      <w:bookmarkEnd w:id="49"/>
    </w:tbl>
    <w:p w:rsidR="0039413C" w14:paraId="718D4B97" w14:textId="5CCD9B46">
      <w:pPr>
        <w:widowControl/>
        <w:autoSpaceDE/>
        <w:autoSpaceDN/>
        <w:adjustRightInd/>
        <w:spacing w:after="160" w:line="259" w:lineRule="auto"/>
        <w:rPr>
          <w:b/>
          <w:color w:val="000000"/>
        </w:rPr>
      </w:pPr>
    </w:p>
    <w:p w:rsidR="00E31DE6" w:rsidRPr="00E13ED7" w:rsidP="00E13ED7" w14:paraId="7ADD8E8C" w14:textId="75810442">
      <w:pPr>
        <w:rPr>
          <w:b/>
          <w:color w:val="000000"/>
        </w:rPr>
      </w:pPr>
      <w:r>
        <w:rPr>
          <w:b/>
          <w:color w:val="000000"/>
        </w:rPr>
        <w:t xml:space="preserve"> </w:t>
      </w:r>
      <w:r w:rsidR="00FB072C">
        <w:rPr>
          <w:b/>
          <w:color w:val="000000"/>
        </w:rPr>
        <w:t>I</w:t>
      </w:r>
      <w:r w:rsidR="00DE75A6">
        <w:rPr>
          <w:b/>
          <w:color w:val="000000"/>
        </w:rPr>
        <w:t>I</w:t>
      </w:r>
      <w:r w:rsidR="00FB072C">
        <w:rPr>
          <w:b/>
          <w:color w:val="000000"/>
        </w:rPr>
        <w:t>-2</w:t>
      </w:r>
      <w:r w:rsidR="00744BF5">
        <w:rPr>
          <w:b/>
          <w:color w:val="000000"/>
        </w:rPr>
        <w:t>.</w:t>
      </w:r>
      <w:r w:rsidR="00FB072C">
        <w:rPr>
          <w:b/>
          <w:color w:val="000000"/>
        </w:rPr>
        <w:t xml:space="preserve"> Reviewing </w:t>
      </w:r>
      <w:r w:rsidR="00016DB4">
        <w:rPr>
          <w:b/>
          <w:color w:val="000000"/>
        </w:rPr>
        <w:t xml:space="preserve">Unchanged </w:t>
      </w:r>
      <w:r w:rsidR="00FB072C">
        <w:rPr>
          <w:b/>
          <w:color w:val="000000"/>
        </w:rPr>
        <w:t>Smok</w:t>
      </w:r>
      <w:r w:rsidR="0006013D">
        <w:rPr>
          <w:b/>
          <w:color w:val="000000"/>
        </w:rPr>
        <w:t>ing</w:t>
      </w:r>
      <w:r w:rsidR="00016DB4">
        <w:rPr>
          <w:b/>
          <w:color w:val="000000"/>
        </w:rPr>
        <w:t xml:space="preserve"> Prevention</w:t>
      </w:r>
      <w:r w:rsidR="00FB072C">
        <w:rPr>
          <w:b/>
          <w:color w:val="000000"/>
        </w:rPr>
        <w:t xml:space="preserve"> Programs</w:t>
      </w:r>
    </w:p>
    <w:p w:rsidR="00E31DE6" w:rsidRPr="005C6CA9" w:rsidP="00E31DE6" w14:paraId="20B29170" w14:textId="77777777">
      <w:pPr>
        <w:rPr>
          <w:b/>
          <w:color w:val="000000"/>
        </w:rPr>
      </w:pPr>
    </w:p>
    <w:p w:rsidR="008C663B" w:rsidP="007C0B3B" w14:paraId="4FEA76B4" w14:textId="6FC0B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E1F20">
        <w:t>MSHA's Plans Review policy require</w:t>
      </w:r>
      <w:r w:rsidR="00016DB4">
        <w:t>s</w:t>
      </w:r>
      <w:r w:rsidRPr="005E1F20">
        <w:t xml:space="preserve"> that</w:t>
      </w:r>
      <w:r w:rsidR="00016DB4">
        <w:t xml:space="preserve"> if a</w:t>
      </w:r>
      <w:r w:rsidRPr="005E1F20">
        <w:t xml:space="preserve"> smoking prevention</w:t>
      </w:r>
      <w:r w:rsidR="00016DB4">
        <w:t xml:space="preserve"> program has not been revised in the past two years it must be</w:t>
      </w:r>
      <w:r w:rsidRPr="005E1F20">
        <w:t xml:space="preserve"> reviewed. </w:t>
      </w:r>
      <w:r>
        <w:t>S</w:t>
      </w:r>
      <w:r w:rsidRPr="005E1F20">
        <w:t xml:space="preserve">ome </w:t>
      </w:r>
      <w:r>
        <w:t xml:space="preserve">mining </w:t>
      </w:r>
      <w:r w:rsidRPr="005E1F20">
        <w:t xml:space="preserve">districts </w:t>
      </w:r>
      <w:r>
        <w:t xml:space="preserve">may </w:t>
      </w:r>
      <w:r w:rsidRPr="005E1F20">
        <w:t xml:space="preserve">review the smoking prevention programs </w:t>
      </w:r>
      <w:r>
        <w:t>every</w:t>
      </w:r>
      <w:r w:rsidRPr="005E1F20">
        <w:t xml:space="preserve"> time a mine is inspected.</w:t>
      </w:r>
    </w:p>
    <w:p w:rsidR="008C663B" w:rsidP="007C0B3B" w14:paraId="5DFEE2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C0B3B" w:rsidRPr="005E1F20" w:rsidP="007C0B3B" w14:paraId="5DA4436C" w14:textId="5BD36A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E1F20">
        <w:t xml:space="preserve">MSHA’s records show that </w:t>
      </w:r>
      <w:r w:rsidR="008C663B">
        <w:t xml:space="preserve">239 existing smoking prevention </w:t>
      </w:r>
      <w:r w:rsidRPr="005E1F20" w:rsidR="008C663B">
        <w:t>programs</w:t>
      </w:r>
      <w:r w:rsidR="008C663B">
        <w:t xml:space="preserve"> were reviewed </w:t>
      </w:r>
      <w:r>
        <w:t>from 2022 to 2024</w:t>
      </w:r>
      <w:r w:rsidR="008C663B">
        <w:t xml:space="preserve">, </w:t>
      </w:r>
      <w:r>
        <w:t xml:space="preserve">an </w:t>
      </w:r>
      <w:r w:rsidR="008C663B">
        <w:t xml:space="preserve">annual </w:t>
      </w:r>
      <w:r w:rsidRPr="005E1F20">
        <w:t>average of 8</w:t>
      </w:r>
      <w:r>
        <w:t>0</w:t>
      </w:r>
      <w:r w:rsidRPr="005E1F20">
        <w:t xml:space="preserve"> </w:t>
      </w:r>
      <w:r w:rsidR="008C663B">
        <w:t xml:space="preserve">programs </w:t>
      </w:r>
      <w:r w:rsidR="00F274E3">
        <w:t>that</w:t>
      </w:r>
      <w:r w:rsidR="00016DB4">
        <w:t xml:space="preserve"> had not been revised over the previous two years</w:t>
      </w:r>
      <w:r w:rsidRPr="005E1F20">
        <w:t xml:space="preserve">. MSHA estimates </w:t>
      </w:r>
      <w:r w:rsidR="004D1F03">
        <w:t xml:space="preserve">that it takes </w:t>
      </w:r>
      <w:r w:rsidRPr="005E1F20">
        <w:t>a GS-12</w:t>
      </w:r>
      <w:r w:rsidR="004D1F03">
        <w:t xml:space="preserve"> inspector</w:t>
      </w:r>
      <w:r w:rsidR="0094327E">
        <w:t>,</w:t>
      </w:r>
      <w:r w:rsidRPr="005E1F20">
        <w:t xml:space="preserve"> earning </w:t>
      </w:r>
      <w:r w:rsidRPr="005E1F20">
        <w:rPr>
          <w:bCs/>
        </w:rPr>
        <w:t>$</w:t>
      </w:r>
      <w:r w:rsidR="0094327E">
        <w:rPr>
          <w:bCs/>
        </w:rPr>
        <w:t>78.60</w:t>
      </w:r>
      <w:r w:rsidRPr="005E1F20">
        <w:rPr>
          <w:bCs/>
        </w:rPr>
        <w:t xml:space="preserve"> </w:t>
      </w:r>
      <w:r w:rsidRPr="005E1F20">
        <w:t>per hour</w:t>
      </w:r>
      <w:r w:rsidR="0094327E">
        <w:t>,</w:t>
      </w:r>
      <w:r w:rsidRPr="005E1F20">
        <w:t xml:space="preserve"> 30 minutes to review an </w:t>
      </w:r>
      <w:r w:rsidR="00016DB4">
        <w:t>unchanged</w:t>
      </w:r>
      <w:r w:rsidRPr="005E1F20" w:rsidR="00016DB4">
        <w:t xml:space="preserve"> </w:t>
      </w:r>
      <w:r w:rsidRPr="005E1F20">
        <w:t xml:space="preserve">smoking prevention program.  </w:t>
      </w:r>
    </w:p>
    <w:p w:rsidR="00E31DE6" w:rsidRPr="005C6CA9" w:rsidP="00E31DE6" w14:paraId="097153E5" w14:textId="77777777">
      <w:pPr>
        <w:rPr>
          <w:b/>
          <w:color w:val="000000"/>
        </w:rPr>
      </w:pPr>
    </w:p>
    <w:p w:rsidR="00E31DE6" w:rsidRPr="005C6CA9" w:rsidP="00E31DE6" w14:paraId="5BAC2213" w14:textId="6CA0E599">
      <w:pPr>
        <w:rPr>
          <w:b/>
          <w:color w:val="000000"/>
        </w:rPr>
      </w:pPr>
      <w:r w:rsidRPr="005C6CA9">
        <w:rPr>
          <w:b/>
          <w:color w:val="000000"/>
        </w:rPr>
        <w:t>Table 14-</w:t>
      </w:r>
      <w:r w:rsidR="00E64CF9">
        <w:rPr>
          <w:b/>
          <w:color w:val="000000"/>
        </w:rPr>
        <w:t>3</w:t>
      </w:r>
      <w:r w:rsidRPr="005C6CA9">
        <w:rPr>
          <w:b/>
          <w:color w:val="000000"/>
        </w:rPr>
        <w:t xml:space="preserve">. Estimated Federal Hour and Cost Burden, </w:t>
      </w:r>
      <w:r w:rsidR="004A3A8F">
        <w:rPr>
          <w:b/>
          <w:color w:val="000000"/>
        </w:rPr>
        <w:t xml:space="preserve">Reviewing </w:t>
      </w:r>
      <w:r w:rsidR="00016DB4">
        <w:rPr>
          <w:b/>
          <w:color w:val="000000"/>
        </w:rPr>
        <w:t xml:space="preserve">Unchanged </w:t>
      </w:r>
      <w:r w:rsidR="004A3A8F">
        <w:rPr>
          <w:b/>
          <w:color w:val="000000"/>
        </w:rPr>
        <w:t>Smok</w:t>
      </w:r>
      <w:r w:rsidR="0006013D">
        <w:rPr>
          <w:b/>
          <w:color w:val="000000"/>
        </w:rPr>
        <w:t>ing</w:t>
      </w:r>
      <w:r w:rsidR="004A3A8F">
        <w:rPr>
          <w:b/>
          <w:color w:val="000000"/>
        </w:rPr>
        <w:t xml:space="preserve"> </w:t>
      </w:r>
      <w:r w:rsidR="00016DB4">
        <w:rPr>
          <w:b/>
          <w:color w:val="000000"/>
        </w:rPr>
        <w:t xml:space="preserve">Prevention </w:t>
      </w:r>
      <w:r w:rsidR="004A3A8F">
        <w:rPr>
          <w:b/>
          <w:color w:val="000000"/>
        </w:rPr>
        <w:t>Programs</w:t>
      </w:r>
      <w:r w:rsidRPr="00B950D9" w:rsidR="004A3A8F">
        <w:rPr>
          <w:b/>
          <w:color w:val="000000"/>
        </w:rPr>
        <w:t xml:space="preserve"> (30 CFR 75.1702-1)</w:t>
      </w:r>
    </w:p>
    <w:tbl>
      <w:tblPr>
        <w:tblStyle w:val="TableGrid"/>
        <w:tblW w:w="9245" w:type="dxa"/>
        <w:tblInd w:w="-5" w:type="dxa"/>
        <w:tblLayout w:type="fixed"/>
        <w:tblLook w:val="04A0"/>
      </w:tblPr>
      <w:tblGrid>
        <w:gridCol w:w="2610"/>
        <w:gridCol w:w="1350"/>
        <w:gridCol w:w="1440"/>
        <w:gridCol w:w="1253"/>
        <w:gridCol w:w="1178"/>
        <w:gridCol w:w="1414"/>
      </w:tblGrid>
      <w:tr w14:paraId="37D3E8A6" w14:textId="77777777" w:rsidTr="006134B7">
        <w:tblPrEx>
          <w:tblW w:w="9245" w:type="dxa"/>
          <w:tblInd w:w="-5" w:type="dxa"/>
          <w:tblLayout w:type="fixed"/>
          <w:tblLook w:val="04A0"/>
        </w:tblPrEx>
        <w:trPr>
          <w:trHeight w:val="766"/>
        </w:trPr>
        <w:tc>
          <w:tcPr>
            <w:tcW w:w="2610" w:type="dxa"/>
            <w:shd w:val="clear" w:color="auto" w:fill="8EAADB" w:themeFill="accent1" w:themeFillTint="99"/>
            <w:vAlign w:val="bottom"/>
            <w:hideMark/>
          </w:tcPr>
          <w:p w:rsidR="00E31DE6" w:rsidRPr="005C6CA9" w:rsidP="00016DB4" w14:paraId="75A42158" w14:textId="77777777">
            <w:pPr>
              <w:widowControl/>
              <w:autoSpaceDE/>
              <w:autoSpaceDN/>
              <w:adjustRightInd/>
              <w:rPr>
                <w:color w:val="000000"/>
                <w:sz w:val="20"/>
                <w:szCs w:val="20"/>
              </w:rPr>
            </w:pPr>
            <w:r w:rsidRPr="005C6CA9">
              <w:rPr>
                <w:color w:val="000000"/>
                <w:sz w:val="20"/>
                <w:szCs w:val="20"/>
              </w:rPr>
              <w:t>Federal Occupation</w:t>
            </w:r>
          </w:p>
        </w:tc>
        <w:tc>
          <w:tcPr>
            <w:tcW w:w="1350" w:type="dxa"/>
            <w:shd w:val="clear" w:color="auto" w:fill="8EAADB" w:themeFill="accent1" w:themeFillTint="99"/>
            <w:vAlign w:val="bottom"/>
            <w:hideMark/>
          </w:tcPr>
          <w:p w:rsidR="00E31DE6" w:rsidRPr="005C6CA9" w:rsidP="00016DB4" w14:paraId="34A02322" w14:textId="291C7E87">
            <w:pPr>
              <w:widowControl/>
              <w:autoSpaceDE/>
              <w:autoSpaceDN/>
              <w:adjustRightInd/>
              <w:jc w:val="center"/>
              <w:rPr>
                <w:rFonts w:eastAsia="Calibri"/>
                <w:sz w:val="20"/>
                <w:szCs w:val="20"/>
              </w:rPr>
            </w:pPr>
            <w:r w:rsidRPr="005C6CA9">
              <w:rPr>
                <w:color w:val="000000"/>
                <w:sz w:val="20"/>
                <w:szCs w:val="20"/>
              </w:rPr>
              <w:t>Number of Responses (</w:t>
            </w:r>
            <w:r w:rsidR="0006013D">
              <w:rPr>
                <w:color w:val="000000"/>
                <w:sz w:val="20"/>
                <w:szCs w:val="20"/>
              </w:rPr>
              <w:t>Programs</w:t>
            </w:r>
            <w:r w:rsidRPr="005C6CA9">
              <w:rPr>
                <w:color w:val="000000"/>
                <w:sz w:val="20"/>
                <w:szCs w:val="20"/>
              </w:rPr>
              <w:t>)</w:t>
            </w:r>
          </w:p>
        </w:tc>
        <w:tc>
          <w:tcPr>
            <w:tcW w:w="1440" w:type="dxa"/>
            <w:shd w:val="clear" w:color="auto" w:fill="8EAADB" w:themeFill="accent1" w:themeFillTint="99"/>
            <w:vAlign w:val="bottom"/>
          </w:tcPr>
          <w:p w:rsidR="00E31DE6" w:rsidRPr="005C6CA9" w:rsidP="00016DB4" w14:paraId="7E70940F" w14:textId="77777777">
            <w:pPr>
              <w:widowControl/>
              <w:autoSpaceDE/>
              <w:autoSpaceDN/>
              <w:adjustRightInd/>
              <w:jc w:val="center"/>
              <w:rPr>
                <w:rFonts w:eastAsia="Calibri"/>
                <w:sz w:val="20"/>
                <w:szCs w:val="20"/>
              </w:rPr>
            </w:pPr>
            <w:r w:rsidRPr="005C6CA9">
              <w:rPr>
                <w:color w:val="000000"/>
                <w:sz w:val="20"/>
                <w:szCs w:val="20"/>
              </w:rPr>
              <w:t>Average Burden (Hours)</w:t>
            </w:r>
          </w:p>
        </w:tc>
        <w:tc>
          <w:tcPr>
            <w:tcW w:w="1253" w:type="dxa"/>
            <w:shd w:val="clear" w:color="auto" w:fill="8EAADB" w:themeFill="accent1" w:themeFillTint="99"/>
            <w:vAlign w:val="bottom"/>
            <w:hideMark/>
          </w:tcPr>
          <w:p w:rsidR="00E31DE6" w:rsidRPr="005C6CA9" w:rsidP="00016DB4" w14:paraId="3FECF2F1" w14:textId="77777777">
            <w:pPr>
              <w:widowControl/>
              <w:autoSpaceDE/>
              <w:autoSpaceDN/>
              <w:adjustRightInd/>
              <w:jc w:val="center"/>
              <w:rPr>
                <w:rFonts w:eastAsia="Calibri"/>
                <w:sz w:val="20"/>
                <w:szCs w:val="20"/>
              </w:rPr>
            </w:pPr>
            <w:r w:rsidRPr="005C6CA9">
              <w:rPr>
                <w:color w:val="000000"/>
                <w:sz w:val="20"/>
                <w:szCs w:val="20"/>
              </w:rPr>
              <w:t>Total Burden (Hours)</w:t>
            </w:r>
          </w:p>
        </w:tc>
        <w:tc>
          <w:tcPr>
            <w:tcW w:w="1178" w:type="dxa"/>
            <w:shd w:val="clear" w:color="auto" w:fill="8EAADB" w:themeFill="accent1" w:themeFillTint="99"/>
            <w:vAlign w:val="bottom"/>
            <w:hideMark/>
          </w:tcPr>
          <w:p w:rsidR="00E31DE6" w:rsidRPr="005C6CA9" w:rsidP="00016DB4" w14:paraId="0030EC2F" w14:textId="77777777">
            <w:pPr>
              <w:widowControl/>
              <w:autoSpaceDE/>
              <w:autoSpaceDN/>
              <w:adjustRightInd/>
              <w:jc w:val="center"/>
              <w:rPr>
                <w:rFonts w:eastAsia="Calibri"/>
                <w:sz w:val="20"/>
                <w:szCs w:val="20"/>
              </w:rPr>
            </w:pPr>
            <w:r w:rsidRPr="005C6CA9">
              <w:rPr>
                <w:color w:val="000000"/>
                <w:sz w:val="20"/>
                <w:szCs w:val="20"/>
              </w:rPr>
              <w:t>Hourly Wage Rate</w:t>
            </w:r>
          </w:p>
        </w:tc>
        <w:tc>
          <w:tcPr>
            <w:tcW w:w="1414" w:type="dxa"/>
            <w:shd w:val="clear" w:color="auto" w:fill="8EAADB" w:themeFill="accent1" w:themeFillTint="99"/>
            <w:vAlign w:val="bottom"/>
            <w:hideMark/>
          </w:tcPr>
          <w:p w:rsidR="00E31DE6" w:rsidRPr="005C6CA9" w:rsidP="00016DB4" w14:paraId="6FE17860" w14:textId="77777777">
            <w:pPr>
              <w:widowControl/>
              <w:autoSpaceDE/>
              <w:autoSpaceDN/>
              <w:adjustRightInd/>
              <w:jc w:val="center"/>
              <w:rPr>
                <w:rFonts w:eastAsia="Calibri"/>
                <w:sz w:val="20"/>
                <w:szCs w:val="20"/>
              </w:rPr>
            </w:pPr>
            <w:r w:rsidRPr="005C6CA9">
              <w:rPr>
                <w:color w:val="000000"/>
                <w:sz w:val="20"/>
                <w:szCs w:val="20"/>
              </w:rPr>
              <w:t>Total Burden Cost</w:t>
            </w:r>
          </w:p>
        </w:tc>
      </w:tr>
      <w:tr w14:paraId="43AFF4FA" w14:textId="77777777" w:rsidTr="006134B7">
        <w:tblPrEx>
          <w:tblW w:w="9245" w:type="dxa"/>
          <w:tblInd w:w="-5" w:type="dxa"/>
          <w:tblLayout w:type="fixed"/>
          <w:tblLook w:val="04A0"/>
        </w:tblPrEx>
        <w:trPr>
          <w:trHeight w:val="144"/>
        </w:trPr>
        <w:tc>
          <w:tcPr>
            <w:tcW w:w="2610" w:type="dxa"/>
            <w:noWrap/>
            <w:vAlign w:val="center"/>
            <w:hideMark/>
          </w:tcPr>
          <w:p w:rsidR="00055019" w:rsidRPr="005C6CA9" w:rsidP="00055019" w14:paraId="5790EE36" w14:textId="56B1B30F">
            <w:pPr>
              <w:widowControl/>
              <w:autoSpaceDE/>
              <w:autoSpaceDN/>
              <w:adjustRightInd/>
              <w:rPr>
                <w:rFonts w:eastAsia="Calibri"/>
                <w:bCs/>
                <w:sz w:val="20"/>
                <w:szCs w:val="20"/>
              </w:rPr>
            </w:pPr>
            <w:r w:rsidRPr="005C6CA9">
              <w:rPr>
                <w:iCs/>
                <w:sz w:val="20"/>
              </w:rPr>
              <w:t>GS-12 Inspector</w:t>
            </w:r>
          </w:p>
        </w:tc>
        <w:tc>
          <w:tcPr>
            <w:tcW w:w="1350" w:type="dxa"/>
            <w:noWrap/>
            <w:vAlign w:val="center"/>
          </w:tcPr>
          <w:p w:rsidR="00055019" w:rsidRPr="005C6CA9" w:rsidP="00055019" w14:paraId="6E0F7983" w14:textId="5892B3A3">
            <w:pPr>
              <w:widowControl/>
              <w:autoSpaceDE/>
              <w:autoSpaceDN/>
              <w:adjustRightInd/>
              <w:jc w:val="right"/>
              <w:rPr>
                <w:rFonts w:eastAsia="Calibri"/>
                <w:bCs/>
                <w:sz w:val="20"/>
                <w:szCs w:val="20"/>
              </w:rPr>
            </w:pPr>
            <w:r>
              <w:rPr>
                <w:color w:val="000000"/>
                <w:sz w:val="20"/>
                <w:szCs w:val="20"/>
              </w:rPr>
              <w:t>80</w:t>
            </w:r>
          </w:p>
        </w:tc>
        <w:tc>
          <w:tcPr>
            <w:tcW w:w="1440" w:type="dxa"/>
            <w:vAlign w:val="center"/>
          </w:tcPr>
          <w:p w:rsidR="00055019" w:rsidRPr="005C6CA9" w:rsidP="00055019" w14:paraId="62B58602" w14:textId="0F025E8B">
            <w:pPr>
              <w:widowControl/>
              <w:autoSpaceDE/>
              <w:autoSpaceDN/>
              <w:adjustRightInd/>
              <w:jc w:val="right"/>
              <w:rPr>
                <w:rFonts w:eastAsia="Calibri"/>
                <w:bCs/>
                <w:sz w:val="20"/>
                <w:szCs w:val="20"/>
              </w:rPr>
            </w:pPr>
            <w:r>
              <w:rPr>
                <w:color w:val="000000"/>
                <w:sz w:val="20"/>
                <w:szCs w:val="20"/>
              </w:rPr>
              <w:t>0.50</w:t>
            </w:r>
          </w:p>
        </w:tc>
        <w:tc>
          <w:tcPr>
            <w:tcW w:w="1253" w:type="dxa"/>
            <w:noWrap/>
            <w:vAlign w:val="center"/>
          </w:tcPr>
          <w:p w:rsidR="00055019" w:rsidRPr="005C6CA9" w:rsidP="00055019" w14:paraId="68E2D876" w14:textId="68F1A44E">
            <w:pPr>
              <w:widowControl/>
              <w:autoSpaceDE/>
              <w:autoSpaceDN/>
              <w:adjustRightInd/>
              <w:jc w:val="right"/>
              <w:rPr>
                <w:rFonts w:eastAsia="Calibri"/>
                <w:bCs/>
                <w:sz w:val="20"/>
                <w:szCs w:val="20"/>
              </w:rPr>
            </w:pPr>
            <w:r>
              <w:rPr>
                <w:color w:val="000000"/>
                <w:sz w:val="20"/>
                <w:szCs w:val="20"/>
              </w:rPr>
              <w:t>40</w:t>
            </w:r>
          </w:p>
        </w:tc>
        <w:tc>
          <w:tcPr>
            <w:tcW w:w="1178" w:type="dxa"/>
            <w:noWrap/>
            <w:vAlign w:val="center"/>
            <w:hideMark/>
          </w:tcPr>
          <w:p w:rsidR="00055019" w:rsidRPr="005C6CA9" w:rsidP="00055019" w14:paraId="6197099F" w14:textId="41529E7C">
            <w:pPr>
              <w:widowControl/>
              <w:autoSpaceDE/>
              <w:autoSpaceDN/>
              <w:adjustRightInd/>
              <w:jc w:val="right"/>
              <w:rPr>
                <w:rFonts w:eastAsia="Calibri"/>
                <w:bCs/>
                <w:sz w:val="20"/>
                <w:szCs w:val="20"/>
              </w:rPr>
            </w:pPr>
            <w:r>
              <w:rPr>
                <w:color w:val="000000"/>
                <w:sz w:val="20"/>
                <w:szCs w:val="20"/>
              </w:rPr>
              <w:t xml:space="preserve">$78.60 </w:t>
            </w:r>
          </w:p>
        </w:tc>
        <w:tc>
          <w:tcPr>
            <w:tcW w:w="1414" w:type="dxa"/>
            <w:noWrap/>
            <w:vAlign w:val="center"/>
            <w:hideMark/>
          </w:tcPr>
          <w:p w:rsidR="00055019" w:rsidRPr="005C6CA9" w:rsidP="00055019" w14:paraId="7A590208" w14:textId="4735FF62">
            <w:pPr>
              <w:widowControl/>
              <w:autoSpaceDE/>
              <w:autoSpaceDN/>
              <w:adjustRightInd/>
              <w:jc w:val="right"/>
              <w:rPr>
                <w:rFonts w:eastAsia="Calibri"/>
                <w:bCs/>
                <w:sz w:val="20"/>
                <w:szCs w:val="20"/>
              </w:rPr>
            </w:pPr>
            <w:r>
              <w:rPr>
                <w:color w:val="000000"/>
                <w:sz w:val="20"/>
                <w:szCs w:val="20"/>
              </w:rPr>
              <w:t>$3,144.00</w:t>
            </w:r>
          </w:p>
        </w:tc>
      </w:tr>
      <w:tr w14:paraId="306CC207" w14:textId="77777777" w:rsidTr="006134B7">
        <w:tblPrEx>
          <w:tblW w:w="9245" w:type="dxa"/>
          <w:tblInd w:w="-5" w:type="dxa"/>
          <w:tblLayout w:type="fixed"/>
          <w:tblLook w:val="04A0"/>
        </w:tblPrEx>
        <w:trPr>
          <w:trHeight w:val="144"/>
        </w:trPr>
        <w:tc>
          <w:tcPr>
            <w:tcW w:w="2610" w:type="dxa"/>
            <w:noWrap/>
            <w:vAlign w:val="center"/>
            <w:hideMark/>
          </w:tcPr>
          <w:p w:rsidR="00055019" w:rsidRPr="005C6CA9" w:rsidP="00055019" w14:paraId="4094C3CE" w14:textId="77777777">
            <w:pPr>
              <w:widowControl/>
              <w:autoSpaceDE/>
              <w:autoSpaceDN/>
              <w:adjustRightInd/>
              <w:rPr>
                <w:rFonts w:eastAsia="Calibri"/>
                <w:b/>
                <w:bCs/>
                <w:i/>
                <w:iCs/>
                <w:sz w:val="20"/>
                <w:szCs w:val="20"/>
              </w:rPr>
            </w:pPr>
            <w:r w:rsidRPr="005C6CA9">
              <w:rPr>
                <w:rFonts w:eastAsia="Calibri"/>
                <w:b/>
                <w:bCs/>
                <w:i/>
                <w:iCs/>
                <w:sz w:val="20"/>
                <w:szCs w:val="20"/>
              </w:rPr>
              <w:t>Subtotal (Rounded)</w:t>
            </w:r>
          </w:p>
        </w:tc>
        <w:tc>
          <w:tcPr>
            <w:tcW w:w="1350" w:type="dxa"/>
            <w:vAlign w:val="center"/>
          </w:tcPr>
          <w:p w:rsidR="00055019" w:rsidRPr="00BC115C" w:rsidP="00055019" w14:paraId="26289945" w14:textId="7D932997">
            <w:pPr>
              <w:widowControl/>
              <w:autoSpaceDE/>
              <w:autoSpaceDN/>
              <w:adjustRightInd/>
              <w:jc w:val="right"/>
              <w:rPr>
                <w:rFonts w:eastAsia="Calibri"/>
                <w:b/>
                <w:bCs/>
                <w:sz w:val="20"/>
                <w:szCs w:val="20"/>
              </w:rPr>
            </w:pPr>
            <w:r w:rsidRPr="009033B4">
              <w:rPr>
                <w:b/>
                <w:bCs/>
                <w:color w:val="000000"/>
                <w:sz w:val="20"/>
                <w:szCs w:val="20"/>
              </w:rPr>
              <w:t>80</w:t>
            </w:r>
          </w:p>
        </w:tc>
        <w:tc>
          <w:tcPr>
            <w:tcW w:w="1440" w:type="dxa"/>
            <w:shd w:val="clear" w:color="auto" w:fill="000000"/>
            <w:vAlign w:val="center"/>
          </w:tcPr>
          <w:p w:rsidR="00055019" w:rsidRPr="00BC115C" w:rsidP="00055019" w14:paraId="7E8CA0F6" w14:textId="11AF81A4">
            <w:pPr>
              <w:widowControl/>
              <w:autoSpaceDE/>
              <w:autoSpaceDN/>
              <w:adjustRightInd/>
              <w:jc w:val="right"/>
              <w:rPr>
                <w:rFonts w:eastAsia="Calibri"/>
                <w:b/>
                <w:bCs/>
                <w:sz w:val="20"/>
                <w:szCs w:val="20"/>
              </w:rPr>
            </w:pPr>
            <w:r w:rsidRPr="009033B4">
              <w:rPr>
                <w:b/>
                <w:bCs/>
                <w:color w:val="000000"/>
                <w:sz w:val="20"/>
                <w:szCs w:val="20"/>
              </w:rPr>
              <w:t> </w:t>
            </w:r>
          </w:p>
        </w:tc>
        <w:tc>
          <w:tcPr>
            <w:tcW w:w="1253" w:type="dxa"/>
            <w:vAlign w:val="center"/>
          </w:tcPr>
          <w:p w:rsidR="00055019" w:rsidRPr="00BC115C" w:rsidP="00055019" w14:paraId="740806B5" w14:textId="150D26C1">
            <w:pPr>
              <w:widowControl/>
              <w:autoSpaceDE/>
              <w:autoSpaceDN/>
              <w:adjustRightInd/>
              <w:jc w:val="right"/>
              <w:rPr>
                <w:rFonts w:eastAsia="Calibri"/>
                <w:b/>
                <w:bCs/>
                <w:sz w:val="20"/>
                <w:szCs w:val="20"/>
              </w:rPr>
            </w:pPr>
            <w:r w:rsidRPr="006134B7">
              <w:rPr>
                <w:b/>
                <w:bCs/>
                <w:color w:val="000000"/>
                <w:sz w:val="20"/>
                <w:szCs w:val="20"/>
              </w:rPr>
              <w:t>40</w:t>
            </w:r>
          </w:p>
        </w:tc>
        <w:tc>
          <w:tcPr>
            <w:tcW w:w="1178" w:type="dxa"/>
            <w:shd w:val="clear" w:color="auto" w:fill="000000"/>
            <w:noWrap/>
            <w:vAlign w:val="center"/>
            <w:hideMark/>
          </w:tcPr>
          <w:p w:rsidR="00055019" w:rsidRPr="00BC115C" w:rsidP="00055019" w14:paraId="72F64C01" w14:textId="34947A1A">
            <w:pPr>
              <w:widowControl/>
              <w:autoSpaceDE/>
              <w:autoSpaceDN/>
              <w:adjustRightInd/>
              <w:jc w:val="right"/>
              <w:rPr>
                <w:rFonts w:eastAsia="Calibri"/>
                <w:b/>
                <w:bCs/>
                <w:sz w:val="20"/>
                <w:szCs w:val="20"/>
              </w:rPr>
            </w:pPr>
            <w:r w:rsidRPr="006134B7">
              <w:rPr>
                <w:b/>
                <w:bCs/>
                <w:color w:val="000000"/>
                <w:sz w:val="20"/>
                <w:szCs w:val="20"/>
              </w:rPr>
              <w:t> </w:t>
            </w:r>
          </w:p>
        </w:tc>
        <w:tc>
          <w:tcPr>
            <w:tcW w:w="1414" w:type="dxa"/>
            <w:noWrap/>
            <w:vAlign w:val="center"/>
            <w:hideMark/>
          </w:tcPr>
          <w:p w:rsidR="00055019" w:rsidRPr="00BC115C" w:rsidP="00055019" w14:paraId="6DCEC51C" w14:textId="59DF272C">
            <w:pPr>
              <w:widowControl/>
              <w:autoSpaceDE/>
              <w:autoSpaceDN/>
              <w:adjustRightInd/>
              <w:jc w:val="right"/>
              <w:rPr>
                <w:rFonts w:eastAsia="Calibri"/>
                <w:b/>
                <w:bCs/>
                <w:sz w:val="20"/>
                <w:szCs w:val="20"/>
              </w:rPr>
            </w:pPr>
            <w:r w:rsidRPr="006134B7">
              <w:rPr>
                <w:b/>
                <w:bCs/>
                <w:color w:val="000000"/>
                <w:sz w:val="20"/>
                <w:szCs w:val="20"/>
              </w:rPr>
              <w:t>$3,144</w:t>
            </w:r>
          </w:p>
        </w:tc>
      </w:tr>
    </w:tbl>
    <w:p w:rsidR="00E31DE6" w:rsidRPr="005C6CA9" w:rsidP="004A22F3" w14:paraId="42EF2178" w14:textId="77777777">
      <w:pPr>
        <w:tabs>
          <w:tab w:val="left" w:pos="2496"/>
        </w:tabs>
        <w:rPr>
          <w:b/>
          <w:bCs/>
          <w:color w:val="000000"/>
        </w:rPr>
      </w:pPr>
    </w:p>
    <w:p w:rsidR="00DB2DFB" w:rsidRPr="005C6CA9" w:rsidP="004A22F3" w14:paraId="2EC81F02" w14:textId="77777777">
      <w:pPr>
        <w:pStyle w:val="Default"/>
        <w:rPr>
          <w:rFonts w:ascii="Times New Roman" w:hAnsi="Times New Roman" w:cs="Times New Roman"/>
          <w:b/>
          <w:bCs/>
        </w:rPr>
      </w:pPr>
      <w:r w:rsidRPr="005C6CA9">
        <w:rPr>
          <w:rFonts w:ascii="Times New Roman" w:hAnsi="Times New Roman" w:cs="Times New Roman"/>
          <w:b/>
          <w:bCs/>
        </w:rPr>
        <w:t>Cost Summary to the Federal Government</w:t>
      </w:r>
    </w:p>
    <w:p w:rsidR="00DB2DFB" w:rsidRPr="005C6CA9" w:rsidP="004A22F3" w14:paraId="4E5A4D2B" w14:textId="77777777">
      <w:pPr>
        <w:pStyle w:val="Default"/>
        <w:tabs>
          <w:tab w:val="left" w:pos="9000"/>
          <w:tab w:val="left" w:pos="9090"/>
        </w:tabs>
        <w:rPr>
          <w:rFonts w:ascii="Times New Roman" w:hAnsi="Times New Roman" w:cs="Times New Roman"/>
          <w:b/>
          <w:bCs/>
        </w:rPr>
      </w:pPr>
    </w:p>
    <w:p w:rsidR="00DB2DFB" w:rsidP="004A22F3" w14:paraId="794F425C" w14:textId="77777777">
      <w:pPr>
        <w:widowControl/>
      </w:pPr>
      <w:r w:rsidRPr="005C6CA9">
        <w:t>The annual cost burden to the Federal government is summarized in the summary table below.</w:t>
      </w:r>
    </w:p>
    <w:p w:rsidR="00E64CF9" w:rsidRPr="005C6CA9" w:rsidP="004A22F3" w14:paraId="298AD60A" w14:textId="77777777">
      <w:pPr>
        <w:widowControl/>
      </w:pPr>
    </w:p>
    <w:p w:rsidR="00E64CF9" w:rsidRPr="0012484E" w:rsidP="00E64CF9" w14:paraId="32697BCB" w14:textId="5DA79619">
      <w:pPr>
        <w:widowControl/>
        <w:rPr>
          <w:b/>
          <w:bCs/>
          <w:color w:val="000000"/>
        </w:rPr>
      </w:pPr>
      <w:r w:rsidRPr="0012484E">
        <w:rPr>
          <w:b/>
          <w:bCs/>
          <w:color w:val="000000"/>
        </w:rPr>
        <w:t>Table 14-</w:t>
      </w:r>
      <w:r>
        <w:rPr>
          <w:b/>
          <w:bCs/>
          <w:color w:val="000000"/>
        </w:rPr>
        <w:t>4</w:t>
      </w:r>
      <w:r w:rsidRPr="0012484E">
        <w:rPr>
          <w:b/>
          <w:bCs/>
          <w:color w:val="000000"/>
        </w:rPr>
        <w:t xml:space="preserve">. Estimated Annual Federal Hour and Cost Burden, Summary </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0"/>
        <w:gridCol w:w="1170"/>
        <w:gridCol w:w="1620"/>
        <w:gridCol w:w="1350"/>
        <w:gridCol w:w="1080"/>
        <w:gridCol w:w="1260"/>
      </w:tblGrid>
      <w:tr w14:paraId="67F0A607" w14:textId="77777777" w:rsidTr="00DA1DA6">
        <w:tblPrEx>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8"/>
        </w:trPr>
        <w:tc>
          <w:tcPr>
            <w:tcW w:w="2790" w:type="dxa"/>
            <w:shd w:val="clear" w:color="auto" w:fill="8EAADB"/>
            <w:vAlign w:val="center"/>
            <w:hideMark/>
          </w:tcPr>
          <w:p w:rsidR="00E64CF9" w:rsidRPr="0038703C" w:rsidP="00070EBD" w14:paraId="13BEE2D5" w14:textId="77777777">
            <w:pPr>
              <w:rPr>
                <w:color w:val="000000"/>
                <w:sz w:val="20"/>
              </w:rPr>
            </w:pPr>
            <w:r w:rsidRPr="0012484E">
              <w:rPr>
                <w:color w:val="000000"/>
                <w:sz w:val="20"/>
              </w:rPr>
              <w:t>Activity</w:t>
            </w:r>
          </w:p>
        </w:tc>
        <w:tc>
          <w:tcPr>
            <w:tcW w:w="1170" w:type="dxa"/>
            <w:tcBorders>
              <w:bottom w:val="single" w:sz="4" w:space="0" w:color="auto"/>
            </w:tcBorders>
            <w:shd w:val="clear" w:color="auto" w:fill="8EAADB"/>
            <w:vAlign w:val="center"/>
            <w:hideMark/>
          </w:tcPr>
          <w:p w:rsidR="00E64CF9" w:rsidRPr="0038703C" w:rsidP="00070EBD" w14:paraId="1D10AED1" w14:textId="77777777">
            <w:pPr>
              <w:jc w:val="center"/>
              <w:rPr>
                <w:color w:val="000000"/>
                <w:sz w:val="20"/>
              </w:rPr>
            </w:pPr>
            <w:r w:rsidRPr="0012484E">
              <w:rPr>
                <w:color w:val="000000"/>
                <w:sz w:val="20"/>
              </w:rPr>
              <w:t>Number of Responses</w:t>
            </w:r>
          </w:p>
        </w:tc>
        <w:tc>
          <w:tcPr>
            <w:tcW w:w="1620" w:type="dxa"/>
            <w:tcBorders>
              <w:bottom w:val="single" w:sz="4" w:space="0" w:color="auto"/>
            </w:tcBorders>
            <w:shd w:val="clear" w:color="auto" w:fill="8EAADB"/>
            <w:vAlign w:val="center"/>
            <w:hideMark/>
          </w:tcPr>
          <w:p w:rsidR="00E64CF9" w:rsidRPr="0038703C" w:rsidP="00070EBD" w14:paraId="240F4C90" w14:textId="77777777">
            <w:pPr>
              <w:jc w:val="center"/>
              <w:rPr>
                <w:color w:val="000000"/>
                <w:sz w:val="20"/>
              </w:rPr>
            </w:pPr>
            <w:r w:rsidRPr="0012484E">
              <w:rPr>
                <w:color w:val="000000"/>
                <w:sz w:val="20"/>
              </w:rPr>
              <w:t>Average Burden (Hours)</w:t>
            </w:r>
          </w:p>
        </w:tc>
        <w:tc>
          <w:tcPr>
            <w:tcW w:w="1350" w:type="dxa"/>
            <w:tcBorders>
              <w:bottom w:val="single" w:sz="4" w:space="0" w:color="auto"/>
            </w:tcBorders>
            <w:shd w:val="clear" w:color="auto" w:fill="8EAADB"/>
            <w:vAlign w:val="center"/>
            <w:hideMark/>
          </w:tcPr>
          <w:p w:rsidR="00E64CF9" w:rsidRPr="0038703C" w:rsidP="00070EBD" w14:paraId="79F8F279" w14:textId="77777777">
            <w:pPr>
              <w:jc w:val="center"/>
              <w:rPr>
                <w:color w:val="000000"/>
                <w:sz w:val="20"/>
              </w:rPr>
            </w:pPr>
            <w:r w:rsidRPr="0012484E">
              <w:rPr>
                <w:color w:val="000000"/>
                <w:sz w:val="20"/>
              </w:rPr>
              <w:t>Total Burden (Hours)</w:t>
            </w:r>
          </w:p>
        </w:tc>
        <w:tc>
          <w:tcPr>
            <w:tcW w:w="1080" w:type="dxa"/>
            <w:tcBorders>
              <w:bottom w:val="single" w:sz="4" w:space="0" w:color="auto"/>
            </w:tcBorders>
            <w:shd w:val="clear" w:color="auto" w:fill="8EAADB"/>
            <w:vAlign w:val="center"/>
            <w:hideMark/>
          </w:tcPr>
          <w:p w:rsidR="00E64CF9" w:rsidRPr="0038703C" w:rsidP="00070EBD" w14:paraId="5E7AF4B5" w14:textId="77777777">
            <w:pPr>
              <w:jc w:val="center"/>
              <w:rPr>
                <w:color w:val="000000"/>
                <w:sz w:val="20"/>
              </w:rPr>
            </w:pPr>
            <w:r w:rsidRPr="0012484E">
              <w:rPr>
                <w:color w:val="000000"/>
                <w:sz w:val="20"/>
              </w:rPr>
              <w:t>Hourly Wage Rate</w:t>
            </w:r>
          </w:p>
        </w:tc>
        <w:tc>
          <w:tcPr>
            <w:tcW w:w="1260" w:type="dxa"/>
            <w:tcBorders>
              <w:bottom w:val="single" w:sz="4" w:space="0" w:color="auto"/>
            </w:tcBorders>
            <w:shd w:val="clear" w:color="auto" w:fill="8EAADB"/>
            <w:vAlign w:val="center"/>
            <w:hideMark/>
          </w:tcPr>
          <w:p w:rsidR="00E64CF9" w:rsidRPr="0038703C" w:rsidP="00070EBD" w14:paraId="2E0A9B32" w14:textId="77777777">
            <w:pPr>
              <w:jc w:val="center"/>
              <w:rPr>
                <w:color w:val="000000"/>
                <w:sz w:val="20"/>
              </w:rPr>
            </w:pPr>
            <w:r w:rsidRPr="0012484E">
              <w:rPr>
                <w:color w:val="000000"/>
                <w:sz w:val="20"/>
              </w:rPr>
              <w:t>Total Burden Cost</w:t>
            </w:r>
          </w:p>
        </w:tc>
      </w:tr>
      <w:tr w14:paraId="7DEE475B" w14:textId="77777777" w:rsidTr="00DA1DA6">
        <w:tblPrEx>
          <w:tblW w:w="9270" w:type="dxa"/>
          <w:tblInd w:w="-5" w:type="dxa"/>
          <w:tblLayout w:type="fixed"/>
          <w:tblLook w:val="04A0"/>
        </w:tblPrEx>
        <w:trPr>
          <w:trHeight w:val="449"/>
        </w:trPr>
        <w:tc>
          <w:tcPr>
            <w:tcW w:w="2790" w:type="dxa"/>
            <w:tcBorders>
              <w:top w:val="single" w:sz="4" w:space="0" w:color="auto"/>
              <w:left w:val="single" w:sz="4" w:space="0" w:color="auto"/>
              <w:bottom w:val="single" w:sz="4" w:space="0" w:color="auto"/>
              <w:right w:val="single" w:sz="4" w:space="0" w:color="auto"/>
            </w:tcBorders>
            <w:vAlign w:val="center"/>
          </w:tcPr>
          <w:p w:rsidR="00E64CF9" w:rsidRPr="0038703C" w:rsidP="00E64CF9" w14:paraId="161E44B8" w14:textId="4BFE180F">
            <w:pPr>
              <w:rPr>
                <w:color w:val="000000"/>
                <w:sz w:val="20"/>
              </w:rPr>
            </w:pPr>
            <w:r>
              <w:rPr>
                <w:color w:val="000000"/>
                <w:sz w:val="20"/>
              </w:rPr>
              <w:t>I</w:t>
            </w:r>
            <w:r w:rsidR="009033B4">
              <w:rPr>
                <w:color w:val="000000"/>
                <w:sz w:val="20"/>
              </w:rPr>
              <w:t>I</w:t>
            </w:r>
            <w:r>
              <w:rPr>
                <w:color w:val="000000"/>
                <w:sz w:val="20"/>
              </w:rPr>
              <w:t>-1.</w:t>
            </w:r>
            <w:r w:rsidR="0094327E">
              <w:rPr>
                <w:color w:val="000000"/>
                <w:sz w:val="20"/>
              </w:rPr>
              <w:t xml:space="preserve"> </w:t>
            </w:r>
            <w:r w:rsidRPr="0094327E" w:rsidR="0094327E">
              <w:rPr>
                <w:color w:val="000000"/>
                <w:sz w:val="20"/>
              </w:rPr>
              <w:t>Reviewing New and Revised Smok</w:t>
            </w:r>
            <w:r w:rsidR="00744F8B">
              <w:rPr>
                <w:color w:val="000000"/>
                <w:sz w:val="20"/>
              </w:rPr>
              <w:t>ing</w:t>
            </w:r>
            <w:r w:rsidRPr="0094327E" w:rsidR="0094327E">
              <w:rPr>
                <w:color w:val="000000"/>
                <w:sz w:val="20"/>
              </w:rPr>
              <w:t xml:space="preserve"> </w:t>
            </w:r>
            <w:r w:rsidR="00016DB4">
              <w:rPr>
                <w:color w:val="000000"/>
                <w:sz w:val="20"/>
              </w:rPr>
              <w:t xml:space="preserve">Prevention </w:t>
            </w:r>
            <w:r w:rsidRPr="0094327E" w:rsidR="0094327E">
              <w:rPr>
                <w:color w:val="000000"/>
                <w:sz w:val="20"/>
              </w:rPr>
              <w:t>Programs</w:t>
            </w:r>
          </w:p>
        </w:tc>
        <w:tc>
          <w:tcPr>
            <w:tcW w:w="1170" w:type="dxa"/>
            <w:tcBorders>
              <w:top w:val="single" w:sz="4" w:space="0" w:color="auto"/>
              <w:left w:val="nil"/>
              <w:bottom w:val="single" w:sz="4" w:space="0" w:color="auto"/>
              <w:right w:val="single" w:sz="4" w:space="0" w:color="auto"/>
            </w:tcBorders>
            <w:vAlign w:val="center"/>
          </w:tcPr>
          <w:p w:rsidR="00E64CF9" w:rsidRPr="0038703C" w:rsidP="00E64CF9" w14:paraId="223F0915" w14:textId="7A303ABE">
            <w:pPr>
              <w:jc w:val="right"/>
              <w:rPr>
                <w:color w:val="000000"/>
                <w:sz w:val="20"/>
              </w:rPr>
            </w:pPr>
            <w:r>
              <w:rPr>
                <w:color w:val="000000"/>
                <w:sz w:val="20"/>
                <w:szCs w:val="20"/>
              </w:rPr>
              <w:t>25</w:t>
            </w:r>
          </w:p>
        </w:tc>
        <w:tc>
          <w:tcPr>
            <w:tcW w:w="1620" w:type="dxa"/>
            <w:tcBorders>
              <w:top w:val="single" w:sz="4" w:space="0" w:color="auto"/>
              <w:left w:val="single" w:sz="4" w:space="0" w:color="auto"/>
              <w:bottom w:val="single" w:sz="4" w:space="0" w:color="auto"/>
              <w:right w:val="single" w:sz="4" w:space="0" w:color="auto"/>
            </w:tcBorders>
            <w:vAlign w:val="center"/>
          </w:tcPr>
          <w:p w:rsidR="00E64CF9" w:rsidRPr="0038703C" w:rsidP="00E64CF9" w14:paraId="674C33FB" w14:textId="6FEBF756">
            <w:pPr>
              <w:jc w:val="right"/>
              <w:rPr>
                <w:color w:val="000000"/>
                <w:sz w:val="20"/>
              </w:rPr>
            </w:pPr>
            <w:r>
              <w:rPr>
                <w:color w:val="000000"/>
                <w:sz w:val="20"/>
                <w:szCs w:val="20"/>
              </w:rPr>
              <w:t>0.50</w:t>
            </w:r>
          </w:p>
        </w:tc>
        <w:tc>
          <w:tcPr>
            <w:tcW w:w="1350" w:type="dxa"/>
            <w:tcBorders>
              <w:top w:val="single" w:sz="4" w:space="0" w:color="auto"/>
              <w:left w:val="single" w:sz="4" w:space="0" w:color="auto"/>
              <w:bottom w:val="single" w:sz="4" w:space="0" w:color="auto"/>
              <w:right w:val="single" w:sz="4" w:space="0" w:color="auto"/>
            </w:tcBorders>
            <w:vAlign w:val="center"/>
          </w:tcPr>
          <w:p w:rsidR="00E64CF9" w:rsidRPr="0038703C" w:rsidP="00E64CF9" w14:paraId="71731DB7" w14:textId="296CF206">
            <w:pPr>
              <w:jc w:val="right"/>
              <w:rPr>
                <w:color w:val="000000"/>
                <w:sz w:val="20"/>
              </w:rPr>
            </w:pPr>
            <w:r>
              <w:rPr>
                <w:color w:val="000000"/>
                <w:sz w:val="20"/>
                <w:szCs w:val="20"/>
              </w:rPr>
              <w:t>12.5</w:t>
            </w:r>
          </w:p>
        </w:tc>
        <w:tc>
          <w:tcPr>
            <w:tcW w:w="1080" w:type="dxa"/>
            <w:tcBorders>
              <w:top w:val="single" w:sz="4" w:space="0" w:color="auto"/>
              <w:left w:val="single" w:sz="4" w:space="0" w:color="auto"/>
              <w:bottom w:val="single" w:sz="4" w:space="0" w:color="auto"/>
              <w:right w:val="single" w:sz="4" w:space="0" w:color="auto"/>
            </w:tcBorders>
            <w:vAlign w:val="center"/>
          </w:tcPr>
          <w:p w:rsidR="00E64CF9" w:rsidRPr="0038703C" w:rsidP="00E64CF9" w14:paraId="6847E725" w14:textId="78E0A01A">
            <w:pPr>
              <w:jc w:val="right"/>
              <w:rPr>
                <w:color w:val="000000"/>
                <w:sz w:val="20"/>
              </w:rPr>
            </w:pPr>
            <w:r>
              <w:rPr>
                <w:color w:val="000000"/>
                <w:sz w:val="20"/>
                <w:szCs w:val="20"/>
              </w:rPr>
              <w:t>$78.60</w:t>
            </w:r>
          </w:p>
        </w:tc>
        <w:tc>
          <w:tcPr>
            <w:tcW w:w="1260" w:type="dxa"/>
            <w:tcBorders>
              <w:top w:val="single" w:sz="4" w:space="0" w:color="auto"/>
              <w:left w:val="single" w:sz="4" w:space="0" w:color="auto"/>
              <w:bottom w:val="single" w:sz="4" w:space="0" w:color="auto"/>
              <w:right w:val="single" w:sz="4" w:space="0" w:color="auto"/>
            </w:tcBorders>
            <w:vAlign w:val="center"/>
          </w:tcPr>
          <w:p w:rsidR="00E64CF9" w:rsidRPr="0038703C" w:rsidP="00E64CF9" w14:paraId="297B6569" w14:textId="110C5FBF">
            <w:pPr>
              <w:jc w:val="right"/>
              <w:rPr>
                <w:color w:val="000000"/>
                <w:sz w:val="20"/>
              </w:rPr>
            </w:pPr>
            <w:r>
              <w:rPr>
                <w:color w:val="000000"/>
                <w:sz w:val="20"/>
                <w:szCs w:val="20"/>
              </w:rPr>
              <w:t>$982.50</w:t>
            </w:r>
          </w:p>
        </w:tc>
      </w:tr>
      <w:tr w14:paraId="2028036C" w14:textId="77777777" w:rsidTr="00DA1DA6">
        <w:tblPrEx>
          <w:tblW w:w="9270" w:type="dxa"/>
          <w:tblInd w:w="-5" w:type="dxa"/>
          <w:tblLayout w:type="fixed"/>
          <w:tblLook w:val="04A0"/>
        </w:tblPrEx>
        <w:trPr>
          <w:trHeight w:val="449"/>
        </w:trPr>
        <w:tc>
          <w:tcPr>
            <w:tcW w:w="2790" w:type="dxa"/>
            <w:tcBorders>
              <w:top w:val="single" w:sz="4" w:space="0" w:color="auto"/>
              <w:left w:val="single" w:sz="4" w:space="0" w:color="auto"/>
              <w:bottom w:val="single" w:sz="4" w:space="0" w:color="auto"/>
              <w:right w:val="single" w:sz="4" w:space="0" w:color="auto"/>
            </w:tcBorders>
            <w:vAlign w:val="center"/>
          </w:tcPr>
          <w:p w:rsidR="00E64CF9" w:rsidRPr="0038703C" w:rsidP="00E64CF9" w14:paraId="7A02DA8F" w14:textId="49B4F5BF">
            <w:pPr>
              <w:rPr>
                <w:color w:val="000000"/>
                <w:sz w:val="20"/>
              </w:rPr>
            </w:pPr>
            <w:r>
              <w:rPr>
                <w:color w:val="000000"/>
                <w:sz w:val="20"/>
              </w:rPr>
              <w:t>I</w:t>
            </w:r>
            <w:r w:rsidR="009033B4">
              <w:rPr>
                <w:color w:val="000000"/>
                <w:sz w:val="20"/>
              </w:rPr>
              <w:t>I</w:t>
            </w:r>
            <w:r>
              <w:rPr>
                <w:color w:val="000000"/>
                <w:sz w:val="20"/>
              </w:rPr>
              <w:t>-2.</w:t>
            </w:r>
            <w:r w:rsidR="0094327E">
              <w:t xml:space="preserve"> </w:t>
            </w:r>
            <w:r w:rsidRPr="0094327E" w:rsidR="0094327E">
              <w:rPr>
                <w:color w:val="000000"/>
                <w:sz w:val="20"/>
              </w:rPr>
              <w:t xml:space="preserve">Reviewing </w:t>
            </w:r>
            <w:r w:rsidR="00016DB4">
              <w:rPr>
                <w:color w:val="000000"/>
                <w:sz w:val="20"/>
              </w:rPr>
              <w:t>Unchanged</w:t>
            </w:r>
            <w:r w:rsidRPr="0094327E" w:rsidR="00016DB4">
              <w:rPr>
                <w:color w:val="000000"/>
                <w:sz w:val="20"/>
              </w:rPr>
              <w:t xml:space="preserve"> </w:t>
            </w:r>
            <w:r w:rsidRPr="0094327E" w:rsidR="0094327E">
              <w:rPr>
                <w:color w:val="000000"/>
                <w:sz w:val="20"/>
              </w:rPr>
              <w:t>Smok</w:t>
            </w:r>
            <w:r w:rsidR="00744F8B">
              <w:rPr>
                <w:color w:val="000000"/>
                <w:sz w:val="20"/>
              </w:rPr>
              <w:t>ing</w:t>
            </w:r>
            <w:r w:rsidRPr="0094327E" w:rsidR="0094327E">
              <w:rPr>
                <w:color w:val="000000"/>
                <w:sz w:val="20"/>
              </w:rPr>
              <w:t xml:space="preserve"> </w:t>
            </w:r>
            <w:r w:rsidR="00016DB4">
              <w:rPr>
                <w:color w:val="000000"/>
                <w:sz w:val="20"/>
              </w:rPr>
              <w:t xml:space="preserve">Prevention </w:t>
            </w:r>
            <w:r w:rsidRPr="0094327E" w:rsidR="0094327E">
              <w:rPr>
                <w:color w:val="000000"/>
                <w:sz w:val="20"/>
              </w:rPr>
              <w:t>Programs</w:t>
            </w:r>
          </w:p>
        </w:tc>
        <w:tc>
          <w:tcPr>
            <w:tcW w:w="1170" w:type="dxa"/>
            <w:tcBorders>
              <w:top w:val="single" w:sz="4" w:space="0" w:color="auto"/>
              <w:left w:val="nil"/>
              <w:bottom w:val="single" w:sz="4" w:space="0" w:color="auto"/>
              <w:right w:val="single" w:sz="4" w:space="0" w:color="auto"/>
            </w:tcBorders>
            <w:vAlign w:val="center"/>
          </w:tcPr>
          <w:p w:rsidR="00E64CF9" w:rsidRPr="0038703C" w:rsidP="00E64CF9" w14:paraId="5A8797AF" w14:textId="22C1E17A">
            <w:pPr>
              <w:jc w:val="right"/>
              <w:rPr>
                <w:color w:val="000000"/>
                <w:sz w:val="20"/>
                <w:szCs w:val="20"/>
              </w:rPr>
            </w:pPr>
            <w:r>
              <w:rPr>
                <w:color w:val="000000"/>
                <w:sz w:val="20"/>
                <w:szCs w:val="20"/>
              </w:rPr>
              <w:t>80</w:t>
            </w:r>
          </w:p>
        </w:tc>
        <w:tc>
          <w:tcPr>
            <w:tcW w:w="1620" w:type="dxa"/>
            <w:tcBorders>
              <w:top w:val="single" w:sz="4" w:space="0" w:color="auto"/>
              <w:left w:val="single" w:sz="4" w:space="0" w:color="auto"/>
              <w:bottom w:val="single" w:sz="4" w:space="0" w:color="auto"/>
              <w:right w:val="single" w:sz="4" w:space="0" w:color="auto"/>
            </w:tcBorders>
            <w:vAlign w:val="center"/>
          </w:tcPr>
          <w:p w:rsidR="00E64CF9" w:rsidRPr="0038703C" w:rsidP="00E64CF9" w14:paraId="1ED2F89B" w14:textId="02F3DCEA">
            <w:pPr>
              <w:jc w:val="right"/>
              <w:rPr>
                <w:color w:val="000000"/>
                <w:sz w:val="20"/>
                <w:szCs w:val="20"/>
              </w:rPr>
            </w:pPr>
            <w:r>
              <w:rPr>
                <w:color w:val="000000"/>
                <w:sz w:val="20"/>
                <w:szCs w:val="20"/>
              </w:rPr>
              <w:t>0.50</w:t>
            </w:r>
          </w:p>
        </w:tc>
        <w:tc>
          <w:tcPr>
            <w:tcW w:w="1350" w:type="dxa"/>
            <w:tcBorders>
              <w:top w:val="single" w:sz="4" w:space="0" w:color="auto"/>
              <w:left w:val="single" w:sz="4" w:space="0" w:color="auto"/>
              <w:bottom w:val="single" w:sz="4" w:space="0" w:color="auto"/>
              <w:right w:val="single" w:sz="4" w:space="0" w:color="auto"/>
            </w:tcBorders>
            <w:vAlign w:val="center"/>
          </w:tcPr>
          <w:p w:rsidR="00E64CF9" w:rsidRPr="0038703C" w:rsidP="00E64CF9" w14:paraId="1E981898" w14:textId="199E6FBF">
            <w:pPr>
              <w:jc w:val="right"/>
              <w:rPr>
                <w:color w:val="000000"/>
                <w:sz w:val="20"/>
                <w:szCs w:val="20"/>
              </w:rPr>
            </w:pPr>
            <w:r>
              <w:rPr>
                <w:color w:val="000000"/>
                <w:sz w:val="20"/>
                <w:szCs w:val="20"/>
              </w:rPr>
              <w:t>40</w:t>
            </w:r>
            <w:r w:rsidR="004D1F03">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E64CF9" w:rsidRPr="0038703C" w:rsidP="00E64CF9" w14:paraId="4BF4413B" w14:textId="1366A05A">
            <w:pPr>
              <w:jc w:val="right"/>
              <w:rPr>
                <w:color w:val="000000"/>
                <w:sz w:val="20"/>
                <w:szCs w:val="20"/>
              </w:rPr>
            </w:pPr>
            <w:r>
              <w:rPr>
                <w:color w:val="000000"/>
                <w:sz w:val="20"/>
                <w:szCs w:val="20"/>
              </w:rPr>
              <w:t>$78.60</w:t>
            </w:r>
          </w:p>
        </w:tc>
        <w:tc>
          <w:tcPr>
            <w:tcW w:w="1260" w:type="dxa"/>
            <w:tcBorders>
              <w:top w:val="single" w:sz="4" w:space="0" w:color="auto"/>
              <w:left w:val="single" w:sz="4" w:space="0" w:color="auto"/>
              <w:bottom w:val="single" w:sz="4" w:space="0" w:color="auto"/>
              <w:right w:val="single" w:sz="4" w:space="0" w:color="auto"/>
            </w:tcBorders>
            <w:vAlign w:val="center"/>
          </w:tcPr>
          <w:p w:rsidR="00E64CF9" w:rsidRPr="0038703C" w:rsidP="00E64CF9" w14:paraId="74774F3E" w14:textId="63225052">
            <w:pPr>
              <w:jc w:val="right"/>
              <w:rPr>
                <w:color w:val="000000"/>
                <w:sz w:val="20"/>
                <w:szCs w:val="20"/>
              </w:rPr>
            </w:pPr>
            <w:r>
              <w:rPr>
                <w:color w:val="000000"/>
                <w:sz w:val="20"/>
                <w:szCs w:val="20"/>
              </w:rPr>
              <w:t>$3,144.00</w:t>
            </w:r>
          </w:p>
        </w:tc>
      </w:tr>
      <w:tr w14:paraId="50186799" w14:textId="77777777" w:rsidTr="00DA1DA6">
        <w:tblPrEx>
          <w:tblW w:w="9270" w:type="dxa"/>
          <w:tblInd w:w="-5" w:type="dxa"/>
          <w:tblLayout w:type="fixed"/>
          <w:tblLook w:val="04A0"/>
        </w:tblPrEx>
        <w:trPr>
          <w:trHeight w:val="449"/>
        </w:trPr>
        <w:tc>
          <w:tcPr>
            <w:tcW w:w="2790" w:type="dxa"/>
            <w:tcBorders>
              <w:top w:val="nil"/>
              <w:left w:val="single" w:sz="4" w:space="0" w:color="auto"/>
              <w:bottom w:val="single" w:sz="4" w:space="0" w:color="auto"/>
              <w:right w:val="single" w:sz="4" w:space="0" w:color="auto"/>
            </w:tcBorders>
            <w:vAlign w:val="center"/>
          </w:tcPr>
          <w:p w:rsidR="00E64CF9" w:rsidRPr="0038703C" w:rsidP="00E64CF9" w14:paraId="39346293" w14:textId="77777777">
            <w:pPr>
              <w:rPr>
                <w:b/>
                <w:bCs/>
                <w:i/>
                <w:iCs/>
                <w:color w:val="000000"/>
                <w:sz w:val="20"/>
              </w:rPr>
            </w:pPr>
            <w:r w:rsidRPr="0038703C">
              <w:rPr>
                <w:b/>
                <w:bCs/>
                <w:i/>
                <w:iCs/>
                <w:color w:val="000000"/>
                <w:sz w:val="20"/>
              </w:rPr>
              <w:t>Total (Rounded)</w:t>
            </w:r>
          </w:p>
        </w:tc>
        <w:tc>
          <w:tcPr>
            <w:tcW w:w="1170" w:type="dxa"/>
            <w:tcBorders>
              <w:top w:val="nil"/>
              <w:left w:val="nil"/>
              <w:bottom w:val="single" w:sz="4" w:space="0" w:color="auto"/>
              <w:right w:val="single" w:sz="4" w:space="0" w:color="auto"/>
            </w:tcBorders>
            <w:vAlign w:val="center"/>
          </w:tcPr>
          <w:p w:rsidR="00E64CF9" w:rsidRPr="0038703C" w:rsidP="00E64CF9" w14:paraId="29B66643" w14:textId="0A56CF35">
            <w:pPr>
              <w:jc w:val="right"/>
              <w:rPr>
                <w:b/>
                <w:bCs/>
                <w:i/>
                <w:iCs/>
                <w:color w:val="000000"/>
                <w:sz w:val="20"/>
              </w:rPr>
            </w:pPr>
            <w:r>
              <w:rPr>
                <w:b/>
                <w:bCs/>
                <w:color w:val="000000"/>
                <w:sz w:val="20"/>
                <w:szCs w:val="20"/>
              </w:rPr>
              <w:t>105</w:t>
            </w:r>
          </w:p>
        </w:tc>
        <w:tc>
          <w:tcPr>
            <w:tcW w:w="1620" w:type="dxa"/>
            <w:tcBorders>
              <w:top w:val="nil"/>
              <w:left w:val="nil"/>
              <w:bottom w:val="single" w:sz="4" w:space="0" w:color="auto"/>
              <w:right w:val="single" w:sz="4" w:space="0" w:color="auto"/>
            </w:tcBorders>
            <w:shd w:val="clear" w:color="000000" w:fill="000000"/>
            <w:vAlign w:val="center"/>
          </w:tcPr>
          <w:p w:rsidR="00E64CF9" w:rsidRPr="0038703C" w:rsidP="00E64CF9" w14:paraId="557DEF68" w14:textId="265B255C">
            <w:pPr>
              <w:jc w:val="right"/>
              <w:rPr>
                <w:b/>
                <w:bCs/>
                <w:i/>
                <w:iCs/>
                <w:color w:val="000000"/>
                <w:sz w:val="20"/>
              </w:rPr>
            </w:pPr>
            <w:r>
              <w:rPr>
                <w:b/>
                <w:bCs/>
                <w:color w:val="000000"/>
                <w:sz w:val="20"/>
                <w:szCs w:val="20"/>
              </w:rPr>
              <w:t> </w:t>
            </w:r>
          </w:p>
        </w:tc>
        <w:tc>
          <w:tcPr>
            <w:tcW w:w="1350" w:type="dxa"/>
            <w:tcBorders>
              <w:top w:val="nil"/>
              <w:left w:val="nil"/>
              <w:bottom w:val="single" w:sz="4" w:space="0" w:color="auto"/>
              <w:right w:val="single" w:sz="4" w:space="0" w:color="auto"/>
            </w:tcBorders>
            <w:vAlign w:val="center"/>
          </w:tcPr>
          <w:p w:rsidR="00E64CF9" w:rsidRPr="0038703C" w:rsidP="00E64CF9" w14:paraId="5B56452B" w14:textId="68561CD9">
            <w:pPr>
              <w:jc w:val="right"/>
              <w:rPr>
                <w:b/>
                <w:bCs/>
                <w:i/>
                <w:iCs/>
                <w:color w:val="000000"/>
                <w:sz w:val="20"/>
              </w:rPr>
            </w:pPr>
            <w:r>
              <w:rPr>
                <w:b/>
                <w:bCs/>
                <w:color w:val="000000"/>
                <w:sz w:val="20"/>
                <w:szCs w:val="20"/>
              </w:rPr>
              <w:t>53</w:t>
            </w:r>
          </w:p>
        </w:tc>
        <w:tc>
          <w:tcPr>
            <w:tcW w:w="1080" w:type="dxa"/>
            <w:tcBorders>
              <w:top w:val="nil"/>
              <w:left w:val="nil"/>
              <w:bottom w:val="single" w:sz="4" w:space="0" w:color="auto"/>
              <w:right w:val="single" w:sz="4" w:space="0" w:color="auto"/>
            </w:tcBorders>
            <w:shd w:val="clear" w:color="000000" w:fill="000000"/>
            <w:vAlign w:val="center"/>
          </w:tcPr>
          <w:p w:rsidR="00E64CF9" w:rsidRPr="0038703C" w:rsidP="00E64CF9" w14:paraId="17A85B0A" w14:textId="1E4A1BB2">
            <w:pPr>
              <w:jc w:val="right"/>
              <w:rPr>
                <w:b/>
                <w:bCs/>
                <w:i/>
                <w:iCs/>
                <w:color w:val="000000"/>
                <w:sz w:val="20"/>
              </w:rPr>
            </w:pPr>
            <w:r>
              <w:rPr>
                <w:b/>
                <w:bCs/>
                <w:color w:val="000000"/>
                <w:sz w:val="20"/>
                <w:szCs w:val="20"/>
              </w:rPr>
              <w:t> </w:t>
            </w:r>
          </w:p>
        </w:tc>
        <w:tc>
          <w:tcPr>
            <w:tcW w:w="1260" w:type="dxa"/>
            <w:tcBorders>
              <w:top w:val="nil"/>
              <w:left w:val="nil"/>
              <w:bottom w:val="single" w:sz="4" w:space="0" w:color="auto"/>
              <w:right w:val="single" w:sz="4" w:space="0" w:color="auto"/>
            </w:tcBorders>
            <w:vAlign w:val="center"/>
          </w:tcPr>
          <w:p w:rsidR="00E64CF9" w:rsidRPr="0038703C" w:rsidP="00E64CF9" w14:paraId="30B94EFF" w14:textId="7456A2E5">
            <w:pPr>
              <w:jc w:val="right"/>
              <w:rPr>
                <w:b/>
                <w:bCs/>
                <w:i/>
                <w:iCs/>
                <w:color w:val="000000"/>
                <w:sz w:val="20"/>
              </w:rPr>
            </w:pPr>
            <w:r>
              <w:rPr>
                <w:b/>
                <w:bCs/>
                <w:color w:val="000000"/>
                <w:sz w:val="20"/>
                <w:szCs w:val="20"/>
              </w:rPr>
              <w:t>$4,127</w:t>
            </w:r>
          </w:p>
        </w:tc>
      </w:tr>
    </w:tbl>
    <w:p w:rsidR="00DB2DFB" w:rsidRPr="005C6CA9" w:rsidP="004A22F3" w14:paraId="6096B359" w14:textId="77777777">
      <w:pPr>
        <w:tabs>
          <w:tab w:val="left" w:pos="2496"/>
        </w:tabs>
        <w:rPr>
          <w:b/>
          <w:bCs/>
          <w:color w:val="000000"/>
        </w:rPr>
      </w:pPr>
    </w:p>
    <w:p w:rsidR="00B0195C" w14:paraId="38E624E4" w14:textId="77777777">
      <w:pPr>
        <w:widowControl/>
        <w:autoSpaceDE/>
        <w:autoSpaceDN/>
        <w:adjustRightInd/>
        <w:spacing w:after="160" w:line="259" w:lineRule="auto"/>
        <w:rPr>
          <w:b/>
          <w:bCs/>
          <w:color w:val="000000"/>
        </w:rPr>
      </w:pPr>
      <w:r>
        <w:rPr>
          <w:b/>
          <w:bCs/>
          <w:color w:val="000000"/>
        </w:rPr>
        <w:br w:type="page"/>
      </w:r>
    </w:p>
    <w:p w:rsidR="008F7DDE" w:rsidRPr="005C6CA9" w:rsidP="004A22F3" w14:paraId="59DEF6F8" w14:textId="56CAB09C">
      <w:pPr>
        <w:rPr>
          <w:b/>
          <w:bCs/>
          <w:color w:val="000000"/>
        </w:rPr>
      </w:pPr>
      <w:r w:rsidRPr="005C6CA9">
        <w:rPr>
          <w:b/>
          <w:bCs/>
          <w:color w:val="000000"/>
        </w:rPr>
        <w:t>15. Explain the reasons for any program changes or adjustments on the burden worksheet.</w:t>
      </w:r>
    </w:p>
    <w:p w:rsidR="00D73216" w:rsidRPr="005C6CA9" w:rsidP="004A22F3" w14:paraId="606F6AFA" w14:textId="77777777">
      <w:pPr>
        <w:rPr>
          <w:b/>
          <w:bCs/>
          <w:color w:val="000000"/>
        </w:rPr>
      </w:pPr>
    </w:p>
    <w:p w:rsidR="008F7DDE" w:rsidRPr="00DF7B76" w:rsidP="004A22F3" w14:paraId="59B56D9F" w14:textId="118DACE1">
      <w:pPr>
        <w:widowControl/>
        <w:rPr>
          <w:iCs/>
          <w:color w:val="000000" w:themeColor="text1"/>
        </w:rPr>
      </w:pPr>
      <w:bookmarkStart w:id="50" w:name="_Hlk192769701"/>
      <w:r w:rsidRPr="00DF7B76">
        <w:rPr>
          <w:iCs/>
          <w:color w:val="000000" w:themeColor="text1"/>
          <w:u w:val="single"/>
        </w:rPr>
        <w:t>Number of Respondents</w:t>
      </w:r>
      <w:r w:rsidRPr="00DF7B76">
        <w:rPr>
          <w:iCs/>
          <w:color w:val="000000" w:themeColor="text1"/>
        </w:rPr>
        <w:t xml:space="preserve">: The </w:t>
      </w:r>
      <w:r w:rsidRPr="00DF7B76" w:rsidR="00EA6474">
        <w:rPr>
          <w:iCs/>
          <w:color w:val="000000" w:themeColor="text1"/>
        </w:rPr>
        <w:t xml:space="preserve">estimated </w:t>
      </w:r>
      <w:r w:rsidRPr="00DF7B76">
        <w:rPr>
          <w:iCs/>
          <w:color w:val="000000" w:themeColor="text1"/>
        </w:rPr>
        <w:t xml:space="preserve">number of respondents </w:t>
      </w:r>
      <w:r w:rsidRPr="00DF7B76" w:rsidR="00B6778E">
        <w:rPr>
          <w:iCs/>
          <w:color w:val="000000" w:themeColor="text1"/>
        </w:rPr>
        <w:t xml:space="preserve">increased </w:t>
      </w:r>
      <w:r w:rsidRPr="00DF7B76">
        <w:rPr>
          <w:iCs/>
          <w:color w:val="000000" w:themeColor="text1"/>
        </w:rPr>
        <w:t xml:space="preserve">from </w:t>
      </w:r>
      <w:r w:rsidRPr="00DF7B76" w:rsidR="00573D63">
        <w:rPr>
          <w:iCs/>
          <w:color w:val="000000" w:themeColor="text1"/>
        </w:rPr>
        <w:t>20</w:t>
      </w:r>
      <w:r w:rsidRPr="00DF7B76">
        <w:rPr>
          <w:iCs/>
          <w:color w:val="000000" w:themeColor="text1"/>
        </w:rPr>
        <w:t xml:space="preserve"> to </w:t>
      </w:r>
      <w:r w:rsidRPr="00DF7B76" w:rsidR="00573D63">
        <w:rPr>
          <w:iCs/>
          <w:color w:val="000000" w:themeColor="text1"/>
        </w:rPr>
        <w:t>2</w:t>
      </w:r>
      <w:r w:rsidR="004D1F03">
        <w:rPr>
          <w:iCs/>
          <w:color w:val="000000" w:themeColor="text1"/>
        </w:rPr>
        <w:t>4</w:t>
      </w:r>
      <w:r w:rsidRPr="00DF7B76">
        <w:rPr>
          <w:iCs/>
          <w:color w:val="000000" w:themeColor="text1"/>
        </w:rPr>
        <w:t xml:space="preserve"> due to </w:t>
      </w:r>
      <w:bookmarkStart w:id="51" w:name="_Hlk125973945"/>
      <w:r w:rsidRPr="00DF7B76" w:rsidR="00573D63">
        <w:rPr>
          <w:iCs/>
          <w:color w:val="000000" w:themeColor="text1"/>
        </w:rPr>
        <w:t xml:space="preserve">an increase in number of </w:t>
      </w:r>
      <w:r w:rsidR="004D1F03">
        <w:rPr>
          <w:iCs/>
          <w:color w:val="000000" w:themeColor="text1"/>
        </w:rPr>
        <w:t>underground coal mines</w:t>
      </w:r>
      <w:r w:rsidR="00756D0B">
        <w:rPr>
          <w:iCs/>
          <w:color w:val="000000" w:themeColor="text1"/>
        </w:rPr>
        <w:t xml:space="preserve"> with new or revised smoking prevention programs</w:t>
      </w:r>
      <w:r w:rsidRPr="00DF7B76" w:rsidR="00F5166A">
        <w:rPr>
          <w:iCs/>
          <w:color w:val="000000" w:themeColor="text1"/>
        </w:rPr>
        <w:t>.</w:t>
      </w:r>
    </w:p>
    <w:p w:rsidR="008F7DDE" w:rsidRPr="00DF7B76" w:rsidP="004A22F3" w14:paraId="203B4B53" w14:textId="77777777">
      <w:pPr>
        <w:widowControl/>
        <w:rPr>
          <w:iCs/>
          <w:color w:val="000000" w:themeColor="text1"/>
        </w:rPr>
      </w:pPr>
    </w:p>
    <w:p w:rsidR="008F7DDE" w:rsidRPr="00DF7B76" w:rsidP="004A22F3" w14:paraId="1DC56B79" w14:textId="72A808CB">
      <w:pPr>
        <w:widowControl/>
        <w:rPr>
          <w:iCs/>
          <w:color w:val="000000" w:themeColor="text1"/>
        </w:rPr>
      </w:pPr>
      <w:r w:rsidRPr="00DF7B76">
        <w:rPr>
          <w:iCs/>
          <w:color w:val="000000" w:themeColor="text1"/>
          <w:u w:val="single"/>
        </w:rPr>
        <w:t>Number of Responses</w:t>
      </w:r>
      <w:r w:rsidRPr="00DF7B76">
        <w:rPr>
          <w:iCs/>
          <w:color w:val="000000" w:themeColor="text1"/>
        </w:rPr>
        <w:t xml:space="preserve">: The </w:t>
      </w:r>
      <w:r w:rsidRPr="00DF7B76" w:rsidR="00EA6474">
        <w:rPr>
          <w:iCs/>
          <w:color w:val="000000" w:themeColor="text1"/>
        </w:rPr>
        <w:t xml:space="preserve">estimated </w:t>
      </w:r>
      <w:r w:rsidRPr="00DF7B76">
        <w:rPr>
          <w:iCs/>
          <w:color w:val="000000" w:themeColor="text1"/>
        </w:rPr>
        <w:t xml:space="preserve">number of responses </w:t>
      </w:r>
      <w:r w:rsidRPr="00DF7B76" w:rsidR="00B6778E">
        <w:rPr>
          <w:iCs/>
          <w:color w:val="000000" w:themeColor="text1"/>
        </w:rPr>
        <w:t xml:space="preserve">increased </w:t>
      </w:r>
      <w:r w:rsidRPr="00DF7B76">
        <w:rPr>
          <w:iCs/>
          <w:color w:val="000000" w:themeColor="text1"/>
        </w:rPr>
        <w:t xml:space="preserve">from </w:t>
      </w:r>
      <w:r w:rsidRPr="00DF7B76" w:rsidR="00AF77B3">
        <w:rPr>
          <w:iCs/>
          <w:color w:val="000000" w:themeColor="text1"/>
        </w:rPr>
        <w:t>20</w:t>
      </w:r>
      <w:r w:rsidRPr="00DF7B76">
        <w:rPr>
          <w:iCs/>
          <w:color w:val="000000" w:themeColor="text1"/>
        </w:rPr>
        <w:t xml:space="preserve"> to </w:t>
      </w:r>
      <w:r w:rsidRPr="00DF7B76" w:rsidR="00AF77B3">
        <w:rPr>
          <w:iCs/>
          <w:color w:val="000000" w:themeColor="text1"/>
        </w:rPr>
        <w:t>25</w:t>
      </w:r>
      <w:r w:rsidRPr="00DF7B76">
        <w:rPr>
          <w:iCs/>
          <w:color w:val="000000" w:themeColor="text1"/>
        </w:rPr>
        <w:t xml:space="preserve"> due to </w:t>
      </w:r>
      <w:r w:rsidRPr="00DF7B76" w:rsidR="00AF77B3">
        <w:rPr>
          <w:iCs/>
          <w:color w:val="000000" w:themeColor="text1"/>
        </w:rPr>
        <w:t xml:space="preserve">an </w:t>
      </w:r>
      <w:r w:rsidRPr="00DF7B76" w:rsidR="00B6778E">
        <w:rPr>
          <w:iCs/>
          <w:color w:val="000000" w:themeColor="text1"/>
        </w:rPr>
        <w:t xml:space="preserve">increase </w:t>
      </w:r>
      <w:r w:rsidRPr="00DF7B76">
        <w:rPr>
          <w:iCs/>
          <w:color w:val="000000" w:themeColor="text1"/>
        </w:rPr>
        <w:t>in the number of respondents.</w:t>
      </w:r>
    </w:p>
    <w:p w:rsidR="008F7DDE" w:rsidRPr="00DF7B76" w:rsidP="004A22F3" w14:paraId="39B8BCE6" w14:textId="77777777">
      <w:pPr>
        <w:widowControl/>
        <w:rPr>
          <w:iCs/>
          <w:color w:val="000000" w:themeColor="text1"/>
        </w:rPr>
      </w:pPr>
    </w:p>
    <w:p w:rsidR="008F7DDE" w:rsidRPr="00DF7B76" w:rsidP="004A22F3" w14:paraId="7F33A961" w14:textId="55338133">
      <w:pPr>
        <w:widowControl/>
        <w:rPr>
          <w:iCs/>
          <w:color w:val="000000" w:themeColor="text1"/>
        </w:rPr>
      </w:pPr>
      <w:r w:rsidRPr="00DF7B76">
        <w:rPr>
          <w:iCs/>
          <w:color w:val="000000" w:themeColor="text1"/>
          <w:u w:val="single"/>
        </w:rPr>
        <w:t xml:space="preserve">Annual </w:t>
      </w:r>
      <w:r w:rsidRPr="00DF7B76" w:rsidR="00EA6474">
        <w:rPr>
          <w:iCs/>
          <w:color w:val="000000" w:themeColor="text1"/>
          <w:u w:val="single"/>
        </w:rPr>
        <w:t xml:space="preserve">Time </w:t>
      </w:r>
      <w:r w:rsidRPr="00DF7B76">
        <w:rPr>
          <w:iCs/>
          <w:color w:val="000000" w:themeColor="text1"/>
          <w:u w:val="single"/>
        </w:rPr>
        <w:t>Burden</w:t>
      </w:r>
      <w:r w:rsidRPr="00DF7B76">
        <w:rPr>
          <w:iCs/>
          <w:color w:val="000000" w:themeColor="text1"/>
        </w:rPr>
        <w:t xml:space="preserve">: The </w:t>
      </w:r>
      <w:r w:rsidRPr="00DF7B76" w:rsidR="00EA6474">
        <w:rPr>
          <w:iCs/>
          <w:color w:val="000000" w:themeColor="text1"/>
        </w:rPr>
        <w:t>estimated annual time</w:t>
      </w:r>
      <w:r w:rsidRPr="00DF7B76">
        <w:rPr>
          <w:iCs/>
          <w:color w:val="000000" w:themeColor="text1"/>
        </w:rPr>
        <w:t xml:space="preserve"> burden </w:t>
      </w:r>
      <w:r w:rsidRPr="00DF7B76" w:rsidR="00B6778E">
        <w:rPr>
          <w:iCs/>
          <w:color w:val="000000" w:themeColor="text1"/>
        </w:rPr>
        <w:t xml:space="preserve">increased </w:t>
      </w:r>
      <w:r w:rsidRPr="00DF7B76">
        <w:rPr>
          <w:iCs/>
          <w:color w:val="000000" w:themeColor="text1"/>
        </w:rPr>
        <w:t xml:space="preserve">from </w:t>
      </w:r>
      <w:r w:rsidRPr="00DF7B76" w:rsidR="00AF77B3">
        <w:rPr>
          <w:iCs/>
          <w:color w:val="000000" w:themeColor="text1"/>
        </w:rPr>
        <w:t xml:space="preserve">10 </w:t>
      </w:r>
      <w:r w:rsidRPr="00DF7B76" w:rsidR="00EA6474">
        <w:rPr>
          <w:iCs/>
          <w:color w:val="000000" w:themeColor="text1"/>
        </w:rPr>
        <w:t xml:space="preserve">hours </w:t>
      </w:r>
      <w:r w:rsidRPr="00DF7B76">
        <w:rPr>
          <w:iCs/>
          <w:color w:val="000000" w:themeColor="text1"/>
        </w:rPr>
        <w:t xml:space="preserve">to </w:t>
      </w:r>
      <w:r w:rsidRPr="00DF7B76" w:rsidR="00AF77B3">
        <w:rPr>
          <w:iCs/>
          <w:color w:val="000000" w:themeColor="text1"/>
        </w:rPr>
        <w:t xml:space="preserve">13 </w:t>
      </w:r>
      <w:r w:rsidRPr="00DF7B76" w:rsidR="00EA6474">
        <w:rPr>
          <w:iCs/>
          <w:color w:val="000000" w:themeColor="text1"/>
        </w:rPr>
        <w:t>hours</w:t>
      </w:r>
      <w:r w:rsidRPr="00DF7B76">
        <w:rPr>
          <w:iCs/>
          <w:color w:val="000000" w:themeColor="text1"/>
        </w:rPr>
        <w:t xml:space="preserve"> due to </w:t>
      </w:r>
      <w:r w:rsidRPr="00DF7B76" w:rsidR="00AF77B3">
        <w:rPr>
          <w:iCs/>
          <w:color w:val="000000" w:themeColor="text1"/>
        </w:rPr>
        <w:t xml:space="preserve">an increase in the number of responses. </w:t>
      </w:r>
    </w:p>
    <w:p w:rsidR="00BC2270" w:rsidP="004A22F3" w14:paraId="79C246EA" w14:textId="77777777">
      <w:pPr>
        <w:widowControl/>
        <w:rPr>
          <w:color w:val="000000" w:themeColor="text1"/>
          <w:u w:val="single"/>
        </w:rPr>
      </w:pPr>
      <w:bookmarkStart w:id="52" w:name="_Hlk161303117"/>
    </w:p>
    <w:p w:rsidR="008F7DDE" w:rsidRPr="00DF7B76" w:rsidP="004A22F3" w14:paraId="23EBE0D5" w14:textId="14F2F7D1">
      <w:pPr>
        <w:widowControl/>
        <w:rPr>
          <w:iCs/>
          <w:color w:val="000000" w:themeColor="text1"/>
        </w:rPr>
      </w:pPr>
      <w:bookmarkStart w:id="53" w:name="_Hlk161302820"/>
      <w:bookmarkEnd w:id="52"/>
      <w:r w:rsidRPr="007860AA">
        <w:rPr>
          <w:iCs/>
          <w:color w:val="000000" w:themeColor="text1"/>
          <w:u w:val="single"/>
        </w:rPr>
        <w:t>Annual Recordkeeping Costs</w:t>
      </w:r>
      <w:bookmarkEnd w:id="53"/>
      <w:r w:rsidRPr="00DF7B76" w:rsidR="00A35862">
        <w:rPr>
          <w:iCs/>
          <w:color w:val="000000" w:themeColor="text1"/>
        </w:rPr>
        <w:t xml:space="preserve">: The estimated annual </w:t>
      </w:r>
      <w:r w:rsidRPr="00DF7B76" w:rsidR="00EA6474">
        <w:rPr>
          <w:iCs/>
          <w:color w:val="000000" w:themeColor="text1"/>
        </w:rPr>
        <w:t xml:space="preserve">burden </w:t>
      </w:r>
      <w:r w:rsidRPr="00DF7B76" w:rsidR="00A35862">
        <w:rPr>
          <w:iCs/>
          <w:color w:val="000000" w:themeColor="text1"/>
        </w:rPr>
        <w:t xml:space="preserve">cost </w:t>
      </w:r>
      <w:r w:rsidR="00D70522">
        <w:rPr>
          <w:iCs/>
          <w:color w:val="000000" w:themeColor="text1"/>
        </w:rPr>
        <w:t xml:space="preserve">to respondents or recordkeepers </w:t>
      </w:r>
      <w:r w:rsidRPr="00DF7B76" w:rsidR="006E6E0F">
        <w:rPr>
          <w:iCs/>
          <w:color w:val="000000" w:themeColor="text1"/>
        </w:rPr>
        <w:t>remains unchanged at $</w:t>
      </w:r>
      <w:r w:rsidRPr="00DF7B76" w:rsidR="002C7ED5">
        <w:rPr>
          <w:iCs/>
          <w:color w:val="000000" w:themeColor="text1"/>
        </w:rPr>
        <w:t>0</w:t>
      </w:r>
      <w:r w:rsidR="00F5166A">
        <w:rPr>
          <w:iCs/>
          <w:color w:val="000000" w:themeColor="text1"/>
        </w:rPr>
        <w:t>.</w:t>
      </w:r>
    </w:p>
    <w:p w:rsidR="00D73216" w:rsidRPr="005C6CA9" w:rsidP="004A22F3" w14:paraId="645CF9C7" w14:textId="77777777">
      <w:bookmarkStart w:id="54" w:name="_Hlk172027419"/>
      <w:bookmarkEnd w:id="0"/>
    </w:p>
    <w:bookmarkEnd w:id="54"/>
    <w:p w:rsidR="00EA6474" w:rsidRPr="005C6CA9" w:rsidP="004A22F3" w14:paraId="00732E73" w14:textId="37F17BB3">
      <w:pPr>
        <w:rPr>
          <w:b/>
          <w:bCs/>
          <w:szCs w:val="22"/>
        </w:rPr>
      </w:pPr>
      <w:r w:rsidRPr="005C6CA9">
        <w:rPr>
          <w:b/>
          <w:bCs/>
        </w:rPr>
        <w:t xml:space="preserve">Table 15-1. Summary of Changes </w:t>
      </w:r>
    </w:p>
    <w:tbl>
      <w:tblPr>
        <w:tblStyle w:val="TableGrid"/>
        <w:tblW w:w="8447" w:type="dxa"/>
        <w:tblLook w:val="04A0"/>
      </w:tblPr>
      <w:tblGrid>
        <w:gridCol w:w="3505"/>
        <w:gridCol w:w="1816"/>
        <w:gridCol w:w="1694"/>
        <w:gridCol w:w="1432"/>
      </w:tblGrid>
      <w:tr w14:paraId="32319052" w14:textId="77777777" w:rsidTr="00E57216">
        <w:tblPrEx>
          <w:tblW w:w="8447" w:type="dxa"/>
          <w:tblLook w:val="04A0"/>
        </w:tblPrEx>
        <w:trPr>
          <w:trHeight w:val="306"/>
        </w:trPr>
        <w:tc>
          <w:tcPr>
            <w:tcW w:w="3505" w:type="dxa"/>
            <w:shd w:val="clear" w:color="auto" w:fill="8EAADB" w:themeFill="accent1" w:themeFillTint="99"/>
            <w:noWrap/>
            <w:hideMark/>
          </w:tcPr>
          <w:p w:rsidR="009B782E" w:rsidRPr="005C6CA9" w:rsidP="004A22F3" w14:paraId="512D63FD" w14:textId="77777777">
            <w:pPr>
              <w:pStyle w:val="Default"/>
              <w:rPr>
                <w:rFonts w:ascii="Times New Roman" w:hAnsi="Times New Roman" w:cs="Times New Roman"/>
                <w:sz w:val="20"/>
                <w:szCs w:val="20"/>
              </w:rPr>
            </w:pPr>
          </w:p>
        </w:tc>
        <w:tc>
          <w:tcPr>
            <w:tcW w:w="1816" w:type="dxa"/>
            <w:shd w:val="clear" w:color="auto" w:fill="8EAADB" w:themeFill="accent1" w:themeFillTint="99"/>
            <w:noWrap/>
            <w:hideMark/>
          </w:tcPr>
          <w:p w:rsidR="009B782E" w:rsidRPr="005C6CA9" w:rsidP="004A22F3" w14:paraId="5561B474" w14:textId="0216570E">
            <w:pPr>
              <w:pStyle w:val="Default"/>
              <w:jc w:val="center"/>
              <w:rPr>
                <w:rFonts w:ascii="Times New Roman" w:hAnsi="Times New Roman" w:cs="Times New Roman"/>
                <w:sz w:val="20"/>
                <w:szCs w:val="20"/>
              </w:rPr>
            </w:pPr>
            <w:r w:rsidRPr="005C6CA9">
              <w:rPr>
                <w:rFonts w:ascii="Times New Roman" w:hAnsi="Times New Roman" w:cs="Times New Roman"/>
                <w:sz w:val="20"/>
                <w:szCs w:val="20"/>
              </w:rPr>
              <w:t>Currently Approved ICR</w:t>
            </w:r>
          </w:p>
        </w:tc>
        <w:tc>
          <w:tcPr>
            <w:tcW w:w="1694" w:type="dxa"/>
            <w:shd w:val="clear" w:color="auto" w:fill="8EAADB" w:themeFill="accent1" w:themeFillTint="99"/>
            <w:vAlign w:val="bottom"/>
          </w:tcPr>
          <w:p w:rsidR="009B782E" w:rsidRPr="005C6CA9" w:rsidP="00E57216" w14:paraId="2054B44A" w14:textId="1C9BAA5F">
            <w:pPr>
              <w:pStyle w:val="Default"/>
              <w:jc w:val="center"/>
              <w:rPr>
                <w:rFonts w:ascii="Times New Roman" w:hAnsi="Times New Roman" w:cs="Times New Roman"/>
                <w:sz w:val="20"/>
                <w:szCs w:val="20"/>
              </w:rPr>
            </w:pPr>
            <w:r w:rsidRPr="005C6CA9">
              <w:rPr>
                <w:rFonts w:ascii="Times New Roman" w:hAnsi="Times New Roman" w:cs="Times New Roman"/>
                <w:sz w:val="20"/>
                <w:szCs w:val="20"/>
              </w:rPr>
              <w:t>Updated ICR</w:t>
            </w:r>
          </w:p>
        </w:tc>
        <w:tc>
          <w:tcPr>
            <w:tcW w:w="1432" w:type="dxa"/>
            <w:shd w:val="clear" w:color="auto" w:fill="8EAADB" w:themeFill="accent1" w:themeFillTint="99"/>
            <w:noWrap/>
            <w:vAlign w:val="bottom"/>
            <w:hideMark/>
          </w:tcPr>
          <w:p w:rsidR="009B782E" w:rsidRPr="005C6CA9" w:rsidP="00E57216" w14:paraId="6C952ECE" w14:textId="20B83079">
            <w:pPr>
              <w:pStyle w:val="Default"/>
              <w:jc w:val="center"/>
              <w:rPr>
                <w:rFonts w:ascii="Times New Roman" w:hAnsi="Times New Roman" w:cs="Times New Roman"/>
                <w:sz w:val="20"/>
                <w:szCs w:val="20"/>
              </w:rPr>
            </w:pPr>
            <w:r w:rsidRPr="005C6CA9">
              <w:rPr>
                <w:rFonts w:ascii="Times New Roman" w:hAnsi="Times New Roman" w:cs="Times New Roman"/>
                <w:sz w:val="20"/>
                <w:szCs w:val="20"/>
              </w:rPr>
              <w:t>Difference</w:t>
            </w:r>
          </w:p>
        </w:tc>
      </w:tr>
      <w:tr w14:paraId="4457D028" w14:textId="77777777" w:rsidTr="007628FE">
        <w:tblPrEx>
          <w:tblW w:w="8447" w:type="dxa"/>
          <w:tblLook w:val="04A0"/>
        </w:tblPrEx>
        <w:trPr>
          <w:trHeight w:val="322"/>
        </w:trPr>
        <w:tc>
          <w:tcPr>
            <w:tcW w:w="3505" w:type="dxa"/>
            <w:noWrap/>
            <w:vAlign w:val="center"/>
            <w:hideMark/>
          </w:tcPr>
          <w:p w:rsidR="002C7ED5" w:rsidRPr="005C6CA9" w:rsidP="002C7ED5" w14:paraId="327A5A74" w14:textId="77777777">
            <w:pPr>
              <w:pStyle w:val="Default"/>
              <w:rPr>
                <w:rFonts w:ascii="Times New Roman" w:hAnsi="Times New Roman" w:cs="Times New Roman"/>
                <w:sz w:val="20"/>
                <w:szCs w:val="20"/>
              </w:rPr>
            </w:pPr>
            <w:r w:rsidRPr="005C6CA9">
              <w:rPr>
                <w:rFonts w:ascii="Times New Roman" w:hAnsi="Times New Roman" w:cs="Times New Roman"/>
                <w:sz w:val="20"/>
                <w:szCs w:val="20"/>
              </w:rPr>
              <w:t>Number of Respondents</w:t>
            </w:r>
          </w:p>
        </w:tc>
        <w:tc>
          <w:tcPr>
            <w:tcW w:w="1816" w:type="dxa"/>
            <w:noWrap/>
            <w:vAlign w:val="center"/>
          </w:tcPr>
          <w:p w:rsidR="002C7ED5" w:rsidRPr="002C7ED5" w:rsidP="002C7ED5" w14:paraId="1AECE49E" w14:textId="18252BB7">
            <w:pPr>
              <w:pStyle w:val="Default"/>
              <w:jc w:val="right"/>
              <w:rPr>
                <w:rFonts w:ascii="Times New Roman" w:hAnsi="Times New Roman" w:cs="Times New Roman"/>
                <w:sz w:val="20"/>
                <w:szCs w:val="20"/>
              </w:rPr>
            </w:pPr>
            <w:r w:rsidRPr="00DF7B76">
              <w:rPr>
                <w:rFonts w:ascii="Times New Roman" w:hAnsi="Times New Roman" w:cs="Times New Roman"/>
                <w:sz w:val="20"/>
                <w:szCs w:val="20"/>
              </w:rPr>
              <w:t>20</w:t>
            </w:r>
          </w:p>
        </w:tc>
        <w:tc>
          <w:tcPr>
            <w:tcW w:w="1694" w:type="dxa"/>
            <w:vAlign w:val="center"/>
          </w:tcPr>
          <w:p w:rsidR="002C7ED5" w:rsidRPr="002C7ED5" w:rsidP="002C7ED5" w14:paraId="0D0B3806" w14:textId="743C06CF">
            <w:pPr>
              <w:pStyle w:val="Default"/>
              <w:jc w:val="right"/>
              <w:rPr>
                <w:rFonts w:ascii="Times New Roman" w:hAnsi="Times New Roman" w:cs="Times New Roman"/>
                <w:sz w:val="20"/>
                <w:szCs w:val="20"/>
              </w:rPr>
            </w:pPr>
            <w:r w:rsidRPr="00DF7B76">
              <w:rPr>
                <w:rFonts w:ascii="Times New Roman" w:hAnsi="Times New Roman" w:cs="Times New Roman"/>
                <w:sz w:val="20"/>
                <w:szCs w:val="20"/>
              </w:rPr>
              <w:t>2</w:t>
            </w:r>
            <w:r w:rsidR="00DF7B76">
              <w:rPr>
                <w:rFonts w:ascii="Times New Roman" w:hAnsi="Times New Roman" w:cs="Times New Roman"/>
                <w:sz w:val="20"/>
                <w:szCs w:val="20"/>
              </w:rPr>
              <w:t>4</w:t>
            </w:r>
          </w:p>
        </w:tc>
        <w:tc>
          <w:tcPr>
            <w:tcW w:w="1432" w:type="dxa"/>
            <w:noWrap/>
            <w:vAlign w:val="center"/>
          </w:tcPr>
          <w:p w:rsidR="002C7ED5" w:rsidRPr="002C7ED5" w:rsidP="002C7ED5" w14:paraId="0271019F" w14:textId="3DDE2684">
            <w:pPr>
              <w:pStyle w:val="Default"/>
              <w:jc w:val="right"/>
              <w:rPr>
                <w:rFonts w:ascii="Times New Roman" w:hAnsi="Times New Roman" w:cs="Times New Roman"/>
                <w:sz w:val="20"/>
                <w:szCs w:val="20"/>
              </w:rPr>
            </w:pPr>
            <w:r>
              <w:rPr>
                <w:rFonts w:ascii="Times New Roman" w:hAnsi="Times New Roman" w:cs="Times New Roman"/>
                <w:sz w:val="20"/>
                <w:szCs w:val="20"/>
              </w:rPr>
              <w:t>4</w:t>
            </w:r>
          </w:p>
        </w:tc>
      </w:tr>
      <w:tr w14:paraId="764610AB" w14:textId="77777777" w:rsidTr="007628FE">
        <w:tblPrEx>
          <w:tblW w:w="8447" w:type="dxa"/>
          <w:tblLook w:val="04A0"/>
        </w:tblPrEx>
        <w:trPr>
          <w:trHeight w:val="322"/>
        </w:trPr>
        <w:tc>
          <w:tcPr>
            <w:tcW w:w="3505" w:type="dxa"/>
            <w:noWrap/>
            <w:vAlign w:val="center"/>
            <w:hideMark/>
          </w:tcPr>
          <w:p w:rsidR="002C7ED5" w:rsidRPr="005C6CA9" w:rsidP="002C7ED5" w14:paraId="77D96C7E" w14:textId="77777777">
            <w:pPr>
              <w:pStyle w:val="Default"/>
              <w:rPr>
                <w:rFonts w:ascii="Times New Roman" w:hAnsi="Times New Roman" w:cs="Times New Roman"/>
                <w:sz w:val="20"/>
                <w:szCs w:val="20"/>
              </w:rPr>
            </w:pPr>
            <w:r w:rsidRPr="005C6CA9">
              <w:rPr>
                <w:rFonts w:ascii="Times New Roman" w:hAnsi="Times New Roman" w:cs="Times New Roman"/>
                <w:sz w:val="20"/>
                <w:szCs w:val="20"/>
              </w:rPr>
              <w:t>Number of Responses</w:t>
            </w:r>
          </w:p>
        </w:tc>
        <w:tc>
          <w:tcPr>
            <w:tcW w:w="1816" w:type="dxa"/>
            <w:noWrap/>
            <w:vAlign w:val="center"/>
          </w:tcPr>
          <w:p w:rsidR="002C7ED5" w:rsidRPr="002C7ED5" w:rsidP="002C7ED5" w14:paraId="6B240612" w14:textId="3ABC4E4C">
            <w:pPr>
              <w:pStyle w:val="Default"/>
              <w:jc w:val="right"/>
              <w:rPr>
                <w:rFonts w:ascii="Times New Roman" w:hAnsi="Times New Roman" w:cs="Times New Roman"/>
                <w:sz w:val="20"/>
                <w:szCs w:val="20"/>
              </w:rPr>
            </w:pPr>
            <w:r w:rsidRPr="00DF7B76">
              <w:rPr>
                <w:rFonts w:ascii="Times New Roman" w:hAnsi="Times New Roman" w:cs="Times New Roman"/>
                <w:sz w:val="20"/>
                <w:szCs w:val="20"/>
              </w:rPr>
              <w:t>20</w:t>
            </w:r>
          </w:p>
        </w:tc>
        <w:tc>
          <w:tcPr>
            <w:tcW w:w="1694" w:type="dxa"/>
            <w:vAlign w:val="center"/>
          </w:tcPr>
          <w:p w:rsidR="002C7ED5" w:rsidRPr="002C7ED5" w:rsidP="002C7ED5" w14:paraId="6009DABF" w14:textId="65148BBB">
            <w:pPr>
              <w:pStyle w:val="Default"/>
              <w:jc w:val="right"/>
              <w:rPr>
                <w:rFonts w:ascii="Times New Roman" w:hAnsi="Times New Roman" w:cs="Times New Roman"/>
                <w:sz w:val="20"/>
                <w:szCs w:val="20"/>
              </w:rPr>
            </w:pPr>
            <w:r w:rsidRPr="00DF7B76">
              <w:rPr>
                <w:rFonts w:ascii="Times New Roman" w:hAnsi="Times New Roman" w:cs="Times New Roman"/>
                <w:sz w:val="20"/>
                <w:szCs w:val="20"/>
              </w:rPr>
              <w:t>25</w:t>
            </w:r>
          </w:p>
        </w:tc>
        <w:tc>
          <w:tcPr>
            <w:tcW w:w="1432" w:type="dxa"/>
            <w:noWrap/>
            <w:vAlign w:val="center"/>
          </w:tcPr>
          <w:p w:rsidR="002C7ED5" w:rsidRPr="002C7ED5" w:rsidP="002C7ED5" w14:paraId="7519B51D" w14:textId="604161C5">
            <w:pPr>
              <w:pStyle w:val="Default"/>
              <w:jc w:val="right"/>
              <w:rPr>
                <w:rFonts w:ascii="Times New Roman" w:hAnsi="Times New Roman" w:cs="Times New Roman"/>
                <w:sz w:val="20"/>
                <w:szCs w:val="20"/>
              </w:rPr>
            </w:pPr>
            <w:r w:rsidRPr="00DF7B76">
              <w:rPr>
                <w:rFonts w:ascii="Times New Roman" w:hAnsi="Times New Roman" w:cs="Times New Roman"/>
                <w:sz w:val="20"/>
                <w:szCs w:val="20"/>
              </w:rPr>
              <w:t>5</w:t>
            </w:r>
          </w:p>
        </w:tc>
      </w:tr>
      <w:tr w14:paraId="191D5E22" w14:textId="77777777" w:rsidTr="007628FE">
        <w:tblPrEx>
          <w:tblW w:w="8447" w:type="dxa"/>
          <w:tblLook w:val="04A0"/>
        </w:tblPrEx>
        <w:trPr>
          <w:trHeight w:val="322"/>
        </w:trPr>
        <w:tc>
          <w:tcPr>
            <w:tcW w:w="3505" w:type="dxa"/>
            <w:noWrap/>
            <w:vAlign w:val="center"/>
            <w:hideMark/>
          </w:tcPr>
          <w:p w:rsidR="002C7ED5" w:rsidRPr="005C6CA9" w:rsidP="002C7ED5" w14:paraId="78FA6921" w14:textId="77777777">
            <w:pPr>
              <w:pStyle w:val="Default"/>
              <w:rPr>
                <w:rFonts w:ascii="Times New Roman" w:hAnsi="Times New Roman" w:cs="Times New Roman"/>
                <w:sz w:val="20"/>
                <w:szCs w:val="20"/>
              </w:rPr>
            </w:pPr>
            <w:r w:rsidRPr="005C6CA9">
              <w:rPr>
                <w:rFonts w:ascii="Times New Roman" w:hAnsi="Times New Roman" w:cs="Times New Roman"/>
                <w:sz w:val="20"/>
                <w:szCs w:val="20"/>
              </w:rPr>
              <w:t>Annual Time Burden</w:t>
            </w:r>
          </w:p>
        </w:tc>
        <w:tc>
          <w:tcPr>
            <w:tcW w:w="1816" w:type="dxa"/>
            <w:noWrap/>
            <w:vAlign w:val="center"/>
          </w:tcPr>
          <w:p w:rsidR="002C7ED5" w:rsidRPr="002C7ED5" w:rsidP="002C7ED5" w14:paraId="399FFE51" w14:textId="47509E6E">
            <w:pPr>
              <w:pStyle w:val="Default"/>
              <w:jc w:val="right"/>
              <w:rPr>
                <w:rFonts w:ascii="Times New Roman" w:hAnsi="Times New Roman" w:cs="Times New Roman"/>
                <w:sz w:val="20"/>
                <w:szCs w:val="20"/>
              </w:rPr>
            </w:pPr>
            <w:r w:rsidRPr="00DF7B76">
              <w:rPr>
                <w:rFonts w:ascii="Times New Roman" w:hAnsi="Times New Roman" w:cs="Times New Roman"/>
                <w:sz w:val="20"/>
                <w:szCs w:val="20"/>
              </w:rPr>
              <w:t>10</w:t>
            </w:r>
          </w:p>
        </w:tc>
        <w:tc>
          <w:tcPr>
            <w:tcW w:w="1694" w:type="dxa"/>
            <w:vAlign w:val="center"/>
          </w:tcPr>
          <w:p w:rsidR="002C7ED5" w:rsidRPr="002C7ED5" w:rsidP="002C7ED5" w14:paraId="49EC2F7C" w14:textId="7ADAAFF5">
            <w:pPr>
              <w:pStyle w:val="Default"/>
              <w:jc w:val="right"/>
              <w:rPr>
                <w:rFonts w:ascii="Times New Roman" w:hAnsi="Times New Roman" w:cs="Times New Roman"/>
                <w:sz w:val="20"/>
                <w:szCs w:val="20"/>
              </w:rPr>
            </w:pPr>
            <w:r w:rsidRPr="00DF7B76">
              <w:rPr>
                <w:rFonts w:ascii="Times New Roman" w:hAnsi="Times New Roman" w:cs="Times New Roman"/>
                <w:sz w:val="20"/>
                <w:szCs w:val="20"/>
              </w:rPr>
              <w:t>13</w:t>
            </w:r>
          </w:p>
        </w:tc>
        <w:tc>
          <w:tcPr>
            <w:tcW w:w="1432" w:type="dxa"/>
            <w:noWrap/>
            <w:vAlign w:val="center"/>
          </w:tcPr>
          <w:p w:rsidR="002C7ED5" w:rsidRPr="002C7ED5" w:rsidP="002C7ED5" w14:paraId="04E67B85" w14:textId="329D4D94">
            <w:pPr>
              <w:pStyle w:val="Default"/>
              <w:jc w:val="right"/>
              <w:rPr>
                <w:rFonts w:ascii="Times New Roman" w:hAnsi="Times New Roman" w:cs="Times New Roman"/>
                <w:sz w:val="20"/>
                <w:szCs w:val="20"/>
              </w:rPr>
            </w:pPr>
            <w:r w:rsidRPr="00DF7B76">
              <w:rPr>
                <w:rFonts w:ascii="Times New Roman" w:hAnsi="Times New Roman" w:cs="Times New Roman"/>
                <w:sz w:val="20"/>
                <w:szCs w:val="20"/>
              </w:rPr>
              <w:t>3</w:t>
            </w:r>
          </w:p>
        </w:tc>
      </w:tr>
      <w:tr w14:paraId="57E25265" w14:textId="59EAF857" w:rsidTr="007628FE">
        <w:tblPrEx>
          <w:tblW w:w="8447" w:type="dxa"/>
          <w:tblLook w:val="04A0"/>
        </w:tblPrEx>
        <w:trPr>
          <w:trHeight w:val="322"/>
        </w:trPr>
        <w:tc>
          <w:tcPr>
            <w:tcW w:w="3505" w:type="dxa"/>
            <w:noWrap/>
            <w:vAlign w:val="center"/>
            <w:hideMark/>
          </w:tcPr>
          <w:p w:rsidR="002C7ED5" w:rsidRPr="005C6CA9" w:rsidP="002C7ED5" w14:paraId="43397790" w14:textId="6128AAB9">
            <w:pPr>
              <w:pStyle w:val="Default"/>
              <w:rPr>
                <w:rFonts w:ascii="Times New Roman" w:hAnsi="Times New Roman" w:cs="Times New Roman"/>
                <w:sz w:val="20"/>
                <w:szCs w:val="20"/>
              </w:rPr>
            </w:pPr>
            <w:r w:rsidRPr="007860AA">
              <w:rPr>
                <w:rFonts w:ascii="Times New Roman" w:hAnsi="Times New Roman" w:cs="Times New Roman"/>
                <w:sz w:val="20"/>
                <w:szCs w:val="20"/>
              </w:rPr>
              <w:t>Annual Recordkeeping Costs</w:t>
            </w:r>
          </w:p>
        </w:tc>
        <w:tc>
          <w:tcPr>
            <w:tcW w:w="1816" w:type="dxa"/>
            <w:noWrap/>
            <w:vAlign w:val="center"/>
            <w:hideMark/>
          </w:tcPr>
          <w:p w:rsidR="002C7ED5" w:rsidRPr="002C7ED5" w:rsidP="002C7ED5" w14:paraId="0EACAF73" w14:textId="445950E3">
            <w:pPr>
              <w:pStyle w:val="Default"/>
              <w:jc w:val="right"/>
              <w:rPr>
                <w:rFonts w:ascii="Times New Roman" w:hAnsi="Times New Roman" w:cs="Times New Roman"/>
                <w:sz w:val="20"/>
                <w:szCs w:val="20"/>
              </w:rPr>
            </w:pPr>
            <w:r w:rsidRPr="00DF7B76">
              <w:rPr>
                <w:rFonts w:ascii="Times New Roman" w:hAnsi="Times New Roman" w:cs="Times New Roman"/>
                <w:sz w:val="20"/>
                <w:szCs w:val="20"/>
              </w:rPr>
              <w:t>$0</w:t>
            </w:r>
          </w:p>
        </w:tc>
        <w:tc>
          <w:tcPr>
            <w:tcW w:w="1694" w:type="dxa"/>
            <w:vAlign w:val="center"/>
          </w:tcPr>
          <w:p w:rsidR="002C7ED5" w:rsidRPr="002C7ED5" w:rsidP="002C7ED5" w14:paraId="11D383FB" w14:textId="37859790">
            <w:pPr>
              <w:pStyle w:val="Default"/>
              <w:jc w:val="right"/>
              <w:rPr>
                <w:rFonts w:ascii="Times New Roman" w:hAnsi="Times New Roman" w:cs="Times New Roman"/>
                <w:sz w:val="20"/>
                <w:szCs w:val="20"/>
              </w:rPr>
            </w:pPr>
            <w:r w:rsidRPr="00DF7B76">
              <w:rPr>
                <w:rFonts w:ascii="Times New Roman" w:hAnsi="Times New Roman" w:cs="Times New Roman"/>
                <w:sz w:val="20"/>
                <w:szCs w:val="20"/>
              </w:rPr>
              <w:t>$0</w:t>
            </w:r>
          </w:p>
        </w:tc>
        <w:tc>
          <w:tcPr>
            <w:tcW w:w="1432" w:type="dxa"/>
            <w:noWrap/>
            <w:vAlign w:val="center"/>
            <w:hideMark/>
          </w:tcPr>
          <w:p w:rsidR="002C7ED5" w:rsidRPr="002C7ED5" w:rsidP="002C7ED5" w14:paraId="7A7AE64F" w14:textId="756C61A5">
            <w:pPr>
              <w:pStyle w:val="Default"/>
              <w:jc w:val="right"/>
              <w:rPr>
                <w:rFonts w:ascii="Times New Roman" w:hAnsi="Times New Roman" w:cs="Times New Roman"/>
                <w:sz w:val="20"/>
                <w:szCs w:val="20"/>
              </w:rPr>
            </w:pPr>
            <w:r w:rsidRPr="00DF7B76">
              <w:rPr>
                <w:rFonts w:ascii="Times New Roman" w:hAnsi="Times New Roman" w:cs="Times New Roman"/>
                <w:sz w:val="20"/>
                <w:szCs w:val="20"/>
              </w:rPr>
              <w:t>$0</w:t>
            </w:r>
          </w:p>
        </w:tc>
      </w:tr>
      <w:bookmarkEnd w:id="50"/>
      <w:bookmarkEnd w:id="51"/>
    </w:tbl>
    <w:p w:rsidR="00440FD0" w:rsidRPr="005C6CA9" w:rsidP="004A22F3" w14:paraId="13D6483B" w14:textId="2C462059"/>
    <w:p w:rsidR="00BF6E22" w:rsidRPr="005C6CA9" w:rsidP="004A22F3" w14:paraId="6FFB8F25" w14:textId="1FC9E47E">
      <w:pPr>
        <w:rPr>
          <w:b/>
          <w:bCs/>
        </w:rPr>
      </w:pPr>
      <w:r w:rsidRPr="005C6CA9">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6E22" w:rsidRPr="005C6CA9" w:rsidP="004A22F3" w14:paraId="20AF7A3A" w14:textId="77777777"/>
    <w:p w:rsidR="00BF6E22" w:rsidRPr="005C6CA9" w:rsidP="004A22F3" w14:paraId="06F0B93F" w14:textId="77777777">
      <w:r w:rsidRPr="005C6CA9">
        <w:t>MSHA does not intend to publish the results of this information collection.</w:t>
      </w:r>
    </w:p>
    <w:p w:rsidR="00BF6E22" w:rsidRPr="005C6CA9" w:rsidP="004A22F3" w14:paraId="5BFF65E0" w14:textId="77777777"/>
    <w:p w:rsidR="00BF6E22" w:rsidRPr="005C6CA9" w:rsidP="004A22F3" w14:paraId="6FF420DB" w14:textId="17E5D764">
      <w:pPr>
        <w:rPr>
          <w:b/>
          <w:bCs/>
        </w:rPr>
      </w:pPr>
      <w:r w:rsidRPr="005C6CA9">
        <w:rPr>
          <w:b/>
          <w:bCs/>
        </w:rPr>
        <w:t>17. If seeking approval to not display the expiration date for OMB approval of the information collection, explain the reasons that display would be inappropriate.</w:t>
      </w:r>
    </w:p>
    <w:p w:rsidR="00BF6E22" w:rsidRPr="005C6CA9" w:rsidP="004A22F3" w14:paraId="039D73A3" w14:textId="77777777"/>
    <w:p w:rsidR="00BF6E22" w:rsidRPr="005C6CA9" w:rsidP="004A22F3" w14:paraId="4A69F447" w14:textId="77777777">
      <w:r w:rsidRPr="005C6CA9">
        <w:t xml:space="preserve">MSHA is not seeking approval to not display the expiration date for OMB approval of this information collection </w:t>
      </w:r>
      <w:bookmarkStart w:id="55" w:name="_Hlk196824350"/>
      <w:r w:rsidRPr="005C6CA9">
        <w:t>and there is no form associated with this collection</w:t>
      </w:r>
      <w:bookmarkEnd w:id="55"/>
      <w:r w:rsidRPr="005C6CA9">
        <w:t>.</w:t>
      </w:r>
    </w:p>
    <w:p w:rsidR="00BF6E22" w:rsidRPr="005C6CA9" w:rsidP="004A22F3" w14:paraId="5DCD2D3F" w14:textId="77777777"/>
    <w:p w:rsidR="00BF6E22" w:rsidRPr="005C6CA9" w:rsidP="004A22F3" w14:paraId="234DA17B" w14:textId="77777777">
      <w:pPr>
        <w:rPr>
          <w:b/>
          <w:bCs/>
        </w:rPr>
      </w:pPr>
      <w:r w:rsidRPr="005C6CA9">
        <w:rPr>
          <w:b/>
          <w:bCs/>
        </w:rPr>
        <w:t>18. Explain each exception to the topics of the certification statement identified in “Certification for Paperwork Reduction Act Submissions.”</w:t>
      </w:r>
    </w:p>
    <w:p w:rsidR="00BF6E22" w:rsidRPr="005C6CA9" w:rsidP="004A22F3" w14:paraId="7438AC1E" w14:textId="77777777"/>
    <w:p w:rsidR="00BF6E22" w:rsidRPr="005C6CA9" w:rsidP="004A22F3" w14:paraId="3D300332" w14:textId="77777777">
      <w:r w:rsidRPr="005C6CA9">
        <w:t>There are no certification exceptions identified with this information collection.</w:t>
      </w:r>
    </w:p>
    <w:p w:rsidR="00BF6E22" w:rsidRPr="005C6CA9" w:rsidP="004A22F3" w14:paraId="75F75839" w14:textId="77777777"/>
    <w:p w:rsidR="009A3E35" w14:paraId="25C0F8F1" w14:textId="77777777">
      <w:pPr>
        <w:widowControl/>
        <w:autoSpaceDE/>
        <w:autoSpaceDN/>
        <w:adjustRightInd/>
        <w:spacing w:after="160" w:line="259" w:lineRule="auto"/>
        <w:rPr>
          <w:b/>
          <w:bCs/>
        </w:rPr>
      </w:pPr>
      <w:r>
        <w:rPr>
          <w:b/>
          <w:bCs/>
        </w:rPr>
        <w:br w:type="page"/>
      </w:r>
    </w:p>
    <w:p w:rsidR="00BF6E22" w:rsidRPr="005C6CA9" w:rsidP="004A22F3" w14:paraId="2D00725A" w14:textId="39AC658F">
      <w:pPr>
        <w:rPr>
          <w:b/>
          <w:bCs/>
        </w:rPr>
      </w:pPr>
      <w:r w:rsidRPr="005C6CA9">
        <w:rPr>
          <w:b/>
          <w:bCs/>
        </w:rPr>
        <w:t xml:space="preserve">B. Collections of </w:t>
      </w:r>
      <w:r w:rsidRPr="005C6CA9" w:rsidR="009D7943">
        <w:rPr>
          <w:b/>
          <w:bCs/>
        </w:rPr>
        <w:t>i</w:t>
      </w:r>
      <w:r w:rsidRPr="005C6CA9">
        <w:rPr>
          <w:b/>
          <w:bCs/>
        </w:rPr>
        <w:t xml:space="preserve">nformation </w:t>
      </w:r>
      <w:r w:rsidRPr="005C6CA9" w:rsidR="009D7943">
        <w:rPr>
          <w:b/>
          <w:bCs/>
        </w:rPr>
        <w:t>e</w:t>
      </w:r>
      <w:r w:rsidRPr="005C6CA9">
        <w:rPr>
          <w:b/>
          <w:bCs/>
        </w:rPr>
        <w:t xml:space="preserve">mploying </w:t>
      </w:r>
      <w:r w:rsidRPr="005C6CA9" w:rsidR="009D7943">
        <w:rPr>
          <w:b/>
          <w:bCs/>
        </w:rPr>
        <w:t>s</w:t>
      </w:r>
      <w:r w:rsidRPr="005C6CA9">
        <w:rPr>
          <w:b/>
          <w:bCs/>
        </w:rPr>
        <w:t xml:space="preserve">tatistical </w:t>
      </w:r>
      <w:r w:rsidRPr="005C6CA9" w:rsidR="009D7943">
        <w:rPr>
          <w:b/>
          <w:bCs/>
        </w:rPr>
        <w:t>m</w:t>
      </w:r>
      <w:r w:rsidRPr="005C6CA9">
        <w:rPr>
          <w:b/>
          <w:bCs/>
        </w:rPr>
        <w:t>ethods</w:t>
      </w:r>
    </w:p>
    <w:p w:rsidR="00BF6E22" w:rsidRPr="005C6CA9" w:rsidP="004A22F3" w14:paraId="052FB30D" w14:textId="77777777"/>
    <w:p w:rsidR="00BF6E22" w:rsidRPr="005C6CA9" w:rsidP="004A22F3" w14:paraId="1953C05D" w14:textId="11F4B0B9">
      <w:r w:rsidRPr="005C6CA9">
        <w:t>As statistical analysis is not required by the regulation, questions 1 through 5 do not apply.</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TUR">
    <w:altName w:val="Courier New"/>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2285403"/>
      <w:docPartObj>
        <w:docPartGallery w:val="Page Numbers (Bottom of Page)"/>
        <w:docPartUnique/>
      </w:docPartObj>
    </w:sdtPr>
    <w:sdtEndPr>
      <w:rPr>
        <w:noProof/>
      </w:rPr>
    </w:sdtEndPr>
    <w:sdtContent>
      <w:p w:rsidR="00486656" w:rsidRPr="007628FE" w14:paraId="2E67DFAF" w14:textId="30071FF2">
        <w:pPr>
          <w:pStyle w:val="Footer"/>
          <w:jc w:val="center"/>
        </w:pPr>
        <w:r w:rsidRPr="007628FE">
          <w:fldChar w:fldCharType="begin"/>
        </w:r>
        <w:r w:rsidRPr="007628FE">
          <w:instrText xml:space="preserve"> PAGE   \* MERGEFORMAT </w:instrText>
        </w:r>
        <w:r w:rsidRPr="007628FE">
          <w:fldChar w:fldCharType="separate"/>
        </w:r>
        <w:r w:rsidRPr="007628FE">
          <w:rPr>
            <w:noProof/>
          </w:rPr>
          <w:t>2</w:t>
        </w:r>
        <w:r w:rsidRPr="007628FE">
          <w:rPr>
            <w:noProof/>
          </w:rPr>
          <w:fldChar w:fldCharType="end"/>
        </w:r>
      </w:p>
    </w:sdtContent>
  </w:sdt>
  <w:p w:rsidR="002B7F3A" w14:paraId="54AC58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38B4" w:rsidP="008F7DDE" w14:paraId="204C99B0" w14:textId="77777777">
      <w:r>
        <w:separator/>
      </w:r>
    </w:p>
  </w:footnote>
  <w:footnote w:type="continuationSeparator" w:id="1">
    <w:p w:rsidR="009138B4" w:rsidP="008F7DDE" w14:paraId="5855F85B" w14:textId="77777777">
      <w:r>
        <w:continuationSeparator/>
      </w:r>
    </w:p>
  </w:footnote>
  <w:footnote w:type="continuationNotice" w:id="2">
    <w:p w:rsidR="009138B4" w14:paraId="3F241DD6" w14:textId="77777777"/>
  </w:footnote>
  <w:footnote w:id="3">
    <w:p w:rsidR="00B227F0" w:rsidRPr="00F72BA5" w:rsidP="00B227F0" w14:paraId="77A2222C" w14:textId="2BCAAB85">
      <w:pPr>
        <w:pStyle w:val="FootnoteText"/>
      </w:pPr>
      <w:bookmarkStart w:id="20" w:name="_Hlk189055246"/>
      <w:bookmarkStart w:id="21" w:name="_Hlk189055216"/>
      <w:r w:rsidRPr="00F72BA5">
        <w:rPr>
          <w:rStyle w:val="FootnoteReference"/>
        </w:rPr>
        <w:footnoteRef/>
      </w:r>
      <w:r w:rsidRPr="00F72BA5">
        <w:t xml:space="preserve"> </w:t>
      </w:r>
      <w:bookmarkEnd w:id="20"/>
      <w:r w:rsidRPr="00F72BA5">
        <w:t>For all wage rates,</w:t>
      </w:r>
      <w:r w:rsidR="004D3B38">
        <w:t xml:space="preserve"> including Federal wage rates,</w:t>
      </w:r>
      <w:r w:rsidRPr="00F72BA5">
        <w:t xml:space="preserve"> MSHA use</w:t>
      </w:r>
      <w:r w:rsidR="00965B90">
        <w:t>s</w:t>
      </w:r>
      <w:r w:rsidRPr="00F72BA5">
        <w:t xml:space="preserve"> the relevant precision throughout the calculation to avoid compound rounding errors and rounds at the final rate value. Displayed intermediate calculation values are presented to explain the calculation and are representative, but the </w:t>
      </w:r>
      <w:r w:rsidRPr="00F72BA5" w:rsidR="002028BE">
        <w:t xml:space="preserve">value </w:t>
      </w:r>
      <w:r w:rsidR="002028BE">
        <w:t xml:space="preserve">of </w:t>
      </w:r>
      <w:r w:rsidRPr="00F72BA5">
        <w:t>final rate reflects the correct rounding and final estimate.</w:t>
      </w:r>
    </w:p>
    <w:bookmarkEnd w:id="21"/>
    <w:p w:rsidR="00B227F0" w:rsidRPr="00F72BA5" w:rsidP="00B227F0" w14:paraId="2205EF57" w14:textId="77777777">
      <w:pPr>
        <w:pStyle w:val="FootnoteText"/>
      </w:pPr>
    </w:p>
  </w:footnote>
  <w:footnote w:id="4">
    <w:p w:rsidR="00B227F0" w:rsidRPr="00F72BA5" w:rsidP="00B227F0" w14:paraId="58BBB219" w14:textId="55680A06">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sidR="002A01B1">
        <w:rPr>
          <w:rStyle w:val="ui-provider"/>
        </w:rPr>
        <w:t xml:space="preserve"> </w:t>
      </w:r>
      <w:r w:rsidRPr="00F72BA5">
        <w:rPr>
          <w:rStyle w:val="ui-provider"/>
        </w:rPr>
        <w:t>at </w:t>
      </w:r>
      <w:hyperlink r:id="rId1" w:tgtFrame="_blank" w:tooltip="https://www.bls.gov/oes/oes_ques.htm" w:history="1">
        <w:r w:rsidRPr="00F72BA5">
          <w:rPr>
            <w:rStyle w:val="Hyperlink"/>
          </w:rPr>
          <w:t>https://www.bls.gov/oes/oes_ques.htm</w:t>
        </w:r>
      </w:hyperlink>
      <w:r w:rsidRPr="00F72BA5">
        <w:t xml:space="preserve">. </w:t>
      </w:r>
      <w:bookmarkStart w:id="23" w:name="_Hlk172026849"/>
      <w:r w:rsidRPr="002A01B1" w:rsidR="002A01B1">
        <w:t>The average wage rate is calculated as the employment-weighted average of hourly mean wages for the occupation.</w:t>
      </w:r>
    </w:p>
    <w:bookmarkEnd w:id="23"/>
    <w:p w:rsidR="00B227F0" w:rsidRPr="00F72BA5" w:rsidP="00B227F0" w14:paraId="33AC4C96" w14:textId="77777777">
      <w:pPr>
        <w:pStyle w:val="FootnoteText"/>
      </w:pPr>
    </w:p>
  </w:footnote>
  <w:footnote w:id="5">
    <w:p w:rsidR="00B227F0" w:rsidRPr="00F72BA5" w:rsidP="00B227F0" w14:paraId="7402F8B8" w14:textId="4B4B484D">
      <w:pPr>
        <w:pStyle w:val="FootnoteText"/>
      </w:pPr>
      <w:r w:rsidRPr="00F72BA5">
        <w:rPr>
          <w:rStyle w:val="FootnoteReference"/>
        </w:rPr>
        <w:footnoteRef/>
      </w:r>
      <w:r w:rsidRPr="00F72BA5">
        <w:t xml:space="preserve"> 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rsidR="0045114A">
        <w:t>s</w:t>
      </w:r>
      <w:r w:rsidRPr="00F72BA5">
        <w:t xml:space="preserve"> the latest 4-quarter moving average to determine what percent of total loaded wages are benefits. MSHA computes the benefit multiplier with a number of detailed calculations, but it may be approximated with the formula 1 + (benefit percentage</w:t>
      </w:r>
      <w:r w:rsidR="00E16933">
        <w:t xml:space="preserve"> </w:t>
      </w:r>
      <w:r w:rsidRPr="00F72BA5">
        <w:t>/</w:t>
      </w:r>
      <w:r w:rsidR="00E16933">
        <w:t xml:space="preserve"> </w:t>
      </w:r>
      <w:r w:rsidRPr="00F72BA5">
        <w:t>(1-benefit percentage)).</w:t>
      </w:r>
    </w:p>
    <w:p w:rsidR="00B227F0" w:rsidRPr="00F72BA5" w:rsidP="00B227F0" w14:paraId="310CB011" w14:textId="77777777">
      <w:pPr>
        <w:pStyle w:val="FootnoteText"/>
      </w:pPr>
    </w:p>
  </w:footnote>
  <w:footnote w:id="6">
    <w:p w:rsidR="00B227F0" w:rsidRPr="00F72BA5" w:rsidP="00B227F0" w14:paraId="4ECB5484" w14:textId="5A369F67">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Inflation Multiplier = (Current Quarter Cost Index Value / OEWS Wage Base Quarter Index Value).</w:t>
      </w:r>
    </w:p>
    <w:p w:rsidR="00B227F0" w:rsidRPr="00F72BA5" w:rsidP="00B227F0" w14:paraId="69762BB6" w14:textId="77777777">
      <w:pPr>
        <w:pStyle w:val="FootnoteText"/>
      </w:pPr>
    </w:p>
  </w:footnote>
  <w:footnote w:id="7">
    <w:p w:rsidR="00717914" w:rsidRPr="00F72BA5" w14:paraId="72DF9276" w14:textId="4BB943B2">
      <w:pPr>
        <w:pStyle w:val="FootnoteText"/>
      </w:pPr>
      <w:r w:rsidRPr="00F72BA5">
        <w:rPr>
          <w:rStyle w:val="FootnoteReference"/>
        </w:rPr>
        <w:footnoteRef/>
      </w:r>
      <w:r w:rsidRPr="00F72BA5">
        <w:t xml:space="preserve"> </w:t>
      </w:r>
      <w:r w:rsidRPr="00883AE8" w:rsidR="00883AE8">
        <w:t>MSHA use</w:t>
      </w:r>
      <w:r w:rsidR="00965B90">
        <w:t>s</w:t>
      </w:r>
      <w:r w:rsidRPr="00883AE8" w:rsidR="00883AE8">
        <w:t xml:space="preserve"> an overhead rate of 1 percent. The mining environment generally involves very little overhead, especially costs associated with workers engaged in administrative or clerical tasks.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DE9" w:rsidP="005F2600" w14:paraId="2B5BD770" w14:textId="078FDE6E">
    <w:pPr>
      <w:pStyle w:val="Header"/>
    </w:pPr>
    <w:r w:rsidRPr="007A4E8F">
      <w:rPr>
        <w:bCs/>
      </w:rPr>
      <w:t xml:space="preserve">Program to Prevent Smoking in Hazardous Areas of Underground Coal Mines </w:t>
    </w:r>
  </w:p>
  <w:p w:rsidR="005F2600" w:rsidRPr="005F2600" w:rsidP="005F2600" w14:paraId="7E1D1D4B" w14:textId="3D4048B9">
    <w:pPr>
      <w:pStyle w:val="Header"/>
    </w:pPr>
    <w:r w:rsidRPr="005F2600">
      <w:t>OMB Control N</w:t>
    </w:r>
    <w:r w:rsidR="0034283F">
      <w:t>umber</w:t>
    </w:r>
    <w:r w:rsidRPr="005F2600">
      <w:t>: 1219-</w:t>
    </w:r>
    <w:r w:rsidR="005C1163">
      <w:t>0041</w:t>
    </w:r>
  </w:p>
  <w:p w:rsidR="005F2600" w:rsidRPr="005F2600" w:rsidP="005F2600" w14:paraId="3DF9D117" w14:textId="2E1FF085">
    <w:pPr>
      <w:pStyle w:val="Header"/>
    </w:pPr>
    <w:r w:rsidRPr="005F2600">
      <w:t xml:space="preserve">OMB Expiration Date: </w:t>
    </w:r>
    <w:r w:rsidR="00300097">
      <w:t>5</w:t>
    </w:r>
    <w:r w:rsidRPr="005F2600">
      <w:t>/</w:t>
    </w:r>
    <w:r w:rsidR="005C1163">
      <w:t>3</w:t>
    </w:r>
    <w:r w:rsidR="00300097">
      <w:t>1</w:t>
    </w:r>
    <w:r w:rsidRPr="005F2600">
      <w:t>/202</w:t>
    </w:r>
    <w:r w:rsidR="005C1163">
      <w:t>6</w:t>
    </w:r>
  </w:p>
  <w:p w:rsidR="005F2600" w14:paraId="3A8C5B1D" w14:textId="54D72F1A">
    <w:pPr>
      <w:pStyle w:val="Header"/>
    </w:pPr>
  </w:p>
  <w:p w:rsidR="005F2600" w14:paraId="06B9D3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401CA"/>
    <w:multiLevelType w:val="hybridMultilevel"/>
    <w:tmpl w:val="6108EB5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2B012E"/>
    <w:multiLevelType w:val="hybridMultilevel"/>
    <w:tmpl w:val="E286EF20"/>
    <w:lvl w:ilvl="0">
      <w:start w:val="2"/>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E206BB"/>
    <w:multiLevelType w:val="hybridMultilevel"/>
    <w:tmpl w:val="6108EB5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922C35"/>
    <w:multiLevelType w:val="hybridMultilevel"/>
    <w:tmpl w:val="7916C29E"/>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312138"/>
    <w:multiLevelType w:val="hybridMultilevel"/>
    <w:tmpl w:val="92C0517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DF4F05"/>
    <w:multiLevelType w:val="hybridMultilevel"/>
    <w:tmpl w:val="78609672"/>
    <w:lvl w:ilvl="0">
      <w:start w:val="2"/>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031133"/>
    <w:multiLevelType w:val="hybridMultilevel"/>
    <w:tmpl w:val="ABC40588"/>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715C4C"/>
    <w:multiLevelType w:val="hybridMultilevel"/>
    <w:tmpl w:val="52C0EDDC"/>
    <w:lvl w:ilvl="0">
      <w:start w:val="1"/>
      <w:numFmt w:val="upperRoman"/>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9">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7173D2"/>
    <w:multiLevelType w:val="hybridMultilevel"/>
    <w:tmpl w:val="ECAE92B4"/>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D751AD"/>
    <w:multiLevelType w:val="hybridMultilevel"/>
    <w:tmpl w:val="2F02EBD0"/>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371207"/>
    <w:multiLevelType w:val="hybridMultilevel"/>
    <w:tmpl w:val="B224A9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28624C"/>
    <w:multiLevelType w:val="hybridMultilevel"/>
    <w:tmpl w:val="A4D4DC42"/>
    <w:lvl w:ilvl="0">
      <w:start w:val="2"/>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0A0C7B"/>
    <w:multiLevelType w:val="hybridMultilevel"/>
    <w:tmpl w:val="91C0F37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4961FF"/>
    <w:multiLevelType w:val="hybridMultilevel"/>
    <w:tmpl w:val="8A681DE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1E27C0"/>
    <w:multiLevelType w:val="hybridMultilevel"/>
    <w:tmpl w:val="761C8048"/>
    <w:lvl w:ilvl="0">
      <w:start w:val="2"/>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21732D"/>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64191A"/>
    <w:multiLevelType w:val="hybridMultilevel"/>
    <w:tmpl w:val="92C0517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3F74CA"/>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A93F63"/>
    <w:multiLevelType w:val="hybridMultilevel"/>
    <w:tmpl w:val="D13C99E0"/>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F74FB0"/>
    <w:multiLevelType w:val="hybridMultilevel"/>
    <w:tmpl w:val="CAB8764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1C770F"/>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257A0F"/>
    <w:multiLevelType w:val="hybridMultilevel"/>
    <w:tmpl w:val="02501BB0"/>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B60253"/>
    <w:multiLevelType w:val="hybridMultilevel"/>
    <w:tmpl w:val="FD6A6F5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E86C51"/>
    <w:multiLevelType w:val="hybridMultilevel"/>
    <w:tmpl w:val="FD6A6F5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610D5C"/>
    <w:multiLevelType w:val="hybridMultilevel"/>
    <w:tmpl w:val="12D0130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D0F78BB"/>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998352">
    <w:abstractNumId w:val="25"/>
  </w:num>
  <w:num w:numId="2" w16cid:durableId="150290488">
    <w:abstractNumId w:val="13"/>
  </w:num>
  <w:num w:numId="3" w16cid:durableId="1674651207">
    <w:abstractNumId w:val="7"/>
  </w:num>
  <w:num w:numId="4" w16cid:durableId="1621256169">
    <w:abstractNumId w:val="12"/>
  </w:num>
  <w:num w:numId="5" w16cid:durableId="510918898">
    <w:abstractNumId w:val="6"/>
  </w:num>
  <w:num w:numId="6" w16cid:durableId="579600951">
    <w:abstractNumId w:val="9"/>
  </w:num>
  <w:num w:numId="7" w16cid:durableId="1133324415">
    <w:abstractNumId w:val="29"/>
  </w:num>
  <w:num w:numId="8" w16cid:durableId="1291131469">
    <w:abstractNumId w:val="20"/>
  </w:num>
  <w:num w:numId="9" w16cid:durableId="1525441457">
    <w:abstractNumId w:val="24"/>
  </w:num>
  <w:num w:numId="10" w16cid:durableId="1831020027">
    <w:abstractNumId w:val="21"/>
  </w:num>
  <w:num w:numId="11" w16cid:durableId="251738593">
    <w:abstractNumId w:val="18"/>
  </w:num>
  <w:num w:numId="12" w16cid:durableId="2036078086">
    <w:abstractNumId w:val="30"/>
  </w:num>
  <w:num w:numId="13" w16cid:durableId="101001967">
    <w:abstractNumId w:val="23"/>
  </w:num>
  <w:num w:numId="14" w16cid:durableId="1576207530">
    <w:abstractNumId w:val="8"/>
  </w:num>
  <w:num w:numId="15" w16cid:durableId="1039355417">
    <w:abstractNumId w:val="15"/>
  </w:num>
  <w:num w:numId="16" w16cid:durableId="2038461387">
    <w:abstractNumId w:val="16"/>
  </w:num>
  <w:num w:numId="17" w16cid:durableId="412120257">
    <w:abstractNumId w:val="3"/>
  </w:num>
  <w:num w:numId="18" w16cid:durableId="1348022212">
    <w:abstractNumId w:val="17"/>
  </w:num>
  <w:num w:numId="19" w16cid:durableId="404962962">
    <w:abstractNumId w:val="11"/>
  </w:num>
  <w:num w:numId="20" w16cid:durableId="748235155">
    <w:abstractNumId w:val="4"/>
  </w:num>
  <w:num w:numId="21" w16cid:durableId="211843041">
    <w:abstractNumId w:val="14"/>
  </w:num>
  <w:num w:numId="22" w16cid:durableId="938681216">
    <w:abstractNumId w:val="5"/>
  </w:num>
  <w:num w:numId="23" w16cid:durableId="1384214432">
    <w:abstractNumId w:val="10"/>
  </w:num>
  <w:num w:numId="24" w16cid:durableId="1040547054">
    <w:abstractNumId w:val="19"/>
  </w:num>
  <w:num w:numId="25" w16cid:durableId="1702390899">
    <w:abstractNumId w:val="26"/>
  </w:num>
  <w:num w:numId="26" w16cid:durableId="873081100">
    <w:abstractNumId w:val="27"/>
  </w:num>
  <w:num w:numId="27" w16cid:durableId="1375231389">
    <w:abstractNumId w:val="0"/>
  </w:num>
  <w:num w:numId="28" w16cid:durableId="916551147">
    <w:abstractNumId w:val="28"/>
  </w:num>
  <w:num w:numId="29" w16cid:durableId="1634477888">
    <w:abstractNumId w:val="2"/>
  </w:num>
  <w:num w:numId="30" w16cid:durableId="1469787994">
    <w:abstractNumId w:val="22"/>
  </w:num>
  <w:num w:numId="31" w16cid:durableId="1787771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07BC6"/>
    <w:rsid w:val="00012D29"/>
    <w:rsid w:val="00013AE9"/>
    <w:rsid w:val="00016DB4"/>
    <w:rsid w:val="0003653B"/>
    <w:rsid w:val="00037E7E"/>
    <w:rsid w:val="00046AA4"/>
    <w:rsid w:val="00047D03"/>
    <w:rsid w:val="00052BB1"/>
    <w:rsid w:val="00052BD8"/>
    <w:rsid w:val="00055019"/>
    <w:rsid w:val="00057069"/>
    <w:rsid w:val="0006013D"/>
    <w:rsid w:val="00070EBD"/>
    <w:rsid w:val="00071109"/>
    <w:rsid w:val="00074445"/>
    <w:rsid w:val="00082FA0"/>
    <w:rsid w:val="000837FA"/>
    <w:rsid w:val="00091EBF"/>
    <w:rsid w:val="0009469D"/>
    <w:rsid w:val="000A0C58"/>
    <w:rsid w:val="000A1F21"/>
    <w:rsid w:val="000A5789"/>
    <w:rsid w:val="000A5DB6"/>
    <w:rsid w:val="000B1BBB"/>
    <w:rsid w:val="000C4082"/>
    <w:rsid w:val="000D073E"/>
    <w:rsid w:val="000D5B23"/>
    <w:rsid w:val="000D5FB5"/>
    <w:rsid w:val="000E09E3"/>
    <w:rsid w:val="000E39D5"/>
    <w:rsid w:val="000F3AB4"/>
    <w:rsid w:val="000F58DF"/>
    <w:rsid w:val="000F6D56"/>
    <w:rsid w:val="000F724B"/>
    <w:rsid w:val="0010136C"/>
    <w:rsid w:val="00102205"/>
    <w:rsid w:val="00102A8C"/>
    <w:rsid w:val="00116562"/>
    <w:rsid w:val="00116BCF"/>
    <w:rsid w:val="001173F9"/>
    <w:rsid w:val="00120AC2"/>
    <w:rsid w:val="001231DD"/>
    <w:rsid w:val="0012484E"/>
    <w:rsid w:val="00130F58"/>
    <w:rsid w:val="00130FC7"/>
    <w:rsid w:val="0013291F"/>
    <w:rsid w:val="00133719"/>
    <w:rsid w:val="001411A7"/>
    <w:rsid w:val="00145B94"/>
    <w:rsid w:val="001475F6"/>
    <w:rsid w:val="001477F7"/>
    <w:rsid w:val="00152536"/>
    <w:rsid w:val="00155556"/>
    <w:rsid w:val="0015585D"/>
    <w:rsid w:val="00156372"/>
    <w:rsid w:val="001576A1"/>
    <w:rsid w:val="00165A89"/>
    <w:rsid w:val="00174845"/>
    <w:rsid w:val="0017790E"/>
    <w:rsid w:val="001818EC"/>
    <w:rsid w:val="00181DD6"/>
    <w:rsid w:val="00182BF3"/>
    <w:rsid w:val="001923C2"/>
    <w:rsid w:val="001935AE"/>
    <w:rsid w:val="001A28D4"/>
    <w:rsid w:val="001A4EF2"/>
    <w:rsid w:val="001A6E7F"/>
    <w:rsid w:val="001B0307"/>
    <w:rsid w:val="001B2868"/>
    <w:rsid w:val="001B41E5"/>
    <w:rsid w:val="001C268D"/>
    <w:rsid w:val="001C2961"/>
    <w:rsid w:val="001C5B4F"/>
    <w:rsid w:val="001D40A5"/>
    <w:rsid w:val="001E1896"/>
    <w:rsid w:val="00200E84"/>
    <w:rsid w:val="002028BE"/>
    <w:rsid w:val="00216B63"/>
    <w:rsid w:val="00224ADA"/>
    <w:rsid w:val="00225075"/>
    <w:rsid w:val="00226C01"/>
    <w:rsid w:val="00232594"/>
    <w:rsid w:val="00236BA7"/>
    <w:rsid w:val="0024345A"/>
    <w:rsid w:val="00244518"/>
    <w:rsid w:val="00244765"/>
    <w:rsid w:val="002601E2"/>
    <w:rsid w:val="00261D1C"/>
    <w:rsid w:val="002733A5"/>
    <w:rsid w:val="00282329"/>
    <w:rsid w:val="00284DB0"/>
    <w:rsid w:val="0029325D"/>
    <w:rsid w:val="00294924"/>
    <w:rsid w:val="00296458"/>
    <w:rsid w:val="002A01B1"/>
    <w:rsid w:val="002A413D"/>
    <w:rsid w:val="002A4C25"/>
    <w:rsid w:val="002A6775"/>
    <w:rsid w:val="002B05F7"/>
    <w:rsid w:val="002B5274"/>
    <w:rsid w:val="002B663F"/>
    <w:rsid w:val="002B7C83"/>
    <w:rsid w:val="002B7F3A"/>
    <w:rsid w:val="002B7FAB"/>
    <w:rsid w:val="002C7311"/>
    <w:rsid w:val="002C7ED5"/>
    <w:rsid w:val="002D0F05"/>
    <w:rsid w:val="002D2B84"/>
    <w:rsid w:val="002D76E8"/>
    <w:rsid w:val="002E2754"/>
    <w:rsid w:val="002E2900"/>
    <w:rsid w:val="002E435F"/>
    <w:rsid w:val="002E6374"/>
    <w:rsid w:val="002E74AA"/>
    <w:rsid w:val="002F57C6"/>
    <w:rsid w:val="002F7A5F"/>
    <w:rsid w:val="00300097"/>
    <w:rsid w:val="003049D9"/>
    <w:rsid w:val="00304DB4"/>
    <w:rsid w:val="0031756F"/>
    <w:rsid w:val="00325267"/>
    <w:rsid w:val="0033291C"/>
    <w:rsid w:val="00337135"/>
    <w:rsid w:val="0034283F"/>
    <w:rsid w:val="00343E92"/>
    <w:rsid w:val="003447B5"/>
    <w:rsid w:val="00346F04"/>
    <w:rsid w:val="00352D7C"/>
    <w:rsid w:val="00355BCC"/>
    <w:rsid w:val="00360E57"/>
    <w:rsid w:val="00364C62"/>
    <w:rsid w:val="00370D01"/>
    <w:rsid w:val="003752D3"/>
    <w:rsid w:val="0038703C"/>
    <w:rsid w:val="003930C8"/>
    <w:rsid w:val="0039413C"/>
    <w:rsid w:val="0039507A"/>
    <w:rsid w:val="00395EB9"/>
    <w:rsid w:val="003B213F"/>
    <w:rsid w:val="003B4A62"/>
    <w:rsid w:val="003B5E8A"/>
    <w:rsid w:val="003C3C2C"/>
    <w:rsid w:val="003D671C"/>
    <w:rsid w:val="003D7437"/>
    <w:rsid w:val="003E3F19"/>
    <w:rsid w:val="003E5A01"/>
    <w:rsid w:val="003E5DB2"/>
    <w:rsid w:val="003E5DFB"/>
    <w:rsid w:val="003F0141"/>
    <w:rsid w:val="003F7F35"/>
    <w:rsid w:val="00404CA4"/>
    <w:rsid w:val="004070C7"/>
    <w:rsid w:val="00415311"/>
    <w:rsid w:val="0042640E"/>
    <w:rsid w:val="00430C56"/>
    <w:rsid w:val="004334FA"/>
    <w:rsid w:val="00434266"/>
    <w:rsid w:val="00435EBD"/>
    <w:rsid w:val="004375A4"/>
    <w:rsid w:val="00440FD0"/>
    <w:rsid w:val="004412B3"/>
    <w:rsid w:val="00450899"/>
    <w:rsid w:val="0045114A"/>
    <w:rsid w:val="004573A9"/>
    <w:rsid w:val="00477AA1"/>
    <w:rsid w:val="004823B3"/>
    <w:rsid w:val="004824CE"/>
    <w:rsid w:val="004826E9"/>
    <w:rsid w:val="00486656"/>
    <w:rsid w:val="00492F18"/>
    <w:rsid w:val="00495D0A"/>
    <w:rsid w:val="004A22F3"/>
    <w:rsid w:val="004A3A8F"/>
    <w:rsid w:val="004A6BAA"/>
    <w:rsid w:val="004B294D"/>
    <w:rsid w:val="004B66F7"/>
    <w:rsid w:val="004B71D3"/>
    <w:rsid w:val="004C01B4"/>
    <w:rsid w:val="004C4224"/>
    <w:rsid w:val="004D00D5"/>
    <w:rsid w:val="004D1F03"/>
    <w:rsid w:val="004D3B38"/>
    <w:rsid w:val="004D76FA"/>
    <w:rsid w:val="004E22B2"/>
    <w:rsid w:val="004E6A42"/>
    <w:rsid w:val="004E7140"/>
    <w:rsid w:val="004F1BB3"/>
    <w:rsid w:val="004F2736"/>
    <w:rsid w:val="004F5226"/>
    <w:rsid w:val="004F70BC"/>
    <w:rsid w:val="005035A6"/>
    <w:rsid w:val="00511565"/>
    <w:rsid w:val="00511E47"/>
    <w:rsid w:val="00515ED5"/>
    <w:rsid w:val="00521D0F"/>
    <w:rsid w:val="00522EC1"/>
    <w:rsid w:val="00523CC5"/>
    <w:rsid w:val="00526725"/>
    <w:rsid w:val="00526A8C"/>
    <w:rsid w:val="00527A88"/>
    <w:rsid w:val="005405E4"/>
    <w:rsid w:val="00541732"/>
    <w:rsid w:val="00543A42"/>
    <w:rsid w:val="005448B0"/>
    <w:rsid w:val="0054597C"/>
    <w:rsid w:val="00547B51"/>
    <w:rsid w:val="00567826"/>
    <w:rsid w:val="0057093B"/>
    <w:rsid w:val="00573775"/>
    <w:rsid w:val="00573D63"/>
    <w:rsid w:val="00574CA1"/>
    <w:rsid w:val="005821B3"/>
    <w:rsid w:val="0058734D"/>
    <w:rsid w:val="00587619"/>
    <w:rsid w:val="0059136E"/>
    <w:rsid w:val="005A0497"/>
    <w:rsid w:val="005A0BDD"/>
    <w:rsid w:val="005A27F6"/>
    <w:rsid w:val="005A6C3A"/>
    <w:rsid w:val="005A7308"/>
    <w:rsid w:val="005B3412"/>
    <w:rsid w:val="005B37DA"/>
    <w:rsid w:val="005C0294"/>
    <w:rsid w:val="005C1163"/>
    <w:rsid w:val="005C335D"/>
    <w:rsid w:val="005C4DD0"/>
    <w:rsid w:val="005C6622"/>
    <w:rsid w:val="005C6CA9"/>
    <w:rsid w:val="005D05A8"/>
    <w:rsid w:val="005D1278"/>
    <w:rsid w:val="005D15DB"/>
    <w:rsid w:val="005D7993"/>
    <w:rsid w:val="005E0AC8"/>
    <w:rsid w:val="005E1F20"/>
    <w:rsid w:val="005E589E"/>
    <w:rsid w:val="005F116E"/>
    <w:rsid w:val="005F2070"/>
    <w:rsid w:val="005F2600"/>
    <w:rsid w:val="006134B7"/>
    <w:rsid w:val="0061394D"/>
    <w:rsid w:val="00623AF3"/>
    <w:rsid w:val="006240E8"/>
    <w:rsid w:val="0063088A"/>
    <w:rsid w:val="006328CD"/>
    <w:rsid w:val="006337F6"/>
    <w:rsid w:val="00641F0B"/>
    <w:rsid w:val="0065264F"/>
    <w:rsid w:val="006538C1"/>
    <w:rsid w:val="006543ED"/>
    <w:rsid w:val="00655BB3"/>
    <w:rsid w:val="00670251"/>
    <w:rsid w:val="00675C9A"/>
    <w:rsid w:val="0067779A"/>
    <w:rsid w:val="00686001"/>
    <w:rsid w:val="00686DAA"/>
    <w:rsid w:val="006910C5"/>
    <w:rsid w:val="00691147"/>
    <w:rsid w:val="0069248F"/>
    <w:rsid w:val="0069439C"/>
    <w:rsid w:val="0069721B"/>
    <w:rsid w:val="006A05E7"/>
    <w:rsid w:val="006A7860"/>
    <w:rsid w:val="006B0C4E"/>
    <w:rsid w:val="006B44B0"/>
    <w:rsid w:val="006B6632"/>
    <w:rsid w:val="006C2006"/>
    <w:rsid w:val="006C29C4"/>
    <w:rsid w:val="006C46A7"/>
    <w:rsid w:val="006D7BF2"/>
    <w:rsid w:val="006E46BE"/>
    <w:rsid w:val="006E6E0F"/>
    <w:rsid w:val="006E6EBB"/>
    <w:rsid w:val="007054C0"/>
    <w:rsid w:val="007056BA"/>
    <w:rsid w:val="00706037"/>
    <w:rsid w:val="00711369"/>
    <w:rsid w:val="00711854"/>
    <w:rsid w:val="00715424"/>
    <w:rsid w:val="0071655A"/>
    <w:rsid w:val="0071730C"/>
    <w:rsid w:val="00717914"/>
    <w:rsid w:val="00725CCD"/>
    <w:rsid w:val="00731BB3"/>
    <w:rsid w:val="0073403A"/>
    <w:rsid w:val="00734B73"/>
    <w:rsid w:val="00740E2F"/>
    <w:rsid w:val="00740F48"/>
    <w:rsid w:val="007416DE"/>
    <w:rsid w:val="00744BE6"/>
    <w:rsid w:val="00744BF5"/>
    <w:rsid w:val="00744F8B"/>
    <w:rsid w:val="00746AFB"/>
    <w:rsid w:val="007548A7"/>
    <w:rsid w:val="00756D0B"/>
    <w:rsid w:val="00760C09"/>
    <w:rsid w:val="007628FE"/>
    <w:rsid w:val="00763803"/>
    <w:rsid w:val="00765B25"/>
    <w:rsid w:val="00771184"/>
    <w:rsid w:val="007734DB"/>
    <w:rsid w:val="00774109"/>
    <w:rsid w:val="00775DE5"/>
    <w:rsid w:val="007760BE"/>
    <w:rsid w:val="0078084A"/>
    <w:rsid w:val="00783089"/>
    <w:rsid w:val="00785997"/>
    <w:rsid w:val="007860AA"/>
    <w:rsid w:val="007863E3"/>
    <w:rsid w:val="00792699"/>
    <w:rsid w:val="00797FF3"/>
    <w:rsid w:val="007A4831"/>
    <w:rsid w:val="007A4E8F"/>
    <w:rsid w:val="007A6FD8"/>
    <w:rsid w:val="007C0B3B"/>
    <w:rsid w:val="007C50C3"/>
    <w:rsid w:val="007C69B4"/>
    <w:rsid w:val="007C7BCB"/>
    <w:rsid w:val="007D250C"/>
    <w:rsid w:val="007D6934"/>
    <w:rsid w:val="007E25D1"/>
    <w:rsid w:val="007E3200"/>
    <w:rsid w:val="007E5D54"/>
    <w:rsid w:val="007E6F31"/>
    <w:rsid w:val="007F14C4"/>
    <w:rsid w:val="007F1ACB"/>
    <w:rsid w:val="007F5FAB"/>
    <w:rsid w:val="007F7B38"/>
    <w:rsid w:val="00800C34"/>
    <w:rsid w:val="00801EFD"/>
    <w:rsid w:val="00803705"/>
    <w:rsid w:val="0080539E"/>
    <w:rsid w:val="008125AC"/>
    <w:rsid w:val="00815310"/>
    <w:rsid w:val="00817660"/>
    <w:rsid w:val="0082378A"/>
    <w:rsid w:val="0082385C"/>
    <w:rsid w:val="00831DFE"/>
    <w:rsid w:val="00832143"/>
    <w:rsid w:val="008354DA"/>
    <w:rsid w:val="00842921"/>
    <w:rsid w:val="00844D63"/>
    <w:rsid w:val="00845FA9"/>
    <w:rsid w:val="00850E32"/>
    <w:rsid w:val="0085525B"/>
    <w:rsid w:val="00860562"/>
    <w:rsid w:val="00861B3F"/>
    <w:rsid w:val="00865336"/>
    <w:rsid w:val="00867990"/>
    <w:rsid w:val="00874C9C"/>
    <w:rsid w:val="00877AAC"/>
    <w:rsid w:val="00883AE8"/>
    <w:rsid w:val="00887A82"/>
    <w:rsid w:val="00893934"/>
    <w:rsid w:val="00896AAE"/>
    <w:rsid w:val="008A1158"/>
    <w:rsid w:val="008A32E5"/>
    <w:rsid w:val="008A37DA"/>
    <w:rsid w:val="008B3F57"/>
    <w:rsid w:val="008C0DE9"/>
    <w:rsid w:val="008C0F50"/>
    <w:rsid w:val="008C1F83"/>
    <w:rsid w:val="008C3F7A"/>
    <w:rsid w:val="008C663B"/>
    <w:rsid w:val="008D0FFD"/>
    <w:rsid w:val="008E0692"/>
    <w:rsid w:val="008E3383"/>
    <w:rsid w:val="008E6AFA"/>
    <w:rsid w:val="008F149A"/>
    <w:rsid w:val="008F2230"/>
    <w:rsid w:val="008F7DDE"/>
    <w:rsid w:val="009005E2"/>
    <w:rsid w:val="00901B46"/>
    <w:rsid w:val="009033B4"/>
    <w:rsid w:val="00905876"/>
    <w:rsid w:val="009138B4"/>
    <w:rsid w:val="00931E96"/>
    <w:rsid w:val="009339A6"/>
    <w:rsid w:val="00942C27"/>
    <w:rsid w:val="0094327E"/>
    <w:rsid w:val="00952C31"/>
    <w:rsid w:val="00953221"/>
    <w:rsid w:val="00962C48"/>
    <w:rsid w:val="00965B90"/>
    <w:rsid w:val="00966163"/>
    <w:rsid w:val="0097052A"/>
    <w:rsid w:val="009706F4"/>
    <w:rsid w:val="009729A0"/>
    <w:rsid w:val="0098144C"/>
    <w:rsid w:val="00981AFF"/>
    <w:rsid w:val="00986082"/>
    <w:rsid w:val="009872AE"/>
    <w:rsid w:val="009A1D89"/>
    <w:rsid w:val="009A3438"/>
    <w:rsid w:val="009A3492"/>
    <w:rsid w:val="009A3E35"/>
    <w:rsid w:val="009A5D1D"/>
    <w:rsid w:val="009B782E"/>
    <w:rsid w:val="009C017F"/>
    <w:rsid w:val="009C6DE3"/>
    <w:rsid w:val="009D3060"/>
    <w:rsid w:val="009D4AFC"/>
    <w:rsid w:val="009D75F5"/>
    <w:rsid w:val="009D7943"/>
    <w:rsid w:val="009E0CBA"/>
    <w:rsid w:val="009E31B2"/>
    <w:rsid w:val="009E65A6"/>
    <w:rsid w:val="009F163B"/>
    <w:rsid w:val="009F2ECF"/>
    <w:rsid w:val="009F708E"/>
    <w:rsid w:val="009F79D6"/>
    <w:rsid w:val="00A0560B"/>
    <w:rsid w:val="00A06511"/>
    <w:rsid w:val="00A06CBC"/>
    <w:rsid w:val="00A07AF4"/>
    <w:rsid w:val="00A15850"/>
    <w:rsid w:val="00A20EC9"/>
    <w:rsid w:val="00A2452E"/>
    <w:rsid w:val="00A25C04"/>
    <w:rsid w:val="00A25F30"/>
    <w:rsid w:val="00A27E15"/>
    <w:rsid w:val="00A32C2C"/>
    <w:rsid w:val="00A35679"/>
    <w:rsid w:val="00A35862"/>
    <w:rsid w:val="00A4662A"/>
    <w:rsid w:val="00A53C9A"/>
    <w:rsid w:val="00A54CAD"/>
    <w:rsid w:val="00A65953"/>
    <w:rsid w:val="00A6623F"/>
    <w:rsid w:val="00A663DB"/>
    <w:rsid w:val="00A737E6"/>
    <w:rsid w:val="00A76B1B"/>
    <w:rsid w:val="00A77349"/>
    <w:rsid w:val="00A85F71"/>
    <w:rsid w:val="00A908FE"/>
    <w:rsid w:val="00A91990"/>
    <w:rsid w:val="00A91F88"/>
    <w:rsid w:val="00A964E4"/>
    <w:rsid w:val="00AA2618"/>
    <w:rsid w:val="00AA3DC8"/>
    <w:rsid w:val="00AA3F77"/>
    <w:rsid w:val="00AA4DBF"/>
    <w:rsid w:val="00AA68DD"/>
    <w:rsid w:val="00AC1377"/>
    <w:rsid w:val="00AC3344"/>
    <w:rsid w:val="00AC7A6E"/>
    <w:rsid w:val="00AD5061"/>
    <w:rsid w:val="00AD607F"/>
    <w:rsid w:val="00AE4A36"/>
    <w:rsid w:val="00AE55BD"/>
    <w:rsid w:val="00AE642F"/>
    <w:rsid w:val="00AF4FB1"/>
    <w:rsid w:val="00AF7379"/>
    <w:rsid w:val="00AF77B3"/>
    <w:rsid w:val="00B0195C"/>
    <w:rsid w:val="00B03537"/>
    <w:rsid w:val="00B03BE5"/>
    <w:rsid w:val="00B070DF"/>
    <w:rsid w:val="00B108CA"/>
    <w:rsid w:val="00B1307A"/>
    <w:rsid w:val="00B16B53"/>
    <w:rsid w:val="00B22028"/>
    <w:rsid w:val="00B227F0"/>
    <w:rsid w:val="00B24B40"/>
    <w:rsid w:val="00B41F50"/>
    <w:rsid w:val="00B6621F"/>
    <w:rsid w:val="00B6778E"/>
    <w:rsid w:val="00B73C0A"/>
    <w:rsid w:val="00B814CC"/>
    <w:rsid w:val="00B81873"/>
    <w:rsid w:val="00B8503A"/>
    <w:rsid w:val="00B94D82"/>
    <w:rsid w:val="00B950D9"/>
    <w:rsid w:val="00B9733C"/>
    <w:rsid w:val="00B974C8"/>
    <w:rsid w:val="00BA10E2"/>
    <w:rsid w:val="00BA12DF"/>
    <w:rsid w:val="00BB39FC"/>
    <w:rsid w:val="00BB514E"/>
    <w:rsid w:val="00BC060A"/>
    <w:rsid w:val="00BC115C"/>
    <w:rsid w:val="00BC2270"/>
    <w:rsid w:val="00BC2748"/>
    <w:rsid w:val="00BC2CDC"/>
    <w:rsid w:val="00BC5485"/>
    <w:rsid w:val="00BD010C"/>
    <w:rsid w:val="00BD2A4C"/>
    <w:rsid w:val="00BD7BA9"/>
    <w:rsid w:val="00BE3949"/>
    <w:rsid w:val="00BF32A1"/>
    <w:rsid w:val="00BF3A3A"/>
    <w:rsid w:val="00BF6073"/>
    <w:rsid w:val="00BF6551"/>
    <w:rsid w:val="00BF6E22"/>
    <w:rsid w:val="00C050DE"/>
    <w:rsid w:val="00C0738B"/>
    <w:rsid w:val="00C07C20"/>
    <w:rsid w:val="00C1442C"/>
    <w:rsid w:val="00C1605F"/>
    <w:rsid w:val="00C243BA"/>
    <w:rsid w:val="00C249E5"/>
    <w:rsid w:val="00C315A5"/>
    <w:rsid w:val="00C31A6C"/>
    <w:rsid w:val="00C33930"/>
    <w:rsid w:val="00C37B7A"/>
    <w:rsid w:val="00C400A8"/>
    <w:rsid w:val="00C44ACD"/>
    <w:rsid w:val="00C454F6"/>
    <w:rsid w:val="00C45AE6"/>
    <w:rsid w:val="00C51E29"/>
    <w:rsid w:val="00C5763A"/>
    <w:rsid w:val="00C63EB9"/>
    <w:rsid w:val="00C6558D"/>
    <w:rsid w:val="00C71E9E"/>
    <w:rsid w:val="00C73040"/>
    <w:rsid w:val="00C76236"/>
    <w:rsid w:val="00C76A71"/>
    <w:rsid w:val="00C806D0"/>
    <w:rsid w:val="00C82967"/>
    <w:rsid w:val="00C82ED4"/>
    <w:rsid w:val="00C914E5"/>
    <w:rsid w:val="00C91CC1"/>
    <w:rsid w:val="00C91F5E"/>
    <w:rsid w:val="00C9513A"/>
    <w:rsid w:val="00CA7EB9"/>
    <w:rsid w:val="00CB18D8"/>
    <w:rsid w:val="00CB30F1"/>
    <w:rsid w:val="00CB3898"/>
    <w:rsid w:val="00CB5144"/>
    <w:rsid w:val="00CB6CE1"/>
    <w:rsid w:val="00CD484D"/>
    <w:rsid w:val="00CD6F54"/>
    <w:rsid w:val="00CE0C07"/>
    <w:rsid w:val="00CE552D"/>
    <w:rsid w:val="00CF297F"/>
    <w:rsid w:val="00D02861"/>
    <w:rsid w:val="00D04952"/>
    <w:rsid w:val="00D07A35"/>
    <w:rsid w:val="00D10DDA"/>
    <w:rsid w:val="00D141DD"/>
    <w:rsid w:val="00D16425"/>
    <w:rsid w:val="00D20DD6"/>
    <w:rsid w:val="00D22375"/>
    <w:rsid w:val="00D34742"/>
    <w:rsid w:val="00D35F15"/>
    <w:rsid w:val="00D40CC0"/>
    <w:rsid w:val="00D40D2C"/>
    <w:rsid w:val="00D4149C"/>
    <w:rsid w:val="00D4281C"/>
    <w:rsid w:val="00D60D9E"/>
    <w:rsid w:val="00D61116"/>
    <w:rsid w:val="00D642F1"/>
    <w:rsid w:val="00D70522"/>
    <w:rsid w:val="00D70967"/>
    <w:rsid w:val="00D72082"/>
    <w:rsid w:val="00D73216"/>
    <w:rsid w:val="00D757FD"/>
    <w:rsid w:val="00D75BE4"/>
    <w:rsid w:val="00D87B90"/>
    <w:rsid w:val="00D90EC7"/>
    <w:rsid w:val="00D94749"/>
    <w:rsid w:val="00D952A0"/>
    <w:rsid w:val="00D97F3B"/>
    <w:rsid w:val="00DA1DA6"/>
    <w:rsid w:val="00DA44D5"/>
    <w:rsid w:val="00DB025E"/>
    <w:rsid w:val="00DB2DFB"/>
    <w:rsid w:val="00DC0CB7"/>
    <w:rsid w:val="00DC2CAF"/>
    <w:rsid w:val="00DC630C"/>
    <w:rsid w:val="00DD39BA"/>
    <w:rsid w:val="00DD674B"/>
    <w:rsid w:val="00DE2D03"/>
    <w:rsid w:val="00DE75A6"/>
    <w:rsid w:val="00DE79FA"/>
    <w:rsid w:val="00DF0D2F"/>
    <w:rsid w:val="00DF3B0C"/>
    <w:rsid w:val="00DF4E3A"/>
    <w:rsid w:val="00DF7B76"/>
    <w:rsid w:val="00E01FF0"/>
    <w:rsid w:val="00E11557"/>
    <w:rsid w:val="00E132C9"/>
    <w:rsid w:val="00E13ED7"/>
    <w:rsid w:val="00E16933"/>
    <w:rsid w:val="00E176D7"/>
    <w:rsid w:val="00E22270"/>
    <w:rsid w:val="00E24593"/>
    <w:rsid w:val="00E249B9"/>
    <w:rsid w:val="00E31DE6"/>
    <w:rsid w:val="00E31DFC"/>
    <w:rsid w:val="00E40071"/>
    <w:rsid w:val="00E41B0F"/>
    <w:rsid w:val="00E41CCB"/>
    <w:rsid w:val="00E41CF0"/>
    <w:rsid w:val="00E43D74"/>
    <w:rsid w:val="00E44C83"/>
    <w:rsid w:val="00E57216"/>
    <w:rsid w:val="00E64CF9"/>
    <w:rsid w:val="00E65B52"/>
    <w:rsid w:val="00E65C0E"/>
    <w:rsid w:val="00E66DB8"/>
    <w:rsid w:val="00E67EA6"/>
    <w:rsid w:val="00E70055"/>
    <w:rsid w:val="00E807A0"/>
    <w:rsid w:val="00E81EA8"/>
    <w:rsid w:val="00E828C4"/>
    <w:rsid w:val="00E865A4"/>
    <w:rsid w:val="00E87A6F"/>
    <w:rsid w:val="00E90CA6"/>
    <w:rsid w:val="00E90FAA"/>
    <w:rsid w:val="00E97A9E"/>
    <w:rsid w:val="00EA3744"/>
    <w:rsid w:val="00EA383A"/>
    <w:rsid w:val="00EA5562"/>
    <w:rsid w:val="00EA6474"/>
    <w:rsid w:val="00EB0A87"/>
    <w:rsid w:val="00EB338F"/>
    <w:rsid w:val="00EB362F"/>
    <w:rsid w:val="00EC1441"/>
    <w:rsid w:val="00EC1EC3"/>
    <w:rsid w:val="00EC24F3"/>
    <w:rsid w:val="00EC52FC"/>
    <w:rsid w:val="00EE07A7"/>
    <w:rsid w:val="00EE10CF"/>
    <w:rsid w:val="00EE13D1"/>
    <w:rsid w:val="00EE1944"/>
    <w:rsid w:val="00EE47F7"/>
    <w:rsid w:val="00EF16F2"/>
    <w:rsid w:val="00EF694E"/>
    <w:rsid w:val="00F00032"/>
    <w:rsid w:val="00F041D9"/>
    <w:rsid w:val="00F05E7E"/>
    <w:rsid w:val="00F110CF"/>
    <w:rsid w:val="00F13390"/>
    <w:rsid w:val="00F15B5F"/>
    <w:rsid w:val="00F16D8E"/>
    <w:rsid w:val="00F20786"/>
    <w:rsid w:val="00F26A98"/>
    <w:rsid w:val="00F274E3"/>
    <w:rsid w:val="00F304AB"/>
    <w:rsid w:val="00F32828"/>
    <w:rsid w:val="00F33F86"/>
    <w:rsid w:val="00F36242"/>
    <w:rsid w:val="00F430D7"/>
    <w:rsid w:val="00F50585"/>
    <w:rsid w:val="00F5166A"/>
    <w:rsid w:val="00F56ECC"/>
    <w:rsid w:val="00F60373"/>
    <w:rsid w:val="00F60BA3"/>
    <w:rsid w:val="00F6257A"/>
    <w:rsid w:val="00F70C76"/>
    <w:rsid w:val="00F72BA5"/>
    <w:rsid w:val="00F74113"/>
    <w:rsid w:val="00F84069"/>
    <w:rsid w:val="00F85220"/>
    <w:rsid w:val="00F865E5"/>
    <w:rsid w:val="00F92F23"/>
    <w:rsid w:val="00FA0B6E"/>
    <w:rsid w:val="00FB072C"/>
    <w:rsid w:val="00FB1C38"/>
    <w:rsid w:val="00FC02D5"/>
    <w:rsid w:val="00FC12F3"/>
    <w:rsid w:val="00FC198D"/>
    <w:rsid w:val="00FC513D"/>
    <w:rsid w:val="00FC6DDE"/>
    <w:rsid w:val="00FC7738"/>
    <w:rsid w:val="00FD26C5"/>
    <w:rsid w:val="00FD3C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4C34A"/>
  <w15:chartTrackingRefBased/>
  <w15:docId w15:val="{7461AF95-59B8-4408-B7AA-F48FEDE2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7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4F2736"/>
    <w:pPr>
      <w:keepNext/>
      <w:spacing w:before="240" w:after="60"/>
      <w:outlineLvl w:val="0"/>
    </w:pPr>
    <w:rPr>
      <w:b/>
      <w:bCs/>
      <w:kern w:val="32"/>
      <w:szCs w:val="32"/>
    </w:rPr>
  </w:style>
  <w:style w:type="paragraph" w:styleId="Heading2">
    <w:name w:val="heading 2"/>
    <w:basedOn w:val="Normal"/>
    <w:next w:val="Normal"/>
    <w:link w:val="Heading2Char"/>
    <w:uiPriority w:val="9"/>
    <w:semiHidden/>
    <w:unhideWhenUsed/>
    <w:qFormat/>
    <w:rsid w:val="004F2736"/>
    <w:pPr>
      <w:keepNext/>
      <w:keepLines/>
      <w:spacing w:before="40"/>
      <w:outlineLvl w:val="1"/>
    </w:pPr>
    <w:rPr>
      <w:rFonts w:eastAsiaTheme="majorEastAsia"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F2736"/>
    <w:rPr>
      <w:rFonts w:ascii="Times New Roman" w:eastAsia="Times New Roman" w:hAnsi="Times New Roman" w:cs="Times New Roman"/>
      <w:b/>
      <w:bCs/>
      <w:kern w:val="32"/>
      <w:sz w:val="24"/>
      <w:szCs w:val="32"/>
    </w:rPr>
  </w:style>
  <w:style w:type="paragraph" w:styleId="FootnoteText">
    <w:name w:val="footnote text"/>
    <w:basedOn w:val="Normal"/>
    <w:link w:val="FootnoteTextChar"/>
    <w:rsid w:val="008F7DDE"/>
    <w:pPr>
      <w:widowControl/>
      <w:autoSpaceDE/>
      <w:autoSpaceDN/>
      <w:adjustRightInd/>
    </w:pPr>
    <w:rPr>
      <w:sz w:val="20"/>
      <w:szCs w:val="20"/>
    </w:rPr>
  </w:style>
  <w:style w:type="character" w:customStyle="1" w:styleId="FootnoteTextChar">
    <w:name w:val="Footnote Text Char"/>
    <w:basedOn w:val="DefaultParagraphFont"/>
    <w:link w:val="FootnoteText"/>
    <w:rsid w:val="008F7DDE"/>
    <w:rPr>
      <w:rFonts w:ascii="Times New Roman" w:eastAsia="Times New Roman" w:hAnsi="Times New Roman" w:cs="Times New Roman"/>
      <w:sz w:val="20"/>
      <w:szCs w:val="20"/>
    </w:rPr>
  </w:style>
  <w:style w:type="character" w:styleId="FootnoteReference">
    <w:name w:val="footnote reference"/>
    <w:basedOn w:val="DefaultParagraphFont"/>
    <w:rsid w:val="008F7DDE"/>
    <w:rPr>
      <w:rFonts w:cs="Times New Roman"/>
      <w:vertAlign w:val="superscript"/>
    </w:rPr>
  </w:style>
  <w:style w:type="character" w:styleId="Hyperlink">
    <w:name w:val="Hyperlink"/>
    <w:basedOn w:val="DefaultParagraphFont"/>
    <w:uiPriority w:val="99"/>
    <w:rsid w:val="008F7DDE"/>
    <w:rPr>
      <w:rFonts w:cs="Times New Roman"/>
      <w:color w:val="0000FF"/>
      <w:u w:val="single"/>
    </w:rPr>
  </w:style>
  <w:style w:type="paragraph" w:styleId="CommentText">
    <w:name w:val="annotation text"/>
    <w:basedOn w:val="Normal"/>
    <w:link w:val="CommentTextChar"/>
    <w:rsid w:val="008F7DDE"/>
    <w:rPr>
      <w:rFonts w:ascii="Courier New TUR" w:hAnsi="Courier New TUR"/>
      <w:sz w:val="20"/>
      <w:szCs w:val="20"/>
    </w:rPr>
  </w:style>
  <w:style w:type="character" w:customStyle="1" w:styleId="CommentTextChar">
    <w:name w:val="Comment Text Char"/>
    <w:basedOn w:val="DefaultParagraphFont"/>
    <w:link w:val="CommentText"/>
    <w:rsid w:val="008F7DDE"/>
    <w:rPr>
      <w:rFonts w:ascii="Courier New TUR" w:eastAsia="Times New Roman" w:hAnsi="Courier New TUR" w:cs="Times New Roman"/>
      <w:sz w:val="20"/>
      <w:szCs w:val="20"/>
    </w:rPr>
  </w:style>
  <w:style w:type="character" w:styleId="CommentReference">
    <w:name w:val="annotation reference"/>
    <w:basedOn w:val="DefaultParagraphFont"/>
    <w:rsid w:val="008F7DDE"/>
    <w:rPr>
      <w:rFonts w:cs="Times New Roman"/>
      <w:sz w:val="16"/>
    </w:rPr>
  </w:style>
  <w:style w:type="table" w:styleId="TableGrid">
    <w:name w:val="Table Grid"/>
    <w:basedOn w:val="TableNormal"/>
    <w:rsid w:val="008F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736"/>
    <w:pPr>
      <w:widowControl/>
      <w:autoSpaceDE/>
      <w:autoSpaceDN/>
      <w:adjustRightInd/>
      <w:spacing w:after="200" w:line="276" w:lineRule="auto"/>
      <w:ind w:left="720"/>
      <w:contextualSpacing/>
    </w:pPr>
    <w:rPr>
      <w:szCs w:val="22"/>
    </w:rPr>
  </w:style>
  <w:style w:type="paragraph" w:styleId="Revision">
    <w:name w:val="Revision"/>
    <w:hidden/>
    <w:uiPriority w:val="99"/>
    <w:semiHidden/>
    <w:rsid w:val="00526725"/>
    <w:pPr>
      <w:spacing w:after="0" w:line="240" w:lineRule="auto"/>
    </w:pPr>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7C69B4"/>
    <w:rPr>
      <w:color w:val="605E5C"/>
      <w:shd w:val="clear" w:color="auto" w:fill="E1DFDD"/>
    </w:rPr>
  </w:style>
  <w:style w:type="paragraph" w:styleId="Header">
    <w:name w:val="header"/>
    <w:basedOn w:val="Normal"/>
    <w:link w:val="HeaderChar"/>
    <w:uiPriority w:val="99"/>
    <w:unhideWhenUsed/>
    <w:rsid w:val="005F2600"/>
    <w:pPr>
      <w:tabs>
        <w:tab w:val="center" w:pos="4680"/>
        <w:tab w:val="right" w:pos="9360"/>
      </w:tabs>
    </w:pPr>
  </w:style>
  <w:style w:type="character" w:customStyle="1" w:styleId="HeaderChar">
    <w:name w:val="Header Char"/>
    <w:basedOn w:val="DefaultParagraphFont"/>
    <w:link w:val="Header"/>
    <w:uiPriority w:val="99"/>
    <w:rsid w:val="005F2600"/>
    <w:rPr>
      <w:rFonts w:ascii="Courier" w:eastAsia="Times New Roman" w:hAnsi="Courier" w:cs="Times New Roman"/>
      <w:sz w:val="24"/>
      <w:szCs w:val="24"/>
    </w:rPr>
  </w:style>
  <w:style w:type="paragraph" w:styleId="Footer">
    <w:name w:val="footer"/>
    <w:basedOn w:val="Normal"/>
    <w:link w:val="FooterChar"/>
    <w:uiPriority w:val="99"/>
    <w:unhideWhenUsed/>
    <w:rsid w:val="005F2600"/>
    <w:pPr>
      <w:tabs>
        <w:tab w:val="center" w:pos="4680"/>
        <w:tab w:val="right" w:pos="9360"/>
      </w:tabs>
    </w:pPr>
  </w:style>
  <w:style w:type="character" w:customStyle="1" w:styleId="FooterChar">
    <w:name w:val="Footer Char"/>
    <w:basedOn w:val="DefaultParagraphFont"/>
    <w:link w:val="Footer"/>
    <w:uiPriority w:val="99"/>
    <w:rsid w:val="005F2600"/>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1B0307"/>
    <w:rPr>
      <w:rFonts w:ascii="Courier" w:hAnsi="Courier"/>
      <w:b/>
      <w:bCs/>
    </w:rPr>
  </w:style>
  <w:style w:type="character" w:customStyle="1" w:styleId="CommentSubjectChar">
    <w:name w:val="Comment Subject Char"/>
    <w:basedOn w:val="CommentTextChar"/>
    <w:link w:val="CommentSubject"/>
    <w:uiPriority w:val="99"/>
    <w:semiHidden/>
    <w:rsid w:val="001B0307"/>
    <w:rPr>
      <w:rFonts w:ascii="Courier" w:eastAsia="Times New Roman" w:hAnsi="Courier" w:cs="Times New Roman"/>
      <w:b/>
      <w:bCs/>
      <w:sz w:val="20"/>
      <w:szCs w:val="20"/>
    </w:rPr>
  </w:style>
  <w:style w:type="paragraph" w:customStyle="1" w:styleId="Default">
    <w:name w:val="Default"/>
    <w:rsid w:val="00B227F0"/>
    <w:pPr>
      <w:widowControl w:val="0"/>
      <w:autoSpaceDE w:val="0"/>
      <w:autoSpaceDN w:val="0"/>
      <w:adjustRightInd w:val="0"/>
      <w:spacing w:after="0" w:line="240" w:lineRule="auto"/>
    </w:pPr>
    <w:rPr>
      <w:rFonts w:ascii="BKHFG M+ Courier" w:eastAsia="Times New Roman" w:hAnsi="BKHFG M+ Courier" w:cs="BKHFG M+ Courier"/>
      <w:color w:val="000000"/>
      <w:sz w:val="24"/>
      <w:szCs w:val="24"/>
    </w:rPr>
  </w:style>
  <w:style w:type="character" w:customStyle="1" w:styleId="ui-provider">
    <w:name w:val="ui-provider"/>
    <w:basedOn w:val="DefaultParagraphFont"/>
    <w:rsid w:val="00B227F0"/>
  </w:style>
  <w:style w:type="character" w:styleId="FollowedHyperlink">
    <w:name w:val="FollowedHyperlink"/>
    <w:basedOn w:val="DefaultParagraphFont"/>
    <w:uiPriority w:val="99"/>
    <w:semiHidden/>
    <w:unhideWhenUsed/>
    <w:rsid w:val="00FD26C5"/>
    <w:rPr>
      <w:color w:val="954F72" w:themeColor="followedHyperlink"/>
      <w:u w:val="single"/>
    </w:rPr>
  </w:style>
  <w:style w:type="paragraph" w:customStyle="1" w:styleId="BodyText12pt">
    <w:name w:val="Body Text + 12pt"/>
    <w:basedOn w:val="BodyText"/>
    <w:link w:val="BodyText12ptChar"/>
    <w:rsid w:val="0029325D"/>
    <w:pPr>
      <w:widowControl/>
      <w:autoSpaceDE/>
      <w:autoSpaceDN/>
      <w:adjustRightInd/>
      <w:spacing w:after="0"/>
    </w:pPr>
    <w:rPr>
      <w:szCs w:val="20"/>
    </w:rPr>
  </w:style>
  <w:style w:type="character" w:customStyle="1" w:styleId="BodyText12ptChar">
    <w:name w:val="Body Text + 12pt Char"/>
    <w:link w:val="BodyText12pt"/>
    <w:locked/>
    <w:rsid w:val="0029325D"/>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9325D"/>
    <w:pPr>
      <w:spacing w:after="120"/>
    </w:pPr>
  </w:style>
  <w:style w:type="character" w:customStyle="1" w:styleId="BodyTextChar">
    <w:name w:val="Body Text Char"/>
    <w:basedOn w:val="DefaultParagraphFont"/>
    <w:link w:val="BodyText"/>
    <w:uiPriority w:val="99"/>
    <w:semiHidden/>
    <w:rsid w:val="0029325D"/>
    <w:rPr>
      <w:rFonts w:ascii="Courier" w:eastAsia="Times New Roman" w:hAnsi="Courier" w:cs="Times New Roman"/>
      <w:sz w:val="24"/>
      <w:szCs w:val="24"/>
    </w:rPr>
  </w:style>
  <w:style w:type="paragraph" w:styleId="NoSpacing">
    <w:name w:val="No Spacing"/>
    <w:uiPriority w:val="1"/>
    <w:qFormat/>
    <w:rsid w:val="004F27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F2736"/>
    <w:rPr>
      <w:rFonts w:ascii="Times New Roman" w:hAnsi="Times New Roman" w:eastAsiaTheme="majorEastAsia" w:cstheme="majorBidi"/>
      <w:color w:val="000000" w:themeColor="text1"/>
      <w:sz w:val="24"/>
      <w:szCs w:val="26"/>
    </w:rPr>
  </w:style>
  <w:style w:type="character" w:styleId="Strong">
    <w:name w:val="Strong"/>
    <w:basedOn w:val="DefaultParagraphFont"/>
    <w:uiPriority w:val="22"/>
    <w:qFormat/>
    <w:rsid w:val="004F2736"/>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edscope.opm.gov/" TargetMode="External" /><Relationship Id="rId7" Type="http://schemas.openxmlformats.org/officeDocument/2006/relationships/hyperlink" Target="https://www.dol.gov/sites/dolgov/files/general/budget/2025/CBJ-2025-V2-13.pdf"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4396</Words>
  <Characters>24798</Characters>
  <Application>Microsoft Office Word</Application>
  <DocSecurity>0</DocSecurity>
  <Lines>826</Lines>
  <Paragraphs>384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3</cp:revision>
  <dcterms:created xsi:type="dcterms:W3CDTF">2026-01-29T13:17:00Z</dcterms:created>
  <dcterms:modified xsi:type="dcterms:W3CDTF">2026-01-29T16:11:00Z</dcterms:modified>
</cp:coreProperties>
</file>