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1A68" w:rsidRPr="0022768C" w:rsidP="00AC1A68" w14:paraId="02E6AA90" w14:textId="77777777">
      <w:pPr>
        <w:pStyle w:val="Title"/>
      </w:pPr>
      <w:r w:rsidRPr="0022768C">
        <w:rPr>
          <w:sz w:val="36"/>
        </w:rPr>
        <w:t xml:space="preserve">Supporting Statement  </w:t>
      </w:r>
      <w:r w:rsidRPr="0022768C">
        <w:t xml:space="preserve"> </w:t>
      </w:r>
    </w:p>
    <w:p w:rsidR="00AC1A68" w:rsidP="00FF7D70" w14:paraId="662A16D3" w14:textId="77777777">
      <w:pPr>
        <w:pStyle w:val="Subtitle"/>
        <w:spacing w:after="0" w:line="240" w:lineRule="auto"/>
      </w:pPr>
      <w:r w:rsidRPr="00AB6A41">
        <w:t>OMB N</w:t>
      </w:r>
      <w:r>
        <w:t>umber</w:t>
      </w:r>
      <w:r w:rsidRPr="00AB6A41">
        <w:t xml:space="preserve"> 15</w:t>
      </w:r>
      <w:r>
        <w:t>3</w:t>
      </w:r>
      <w:r w:rsidRPr="00AB6A41">
        <w:t>0-00</w:t>
      </w:r>
      <w:r>
        <w:t>02</w:t>
      </w:r>
    </w:p>
    <w:p w:rsidR="00284B7F" w:rsidRPr="00AB6A41" w:rsidP="00FF7D70" w14:paraId="77BA858D" w14:textId="518742DE">
      <w:pPr>
        <w:pStyle w:val="Subtitle"/>
        <w:spacing w:after="0" w:line="240" w:lineRule="auto"/>
      </w:pPr>
      <w:r>
        <w:t xml:space="preserve">FS Form 150.1 </w:t>
      </w:r>
      <w:r w:rsidR="00841736">
        <w:t>– “Trace Request for</w:t>
      </w:r>
      <w:r w:rsidR="008801D2">
        <w:t xml:space="preserve"> Direct Deposit ACH</w:t>
      </w:r>
      <w:r w:rsidR="00841736">
        <w:t xml:space="preserve"> Payment” </w:t>
      </w:r>
    </w:p>
    <w:p w:rsidR="00284B7F" w:rsidRPr="00AB6A41" w:rsidP="00EA6BBA" w14:paraId="49A26E74" w14:textId="77777777">
      <w:pPr>
        <w:jc w:val="center"/>
        <w:rPr>
          <w:rFonts w:ascii="Times New Roman" w:hAnsi="Times New Roman"/>
          <w:b/>
          <w:sz w:val="24"/>
          <w:szCs w:val="24"/>
        </w:rPr>
      </w:pPr>
    </w:p>
    <w:p w:rsidR="00284B7F" w:rsidP="00AB6A41" w14:paraId="77743845" w14:textId="77777777">
      <w:pPr>
        <w:pStyle w:val="ListParagraph"/>
        <w:numPr>
          <w:ilvl w:val="0"/>
          <w:numId w:val="2"/>
        </w:numPr>
        <w:tabs>
          <w:tab w:val="left" w:pos="540"/>
        </w:tabs>
        <w:spacing w:after="0" w:line="240" w:lineRule="auto"/>
        <w:ind w:left="535" w:hanging="535" w:hangingChars="223"/>
        <w:rPr>
          <w:rFonts w:ascii="Times New Roman" w:hAnsi="Times New Roman"/>
          <w:b/>
          <w:sz w:val="24"/>
          <w:szCs w:val="24"/>
          <w:u w:val="single"/>
        </w:rPr>
      </w:pPr>
      <w:r>
        <w:rPr>
          <w:rFonts w:ascii="Times New Roman" w:hAnsi="Times New Roman"/>
          <w:b/>
          <w:sz w:val="24"/>
          <w:szCs w:val="24"/>
          <w:u w:val="single"/>
        </w:rPr>
        <w:t>Justification</w:t>
      </w:r>
    </w:p>
    <w:p w:rsidR="00AB6A41" w:rsidRPr="00AB6A41" w:rsidP="00AB6A41" w14:paraId="409FB0FE" w14:textId="77777777">
      <w:pPr>
        <w:pStyle w:val="ListParagraph"/>
        <w:tabs>
          <w:tab w:val="left" w:pos="540"/>
        </w:tabs>
        <w:spacing w:after="0" w:line="240" w:lineRule="auto"/>
        <w:ind w:left="537"/>
        <w:rPr>
          <w:rFonts w:ascii="Times New Roman" w:hAnsi="Times New Roman"/>
          <w:b/>
          <w:sz w:val="24"/>
          <w:szCs w:val="24"/>
          <w:u w:val="single"/>
        </w:rPr>
      </w:pPr>
    </w:p>
    <w:p w:rsidR="00284B7F" w:rsidRPr="003D057F" w:rsidP="00E72CD1" w14:paraId="7D6F5E46" w14:textId="4732EEAE">
      <w:pPr>
        <w:pStyle w:val="NoSpacing"/>
        <w:numPr>
          <w:ilvl w:val="0"/>
          <w:numId w:val="5"/>
        </w:numPr>
        <w:tabs>
          <w:tab w:val="left" w:pos="540"/>
        </w:tabs>
        <w:ind w:left="535" w:hanging="535" w:hangingChars="223"/>
        <w:rPr>
          <w:rFonts w:ascii="Times New Roman" w:hAnsi="Times New Roman"/>
          <w:b/>
          <w:sz w:val="24"/>
          <w:szCs w:val="24"/>
        </w:rPr>
      </w:pPr>
      <w:r w:rsidRPr="00AB6A41">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63132" w:rsidRPr="003D057F" w:rsidP="003D057F" w14:paraId="0D12A662" w14:textId="5DE72305">
      <w:pPr>
        <w:spacing w:before="120" w:after="120" w:line="240" w:lineRule="atLeast"/>
        <w:ind w:left="630"/>
        <w:rPr>
          <w:rFonts w:ascii="Times New Roman" w:hAnsi="Times New Roman"/>
          <w:color w:val="000000"/>
          <w:sz w:val="24"/>
          <w:szCs w:val="24"/>
        </w:rPr>
      </w:pPr>
      <w:r w:rsidRPr="003D057F">
        <w:rPr>
          <w:rFonts w:ascii="Times New Roman" w:hAnsi="Times New Roman"/>
          <w:sz w:val="24"/>
          <w:szCs w:val="24"/>
        </w:rPr>
        <w:t>W</w:t>
      </w:r>
      <w:r w:rsidRPr="003D057F">
        <w:rPr>
          <w:rFonts w:ascii="Times New Roman" w:hAnsi="Times New Roman"/>
          <w:sz w:val="24"/>
          <w:szCs w:val="24"/>
        </w:rPr>
        <w:t>hen a p</w:t>
      </w:r>
      <w:r w:rsidRPr="003D057F">
        <w:rPr>
          <w:rFonts w:ascii="Times New Roman" w:hAnsi="Times New Roman"/>
          <w:color w:val="000000"/>
          <w:sz w:val="24"/>
          <w:szCs w:val="24"/>
        </w:rPr>
        <w:t>ayee</w:t>
      </w:r>
      <w:r w:rsidRPr="003D057F">
        <w:rPr>
          <w:rFonts w:ascii="Times New Roman" w:hAnsi="Times New Roman"/>
          <w:color w:val="000000"/>
          <w:sz w:val="24"/>
          <w:szCs w:val="24"/>
        </w:rPr>
        <w:t>/recipient</w:t>
      </w:r>
      <w:r w:rsidRPr="003D057F">
        <w:rPr>
          <w:rFonts w:ascii="Times New Roman" w:hAnsi="Times New Roman"/>
          <w:color w:val="000000"/>
          <w:sz w:val="24"/>
          <w:szCs w:val="24"/>
        </w:rPr>
        <w:t xml:space="preserve"> reports non-receipt, of their </w:t>
      </w:r>
      <w:r w:rsidRPr="003D057F">
        <w:rPr>
          <w:rFonts w:ascii="Times New Roman" w:hAnsi="Times New Roman"/>
          <w:color w:val="000000"/>
          <w:sz w:val="24"/>
          <w:szCs w:val="24"/>
        </w:rPr>
        <w:t>Automated Clearing House (</w:t>
      </w:r>
      <w:r w:rsidRPr="003D057F">
        <w:rPr>
          <w:rFonts w:ascii="Times New Roman" w:hAnsi="Times New Roman"/>
          <w:color w:val="000000"/>
          <w:sz w:val="24"/>
          <w:szCs w:val="24"/>
        </w:rPr>
        <w:t>ACH</w:t>
      </w:r>
      <w:r w:rsidRPr="003D057F">
        <w:rPr>
          <w:rFonts w:ascii="Times New Roman" w:hAnsi="Times New Roman"/>
          <w:color w:val="000000"/>
          <w:sz w:val="24"/>
          <w:szCs w:val="24"/>
        </w:rPr>
        <w:t>)</w:t>
      </w:r>
      <w:r w:rsidRPr="003D057F" w:rsidR="00405BB5">
        <w:rPr>
          <w:rFonts w:ascii="Times New Roman" w:hAnsi="Times New Roman"/>
          <w:color w:val="000000"/>
          <w:sz w:val="24"/>
          <w:szCs w:val="24"/>
        </w:rPr>
        <w:t xml:space="preserve"> </w:t>
      </w:r>
      <w:r w:rsidRPr="003D057F">
        <w:rPr>
          <w:rFonts w:ascii="Times New Roman" w:hAnsi="Times New Roman"/>
          <w:color w:val="000000"/>
          <w:sz w:val="24"/>
          <w:szCs w:val="24"/>
        </w:rPr>
        <w:t>payment to the federal agency that authorized it.  The federal agency must submit a non-receipt action</w:t>
      </w:r>
      <w:r w:rsidRPr="003D057F" w:rsidR="00975B07">
        <w:rPr>
          <w:rFonts w:ascii="Times New Roman" w:hAnsi="Times New Roman"/>
          <w:color w:val="000000"/>
          <w:sz w:val="24"/>
          <w:szCs w:val="24"/>
        </w:rPr>
        <w:t xml:space="preserve"> </w:t>
      </w:r>
      <w:r w:rsidRPr="003D057F" w:rsidR="00405BB5">
        <w:rPr>
          <w:rFonts w:ascii="Times New Roman" w:hAnsi="Times New Roman"/>
          <w:color w:val="000000"/>
          <w:sz w:val="24"/>
          <w:szCs w:val="24"/>
        </w:rPr>
        <w:t xml:space="preserve">electronically </w:t>
      </w:r>
      <w:r w:rsidRPr="003D057F">
        <w:rPr>
          <w:rFonts w:ascii="Times New Roman" w:hAnsi="Times New Roman"/>
          <w:color w:val="000000"/>
          <w:sz w:val="24"/>
          <w:szCs w:val="24"/>
        </w:rPr>
        <w:t xml:space="preserve">through </w:t>
      </w:r>
      <w:r w:rsidRPr="003D057F" w:rsidR="00405BB5">
        <w:rPr>
          <w:rFonts w:ascii="Times New Roman" w:hAnsi="Times New Roman"/>
          <w:color w:val="000000"/>
          <w:sz w:val="24"/>
          <w:szCs w:val="24"/>
        </w:rPr>
        <w:t>Fiscal Service’s post payment system</w:t>
      </w:r>
      <w:r w:rsidRPr="003D057F">
        <w:rPr>
          <w:rFonts w:ascii="Times New Roman" w:hAnsi="Times New Roman"/>
          <w:color w:val="000000"/>
          <w:sz w:val="24"/>
          <w:szCs w:val="24"/>
        </w:rPr>
        <w:t xml:space="preserve"> to notify Fiscal Service of the reported loss.</w:t>
      </w:r>
    </w:p>
    <w:p w:rsidR="0023690D" w:rsidRPr="003D057F" w:rsidP="003D057F" w14:paraId="428AA032" w14:textId="105F8C72">
      <w:pPr>
        <w:autoSpaceDE w:val="0"/>
        <w:autoSpaceDN w:val="0"/>
        <w:adjustRightInd w:val="0"/>
        <w:spacing w:after="0" w:line="240" w:lineRule="auto"/>
        <w:ind w:left="630"/>
        <w:rPr>
          <w:rFonts w:ascii="Times New Roman" w:hAnsi="Times New Roman"/>
          <w:b/>
          <w:bCs/>
          <w:sz w:val="24"/>
          <w:szCs w:val="24"/>
        </w:rPr>
      </w:pPr>
      <w:r w:rsidRPr="003D057F">
        <w:rPr>
          <w:rFonts w:ascii="Times New Roman" w:hAnsi="Times New Roman"/>
          <w:sz w:val="24"/>
          <w:szCs w:val="24"/>
        </w:rPr>
        <w:t xml:space="preserve">Fiscal Service will research the claim by either the </w:t>
      </w:r>
      <w:bookmarkStart w:id="0" w:name="_Hlk97219039"/>
      <w:bookmarkStart w:id="1" w:name="_Hlk97219604"/>
      <w:r w:rsidRPr="003D057F">
        <w:rPr>
          <w:rFonts w:ascii="Times New Roman" w:hAnsi="Times New Roman"/>
          <w:sz w:val="24"/>
          <w:szCs w:val="24"/>
        </w:rPr>
        <w:t xml:space="preserve">Automated Clearinghouse </w:t>
      </w:r>
      <w:bookmarkEnd w:id="0"/>
      <w:r w:rsidRPr="003D057F">
        <w:rPr>
          <w:rFonts w:ascii="Times New Roman" w:hAnsi="Times New Roman"/>
          <w:sz w:val="24"/>
          <w:szCs w:val="24"/>
        </w:rPr>
        <w:t>(ACH</w:t>
      </w:r>
      <w:r w:rsidRPr="003D057F" w:rsidR="00CA5D9B">
        <w:rPr>
          <w:rFonts w:ascii="Times New Roman" w:hAnsi="Times New Roman"/>
          <w:sz w:val="24"/>
          <w:szCs w:val="24"/>
        </w:rPr>
        <w:t>)</w:t>
      </w:r>
      <w:r w:rsidRPr="003D057F">
        <w:rPr>
          <w:rFonts w:ascii="Times New Roman" w:hAnsi="Times New Roman"/>
          <w:sz w:val="24"/>
          <w:szCs w:val="24"/>
        </w:rPr>
        <w:t xml:space="preserve"> Non-Receipt claim process, </w:t>
      </w:r>
      <w:bookmarkEnd w:id="1"/>
      <w:r w:rsidRPr="003D057F">
        <w:rPr>
          <w:rFonts w:ascii="Times New Roman" w:hAnsi="Times New Roman"/>
          <w:sz w:val="24"/>
          <w:szCs w:val="24"/>
        </w:rPr>
        <w:t>or by using the traditional FS Form 150.1, Trace Request Form, to determine the status of the claim.</w:t>
      </w:r>
      <w:r w:rsidRPr="003D057F" w:rsidR="00284B7F">
        <w:rPr>
          <w:rFonts w:ascii="Times New Roman" w:hAnsi="Times New Roman"/>
          <w:sz w:val="24"/>
          <w:szCs w:val="24"/>
        </w:rPr>
        <w:t xml:space="preserve"> </w:t>
      </w:r>
      <w:r w:rsidRPr="003D057F" w:rsidR="00642857">
        <w:rPr>
          <w:rFonts w:ascii="Times New Roman" w:hAnsi="Times New Roman"/>
          <w:sz w:val="24"/>
          <w:szCs w:val="24"/>
        </w:rPr>
        <w:t xml:space="preserve"> </w:t>
      </w:r>
      <w:r w:rsidRPr="003D057F" w:rsidR="001A6E69">
        <w:rPr>
          <w:rFonts w:ascii="Times New Roman" w:hAnsi="Times New Roman"/>
          <w:sz w:val="24"/>
          <w:szCs w:val="24"/>
        </w:rPr>
        <w:t>Once notified,</w:t>
      </w:r>
      <w:r w:rsidRPr="003D057F" w:rsidR="00CA5D9B">
        <w:rPr>
          <w:rFonts w:ascii="Times New Roman" w:hAnsi="Times New Roman"/>
          <w:sz w:val="24"/>
          <w:szCs w:val="24"/>
        </w:rPr>
        <w:t xml:space="preserve"> </w:t>
      </w:r>
      <w:r w:rsidRPr="003D057F" w:rsidR="00FF7D70">
        <w:rPr>
          <w:rFonts w:ascii="Times New Roman" w:hAnsi="Times New Roman"/>
          <w:sz w:val="24"/>
          <w:szCs w:val="24"/>
        </w:rPr>
        <w:t>Fiscal Service</w:t>
      </w:r>
      <w:r w:rsidRPr="003D057F" w:rsidR="00284B7F">
        <w:rPr>
          <w:rFonts w:ascii="Times New Roman" w:hAnsi="Times New Roman"/>
          <w:sz w:val="24"/>
          <w:szCs w:val="24"/>
        </w:rPr>
        <w:t xml:space="preserve"> </w:t>
      </w:r>
      <w:r w:rsidRPr="003D057F" w:rsidR="001A6E69">
        <w:rPr>
          <w:rFonts w:ascii="Times New Roman" w:hAnsi="Times New Roman"/>
          <w:sz w:val="24"/>
          <w:szCs w:val="24"/>
        </w:rPr>
        <w:t>will contact f</w:t>
      </w:r>
      <w:r w:rsidRPr="003D057F" w:rsidR="00284B7F">
        <w:rPr>
          <w:rFonts w:ascii="Times New Roman" w:hAnsi="Times New Roman"/>
          <w:sz w:val="24"/>
          <w:szCs w:val="24"/>
        </w:rPr>
        <w:t xml:space="preserve">inancial institution (FI) </w:t>
      </w:r>
      <w:r w:rsidRPr="003D057F" w:rsidR="00763FAD">
        <w:rPr>
          <w:rFonts w:ascii="Times New Roman" w:hAnsi="Times New Roman"/>
          <w:sz w:val="24"/>
          <w:szCs w:val="24"/>
        </w:rPr>
        <w:t>to which the payment in question was directed</w:t>
      </w:r>
      <w:r w:rsidRPr="003D057F" w:rsidR="004C5755">
        <w:rPr>
          <w:rFonts w:ascii="Times New Roman" w:hAnsi="Times New Roman"/>
          <w:sz w:val="24"/>
          <w:szCs w:val="24"/>
        </w:rPr>
        <w:t xml:space="preserve">; </w:t>
      </w:r>
      <w:r w:rsidRPr="003D057F" w:rsidR="00763FAD">
        <w:rPr>
          <w:rFonts w:ascii="Times New Roman" w:hAnsi="Times New Roman"/>
          <w:sz w:val="24"/>
          <w:szCs w:val="24"/>
        </w:rPr>
        <w:t xml:space="preserve">also referred to as the Receiving Depository financial institution (RDFI) </w:t>
      </w:r>
      <w:r w:rsidRPr="003D057F" w:rsidR="00284B7F">
        <w:rPr>
          <w:rFonts w:ascii="Times New Roman" w:hAnsi="Times New Roman"/>
          <w:sz w:val="24"/>
          <w:szCs w:val="24"/>
        </w:rPr>
        <w:t>of the claim of non-receipt</w:t>
      </w:r>
      <w:r w:rsidRPr="003D057F" w:rsidR="001A6E69">
        <w:rPr>
          <w:rFonts w:ascii="Times New Roman" w:hAnsi="Times New Roman"/>
          <w:sz w:val="24"/>
          <w:szCs w:val="24"/>
        </w:rPr>
        <w:t xml:space="preserve">. </w:t>
      </w:r>
      <w:r w:rsidRPr="003D057F" w:rsidR="00284B7F">
        <w:rPr>
          <w:rFonts w:ascii="Times New Roman" w:hAnsi="Times New Roman"/>
          <w:sz w:val="24"/>
          <w:szCs w:val="24"/>
        </w:rPr>
        <w:t xml:space="preserve"> via </w:t>
      </w:r>
      <w:r w:rsidRPr="003D057F" w:rsidR="00284B7F">
        <w:rPr>
          <w:rFonts w:ascii="Times New Roman" w:hAnsi="Times New Roman"/>
          <w:sz w:val="24"/>
          <w:szCs w:val="24"/>
        </w:rPr>
        <w:t xml:space="preserve">the </w:t>
      </w:r>
      <w:r w:rsidRPr="003D057F" w:rsidR="00FF7D70">
        <w:rPr>
          <w:rFonts w:ascii="Times New Roman" w:hAnsi="Times New Roman"/>
          <w:sz w:val="24"/>
          <w:szCs w:val="24"/>
        </w:rPr>
        <w:t>FS</w:t>
      </w:r>
      <w:r w:rsidRPr="003D057F" w:rsidR="00FF7D70">
        <w:rPr>
          <w:rFonts w:ascii="Times New Roman" w:hAnsi="Times New Roman"/>
          <w:sz w:val="24"/>
          <w:szCs w:val="24"/>
        </w:rPr>
        <w:t xml:space="preserve"> Form</w:t>
      </w:r>
      <w:r w:rsidRPr="003D057F" w:rsidR="00284B7F">
        <w:rPr>
          <w:rFonts w:ascii="Times New Roman" w:hAnsi="Times New Roman"/>
          <w:sz w:val="24"/>
          <w:szCs w:val="24"/>
        </w:rPr>
        <w:t xml:space="preserve"> 150.1 </w:t>
      </w:r>
      <w:r w:rsidRPr="003D057F" w:rsidR="00B87406">
        <w:rPr>
          <w:rFonts w:ascii="Times New Roman" w:hAnsi="Times New Roman"/>
          <w:sz w:val="24"/>
          <w:szCs w:val="24"/>
        </w:rPr>
        <w:t xml:space="preserve">The FS Form 150.1 is used to trace all payments other than benefit payments. </w:t>
      </w:r>
      <w:r w:rsidRPr="003D057F" w:rsidR="00284B7F">
        <w:rPr>
          <w:rFonts w:ascii="Times New Roman" w:hAnsi="Times New Roman"/>
          <w:sz w:val="24"/>
          <w:szCs w:val="24"/>
        </w:rPr>
        <w:t>Regulations require financi</w:t>
      </w:r>
      <w:r w:rsidRPr="003D057F" w:rsidR="00FF7D70">
        <w:rPr>
          <w:rFonts w:ascii="Times New Roman" w:hAnsi="Times New Roman"/>
          <w:sz w:val="24"/>
          <w:szCs w:val="24"/>
        </w:rPr>
        <w:t xml:space="preserve">al institutions to respond to Fiscal </w:t>
      </w:r>
      <w:r w:rsidRPr="003D057F" w:rsidR="00284B7F">
        <w:rPr>
          <w:rFonts w:ascii="Times New Roman" w:hAnsi="Times New Roman"/>
          <w:sz w:val="24"/>
          <w:szCs w:val="24"/>
        </w:rPr>
        <w:t>S</w:t>
      </w:r>
      <w:r w:rsidRPr="003D057F" w:rsidR="00FF7D70">
        <w:rPr>
          <w:rFonts w:ascii="Times New Roman" w:hAnsi="Times New Roman"/>
          <w:sz w:val="24"/>
          <w:szCs w:val="24"/>
        </w:rPr>
        <w:t>ervice</w:t>
      </w:r>
      <w:r w:rsidRPr="003D057F" w:rsidR="00284B7F">
        <w:rPr>
          <w:rFonts w:ascii="Times New Roman" w:hAnsi="Times New Roman"/>
          <w:sz w:val="24"/>
          <w:szCs w:val="24"/>
        </w:rPr>
        <w:t xml:space="preserve"> within three (3) business days after receipt of the 150.1 form.</w:t>
      </w:r>
      <w:r w:rsidRPr="003D057F" w:rsidR="00642857">
        <w:rPr>
          <w:rFonts w:ascii="Times New Roman" w:hAnsi="Times New Roman"/>
          <w:sz w:val="24"/>
          <w:szCs w:val="24"/>
        </w:rPr>
        <w:t xml:space="preserve"> </w:t>
      </w:r>
      <w:r w:rsidRPr="003D057F" w:rsidR="00284B7F">
        <w:rPr>
          <w:rFonts w:ascii="Times New Roman" w:hAnsi="Times New Roman"/>
          <w:sz w:val="24"/>
          <w:szCs w:val="24"/>
        </w:rPr>
        <w:t xml:space="preserve"> Financial institutions return one copy of the form to Treasury. </w:t>
      </w:r>
      <w:r w:rsidRPr="003D057F" w:rsidR="00AB6A41">
        <w:rPr>
          <w:rFonts w:ascii="Times New Roman" w:hAnsi="Times New Roman"/>
          <w:sz w:val="24"/>
          <w:szCs w:val="24"/>
        </w:rPr>
        <w:t xml:space="preserve"> </w:t>
      </w:r>
      <w:r w:rsidRPr="003D057F" w:rsidR="00284B7F">
        <w:rPr>
          <w:rFonts w:ascii="Times New Roman" w:hAnsi="Times New Roman"/>
          <w:sz w:val="24"/>
          <w:szCs w:val="24"/>
        </w:rPr>
        <w:t xml:space="preserve">This information is collected by authority of 5 U.S.C. 301; 12 U.S.C. 391; </w:t>
      </w:r>
      <w:r w:rsidRPr="003D057F">
        <w:rPr>
          <w:rFonts w:ascii="Times New Roman" w:hAnsi="Times New Roman"/>
          <w:b/>
          <w:bCs/>
          <w:sz w:val="24"/>
          <w:szCs w:val="24"/>
        </w:rPr>
        <w:t>12 USC 3413(k)(2): Disclosure Necessary for Proper Administration of Programs of Certain Government Authorities</w:t>
      </w:r>
    </w:p>
    <w:p w:rsidR="0023690D" w:rsidRPr="003D057F" w:rsidP="003D057F" w14:paraId="68B2CD08" w14:textId="77777777">
      <w:pPr>
        <w:autoSpaceDE w:val="0"/>
        <w:autoSpaceDN w:val="0"/>
        <w:adjustRightInd w:val="0"/>
        <w:spacing w:after="0" w:line="240" w:lineRule="auto"/>
        <w:ind w:left="630"/>
        <w:rPr>
          <w:rFonts w:ascii="Times New Roman" w:hAnsi="Times New Roman"/>
          <w:b/>
          <w:bCs/>
          <w:sz w:val="24"/>
          <w:szCs w:val="24"/>
        </w:rPr>
      </w:pPr>
      <w:r w:rsidRPr="003D057F">
        <w:rPr>
          <w:rFonts w:ascii="Times New Roman" w:hAnsi="Times New Roman"/>
          <w:sz w:val="24"/>
          <w:szCs w:val="24"/>
        </w:rPr>
        <w:t xml:space="preserve">and </w:t>
      </w:r>
      <w:r w:rsidRPr="003D057F">
        <w:rPr>
          <w:rFonts w:ascii="Times New Roman" w:hAnsi="Times New Roman"/>
          <w:b/>
          <w:bCs/>
          <w:sz w:val="24"/>
          <w:szCs w:val="24"/>
        </w:rPr>
        <w:t>Title 31 CFR part 210.3(c): Federal Government Participation in the Automated Clearing</w:t>
      </w:r>
    </w:p>
    <w:p w:rsidR="0023690D" w:rsidRPr="003D057F" w:rsidP="003D057F" w14:paraId="2B8AF54F" w14:textId="4EE09AF4">
      <w:pPr>
        <w:autoSpaceDE w:val="0"/>
        <w:autoSpaceDN w:val="0"/>
        <w:adjustRightInd w:val="0"/>
        <w:spacing w:after="0" w:line="240" w:lineRule="atLeast"/>
        <w:ind w:left="630"/>
        <w:rPr>
          <w:rFonts w:ascii="Times New Roman" w:hAnsi="Times New Roman"/>
          <w:bCs/>
          <w:sz w:val="24"/>
          <w:szCs w:val="24"/>
        </w:rPr>
      </w:pPr>
      <w:r w:rsidRPr="003D057F">
        <w:rPr>
          <w:rFonts w:ascii="Times New Roman" w:hAnsi="Times New Roman"/>
          <w:b/>
          <w:bCs/>
          <w:sz w:val="24"/>
          <w:szCs w:val="24"/>
        </w:rPr>
        <w:t xml:space="preserve">House (ACH)  </w:t>
      </w:r>
    </w:p>
    <w:p w:rsidR="004C5755" w:rsidRPr="003D057F" w:rsidP="003D057F" w14:paraId="0A7C8283" w14:textId="222961C3">
      <w:pPr>
        <w:autoSpaceDE w:val="0"/>
        <w:autoSpaceDN w:val="0"/>
        <w:adjustRightInd w:val="0"/>
        <w:spacing w:after="0" w:line="240" w:lineRule="auto"/>
        <w:ind w:left="630"/>
        <w:rPr>
          <w:rFonts w:ascii="Times New Roman" w:hAnsi="Times New Roman"/>
          <w:sz w:val="24"/>
          <w:szCs w:val="24"/>
        </w:rPr>
      </w:pPr>
    </w:p>
    <w:p w:rsidR="004C5755" w:rsidRPr="003D057F" w:rsidP="003D057F" w14:paraId="7D0323F9" w14:textId="77777777">
      <w:pPr>
        <w:autoSpaceDE w:val="0"/>
        <w:autoSpaceDN w:val="0"/>
        <w:adjustRightInd w:val="0"/>
        <w:spacing w:after="0" w:line="240" w:lineRule="auto"/>
        <w:ind w:left="630"/>
        <w:rPr>
          <w:rFonts w:ascii="Times New Roman" w:hAnsi="Times New Roman"/>
          <w:b/>
          <w:bCs/>
          <w:sz w:val="24"/>
          <w:szCs w:val="24"/>
        </w:rPr>
      </w:pPr>
      <w:r w:rsidRPr="003D057F">
        <w:rPr>
          <w:rFonts w:ascii="Times New Roman" w:hAnsi="Times New Roman"/>
          <w:b/>
          <w:bCs/>
          <w:sz w:val="24"/>
          <w:szCs w:val="24"/>
        </w:rPr>
        <w:t>12 USC 3413(k)(2): Disclosure Necessary for Proper Administration of Programs of</w:t>
      </w:r>
    </w:p>
    <w:p w:rsidR="004C5755" w:rsidRPr="003D057F" w:rsidP="003D057F" w14:paraId="7C880ACE" w14:textId="77777777">
      <w:pPr>
        <w:autoSpaceDE w:val="0"/>
        <w:autoSpaceDN w:val="0"/>
        <w:adjustRightInd w:val="0"/>
        <w:spacing w:after="0" w:line="240" w:lineRule="auto"/>
        <w:ind w:left="630"/>
        <w:rPr>
          <w:rFonts w:ascii="Times New Roman" w:hAnsi="Times New Roman"/>
          <w:b/>
          <w:bCs/>
          <w:sz w:val="24"/>
          <w:szCs w:val="24"/>
        </w:rPr>
      </w:pPr>
      <w:r w:rsidRPr="003D057F">
        <w:rPr>
          <w:rFonts w:ascii="Times New Roman" w:hAnsi="Times New Roman"/>
          <w:b/>
          <w:bCs/>
          <w:sz w:val="24"/>
          <w:szCs w:val="24"/>
        </w:rPr>
        <w:t>Certain Government Authorities</w:t>
      </w:r>
    </w:p>
    <w:p w:rsidR="004C5755" w:rsidRPr="003D057F" w:rsidP="003D057F" w14:paraId="57C03AF9" w14:textId="5AF7984B">
      <w:pPr>
        <w:autoSpaceDE w:val="0"/>
        <w:autoSpaceDN w:val="0"/>
        <w:adjustRightInd w:val="0"/>
        <w:spacing w:after="0" w:line="240" w:lineRule="auto"/>
        <w:ind w:left="630"/>
        <w:rPr>
          <w:rFonts w:ascii="Times New Roman" w:hAnsi="Times New Roman"/>
          <w:sz w:val="24"/>
          <w:szCs w:val="24"/>
        </w:rPr>
      </w:pPr>
      <w:r w:rsidRPr="003D057F">
        <w:rPr>
          <w:rFonts w:ascii="Times New Roman" w:hAnsi="Times New Roman"/>
          <w:sz w:val="24"/>
          <w:szCs w:val="24"/>
        </w:rPr>
        <w:t>12 USC 3413 (k)(2) of the Right to Financial Privacy Act provides: “Nothing in this title shall apply</w:t>
      </w:r>
      <w:r w:rsidR="003D057F">
        <w:rPr>
          <w:rFonts w:ascii="Times New Roman" w:hAnsi="Times New Roman"/>
          <w:sz w:val="24"/>
          <w:szCs w:val="24"/>
        </w:rPr>
        <w:t xml:space="preserve"> </w:t>
      </w:r>
      <w:r w:rsidRPr="003D057F">
        <w:rPr>
          <w:rFonts w:ascii="Times New Roman" w:hAnsi="Times New Roman"/>
          <w:sz w:val="24"/>
          <w:szCs w:val="24"/>
        </w:rPr>
        <w:t>to the disclosure by the financial institution of information contained in the financial records of any</w:t>
      </w:r>
      <w:r w:rsidR="003D057F">
        <w:rPr>
          <w:rFonts w:ascii="Times New Roman" w:hAnsi="Times New Roman"/>
          <w:sz w:val="24"/>
          <w:szCs w:val="24"/>
        </w:rPr>
        <w:t xml:space="preserve"> </w:t>
      </w:r>
      <w:r w:rsidRPr="003D057F">
        <w:rPr>
          <w:rFonts w:ascii="Times New Roman" w:hAnsi="Times New Roman"/>
          <w:sz w:val="24"/>
          <w:szCs w:val="24"/>
        </w:rPr>
        <w:t>customer to any government authority that certifies, disburses, or collects payments, where the</w:t>
      </w:r>
      <w:r w:rsidR="003D057F">
        <w:rPr>
          <w:rFonts w:ascii="Times New Roman" w:hAnsi="Times New Roman"/>
          <w:sz w:val="24"/>
          <w:szCs w:val="24"/>
        </w:rPr>
        <w:t xml:space="preserve"> </w:t>
      </w:r>
      <w:r w:rsidRPr="003D057F">
        <w:rPr>
          <w:rFonts w:ascii="Times New Roman" w:hAnsi="Times New Roman"/>
          <w:sz w:val="24"/>
          <w:szCs w:val="24"/>
        </w:rPr>
        <w:t>disclosure of such information is necessary to and such information is used solely for the purpose of... the investigation or recovery of an improper federal payment...”</w:t>
      </w:r>
    </w:p>
    <w:p w:rsidR="004C5755" w:rsidRPr="003D057F" w:rsidP="003D057F" w14:paraId="2A5567C0" w14:textId="77777777">
      <w:pPr>
        <w:autoSpaceDE w:val="0"/>
        <w:autoSpaceDN w:val="0"/>
        <w:adjustRightInd w:val="0"/>
        <w:spacing w:after="0" w:line="240" w:lineRule="auto"/>
        <w:ind w:left="630"/>
        <w:rPr>
          <w:rFonts w:ascii="Times New Roman" w:hAnsi="Times New Roman"/>
          <w:sz w:val="24"/>
          <w:szCs w:val="24"/>
        </w:rPr>
      </w:pPr>
    </w:p>
    <w:p w:rsidR="004C5755" w:rsidRPr="003D057F" w:rsidP="003D057F" w14:paraId="50B8258D" w14:textId="77777777">
      <w:pPr>
        <w:autoSpaceDE w:val="0"/>
        <w:autoSpaceDN w:val="0"/>
        <w:adjustRightInd w:val="0"/>
        <w:spacing w:after="0" w:line="240" w:lineRule="auto"/>
        <w:ind w:left="630"/>
        <w:rPr>
          <w:rFonts w:ascii="Times New Roman" w:hAnsi="Times New Roman"/>
          <w:b/>
          <w:bCs/>
          <w:sz w:val="24"/>
          <w:szCs w:val="24"/>
        </w:rPr>
      </w:pPr>
      <w:bookmarkStart w:id="2" w:name="_Hlk97303281"/>
      <w:r w:rsidRPr="003D057F">
        <w:rPr>
          <w:rFonts w:ascii="Times New Roman" w:hAnsi="Times New Roman"/>
          <w:b/>
          <w:bCs/>
          <w:sz w:val="24"/>
          <w:szCs w:val="24"/>
        </w:rPr>
        <w:t>Title 31 CFR part 210.3(c): Federal Government Participation in the Automated Clearing</w:t>
      </w:r>
    </w:p>
    <w:p w:rsidR="004C5755" w:rsidRPr="003D057F" w:rsidP="003D057F" w14:paraId="43856B76" w14:textId="77777777">
      <w:pPr>
        <w:autoSpaceDE w:val="0"/>
        <w:autoSpaceDN w:val="0"/>
        <w:adjustRightInd w:val="0"/>
        <w:spacing w:after="0" w:line="240" w:lineRule="auto"/>
        <w:ind w:left="630"/>
        <w:rPr>
          <w:rFonts w:ascii="Times New Roman" w:hAnsi="Times New Roman"/>
          <w:b/>
          <w:bCs/>
          <w:sz w:val="24"/>
          <w:szCs w:val="24"/>
        </w:rPr>
      </w:pPr>
      <w:r w:rsidRPr="003D057F">
        <w:rPr>
          <w:rFonts w:ascii="Times New Roman" w:hAnsi="Times New Roman"/>
          <w:b/>
          <w:bCs/>
          <w:sz w:val="24"/>
          <w:szCs w:val="24"/>
        </w:rPr>
        <w:t>House (ACH)</w:t>
      </w:r>
    </w:p>
    <w:bookmarkEnd w:id="2"/>
    <w:p w:rsidR="00284B7F" w:rsidRPr="003D057F" w:rsidP="003D057F" w14:paraId="446322FF" w14:textId="14802805">
      <w:pPr>
        <w:autoSpaceDE w:val="0"/>
        <w:autoSpaceDN w:val="0"/>
        <w:adjustRightInd w:val="0"/>
        <w:spacing w:after="0" w:line="240" w:lineRule="auto"/>
        <w:ind w:left="630"/>
        <w:rPr>
          <w:rFonts w:ascii="Times New Roman" w:hAnsi="Times New Roman"/>
          <w:sz w:val="24"/>
          <w:szCs w:val="24"/>
        </w:rPr>
      </w:pPr>
      <w:r w:rsidRPr="003D057F">
        <w:rPr>
          <w:rFonts w:ascii="Times New Roman" w:hAnsi="Times New Roman"/>
          <w:sz w:val="24"/>
          <w:szCs w:val="24"/>
        </w:rPr>
        <w:t>Specifically, Title 31 CFR part 210.3(c) provides: “Any person or entity that originates or receives a</w:t>
      </w:r>
      <w:r w:rsidR="003D057F">
        <w:rPr>
          <w:rFonts w:ascii="Times New Roman" w:hAnsi="Times New Roman"/>
          <w:sz w:val="24"/>
          <w:szCs w:val="24"/>
        </w:rPr>
        <w:t xml:space="preserve"> </w:t>
      </w:r>
      <w:r w:rsidRPr="003D057F">
        <w:rPr>
          <w:rFonts w:ascii="Times New Roman" w:hAnsi="Times New Roman"/>
          <w:sz w:val="24"/>
          <w:szCs w:val="24"/>
        </w:rPr>
        <w:t xml:space="preserve">government entry agrees to be bound by this part and to comply with all </w:t>
      </w:r>
      <w:r w:rsidRPr="003D057F">
        <w:rPr>
          <w:rFonts w:ascii="Times New Roman" w:hAnsi="Times New Roman"/>
          <w:sz w:val="24"/>
          <w:szCs w:val="24"/>
        </w:rPr>
        <w:t>instructions and</w:t>
      </w:r>
      <w:r w:rsidR="003D057F">
        <w:rPr>
          <w:rFonts w:ascii="Times New Roman" w:hAnsi="Times New Roman"/>
          <w:sz w:val="24"/>
          <w:szCs w:val="24"/>
        </w:rPr>
        <w:t xml:space="preserve"> </w:t>
      </w:r>
      <w:r w:rsidRPr="003D057F">
        <w:rPr>
          <w:rFonts w:ascii="Times New Roman" w:hAnsi="Times New Roman"/>
          <w:sz w:val="24"/>
          <w:szCs w:val="24"/>
        </w:rPr>
        <w:t>procedures issued by the Service under this part including the Treasury Financial Manual and the</w:t>
      </w:r>
      <w:r w:rsidR="003D057F">
        <w:rPr>
          <w:rFonts w:ascii="Times New Roman" w:hAnsi="Times New Roman"/>
          <w:sz w:val="24"/>
          <w:szCs w:val="24"/>
        </w:rPr>
        <w:t xml:space="preserve"> </w:t>
      </w:r>
      <w:r w:rsidRPr="003D057F">
        <w:rPr>
          <w:rFonts w:ascii="Times New Roman" w:hAnsi="Times New Roman"/>
          <w:sz w:val="24"/>
          <w:szCs w:val="24"/>
        </w:rPr>
        <w:t>Green Book.”</w:t>
      </w:r>
    </w:p>
    <w:p w:rsidR="00782A8A" w:rsidRPr="00206D64" w:rsidP="0062757A" w14:paraId="708F3039" w14:textId="7FF25382">
      <w:pPr>
        <w:autoSpaceDE w:val="0"/>
        <w:autoSpaceDN w:val="0"/>
        <w:adjustRightInd w:val="0"/>
        <w:spacing w:after="0" w:line="240" w:lineRule="atLeast"/>
        <w:rPr>
          <w:bCs/>
        </w:rPr>
      </w:pPr>
    </w:p>
    <w:p w:rsidR="00782A8A" w:rsidRPr="00AB6A41" w:rsidP="003D057F" w14:paraId="0D9D8F4D" w14:textId="77777777">
      <w:pPr>
        <w:pStyle w:val="NoSpacing"/>
        <w:tabs>
          <w:tab w:val="left" w:pos="540"/>
        </w:tabs>
        <w:rPr>
          <w:rFonts w:ascii="Times New Roman" w:hAnsi="Times New Roman"/>
          <w:sz w:val="24"/>
          <w:szCs w:val="24"/>
        </w:rPr>
      </w:pPr>
    </w:p>
    <w:p w:rsidR="00284B7F" w:rsidRPr="00AB6A41" w:rsidP="00AB6A41" w14:paraId="2A427558" w14:textId="77777777">
      <w:pPr>
        <w:pStyle w:val="NoSpacing"/>
        <w:numPr>
          <w:ilvl w:val="0"/>
          <w:numId w:val="5"/>
        </w:numPr>
        <w:tabs>
          <w:tab w:val="left" w:pos="540"/>
        </w:tabs>
        <w:ind w:left="535" w:hanging="535" w:hangingChars="223"/>
        <w:rPr>
          <w:rFonts w:ascii="Times New Roman" w:hAnsi="Times New Roman"/>
          <w:b/>
          <w:sz w:val="24"/>
          <w:szCs w:val="24"/>
        </w:rPr>
      </w:pPr>
      <w:r w:rsidRPr="00AB6A41">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w:t>
      </w:r>
    </w:p>
    <w:p w:rsidR="00284B7F" w:rsidRPr="00AB6A41" w:rsidP="00975B07" w14:paraId="1DE20563" w14:textId="77777777">
      <w:pPr>
        <w:pStyle w:val="NoSpacing"/>
        <w:tabs>
          <w:tab w:val="left" w:pos="540"/>
        </w:tabs>
        <w:rPr>
          <w:rFonts w:ascii="Times New Roman" w:hAnsi="Times New Roman"/>
          <w:sz w:val="24"/>
          <w:szCs w:val="24"/>
        </w:rPr>
      </w:pPr>
    </w:p>
    <w:p w:rsidR="0062757A" w:rsidRPr="00AB6A41" w:rsidP="003D057F" w14:paraId="4207CE96" w14:textId="4EA76339">
      <w:pPr>
        <w:pStyle w:val="NoSpacing"/>
        <w:tabs>
          <w:tab w:val="left" w:pos="540"/>
        </w:tabs>
        <w:ind w:left="535" w:firstLine="5" w:leftChars="243" w:firstLineChars="2"/>
        <w:rPr>
          <w:rFonts w:ascii="Times New Roman" w:hAnsi="Times New Roman"/>
          <w:sz w:val="24"/>
          <w:szCs w:val="24"/>
        </w:rPr>
      </w:pPr>
      <w:r w:rsidRPr="00AB6A41">
        <w:rPr>
          <w:rFonts w:ascii="Times New Roman" w:hAnsi="Times New Roman"/>
          <w:sz w:val="24"/>
          <w:szCs w:val="24"/>
        </w:rPr>
        <w:t xml:space="preserve">The use of the </w:t>
      </w:r>
      <w:r w:rsidR="00FF7D70">
        <w:rPr>
          <w:rFonts w:ascii="Times New Roman" w:hAnsi="Times New Roman"/>
          <w:sz w:val="24"/>
          <w:szCs w:val="24"/>
        </w:rPr>
        <w:t>FS Form</w:t>
      </w:r>
      <w:r w:rsidRPr="00AB6A41">
        <w:rPr>
          <w:rFonts w:ascii="Times New Roman" w:hAnsi="Times New Roman"/>
          <w:sz w:val="24"/>
          <w:szCs w:val="24"/>
        </w:rPr>
        <w:t xml:space="preserve"> 150.1 is based on a process whereby </w:t>
      </w:r>
      <w:r w:rsidR="00FF7D70">
        <w:rPr>
          <w:rFonts w:ascii="Times New Roman" w:hAnsi="Times New Roman"/>
          <w:sz w:val="24"/>
          <w:szCs w:val="24"/>
        </w:rPr>
        <w:t>Fiscal Service</w:t>
      </w:r>
      <w:r w:rsidRPr="00AB6A41">
        <w:rPr>
          <w:rFonts w:ascii="Times New Roman" w:hAnsi="Times New Roman"/>
          <w:sz w:val="24"/>
          <w:szCs w:val="24"/>
        </w:rPr>
        <w:t xml:space="preserve"> mails </w:t>
      </w:r>
      <w:r w:rsidR="00CA5D9B">
        <w:rPr>
          <w:rFonts w:ascii="Times New Roman" w:hAnsi="Times New Roman"/>
          <w:sz w:val="24"/>
          <w:szCs w:val="24"/>
        </w:rPr>
        <w:t xml:space="preserve">the </w:t>
      </w:r>
      <w:r w:rsidRPr="00AB6A41">
        <w:rPr>
          <w:rFonts w:ascii="Times New Roman" w:hAnsi="Times New Roman"/>
          <w:sz w:val="24"/>
          <w:szCs w:val="24"/>
        </w:rPr>
        <w:t>claim</w:t>
      </w:r>
      <w:r w:rsidR="00CA5D9B">
        <w:rPr>
          <w:rFonts w:ascii="Times New Roman" w:hAnsi="Times New Roman"/>
          <w:sz w:val="24"/>
          <w:szCs w:val="24"/>
        </w:rPr>
        <w:t>s</w:t>
      </w:r>
      <w:r w:rsidR="003D057F">
        <w:rPr>
          <w:rFonts w:ascii="Times New Roman" w:hAnsi="Times New Roman"/>
          <w:sz w:val="24"/>
          <w:szCs w:val="24"/>
        </w:rPr>
        <w:t xml:space="preserve"> </w:t>
      </w:r>
      <w:r w:rsidRPr="00AB6A41">
        <w:rPr>
          <w:rFonts w:ascii="Times New Roman" w:hAnsi="Times New Roman"/>
          <w:sz w:val="24"/>
          <w:szCs w:val="24"/>
        </w:rPr>
        <w:t>form to the</w:t>
      </w:r>
      <w:r w:rsidR="00CA5D9B">
        <w:rPr>
          <w:rFonts w:ascii="Times New Roman" w:hAnsi="Times New Roman"/>
          <w:sz w:val="24"/>
          <w:szCs w:val="24"/>
        </w:rPr>
        <w:t xml:space="preserve"> financial institution</w:t>
      </w:r>
      <w:r w:rsidRPr="00AB6A41">
        <w:rPr>
          <w:rFonts w:ascii="Times New Roman" w:hAnsi="Times New Roman"/>
          <w:sz w:val="24"/>
          <w:szCs w:val="24"/>
        </w:rPr>
        <w:t xml:space="preserve"> o which the payment in question was directed</w:t>
      </w:r>
      <w:r w:rsidR="00CA5D9B">
        <w:rPr>
          <w:rFonts w:ascii="Times New Roman" w:hAnsi="Times New Roman"/>
          <w:sz w:val="24"/>
          <w:szCs w:val="24"/>
        </w:rPr>
        <w:t xml:space="preserve"> also referred to as</w:t>
      </w:r>
      <w:r w:rsidR="003D057F">
        <w:rPr>
          <w:rFonts w:ascii="Times New Roman" w:hAnsi="Times New Roman"/>
          <w:sz w:val="24"/>
          <w:szCs w:val="24"/>
        </w:rPr>
        <w:t xml:space="preserve"> </w:t>
      </w:r>
      <w:r w:rsidR="00CA5D9B">
        <w:rPr>
          <w:rFonts w:ascii="Times New Roman" w:hAnsi="Times New Roman"/>
          <w:sz w:val="24"/>
          <w:szCs w:val="24"/>
        </w:rPr>
        <w:t xml:space="preserve">the Receiving Depository </w:t>
      </w:r>
      <w:r w:rsidRPr="00AB6A41" w:rsidR="00CA5D9B">
        <w:rPr>
          <w:rFonts w:ascii="Times New Roman" w:hAnsi="Times New Roman"/>
          <w:sz w:val="24"/>
          <w:szCs w:val="24"/>
        </w:rPr>
        <w:t>financial institution</w:t>
      </w:r>
      <w:r w:rsidR="00CA5D9B">
        <w:rPr>
          <w:rFonts w:ascii="Times New Roman" w:hAnsi="Times New Roman"/>
          <w:sz w:val="24"/>
          <w:szCs w:val="24"/>
        </w:rPr>
        <w:t xml:space="preserve"> (RDFI)</w:t>
      </w:r>
      <w:r w:rsidR="00AB6A41">
        <w:rPr>
          <w:rFonts w:ascii="Times New Roman" w:hAnsi="Times New Roman"/>
          <w:sz w:val="24"/>
          <w:szCs w:val="24"/>
        </w:rPr>
        <w:t xml:space="preserve"> </w:t>
      </w:r>
      <w:r w:rsidRPr="00AB6A41">
        <w:rPr>
          <w:rFonts w:ascii="Times New Roman" w:hAnsi="Times New Roman"/>
          <w:sz w:val="24"/>
          <w:szCs w:val="24"/>
        </w:rPr>
        <w:t>It is important to note that this process is</w:t>
      </w:r>
      <w:r w:rsidR="003D057F">
        <w:rPr>
          <w:rFonts w:ascii="Times New Roman" w:hAnsi="Times New Roman"/>
          <w:sz w:val="24"/>
          <w:szCs w:val="24"/>
        </w:rPr>
        <w:t xml:space="preserve"> </w:t>
      </w:r>
      <w:r w:rsidRPr="00AB6A41">
        <w:rPr>
          <w:rFonts w:ascii="Times New Roman" w:hAnsi="Times New Roman"/>
          <w:sz w:val="24"/>
          <w:szCs w:val="24"/>
        </w:rPr>
        <w:t>primarily utilized by claims of non-receipt related to Internal Revenue Service (IRS) payments,</w:t>
      </w:r>
      <w:r w:rsidR="003D057F">
        <w:rPr>
          <w:rFonts w:ascii="Times New Roman" w:hAnsi="Times New Roman"/>
          <w:sz w:val="24"/>
          <w:szCs w:val="24"/>
        </w:rPr>
        <w:t xml:space="preserve"> </w:t>
      </w:r>
      <w:r w:rsidRPr="00AB6A41">
        <w:rPr>
          <w:rFonts w:ascii="Times New Roman" w:hAnsi="Times New Roman"/>
          <w:sz w:val="24"/>
          <w:szCs w:val="24"/>
        </w:rPr>
        <w:t xml:space="preserve">in addition to other smaller payment types. </w:t>
      </w:r>
      <w:r w:rsidR="00AB6A41">
        <w:rPr>
          <w:rFonts w:ascii="Times New Roman" w:hAnsi="Times New Roman"/>
          <w:sz w:val="24"/>
          <w:szCs w:val="24"/>
        </w:rPr>
        <w:t xml:space="preserve"> </w:t>
      </w:r>
      <w:r w:rsidRPr="00AB6A41">
        <w:rPr>
          <w:rFonts w:ascii="Times New Roman" w:hAnsi="Times New Roman"/>
          <w:sz w:val="24"/>
          <w:szCs w:val="24"/>
        </w:rPr>
        <w:t xml:space="preserve">The </w:t>
      </w:r>
      <w:r w:rsidR="00FF7D70">
        <w:rPr>
          <w:rFonts w:ascii="Times New Roman" w:hAnsi="Times New Roman"/>
          <w:sz w:val="24"/>
          <w:szCs w:val="24"/>
        </w:rPr>
        <w:t>FS</w:t>
      </w:r>
      <w:r w:rsidR="00FF7D70">
        <w:rPr>
          <w:rFonts w:ascii="Times New Roman" w:hAnsi="Times New Roman"/>
          <w:sz w:val="24"/>
          <w:szCs w:val="24"/>
        </w:rPr>
        <w:t xml:space="preserve"> Form</w:t>
      </w:r>
      <w:r w:rsidRPr="00AB6A41">
        <w:rPr>
          <w:rFonts w:ascii="Times New Roman" w:hAnsi="Times New Roman"/>
          <w:sz w:val="24"/>
          <w:szCs w:val="24"/>
        </w:rPr>
        <w:t xml:space="preserve"> 150.1 </w:t>
      </w:r>
      <w:r w:rsidRPr="00AB6A41">
        <w:rPr>
          <w:rFonts w:ascii="Times New Roman" w:hAnsi="Times New Roman"/>
          <w:sz w:val="24"/>
          <w:szCs w:val="24"/>
        </w:rPr>
        <w:t>display</w:t>
      </w:r>
      <w:r w:rsidRPr="00AB6A41">
        <w:rPr>
          <w:rFonts w:ascii="Times New Roman" w:hAnsi="Times New Roman"/>
          <w:sz w:val="24"/>
          <w:szCs w:val="24"/>
        </w:rPr>
        <w:t xml:space="preserve"> </w:t>
      </w:r>
      <w:r w:rsidRPr="00AB6A41">
        <w:rPr>
          <w:rFonts w:ascii="Times New Roman" w:hAnsi="Times New Roman"/>
          <w:sz w:val="24"/>
          <w:szCs w:val="24"/>
        </w:rPr>
        <w:t>all of</w:t>
      </w:r>
      <w:r w:rsidRPr="00AB6A41">
        <w:rPr>
          <w:rFonts w:ascii="Times New Roman" w:hAnsi="Times New Roman"/>
          <w:sz w:val="24"/>
          <w:szCs w:val="24"/>
        </w:rPr>
        <w:t xml:space="preserve"> the pertinent</w:t>
      </w:r>
      <w:r w:rsidR="003D057F">
        <w:rPr>
          <w:rFonts w:ascii="Times New Roman" w:hAnsi="Times New Roman"/>
          <w:sz w:val="24"/>
          <w:szCs w:val="24"/>
        </w:rPr>
        <w:t xml:space="preserve"> </w:t>
      </w:r>
      <w:r w:rsidRPr="00AB6A41">
        <w:rPr>
          <w:rFonts w:ascii="Times New Roman" w:hAnsi="Times New Roman"/>
          <w:sz w:val="24"/>
          <w:szCs w:val="24"/>
        </w:rPr>
        <w:t xml:space="preserve">payment information to help the FI </w:t>
      </w:r>
      <w:r w:rsidRPr="00AB6A41">
        <w:rPr>
          <w:rFonts w:ascii="Times New Roman" w:hAnsi="Times New Roman"/>
          <w:sz w:val="24"/>
          <w:szCs w:val="24"/>
        </w:rPr>
        <w:t>identity</w:t>
      </w:r>
      <w:r w:rsidRPr="00AB6A41">
        <w:rPr>
          <w:rFonts w:ascii="Times New Roman" w:hAnsi="Times New Roman"/>
          <w:sz w:val="24"/>
          <w:szCs w:val="24"/>
        </w:rPr>
        <w:t xml:space="preserve"> the payment. </w:t>
      </w:r>
      <w:r w:rsidR="00AB6A41">
        <w:rPr>
          <w:rFonts w:ascii="Times New Roman" w:hAnsi="Times New Roman"/>
          <w:sz w:val="24"/>
          <w:szCs w:val="24"/>
        </w:rPr>
        <w:t xml:space="preserve"> </w:t>
      </w:r>
      <w:r w:rsidRPr="00AB6A41">
        <w:rPr>
          <w:rFonts w:ascii="Times New Roman" w:hAnsi="Times New Roman"/>
          <w:sz w:val="24"/>
          <w:szCs w:val="24"/>
        </w:rPr>
        <w:t>The financial institution completes the</w:t>
      </w:r>
      <w:r w:rsidR="003D057F">
        <w:rPr>
          <w:rFonts w:ascii="Times New Roman" w:hAnsi="Times New Roman"/>
          <w:sz w:val="24"/>
          <w:szCs w:val="24"/>
        </w:rPr>
        <w:t xml:space="preserve"> </w:t>
      </w:r>
      <w:r w:rsidRPr="00AB6A41">
        <w:rPr>
          <w:rFonts w:ascii="Times New Roman" w:hAnsi="Times New Roman"/>
          <w:sz w:val="24"/>
          <w:szCs w:val="24"/>
        </w:rPr>
        <w:t>form, indicating the disposition of the payment and returns it to F</w:t>
      </w:r>
      <w:r w:rsidR="00FF7D70">
        <w:rPr>
          <w:rFonts w:ascii="Times New Roman" w:hAnsi="Times New Roman"/>
          <w:sz w:val="24"/>
          <w:szCs w:val="24"/>
        </w:rPr>
        <w:t>iscal Service</w:t>
      </w:r>
      <w:r w:rsidRPr="00AB6A41">
        <w:rPr>
          <w:rFonts w:ascii="Times New Roman" w:hAnsi="Times New Roman"/>
          <w:sz w:val="24"/>
          <w:szCs w:val="24"/>
        </w:rPr>
        <w:t>.</w:t>
      </w:r>
    </w:p>
    <w:p w:rsidR="00E72CD1" w:rsidP="003D057F" w14:paraId="552CD084" w14:textId="77777777">
      <w:pPr>
        <w:pStyle w:val="NoSpacing"/>
        <w:tabs>
          <w:tab w:val="left" w:pos="540"/>
        </w:tabs>
        <w:ind w:left="535" w:firstLine="4" w:leftChars="243" w:firstLineChars="2"/>
      </w:pPr>
    </w:p>
    <w:p w:rsidR="00192066" w:rsidP="003D057F" w14:paraId="51F1F579" w14:textId="535701AB">
      <w:pPr>
        <w:pStyle w:val="NoSpacing"/>
        <w:ind w:left="535" w:firstLine="5" w:leftChars="243" w:firstLineChars="2"/>
        <w:rPr>
          <w:rFonts w:ascii="Times New Roman" w:hAnsi="Times New Roman"/>
          <w:color w:val="000000"/>
          <w:sz w:val="24"/>
          <w:szCs w:val="24"/>
        </w:rPr>
      </w:pPr>
      <w:r w:rsidRPr="00E72CD1">
        <w:rPr>
          <w:rFonts w:ascii="Times New Roman" w:hAnsi="Times New Roman"/>
          <w:sz w:val="24"/>
          <w:szCs w:val="24"/>
        </w:rPr>
        <w:t xml:space="preserve">The information is required to determine the validity of the non-receipt claims.  The form is </w:t>
      </w:r>
      <w:r w:rsidR="00975B07">
        <w:rPr>
          <w:rFonts w:ascii="Times New Roman" w:hAnsi="Times New Roman"/>
          <w:sz w:val="24"/>
          <w:szCs w:val="24"/>
        </w:rPr>
        <w:t>d</w:t>
      </w:r>
      <w:r w:rsidRPr="00E72CD1">
        <w:rPr>
          <w:rFonts w:ascii="Times New Roman" w:hAnsi="Times New Roman"/>
          <w:sz w:val="24"/>
          <w:szCs w:val="24"/>
        </w:rPr>
        <w:t>esigned to</w:t>
      </w:r>
      <w:r w:rsidR="00E72CD1">
        <w:rPr>
          <w:rFonts w:ascii="Times New Roman" w:hAnsi="Times New Roman"/>
          <w:sz w:val="24"/>
          <w:szCs w:val="24"/>
        </w:rPr>
        <w:t xml:space="preserve"> </w:t>
      </w:r>
      <w:r w:rsidRPr="00E72CD1">
        <w:rPr>
          <w:rFonts w:ascii="Times New Roman" w:hAnsi="Times New Roman"/>
          <w:sz w:val="24"/>
          <w:szCs w:val="24"/>
        </w:rPr>
        <w:t>help the FI locate any problem and to keep the payee</w:t>
      </w:r>
      <w:r w:rsidRPr="00E72CD1" w:rsidR="0062757A">
        <w:rPr>
          <w:rFonts w:ascii="Times New Roman" w:hAnsi="Times New Roman"/>
          <w:sz w:val="24"/>
          <w:szCs w:val="24"/>
        </w:rPr>
        <w:t>/</w:t>
      </w:r>
      <w:r w:rsidRPr="00E72CD1">
        <w:rPr>
          <w:rFonts w:ascii="Times New Roman" w:hAnsi="Times New Roman"/>
          <w:sz w:val="24"/>
          <w:szCs w:val="24"/>
        </w:rPr>
        <w:t>recip</w:t>
      </w:r>
      <w:r w:rsidR="003D057F">
        <w:rPr>
          <w:rFonts w:ascii="Times New Roman" w:hAnsi="Times New Roman"/>
          <w:sz w:val="24"/>
          <w:szCs w:val="24"/>
        </w:rPr>
        <w:t>ie</w:t>
      </w:r>
      <w:r w:rsidRPr="00E72CD1">
        <w:rPr>
          <w:rFonts w:ascii="Times New Roman" w:hAnsi="Times New Roman"/>
          <w:sz w:val="24"/>
          <w:szCs w:val="24"/>
        </w:rPr>
        <w:t>nt informed of any action the FI takes.  If</w:t>
      </w:r>
      <w:r w:rsidR="00975B07">
        <w:rPr>
          <w:rFonts w:ascii="Times New Roman" w:hAnsi="Times New Roman"/>
          <w:sz w:val="24"/>
          <w:szCs w:val="24"/>
        </w:rPr>
        <w:t xml:space="preserve"> </w:t>
      </w:r>
      <w:r w:rsidRPr="00E72CD1">
        <w:rPr>
          <w:rFonts w:ascii="Times New Roman" w:hAnsi="Times New Roman"/>
          <w:sz w:val="24"/>
          <w:szCs w:val="24"/>
        </w:rPr>
        <w:t>the collection of information was not conducted, Treasury would not be able to respond to the nonreceipt claim and could not be assured that payments are being credited properly by FIs.</w:t>
      </w:r>
      <w:r w:rsidRPr="00E72CD1">
        <w:rPr>
          <w:rFonts w:ascii="Times New Roman" w:hAnsi="Times New Roman"/>
          <w:color w:val="000000"/>
          <w:sz w:val="24"/>
          <w:szCs w:val="24"/>
        </w:rPr>
        <w:t xml:space="preserve"> Financial</w:t>
      </w:r>
      <w:r w:rsidR="00975B07">
        <w:rPr>
          <w:rFonts w:ascii="Times New Roman" w:hAnsi="Times New Roman"/>
          <w:sz w:val="24"/>
          <w:szCs w:val="24"/>
        </w:rPr>
        <w:t xml:space="preserve"> </w:t>
      </w:r>
      <w:r w:rsidRPr="00E72CD1">
        <w:rPr>
          <w:rFonts w:ascii="Times New Roman" w:hAnsi="Times New Roman"/>
          <w:color w:val="000000"/>
          <w:sz w:val="24"/>
          <w:szCs w:val="24"/>
        </w:rPr>
        <w:t>institutions can be held liable for ACH payments not processed timely or correctly.</w:t>
      </w:r>
      <w:r w:rsidR="00975B07">
        <w:rPr>
          <w:rFonts w:ascii="Times New Roman" w:hAnsi="Times New Roman"/>
          <w:color w:val="000000"/>
          <w:sz w:val="24"/>
          <w:szCs w:val="24"/>
        </w:rPr>
        <w:t xml:space="preserve"> </w:t>
      </w:r>
      <w:r w:rsidRPr="00E72CD1">
        <w:rPr>
          <w:rFonts w:ascii="Times New Roman" w:hAnsi="Times New Roman"/>
          <w:color w:val="000000"/>
          <w:sz w:val="24"/>
          <w:szCs w:val="24"/>
        </w:rPr>
        <w:t>If the Federal</w:t>
      </w:r>
      <w:r w:rsidR="00975B07">
        <w:rPr>
          <w:rFonts w:ascii="Times New Roman" w:hAnsi="Times New Roman"/>
          <w:color w:val="000000"/>
          <w:sz w:val="24"/>
          <w:szCs w:val="24"/>
        </w:rPr>
        <w:t xml:space="preserve"> </w:t>
      </w:r>
      <w:r w:rsidRPr="00E72CD1">
        <w:rPr>
          <w:rFonts w:ascii="Times New Roman" w:hAnsi="Times New Roman"/>
          <w:color w:val="000000"/>
          <w:sz w:val="24"/>
          <w:szCs w:val="24"/>
        </w:rPr>
        <w:t xml:space="preserve">government sustains a loss </w:t>
      </w:r>
      <w:r w:rsidRPr="00E72CD1">
        <w:rPr>
          <w:rFonts w:ascii="Times New Roman" w:hAnsi="Times New Roman"/>
          <w:color w:val="000000"/>
          <w:sz w:val="24"/>
          <w:szCs w:val="24"/>
        </w:rPr>
        <w:t>as a result of</w:t>
      </w:r>
      <w:r w:rsidRPr="00E72CD1">
        <w:rPr>
          <w:rFonts w:ascii="Times New Roman" w:hAnsi="Times New Roman"/>
          <w:color w:val="000000"/>
          <w:sz w:val="24"/>
          <w:szCs w:val="24"/>
        </w:rPr>
        <w:t xml:space="preserve"> a financial institution's improper handling of an entry, the</w:t>
      </w:r>
      <w:r w:rsidR="00975B07">
        <w:rPr>
          <w:rFonts w:ascii="Times New Roman" w:hAnsi="Times New Roman"/>
          <w:color w:val="000000"/>
          <w:sz w:val="24"/>
          <w:szCs w:val="24"/>
        </w:rPr>
        <w:t xml:space="preserve"> </w:t>
      </w:r>
      <w:r w:rsidRPr="00E72CD1">
        <w:rPr>
          <w:rFonts w:ascii="Times New Roman" w:hAnsi="Times New Roman"/>
          <w:color w:val="000000"/>
          <w:sz w:val="24"/>
          <w:szCs w:val="24"/>
        </w:rPr>
        <w:t>financial institution is liable to the Federal government for the loss, up to the amount of the entry.</w:t>
      </w:r>
    </w:p>
    <w:p w:rsidR="00335992" w:rsidP="003D057F" w14:paraId="7E187E16" w14:textId="77777777">
      <w:pPr>
        <w:pStyle w:val="NoSpacing"/>
        <w:ind w:left="535" w:firstLine="5" w:leftChars="243" w:firstLineChars="2"/>
        <w:rPr>
          <w:rFonts w:ascii="Times New Roman" w:hAnsi="Times New Roman"/>
          <w:sz w:val="24"/>
          <w:szCs w:val="24"/>
        </w:rPr>
      </w:pPr>
    </w:p>
    <w:p w:rsidR="00335992" w:rsidRPr="00E72CD1" w:rsidP="003D057F" w14:paraId="4BE7DAA2" w14:textId="744199C6">
      <w:pPr>
        <w:pStyle w:val="NoSpacing"/>
        <w:ind w:left="535" w:firstLine="5" w:leftChars="243" w:firstLineChars="2"/>
        <w:rPr>
          <w:rFonts w:ascii="Times New Roman" w:hAnsi="Times New Roman"/>
          <w:color w:val="000000"/>
          <w:sz w:val="24"/>
          <w:szCs w:val="24"/>
        </w:rPr>
      </w:pPr>
      <w:r>
        <w:rPr>
          <w:rFonts w:ascii="Times New Roman" w:hAnsi="Times New Roman"/>
          <w:sz w:val="24"/>
          <w:szCs w:val="24"/>
        </w:rPr>
        <w:t xml:space="preserve">The </w:t>
      </w:r>
      <w:r w:rsidRPr="00AB6A41">
        <w:rPr>
          <w:rFonts w:ascii="Times New Roman" w:hAnsi="Times New Roman"/>
          <w:sz w:val="24"/>
          <w:szCs w:val="24"/>
        </w:rPr>
        <w:t>Teletrace</w:t>
      </w:r>
      <w:r w:rsidRPr="00AB6A41">
        <w:rPr>
          <w:rFonts w:ascii="Times New Roman" w:hAnsi="Times New Roman"/>
          <w:sz w:val="24"/>
          <w:szCs w:val="24"/>
        </w:rPr>
        <w:t xml:space="preserve"> process is a telephonic process by which F</w:t>
      </w:r>
      <w:r>
        <w:rPr>
          <w:rFonts w:ascii="Times New Roman" w:hAnsi="Times New Roman"/>
          <w:sz w:val="24"/>
          <w:szCs w:val="24"/>
        </w:rPr>
        <w:t xml:space="preserve">iscal </w:t>
      </w:r>
      <w:r w:rsidRPr="00AB6A41">
        <w:rPr>
          <w:rFonts w:ascii="Times New Roman" w:hAnsi="Times New Roman"/>
          <w:sz w:val="24"/>
          <w:szCs w:val="24"/>
        </w:rPr>
        <w:t>S</w:t>
      </w:r>
      <w:r>
        <w:rPr>
          <w:rFonts w:ascii="Times New Roman" w:hAnsi="Times New Roman"/>
          <w:sz w:val="24"/>
          <w:szCs w:val="24"/>
        </w:rPr>
        <w:t>ervice</w:t>
      </w:r>
      <w:r w:rsidRPr="00AB6A41">
        <w:rPr>
          <w:rFonts w:ascii="Times New Roman" w:hAnsi="Times New Roman"/>
          <w:sz w:val="24"/>
          <w:szCs w:val="24"/>
        </w:rPr>
        <w:t xml:space="preserve"> contacts financial institutions directly rather than utilizing the </w:t>
      </w:r>
      <w:r w:rsidRPr="00AB6A41">
        <w:rPr>
          <w:rFonts w:ascii="Times New Roman" w:hAnsi="Times New Roman"/>
          <w:sz w:val="24"/>
          <w:szCs w:val="24"/>
        </w:rPr>
        <w:t>forms based</w:t>
      </w:r>
      <w:r w:rsidRPr="00AB6A41">
        <w:rPr>
          <w:rFonts w:ascii="Times New Roman" w:hAnsi="Times New Roman"/>
          <w:sz w:val="24"/>
          <w:szCs w:val="24"/>
        </w:rPr>
        <w:t xml:space="preserve"> process. </w:t>
      </w:r>
      <w:r>
        <w:rPr>
          <w:rFonts w:ascii="Times New Roman" w:hAnsi="Times New Roman"/>
          <w:sz w:val="24"/>
          <w:szCs w:val="24"/>
        </w:rPr>
        <w:t xml:space="preserve"> </w:t>
      </w:r>
      <w:r w:rsidRPr="00AB6A41">
        <w:rPr>
          <w:rFonts w:ascii="Times New Roman" w:hAnsi="Times New Roman"/>
          <w:sz w:val="24"/>
          <w:szCs w:val="24"/>
        </w:rPr>
        <w:t xml:space="preserve">The process is used for Social Security Administration (SSA), Supplemental Security Insurance (SSI) and Veteran’s Administration (VA) claims of non-receipt, which represent </w:t>
      </w:r>
      <w:r w:rsidRPr="00AB6A41">
        <w:rPr>
          <w:rFonts w:ascii="Times New Roman" w:hAnsi="Times New Roman"/>
          <w:sz w:val="24"/>
          <w:szCs w:val="24"/>
        </w:rPr>
        <w:t>the overwhelming majority of</w:t>
      </w:r>
      <w:r w:rsidRPr="00AB6A41">
        <w:rPr>
          <w:rFonts w:ascii="Times New Roman" w:hAnsi="Times New Roman"/>
          <w:sz w:val="24"/>
          <w:szCs w:val="24"/>
        </w:rPr>
        <w:t xml:space="preserve"> non-receipt claims. </w:t>
      </w:r>
      <w:r>
        <w:rPr>
          <w:rFonts w:ascii="Times New Roman" w:hAnsi="Times New Roman"/>
          <w:sz w:val="24"/>
          <w:szCs w:val="24"/>
        </w:rPr>
        <w:t xml:space="preserve"> Fiscal </w:t>
      </w:r>
      <w:r w:rsidRPr="00AB6A41">
        <w:rPr>
          <w:rFonts w:ascii="Times New Roman" w:hAnsi="Times New Roman"/>
          <w:sz w:val="24"/>
          <w:szCs w:val="24"/>
        </w:rPr>
        <w:t>S</w:t>
      </w:r>
      <w:r>
        <w:rPr>
          <w:rFonts w:ascii="Times New Roman" w:hAnsi="Times New Roman"/>
          <w:sz w:val="24"/>
          <w:szCs w:val="24"/>
        </w:rPr>
        <w:t>ervice</w:t>
      </w:r>
      <w:r w:rsidRPr="00AB6A41">
        <w:rPr>
          <w:rFonts w:ascii="Times New Roman" w:hAnsi="Times New Roman"/>
          <w:sz w:val="24"/>
          <w:szCs w:val="24"/>
        </w:rPr>
        <w:t xml:space="preserve"> still has access to the above-mentioned information but does not send it to financial institution via forms. </w:t>
      </w:r>
      <w:r>
        <w:rPr>
          <w:rFonts w:ascii="Times New Roman" w:hAnsi="Times New Roman"/>
          <w:sz w:val="24"/>
          <w:szCs w:val="24"/>
        </w:rPr>
        <w:t xml:space="preserve"> </w:t>
      </w:r>
      <w:r w:rsidRPr="00AB6A41">
        <w:rPr>
          <w:rFonts w:ascii="Times New Roman" w:hAnsi="Times New Roman"/>
          <w:sz w:val="24"/>
          <w:szCs w:val="24"/>
        </w:rPr>
        <w:t>It is a more automated and electronic method of resolving claims of non-receipt.</w:t>
      </w:r>
    </w:p>
    <w:p w:rsidR="00284B7F" w:rsidRPr="00AB6A41" w:rsidP="00AB6A41" w14:paraId="22AED3D7" w14:textId="637B5FCF">
      <w:pPr>
        <w:pStyle w:val="NoSpacing"/>
        <w:tabs>
          <w:tab w:val="left" w:pos="540"/>
        </w:tabs>
        <w:ind w:left="535" w:hanging="535" w:hangingChars="223"/>
        <w:rPr>
          <w:rFonts w:ascii="Times New Roman" w:hAnsi="Times New Roman"/>
          <w:sz w:val="24"/>
          <w:szCs w:val="24"/>
        </w:rPr>
      </w:pPr>
      <w:r>
        <w:rPr>
          <w:rFonts w:ascii="Times New Roman" w:hAnsi="Times New Roman"/>
          <w:sz w:val="24"/>
          <w:szCs w:val="24"/>
        </w:rPr>
        <w:tab/>
      </w:r>
    </w:p>
    <w:p w:rsidR="00284B7F" w:rsidRPr="00AB6A41" w:rsidP="00AB6A41" w14:paraId="2801AA2F" w14:textId="77777777">
      <w:pPr>
        <w:pStyle w:val="NoSpacing"/>
        <w:tabs>
          <w:tab w:val="left" w:pos="540"/>
        </w:tabs>
        <w:ind w:left="535" w:hanging="535" w:hangingChars="223"/>
        <w:rPr>
          <w:rFonts w:ascii="Times New Roman" w:hAnsi="Times New Roman"/>
          <w:sz w:val="24"/>
          <w:szCs w:val="24"/>
        </w:rPr>
      </w:pPr>
    </w:p>
    <w:p w:rsidR="00284B7F" w:rsidRPr="00AB6A41" w:rsidP="00AB6A41" w14:paraId="62EAA710" w14:textId="77777777">
      <w:pPr>
        <w:pStyle w:val="NoSpacing"/>
        <w:numPr>
          <w:ilvl w:val="0"/>
          <w:numId w:val="5"/>
        </w:numPr>
        <w:tabs>
          <w:tab w:val="left" w:pos="540"/>
        </w:tabs>
        <w:ind w:left="535" w:hanging="535" w:hangingChars="223"/>
        <w:rPr>
          <w:rFonts w:ascii="Times New Roman" w:hAnsi="Times New Roman"/>
          <w:b/>
          <w:sz w:val="24"/>
          <w:szCs w:val="24"/>
        </w:rPr>
      </w:pPr>
      <w:r w:rsidRPr="00AB6A41">
        <w:rPr>
          <w:rFonts w:ascii="Times New Roman" w:hAnsi="Times New Roman"/>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AB6A41">
        <w:rPr>
          <w:rFonts w:ascii="Times New Roman" w:hAnsi="Times New Roman"/>
          <w:b/>
          <w:sz w:val="24"/>
          <w:szCs w:val="24"/>
        </w:rPr>
        <w:t>for adopting</w:t>
      </w:r>
      <w:r w:rsidRPr="00AB6A41">
        <w:rPr>
          <w:rFonts w:ascii="Times New Roman" w:hAnsi="Times New Roman"/>
          <w:b/>
          <w:sz w:val="24"/>
          <w:szCs w:val="24"/>
        </w:rPr>
        <w:t xml:space="preserve"> this means of collection.  Also describe any consideration of using information technology to reduce burden.</w:t>
      </w:r>
    </w:p>
    <w:p w:rsidR="00284B7F" w:rsidRPr="00AB6A41" w:rsidP="003D057F" w14:paraId="5F17F06B" w14:textId="77777777">
      <w:pPr>
        <w:pStyle w:val="NoSpacing"/>
        <w:tabs>
          <w:tab w:val="left" w:pos="540"/>
        </w:tabs>
        <w:ind w:left="535" w:firstLine="5" w:leftChars="243" w:firstLineChars="2"/>
        <w:rPr>
          <w:rFonts w:ascii="Times New Roman" w:hAnsi="Times New Roman"/>
          <w:sz w:val="24"/>
          <w:szCs w:val="24"/>
        </w:rPr>
      </w:pPr>
    </w:p>
    <w:p w:rsidR="00DB0661" w:rsidP="003D057F" w14:paraId="5991E2C6" w14:textId="77777777">
      <w:pPr>
        <w:autoSpaceDE w:val="0"/>
        <w:autoSpaceDN w:val="0"/>
        <w:adjustRightInd w:val="0"/>
        <w:spacing w:before="120" w:after="120" w:line="240" w:lineRule="atLeast"/>
        <w:ind w:left="535" w:firstLine="5" w:leftChars="243" w:firstLineChars="2"/>
        <w:rPr>
          <w:rFonts w:ascii="Times New Roman" w:hAnsi="Times New Roman"/>
          <w:sz w:val="24"/>
          <w:szCs w:val="24"/>
        </w:rPr>
      </w:pPr>
      <w:r w:rsidRPr="00E72CD1">
        <w:rPr>
          <w:rFonts w:ascii="Times New Roman" w:hAnsi="Times New Roman"/>
          <w:color w:val="000000"/>
          <w:sz w:val="24"/>
          <w:szCs w:val="24"/>
        </w:rPr>
        <w:t xml:space="preserve">There are cases where </w:t>
      </w:r>
      <w:r w:rsidRPr="00E72CD1">
        <w:rPr>
          <w:rFonts w:ascii="Times New Roman" w:hAnsi="Times New Roman"/>
          <w:color w:val="000000"/>
          <w:sz w:val="24"/>
          <w:szCs w:val="24"/>
        </w:rPr>
        <w:t>payees</w:t>
      </w:r>
      <w:r w:rsidRPr="00E72CD1">
        <w:rPr>
          <w:rFonts w:ascii="Times New Roman" w:hAnsi="Times New Roman"/>
          <w:color w:val="000000"/>
          <w:sz w:val="24"/>
          <w:szCs w:val="24"/>
        </w:rPr>
        <w:t xml:space="preserve"> may question the receipt of ACH payments and may contact the authorizing Federal agency for status. Upon </w:t>
      </w:r>
      <w:r w:rsidRPr="00E72CD1" w:rsidR="004E4D22">
        <w:rPr>
          <w:rFonts w:ascii="Times New Roman" w:hAnsi="Times New Roman"/>
          <w:color w:val="000000"/>
          <w:sz w:val="24"/>
          <w:szCs w:val="24"/>
        </w:rPr>
        <w:t xml:space="preserve">receipt of </w:t>
      </w:r>
      <w:r w:rsidRPr="00E72CD1">
        <w:rPr>
          <w:rFonts w:ascii="Times New Roman" w:hAnsi="Times New Roman"/>
          <w:color w:val="000000"/>
          <w:sz w:val="24"/>
          <w:szCs w:val="24"/>
        </w:rPr>
        <w:t xml:space="preserve">a claim from the payee that an ACH payment has not been received; the authorizing Federal agency can </w:t>
      </w:r>
      <w:r w:rsidRPr="00E72CD1">
        <w:rPr>
          <w:rFonts w:ascii="Times New Roman" w:hAnsi="Times New Roman"/>
          <w:color w:val="000000"/>
          <w:sz w:val="24"/>
          <w:szCs w:val="24"/>
        </w:rPr>
        <w:t>electronically  submit</w:t>
      </w:r>
      <w:r w:rsidRPr="00E72CD1">
        <w:rPr>
          <w:rFonts w:ascii="Times New Roman" w:hAnsi="Times New Roman"/>
          <w:color w:val="000000"/>
          <w:sz w:val="24"/>
          <w:szCs w:val="24"/>
        </w:rPr>
        <w:t xml:space="preserve"> through the Fiscal Service’s post payment system </w:t>
      </w:r>
      <w:r w:rsidRPr="00E72CD1" w:rsidR="004E4D22">
        <w:rPr>
          <w:rFonts w:ascii="Times New Roman" w:hAnsi="Times New Roman"/>
          <w:color w:val="000000"/>
          <w:sz w:val="24"/>
          <w:szCs w:val="24"/>
        </w:rPr>
        <w:t>a payment status request.</w:t>
      </w:r>
      <w:r w:rsidRPr="00E72CD1">
        <w:rPr>
          <w:rFonts w:ascii="Times New Roman" w:hAnsi="Times New Roman"/>
          <w:color w:val="000000"/>
          <w:sz w:val="24"/>
          <w:szCs w:val="24"/>
        </w:rPr>
        <w:t xml:space="preserve"> </w:t>
      </w:r>
      <w:r w:rsidRPr="00E72CD1" w:rsidR="004E4D22">
        <w:rPr>
          <w:rFonts w:ascii="Times New Roman" w:hAnsi="Times New Roman"/>
          <w:color w:val="000000"/>
          <w:sz w:val="24"/>
          <w:szCs w:val="24"/>
        </w:rPr>
        <w:t xml:space="preserve"> Fiscal Service will assess the status of the claim of non-receipt and will notify the originating </w:t>
      </w:r>
      <w:r w:rsidRPr="00E72CD1" w:rsidR="004E4D22">
        <w:rPr>
          <w:rFonts w:ascii="Times New Roman" w:hAnsi="Times New Roman"/>
          <w:color w:val="000000"/>
          <w:sz w:val="24"/>
          <w:szCs w:val="24"/>
        </w:rPr>
        <w:t>Federal agency i</w:t>
      </w:r>
      <w:r w:rsidRPr="00E72CD1">
        <w:rPr>
          <w:rFonts w:ascii="Times New Roman" w:hAnsi="Times New Roman"/>
          <w:color w:val="000000"/>
          <w:sz w:val="24"/>
          <w:szCs w:val="24"/>
        </w:rPr>
        <w:t>f the payment has already been returned</w:t>
      </w:r>
      <w:r w:rsidRPr="00E72CD1" w:rsidR="004E4D22">
        <w:rPr>
          <w:rFonts w:ascii="Times New Roman" w:hAnsi="Times New Roman"/>
          <w:color w:val="000000"/>
          <w:sz w:val="24"/>
          <w:szCs w:val="24"/>
        </w:rPr>
        <w:t>.</w:t>
      </w:r>
      <w:r w:rsidRPr="00E72CD1">
        <w:rPr>
          <w:rFonts w:ascii="Times New Roman" w:hAnsi="Times New Roman"/>
          <w:color w:val="000000"/>
          <w:sz w:val="24"/>
          <w:szCs w:val="24"/>
        </w:rPr>
        <w:t xml:space="preserve"> If the payment status i</w:t>
      </w:r>
      <w:r w:rsidRPr="00E72CD1" w:rsidR="004E4D22">
        <w:rPr>
          <w:rFonts w:ascii="Times New Roman" w:hAnsi="Times New Roman"/>
          <w:color w:val="000000"/>
          <w:sz w:val="24"/>
          <w:szCs w:val="24"/>
        </w:rPr>
        <w:t>s</w:t>
      </w:r>
      <w:r w:rsidRPr="00E72CD1">
        <w:rPr>
          <w:rFonts w:ascii="Times New Roman" w:hAnsi="Times New Roman"/>
          <w:color w:val="000000"/>
          <w:sz w:val="24"/>
          <w:szCs w:val="24"/>
        </w:rPr>
        <w:t xml:space="preserve"> “payment has been processed”, a trace request will be </w:t>
      </w:r>
      <w:r w:rsidRPr="00E72CD1">
        <w:rPr>
          <w:rFonts w:ascii="Times New Roman" w:hAnsi="Times New Roman"/>
          <w:color w:val="000000"/>
          <w:sz w:val="24"/>
          <w:szCs w:val="24"/>
        </w:rPr>
        <w:t>transmitted, or</w:t>
      </w:r>
      <w:r w:rsidRPr="00E72CD1">
        <w:rPr>
          <w:rFonts w:ascii="Times New Roman" w:hAnsi="Times New Roman"/>
          <w:color w:val="000000"/>
          <w:sz w:val="24"/>
          <w:szCs w:val="24"/>
        </w:rPr>
        <w:t xml:space="preserve"> generated</w:t>
      </w:r>
      <w:r w:rsidRPr="00E72CD1" w:rsidR="00EF1C27">
        <w:rPr>
          <w:rFonts w:ascii="Times New Roman" w:hAnsi="Times New Roman"/>
          <w:color w:val="000000"/>
          <w:sz w:val="24"/>
          <w:szCs w:val="24"/>
        </w:rPr>
        <w:t xml:space="preserve">. </w:t>
      </w:r>
      <w:r w:rsidRPr="00E72CD1" w:rsidR="00EF1C27">
        <w:rPr>
          <w:rFonts w:ascii="Times New Roman" w:hAnsi="Times New Roman"/>
          <w:sz w:val="24"/>
          <w:szCs w:val="24"/>
        </w:rPr>
        <w:t>Fiscal Service has partnered with several federal agencies to research Direct Deposit ACH nonreceipt</w:t>
      </w:r>
      <w:r w:rsidR="00E72CD1">
        <w:rPr>
          <w:rFonts w:ascii="Times New Roman" w:hAnsi="Times New Roman"/>
          <w:color w:val="000000"/>
          <w:sz w:val="24"/>
          <w:szCs w:val="24"/>
        </w:rPr>
        <w:t xml:space="preserve"> </w:t>
      </w:r>
      <w:r w:rsidRPr="00E72CD1" w:rsidR="00EF1C27">
        <w:rPr>
          <w:rFonts w:ascii="Times New Roman" w:hAnsi="Times New Roman"/>
          <w:sz w:val="24"/>
          <w:szCs w:val="24"/>
        </w:rPr>
        <w:t>claims. Fiscal Service representatives will contact the RDFI directly by telephone, email, or</w:t>
      </w:r>
      <w:r w:rsidR="00E72CD1">
        <w:rPr>
          <w:rFonts w:ascii="Times New Roman" w:hAnsi="Times New Roman"/>
          <w:color w:val="000000"/>
          <w:sz w:val="24"/>
          <w:szCs w:val="24"/>
        </w:rPr>
        <w:t xml:space="preserve"> </w:t>
      </w:r>
      <w:r w:rsidRPr="00E72CD1" w:rsidR="00EF1C27">
        <w:rPr>
          <w:rFonts w:ascii="Times New Roman" w:hAnsi="Times New Roman"/>
          <w:sz w:val="24"/>
          <w:szCs w:val="24"/>
        </w:rPr>
        <w:t>facsimile to resolve claims of non-</w:t>
      </w:r>
      <w:r w:rsidRPr="00E72CD1" w:rsidR="00EF1C27">
        <w:rPr>
          <w:rFonts w:ascii="Times New Roman" w:hAnsi="Times New Roman"/>
          <w:sz w:val="24"/>
          <w:szCs w:val="24"/>
        </w:rPr>
        <w:t xml:space="preserve">receipt </w:t>
      </w:r>
      <w:r w:rsidRPr="00E72CD1" w:rsidR="00D00830">
        <w:rPr>
          <w:rFonts w:ascii="Times New Roman" w:hAnsi="Times New Roman"/>
          <w:sz w:val="24"/>
          <w:szCs w:val="24"/>
        </w:rPr>
        <w:t>.</w:t>
      </w:r>
      <w:r w:rsidRPr="00E72CD1" w:rsidR="00D00830">
        <w:rPr>
          <w:rFonts w:ascii="Times New Roman" w:hAnsi="Times New Roman"/>
          <w:sz w:val="24"/>
          <w:szCs w:val="24"/>
        </w:rPr>
        <w:t xml:space="preserve"> The process is used for Social Security Administration (SSA), Supplemental Security Insurance (SSI) and Veteran’s Administration (VA) claims of non-receipt, which represent </w:t>
      </w:r>
      <w:r w:rsidRPr="00E72CD1" w:rsidR="00D00830">
        <w:rPr>
          <w:rFonts w:ascii="Times New Roman" w:hAnsi="Times New Roman"/>
          <w:sz w:val="24"/>
          <w:szCs w:val="24"/>
        </w:rPr>
        <w:t>the overwhelming majority of</w:t>
      </w:r>
      <w:r w:rsidRPr="00E72CD1" w:rsidR="00D00830">
        <w:rPr>
          <w:rFonts w:ascii="Times New Roman" w:hAnsi="Times New Roman"/>
          <w:sz w:val="24"/>
          <w:szCs w:val="24"/>
        </w:rPr>
        <w:t xml:space="preserve"> non-receipt claims.</w:t>
      </w:r>
      <w:r w:rsidRPr="00E72CD1" w:rsidR="00D00830">
        <w:rPr>
          <w:rFonts w:ascii="Times New Roman" w:hAnsi="Times New Roman"/>
          <w:color w:val="000000"/>
          <w:sz w:val="24"/>
          <w:szCs w:val="24"/>
        </w:rPr>
        <w:t xml:space="preserve"> FS Form 150.1 is generated at the financial center for non-receipt claims and mailed to the</w:t>
      </w:r>
      <w:r w:rsidRPr="00E72CD1" w:rsidR="00405BB5">
        <w:rPr>
          <w:rFonts w:ascii="Times New Roman" w:hAnsi="Times New Roman"/>
          <w:color w:val="000000"/>
          <w:sz w:val="24"/>
          <w:szCs w:val="24"/>
        </w:rPr>
        <w:t xml:space="preserve"> payee’s</w:t>
      </w:r>
      <w:r w:rsidRPr="00E72CD1" w:rsidR="00D00830">
        <w:rPr>
          <w:rFonts w:ascii="Times New Roman" w:hAnsi="Times New Roman"/>
          <w:color w:val="000000"/>
          <w:sz w:val="24"/>
          <w:szCs w:val="24"/>
        </w:rPr>
        <w:t xml:space="preserve"> financial</w:t>
      </w:r>
      <w:r w:rsidRPr="00E72CD1" w:rsidR="00D00830">
        <w:rPr>
          <w:rFonts w:ascii="Times New Roman" w:hAnsi="Times New Roman"/>
          <w:sz w:val="24"/>
          <w:szCs w:val="24"/>
        </w:rPr>
        <w:t xml:space="preserve"> institution, who is required to respond within three business days.  If the financial institution responds appropriately by telephone, the response is accepted.  The Fiscal Service copy of </w:t>
      </w:r>
      <w:r w:rsidRPr="00E72CD1" w:rsidR="00D00830">
        <w:rPr>
          <w:rFonts w:ascii="Times New Roman" w:hAnsi="Times New Roman"/>
          <w:sz w:val="24"/>
          <w:szCs w:val="24"/>
        </w:rPr>
        <w:t>the 150.1</w:t>
      </w:r>
      <w:r w:rsidRPr="00E72CD1" w:rsidR="00D00830">
        <w:rPr>
          <w:rFonts w:ascii="Times New Roman" w:hAnsi="Times New Roman"/>
          <w:sz w:val="24"/>
          <w:szCs w:val="24"/>
        </w:rPr>
        <w:t xml:space="preserve"> is annotated with the response and scanned to create a </w:t>
      </w:r>
      <w:r w:rsidRPr="00E72CD1" w:rsidR="00405BB5">
        <w:rPr>
          <w:rFonts w:ascii="Times New Roman" w:hAnsi="Times New Roman"/>
          <w:sz w:val="24"/>
          <w:szCs w:val="24"/>
        </w:rPr>
        <w:t xml:space="preserve">record and the </w:t>
      </w:r>
      <w:r w:rsidRPr="00E72CD1" w:rsidR="00D00830">
        <w:rPr>
          <w:rFonts w:ascii="Times New Roman" w:hAnsi="Times New Roman"/>
          <w:sz w:val="24"/>
          <w:szCs w:val="24"/>
        </w:rPr>
        <w:t xml:space="preserve">case </w:t>
      </w:r>
      <w:r w:rsidRPr="00E72CD1" w:rsidR="00405BB5">
        <w:rPr>
          <w:rFonts w:ascii="Times New Roman" w:hAnsi="Times New Roman"/>
          <w:sz w:val="24"/>
          <w:szCs w:val="24"/>
        </w:rPr>
        <w:t xml:space="preserve">file is closed </w:t>
      </w:r>
      <w:r w:rsidRPr="00E72CD1" w:rsidR="00D00830">
        <w:rPr>
          <w:rFonts w:ascii="Times New Roman" w:hAnsi="Times New Roman"/>
          <w:sz w:val="24"/>
          <w:szCs w:val="24"/>
        </w:rPr>
        <w:t>in Fiscal post payment syst</w:t>
      </w:r>
      <w:r w:rsidRPr="00E72CD1" w:rsidR="00405BB5">
        <w:rPr>
          <w:rFonts w:ascii="Times New Roman" w:hAnsi="Times New Roman"/>
          <w:sz w:val="24"/>
          <w:szCs w:val="24"/>
        </w:rPr>
        <w:t>em</w:t>
      </w:r>
      <w:r w:rsidRPr="00E72CD1" w:rsidR="00D00830">
        <w:rPr>
          <w:rFonts w:ascii="Times New Roman" w:hAnsi="Times New Roman"/>
          <w:sz w:val="24"/>
          <w:szCs w:val="24"/>
        </w:rPr>
        <w:t>.</w:t>
      </w:r>
    </w:p>
    <w:p w:rsidR="00D00830" w:rsidRPr="00E72CD1" w:rsidP="00DB0661" w14:paraId="3D6FBBC0" w14:textId="6649A56F">
      <w:pPr>
        <w:pStyle w:val="NoSpacing"/>
        <w:ind w:left="535" w:firstLine="5" w:leftChars="243" w:firstLineChars="2"/>
        <w:rPr>
          <w:rFonts w:ascii="Times New Roman" w:hAnsi="Times New Roman"/>
          <w:color w:val="000000"/>
          <w:sz w:val="24"/>
          <w:szCs w:val="24"/>
        </w:rPr>
      </w:pPr>
      <w:r>
        <w:rPr>
          <w:rFonts w:ascii="Times New Roman" w:hAnsi="Times New Roman"/>
          <w:sz w:val="24"/>
          <w:szCs w:val="24"/>
        </w:rPr>
        <w:t xml:space="preserve">The </w:t>
      </w:r>
      <w:r w:rsidRPr="00AB6A41">
        <w:rPr>
          <w:rFonts w:ascii="Times New Roman" w:hAnsi="Times New Roman"/>
          <w:sz w:val="24"/>
          <w:szCs w:val="24"/>
        </w:rPr>
        <w:t>Teletrace</w:t>
      </w:r>
      <w:r w:rsidRPr="00AB6A41">
        <w:rPr>
          <w:rFonts w:ascii="Times New Roman" w:hAnsi="Times New Roman"/>
          <w:sz w:val="24"/>
          <w:szCs w:val="24"/>
        </w:rPr>
        <w:t xml:space="preserve"> process is a telephonic process by which F</w:t>
      </w:r>
      <w:r>
        <w:rPr>
          <w:rFonts w:ascii="Times New Roman" w:hAnsi="Times New Roman"/>
          <w:sz w:val="24"/>
          <w:szCs w:val="24"/>
        </w:rPr>
        <w:t xml:space="preserve">iscal </w:t>
      </w:r>
      <w:r w:rsidRPr="00AB6A41">
        <w:rPr>
          <w:rFonts w:ascii="Times New Roman" w:hAnsi="Times New Roman"/>
          <w:sz w:val="24"/>
          <w:szCs w:val="24"/>
        </w:rPr>
        <w:t>S</w:t>
      </w:r>
      <w:r>
        <w:rPr>
          <w:rFonts w:ascii="Times New Roman" w:hAnsi="Times New Roman"/>
          <w:sz w:val="24"/>
          <w:szCs w:val="24"/>
        </w:rPr>
        <w:t>ervice</w:t>
      </w:r>
      <w:r w:rsidRPr="00AB6A41">
        <w:rPr>
          <w:rFonts w:ascii="Times New Roman" w:hAnsi="Times New Roman"/>
          <w:sz w:val="24"/>
          <w:szCs w:val="24"/>
        </w:rPr>
        <w:t xml:space="preserve"> contacts financial institutions directly rather than utilizing the </w:t>
      </w:r>
      <w:r w:rsidRPr="00AB6A41">
        <w:rPr>
          <w:rFonts w:ascii="Times New Roman" w:hAnsi="Times New Roman"/>
          <w:sz w:val="24"/>
          <w:szCs w:val="24"/>
        </w:rPr>
        <w:t>forms based</w:t>
      </w:r>
      <w:r w:rsidRPr="00AB6A41">
        <w:rPr>
          <w:rFonts w:ascii="Times New Roman" w:hAnsi="Times New Roman"/>
          <w:sz w:val="24"/>
          <w:szCs w:val="24"/>
        </w:rPr>
        <w:t xml:space="preserve"> process. The process is used for Social Security Administration (SSA), Supplemental Security Insurance (SSI) and Veteran’s Administration (VA) claims of non-receipt, which represent </w:t>
      </w:r>
      <w:r w:rsidRPr="00AB6A41">
        <w:rPr>
          <w:rFonts w:ascii="Times New Roman" w:hAnsi="Times New Roman"/>
          <w:sz w:val="24"/>
          <w:szCs w:val="24"/>
        </w:rPr>
        <w:t>the overwhelming majority of</w:t>
      </w:r>
      <w:r w:rsidRPr="00AB6A41">
        <w:rPr>
          <w:rFonts w:ascii="Times New Roman" w:hAnsi="Times New Roman"/>
          <w:sz w:val="24"/>
          <w:szCs w:val="24"/>
        </w:rPr>
        <w:t xml:space="preserve"> non-receipt claims.</w:t>
      </w:r>
      <w:r>
        <w:rPr>
          <w:rFonts w:ascii="Times New Roman" w:hAnsi="Times New Roman"/>
          <w:sz w:val="24"/>
          <w:szCs w:val="24"/>
        </w:rPr>
        <w:t xml:space="preserve"> Fiscal </w:t>
      </w:r>
      <w:r w:rsidRPr="00AB6A41">
        <w:rPr>
          <w:rFonts w:ascii="Times New Roman" w:hAnsi="Times New Roman"/>
          <w:sz w:val="24"/>
          <w:szCs w:val="24"/>
        </w:rPr>
        <w:t>S</w:t>
      </w:r>
      <w:r>
        <w:rPr>
          <w:rFonts w:ascii="Times New Roman" w:hAnsi="Times New Roman"/>
          <w:sz w:val="24"/>
          <w:szCs w:val="24"/>
        </w:rPr>
        <w:t>ervice</w:t>
      </w:r>
      <w:r w:rsidRPr="00AB6A41">
        <w:rPr>
          <w:rFonts w:ascii="Times New Roman" w:hAnsi="Times New Roman"/>
          <w:sz w:val="24"/>
          <w:szCs w:val="24"/>
        </w:rPr>
        <w:t xml:space="preserve"> still has access to the above-mentioned information but does not send it to financial institution via forms. </w:t>
      </w:r>
      <w:r>
        <w:rPr>
          <w:rFonts w:ascii="Times New Roman" w:hAnsi="Times New Roman"/>
          <w:sz w:val="24"/>
          <w:szCs w:val="24"/>
        </w:rPr>
        <w:t xml:space="preserve"> </w:t>
      </w:r>
      <w:r w:rsidRPr="00AB6A41">
        <w:rPr>
          <w:rFonts w:ascii="Times New Roman" w:hAnsi="Times New Roman"/>
          <w:sz w:val="24"/>
          <w:szCs w:val="24"/>
        </w:rPr>
        <w:t>It is a more automated and electronic method of resolving claims of non-receipt.</w:t>
      </w:r>
      <w:r w:rsidRPr="00E72CD1">
        <w:rPr>
          <w:rFonts w:ascii="Times New Roman" w:hAnsi="Times New Roman"/>
          <w:sz w:val="24"/>
          <w:szCs w:val="24"/>
        </w:rPr>
        <w:t xml:space="preserve">  </w:t>
      </w:r>
    </w:p>
    <w:p w:rsidR="00D00830" w:rsidP="00EF1C27" w14:paraId="2A3933BB" w14:textId="02827C3C">
      <w:pPr>
        <w:pStyle w:val="NoSpacing"/>
        <w:tabs>
          <w:tab w:val="left" w:pos="540"/>
        </w:tabs>
        <w:ind w:left="491" w:hanging="491" w:hangingChars="223"/>
        <w:rPr>
          <w:rFonts w:ascii="Cambria" w:hAnsi="Cambria" w:cs="Cambria"/>
        </w:rPr>
      </w:pPr>
    </w:p>
    <w:p w:rsidR="00D00830" w:rsidP="00EF1C27" w14:paraId="7831F129" w14:textId="77777777">
      <w:pPr>
        <w:pStyle w:val="NoSpacing"/>
        <w:tabs>
          <w:tab w:val="left" w:pos="540"/>
        </w:tabs>
        <w:ind w:left="491" w:hanging="491" w:hangingChars="223"/>
        <w:rPr>
          <w:rFonts w:ascii="Cambria" w:hAnsi="Cambria" w:cs="Cambria"/>
        </w:rPr>
      </w:pPr>
    </w:p>
    <w:p w:rsidR="00284B7F" w:rsidRPr="00AB6A41" w:rsidP="00AB6A41" w14:paraId="1A90687A" w14:textId="77777777">
      <w:pPr>
        <w:pStyle w:val="NoSpacing"/>
        <w:numPr>
          <w:ilvl w:val="0"/>
          <w:numId w:val="5"/>
        </w:numPr>
        <w:tabs>
          <w:tab w:val="left" w:pos="540"/>
        </w:tabs>
        <w:ind w:left="535" w:hanging="535" w:hangingChars="223"/>
        <w:rPr>
          <w:rFonts w:ascii="Times New Roman" w:hAnsi="Times New Roman"/>
          <w:b/>
          <w:sz w:val="24"/>
          <w:szCs w:val="24"/>
        </w:rPr>
      </w:pPr>
      <w:r w:rsidRPr="00AB6A41">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351E24" w:rsidRPr="00AB6A41" w:rsidP="00EE524C" w14:paraId="3104D974" w14:textId="77777777">
      <w:pPr>
        <w:pStyle w:val="NoSpacing"/>
        <w:tabs>
          <w:tab w:val="left" w:pos="540"/>
        </w:tabs>
        <w:rPr>
          <w:rFonts w:ascii="Times New Roman" w:hAnsi="Times New Roman"/>
          <w:b/>
          <w:sz w:val="24"/>
          <w:szCs w:val="24"/>
        </w:rPr>
      </w:pPr>
    </w:p>
    <w:p w:rsidR="00284B7F" w:rsidRPr="00AB6A41" w:rsidP="00EE524C" w14:paraId="2216F568" w14:textId="7CF12014">
      <w:pPr>
        <w:pStyle w:val="NoSpacing"/>
        <w:tabs>
          <w:tab w:val="left" w:pos="540"/>
        </w:tabs>
        <w:ind w:left="537"/>
        <w:rPr>
          <w:rFonts w:ascii="Times New Roman" w:hAnsi="Times New Roman"/>
          <w:sz w:val="24"/>
          <w:szCs w:val="24"/>
        </w:rPr>
      </w:pPr>
      <w:r w:rsidRPr="00EE524C">
        <w:rPr>
          <w:rFonts w:ascii="Times New Roman" w:hAnsi="Times New Roman"/>
          <w:sz w:val="24"/>
          <w:szCs w:val="24"/>
        </w:rPr>
        <w:t>The</w:t>
      </w:r>
      <w:r w:rsidR="00E72CD1">
        <w:rPr>
          <w:rFonts w:ascii="Times New Roman" w:hAnsi="Times New Roman"/>
          <w:sz w:val="24"/>
          <w:szCs w:val="24"/>
        </w:rPr>
        <w:t xml:space="preserve"> system-</w:t>
      </w:r>
      <w:r w:rsidRPr="00EE524C">
        <w:rPr>
          <w:rFonts w:ascii="Times New Roman" w:hAnsi="Times New Roman"/>
          <w:sz w:val="24"/>
          <w:szCs w:val="24"/>
        </w:rPr>
        <w:t>generated</w:t>
      </w:r>
      <w:r w:rsidR="00E72CD1">
        <w:rPr>
          <w:rFonts w:ascii="Times New Roman" w:hAnsi="Times New Roman"/>
          <w:sz w:val="24"/>
          <w:szCs w:val="24"/>
        </w:rPr>
        <w:t xml:space="preserve"> </w:t>
      </w:r>
      <w:r w:rsidR="00C149D9">
        <w:rPr>
          <w:rFonts w:ascii="Times New Roman" w:hAnsi="Times New Roman"/>
          <w:sz w:val="24"/>
          <w:szCs w:val="24"/>
        </w:rPr>
        <w:t>FS Form 150.1</w:t>
      </w:r>
      <w:r w:rsidR="001F2014">
        <w:rPr>
          <w:rFonts w:ascii="Times New Roman" w:hAnsi="Times New Roman"/>
          <w:sz w:val="24"/>
          <w:szCs w:val="24"/>
        </w:rPr>
        <w:t xml:space="preserve"> </w:t>
      </w:r>
      <w:r w:rsidR="00763FAD">
        <w:rPr>
          <w:rFonts w:ascii="Times New Roman" w:hAnsi="Times New Roman"/>
          <w:sz w:val="24"/>
          <w:szCs w:val="24"/>
        </w:rPr>
        <w:t xml:space="preserve">is </w:t>
      </w:r>
      <w:r w:rsidRPr="00EE524C">
        <w:rPr>
          <w:rFonts w:ascii="Times New Roman" w:hAnsi="Times New Roman"/>
          <w:sz w:val="24"/>
          <w:szCs w:val="24"/>
        </w:rPr>
        <w:t xml:space="preserve">only generated upon receipt of a request from a Federal Program Agency to research </w:t>
      </w:r>
      <w:r w:rsidR="00C149D9">
        <w:rPr>
          <w:rFonts w:ascii="Times New Roman" w:hAnsi="Times New Roman"/>
          <w:sz w:val="24"/>
          <w:szCs w:val="24"/>
        </w:rPr>
        <w:t>a</w:t>
      </w:r>
      <w:r w:rsidRPr="00EE524C" w:rsidR="00EE524C">
        <w:rPr>
          <w:rFonts w:ascii="Times New Roman" w:hAnsi="Times New Roman"/>
          <w:sz w:val="24"/>
          <w:szCs w:val="24"/>
        </w:rPr>
        <w:t xml:space="preserve"> </w:t>
      </w:r>
      <w:r w:rsidRPr="00AB6A41" w:rsidR="00841736">
        <w:rPr>
          <w:rFonts w:ascii="Times New Roman" w:hAnsi="Times New Roman"/>
          <w:sz w:val="24"/>
          <w:szCs w:val="24"/>
        </w:rPr>
        <w:t>non-receipt claim</w:t>
      </w:r>
      <w:r w:rsidR="00D77D8C">
        <w:rPr>
          <w:rFonts w:ascii="Times New Roman" w:hAnsi="Times New Roman"/>
          <w:sz w:val="24"/>
          <w:szCs w:val="24"/>
        </w:rPr>
        <w:t xml:space="preserve"> and after the use of the Automated Clearinghouse (ACH) Non-Receipt claim process</w:t>
      </w:r>
      <w:r w:rsidR="00EE524C">
        <w:rPr>
          <w:rFonts w:ascii="Times New Roman" w:hAnsi="Times New Roman"/>
          <w:sz w:val="24"/>
          <w:szCs w:val="24"/>
        </w:rPr>
        <w:t xml:space="preserve">. Individual case files are </w:t>
      </w:r>
      <w:r w:rsidRPr="00AB6A41" w:rsidR="00EE524C">
        <w:rPr>
          <w:rFonts w:ascii="Times New Roman" w:hAnsi="Times New Roman"/>
          <w:sz w:val="24"/>
          <w:szCs w:val="24"/>
        </w:rPr>
        <w:t xml:space="preserve">established </w:t>
      </w:r>
      <w:r w:rsidR="00E72CD1">
        <w:rPr>
          <w:rFonts w:ascii="Times New Roman" w:hAnsi="Times New Roman"/>
          <w:sz w:val="24"/>
          <w:szCs w:val="24"/>
        </w:rPr>
        <w:t xml:space="preserve">in the post payment system </w:t>
      </w:r>
      <w:r w:rsidR="00EE524C">
        <w:rPr>
          <w:rFonts w:ascii="Times New Roman" w:hAnsi="Times New Roman"/>
          <w:sz w:val="24"/>
          <w:szCs w:val="24"/>
        </w:rPr>
        <w:t>for ea</w:t>
      </w:r>
      <w:r w:rsidR="00460549">
        <w:rPr>
          <w:rFonts w:ascii="Times New Roman" w:hAnsi="Times New Roman"/>
          <w:sz w:val="24"/>
          <w:szCs w:val="24"/>
        </w:rPr>
        <w:t>ch claim as an internal control to avoid duplication.</w:t>
      </w:r>
      <w:r w:rsidRPr="00AB6A41">
        <w:rPr>
          <w:rFonts w:ascii="Times New Roman" w:hAnsi="Times New Roman"/>
          <w:sz w:val="24"/>
          <w:szCs w:val="24"/>
        </w:rPr>
        <w:t xml:space="preserve"> </w:t>
      </w:r>
    </w:p>
    <w:p w:rsidR="00FF7D70" w:rsidRPr="00AB6A41" w:rsidP="00AB6A41" w14:paraId="65D16E72" w14:textId="77777777">
      <w:pPr>
        <w:pStyle w:val="NoSpacing"/>
        <w:tabs>
          <w:tab w:val="left" w:pos="540"/>
        </w:tabs>
        <w:ind w:left="535" w:hanging="535" w:hangingChars="223"/>
        <w:rPr>
          <w:rFonts w:ascii="Times New Roman" w:hAnsi="Times New Roman"/>
          <w:b/>
          <w:sz w:val="24"/>
          <w:szCs w:val="24"/>
        </w:rPr>
      </w:pPr>
    </w:p>
    <w:p w:rsidR="00284B7F" w:rsidRPr="00AB6A41" w:rsidP="00AB6A41" w14:paraId="2E86F92F" w14:textId="77777777">
      <w:pPr>
        <w:pStyle w:val="NoSpacing"/>
        <w:numPr>
          <w:ilvl w:val="0"/>
          <w:numId w:val="5"/>
        </w:numPr>
        <w:tabs>
          <w:tab w:val="left" w:pos="540"/>
        </w:tabs>
        <w:ind w:left="535" w:hanging="535" w:hangingChars="223"/>
        <w:rPr>
          <w:rFonts w:ascii="Times New Roman" w:hAnsi="Times New Roman"/>
          <w:b/>
          <w:sz w:val="24"/>
          <w:szCs w:val="24"/>
        </w:rPr>
      </w:pPr>
      <w:r w:rsidRPr="00AB6A41">
        <w:rPr>
          <w:rFonts w:ascii="Times New Roman" w:hAnsi="Times New Roman"/>
          <w:b/>
          <w:sz w:val="24"/>
          <w:szCs w:val="24"/>
        </w:rPr>
        <w:t>If the collection of information impacts small businesses or other small entities (Item 5 or OMB Form 83-1), describe any methods used to minimize burden.</w:t>
      </w:r>
    </w:p>
    <w:p w:rsidR="00284B7F" w:rsidRPr="00AB6A41" w:rsidP="00AB6A41" w14:paraId="0B125DE3" w14:textId="77777777">
      <w:pPr>
        <w:pStyle w:val="NoSpacing"/>
        <w:tabs>
          <w:tab w:val="left" w:pos="540"/>
        </w:tabs>
        <w:ind w:left="535" w:hanging="535" w:hangingChars="223"/>
        <w:rPr>
          <w:rFonts w:ascii="Times New Roman" w:hAnsi="Times New Roman"/>
          <w:b/>
          <w:sz w:val="24"/>
          <w:szCs w:val="24"/>
        </w:rPr>
      </w:pPr>
    </w:p>
    <w:p w:rsidR="00284B7F" w:rsidRPr="00AB6A41" w:rsidP="00AB6A41" w14:paraId="5AA890D3" w14:textId="69E8B7B7">
      <w:pPr>
        <w:pStyle w:val="NoSpacing"/>
        <w:tabs>
          <w:tab w:val="left" w:pos="540"/>
        </w:tabs>
        <w:ind w:left="535" w:hanging="535" w:hangingChars="223"/>
        <w:rPr>
          <w:rFonts w:ascii="Times New Roman" w:hAnsi="Times New Roman"/>
          <w:sz w:val="24"/>
          <w:szCs w:val="24"/>
        </w:rPr>
      </w:pPr>
      <w:r w:rsidRPr="00AB6A41">
        <w:rPr>
          <w:rFonts w:ascii="Times New Roman" w:hAnsi="Times New Roman"/>
          <w:b/>
          <w:sz w:val="24"/>
          <w:szCs w:val="24"/>
        </w:rPr>
        <w:tab/>
      </w:r>
      <w:r w:rsidRPr="00AB6A41">
        <w:rPr>
          <w:rFonts w:ascii="Times New Roman" w:hAnsi="Times New Roman"/>
          <w:sz w:val="24"/>
          <w:szCs w:val="24"/>
        </w:rPr>
        <w:t xml:space="preserve">All efforts were made to talk with small businesses and Federal program agencies prior to </w:t>
      </w:r>
      <w:r w:rsidRPr="00AB6A41">
        <w:rPr>
          <w:rFonts w:ascii="Times New Roman" w:hAnsi="Times New Roman"/>
          <w:sz w:val="24"/>
          <w:szCs w:val="24"/>
        </w:rPr>
        <w:t>development</w:t>
      </w:r>
      <w:r w:rsidRPr="00AB6A41">
        <w:rPr>
          <w:rFonts w:ascii="Times New Roman" w:hAnsi="Times New Roman"/>
          <w:sz w:val="24"/>
          <w:szCs w:val="24"/>
        </w:rPr>
        <w:t xml:space="preserve"> of the subject form </w:t>
      </w:r>
      <w:r w:rsidRPr="00AB6A41">
        <w:rPr>
          <w:rFonts w:ascii="Times New Roman" w:hAnsi="Times New Roman"/>
          <w:sz w:val="24"/>
          <w:szCs w:val="24"/>
        </w:rPr>
        <w:t>in order to</w:t>
      </w:r>
      <w:r w:rsidRPr="00AB6A41">
        <w:rPr>
          <w:rFonts w:ascii="Times New Roman" w:hAnsi="Times New Roman"/>
          <w:sz w:val="24"/>
          <w:szCs w:val="24"/>
        </w:rPr>
        <w:t xml:space="preserve"> minimize the burden on them. The form</w:t>
      </w:r>
      <w:r w:rsidR="00E72CD1">
        <w:rPr>
          <w:rFonts w:ascii="Times New Roman" w:hAnsi="Times New Roman"/>
          <w:sz w:val="24"/>
          <w:szCs w:val="24"/>
        </w:rPr>
        <w:t xml:space="preserve"> has</w:t>
      </w:r>
      <w:r w:rsidRPr="00AB6A41">
        <w:rPr>
          <w:rFonts w:ascii="Times New Roman" w:hAnsi="Times New Roman"/>
          <w:sz w:val="24"/>
          <w:szCs w:val="24"/>
        </w:rPr>
        <w:t xml:space="preserve"> been under continual review over the years of use and ha</w:t>
      </w:r>
      <w:r w:rsidR="00E72CD1">
        <w:rPr>
          <w:rFonts w:ascii="Times New Roman" w:hAnsi="Times New Roman"/>
          <w:sz w:val="24"/>
          <w:szCs w:val="24"/>
        </w:rPr>
        <w:t>s</w:t>
      </w:r>
      <w:r w:rsidRPr="00AB6A41">
        <w:rPr>
          <w:rFonts w:ascii="Times New Roman" w:hAnsi="Times New Roman"/>
          <w:sz w:val="24"/>
          <w:szCs w:val="24"/>
        </w:rPr>
        <w:t xml:space="preserve"> undergone revisions when needed. The</w:t>
      </w:r>
      <w:r w:rsidR="00E72CD1">
        <w:rPr>
          <w:rFonts w:ascii="Times New Roman" w:hAnsi="Times New Roman"/>
          <w:sz w:val="24"/>
          <w:szCs w:val="24"/>
        </w:rPr>
        <w:t xml:space="preserve"> form is currently being revised to correctly show the address of the Fiscal Service location that is responsible for managing </w:t>
      </w:r>
      <w:r w:rsidR="007E1B1F">
        <w:rPr>
          <w:rFonts w:ascii="Times New Roman" w:hAnsi="Times New Roman"/>
          <w:sz w:val="24"/>
          <w:szCs w:val="24"/>
        </w:rPr>
        <w:t xml:space="preserve">Federal government ACH </w:t>
      </w:r>
      <w:r w:rsidR="00E72CD1">
        <w:rPr>
          <w:rFonts w:ascii="Times New Roman" w:hAnsi="Times New Roman"/>
          <w:sz w:val="24"/>
          <w:szCs w:val="24"/>
        </w:rPr>
        <w:t>claims of non-receipt</w:t>
      </w:r>
      <w:r w:rsidRPr="00AB6A41">
        <w:rPr>
          <w:rFonts w:ascii="Times New Roman" w:hAnsi="Times New Roman"/>
          <w:sz w:val="24"/>
          <w:szCs w:val="24"/>
        </w:rPr>
        <w:t>.</w:t>
      </w:r>
    </w:p>
    <w:p w:rsidR="00284B7F" w:rsidRPr="00AB6A41" w:rsidP="00AB6A41" w14:paraId="0FC8D3CF" w14:textId="77777777">
      <w:pPr>
        <w:pStyle w:val="NoSpacing"/>
        <w:tabs>
          <w:tab w:val="left" w:pos="540"/>
        </w:tabs>
        <w:ind w:left="535" w:hanging="535" w:hangingChars="223"/>
        <w:rPr>
          <w:rFonts w:ascii="Times New Roman" w:hAnsi="Times New Roman"/>
          <w:sz w:val="24"/>
          <w:szCs w:val="24"/>
        </w:rPr>
      </w:pPr>
    </w:p>
    <w:p w:rsidR="00284B7F" w:rsidRPr="00AB6A41" w:rsidP="00AB6A41" w14:paraId="267267EB" w14:textId="77777777">
      <w:pPr>
        <w:pStyle w:val="NoSpacing"/>
        <w:numPr>
          <w:ilvl w:val="0"/>
          <w:numId w:val="5"/>
        </w:numPr>
        <w:tabs>
          <w:tab w:val="left" w:pos="540"/>
        </w:tabs>
        <w:ind w:left="535" w:hanging="535" w:hangingChars="223"/>
        <w:rPr>
          <w:rFonts w:ascii="Times New Roman" w:hAnsi="Times New Roman"/>
          <w:b/>
          <w:sz w:val="24"/>
          <w:szCs w:val="24"/>
        </w:rPr>
      </w:pPr>
      <w:r w:rsidRPr="00AB6A41">
        <w:rPr>
          <w:rFonts w:ascii="Times New Roman" w:hAnsi="Times New Roman"/>
          <w:b/>
          <w:sz w:val="24"/>
          <w:szCs w:val="24"/>
        </w:rPr>
        <w:t xml:space="preserve">Describe the </w:t>
      </w:r>
      <w:r w:rsidRPr="00AB6A41">
        <w:rPr>
          <w:rFonts w:ascii="Times New Roman" w:hAnsi="Times New Roman"/>
          <w:b/>
          <w:sz w:val="24"/>
          <w:szCs w:val="24"/>
        </w:rPr>
        <w:t>consequence</w:t>
      </w:r>
      <w:r w:rsidRPr="00AB6A41">
        <w:rPr>
          <w:rFonts w:ascii="Times New Roman" w:hAnsi="Times New Roman"/>
          <w:b/>
          <w:sz w:val="24"/>
          <w:szCs w:val="24"/>
        </w:rPr>
        <w:t xml:space="preserve"> </w:t>
      </w:r>
      <w:r w:rsidRPr="00AB6A41">
        <w:rPr>
          <w:rFonts w:ascii="Times New Roman" w:hAnsi="Times New Roman"/>
          <w:b/>
          <w:sz w:val="24"/>
          <w:szCs w:val="24"/>
        </w:rPr>
        <w:t>to</w:t>
      </w:r>
      <w:r w:rsidRPr="00AB6A41">
        <w:rPr>
          <w:rFonts w:ascii="Times New Roman" w:hAnsi="Times New Roman"/>
          <w:b/>
          <w:sz w:val="24"/>
          <w:szCs w:val="24"/>
        </w:rPr>
        <w:t xml:space="preserve"> Federal program or policy activities if the collection is not conducted or is conducted less frequently, as well as any technical or legal obstacles to reducing burden.</w:t>
      </w:r>
    </w:p>
    <w:p w:rsidR="00284B7F" w:rsidRPr="00AB6A41" w:rsidP="00AB6A41" w14:paraId="0E09734C" w14:textId="77777777">
      <w:pPr>
        <w:pStyle w:val="NoSpacing"/>
        <w:tabs>
          <w:tab w:val="left" w:pos="540"/>
        </w:tabs>
        <w:ind w:left="535" w:hanging="535" w:hangingChars="223"/>
        <w:rPr>
          <w:rFonts w:ascii="Times New Roman" w:hAnsi="Times New Roman"/>
          <w:sz w:val="24"/>
          <w:szCs w:val="24"/>
        </w:rPr>
      </w:pPr>
    </w:p>
    <w:p w:rsidR="00284B7F" w:rsidRPr="00AB6A41" w:rsidP="00AB6A41" w14:paraId="1B98E4AE" w14:textId="77777777">
      <w:pPr>
        <w:pStyle w:val="NoSpacing"/>
        <w:tabs>
          <w:tab w:val="left" w:pos="540"/>
        </w:tabs>
        <w:ind w:left="535" w:hanging="535" w:hangingChars="223"/>
        <w:rPr>
          <w:rFonts w:ascii="Times New Roman" w:hAnsi="Times New Roman"/>
          <w:sz w:val="24"/>
          <w:szCs w:val="24"/>
        </w:rPr>
      </w:pPr>
      <w:r w:rsidRPr="00AB6A41">
        <w:rPr>
          <w:rFonts w:ascii="Times New Roman" w:hAnsi="Times New Roman"/>
          <w:sz w:val="24"/>
          <w:szCs w:val="24"/>
        </w:rPr>
        <w:tab/>
        <w:t>Frequency of collection cannot be controlled because information is requested by the program agency in response to a non-receipt claim initiated by the payee/beneficiary.</w:t>
      </w:r>
    </w:p>
    <w:p w:rsidR="00284B7F" w:rsidRPr="00AB6A41" w:rsidP="00AB6A41" w14:paraId="5389B848" w14:textId="77777777">
      <w:pPr>
        <w:pStyle w:val="NoSpacing"/>
        <w:tabs>
          <w:tab w:val="left" w:pos="540"/>
        </w:tabs>
        <w:ind w:left="535" w:hanging="535" w:hangingChars="223"/>
        <w:rPr>
          <w:rFonts w:ascii="Times New Roman" w:hAnsi="Times New Roman"/>
          <w:sz w:val="24"/>
          <w:szCs w:val="24"/>
        </w:rPr>
      </w:pPr>
    </w:p>
    <w:p w:rsidR="00284B7F" w:rsidRPr="00AB6A41" w:rsidP="00AB6A41" w14:paraId="656F9086" w14:textId="77777777">
      <w:pPr>
        <w:pStyle w:val="NoSpacing"/>
        <w:numPr>
          <w:ilvl w:val="0"/>
          <w:numId w:val="5"/>
        </w:numPr>
        <w:tabs>
          <w:tab w:val="left" w:pos="540"/>
        </w:tabs>
        <w:ind w:left="535" w:hanging="535" w:hangingChars="223"/>
        <w:rPr>
          <w:rFonts w:ascii="Times New Roman" w:hAnsi="Times New Roman"/>
          <w:b/>
          <w:sz w:val="24"/>
          <w:szCs w:val="24"/>
        </w:rPr>
      </w:pPr>
      <w:r w:rsidRPr="00AB6A41">
        <w:rPr>
          <w:rFonts w:ascii="Times New Roman" w:hAnsi="Times New Roman"/>
          <w:b/>
          <w:sz w:val="24"/>
          <w:szCs w:val="24"/>
        </w:rPr>
        <w:t>Explain any special circumstances that would cause an information collection to be conducted in a manner: *requiring respondents to report information to the agency more often than quarterly; * requiring respondents to prepare a written response to a collection of information in fewer than 30 days after receipt of it; requiring respondents to submit more than an original and two copies of any document; etc.</w:t>
      </w:r>
    </w:p>
    <w:p w:rsidR="00284B7F" w:rsidRPr="00AB6A41" w:rsidP="003D057F" w14:paraId="040853E1" w14:textId="77777777">
      <w:pPr>
        <w:pStyle w:val="NoSpacing"/>
        <w:tabs>
          <w:tab w:val="left" w:pos="540"/>
        </w:tabs>
        <w:ind w:left="535" w:firstLine="5" w:leftChars="243" w:firstLineChars="2"/>
        <w:rPr>
          <w:rFonts w:ascii="Times New Roman" w:hAnsi="Times New Roman"/>
          <w:sz w:val="24"/>
          <w:szCs w:val="24"/>
        </w:rPr>
      </w:pPr>
      <w:r w:rsidRPr="00AB6A41">
        <w:rPr>
          <w:rFonts w:ascii="Times New Roman" w:hAnsi="Times New Roman"/>
          <w:sz w:val="24"/>
          <w:szCs w:val="24"/>
        </w:rPr>
        <w:tab/>
      </w:r>
    </w:p>
    <w:p w:rsidR="00284B7F" w:rsidRPr="003D057F" w:rsidP="003D057F" w14:paraId="4E868121" w14:textId="718ECA40">
      <w:pPr>
        <w:pStyle w:val="NoSpacing"/>
        <w:tabs>
          <w:tab w:val="left" w:pos="540"/>
        </w:tabs>
        <w:ind w:left="535" w:firstLine="5" w:leftChars="243" w:firstLineChars="2"/>
        <w:rPr>
          <w:rFonts w:ascii="Times New Roman" w:hAnsi="Times New Roman"/>
          <w:sz w:val="24"/>
          <w:szCs w:val="24"/>
        </w:rPr>
      </w:pPr>
      <w:r w:rsidRPr="003D057F">
        <w:rPr>
          <w:rFonts w:ascii="Times New Roman" w:hAnsi="Times New Roman"/>
          <w:sz w:val="24"/>
          <w:szCs w:val="24"/>
        </w:rPr>
        <w:t>A</w:t>
      </w:r>
      <w:r w:rsidRPr="003D057F">
        <w:rPr>
          <w:rFonts w:ascii="Times New Roman" w:hAnsi="Times New Roman"/>
          <w:sz w:val="24"/>
          <w:szCs w:val="24"/>
        </w:rPr>
        <w:t xml:space="preserve">s described in answer 6 above, </w:t>
      </w:r>
      <w:r w:rsidRPr="003D057F">
        <w:rPr>
          <w:rFonts w:ascii="Times New Roman" w:hAnsi="Times New Roman"/>
          <w:sz w:val="24"/>
          <w:szCs w:val="24"/>
        </w:rPr>
        <w:t>infor</w:t>
      </w:r>
      <w:r w:rsidRPr="003D057F" w:rsidR="00642857">
        <w:rPr>
          <w:rFonts w:ascii="Times New Roman" w:hAnsi="Times New Roman"/>
          <w:sz w:val="24"/>
          <w:szCs w:val="24"/>
        </w:rPr>
        <w:t>mation</w:t>
      </w:r>
      <w:r w:rsidRPr="003D057F" w:rsidR="00642857">
        <w:rPr>
          <w:rFonts w:ascii="Times New Roman" w:hAnsi="Times New Roman"/>
          <w:sz w:val="24"/>
          <w:szCs w:val="24"/>
        </w:rPr>
        <w:t xml:space="preserve"> is by the program agency</w:t>
      </w:r>
      <w:r w:rsidRPr="003D057F">
        <w:rPr>
          <w:rFonts w:ascii="Times New Roman" w:hAnsi="Times New Roman"/>
          <w:sz w:val="24"/>
          <w:szCs w:val="24"/>
        </w:rPr>
        <w:t xml:space="preserve"> in response to a non-receipt claim initiated by the payee</w:t>
      </w:r>
      <w:r w:rsidRPr="003D057F" w:rsidR="00C149D9">
        <w:rPr>
          <w:rFonts w:ascii="Times New Roman" w:hAnsi="Times New Roman"/>
          <w:sz w:val="24"/>
          <w:szCs w:val="24"/>
        </w:rPr>
        <w:t xml:space="preserve"> recipient</w:t>
      </w:r>
      <w:r w:rsidRPr="003D057F" w:rsidR="009155D4">
        <w:rPr>
          <w:rFonts w:ascii="Times New Roman" w:hAnsi="Times New Roman"/>
          <w:sz w:val="24"/>
          <w:szCs w:val="24"/>
        </w:rPr>
        <w:t xml:space="preserve"> </w:t>
      </w:r>
      <w:r w:rsidRPr="003D057F">
        <w:rPr>
          <w:rFonts w:ascii="Times New Roman" w:hAnsi="Times New Roman"/>
          <w:sz w:val="24"/>
          <w:szCs w:val="24"/>
        </w:rPr>
        <w:t>not annual, semi-annual, quarterly or on any other regularly timed basis.</w:t>
      </w:r>
    </w:p>
    <w:p w:rsidR="00284B7F" w:rsidRPr="003D057F" w:rsidP="003D057F" w14:paraId="1914B724" w14:textId="77777777">
      <w:pPr>
        <w:pStyle w:val="NoSpacing"/>
        <w:tabs>
          <w:tab w:val="left" w:pos="540"/>
        </w:tabs>
        <w:ind w:left="535" w:firstLine="5" w:leftChars="243" w:firstLineChars="2"/>
        <w:rPr>
          <w:rFonts w:ascii="Times New Roman" w:hAnsi="Times New Roman"/>
          <w:sz w:val="24"/>
          <w:szCs w:val="24"/>
        </w:rPr>
      </w:pPr>
    </w:p>
    <w:p w:rsidR="009155D4" w:rsidRPr="003D057F" w:rsidP="003D057F" w14:paraId="78B07583" w14:textId="52312754">
      <w:pPr>
        <w:autoSpaceDE w:val="0"/>
        <w:autoSpaceDN w:val="0"/>
        <w:adjustRightInd w:val="0"/>
        <w:spacing w:after="0" w:line="240" w:lineRule="auto"/>
        <w:ind w:left="535" w:firstLine="5" w:leftChars="243" w:firstLineChars="2"/>
        <w:rPr>
          <w:rFonts w:ascii="Times New Roman" w:hAnsi="Times New Roman"/>
          <w:sz w:val="24"/>
          <w:szCs w:val="24"/>
        </w:rPr>
      </w:pPr>
      <w:r w:rsidRPr="003D057F">
        <w:rPr>
          <w:rFonts w:ascii="Times New Roman" w:hAnsi="Times New Roman"/>
          <w:sz w:val="24"/>
          <w:szCs w:val="24"/>
        </w:rPr>
        <w:t>Regulations require financial institutions to respond to F</w:t>
      </w:r>
      <w:r w:rsidRPr="003D057F" w:rsidR="00EE524C">
        <w:rPr>
          <w:rFonts w:ascii="Times New Roman" w:hAnsi="Times New Roman"/>
          <w:sz w:val="24"/>
          <w:szCs w:val="24"/>
        </w:rPr>
        <w:t>iscal Service</w:t>
      </w:r>
      <w:r w:rsidRPr="003D057F">
        <w:rPr>
          <w:rFonts w:ascii="Times New Roman" w:hAnsi="Times New Roman"/>
          <w:sz w:val="24"/>
          <w:szCs w:val="24"/>
        </w:rPr>
        <w:t xml:space="preserve"> within 3 business days after receipt of the 150.</w:t>
      </w:r>
      <w:r w:rsidRPr="003D057F" w:rsidR="00AB6A41">
        <w:rPr>
          <w:rFonts w:ascii="Times New Roman" w:hAnsi="Times New Roman"/>
          <w:sz w:val="24"/>
          <w:szCs w:val="24"/>
        </w:rPr>
        <w:t>1 form.</w:t>
      </w:r>
      <w:r w:rsidRPr="003D057F" w:rsidR="003D057F">
        <w:rPr>
          <w:rFonts w:ascii="Times New Roman" w:hAnsi="Times New Roman"/>
          <w:sz w:val="24"/>
          <w:szCs w:val="24"/>
        </w:rPr>
        <w:t xml:space="preserve"> </w:t>
      </w:r>
      <w:r w:rsidRPr="003D057F" w:rsidR="00C149D9">
        <w:rPr>
          <w:rFonts w:ascii="Times New Roman" w:hAnsi="Times New Roman"/>
          <w:sz w:val="24"/>
          <w:szCs w:val="24"/>
        </w:rPr>
        <w:t>The RDFI must respond to Fiscal Service within three business days by completing and returning</w:t>
      </w:r>
      <w:r w:rsidRPr="003D057F">
        <w:rPr>
          <w:rFonts w:ascii="Times New Roman" w:hAnsi="Times New Roman"/>
          <w:sz w:val="24"/>
          <w:szCs w:val="24"/>
        </w:rPr>
        <w:t xml:space="preserve"> </w:t>
      </w:r>
      <w:r w:rsidRPr="003D057F" w:rsidR="00C149D9">
        <w:rPr>
          <w:rFonts w:ascii="Times New Roman" w:hAnsi="Times New Roman"/>
          <w:sz w:val="24"/>
          <w:szCs w:val="24"/>
        </w:rPr>
        <w:t>the FS Form 150.1 to Fiscal Service as indicated on the form. Fiscal Service will verify acceptance of</w:t>
      </w:r>
      <w:r w:rsidRPr="003D057F">
        <w:rPr>
          <w:rFonts w:ascii="Times New Roman" w:hAnsi="Times New Roman"/>
          <w:sz w:val="24"/>
          <w:szCs w:val="24"/>
        </w:rPr>
        <w:t xml:space="preserve"> </w:t>
      </w:r>
      <w:r w:rsidRPr="003D057F" w:rsidR="00C149D9">
        <w:rPr>
          <w:rFonts w:ascii="Times New Roman" w:hAnsi="Times New Roman"/>
          <w:sz w:val="24"/>
          <w:szCs w:val="24"/>
        </w:rPr>
        <w:t>the return.</w:t>
      </w:r>
      <w:r w:rsidRPr="003D057F">
        <w:rPr>
          <w:rFonts w:ascii="Times New Roman" w:hAnsi="Times New Roman"/>
          <w:sz w:val="24"/>
          <w:szCs w:val="24"/>
        </w:rPr>
        <w:t xml:space="preserve"> </w:t>
      </w:r>
      <w:r w:rsidRPr="003D057F" w:rsidR="00C149D9">
        <w:rPr>
          <w:rFonts w:ascii="Times New Roman" w:hAnsi="Times New Roman"/>
          <w:sz w:val="24"/>
          <w:szCs w:val="24"/>
        </w:rPr>
        <w:t xml:space="preserve">If no reply is received, </w:t>
      </w:r>
      <w:r w:rsidRPr="003D057F" w:rsidR="00C149D9">
        <w:rPr>
          <w:rFonts w:ascii="Times New Roman" w:hAnsi="Times New Roman"/>
          <w:sz w:val="24"/>
          <w:szCs w:val="24"/>
        </w:rPr>
        <w:t>Fiscal</w:t>
      </w:r>
      <w:r w:rsidRPr="003D057F" w:rsidR="00C149D9">
        <w:rPr>
          <w:rFonts w:ascii="Times New Roman" w:hAnsi="Times New Roman"/>
          <w:sz w:val="24"/>
          <w:szCs w:val="24"/>
        </w:rPr>
        <w:t xml:space="preserve"> Service will contact the financial institution and will pursue the</w:t>
      </w:r>
      <w:r w:rsidRPr="003D057F">
        <w:rPr>
          <w:rFonts w:ascii="Times New Roman" w:hAnsi="Times New Roman"/>
          <w:sz w:val="24"/>
          <w:szCs w:val="24"/>
        </w:rPr>
        <w:t xml:space="preserve"> </w:t>
      </w:r>
      <w:r w:rsidRPr="003D057F" w:rsidR="00C149D9">
        <w:rPr>
          <w:rFonts w:ascii="Times New Roman" w:hAnsi="Times New Roman"/>
          <w:sz w:val="24"/>
          <w:szCs w:val="24"/>
        </w:rPr>
        <w:t>case until it is resolved. If Fiscal Service still receives no reply, a letter will be sent to the</w:t>
      </w:r>
      <w:r w:rsidRPr="003D057F">
        <w:rPr>
          <w:rFonts w:ascii="Times New Roman" w:hAnsi="Times New Roman"/>
          <w:sz w:val="24"/>
          <w:szCs w:val="24"/>
        </w:rPr>
        <w:t xml:space="preserve"> </w:t>
      </w:r>
      <w:r w:rsidRPr="003D057F" w:rsidR="00C149D9">
        <w:rPr>
          <w:rFonts w:ascii="Times New Roman" w:hAnsi="Times New Roman"/>
          <w:sz w:val="24"/>
          <w:szCs w:val="24"/>
        </w:rPr>
        <w:t>President of the RDFI.</w:t>
      </w:r>
    </w:p>
    <w:p w:rsidR="009155D4" w:rsidRPr="003D057F" w:rsidP="003D057F" w14:paraId="5980D749" w14:textId="77777777">
      <w:pPr>
        <w:autoSpaceDE w:val="0"/>
        <w:autoSpaceDN w:val="0"/>
        <w:adjustRightInd w:val="0"/>
        <w:spacing w:after="0" w:line="240" w:lineRule="auto"/>
        <w:ind w:left="535" w:firstLine="5" w:leftChars="243" w:firstLineChars="2"/>
        <w:rPr>
          <w:rFonts w:ascii="Times New Roman" w:hAnsi="Times New Roman"/>
          <w:sz w:val="24"/>
          <w:szCs w:val="24"/>
        </w:rPr>
      </w:pPr>
    </w:p>
    <w:p w:rsidR="00C149D9" w:rsidRPr="003D057F" w:rsidP="003D057F" w14:paraId="040F068E" w14:textId="29A08928">
      <w:pPr>
        <w:autoSpaceDE w:val="0"/>
        <w:autoSpaceDN w:val="0"/>
        <w:adjustRightInd w:val="0"/>
        <w:spacing w:after="0" w:line="240" w:lineRule="auto"/>
        <w:ind w:left="535" w:firstLine="5" w:leftChars="243" w:firstLineChars="2"/>
        <w:rPr>
          <w:rFonts w:ascii="Times New Roman" w:hAnsi="Times New Roman"/>
          <w:sz w:val="24"/>
          <w:szCs w:val="24"/>
        </w:rPr>
      </w:pPr>
      <w:r w:rsidRPr="003D057F">
        <w:rPr>
          <w:rFonts w:ascii="Times New Roman" w:hAnsi="Times New Roman"/>
          <w:sz w:val="24"/>
          <w:szCs w:val="24"/>
        </w:rPr>
        <w:t xml:space="preserve">The </w:t>
      </w:r>
      <w:r w:rsidRPr="003D057F">
        <w:rPr>
          <w:rFonts w:ascii="Times New Roman" w:hAnsi="Times New Roman"/>
          <w:sz w:val="24"/>
          <w:szCs w:val="24"/>
        </w:rPr>
        <w:t>authorizing federal agency may also contact the RDFI to resolve payment problems.</w:t>
      </w:r>
    </w:p>
    <w:p w:rsidR="009155D4" w:rsidRPr="003D057F" w:rsidP="003D057F" w14:paraId="435B3180" w14:textId="77777777">
      <w:pPr>
        <w:autoSpaceDE w:val="0"/>
        <w:autoSpaceDN w:val="0"/>
        <w:adjustRightInd w:val="0"/>
        <w:spacing w:after="0" w:line="240" w:lineRule="auto"/>
        <w:ind w:left="535" w:firstLine="5" w:leftChars="243" w:firstLineChars="2"/>
        <w:rPr>
          <w:rFonts w:ascii="Times New Roman" w:hAnsi="Times New Roman"/>
          <w:sz w:val="24"/>
          <w:szCs w:val="24"/>
        </w:rPr>
      </w:pPr>
      <w:r w:rsidRPr="003D057F">
        <w:rPr>
          <w:rFonts w:ascii="Times New Roman" w:hAnsi="Times New Roman"/>
          <w:sz w:val="24"/>
          <w:szCs w:val="24"/>
        </w:rPr>
        <w:t>Keep in mind that the RDFIs can be held liable for ACH payments not processed timely or correctly.</w:t>
      </w:r>
      <w:r w:rsidRPr="003D057F">
        <w:rPr>
          <w:rFonts w:ascii="Times New Roman" w:hAnsi="Times New Roman"/>
          <w:sz w:val="24"/>
          <w:szCs w:val="24"/>
        </w:rPr>
        <w:t xml:space="preserve">  </w:t>
      </w:r>
      <w:r w:rsidRPr="003D057F">
        <w:rPr>
          <w:rFonts w:ascii="Times New Roman" w:hAnsi="Times New Roman"/>
          <w:sz w:val="24"/>
          <w:szCs w:val="24"/>
        </w:rPr>
        <w:t xml:space="preserve">If the federal government sustains a loss </w:t>
      </w:r>
      <w:r w:rsidRPr="003D057F">
        <w:rPr>
          <w:rFonts w:ascii="Times New Roman" w:hAnsi="Times New Roman"/>
          <w:sz w:val="24"/>
          <w:szCs w:val="24"/>
        </w:rPr>
        <w:t>as a result of</w:t>
      </w:r>
      <w:r w:rsidRPr="003D057F">
        <w:rPr>
          <w:rFonts w:ascii="Times New Roman" w:hAnsi="Times New Roman"/>
          <w:sz w:val="24"/>
          <w:szCs w:val="24"/>
        </w:rPr>
        <w:t xml:space="preserve"> a financial institution’s improper handling of</w:t>
      </w:r>
      <w:r w:rsidRPr="003D057F">
        <w:rPr>
          <w:rFonts w:ascii="Times New Roman" w:hAnsi="Times New Roman"/>
          <w:sz w:val="24"/>
          <w:szCs w:val="24"/>
        </w:rPr>
        <w:t xml:space="preserve"> </w:t>
      </w:r>
      <w:r w:rsidRPr="003D057F">
        <w:rPr>
          <w:rFonts w:ascii="Times New Roman" w:hAnsi="Times New Roman"/>
          <w:sz w:val="24"/>
          <w:szCs w:val="24"/>
        </w:rPr>
        <w:t>an entry, the financial institution is liable to the federal government for the loss, up to the amount of</w:t>
      </w:r>
      <w:r w:rsidRPr="003D057F">
        <w:rPr>
          <w:rFonts w:ascii="Times New Roman" w:hAnsi="Times New Roman"/>
          <w:sz w:val="24"/>
          <w:szCs w:val="24"/>
        </w:rPr>
        <w:t xml:space="preserve"> </w:t>
      </w:r>
      <w:r w:rsidRPr="003D057F">
        <w:rPr>
          <w:rFonts w:ascii="Times New Roman" w:hAnsi="Times New Roman"/>
          <w:sz w:val="24"/>
          <w:szCs w:val="24"/>
        </w:rPr>
        <w:t>the entry.</w:t>
      </w:r>
    </w:p>
    <w:p w:rsidR="003D057F" w:rsidP="003D057F" w14:paraId="27931E6D" w14:textId="77777777">
      <w:pPr>
        <w:autoSpaceDE w:val="0"/>
        <w:autoSpaceDN w:val="0"/>
        <w:adjustRightInd w:val="0"/>
        <w:spacing w:after="0" w:line="240" w:lineRule="auto"/>
        <w:ind w:left="535" w:firstLine="5" w:leftChars="243" w:firstLineChars="2"/>
        <w:rPr>
          <w:rFonts w:ascii="Times New Roman" w:hAnsi="Times New Roman"/>
          <w:sz w:val="24"/>
          <w:szCs w:val="24"/>
        </w:rPr>
      </w:pPr>
    </w:p>
    <w:p w:rsidR="00284B7F" w:rsidRPr="003D057F" w:rsidP="003D057F" w14:paraId="4AC2A5FC" w14:textId="0EBA992D">
      <w:pPr>
        <w:autoSpaceDE w:val="0"/>
        <w:autoSpaceDN w:val="0"/>
        <w:adjustRightInd w:val="0"/>
        <w:spacing w:after="0" w:line="240" w:lineRule="auto"/>
        <w:ind w:left="535" w:firstLine="5" w:leftChars="243" w:firstLineChars="2"/>
        <w:rPr>
          <w:rFonts w:ascii="Times New Roman" w:hAnsi="Times New Roman"/>
          <w:sz w:val="24"/>
          <w:szCs w:val="24"/>
        </w:rPr>
      </w:pPr>
      <w:r w:rsidRPr="003D057F">
        <w:rPr>
          <w:rFonts w:ascii="Times New Roman" w:hAnsi="Times New Roman"/>
          <w:sz w:val="24"/>
          <w:szCs w:val="24"/>
        </w:rPr>
        <w:t xml:space="preserve">Financial institutions </w:t>
      </w:r>
      <w:r w:rsidRPr="003D057F">
        <w:rPr>
          <w:rFonts w:ascii="Times New Roman" w:hAnsi="Times New Roman"/>
          <w:sz w:val="24"/>
          <w:szCs w:val="24"/>
        </w:rPr>
        <w:t>return one copy of the form to Treasury. Financial institutions are no longer required to respond to the Fi</w:t>
      </w:r>
      <w:r w:rsidRPr="003D057F" w:rsidR="00EE524C">
        <w:rPr>
          <w:rFonts w:ascii="Times New Roman" w:hAnsi="Times New Roman"/>
          <w:sz w:val="24"/>
          <w:szCs w:val="24"/>
        </w:rPr>
        <w:t>scal</w:t>
      </w:r>
      <w:r w:rsidRPr="003D057F">
        <w:rPr>
          <w:rFonts w:ascii="Times New Roman" w:hAnsi="Times New Roman"/>
          <w:sz w:val="24"/>
          <w:szCs w:val="24"/>
        </w:rPr>
        <w:t xml:space="preserve"> Service for trace requests on payments that are less than 2 months old. </w:t>
      </w:r>
      <w:r w:rsidRPr="003D057F">
        <w:rPr>
          <w:rFonts w:ascii="Times New Roman" w:hAnsi="Times New Roman"/>
          <w:sz w:val="24"/>
          <w:szCs w:val="24"/>
        </w:rPr>
        <w:t xml:space="preserve"> </w:t>
      </w:r>
      <w:r w:rsidRPr="003D057F">
        <w:rPr>
          <w:rFonts w:ascii="Times New Roman" w:hAnsi="Times New Roman"/>
          <w:sz w:val="24"/>
          <w:szCs w:val="24"/>
        </w:rPr>
        <w:t xml:space="preserve">They are still responsible </w:t>
      </w:r>
      <w:r w:rsidRPr="003D057F">
        <w:rPr>
          <w:rFonts w:ascii="Times New Roman" w:hAnsi="Times New Roman"/>
          <w:sz w:val="24"/>
          <w:szCs w:val="24"/>
        </w:rPr>
        <w:t>to resolve</w:t>
      </w:r>
      <w:r w:rsidRPr="003D057F">
        <w:rPr>
          <w:rFonts w:ascii="Times New Roman" w:hAnsi="Times New Roman"/>
          <w:sz w:val="24"/>
          <w:szCs w:val="24"/>
        </w:rPr>
        <w:t xml:space="preserve"> the issue with the recipient who claimed non-receipt.</w:t>
      </w:r>
    </w:p>
    <w:p w:rsidR="00284B7F" w:rsidRPr="003D057F" w:rsidP="003D057F" w14:paraId="2866A072" w14:textId="77777777">
      <w:pPr>
        <w:pStyle w:val="NoSpacing"/>
        <w:tabs>
          <w:tab w:val="left" w:pos="540"/>
        </w:tabs>
        <w:ind w:left="535" w:firstLine="5" w:leftChars="243" w:firstLineChars="2"/>
        <w:rPr>
          <w:rFonts w:ascii="Times New Roman" w:hAnsi="Times New Roman"/>
          <w:sz w:val="24"/>
          <w:szCs w:val="24"/>
        </w:rPr>
      </w:pPr>
    </w:p>
    <w:p w:rsidR="00284B7F" w:rsidRPr="003D057F" w:rsidP="003D057F" w14:paraId="0425FE79" w14:textId="1543DCC1">
      <w:pPr>
        <w:pStyle w:val="NoSpacing"/>
        <w:tabs>
          <w:tab w:val="left" w:pos="540"/>
        </w:tabs>
        <w:ind w:left="535" w:firstLine="5" w:leftChars="243" w:firstLineChars="2"/>
        <w:rPr>
          <w:rFonts w:ascii="Times New Roman" w:hAnsi="Times New Roman"/>
          <w:sz w:val="24"/>
          <w:szCs w:val="24"/>
        </w:rPr>
      </w:pPr>
      <w:r w:rsidRPr="003D057F">
        <w:rPr>
          <w:rFonts w:ascii="Times New Roman" w:hAnsi="Times New Roman"/>
          <w:sz w:val="24"/>
          <w:szCs w:val="24"/>
        </w:rPr>
        <w:t xml:space="preserve">There is nothing in Federal Regulations which requires the financial institution to retain the form for a specified </w:t>
      </w:r>
      <w:r w:rsidRPr="003D057F">
        <w:rPr>
          <w:rFonts w:ascii="Times New Roman" w:hAnsi="Times New Roman"/>
          <w:sz w:val="24"/>
          <w:szCs w:val="24"/>
        </w:rPr>
        <w:t>period of time</w:t>
      </w:r>
      <w:r w:rsidRPr="003D057F">
        <w:rPr>
          <w:rFonts w:ascii="Times New Roman" w:hAnsi="Times New Roman"/>
          <w:sz w:val="24"/>
          <w:szCs w:val="24"/>
        </w:rPr>
        <w:t>. Once the transaction has been completed, the financial institution may choose to retain or destroy the form in accordance with their policies.</w:t>
      </w:r>
    </w:p>
    <w:p w:rsidR="00284B7F" w:rsidRPr="003D057F" w:rsidP="003D057F" w14:paraId="40A01F41" w14:textId="77777777">
      <w:pPr>
        <w:pStyle w:val="NoSpacing"/>
        <w:tabs>
          <w:tab w:val="left" w:pos="540"/>
        </w:tabs>
        <w:ind w:left="535" w:firstLine="5" w:leftChars="243" w:firstLineChars="2"/>
        <w:rPr>
          <w:rFonts w:ascii="Times New Roman" w:hAnsi="Times New Roman"/>
          <w:sz w:val="24"/>
          <w:szCs w:val="24"/>
        </w:rPr>
      </w:pPr>
    </w:p>
    <w:p w:rsidR="00284B7F" w:rsidRPr="003D057F" w:rsidP="003D057F" w14:paraId="59DBDC66" w14:textId="0DF1EDFE">
      <w:pPr>
        <w:pStyle w:val="NoSpacing"/>
        <w:tabs>
          <w:tab w:val="left" w:pos="540"/>
        </w:tabs>
        <w:ind w:left="535" w:firstLine="5" w:leftChars="243" w:firstLineChars="2"/>
        <w:rPr>
          <w:rFonts w:ascii="Times New Roman" w:hAnsi="Times New Roman"/>
          <w:sz w:val="24"/>
          <w:szCs w:val="24"/>
        </w:rPr>
      </w:pPr>
      <w:r w:rsidRPr="003D057F">
        <w:rPr>
          <w:rFonts w:ascii="Times New Roman" w:hAnsi="Times New Roman"/>
          <w:sz w:val="24"/>
          <w:szCs w:val="24"/>
        </w:rPr>
        <w:t>All other information under this category is N/A.</w:t>
      </w:r>
    </w:p>
    <w:p w:rsidR="00284B7F" w:rsidRPr="00AB6A41" w:rsidP="00AB6A41" w14:paraId="62A32273" w14:textId="77777777">
      <w:pPr>
        <w:pStyle w:val="NoSpacing"/>
        <w:tabs>
          <w:tab w:val="left" w:pos="540"/>
        </w:tabs>
        <w:ind w:left="535" w:hanging="535" w:hangingChars="223"/>
        <w:rPr>
          <w:rFonts w:ascii="Times New Roman" w:hAnsi="Times New Roman"/>
          <w:sz w:val="24"/>
          <w:szCs w:val="24"/>
        </w:rPr>
      </w:pPr>
    </w:p>
    <w:p w:rsidR="00284B7F" w:rsidRPr="00AB6A41" w:rsidP="00AB6A41" w14:paraId="276D771C" w14:textId="77777777">
      <w:pPr>
        <w:pStyle w:val="NoSpacing"/>
        <w:numPr>
          <w:ilvl w:val="0"/>
          <w:numId w:val="5"/>
        </w:numPr>
        <w:tabs>
          <w:tab w:val="left" w:pos="540"/>
        </w:tabs>
        <w:ind w:left="535" w:hanging="535" w:hangingChars="223"/>
        <w:rPr>
          <w:rFonts w:ascii="Times New Roman" w:hAnsi="Times New Roman"/>
          <w:b/>
          <w:sz w:val="24"/>
          <w:szCs w:val="24"/>
        </w:rPr>
      </w:pPr>
      <w:r w:rsidRPr="00AB6A41">
        <w:rPr>
          <w:rFonts w:ascii="Times New Roman" w:hAnsi="Times New Roman"/>
          <w:b/>
          <w:sz w:val="24"/>
          <w:szCs w:val="24"/>
        </w:rPr>
        <w:t xml:space="preserve">If applicable, provide a copy and identify the date and page number of </w:t>
      </w:r>
      <w:r w:rsidRPr="00AB6A41">
        <w:rPr>
          <w:rFonts w:ascii="Times New Roman" w:hAnsi="Times New Roman"/>
          <w:b/>
          <w:sz w:val="24"/>
          <w:szCs w:val="24"/>
        </w:rPr>
        <w:t>publication</w:t>
      </w:r>
      <w:r w:rsidRPr="00AB6A41">
        <w:rPr>
          <w:rFonts w:ascii="Times New Roman" w:hAnsi="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84B7F" w:rsidRPr="00AB6A41" w:rsidP="00AB6A41" w14:paraId="2D7F4524" w14:textId="77777777">
      <w:pPr>
        <w:pStyle w:val="NoSpacing"/>
        <w:tabs>
          <w:tab w:val="left" w:pos="540"/>
        </w:tabs>
        <w:ind w:left="535" w:hanging="535" w:hangingChars="223"/>
        <w:rPr>
          <w:rFonts w:ascii="Times New Roman" w:hAnsi="Times New Roman"/>
          <w:sz w:val="24"/>
          <w:szCs w:val="24"/>
        </w:rPr>
      </w:pPr>
    </w:p>
    <w:p w:rsidR="00284B7F" w:rsidRPr="00AB6A41" w:rsidP="00A21085" w14:paraId="068C3300" w14:textId="221CD57B">
      <w:pPr>
        <w:pStyle w:val="NoSpacing"/>
        <w:tabs>
          <w:tab w:val="left" w:pos="540"/>
        </w:tabs>
        <w:ind w:left="535"/>
        <w:rPr>
          <w:rFonts w:ascii="Times New Roman" w:hAnsi="Times New Roman"/>
          <w:sz w:val="24"/>
          <w:szCs w:val="24"/>
        </w:rPr>
      </w:pPr>
      <w:r>
        <w:rPr>
          <w:rFonts w:ascii="Times New Roman" w:hAnsi="Times New Roman"/>
          <w:sz w:val="24"/>
          <w:szCs w:val="24"/>
        </w:rPr>
        <w:t xml:space="preserve">The Bureau’s </w:t>
      </w:r>
      <w:r w:rsidRPr="00AB6A41">
        <w:rPr>
          <w:rFonts w:ascii="Times New Roman" w:hAnsi="Times New Roman"/>
          <w:sz w:val="24"/>
          <w:szCs w:val="24"/>
        </w:rPr>
        <w:t xml:space="preserve">notice was published in the </w:t>
      </w:r>
      <w:r w:rsidRPr="00AB6A41">
        <w:rPr>
          <w:rFonts w:ascii="Times New Roman" w:hAnsi="Times New Roman"/>
          <w:i/>
          <w:sz w:val="24"/>
          <w:szCs w:val="24"/>
        </w:rPr>
        <w:t>Federal Register</w:t>
      </w:r>
      <w:r w:rsidR="00EE524C">
        <w:rPr>
          <w:rFonts w:ascii="Times New Roman" w:hAnsi="Times New Roman"/>
          <w:sz w:val="24"/>
          <w:szCs w:val="24"/>
        </w:rPr>
        <w:t xml:space="preserve"> on </w:t>
      </w:r>
      <w:r>
        <w:rPr>
          <w:rFonts w:ascii="Times New Roman" w:hAnsi="Times New Roman"/>
          <w:sz w:val="24"/>
          <w:szCs w:val="24"/>
        </w:rPr>
        <w:t>April 4</w:t>
      </w:r>
      <w:r w:rsidR="00D66644">
        <w:rPr>
          <w:rFonts w:ascii="Times New Roman" w:hAnsi="Times New Roman"/>
          <w:sz w:val="24"/>
          <w:szCs w:val="24"/>
        </w:rPr>
        <w:t>, 20</w:t>
      </w:r>
      <w:r w:rsidR="007137DA">
        <w:rPr>
          <w:rFonts w:ascii="Times New Roman" w:hAnsi="Times New Roman"/>
          <w:sz w:val="24"/>
          <w:szCs w:val="24"/>
        </w:rPr>
        <w:t>2</w:t>
      </w:r>
      <w:r>
        <w:rPr>
          <w:rFonts w:ascii="Times New Roman" w:hAnsi="Times New Roman"/>
          <w:sz w:val="24"/>
          <w:szCs w:val="24"/>
        </w:rPr>
        <w:t>5</w:t>
      </w:r>
      <w:r w:rsidR="00AB6A41">
        <w:rPr>
          <w:rFonts w:ascii="Times New Roman" w:hAnsi="Times New Roman"/>
          <w:sz w:val="24"/>
          <w:szCs w:val="24"/>
        </w:rPr>
        <w:t xml:space="preserve">, at </w:t>
      </w:r>
      <w:r>
        <w:rPr>
          <w:rFonts w:ascii="Times New Roman" w:hAnsi="Times New Roman"/>
          <w:sz w:val="24"/>
          <w:szCs w:val="24"/>
        </w:rPr>
        <w:t>90</w:t>
      </w:r>
      <w:r w:rsidR="00D66644">
        <w:rPr>
          <w:rFonts w:ascii="Times New Roman" w:hAnsi="Times New Roman"/>
          <w:sz w:val="24"/>
          <w:szCs w:val="24"/>
        </w:rPr>
        <w:t xml:space="preserve"> </w:t>
      </w:r>
      <w:r w:rsidR="00AB6A41">
        <w:rPr>
          <w:rFonts w:ascii="Times New Roman" w:hAnsi="Times New Roman"/>
          <w:sz w:val="24"/>
          <w:szCs w:val="24"/>
        </w:rPr>
        <w:t xml:space="preserve">FR </w:t>
      </w:r>
      <w:r>
        <w:rPr>
          <w:rFonts w:ascii="Times New Roman" w:hAnsi="Times New Roman"/>
          <w:sz w:val="24"/>
          <w:szCs w:val="24"/>
        </w:rPr>
        <w:t>15612</w:t>
      </w:r>
      <w:r w:rsidRPr="00AB6A41">
        <w:rPr>
          <w:rFonts w:ascii="Times New Roman" w:hAnsi="Times New Roman"/>
          <w:sz w:val="24"/>
          <w:szCs w:val="24"/>
        </w:rPr>
        <w:t xml:space="preserve">.  </w:t>
      </w:r>
      <w:r>
        <w:rPr>
          <w:rFonts w:ascii="Times New Roman" w:hAnsi="Times New Roman"/>
          <w:sz w:val="24"/>
          <w:szCs w:val="24"/>
        </w:rPr>
        <w:t>N</w:t>
      </w:r>
      <w:r w:rsidRPr="00AB6A41">
        <w:rPr>
          <w:rFonts w:ascii="Times New Roman" w:hAnsi="Times New Roman"/>
          <w:sz w:val="24"/>
          <w:szCs w:val="24"/>
        </w:rPr>
        <w:t>o comments received</w:t>
      </w:r>
      <w:r>
        <w:rPr>
          <w:rFonts w:ascii="Times New Roman" w:hAnsi="Times New Roman"/>
          <w:sz w:val="24"/>
          <w:szCs w:val="24"/>
        </w:rPr>
        <w:t>.</w:t>
      </w:r>
    </w:p>
    <w:p w:rsidR="00284B7F" w:rsidRPr="00AB6A41" w:rsidP="00AB6A41" w14:paraId="4B8D2DF6" w14:textId="77777777">
      <w:pPr>
        <w:pStyle w:val="NoSpacing"/>
        <w:tabs>
          <w:tab w:val="left" w:pos="540"/>
        </w:tabs>
        <w:ind w:left="535" w:hanging="535" w:hangingChars="223"/>
        <w:rPr>
          <w:rFonts w:ascii="Times New Roman" w:hAnsi="Times New Roman"/>
          <w:sz w:val="24"/>
          <w:szCs w:val="24"/>
        </w:rPr>
      </w:pPr>
    </w:p>
    <w:p w:rsidR="00284B7F" w:rsidRPr="00AB6A41" w:rsidP="00AB6A41" w14:paraId="02292198" w14:textId="77777777">
      <w:pPr>
        <w:pStyle w:val="NoSpacing"/>
        <w:numPr>
          <w:ilvl w:val="0"/>
          <w:numId w:val="5"/>
        </w:numPr>
        <w:tabs>
          <w:tab w:val="left" w:pos="540"/>
        </w:tabs>
        <w:ind w:left="535" w:hanging="535" w:hangingChars="223"/>
        <w:rPr>
          <w:rFonts w:ascii="Times New Roman" w:hAnsi="Times New Roman"/>
          <w:b/>
          <w:sz w:val="24"/>
          <w:szCs w:val="24"/>
        </w:rPr>
      </w:pPr>
      <w:r w:rsidRPr="00AB6A41">
        <w:rPr>
          <w:rFonts w:ascii="Times New Roman" w:hAnsi="Times New Roman"/>
          <w:b/>
          <w:sz w:val="24"/>
          <w:szCs w:val="24"/>
        </w:rPr>
        <w:t xml:space="preserve">Explain any decision to provide any payment or gift to respondents, other than </w:t>
      </w:r>
      <w:r w:rsidRPr="00AB6A41">
        <w:rPr>
          <w:rFonts w:ascii="Times New Roman" w:hAnsi="Times New Roman"/>
          <w:b/>
          <w:sz w:val="24"/>
          <w:szCs w:val="24"/>
        </w:rPr>
        <w:t>reenumeration</w:t>
      </w:r>
      <w:r w:rsidRPr="00AB6A41">
        <w:rPr>
          <w:rFonts w:ascii="Times New Roman" w:hAnsi="Times New Roman"/>
          <w:b/>
          <w:sz w:val="24"/>
          <w:szCs w:val="24"/>
        </w:rPr>
        <w:t xml:space="preserve"> of contractors or grantees.</w:t>
      </w:r>
    </w:p>
    <w:p w:rsidR="00284B7F" w:rsidRPr="00AB6A41" w:rsidP="00AB6A41" w14:paraId="7EFA74EB" w14:textId="77777777">
      <w:pPr>
        <w:pStyle w:val="NoSpacing"/>
        <w:tabs>
          <w:tab w:val="left" w:pos="540"/>
        </w:tabs>
        <w:ind w:left="535" w:hanging="535" w:hangingChars="223"/>
        <w:rPr>
          <w:rFonts w:ascii="Times New Roman" w:hAnsi="Times New Roman"/>
          <w:b/>
          <w:sz w:val="24"/>
          <w:szCs w:val="24"/>
        </w:rPr>
      </w:pPr>
    </w:p>
    <w:p w:rsidR="00284B7F" w:rsidRPr="00EE524C" w:rsidP="00EE524C" w14:paraId="69645E1F" w14:textId="77777777">
      <w:pPr>
        <w:ind w:firstLine="540"/>
        <w:rPr>
          <w:rFonts w:ascii="Times New Roman" w:hAnsi="Times New Roman"/>
          <w:bCs/>
          <w:sz w:val="24"/>
          <w:szCs w:val="24"/>
        </w:rPr>
      </w:pPr>
      <w:r w:rsidRPr="00EE524C">
        <w:rPr>
          <w:rFonts w:ascii="Times New Roman" w:hAnsi="Times New Roman"/>
          <w:sz w:val="24"/>
          <w:szCs w:val="24"/>
        </w:rPr>
        <w:t>There are no payments or gifts made to respondents.</w:t>
      </w:r>
    </w:p>
    <w:p w:rsidR="00284B7F" w:rsidRPr="00AB6A41" w:rsidP="00AB6A41" w14:paraId="4A7BBAAE" w14:textId="77777777">
      <w:pPr>
        <w:pStyle w:val="NoSpacing"/>
        <w:tabs>
          <w:tab w:val="left" w:pos="540"/>
        </w:tabs>
        <w:ind w:left="535" w:hanging="535" w:hangingChars="223"/>
        <w:rPr>
          <w:rFonts w:ascii="Times New Roman" w:hAnsi="Times New Roman"/>
          <w:sz w:val="24"/>
          <w:szCs w:val="24"/>
        </w:rPr>
      </w:pPr>
    </w:p>
    <w:p w:rsidR="00284B7F" w:rsidRPr="00AB6A41" w:rsidP="00AB6A41" w14:paraId="07B582E0" w14:textId="77777777">
      <w:pPr>
        <w:pStyle w:val="NoSpacing"/>
        <w:numPr>
          <w:ilvl w:val="0"/>
          <w:numId w:val="5"/>
        </w:numPr>
        <w:tabs>
          <w:tab w:val="left" w:pos="540"/>
        </w:tabs>
        <w:ind w:left="535" w:hanging="535" w:hangingChars="223"/>
        <w:rPr>
          <w:rFonts w:ascii="Times New Roman" w:hAnsi="Times New Roman"/>
          <w:b/>
          <w:sz w:val="24"/>
          <w:szCs w:val="24"/>
        </w:rPr>
      </w:pPr>
      <w:r w:rsidRPr="00AB6A41">
        <w:rPr>
          <w:rFonts w:ascii="Times New Roman" w:hAnsi="Times New Roman"/>
          <w:b/>
          <w:sz w:val="24"/>
          <w:szCs w:val="24"/>
        </w:rPr>
        <w:t>Describe any assurance of confidentiality provided to respondents and the basis for the assurance in statute, regulation, or agency policy.</w:t>
      </w:r>
    </w:p>
    <w:p w:rsidR="00284B7F" w:rsidRPr="00AB6A41" w:rsidP="00AB6A41" w14:paraId="596A80CC" w14:textId="77777777">
      <w:pPr>
        <w:pStyle w:val="NoSpacing"/>
        <w:tabs>
          <w:tab w:val="left" w:pos="540"/>
        </w:tabs>
        <w:ind w:left="535" w:hanging="535" w:hangingChars="223"/>
        <w:rPr>
          <w:rFonts w:ascii="Times New Roman" w:hAnsi="Times New Roman"/>
          <w:b/>
          <w:sz w:val="24"/>
          <w:szCs w:val="24"/>
        </w:rPr>
      </w:pPr>
    </w:p>
    <w:p w:rsidR="00F17DC1" w:rsidRPr="00EE524C" w:rsidP="00EE524C" w14:paraId="65DBFF81" w14:textId="4AE4C731">
      <w:pPr>
        <w:pStyle w:val="NoSpacing"/>
        <w:tabs>
          <w:tab w:val="left" w:pos="540"/>
        </w:tabs>
        <w:ind w:left="535" w:firstLine="5" w:leftChars="243" w:firstLineChars="2"/>
        <w:rPr>
          <w:rFonts w:ascii="Times New Roman" w:hAnsi="Times New Roman"/>
          <w:sz w:val="24"/>
          <w:szCs w:val="24"/>
        </w:rPr>
      </w:pPr>
      <w:r w:rsidRPr="00EE524C">
        <w:rPr>
          <w:rFonts w:ascii="Times New Roman" w:hAnsi="Times New Roman"/>
          <w:sz w:val="24"/>
          <w:szCs w:val="24"/>
        </w:rPr>
        <w:t xml:space="preserve">Aside from </w:t>
      </w:r>
      <w:r w:rsidRPr="00EE524C">
        <w:rPr>
          <w:rFonts w:ascii="Times New Roman" w:hAnsi="Times New Roman"/>
          <w:sz w:val="24"/>
          <w:szCs w:val="24"/>
        </w:rPr>
        <w:t>protections</w:t>
      </w:r>
      <w:r w:rsidRPr="00EE524C">
        <w:rPr>
          <w:rFonts w:ascii="Times New Roman" w:hAnsi="Times New Roman"/>
          <w:sz w:val="24"/>
          <w:szCs w:val="24"/>
        </w:rPr>
        <w:t xml:space="preserve"> contained in the Privacy Act, there is no guarantee of</w:t>
      </w:r>
      <w:r w:rsidR="003D057F">
        <w:rPr>
          <w:rFonts w:ascii="Times New Roman" w:hAnsi="Times New Roman"/>
          <w:sz w:val="24"/>
          <w:szCs w:val="24"/>
        </w:rPr>
        <w:t xml:space="preserve"> </w:t>
      </w:r>
      <w:r w:rsidRPr="00EE524C">
        <w:rPr>
          <w:rFonts w:ascii="Times New Roman" w:hAnsi="Times New Roman"/>
          <w:sz w:val="24"/>
          <w:szCs w:val="24"/>
        </w:rPr>
        <w:t>confidentiality.</w:t>
      </w:r>
      <w:r w:rsidRPr="00EE524C">
        <w:rPr>
          <w:rFonts w:ascii="Times New Roman" w:hAnsi="Times New Roman"/>
          <w:sz w:val="24"/>
          <w:szCs w:val="24"/>
        </w:rPr>
        <w:t xml:space="preserve"> </w:t>
      </w:r>
    </w:p>
    <w:p w:rsidR="00284B7F" w:rsidP="00AB6A41" w14:paraId="43E5D932" w14:textId="52031596">
      <w:pPr>
        <w:pStyle w:val="NoSpacing"/>
        <w:tabs>
          <w:tab w:val="left" w:pos="540"/>
        </w:tabs>
        <w:ind w:left="535" w:hanging="535" w:hangingChars="223"/>
        <w:rPr>
          <w:rFonts w:ascii="Times New Roman" w:hAnsi="Times New Roman"/>
          <w:sz w:val="24"/>
          <w:szCs w:val="24"/>
        </w:rPr>
      </w:pPr>
    </w:p>
    <w:p w:rsidR="003D057F" w:rsidRPr="00AB6A41" w:rsidP="00AB6A41" w14:paraId="5B5FFB19" w14:textId="77777777">
      <w:pPr>
        <w:pStyle w:val="NoSpacing"/>
        <w:tabs>
          <w:tab w:val="left" w:pos="540"/>
        </w:tabs>
        <w:ind w:left="535" w:hanging="535" w:hangingChars="223"/>
        <w:rPr>
          <w:rFonts w:ascii="Times New Roman" w:hAnsi="Times New Roman"/>
          <w:sz w:val="24"/>
          <w:szCs w:val="24"/>
        </w:rPr>
      </w:pPr>
    </w:p>
    <w:p w:rsidR="00284B7F" w:rsidRPr="00AB6A41" w:rsidP="00AB6A41" w14:paraId="63CA2B21" w14:textId="77777777">
      <w:pPr>
        <w:pStyle w:val="NoSpacing"/>
        <w:numPr>
          <w:ilvl w:val="0"/>
          <w:numId w:val="5"/>
        </w:numPr>
        <w:tabs>
          <w:tab w:val="left" w:pos="540"/>
        </w:tabs>
        <w:ind w:left="535" w:hanging="535" w:hangingChars="223"/>
        <w:rPr>
          <w:rFonts w:ascii="Times New Roman" w:hAnsi="Times New Roman"/>
          <w:b/>
          <w:sz w:val="24"/>
          <w:szCs w:val="24"/>
        </w:rPr>
      </w:pPr>
      <w:r>
        <w:rPr>
          <w:rFonts w:ascii="Times New Roman" w:hAnsi="Times New Roman"/>
          <w:b/>
          <w:sz w:val="24"/>
          <w:szCs w:val="24"/>
        </w:rPr>
        <w:br w:type="page"/>
      </w:r>
      <w:r w:rsidRPr="00AB6A41">
        <w:rPr>
          <w:rFonts w:ascii="Times New Roman" w:hAnsi="Times New Roman"/>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AB6A41">
        <w:rPr>
          <w:rFonts w:ascii="Times New Roman" w:hAnsi="Times New Roman"/>
          <w:b/>
          <w:sz w:val="24"/>
          <w:szCs w:val="24"/>
        </w:rPr>
        <w:t>persons</w:t>
      </w:r>
      <w:r w:rsidRPr="00AB6A41">
        <w:rPr>
          <w:rFonts w:ascii="Times New Roman" w:hAnsi="Times New Roman"/>
          <w:b/>
          <w:sz w:val="24"/>
          <w:szCs w:val="24"/>
        </w:rPr>
        <w:t xml:space="preserve"> from whom the information is requested, and any steps to be taken to obtain their consent.</w:t>
      </w:r>
    </w:p>
    <w:p w:rsidR="00284B7F" w:rsidRPr="00AB6A41" w:rsidP="00AB6A41" w14:paraId="5DE57444" w14:textId="77777777">
      <w:pPr>
        <w:pStyle w:val="NoSpacing"/>
        <w:tabs>
          <w:tab w:val="left" w:pos="540"/>
        </w:tabs>
        <w:ind w:left="535" w:hanging="535" w:hangingChars="223"/>
        <w:rPr>
          <w:rFonts w:ascii="Times New Roman" w:hAnsi="Times New Roman"/>
          <w:sz w:val="24"/>
          <w:szCs w:val="24"/>
        </w:rPr>
      </w:pPr>
      <w:r>
        <w:rPr>
          <w:rFonts w:ascii="Times New Roman" w:hAnsi="Times New Roman"/>
          <w:sz w:val="24"/>
          <w:szCs w:val="24"/>
        </w:rPr>
        <w:tab/>
      </w:r>
    </w:p>
    <w:p w:rsidR="00460549" w:rsidRPr="00460549" w:rsidP="00460549" w14:paraId="46AA4864" w14:textId="5313E2F3">
      <w:pPr>
        <w:ind w:left="540"/>
        <w:rPr>
          <w:rFonts w:ascii="Times New Roman" w:hAnsi="Times New Roman"/>
          <w:b/>
          <w:bCs/>
          <w:sz w:val="24"/>
          <w:szCs w:val="24"/>
        </w:rPr>
      </w:pPr>
      <w:r w:rsidRPr="003E6E3D">
        <w:rPr>
          <w:rFonts w:ascii="Times New Roman" w:hAnsi="Times New Roman"/>
          <w:bCs/>
          <w:sz w:val="24"/>
          <w:szCs w:val="24"/>
        </w:rPr>
        <w:t xml:space="preserve">There are no questions of a sensitive nature. </w:t>
      </w:r>
      <w:r w:rsidRPr="003E6E3D" w:rsidR="003E6E3D">
        <w:rPr>
          <w:rFonts w:ascii="Times New Roman" w:hAnsi="Times New Roman"/>
          <w:sz w:val="24"/>
          <w:szCs w:val="24"/>
        </w:rPr>
        <w:t xml:space="preserve">A minimal amount of Personally Identifiable Information (PII) in this collection is necessary </w:t>
      </w:r>
      <w:r w:rsidRPr="003E6E3D" w:rsidR="003E6E3D">
        <w:rPr>
          <w:rFonts w:ascii="Times New Roman" w:hAnsi="Times New Roman"/>
          <w:sz w:val="24"/>
          <w:szCs w:val="24"/>
        </w:rPr>
        <w:t>in order to</w:t>
      </w:r>
      <w:r w:rsidRPr="003E6E3D" w:rsidR="003E6E3D">
        <w:rPr>
          <w:rFonts w:ascii="Times New Roman" w:hAnsi="Times New Roman"/>
          <w:sz w:val="24"/>
          <w:szCs w:val="24"/>
        </w:rPr>
        <w:t xml:space="preserve"> properly research the claim of nonreceipt</w:t>
      </w:r>
      <w:r w:rsidRPr="003E6E3D">
        <w:rPr>
          <w:rFonts w:ascii="Times New Roman" w:hAnsi="Times New Roman"/>
          <w:color w:val="000000"/>
          <w:sz w:val="24"/>
          <w:szCs w:val="24"/>
        </w:rPr>
        <w:t>.</w:t>
      </w:r>
      <w:r w:rsidRPr="003E6E3D">
        <w:rPr>
          <w:rFonts w:ascii="Times New Roman" w:hAnsi="Times New Roman"/>
          <w:bCs/>
          <w:sz w:val="24"/>
          <w:szCs w:val="24"/>
        </w:rPr>
        <w:t xml:space="preserve"> </w:t>
      </w:r>
      <w:r w:rsidRPr="00460549">
        <w:rPr>
          <w:rFonts w:ascii="Times New Roman" w:hAnsi="Times New Roman"/>
          <w:bCs/>
          <w:sz w:val="24"/>
          <w:szCs w:val="24"/>
        </w:rPr>
        <w:t xml:space="preserve">An </w:t>
      </w:r>
      <w:r w:rsidRPr="00460549">
        <w:rPr>
          <w:rFonts w:ascii="Times New Roman" w:hAnsi="Times New Roman"/>
          <w:sz w:val="24"/>
          <w:szCs w:val="24"/>
        </w:rPr>
        <w:t xml:space="preserve">applicable System of Records Notice for this information was published </w:t>
      </w:r>
      <w:r w:rsidR="00D5105E">
        <w:rPr>
          <w:rFonts w:ascii="Times New Roman" w:hAnsi="Times New Roman"/>
          <w:sz w:val="24"/>
          <w:szCs w:val="24"/>
        </w:rPr>
        <w:t>February 27, 2020</w:t>
      </w:r>
      <w:r w:rsidRPr="00460549">
        <w:rPr>
          <w:rFonts w:ascii="Times New Roman" w:hAnsi="Times New Roman"/>
          <w:sz w:val="24"/>
          <w:szCs w:val="24"/>
        </w:rPr>
        <w:t>. Syst</w:t>
      </w:r>
      <w:r w:rsidR="000D3772">
        <w:rPr>
          <w:rFonts w:ascii="Times New Roman" w:hAnsi="Times New Roman"/>
          <w:sz w:val="24"/>
          <w:szCs w:val="24"/>
        </w:rPr>
        <w:t xml:space="preserve">em of </w:t>
      </w:r>
      <w:r w:rsidRPr="00460549">
        <w:rPr>
          <w:rFonts w:ascii="Times New Roman" w:hAnsi="Times New Roman"/>
          <w:sz w:val="24"/>
          <w:szCs w:val="24"/>
        </w:rPr>
        <w:t>Records Name: Treasury/</w:t>
      </w:r>
      <w:r w:rsidR="00D5105E">
        <w:rPr>
          <w:rFonts w:ascii="Times New Roman" w:hAnsi="Times New Roman"/>
          <w:sz w:val="24"/>
          <w:szCs w:val="24"/>
        </w:rPr>
        <w:t>Fiscal Service</w:t>
      </w:r>
      <w:r w:rsidRPr="00460549">
        <w:rPr>
          <w:rFonts w:ascii="Times New Roman" w:hAnsi="Times New Roman"/>
          <w:sz w:val="24"/>
          <w:szCs w:val="24"/>
        </w:rPr>
        <w:t>.002 – Payment Record</w:t>
      </w:r>
      <w:r w:rsidR="00AC70D5">
        <w:rPr>
          <w:rFonts w:ascii="Times New Roman" w:hAnsi="Times New Roman"/>
          <w:sz w:val="24"/>
          <w:szCs w:val="24"/>
        </w:rPr>
        <w:t>s.</w:t>
      </w:r>
    </w:p>
    <w:p w:rsidR="00284B7F" w:rsidRPr="00AB6A41" w:rsidP="00AB6A41" w14:paraId="0DA80F8E" w14:textId="77777777">
      <w:pPr>
        <w:pStyle w:val="NoSpacing"/>
        <w:tabs>
          <w:tab w:val="left" w:pos="540"/>
        </w:tabs>
        <w:ind w:left="535" w:hanging="535" w:hangingChars="223"/>
        <w:rPr>
          <w:rFonts w:ascii="Times New Roman" w:hAnsi="Times New Roman"/>
          <w:sz w:val="24"/>
          <w:szCs w:val="24"/>
        </w:rPr>
      </w:pPr>
    </w:p>
    <w:p w:rsidR="00284B7F" w:rsidRPr="001A65EF" w:rsidP="001A65EF" w14:paraId="7E45D244" w14:textId="70A3A693">
      <w:pPr>
        <w:pStyle w:val="NoSpacing"/>
        <w:numPr>
          <w:ilvl w:val="0"/>
          <w:numId w:val="5"/>
        </w:numPr>
        <w:tabs>
          <w:tab w:val="left" w:pos="540"/>
        </w:tabs>
        <w:ind w:left="535" w:hanging="535" w:hangingChars="223"/>
        <w:rPr>
          <w:rFonts w:ascii="Times New Roman" w:hAnsi="Times New Roman"/>
          <w:b/>
          <w:sz w:val="24"/>
          <w:szCs w:val="24"/>
        </w:rPr>
      </w:pPr>
      <w:r w:rsidRPr="00AB6A41">
        <w:rPr>
          <w:rFonts w:ascii="Times New Roman" w:hAnsi="Times New Roman"/>
          <w:b/>
          <w:sz w:val="24"/>
          <w:szCs w:val="24"/>
        </w:rPr>
        <w:t>Provide estimates of the hour burden of the collection of information. The statement should: *indicate the number of respondents, frequency of response, annual hour burden; and an explanation of how the burden was estimated.</w:t>
      </w:r>
    </w:p>
    <w:p w:rsidR="00284B7F" w:rsidRPr="00AB6A41" w:rsidP="001A65EF" w14:paraId="13A4037A" w14:textId="77777777">
      <w:pPr>
        <w:pStyle w:val="NoSpacing"/>
        <w:tabs>
          <w:tab w:val="left" w:pos="540"/>
        </w:tabs>
        <w:rPr>
          <w:rFonts w:ascii="Times New Roman" w:hAnsi="Times New Roman"/>
          <w:sz w:val="24"/>
          <w:szCs w:val="24"/>
        </w:rPr>
      </w:pPr>
    </w:p>
    <w:p w:rsidR="00284B7F" w:rsidRPr="00AB6A41" w:rsidP="00500B4D" w14:paraId="162612CD" w14:textId="3666E7AC">
      <w:pPr>
        <w:pStyle w:val="NoSpacing"/>
        <w:tabs>
          <w:tab w:val="left" w:pos="540"/>
        </w:tabs>
        <w:ind w:left="540"/>
        <w:rPr>
          <w:rFonts w:ascii="Times New Roman" w:hAnsi="Times New Roman"/>
          <w:sz w:val="24"/>
          <w:szCs w:val="24"/>
        </w:rPr>
      </w:pPr>
      <w:r w:rsidRPr="00AB6A41">
        <w:rPr>
          <w:rFonts w:ascii="Times New Roman" w:hAnsi="Times New Roman"/>
          <w:sz w:val="24"/>
          <w:szCs w:val="24"/>
        </w:rPr>
        <w:t>The estimated time for a financial ins</w:t>
      </w:r>
      <w:r w:rsidR="00AB6A41">
        <w:rPr>
          <w:rFonts w:ascii="Times New Roman" w:hAnsi="Times New Roman"/>
          <w:sz w:val="24"/>
          <w:szCs w:val="24"/>
        </w:rPr>
        <w:t xml:space="preserve">titution to complete the trace </w:t>
      </w:r>
      <w:r w:rsidRPr="00AB6A41">
        <w:rPr>
          <w:rFonts w:ascii="Times New Roman" w:hAnsi="Times New Roman"/>
          <w:sz w:val="24"/>
          <w:szCs w:val="24"/>
        </w:rPr>
        <w:t>request is estimated at approximately 8 minutes.</w:t>
      </w:r>
    </w:p>
    <w:p w:rsidR="00284B7F" w:rsidRPr="00AB6A41" w:rsidP="00AB6A41" w14:paraId="4DABEDC8" w14:textId="77777777">
      <w:pPr>
        <w:pStyle w:val="NoSpacing"/>
        <w:tabs>
          <w:tab w:val="left" w:pos="540"/>
        </w:tabs>
        <w:ind w:left="535" w:hanging="535" w:hangingChars="223"/>
        <w:rPr>
          <w:rFonts w:ascii="Times New Roman" w:hAnsi="Times New Roman"/>
          <w:sz w:val="24"/>
          <w:szCs w:val="24"/>
        </w:rPr>
      </w:pPr>
    </w:p>
    <w:p w:rsidR="00284B7F" w:rsidRPr="00AB6A41" w:rsidP="00AB6A41" w14:paraId="57CDEB0B" w14:textId="77777777">
      <w:pPr>
        <w:pStyle w:val="NoSpacing"/>
        <w:tabs>
          <w:tab w:val="left" w:pos="540"/>
        </w:tabs>
        <w:ind w:left="535" w:hanging="535" w:hangingChars="223"/>
        <w:rPr>
          <w:rFonts w:ascii="Times New Roman" w:hAnsi="Times New Roman"/>
          <w:sz w:val="24"/>
          <w:szCs w:val="24"/>
        </w:rPr>
      </w:pPr>
      <w:r w:rsidRPr="00AB6A41">
        <w:rPr>
          <w:rFonts w:ascii="Times New Roman" w:hAnsi="Times New Roman"/>
          <w:sz w:val="24"/>
          <w:szCs w:val="24"/>
        </w:rPr>
        <w:tab/>
        <w:t xml:space="preserve">The respondent figures represent the number of operating FIs in the United States. Nationwide, there are 26,895 routing and transit numbers active, which are all potential respondents to non-receipt claims.  The number of responses is the volume of individual responses that are received from the FIs. The </w:t>
      </w:r>
      <w:r w:rsidR="00AB6A41">
        <w:rPr>
          <w:rFonts w:ascii="Times New Roman" w:hAnsi="Times New Roman"/>
          <w:sz w:val="24"/>
          <w:szCs w:val="24"/>
        </w:rPr>
        <w:t xml:space="preserve">annual hour burden is the </w:t>
      </w:r>
      <w:r w:rsidR="00AB6A41">
        <w:rPr>
          <w:rFonts w:ascii="Times New Roman" w:hAnsi="Times New Roman"/>
          <w:sz w:val="24"/>
          <w:szCs w:val="24"/>
        </w:rPr>
        <w:t xml:space="preserve">sum </w:t>
      </w:r>
      <w:r w:rsidRPr="00AB6A41">
        <w:rPr>
          <w:rFonts w:ascii="Times New Roman" w:hAnsi="Times New Roman"/>
          <w:sz w:val="24"/>
          <w:szCs w:val="24"/>
        </w:rPr>
        <w:t>total</w:t>
      </w:r>
      <w:r w:rsidRPr="00AB6A41">
        <w:rPr>
          <w:rFonts w:ascii="Times New Roman" w:hAnsi="Times New Roman"/>
          <w:sz w:val="24"/>
          <w:szCs w:val="24"/>
        </w:rPr>
        <w:t xml:space="preserve"> of the time to complete the said volume of responses. </w:t>
      </w:r>
    </w:p>
    <w:p w:rsidR="00284B7F" w:rsidRPr="00AB6A41" w:rsidP="00AB6A41" w14:paraId="11BEF996" w14:textId="77777777">
      <w:pPr>
        <w:pStyle w:val="NoSpacing"/>
        <w:tabs>
          <w:tab w:val="left" w:pos="540"/>
        </w:tabs>
        <w:ind w:left="535" w:hanging="535" w:hangingChars="223"/>
        <w:rPr>
          <w:rFonts w:ascii="Times New Roman" w:hAnsi="Times New Roman"/>
          <w:sz w:val="24"/>
          <w:szCs w:val="24"/>
        </w:rPr>
      </w:pPr>
    </w:p>
    <w:p w:rsidR="00284B7F" w:rsidP="00AB6A41" w14:paraId="6679BB3E" w14:textId="59F77419">
      <w:pPr>
        <w:pStyle w:val="NoSpacing"/>
        <w:tabs>
          <w:tab w:val="left" w:pos="540"/>
        </w:tabs>
        <w:ind w:left="535" w:hanging="535" w:hangingChars="223"/>
        <w:rPr>
          <w:rFonts w:ascii="Times New Roman" w:hAnsi="Times New Roman"/>
          <w:sz w:val="24"/>
          <w:szCs w:val="24"/>
        </w:rPr>
      </w:pPr>
      <w:r w:rsidRPr="00AB6A41">
        <w:rPr>
          <w:rFonts w:ascii="Times New Roman" w:hAnsi="Times New Roman"/>
          <w:sz w:val="24"/>
          <w:szCs w:val="24"/>
        </w:rPr>
        <w:tab/>
        <w:t xml:space="preserve">It is important to note that the respondents to the </w:t>
      </w:r>
      <w:r w:rsidR="00DE0CF9">
        <w:rPr>
          <w:rFonts w:ascii="Times New Roman" w:hAnsi="Times New Roman"/>
          <w:sz w:val="24"/>
          <w:szCs w:val="24"/>
        </w:rPr>
        <w:t>F</w:t>
      </w:r>
      <w:r w:rsidRPr="00AB6A41" w:rsidR="00DE0CF9">
        <w:rPr>
          <w:rFonts w:ascii="Times New Roman" w:hAnsi="Times New Roman"/>
          <w:sz w:val="24"/>
          <w:szCs w:val="24"/>
        </w:rPr>
        <w:t>S</w:t>
      </w:r>
      <w:r w:rsidR="00DE0CF9">
        <w:rPr>
          <w:rFonts w:ascii="Times New Roman" w:hAnsi="Times New Roman"/>
          <w:sz w:val="24"/>
          <w:szCs w:val="24"/>
        </w:rPr>
        <w:t xml:space="preserve"> Form</w:t>
      </w:r>
      <w:r w:rsidRPr="00AB6A41">
        <w:rPr>
          <w:rFonts w:ascii="Times New Roman" w:hAnsi="Times New Roman"/>
          <w:sz w:val="24"/>
          <w:szCs w:val="24"/>
        </w:rPr>
        <w:t xml:space="preserve"> 150.1 are </w:t>
      </w:r>
      <w:r w:rsidRPr="00AB6A41">
        <w:rPr>
          <w:rFonts w:ascii="Times New Roman" w:hAnsi="Times New Roman"/>
          <w:sz w:val="24"/>
          <w:szCs w:val="24"/>
        </w:rPr>
        <w:t>FIs,</w:t>
      </w:r>
      <w:r w:rsidR="00015D5F">
        <w:rPr>
          <w:rFonts w:ascii="Times New Roman" w:hAnsi="Times New Roman"/>
          <w:sz w:val="24"/>
          <w:szCs w:val="24"/>
        </w:rPr>
        <w:t xml:space="preserve"> </w:t>
      </w:r>
      <w:r w:rsidRPr="00AB6A41">
        <w:rPr>
          <w:rFonts w:ascii="Times New Roman" w:hAnsi="Times New Roman"/>
          <w:sz w:val="24"/>
          <w:szCs w:val="24"/>
        </w:rPr>
        <w:t>and</w:t>
      </w:r>
      <w:r w:rsidRPr="00AB6A41">
        <w:rPr>
          <w:rFonts w:ascii="Times New Roman" w:hAnsi="Times New Roman"/>
          <w:sz w:val="24"/>
          <w:szCs w:val="24"/>
        </w:rPr>
        <w:t xml:space="preserve"> are not representative of the processing costs incurred by </w:t>
      </w:r>
      <w:r w:rsidR="00DE0CF9">
        <w:rPr>
          <w:rFonts w:ascii="Times New Roman" w:hAnsi="Times New Roman"/>
          <w:sz w:val="24"/>
          <w:szCs w:val="24"/>
        </w:rPr>
        <w:t>Bureau</w:t>
      </w:r>
      <w:r w:rsidR="00DE0CF9">
        <w:rPr>
          <w:rFonts w:ascii="Times New Roman" w:hAnsi="Times New Roman"/>
          <w:sz w:val="24"/>
          <w:szCs w:val="24"/>
        </w:rPr>
        <w:t xml:space="preserve"> of the Fiscal Service</w:t>
      </w:r>
      <w:r w:rsidRPr="00AB6A41">
        <w:rPr>
          <w:rFonts w:ascii="Times New Roman" w:hAnsi="Times New Roman"/>
          <w:sz w:val="24"/>
          <w:szCs w:val="24"/>
        </w:rPr>
        <w:t xml:space="preserve"> </w:t>
      </w:r>
      <w:r w:rsidR="00AB6A41">
        <w:rPr>
          <w:rFonts w:ascii="Times New Roman" w:hAnsi="Times New Roman"/>
          <w:sz w:val="24"/>
          <w:szCs w:val="24"/>
        </w:rPr>
        <w:t xml:space="preserve">for </w:t>
      </w:r>
      <w:r w:rsidR="00AB6A41">
        <w:rPr>
          <w:rFonts w:ascii="Times New Roman" w:hAnsi="Times New Roman"/>
          <w:sz w:val="24"/>
          <w:szCs w:val="24"/>
        </w:rPr>
        <w:t>administrating</w:t>
      </w:r>
      <w:r w:rsidR="00AB6A41">
        <w:rPr>
          <w:rFonts w:ascii="Times New Roman" w:hAnsi="Times New Roman"/>
          <w:sz w:val="24"/>
          <w:szCs w:val="24"/>
        </w:rPr>
        <w:t xml:space="preserve"> the process.</w:t>
      </w:r>
    </w:p>
    <w:p w:rsidR="00500B4D" w:rsidP="00AB6A41" w14:paraId="052DC5EB" w14:textId="77777777">
      <w:pPr>
        <w:pStyle w:val="NoSpacing"/>
        <w:tabs>
          <w:tab w:val="left" w:pos="540"/>
        </w:tabs>
        <w:ind w:left="535" w:hanging="535" w:hangingChars="223"/>
        <w:rPr>
          <w:rFonts w:ascii="Times New Roman" w:hAnsi="Times New Roman"/>
          <w:sz w:val="24"/>
          <w:szCs w:val="24"/>
        </w:rPr>
      </w:pPr>
    </w:p>
    <w:p w:rsidR="00500B4D" w:rsidRPr="00DD3021" w:rsidP="00500B4D" w14:paraId="597AE826" w14:textId="483F6FD8">
      <w:pPr>
        <w:pStyle w:val="NoSpacing"/>
        <w:keepNext/>
        <w:tabs>
          <w:tab w:val="left" w:pos="540"/>
        </w:tabs>
        <w:ind w:left="535" w:hanging="535" w:hangingChars="223"/>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u w:val="single"/>
        </w:rPr>
        <w:t>Breakdown of</w:t>
      </w:r>
      <w:r w:rsidRPr="00DD3021">
        <w:rPr>
          <w:rFonts w:ascii="Times New Roman" w:hAnsi="Times New Roman"/>
          <w:sz w:val="24"/>
          <w:szCs w:val="24"/>
          <w:u w:val="single"/>
        </w:rPr>
        <w:t xml:space="preserve"> Respon</w:t>
      </w:r>
      <w:r>
        <w:rPr>
          <w:rFonts w:ascii="Times New Roman" w:hAnsi="Times New Roman"/>
          <w:sz w:val="24"/>
          <w:szCs w:val="24"/>
          <w:u w:val="single"/>
        </w:rPr>
        <w:t>s</w:t>
      </w:r>
      <w:r w:rsidRPr="00DD3021">
        <w:rPr>
          <w:rFonts w:ascii="Times New Roman" w:hAnsi="Times New Roman"/>
          <w:sz w:val="24"/>
          <w:szCs w:val="24"/>
          <w:u w:val="single"/>
        </w:rPr>
        <w:t>e</w:t>
      </w:r>
      <w:r>
        <w:rPr>
          <w:rFonts w:ascii="Times New Roman" w:hAnsi="Times New Roman"/>
          <w:sz w:val="24"/>
          <w:szCs w:val="24"/>
          <w:u w:val="single"/>
        </w:rPr>
        <w:t>s</w:t>
      </w:r>
    </w:p>
    <w:tbl>
      <w:tblPr>
        <w:tblStyle w:val="TableGrid"/>
        <w:tblpPr w:leftFromText="180" w:rightFromText="180" w:vertAnchor="text" w:horzAnchor="margin" w:tblpXSpec="center" w:tblpY="102"/>
        <w:tblW w:w="0" w:type="auto"/>
        <w:tblLook w:val="04A0"/>
      </w:tblPr>
      <w:tblGrid>
        <w:gridCol w:w="2790"/>
        <w:gridCol w:w="2520"/>
        <w:gridCol w:w="3060"/>
      </w:tblGrid>
      <w:tr w14:paraId="57BA879D" w14:textId="77777777" w:rsidTr="00500B4D">
        <w:tblPrEx>
          <w:tblW w:w="0" w:type="auto"/>
          <w:tblLook w:val="04A0"/>
        </w:tblPrEx>
        <w:tc>
          <w:tcPr>
            <w:tcW w:w="2790" w:type="dxa"/>
          </w:tcPr>
          <w:p w:rsidR="00500B4D" w:rsidP="00500B4D" w14:paraId="36703C3C" w14:textId="77777777">
            <w:pPr>
              <w:pStyle w:val="NoSpacing"/>
              <w:tabs>
                <w:tab w:val="left" w:pos="540"/>
              </w:tabs>
              <w:rPr>
                <w:rFonts w:ascii="Times New Roman" w:hAnsi="Times New Roman"/>
                <w:sz w:val="24"/>
                <w:szCs w:val="24"/>
              </w:rPr>
            </w:pPr>
            <w:r>
              <w:rPr>
                <w:rFonts w:ascii="Times New Roman" w:hAnsi="Times New Roman"/>
                <w:sz w:val="24"/>
                <w:szCs w:val="24"/>
              </w:rPr>
              <w:t>Collection Instrument</w:t>
            </w:r>
          </w:p>
        </w:tc>
        <w:tc>
          <w:tcPr>
            <w:tcW w:w="2520" w:type="dxa"/>
          </w:tcPr>
          <w:p w:rsidR="00500B4D" w:rsidP="00500B4D" w14:paraId="0AC39986" w14:textId="77777777">
            <w:pPr>
              <w:pStyle w:val="NoSpacing"/>
              <w:tabs>
                <w:tab w:val="left" w:pos="540"/>
              </w:tabs>
              <w:rPr>
                <w:rFonts w:ascii="Times New Roman" w:hAnsi="Times New Roman"/>
                <w:sz w:val="24"/>
                <w:szCs w:val="24"/>
              </w:rPr>
            </w:pPr>
            <w:r>
              <w:rPr>
                <w:rFonts w:ascii="Times New Roman" w:hAnsi="Times New Roman"/>
                <w:sz w:val="24"/>
                <w:szCs w:val="24"/>
              </w:rPr>
              <w:t>Responses</w:t>
            </w:r>
          </w:p>
        </w:tc>
        <w:tc>
          <w:tcPr>
            <w:tcW w:w="3060" w:type="dxa"/>
          </w:tcPr>
          <w:p w:rsidR="00500B4D" w:rsidP="00500B4D" w14:paraId="0CE56759" w14:textId="77777777">
            <w:pPr>
              <w:pStyle w:val="NoSpacing"/>
              <w:tabs>
                <w:tab w:val="left" w:pos="540"/>
              </w:tabs>
              <w:rPr>
                <w:rFonts w:ascii="Times New Roman" w:hAnsi="Times New Roman"/>
                <w:sz w:val="24"/>
                <w:szCs w:val="24"/>
              </w:rPr>
            </w:pPr>
            <w:r>
              <w:rPr>
                <w:rFonts w:ascii="Times New Roman" w:hAnsi="Times New Roman"/>
                <w:sz w:val="24"/>
                <w:szCs w:val="24"/>
              </w:rPr>
              <w:t>Annual Burden hours</w:t>
            </w:r>
          </w:p>
        </w:tc>
      </w:tr>
      <w:tr w14:paraId="2DA01E50" w14:textId="77777777" w:rsidTr="00500B4D">
        <w:tblPrEx>
          <w:tblW w:w="0" w:type="auto"/>
          <w:tblLook w:val="04A0"/>
        </w:tblPrEx>
        <w:tc>
          <w:tcPr>
            <w:tcW w:w="2790" w:type="dxa"/>
          </w:tcPr>
          <w:p w:rsidR="00500B4D" w:rsidP="00500B4D" w14:paraId="29F17A69" w14:textId="77777777">
            <w:pPr>
              <w:pStyle w:val="NoSpacing"/>
              <w:tabs>
                <w:tab w:val="left" w:pos="540"/>
              </w:tabs>
              <w:rPr>
                <w:rFonts w:ascii="Times New Roman" w:hAnsi="Times New Roman"/>
                <w:sz w:val="24"/>
                <w:szCs w:val="24"/>
              </w:rPr>
            </w:pPr>
            <w:r>
              <w:rPr>
                <w:rFonts w:ascii="Times New Roman" w:hAnsi="Times New Roman"/>
                <w:sz w:val="24"/>
                <w:szCs w:val="24"/>
              </w:rPr>
              <w:t>FS Form 150.1</w:t>
            </w:r>
          </w:p>
        </w:tc>
        <w:tc>
          <w:tcPr>
            <w:tcW w:w="2520" w:type="dxa"/>
          </w:tcPr>
          <w:p w:rsidR="00500B4D" w:rsidP="00500B4D" w14:paraId="2FF1E8F5" w14:textId="3E69319C">
            <w:pPr>
              <w:pStyle w:val="NoSpacing"/>
              <w:tabs>
                <w:tab w:val="left" w:pos="540"/>
              </w:tabs>
              <w:rPr>
                <w:rFonts w:ascii="Times New Roman" w:hAnsi="Times New Roman"/>
                <w:sz w:val="24"/>
                <w:szCs w:val="24"/>
              </w:rPr>
            </w:pPr>
            <w:r>
              <w:rPr>
                <w:rFonts w:ascii="Times New Roman" w:hAnsi="Times New Roman"/>
                <w:sz w:val="24"/>
                <w:szCs w:val="24"/>
              </w:rPr>
              <w:t>114,964</w:t>
            </w:r>
          </w:p>
        </w:tc>
        <w:tc>
          <w:tcPr>
            <w:tcW w:w="3060" w:type="dxa"/>
          </w:tcPr>
          <w:p w:rsidR="00500B4D" w:rsidP="00500B4D" w14:paraId="6E82DE89" w14:textId="7D9873BC">
            <w:pPr>
              <w:pStyle w:val="NoSpacing"/>
              <w:tabs>
                <w:tab w:val="left" w:pos="540"/>
              </w:tabs>
              <w:rPr>
                <w:rFonts w:ascii="Times New Roman" w:hAnsi="Times New Roman"/>
                <w:sz w:val="24"/>
                <w:szCs w:val="24"/>
              </w:rPr>
            </w:pPr>
            <w:r>
              <w:rPr>
                <w:rFonts w:ascii="Times New Roman" w:hAnsi="Times New Roman"/>
                <w:sz w:val="24"/>
                <w:szCs w:val="24"/>
              </w:rPr>
              <w:t>15,329</w:t>
            </w:r>
          </w:p>
        </w:tc>
      </w:tr>
      <w:tr w14:paraId="03879204" w14:textId="77777777" w:rsidTr="00500B4D">
        <w:tblPrEx>
          <w:tblW w:w="0" w:type="auto"/>
          <w:tblLook w:val="04A0"/>
        </w:tblPrEx>
        <w:tc>
          <w:tcPr>
            <w:tcW w:w="2790" w:type="dxa"/>
          </w:tcPr>
          <w:p w:rsidR="00500B4D" w:rsidP="00500B4D" w14:paraId="72B7B64E" w14:textId="77777777">
            <w:pPr>
              <w:pStyle w:val="NoSpacing"/>
              <w:tabs>
                <w:tab w:val="left" w:pos="540"/>
              </w:tabs>
              <w:rPr>
                <w:rFonts w:ascii="Times New Roman" w:hAnsi="Times New Roman"/>
                <w:sz w:val="24"/>
                <w:szCs w:val="24"/>
              </w:rPr>
            </w:pPr>
            <w:r>
              <w:rPr>
                <w:rFonts w:ascii="Times New Roman" w:hAnsi="Times New Roman"/>
                <w:sz w:val="24"/>
                <w:szCs w:val="24"/>
              </w:rPr>
              <w:t>Teletrace</w:t>
            </w:r>
          </w:p>
        </w:tc>
        <w:tc>
          <w:tcPr>
            <w:tcW w:w="2520" w:type="dxa"/>
          </w:tcPr>
          <w:p w:rsidR="00500B4D" w:rsidP="00500B4D" w14:paraId="0CD9C6F9" w14:textId="022DF224">
            <w:pPr>
              <w:pStyle w:val="NoSpacing"/>
              <w:tabs>
                <w:tab w:val="left" w:pos="540"/>
              </w:tabs>
              <w:rPr>
                <w:rFonts w:ascii="Times New Roman" w:hAnsi="Times New Roman"/>
                <w:sz w:val="24"/>
                <w:szCs w:val="24"/>
              </w:rPr>
            </w:pPr>
            <w:r>
              <w:rPr>
                <w:rFonts w:ascii="Times New Roman" w:hAnsi="Times New Roman"/>
                <w:sz w:val="24"/>
                <w:szCs w:val="24"/>
              </w:rPr>
              <w:t>113,529</w:t>
            </w:r>
          </w:p>
        </w:tc>
        <w:tc>
          <w:tcPr>
            <w:tcW w:w="3060" w:type="dxa"/>
          </w:tcPr>
          <w:p w:rsidR="00500B4D" w:rsidP="00500B4D" w14:paraId="19B30305" w14:textId="72DD30B5">
            <w:pPr>
              <w:pStyle w:val="NoSpacing"/>
              <w:tabs>
                <w:tab w:val="left" w:pos="540"/>
              </w:tabs>
              <w:rPr>
                <w:rFonts w:ascii="Times New Roman" w:hAnsi="Times New Roman"/>
                <w:sz w:val="24"/>
                <w:szCs w:val="24"/>
              </w:rPr>
            </w:pPr>
            <w:r>
              <w:rPr>
                <w:rFonts w:ascii="Times New Roman" w:hAnsi="Times New Roman"/>
                <w:sz w:val="24"/>
                <w:szCs w:val="24"/>
              </w:rPr>
              <w:t>15,137</w:t>
            </w:r>
          </w:p>
        </w:tc>
      </w:tr>
      <w:tr w14:paraId="2C3720F0" w14:textId="77777777" w:rsidTr="00500B4D">
        <w:tblPrEx>
          <w:tblW w:w="0" w:type="auto"/>
          <w:tblLook w:val="04A0"/>
        </w:tblPrEx>
        <w:tc>
          <w:tcPr>
            <w:tcW w:w="2790" w:type="dxa"/>
          </w:tcPr>
          <w:p w:rsidR="00500B4D" w:rsidP="00500B4D" w14:paraId="02F9439A" w14:textId="77777777">
            <w:pPr>
              <w:pStyle w:val="NoSpacing"/>
              <w:tabs>
                <w:tab w:val="left" w:pos="540"/>
              </w:tabs>
              <w:rPr>
                <w:rFonts w:ascii="Times New Roman" w:hAnsi="Times New Roman"/>
                <w:sz w:val="24"/>
                <w:szCs w:val="24"/>
              </w:rPr>
            </w:pPr>
            <w:r>
              <w:rPr>
                <w:rFonts w:ascii="Times New Roman" w:hAnsi="Times New Roman"/>
                <w:sz w:val="24"/>
                <w:szCs w:val="24"/>
              </w:rPr>
              <w:t>Overall</w:t>
            </w:r>
          </w:p>
        </w:tc>
        <w:tc>
          <w:tcPr>
            <w:tcW w:w="2520" w:type="dxa"/>
          </w:tcPr>
          <w:p w:rsidR="00500B4D" w:rsidP="00500B4D" w14:paraId="2FA31B80" w14:textId="2045607B">
            <w:pPr>
              <w:pStyle w:val="NoSpacing"/>
              <w:tabs>
                <w:tab w:val="left" w:pos="540"/>
              </w:tabs>
              <w:rPr>
                <w:rFonts w:ascii="Times New Roman" w:hAnsi="Times New Roman"/>
                <w:sz w:val="24"/>
                <w:szCs w:val="24"/>
              </w:rPr>
            </w:pPr>
            <w:r>
              <w:rPr>
                <w:rFonts w:ascii="Times New Roman" w:hAnsi="Times New Roman"/>
                <w:sz w:val="24"/>
                <w:szCs w:val="24"/>
              </w:rPr>
              <w:t>228,493</w:t>
            </w:r>
          </w:p>
        </w:tc>
        <w:tc>
          <w:tcPr>
            <w:tcW w:w="3060" w:type="dxa"/>
          </w:tcPr>
          <w:p w:rsidR="00500B4D" w:rsidP="00500B4D" w14:paraId="1F62CBF4" w14:textId="5C881C26">
            <w:pPr>
              <w:pStyle w:val="NoSpacing"/>
              <w:tabs>
                <w:tab w:val="left" w:pos="540"/>
              </w:tabs>
              <w:rPr>
                <w:rFonts w:ascii="Times New Roman" w:hAnsi="Times New Roman"/>
                <w:sz w:val="24"/>
                <w:szCs w:val="24"/>
              </w:rPr>
            </w:pPr>
            <w:r>
              <w:rPr>
                <w:rFonts w:ascii="Times New Roman" w:hAnsi="Times New Roman"/>
                <w:sz w:val="24"/>
                <w:szCs w:val="24"/>
              </w:rPr>
              <w:t>30,466</w:t>
            </w:r>
          </w:p>
        </w:tc>
      </w:tr>
    </w:tbl>
    <w:p w:rsidR="00500B4D" w:rsidP="00500B4D" w14:paraId="4EE8C1A8" w14:textId="77777777">
      <w:pPr>
        <w:pStyle w:val="NoSpacing"/>
        <w:keepNext/>
        <w:tabs>
          <w:tab w:val="left" w:pos="540"/>
        </w:tabs>
        <w:ind w:firstLine="540"/>
        <w:rPr>
          <w:rFonts w:ascii="Times New Roman" w:hAnsi="Times New Roman"/>
          <w:sz w:val="24"/>
          <w:szCs w:val="24"/>
          <w:u w:val="single"/>
        </w:rPr>
      </w:pPr>
    </w:p>
    <w:p w:rsidR="00DD3021" w:rsidRPr="00DD3021" w:rsidP="00500B4D" w14:paraId="0AD3F412" w14:textId="47A63915">
      <w:pPr>
        <w:pStyle w:val="NoSpacing"/>
        <w:keepNext/>
        <w:tabs>
          <w:tab w:val="left" w:pos="540"/>
        </w:tabs>
        <w:ind w:firstLine="540"/>
        <w:rPr>
          <w:rFonts w:ascii="Times New Roman" w:hAnsi="Times New Roman"/>
          <w:sz w:val="24"/>
          <w:szCs w:val="24"/>
          <w:u w:val="single"/>
        </w:rPr>
      </w:pPr>
      <w:r w:rsidRPr="00DD3021">
        <w:rPr>
          <w:rFonts w:ascii="Times New Roman" w:hAnsi="Times New Roman"/>
          <w:sz w:val="24"/>
          <w:szCs w:val="24"/>
          <w:u w:val="single"/>
        </w:rPr>
        <w:t xml:space="preserve">Estimate of Annual Respondent </w:t>
      </w:r>
      <w:r w:rsidR="001A65EF">
        <w:rPr>
          <w:rFonts w:ascii="Times New Roman" w:hAnsi="Times New Roman"/>
          <w:sz w:val="24"/>
          <w:szCs w:val="24"/>
          <w:u w:val="single"/>
        </w:rPr>
        <w:t xml:space="preserve">Burden and </w:t>
      </w:r>
      <w:r w:rsidRPr="00DD3021">
        <w:rPr>
          <w:rFonts w:ascii="Times New Roman" w:hAnsi="Times New Roman"/>
          <w:sz w:val="24"/>
          <w:szCs w:val="24"/>
          <w:u w:val="single"/>
        </w:rPr>
        <w:t>Cost.</w:t>
      </w:r>
    </w:p>
    <w:p w:rsidR="00500B4D" w:rsidP="00500B4D" w14:paraId="1E597DCE" w14:textId="77777777">
      <w:pPr>
        <w:pStyle w:val="NoSpacing"/>
        <w:keepNext/>
        <w:tabs>
          <w:tab w:val="left" w:pos="540"/>
        </w:tabs>
        <w:ind w:left="535" w:hanging="535" w:hangingChars="223"/>
        <w:rPr>
          <w:rFonts w:ascii="Times New Roman" w:hAnsi="Times New Roman"/>
          <w:sz w:val="24"/>
          <w:szCs w:val="24"/>
        </w:rPr>
      </w:pPr>
    </w:p>
    <w:tbl>
      <w:tblPr>
        <w:tblStyle w:val="TableGrid"/>
        <w:tblW w:w="0" w:type="auto"/>
        <w:tblInd w:w="535" w:type="dxa"/>
        <w:tblLook w:val="04A0"/>
      </w:tblPr>
      <w:tblGrid>
        <w:gridCol w:w="1396"/>
        <w:gridCol w:w="1295"/>
        <w:gridCol w:w="1217"/>
        <w:gridCol w:w="1312"/>
        <w:gridCol w:w="996"/>
        <w:gridCol w:w="989"/>
        <w:gridCol w:w="1610"/>
      </w:tblGrid>
      <w:tr w14:paraId="5652E2D9" w14:textId="77777777" w:rsidTr="00500B4D">
        <w:tblPrEx>
          <w:tblW w:w="0" w:type="auto"/>
          <w:tblInd w:w="535" w:type="dxa"/>
          <w:tblLook w:val="04A0"/>
        </w:tblPrEx>
        <w:tc>
          <w:tcPr>
            <w:tcW w:w="1396" w:type="dxa"/>
            <w:tcBorders>
              <w:top w:val="single" w:sz="4" w:space="0" w:color="auto"/>
              <w:left w:val="single" w:sz="4" w:space="0" w:color="auto"/>
              <w:bottom w:val="single" w:sz="4" w:space="0" w:color="auto"/>
              <w:right w:val="single" w:sz="4" w:space="0" w:color="auto"/>
            </w:tcBorders>
            <w:hideMark/>
          </w:tcPr>
          <w:p w:rsidR="00500B4D" w:rsidP="00500B4D" w14:paraId="6A3C13A9" w14:textId="77777777">
            <w:pPr>
              <w:pStyle w:val="NoSpacing"/>
              <w:keepNext/>
              <w:rPr>
                <w:rFonts w:ascii="Arial" w:hAnsi="Arial" w:cs="Arial"/>
                <w:sz w:val="20"/>
                <w:szCs w:val="20"/>
              </w:rPr>
            </w:pPr>
            <w:r>
              <w:rPr>
                <w:rFonts w:ascii="Arial" w:hAnsi="Arial" w:cs="Arial"/>
                <w:sz w:val="20"/>
                <w:szCs w:val="20"/>
              </w:rPr>
              <w:t>No. of Respondents</w:t>
            </w:r>
          </w:p>
        </w:tc>
        <w:tc>
          <w:tcPr>
            <w:tcW w:w="1295" w:type="dxa"/>
            <w:tcBorders>
              <w:top w:val="single" w:sz="4" w:space="0" w:color="auto"/>
              <w:left w:val="single" w:sz="4" w:space="0" w:color="auto"/>
              <w:bottom w:val="single" w:sz="4" w:space="0" w:color="auto"/>
              <w:right w:val="single" w:sz="4" w:space="0" w:color="auto"/>
            </w:tcBorders>
            <w:hideMark/>
          </w:tcPr>
          <w:p w:rsidR="00500B4D" w:rsidP="00500B4D" w14:paraId="1DCB33B5" w14:textId="77777777">
            <w:pPr>
              <w:pStyle w:val="NoSpacing"/>
              <w:keepNext/>
              <w:rPr>
                <w:rFonts w:ascii="Arial" w:hAnsi="Arial" w:cs="Arial"/>
                <w:sz w:val="20"/>
                <w:szCs w:val="20"/>
              </w:rPr>
            </w:pPr>
            <w:r>
              <w:rPr>
                <w:rFonts w:ascii="Arial" w:hAnsi="Arial" w:cs="Arial"/>
                <w:sz w:val="20"/>
                <w:szCs w:val="20"/>
              </w:rPr>
              <w:t>Number of Responses per Respondent</w:t>
            </w:r>
          </w:p>
        </w:tc>
        <w:tc>
          <w:tcPr>
            <w:tcW w:w="1217" w:type="dxa"/>
            <w:tcBorders>
              <w:top w:val="single" w:sz="4" w:space="0" w:color="auto"/>
              <w:left w:val="single" w:sz="4" w:space="0" w:color="auto"/>
              <w:bottom w:val="single" w:sz="4" w:space="0" w:color="auto"/>
              <w:right w:val="single" w:sz="4" w:space="0" w:color="auto"/>
            </w:tcBorders>
            <w:hideMark/>
          </w:tcPr>
          <w:p w:rsidR="00500B4D" w:rsidP="00500B4D" w14:paraId="178B5D28" w14:textId="77777777">
            <w:pPr>
              <w:pStyle w:val="NoSpacing"/>
              <w:keepNext/>
              <w:rPr>
                <w:rFonts w:ascii="Arial" w:hAnsi="Arial" w:cs="Arial"/>
                <w:sz w:val="20"/>
                <w:szCs w:val="20"/>
              </w:rPr>
            </w:pPr>
            <w:r>
              <w:rPr>
                <w:rFonts w:ascii="Arial" w:hAnsi="Arial" w:cs="Arial"/>
                <w:sz w:val="20"/>
                <w:szCs w:val="20"/>
              </w:rPr>
              <w:t>Total  Responses</w:t>
            </w:r>
            <w:r>
              <w:rPr>
                <w:rFonts w:ascii="Arial" w:hAnsi="Arial" w:cs="Arial"/>
                <w:sz w:val="20"/>
                <w:szCs w:val="20"/>
              </w:rPr>
              <w:t xml:space="preserve"> </w:t>
            </w:r>
          </w:p>
        </w:tc>
        <w:tc>
          <w:tcPr>
            <w:tcW w:w="1312" w:type="dxa"/>
            <w:tcBorders>
              <w:top w:val="single" w:sz="4" w:space="0" w:color="auto"/>
              <w:left w:val="single" w:sz="4" w:space="0" w:color="auto"/>
              <w:bottom w:val="single" w:sz="4" w:space="0" w:color="auto"/>
              <w:right w:val="single" w:sz="4" w:space="0" w:color="auto"/>
            </w:tcBorders>
            <w:hideMark/>
          </w:tcPr>
          <w:p w:rsidR="00500B4D" w:rsidP="00500B4D" w14:paraId="58817610" w14:textId="77777777">
            <w:pPr>
              <w:pStyle w:val="NoSpacing"/>
              <w:keepNext/>
              <w:rPr>
                <w:rFonts w:ascii="Arial" w:hAnsi="Arial" w:cs="Arial"/>
                <w:sz w:val="20"/>
                <w:szCs w:val="20"/>
              </w:rPr>
            </w:pPr>
            <w:r>
              <w:rPr>
                <w:rFonts w:ascii="Arial" w:hAnsi="Arial" w:cs="Arial"/>
                <w:sz w:val="20"/>
                <w:szCs w:val="20"/>
              </w:rPr>
              <w:t>Average Burden per Response (in hours)</w:t>
            </w:r>
          </w:p>
        </w:tc>
        <w:tc>
          <w:tcPr>
            <w:tcW w:w="996" w:type="dxa"/>
            <w:tcBorders>
              <w:top w:val="single" w:sz="4" w:space="0" w:color="auto"/>
              <w:left w:val="single" w:sz="4" w:space="0" w:color="auto"/>
              <w:bottom w:val="single" w:sz="4" w:space="0" w:color="auto"/>
              <w:right w:val="single" w:sz="4" w:space="0" w:color="auto"/>
            </w:tcBorders>
            <w:hideMark/>
          </w:tcPr>
          <w:p w:rsidR="00500B4D" w:rsidP="00500B4D" w14:paraId="799B15EE" w14:textId="77777777">
            <w:pPr>
              <w:pStyle w:val="NoSpacing"/>
              <w:keepNext/>
              <w:rPr>
                <w:rFonts w:ascii="Arial" w:hAnsi="Arial" w:cs="Arial"/>
                <w:sz w:val="20"/>
                <w:szCs w:val="20"/>
              </w:rPr>
            </w:pPr>
            <w:r>
              <w:rPr>
                <w:rFonts w:ascii="Arial" w:hAnsi="Arial" w:cs="Arial"/>
                <w:sz w:val="20"/>
                <w:szCs w:val="20"/>
              </w:rPr>
              <w:t>Total Annual Burden (in hours)</w:t>
            </w:r>
          </w:p>
        </w:tc>
        <w:tc>
          <w:tcPr>
            <w:tcW w:w="989" w:type="dxa"/>
            <w:tcBorders>
              <w:top w:val="single" w:sz="4" w:space="0" w:color="auto"/>
              <w:left w:val="single" w:sz="4" w:space="0" w:color="auto"/>
              <w:bottom w:val="single" w:sz="4" w:space="0" w:color="auto"/>
              <w:right w:val="single" w:sz="4" w:space="0" w:color="auto"/>
            </w:tcBorders>
            <w:hideMark/>
          </w:tcPr>
          <w:p w:rsidR="00500B4D" w:rsidP="00500B4D" w14:paraId="4DA54EA9" w14:textId="77777777">
            <w:pPr>
              <w:pStyle w:val="NoSpacing"/>
              <w:keepNext/>
              <w:rPr>
                <w:rFonts w:ascii="Arial" w:hAnsi="Arial" w:cs="Arial"/>
                <w:sz w:val="20"/>
                <w:szCs w:val="20"/>
              </w:rPr>
            </w:pPr>
            <w:r>
              <w:rPr>
                <w:rFonts w:ascii="Arial" w:hAnsi="Arial" w:cs="Arial"/>
                <w:bCs/>
                <w:sz w:val="20"/>
                <w:szCs w:val="20"/>
              </w:rPr>
              <w:t>Average Hourly Wage Rate</w:t>
            </w:r>
            <w:r>
              <w:rPr>
                <w:rStyle w:val="FootnoteReference"/>
                <w:rFonts w:ascii="Arial" w:hAnsi="Arial" w:cs="Arial"/>
                <w:bCs/>
                <w:sz w:val="20"/>
                <w:szCs w:val="20"/>
              </w:rPr>
              <w:footnoteReference w:id="2"/>
            </w:r>
          </w:p>
        </w:tc>
        <w:tc>
          <w:tcPr>
            <w:tcW w:w="1610" w:type="dxa"/>
            <w:tcBorders>
              <w:top w:val="single" w:sz="4" w:space="0" w:color="auto"/>
              <w:left w:val="single" w:sz="4" w:space="0" w:color="auto"/>
              <w:bottom w:val="single" w:sz="4" w:space="0" w:color="auto"/>
              <w:right w:val="single" w:sz="4" w:space="0" w:color="auto"/>
            </w:tcBorders>
            <w:hideMark/>
          </w:tcPr>
          <w:p w:rsidR="00500B4D" w:rsidP="00500B4D" w14:paraId="59C78555" w14:textId="77777777">
            <w:pPr>
              <w:pStyle w:val="NoSpacing"/>
              <w:keepNext/>
              <w:rPr>
                <w:rFonts w:ascii="Arial" w:hAnsi="Arial" w:cs="Arial"/>
                <w:sz w:val="20"/>
                <w:szCs w:val="20"/>
              </w:rPr>
            </w:pPr>
            <w:r>
              <w:rPr>
                <w:rFonts w:ascii="Arial" w:hAnsi="Arial" w:cs="Arial"/>
                <w:sz w:val="20"/>
                <w:szCs w:val="20"/>
              </w:rPr>
              <w:t>Total Annual Respondent Cost</w:t>
            </w:r>
          </w:p>
        </w:tc>
      </w:tr>
      <w:tr w14:paraId="53136649" w14:textId="77777777" w:rsidTr="00500B4D">
        <w:tblPrEx>
          <w:tblW w:w="0" w:type="auto"/>
          <w:tblInd w:w="535" w:type="dxa"/>
          <w:tblLook w:val="04A0"/>
        </w:tblPrEx>
        <w:tc>
          <w:tcPr>
            <w:tcW w:w="1396" w:type="dxa"/>
            <w:tcBorders>
              <w:top w:val="single" w:sz="4" w:space="0" w:color="auto"/>
              <w:left w:val="single" w:sz="4" w:space="0" w:color="auto"/>
              <w:bottom w:val="single" w:sz="4" w:space="0" w:color="auto"/>
              <w:right w:val="single" w:sz="4" w:space="0" w:color="auto"/>
            </w:tcBorders>
            <w:hideMark/>
          </w:tcPr>
          <w:p w:rsidR="00500B4D" w:rsidP="00500B4D" w14:paraId="44D577EC" w14:textId="77777777">
            <w:pPr>
              <w:pStyle w:val="NoSpacing"/>
              <w:keepNext/>
              <w:rPr>
                <w:rFonts w:ascii="Arial" w:hAnsi="Arial" w:cs="Arial"/>
                <w:sz w:val="20"/>
                <w:szCs w:val="20"/>
              </w:rPr>
            </w:pPr>
            <w:r>
              <w:rPr>
                <w:rFonts w:ascii="Arial" w:hAnsi="Arial" w:cs="Arial"/>
                <w:sz w:val="20"/>
                <w:szCs w:val="20"/>
              </w:rPr>
              <w:t>26,895</w:t>
            </w:r>
          </w:p>
        </w:tc>
        <w:tc>
          <w:tcPr>
            <w:tcW w:w="1295" w:type="dxa"/>
            <w:tcBorders>
              <w:top w:val="single" w:sz="4" w:space="0" w:color="auto"/>
              <w:left w:val="single" w:sz="4" w:space="0" w:color="auto"/>
              <w:bottom w:val="single" w:sz="4" w:space="0" w:color="auto"/>
              <w:right w:val="single" w:sz="4" w:space="0" w:color="auto"/>
            </w:tcBorders>
            <w:hideMark/>
          </w:tcPr>
          <w:p w:rsidR="00500B4D" w:rsidP="00500B4D" w14:paraId="4C667173" w14:textId="498EFA4B">
            <w:pPr>
              <w:pStyle w:val="NoSpacing"/>
              <w:keepNext/>
              <w:rPr>
                <w:rFonts w:ascii="Arial" w:hAnsi="Arial" w:cs="Arial"/>
                <w:sz w:val="20"/>
                <w:szCs w:val="20"/>
              </w:rPr>
            </w:pPr>
            <w:r>
              <w:rPr>
                <w:rFonts w:ascii="Arial" w:hAnsi="Arial" w:cs="Arial"/>
                <w:sz w:val="20"/>
                <w:szCs w:val="20"/>
              </w:rPr>
              <w:t>8.5</w:t>
            </w:r>
          </w:p>
        </w:tc>
        <w:tc>
          <w:tcPr>
            <w:tcW w:w="1217" w:type="dxa"/>
            <w:tcBorders>
              <w:top w:val="single" w:sz="4" w:space="0" w:color="auto"/>
              <w:left w:val="single" w:sz="4" w:space="0" w:color="auto"/>
              <w:bottom w:val="single" w:sz="4" w:space="0" w:color="auto"/>
              <w:right w:val="single" w:sz="4" w:space="0" w:color="auto"/>
            </w:tcBorders>
            <w:hideMark/>
          </w:tcPr>
          <w:p w:rsidR="00500B4D" w:rsidP="00500B4D" w14:paraId="111B2504" w14:textId="0C3BB07D">
            <w:pPr>
              <w:pStyle w:val="NoSpacing"/>
              <w:keepNext/>
              <w:rPr>
                <w:rFonts w:ascii="Arial" w:hAnsi="Arial" w:cs="Arial"/>
                <w:sz w:val="20"/>
                <w:szCs w:val="20"/>
              </w:rPr>
            </w:pPr>
            <w:r>
              <w:rPr>
                <w:rFonts w:ascii="Arial" w:hAnsi="Arial" w:cs="Arial"/>
                <w:sz w:val="20"/>
                <w:szCs w:val="20"/>
              </w:rPr>
              <w:t>228,493</w:t>
            </w:r>
          </w:p>
        </w:tc>
        <w:tc>
          <w:tcPr>
            <w:tcW w:w="1312" w:type="dxa"/>
            <w:tcBorders>
              <w:top w:val="single" w:sz="4" w:space="0" w:color="auto"/>
              <w:left w:val="single" w:sz="4" w:space="0" w:color="auto"/>
              <w:bottom w:val="single" w:sz="4" w:space="0" w:color="auto"/>
              <w:right w:val="single" w:sz="4" w:space="0" w:color="auto"/>
            </w:tcBorders>
            <w:hideMark/>
          </w:tcPr>
          <w:p w:rsidR="00500B4D" w:rsidP="00500B4D" w14:paraId="5967D4EE" w14:textId="77777777">
            <w:pPr>
              <w:pStyle w:val="NoSpacing"/>
              <w:keepNext/>
              <w:rPr>
                <w:rFonts w:ascii="Arial" w:hAnsi="Arial" w:cs="Arial"/>
                <w:sz w:val="20"/>
                <w:szCs w:val="20"/>
              </w:rPr>
            </w:pPr>
            <w:r>
              <w:rPr>
                <w:rFonts w:ascii="Arial" w:hAnsi="Arial" w:cs="Arial"/>
                <w:sz w:val="20"/>
                <w:szCs w:val="20"/>
              </w:rPr>
              <w:t>8 minutes (.133 hours)</w:t>
            </w:r>
          </w:p>
        </w:tc>
        <w:tc>
          <w:tcPr>
            <w:tcW w:w="996" w:type="dxa"/>
            <w:tcBorders>
              <w:top w:val="single" w:sz="4" w:space="0" w:color="auto"/>
              <w:left w:val="single" w:sz="4" w:space="0" w:color="auto"/>
              <w:bottom w:val="single" w:sz="4" w:space="0" w:color="auto"/>
              <w:right w:val="single" w:sz="4" w:space="0" w:color="auto"/>
            </w:tcBorders>
            <w:hideMark/>
          </w:tcPr>
          <w:p w:rsidR="00500B4D" w:rsidP="00500B4D" w14:paraId="7F609D6D" w14:textId="083C8DF0">
            <w:pPr>
              <w:pStyle w:val="NoSpacing"/>
              <w:keepNext/>
              <w:rPr>
                <w:rFonts w:ascii="Arial" w:hAnsi="Arial" w:cs="Arial"/>
                <w:sz w:val="20"/>
                <w:szCs w:val="20"/>
              </w:rPr>
            </w:pPr>
            <w:r>
              <w:rPr>
                <w:rFonts w:ascii="Arial" w:hAnsi="Arial" w:cs="Arial"/>
                <w:sz w:val="20"/>
                <w:szCs w:val="20"/>
              </w:rPr>
              <w:t>30,466</w:t>
            </w:r>
          </w:p>
        </w:tc>
        <w:tc>
          <w:tcPr>
            <w:tcW w:w="989" w:type="dxa"/>
            <w:tcBorders>
              <w:top w:val="single" w:sz="4" w:space="0" w:color="auto"/>
              <w:left w:val="single" w:sz="4" w:space="0" w:color="auto"/>
              <w:bottom w:val="single" w:sz="4" w:space="0" w:color="auto"/>
              <w:right w:val="single" w:sz="4" w:space="0" w:color="auto"/>
            </w:tcBorders>
            <w:hideMark/>
          </w:tcPr>
          <w:p w:rsidR="00500B4D" w:rsidP="00500B4D" w14:paraId="38845F2D" w14:textId="1585B290">
            <w:pPr>
              <w:pStyle w:val="NoSpacing"/>
              <w:keepNext/>
              <w:rPr>
                <w:rFonts w:ascii="Arial" w:hAnsi="Arial" w:cs="Arial"/>
                <w:sz w:val="20"/>
                <w:szCs w:val="20"/>
              </w:rPr>
            </w:pPr>
            <w:r>
              <w:rPr>
                <w:rFonts w:ascii="Arial" w:hAnsi="Arial" w:cs="Arial"/>
                <w:sz w:val="20"/>
                <w:szCs w:val="20"/>
              </w:rPr>
              <w:t>$</w:t>
            </w:r>
            <w:r w:rsidR="00DB05A4">
              <w:rPr>
                <w:rFonts w:ascii="Arial" w:hAnsi="Arial" w:cs="Arial"/>
                <w:sz w:val="20"/>
                <w:szCs w:val="20"/>
              </w:rPr>
              <w:t>62.71</w:t>
            </w:r>
          </w:p>
        </w:tc>
        <w:tc>
          <w:tcPr>
            <w:tcW w:w="1610" w:type="dxa"/>
            <w:tcBorders>
              <w:top w:val="single" w:sz="4" w:space="0" w:color="auto"/>
              <w:left w:val="single" w:sz="4" w:space="0" w:color="auto"/>
              <w:bottom w:val="single" w:sz="4" w:space="0" w:color="auto"/>
              <w:right w:val="single" w:sz="4" w:space="0" w:color="auto"/>
            </w:tcBorders>
            <w:hideMark/>
          </w:tcPr>
          <w:p w:rsidR="00500B4D" w:rsidP="00500B4D" w14:paraId="49440F7F" w14:textId="4E20064E">
            <w:pPr>
              <w:pStyle w:val="NoSpacing"/>
              <w:keepNext/>
              <w:rPr>
                <w:rFonts w:ascii="Arial" w:hAnsi="Arial" w:cs="Arial"/>
                <w:sz w:val="20"/>
                <w:szCs w:val="20"/>
              </w:rPr>
            </w:pPr>
            <w:r>
              <w:rPr>
                <w:rFonts w:ascii="Arial" w:hAnsi="Arial" w:cs="Arial"/>
                <w:sz w:val="20"/>
                <w:szCs w:val="20"/>
              </w:rPr>
              <w:t>$</w:t>
            </w:r>
            <w:r>
              <w:t xml:space="preserve"> </w:t>
            </w:r>
            <w:r w:rsidRPr="00DB05A4" w:rsidR="00DB05A4">
              <w:rPr>
                <w:rFonts w:ascii="Arial" w:hAnsi="Arial" w:cs="Arial"/>
                <w:sz w:val="20"/>
                <w:szCs w:val="20"/>
              </w:rPr>
              <w:t>1,</w:t>
            </w:r>
            <w:r w:rsidR="00A21085">
              <w:rPr>
                <w:rFonts w:ascii="Arial" w:hAnsi="Arial" w:cs="Arial"/>
                <w:sz w:val="20"/>
                <w:szCs w:val="20"/>
              </w:rPr>
              <w:t>910</w:t>
            </w:r>
            <w:r w:rsidRPr="00DB05A4" w:rsidR="00DB05A4">
              <w:rPr>
                <w:rFonts w:ascii="Arial" w:hAnsi="Arial" w:cs="Arial"/>
                <w:sz w:val="20"/>
                <w:szCs w:val="20"/>
              </w:rPr>
              <w:t>,</w:t>
            </w:r>
            <w:r w:rsidR="00A21085">
              <w:rPr>
                <w:rFonts w:ascii="Arial" w:hAnsi="Arial" w:cs="Arial"/>
                <w:sz w:val="20"/>
                <w:szCs w:val="20"/>
              </w:rPr>
              <w:t>522.86</w:t>
            </w:r>
          </w:p>
        </w:tc>
      </w:tr>
    </w:tbl>
    <w:p w:rsidR="00500B4D" w:rsidP="00AB6A41" w14:paraId="5A2515F0" w14:textId="5BC77B78">
      <w:pPr>
        <w:pStyle w:val="NoSpacing"/>
        <w:tabs>
          <w:tab w:val="left" w:pos="540"/>
        </w:tabs>
        <w:ind w:left="535" w:hanging="535" w:hangingChars="223"/>
        <w:rPr>
          <w:rFonts w:ascii="Times New Roman" w:hAnsi="Times New Roman"/>
          <w:sz w:val="24"/>
          <w:szCs w:val="24"/>
        </w:rPr>
      </w:pPr>
    </w:p>
    <w:p w:rsidR="00500B4D" w:rsidRPr="00AB6A41" w:rsidP="00AB6A41" w14:paraId="0ED88EED" w14:textId="77777777">
      <w:pPr>
        <w:pStyle w:val="NoSpacing"/>
        <w:tabs>
          <w:tab w:val="left" w:pos="540"/>
        </w:tabs>
        <w:ind w:left="535" w:hanging="535" w:hangingChars="223"/>
        <w:rPr>
          <w:rFonts w:ascii="Times New Roman" w:hAnsi="Times New Roman"/>
          <w:sz w:val="24"/>
          <w:szCs w:val="24"/>
        </w:rPr>
      </w:pPr>
    </w:p>
    <w:p w:rsidR="00284B7F" w:rsidRPr="00AB6A41" w:rsidP="00AB6A41" w14:paraId="18CC9E2C" w14:textId="77777777">
      <w:pPr>
        <w:pStyle w:val="NoSpacing"/>
        <w:numPr>
          <w:ilvl w:val="0"/>
          <w:numId w:val="5"/>
        </w:numPr>
        <w:tabs>
          <w:tab w:val="left" w:pos="540"/>
        </w:tabs>
        <w:ind w:left="535" w:hanging="535" w:hangingChars="223"/>
        <w:rPr>
          <w:rFonts w:ascii="Times New Roman" w:hAnsi="Times New Roman"/>
          <w:b/>
          <w:sz w:val="24"/>
          <w:szCs w:val="24"/>
        </w:rPr>
      </w:pPr>
      <w:r w:rsidRPr="00AB6A41">
        <w:rPr>
          <w:rFonts w:ascii="Times New Roman" w:hAnsi="Times New Roman"/>
          <w:b/>
          <w:sz w:val="24"/>
          <w:szCs w:val="24"/>
        </w:rPr>
        <w:t>Provide an estimate for the total annual cost burden to respondents or record keepers resulting from the collection of information. (Do not include the cost of any hour burden shown in Items 12 and 14).</w:t>
      </w:r>
    </w:p>
    <w:p w:rsidR="00284B7F" w:rsidRPr="00AB6A41" w:rsidP="00AB6A41" w14:paraId="7CDCAC23" w14:textId="77777777">
      <w:pPr>
        <w:pStyle w:val="NoSpacing"/>
        <w:tabs>
          <w:tab w:val="left" w:pos="540"/>
        </w:tabs>
        <w:ind w:left="535" w:hanging="535" w:hangingChars="223"/>
        <w:rPr>
          <w:rFonts w:ascii="Times New Roman" w:hAnsi="Times New Roman"/>
          <w:b/>
          <w:sz w:val="24"/>
          <w:szCs w:val="24"/>
        </w:rPr>
      </w:pPr>
    </w:p>
    <w:p w:rsidR="00284B7F" w:rsidRPr="00AB6A41" w:rsidP="00AB6A41" w14:paraId="38C4B6B9" w14:textId="77777777">
      <w:pPr>
        <w:pStyle w:val="NoSpacing"/>
        <w:tabs>
          <w:tab w:val="left" w:pos="540"/>
        </w:tabs>
        <w:ind w:left="535" w:hanging="535" w:hangingChars="223"/>
        <w:rPr>
          <w:rFonts w:ascii="Times New Roman" w:hAnsi="Times New Roman"/>
          <w:sz w:val="24"/>
          <w:szCs w:val="24"/>
        </w:rPr>
      </w:pPr>
      <w:r w:rsidRPr="00AB6A41">
        <w:rPr>
          <w:rFonts w:ascii="Times New Roman" w:hAnsi="Times New Roman"/>
          <w:sz w:val="24"/>
          <w:szCs w:val="24"/>
        </w:rPr>
        <w:tab/>
        <w:t xml:space="preserve">As a result of conversations with </w:t>
      </w:r>
      <w:r w:rsidRPr="00AB6A41">
        <w:rPr>
          <w:rFonts w:ascii="Times New Roman" w:hAnsi="Times New Roman"/>
          <w:sz w:val="24"/>
          <w:szCs w:val="24"/>
        </w:rPr>
        <w:t>several of</w:t>
      </w:r>
      <w:r w:rsidRPr="00AB6A41">
        <w:rPr>
          <w:rFonts w:ascii="Times New Roman" w:hAnsi="Times New Roman"/>
          <w:sz w:val="24"/>
          <w:szCs w:val="24"/>
        </w:rPr>
        <w:t xml:space="preserve"> financial institutions, it has been determined that there are no additional capital or start-up costs associated with this information requirement. </w:t>
      </w:r>
      <w:r w:rsidR="00AB6A41">
        <w:rPr>
          <w:rFonts w:ascii="Times New Roman" w:hAnsi="Times New Roman"/>
          <w:sz w:val="24"/>
          <w:szCs w:val="24"/>
        </w:rPr>
        <w:t xml:space="preserve"> </w:t>
      </w:r>
      <w:r w:rsidRPr="00AB6A41">
        <w:rPr>
          <w:rFonts w:ascii="Times New Roman" w:hAnsi="Times New Roman"/>
          <w:sz w:val="24"/>
          <w:szCs w:val="24"/>
        </w:rPr>
        <w:t xml:space="preserve">The requested information is already available from most financial transactions processed during a normal business day. </w:t>
      </w:r>
      <w:r w:rsidR="00F17DC1">
        <w:rPr>
          <w:rFonts w:ascii="Times New Roman" w:hAnsi="Times New Roman"/>
          <w:sz w:val="24"/>
          <w:szCs w:val="24"/>
        </w:rPr>
        <w:t xml:space="preserve"> </w:t>
      </w:r>
      <w:r w:rsidRPr="00AB6A41">
        <w:rPr>
          <w:rFonts w:ascii="Times New Roman" w:hAnsi="Times New Roman"/>
          <w:sz w:val="24"/>
          <w:szCs w:val="24"/>
        </w:rPr>
        <w:t>There are no operational or maintenance costs associated with this information collection.</w:t>
      </w:r>
    </w:p>
    <w:p w:rsidR="00284B7F" w:rsidRPr="00AB6A41" w:rsidP="00AB6A41" w14:paraId="6DA2A25C" w14:textId="77777777">
      <w:pPr>
        <w:pStyle w:val="NoSpacing"/>
        <w:tabs>
          <w:tab w:val="left" w:pos="540"/>
        </w:tabs>
        <w:ind w:left="535" w:hanging="535" w:hangingChars="223"/>
        <w:rPr>
          <w:rFonts w:ascii="Times New Roman" w:hAnsi="Times New Roman"/>
          <w:sz w:val="24"/>
          <w:szCs w:val="24"/>
        </w:rPr>
      </w:pPr>
    </w:p>
    <w:p w:rsidR="00284B7F" w:rsidRPr="00AB6A41" w:rsidP="00AB6A41" w14:paraId="133B8462" w14:textId="77777777">
      <w:pPr>
        <w:pStyle w:val="NoSpacing"/>
        <w:numPr>
          <w:ilvl w:val="0"/>
          <w:numId w:val="5"/>
        </w:numPr>
        <w:tabs>
          <w:tab w:val="left" w:pos="540"/>
        </w:tabs>
        <w:ind w:left="535" w:hanging="535" w:hangingChars="223"/>
        <w:rPr>
          <w:rFonts w:ascii="Times New Roman" w:hAnsi="Times New Roman"/>
          <w:b/>
          <w:sz w:val="24"/>
          <w:szCs w:val="24"/>
        </w:rPr>
      </w:pPr>
      <w:r w:rsidRPr="00AB6A41">
        <w:rPr>
          <w:rFonts w:ascii="Times New Roman" w:hAnsi="Times New Roman"/>
          <w:b/>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AB6A41">
        <w:rPr>
          <w:rFonts w:ascii="Times New Roman" w:hAnsi="Times New Roman"/>
          <w:b/>
          <w:sz w:val="24"/>
          <w:szCs w:val="24"/>
        </w:rPr>
        <w:t>expense</w:t>
      </w:r>
      <w:r w:rsidRPr="00AB6A41">
        <w:rPr>
          <w:rFonts w:ascii="Times New Roman" w:hAnsi="Times New Roman"/>
          <w:b/>
          <w:sz w:val="24"/>
          <w:szCs w:val="24"/>
        </w:rPr>
        <w:t xml:space="preserve"> that would not have been incurred without this collection of information. Agencies may also aggregate cost estimates from Items 12, 13, and 14 in a single table.</w:t>
      </w:r>
    </w:p>
    <w:p w:rsidR="00284B7F" w:rsidRPr="00AB6A41" w:rsidP="00AB6A41" w14:paraId="6D5258E0" w14:textId="77777777">
      <w:pPr>
        <w:pStyle w:val="NoSpacing"/>
        <w:tabs>
          <w:tab w:val="left" w:pos="540"/>
        </w:tabs>
        <w:ind w:left="535" w:hanging="535" w:hangingChars="223"/>
        <w:rPr>
          <w:rFonts w:ascii="Times New Roman" w:hAnsi="Times New Roman"/>
          <w:sz w:val="24"/>
          <w:szCs w:val="24"/>
        </w:rPr>
      </w:pPr>
      <w:r w:rsidRPr="00AB6A41">
        <w:rPr>
          <w:rFonts w:ascii="Times New Roman" w:hAnsi="Times New Roman"/>
          <w:sz w:val="24"/>
          <w:szCs w:val="24"/>
        </w:rPr>
        <w:tab/>
      </w:r>
    </w:p>
    <w:p w:rsidR="00284B7F" w:rsidRPr="00AB6A41" w:rsidP="00886445" w14:paraId="284A9D1B" w14:textId="5E1CB07C">
      <w:pPr>
        <w:pStyle w:val="NoSpacing"/>
        <w:tabs>
          <w:tab w:val="left" w:pos="540"/>
        </w:tabs>
        <w:ind w:left="535" w:hanging="535" w:hangingChars="223"/>
        <w:rPr>
          <w:rFonts w:ascii="Times New Roman" w:hAnsi="Times New Roman"/>
          <w:sz w:val="24"/>
          <w:szCs w:val="24"/>
        </w:rPr>
      </w:pPr>
      <w:r w:rsidRPr="00AB6A41">
        <w:rPr>
          <w:rFonts w:ascii="Times New Roman" w:hAnsi="Times New Roman"/>
          <w:sz w:val="24"/>
          <w:szCs w:val="24"/>
        </w:rPr>
        <w:tab/>
      </w:r>
      <w:r w:rsidRPr="00AB6A41">
        <w:rPr>
          <w:rFonts w:ascii="Times New Roman" w:hAnsi="Times New Roman"/>
          <w:sz w:val="24"/>
          <w:szCs w:val="24"/>
        </w:rPr>
        <w:t>Annualized</w:t>
      </w:r>
      <w:r w:rsidRPr="00AB6A41">
        <w:rPr>
          <w:rFonts w:ascii="Times New Roman" w:hAnsi="Times New Roman"/>
          <w:sz w:val="24"/>
          <w:szCs w:val="24"/>
        </w:rPr>
        <w:t xml:space="preserve"> cost to </w:t>
      </w:r>
      <w:r w:rsidRPr="00AB6A41">
        <w:rPr>
          <w:rFonts w:ascii="Times New Roman" w:hAnsi="Times New Roman"/>
          <w:sz w:val="24"/>
          <w:szCs w:val="24"/>
        </w:rPr>
        <w:t>Federal</w:t>
      </w:r>
      <w:r w:rsidRPr="00AB6A41">
        <w:rPr>
          <w:rFonts w:ascii="Times New Roman" w:hAnsi="Times New Roman"/>
          <w:sz w:val="24"/>
          <w:szCs w:val="24"/>
        </w:rPr>
        <w:t xml:space="preserve"> Government is estimated at $</w:t>
      </w:r>
      <w:r w:rsidRPr="007A03C2" w:rsidR="007A03C2">
        <w:rPr>
          <w:rFonts w:ascii="Arial" w:hAnsi="Arial" w:cs="Arial"/>
          <w:sz w:val="20"/>
          <w:szCs w:val="20"/>
        </w:rPr>
        <w:t>$4,337,177.51</w:t>
      </w:r>
      <w:r w:rsidR="00886445">
        <w:rPr>
          <w:rFonts w:ascii="Times New Roman" w:hAnsi="Times New Roman"/>
          <w:sz w:val="24"/>
          <w:szCs w:val="24"/>
        </w:rPr>
        <w:t xml:space="preserve">. </w:t>
      </w:r>
      <w:r w:rsidRPr="00AB6A41">
        <w:rPr>
          <w:rFonts w:ascii="Times New Roman" w:hAnsi="Times New Roman"/>
          <w:sz w:val="24"/>
          <w:szCs w:val="24"/>
        </w:rPr>
        <w:t xml:space="preserve">The cost is based on the </w:t>
      </w:r>
      <w:r w:rsidRPr="00886445" w:rsidR="00886445">
        <w:rPr>
          <w:rFonts w:ascii="Times New Roman" w:hAnsi="Times New Roman"/>
          <w:sz w:val="24"/>
          <w:szCs w:val="24"/>
        </w:rPr>
        <w:t xml:space="preserve">Federal Government </w:t>
      </w:r>
      <w:r w:rsidRPr="00886445" w:rsidR="00886445">
        <w:rPr>
          <w:rFonts w:ascii="Times New Roman" w:hAnsi="Times New Roman"/>
          <w:sz w:val="24"/>
          <w:szCs w:val="24"/>
        </w:rPr>
        <w:t>Fully-loaded</w:t>
      </w:r>
      <w:r w:rsidRPr="00886445" w:rsidR="00886445">
        <w:rPr>
          <w:rFonts w:ascii="Times New Roman" w:hAnsi="Times New Roman"/>
          <w:sz w:val="24"/>
          <w:szCs w:val="24"/>
        </w:rPr>
        <w:t xml:space="preserve"> Labor Rate</w:t>
      </w:r>
      <w:r w:rsidR="00886445">
        <w:rPr>
          <w:rFonts w:ascii="Times New Roman" w:hAnsi="Times New Roman"/>
          <w:sz w:val="24"/>
          <w:szCs w:val="24"/>
        </w:rPr>
        <w:t xml:space="preserve"> for the positions listed below. </w:t>
      </w:r>
    </w:p>
    <w:p w:rsidR="0030796E" w:rsidP="0030796E" w14:paraId="169461C6" w14:textId="77777777">
      <w:pPr>
        <w:pStyle w:val="NoSpacing"/>
        <w:ind w:left="535" w:firstLine="5" w:leftChars="243"/>
        <w:rPr>
          <w:rFonts w:ascii="Times New Roman" w:hAnsi="Times New Roman"/>
          <w:sz w:val="24"/>
          <w:szCs w:val="24"/>
        </w:rPr>
      </w:pPr>
    </w:p>
    <w:tbl>
      <w:tblPr>
        <w:tblStyle w:val="TableGrid1"/>
        <w:tblW w:w="9085" w:type="dxa"/>
        <w:jc w:val="center"/>
        <w:tblLayout w:type="fixed"/>
        <w:tblLook w:val="04A0"/>
      </w:tblPr>
      <w:tblGrid>
        <w:gridCol w:w="2695"/>
        <w:gridCol w:w="1350"/>
        <w:gridCol w:w="1530"/>
        <w:gridCol w:w="1080"/>
        <w:gridCol w:w="1080"/>
        <w:gridCol w:w="1350"/>
      </w:tblGrid>
      <w:tr w14:paraId="070554E5" w14:textId="77777777" w:rsidTr="00DB05A4">
        <w:tblPrEx>
          <w:tblW w:w="9085" w:type="dxa"/>
          <w:jc w:val="center"/>
          <w:tblLayout w:type="fixed"/>
          <w:tblLook w:val="04A0"/>
        </w:tblPrEx>
        <w:trPr>
          <w:trHeight w:val="890"/>
          <w:jc w:val="center"/>
        </w:trPr>
        <w:tc>
          <w:tcPr>
            <w:tcW w:w="2695" w:type="dxa"/>
            <w:tcMar>
              <w:left w:w="29" w:type="dxa"/>
              <w:right w:w="29" w:type="dxa"/>
            </w:tcMar>
            <w:vAlign w:val="center"/>
          </w:tcPr>
          <w:p w:rsidR="0030796E" w:rsidRPr="00E942AE" w:rsidP="00F407C0" w14:paraId="55779F8D" w14:textId="77777777">
            <w:pPr>
              <w:keepNext/>
              <w:suppressAutoHyphens/>
              <w:jc w:val="center"/>
              <w:rPr>
                <w:rFonts w:ascii="Arial" w:hAnsi="Arial" w:cs="Arial"/>
                <w:sz w:val="20"/>
                <w:szCs w:val="20"/>
              </w:rPr>
            </w:pPr>
            <w:r>
              <w:rPr>
                <w:rFonts w:ascii="Arial" w:hAnsi="Arial" w:cs="Arial"/>
                <w:sz w:val="20"/>
                <w:szCs w:val="20"/>
              </w:rPr>
              <w:t>Labor Category</w:t>
            </w:r>
          </w:p>
        </w:tc>
        <w:tc>
          <w:tcPr>
            <w:tcW w:w="1350" w:type="dxa"/>
            <w:tcMar>
              <w:left w:w="29" w:type="dxa"/>
              <w:right w:w="29" w:type="dxa"/>
            </w:tcMar>
            <w:vAlign w:val="center"/>
          </w:tcPr>
          <w:p w:rsidR="0030796E" w:rsidRPr="00E942AE" w:rsidP="00F407C0" w14:paraId="6930CE05" w14:textId="77777777">
            <w:pPr>
              <w:keepNext/>
              <w:suppressAutoHyphens/>
              <w:jc w:val="center"/>
              <w:rPr>
                <w:rFonts w:ascii="Arial" w:hAnsi="Arial" w:cs="Arial"/>
                <w:sz w:val="20"/>
                <w:szCs w:val="20"/>
              </w:rPr>
            </w:pPr>
            <w:r w:rsidRPr="00E942AE">
              <w:rPr>
                <w:rFonts w:ascii="Arial" w:hAnsi="Arial" w:cs="Arial"/>
                <w:sz w:val="20"/>
                <w:szCs w:val="20"/>
              </w:rPr>
              <w:t>F</w:t>
            </w:r>
            <w:r>
              <w:rPr>
                <w:rFonts w:ascii="Arial" w:hAnsi="Arial" w:cs="Arial"/>
                <w:sz w:val="20"/>
                <w:szCs w:val="20"/>
              </w:rPr>
              <w:t>ully-loaded</w:t>
            </w:r>
            <w:r>
              <w:rPr>
                <w:rFonts w:ascii="Arial" w:hAnsi="Arial" w:cs="Arial"/>
                <w:sz w:val="20"/>
                <w:szCs w:val="20"/>
              </w:rPr>
              <w:t xml:space="preserve"> Labor Rate/</w:t>
            </w:r>
            <w:r w:rsidRPr="00E942AE">
              <w:rPr>
                <w:rFonts w:ascii="Arial" w:hAnsi="Arial" w:cs="Arial"/>
                <w:sz w:val="20"/>
                <w:szCs w:val="20"/>
              </w:rPr>
              <w:t>Hour</w:t>
            </w:r>
            <w:r>
              <w:rPr>
                <w:rFonts w:ascii="Arial" w:hAnsi="Arial" w:cs="Arial"/>
                <w:sz w:val="20"/>
                <w:szCs w:val="20"/>
                <w:vertAlign w:val="superscript"/>
              </w:rPr>
              <w:footnoteReference w:id="3"/>
            </w:r>
          </w:p>
        </w:tc>
        <w:tc>
          <w:tcPr>
            <w:tcW w:w="1530" w:type="dxa"/>
            <w:tcMar>
              <w:left w:w="29" w:type="dxa"/>
              <w:right w:w="29" w:type="dxa"/>
            </w:tcMar>
            <w:vAlign w:val="center"/>
          </w:tcPr>
          <w:p w:rsidR="0030796E" w:rsidRPr="00E942AE" w:rsidP="00F407C0" w14:paraId="105C81F1" w14:textId="77777777">
            <w:pPr>
              <w:keepNext/>
              <w:suppressAutoHyphens/>
              <w:jc w:val="center"/>
              <w:rPr>
                <w:rFonts w:ascii="Arial" w:hAnsi="Arial" w:cs="Arial"/>
                <w:sz w:val="20"/>
                <w:szCs w:val="20"/>
              </w:rPr>
            </w:pPr>
            <w:r w:rsidRPr="00E942AE">
              <w:rPr>
                <w:rFonts w:ascii="Arial" w:hAnsi="Arial" w:cs="Arial"/>
                <w:sz w:val="20"/>
                <w:szCs w:val="20"/>
              </w:rPr>
              <w:t xml:space="preserve">Avg. </w:t>
            </w:r>
            <w:r>
              <w:rPr>
                <w:rFonts w:ascii="Arial" w:hAnsi="Arial" w:cs="Arial"/>
                <w:sz w:val="20"/>
                <w:szCs w:val="20"/>
              </w:rPr>
              <w:t>Processing Time per</w:t>
            </w:r>
            <w:r w:rsidRPr="00E942AE">
              <w:rPr>
                <w:rFonts w:ascii="Arial" w:hAnsi="Arial" w:cs="Arial"/>
                <w:sz w:val="20"/>
                <w:szCs w:val="20"/>
              </w:rPr>
              <w:t xml:space="preserve"> Response</w:t>
            </w:r>
          </w:p>
        </w:tc>
        <w:tc>
          <w:tcPr>
            <w:tcW w:w="1080" w:type="dxa"/>
            <w:tcMar>
              <w:left w:w="29" w:type="dxa"/>
              <w:right w:w="29" w:type="dxa"/>
            </w:tcMar>
            <w:vAlign w:val="center"/>
          </w:tcPr>
          <w:p w:rsidR="0030796E" w:rsidRPr="00E942AE" w:rsidP="00F407C0" w14:paraId="47F1B226" w14:textId="77777777">
            <w:pPr>
              <w:keepNext/>
              <w:suppressAutoHyphens/>
              <w:jc w:val="center"/>
              <w:rPr>
                <w:rFonts w:ascii="Arial" w:hAnsi="Arial" w:cs="Arial"/>
                <w:sz w:val="20"/>
                <w:szCs w:val="20"/>
              </w:rPr>
            </w:pPr>
            <w:r w:rsidRPr="00E942AE">
              <w:rPr>
                <w:rFonts w:ascii="Arial" w:hAnsi="Arial" w:cs="Arial"/>
                <w:sz w:val="20"/>
                <w:szCs w:val="20"/>
              </w:rPr>
              <w:t>Labor Cost</w:t>
            </w:r>
            <w:r>
              <w:rPr>
                <w:rFonts w:ascii="Arial" w:hAnsi="Arial" w:cs="Arial"/>
                <w:sz w:val="20"/>
                <w:szCs w:val="20"/>
              </w:rPr>
              <w:t>s per</w:t>
            </w:r>
            <w:r w:rsidRPr="00E942AE">
              <w:rPr>
                <w:rFonts w:ascii="Arial" w:hAnsi="Arial" w:cs="Arial"/>
                <w:sz w:val="20"/>
                <w:szCs w:val="20"/>
              </w:rPr>
              <w:t xml:space="preserve"> Response</w:t>
            </w:r>
          </w:p>
        </w:tc>
        <w:tc>
          <w:tcPr>
            <w:tcW w:w="1080" w:type="dxa"/>
            <w:tcMar>
              <w:left w:w="29" w:type="dxa"/>
              <w:right w:w="29" w:type="dxa"/>
            </w:tcMar>
            <w:vAlign w:val="center"/>
          </w:tcPr>
          <w:p w:rsidR="0030796E" w:rsidRPr="00E942AE" w:rsidP="00F407C0" w14:paraId="1E4C2D1B" w14:textId="77777777">
            <w:pPr>
              <w:keepNext/>
              <w:suppressAutoHyphens/>
              <w:jc w:val="center"/>
              <w:rPr>
                <w:rFonts w:ascii="Arial" w:hAnsi="Arial" w:cs="Arial"/>
                <w:sz w:val="20"/>
                <w:szCs w:val="20"/>
              </w:rPr>
            </w:pPr>
            <w:r w:rsidRPr="00E942AE">
              <w:rPr>
                <w:rFonts w:ascii="Arial" w:hAnsi="Arial" w:cs="Arial"/>
                <w:sz w:val="20"/>
                <w:szCs w:val="20"/>
              </w:rPr>
              <w:t>Total Responses</w:t>
            </w:r>
          </w:p>
        </w:tc>
        <w:tc>
          <w:tcPr>
            <w:tcW w:w="1350" w:type="dxa"/>
            <w:tcMar>
              <w:left w:w="29" w:type="dxa"/>
              <w:right w:w="29" w:type="dxa"/>
            </w:tcMar>
            <w:vAlign w:val="center"/>
          </w:tcPr>
          <w:p w:rsidR="0030796E" w:rsidRPr="00E942AE" w:rsidP="00F407C0" w14:paraId="6B6B1B5B" w14:textId="77777777">
            <w:pPr>
              <w:keepNext/>
              <w:suppressAutoHyphens/>
              <w:jc w:val="center"/>
              <w:rPr>
                <w:rFonts w:ascii="Arial" w:hAnsi="Arial" w:cs="Arial"/>
                <w:sz w:val="20"/>
                <w:szCs w:val="20"/>
              </w:rPr>
            </w:pPr>
            <w:r w:rsidRPr="00E942AE">
              <w:rPr>
                <w:rFonts w:ascii="Arial" w:hAnsi="Arial" w:cs="Arial"/>
                <w:sz w:val="20"/>
                <w:szCs w:val="20"/>
              </w:rPr>
              <w:t xml:space="preserve">Total </w:t>
            </w:r>
            <w:r>
              <w:rPr>
                <w:rFonts w:ascii="Arial" w:hAnsi="Arial" w:cs="Arial"/>
                <w:sz w:val="20"/>
                <w:szCs w:val="20"/>
              </w:rPr>
              <w:t xml:space="preserve">Govt. </w:t>
            </w:r>
            <w:r w:rsidRPr="00E942AE">
              <w:rPr>
                <w:rFonts w:ascii="Arial" w:hAnsi="Arial" w:cs="Arial"/>
                <w:sz w:val="20"/>
                <w:szCs w:val="20"/>
              </w:rPr>
              <w:t>Labor Costs</w:t>
            </w:r>
          </w:p>
        </w:tc>
      </w:tr>
      <w:tr w14:paraId="6D07B2B7" w14:textId="77777777" w:rsidTr="00DB05A4">
        <w:tblPrEx>
          <w:tblW w:w="9085" w:type="dxa"/>
          <w:jc w:val="center"/>
          <w:tblLayout w:type="fixed"/>
          <w:tblLook w:val="04A0"/>
        </w:tblPrEx>
        <w:trPr>
          <w:trHeight w:val="683"/>
          <w:jc w:val="center"/>
        </w:trPr>
        <w:tc>
          <w:tcPr>
            <w:tcW w:w="2695" w:type="dxa"/>
            <w:tcMar>
              <w:left w:w="29" w:type="dxa"/>
              <w:right w:w="29" w:type="dxa"/>
            </w:tcMar>
            <w:vAlign w:val="center"/>
          </w:tcPr>
          <w:p w:rsidR="0030796E" w:rsidRPr="00E942AE" w:rsidP="00F407C0" w14:paraId="729678C8" w14:textId="097E809C">
            <w:pPr>
              <w:keepNext/>
              <w:suppressAutoHyphens/>
              <w:jc w:val="center"/>
              <w:rPr>
                <w:rFonts w:ascii="Arial" w:hAnsi="Arial" w:cs="Arial"/>
                <w:sz w:val="20"/>
                <w:szCs w:val="20"/>
              </w:rPr>
            </w:pPr>
            <w:r>
              <w:rPr>
                <w:rFonts w:ascii="Arial" w:hAnsi="Arial" w:cs="Arial"/>
                <w:sz w:val="20"/>
                <w:szCs w:val="20"/>
              </w:rPr>
              <w:t>Customer Service Specialist (GS–</w:t>
            </w:r>
            <w:r w:rsidR="00CA455B">
              <w:rPr>
                <w:rFonts w:ascii="Arial" w:hAnsi="Arial" w:cs="Arial"/>
                <w:sz w:val="20"/>
                <w:szCs w:val="20"/>
              </w:rPr>
              <w:t>4</w:t>
            </w:r>
            <w:r w:rsidR="002C10D8">
              <w:rPr>
                <w:rFonts w:ascii="Arial" w:hAnsi="Arial" w:cs="Arial"/>
                <w:sz w:val="20"/>
                <w:szCs w:val="20"/>
              </w:rPr>
              <w:t xml:space="preserve"> </w:t>
            </w:r>
            <w:r>
              <w:rPr>
                <w:rFonts w:ascii="Arial" w:hAnsi="Arial" w:cs="Arial"/>
                <w:sz w:val="20"/>
                <w:szCs w:val="20"/>
              </w:rPr>
              <w:t xml:space="preserve">Step 5 for the locality pay area of </w:t>
            </w:r>
            <w:r w:rsidR="00CA455B">
              <w:rPr>
                <w:rFonts w:ascii="Arial" w:hAnsi="Arial" w:cs="Arial"/>
                <w:sz w:val="20"/>
                <w:szCs w:val="20"/>
              </w:rPr>
              <w:t>Philadelphia</w:t>
            </w:r>
          </w:p>
        </w:tc>
        <w:tc>
          <w:tcPr>
            <w:tcW w:w="1350" w:type="dxa"/>
            <w:tcMar>
              <w:left w:w="29" w:type="dxa"/>
              <w:right w:w="29" w:type="dxa"/>
            </w:tcMar>
            <w:vAlign w:val="center"/>
          </w:tcPr>
          <w:p w:rsidR="0030796E" w:rsidP="00F407C0" w14:paraId="11A47537" w14:textId="09C91E6D">
            <w:pPr>
              <w:keepNext/>
              <w:suppressAutoHyphens/>
              <w:jc w:val="center"/>
              <w:rPr>
                <w:rFonts w:ascii="Arial" w:hAnsi="Arial" w:cs="Arial"/>
                <w:sz w:val="20"/>
                <w:szCs w:val="20"/>
              </w:rPr>
            </w:pPr>
            <w:r>
              <w:rPr>
                <w:rFonts w:ascii="Arial" w:hAnsi="Arial" w:cs="Arial"/>
                <w:sz w:val="20"/>
                <w:szCs w:val="20"/>
              </w:rPr>
              <w:t>$</w:t>
            </w:r>
            <w:r w:rsidR="00DB05A4">
              <w:rPr>
                <w:rFonts w:ascii="Arial" w:hAnsi="Arial" w:cs="Arial"/>
                <w:sz w:val="20"/>
                <w:szCs w:val="20"/>
              </w:rPr>
              <w:t>35.16</w:t>
            </w:r>
          </w:p>
        </w:tc>
        <w:tc>
          <w:tcPr>
            <w:tcW w:w="1530" w:type="dxa"/>
            <w:tcMar>
              <w:left w:w="29" w:type="dxa"/>
              <w:right w:w="29" w:type="dxa"/>
            </w:tcMar>
            <w:vAlign w:val="center"/>
          </w:tcPr>
          <w:p w:rsidR="0030796E" w:rsidP="00F407C0" w14:paraId="6D316976" w14:textId="6F67BBCC">
            <w:pPr>
              <w:keepNext/>
              <w:suppressAutoHyphens/>
              <w:jc w:val="center"/>
              <w:rPr>
                <w:rFonts w:ascii="Arial" w:hAnsi="Arial" w:cs="Arial"/>
                <w:sz w:val="20"/>
                <w:szCs w:val="20"/>
              </w:rPr>
            </w:pPr>
            <w:r>
              <w:rPr>
                <w:rFonts w:ascii="Arial" w:hAnsi="Arial" w:cs="Arial"/>
                <w:sz w:val="20"/>
                <w:szCs w:val="20"/>
              </w:rPr>
              <w:t>1</w:t>
            </w:r>
            <w:r w:rsidR="00675F16">
              <w:rPr>
                <w:rFonts w:ascii="Arial" w:hAnsi="Arial" w:cs="Arial"/>
                <w:sz w:val="20"/>
                <w:szCs w:val="20"/>
              </w:rPr>
              <w:t>0</w:t>
            </w:r>
            <w:r>
              <w:rPr>
                <w:rFonts w:ascii="Arial" w:hAnsi="Arial" w:cs="Arial"/>
                <w:sz w:val="20"/>
                <w:szCs w:val="20"/>
              </w:rPr>
              <w:t xml:space="preserve"> minutes</w:t>
            </w:r>
          </w:p>
        </w:tc>
        <w:tc>
          <w:tcPr>
            <w:tcW w:w="1080" w:type="dxa"/>
            <w:tcMar>
              <w:left w:w="29" w:type="dxa"/>
              <w:right w:w="29" w:type="dxa"/>
            </w:tcMar>
            <w:vAlign w:val="center"/>
          </w:tcPr>
          <w:p w:rsidR="0030796E" w:rsidP="00F407C0" w14:paraId="1BA7D3B3" w14:textId="25F48D64">
            <w:pPr>
              <w:keepNext/>
              <w:suppressAutoHyphens/>
              <w:jc w:val="center"/>
              <w:rPr>
                <w:rFonts w:ascii="Arial" w:hAnsi="Arial" w:cs="Arial"/>
                <w:sz w:val="20"/>
                <w:szCs w:val="20"/>
              </w:rPr>
            </w:pPr>
            <w:r>
              <w:rPr>
                <w:rFonts w:ascii="Arial" w:hAnsi="Arial" w:cs="Arial"/>
                <w:sz w:val="20"/>
                <w:szCs w:val="20"/>
              </w:rPr>
              <w:t>$</w:t>
            </w:r>
            <w:r w:rsidR="00675F16">
              <w:rPr>
                <w:rFonts w:ascii="Arial" w:hAnsi="Arial" w:cs="Arial"/>
                <w:sz w:val="20"/>
                <w:szCs w:val="20"/>
              </w:rPr>
              <w:t>5.</w:t>
            </w:r>
            <w:r w:rsidR="00DB05A4">
              <w:rPr>
                <w:rFonts w:ascii="Arial" w:hAnsi="Arial" w:cs="Arial"/>
                <w:sz w:val="20"/>
                <w:szCs w:val="20"/>
              </w:rPr>
              <w:t>86</w:t>
            </w:r>
          </w:p>
        </w:tc>
        <w:tc>
          <w:tcPr>
            <w:tcW w:w="1080" w:type="dxa"/>
            <w:tcMar>
              <w:left w:w="29" w:type="dxa"/>
              <w:right w:w="29" w:type="dxa"/>
            </w:tcMar>
            <w:vAlign w:val="center"/>
          </w:tcPr>
          <w:p w:rsidR="0030796E" w:rsidP="00F407C0" w14:paraId="10712903" w14:textId="317EE5B8">
            <w:pPr>
              <w:keepNext/>
              <w:suppressAutoHyphens/>
              <w:jc w:val="center"/>
              <w:rPr>
                <w:rFonts w:ascii="Arial" w:hAnsi="Arial" w:cs="Arial"/>
                <w:sz w:val="20"/>
                <w:szCs w:val="20"/>
              </w:rPr>
            </w:pPr>
            <w:r>
              <w:rPr>
                <w:rFonts w:ascii="Arial" w:hAnsi="Arial" w:cs="Arial"/>
                <w:sz w:val="20"/>
                <w:szCs w:val="20"/>
              </w:rPr>
              <w:t>203,719</w:t>
            </w:r>
          </w:p>
        </w:tc>
        <w:tc>
          <w:tcPr>
            <w:tcW w:w="1350" w:type="dxa"/>
            <w:tcMar>
              <w:left w:w="29" w:type="dxa"/>
              <w:right w:w="29" w:type="dxa"/>
            </w:tcMar>
            <w:vAlign w:val="center"/>
          </w:tcPr>
          <w:p w:rsidR="00500B4D" w:rsidP="00500B4D" w14:paraId="603F074B" w14:textId="76CB7937">
            <w:pPr>
              <w:keepNext/>
              <w:suppressAutoHyphens/>
              <w:jc w:val="center"/>
              <w:rPr>
                <w:rFonts w:ascii="Arial" w:hAnsi="Arial" w:cs="Arial"/>
                <w:sz w:val="20"/>
                <w:szCs w:val="20"/>
              </w:rPr>
            </w:pPr>
            <w:r>
              <w:rPr>
                <w:rFonts w:ascii="Arial" w:hAnsi="Arial" w:cs="Arial"/>
                <w:sz w:val="20"/>
                <w:szCs w:val="20"/>
              </w:rPr>
              <w:t>$</w:t>
            </w:r>
            <w:r w:rsidRPr="00DB05A4" w:rsidR="00DB05A4">
              <w:rPr>
                <w:rFonts w:ascii="Arial" w:hAnsi="Arial" w:cs="Arial"/>
                <w:sz w:val="20"/>
                <w:szCs w:val="20"/>
              </w:rPr>
              <w:t>1,193,793.34</w:t>
            </w:r>
          </w:p>
        </w:tc>
      </w:tr>
      <w:tr w14:paraId="4F2D3837" w14:textId="77777777" w:rsidTr="00DB05A4">
        <w:tblPrEx>
          <w:tblW w:w="9085" w:type="dxa"/>
          <w:jc w:val="center"/>
          <w:tblLayout w:type="fixed"/>
          <w:tblLook w:val="04A0"/>
        </w:tblPrEx>
        <w:trPr>
          <w:trHeight w:val="683"/>
          <w:jc w:val="center"/>
        </w:trPr>
        <w:tc>
          <w:tcPr>
            <w:tcW w:w="2695" w:type="dxa"/>
            <w:tcMar>
              <w:left w:w="29" w:type="dxa"/>
              <w:right w:w="29" w:type="dxa"/>
            </w:tcMar>
            <w:vAlign w:val="center"/>
          </w:tcPr>
          <w:p w:rsidR="0030796E" w:rsidRPr="00E942AE" w:rsidP="00F407C0" w14:paraId="5B601AF4" w14:textId="5E7783D5">
            <w:pPr>
              <w:keepNext/>
              <w:suppressAutoHyphens/>
              <w:jc w:val="center"/>
              <w:rPr>
                <w:rFonts w:ascii="Arial" w:hAnsi="Arial" w:cs="Arial"/>
                <w:sz w:val="20"/>
                <w:szCs w:val="20"/>
              </w:rPr>
            </w:pPr>
            <w:r>
              <w:rPr>
                <w:rFonts w:ascii="Arial" w:hAnsi="Arial" w:cs="Arial"/>
                <w:sz w:val="20"/>
                <w:szCs w:val="20"/>
              </w:rPr>
              <w:t>Customer Service Specialist (GS–6 Step 5 for the locality pay area of Philadelphia</w:t>
            </w:r>
          </w:p>
        </w:tc>
        <w:tc>
          <w:tcPr>
            <w:tcW w:w="1350" w:type="dxa"/>
            <w:tcMar>
              <w:left w:w="29" w:type="dxa"/>
              <w:right w:w="29" w:type="dxa"/>
            </w:tcMar>
            <w:vAlign w:val="center"/>
          </w:tcPr>
          <w:p w:rsidR="0030796E" w:rsidP="00F407C0" w14:paraId="10F6E1E1" w14:textId="0FBC1B30">
            <w:pPr>
              <w:keepNext/>
              <w:suppressAutoHyphens/>
              <w:jc w:val="center"/>
              <w:rPr>
                <w:rFonts w:ascii="Arial" w:hAnsi="Arial" w:cs="Arial"/>
                <w:sz w:val="20"/>
                <w:szCs w:val="20"/>
              </w:rPr>
            </w:pPr>
            <w:r>
              <w:rPr>
                <w:rFonts w:ascii="Arial" w:hAnsi="Arial" w:cs="Arial"/>
                <w:sz w:val="20"/>
                <w:szCs w:val="20"/>
              </w:rPr>
              <w:t>$</w:t>
            </w:r>
            <w:r w:rsidR="00DB05A4">
              <w:rPr>
                <w:rFonts w:ascii="Arial" w:hAnsi="Arial" w:cs="Arial"/>
                <w:sz w:val="20"/>
                <w:szCs w:val="20"/>
              </w:rPr>
              <w:t>43.85</w:t>
            </w:r>
          </w:p>
        </w:tc>
        <w:tc>
          <w:tcPr>
            <w:tcW w:w="1530" w:type="dxa"/>
            <w:tcMar>
              <w:left w:w="29" w:type="dxa"/>
              <w:right w:w="29" w:type="dxa"/>
            </w:tcMar>
            <w:vAlign w:val="center"/>
          </w:tcPr>
          <w:p w:rsidR="0030796E" w:rsidP="00F407C0" w14:paraId="6A44230B" w14:textId="032B1679">
            <w:pPr>
              <w:keepNext/>
              <w:suppressAutoHyphens/>
              <w:jc w:val="center"/>
              <w:rPr>
                <w:rFonts w:ascii="Arial" w:hAnsi="Arial" w:cs="Arial"/>
                <w:sz w:val="20"/>
                <w:szCs w:val="20"/>
              </w:rPr>
            </w:pPr>
            <w:r>
              <w:rPr>
                <w:rFonts w:ascii="Arial" w:hAnsi="Arial" w:cs="Arial"/>
                <w:sz w:val="20"/>
                <w:szCs w:val="20"/>
              </w:rPr>
              <w:t>10 minutes</w:t>
            </w:r>
          </w:p>
        </w:tc>
        <w:tc>
          <w:tcPr>
            <w:tcW w:w="1080" w:type="dxa"/>
            <w:tcMar>
              <w:left w:w="29" w:type="dxa"/>
              <w:right w:w="29" w:type="dxa"/>
            </w:tcMar>
            <w:vAlign w:val="center"/>
          </w:tcPr>
          <w:p w:rsidR="0030796E" w:rsidP="00F407C0" w14:paraId="53014093" w14:textId="20D3B81D">
            <w:pPr>
              <w:keepNext/>
              <w:suppressAutoHyphens/>
              <w:jc w:val="center"/>
              <w:rPr>
                <w:rFonts w:ascii="Arial" w:hAnsi="Arial" w:cs="Arial"/>
                <w:sz w:val="20"/>
                <w:szCs w:val="20"/>
              </w:rPr>
            </w:pPr>
            <w:r>
              <w:rPr>
                <w:rFonts w:ascii="Arial" w:hAnsi="Arial" w:cs="Arial"/>
                <w:sz w:val="20"/>
                <w:szCs w:val="20"/>
              </w:rPr>
              <w:t>$</w:t>
            </w:r>
            <w:r w:rsidR="00DB05A4">
              <w:rPr>
                <w:rFonts w:ascii="Arial" w:hAnsi="Arial" w:cs="Arial"/>
                <w:sz w:val="20"/>
                <w:szCs w:val="20"/>
              </w:rPr>
              <w:t>7.31</w:t>
            </w:r>
          </w:p>
        </w:tc>
        <w:tc>
          <w:tcPr>
            <w:tcW w:w="1080" w:type="dxa"/>
            <w:tcMar>
              <w:left w:w="29" w:type="dxa"/>
              <w:right w:w="29" w:type="dxa"/>
            </w:tcMar>
            <w:vAlign w:val="center"/>
          </w:tcPr>
          <w:p w:rsidR="0030796E" w:rsidP="00F407C0" w14:paraId="72173099" w14:textId="5B2A46F1">
            <w:pPr>
              <w:keepNext/>
              <w:suppressAutoHyphens/>
              <w:jc w:val="center"/>
              <w:rPr>
                <w:rFonts w:ascii="Arial" w:hAnsi="Arial" w:cs="Arial"/>
                <w:sz w:val="20"/>
                <w:szCs w:val="20"/>
              </w:rPr>
            </w:pPr>
            <w:r>
              <w:rPr>
                <w:rFonts w:ascii="Arial" w:hAnsi="Arial" w:cs="Arial"/>
                <w:sz w:val="20"/>
                <w:szCs w:val="20"/>
              </w:rPr>
              <w:t>203,719</w:t>
            </w:r>
          </w:p>
        </w:tc>
        <w:tc>
          <w:tcPr>
            <w:tcW w:w="1350" w:type="dxa"/>
            <w:tcMar>
              <w:left w:w="29" w:type="dxa"/>
              <w:right w:w="29" w:type="dxa"/>
            </w:tcMar>
            <w:vAlign w:val="center"/>
          </w:tcPr>
          <w:p w:rsidR="0030796E" w:rsidP="00F407C0" w14:paraId="7EB05EAE" w14:textId="73676AFF">
            <w:pPr>
              <w:keepNext/>
              <w:suppressAutoHyphens/>
              <w:jc w:val="center"/>
              <w:rPr>
                <w:rFonts w:ascii="Arial" w:hAnsi="Arial" w:cs="Arial"/>
                <w:sz w:val="20"/>
                <w:szCs w:val="20"/>
              </w:rPr>
            </w:pPr>
            <w:r>
              <w:rPr>
                <w:rFonts w:ascii="Arial" w:hAnsi="Arial" w:cs="Arial"/>
                <w:sz w:val="20"/>
                <w:szCs w:val="20"/>
              </w:rPr>
              <w:t>$</w:t>
            </w:r>
            <w:r w:rsidRPr="00DB05A4" w:rsidR="00DB05A4">
              <w:rPr>
                <w:rFonts w:ascii="Arial" w:hAnsi="Arial" w:cs="Arial"/>
                <w:sz w:val="20"/>
                <w:szCs w:val="20"/>
              </w:rPr>
              <w:t>1,489,185.89</w:t>
            </w:r>
          </w:p>
        </w:tc>
      </w:tr>
      <w:tr w14:paraId="1BE9C8E0" w14:textId="77777777" w:rsidTr="00DB05A4">
        <w:tblPrEx>
          <w:tblW w:w="9085" w:type="dxa"/>
          <w:jc w:val="center"/>
          <w:tblLayout w:type="fixed"/>
          <w:tblLook w:val="04A0"/>
        </w:tblPrEx>
        <w:trPr>
          <w:trHeight w:val="683"/>
          <w:jc w:val="center"/>
        </w:trPr>
        <w:tc>
          <w:tcPr>
            <w:tcW w:w="2695" w:type="dxa"/>
            <w:tcMar>
              <w:left w:w="29" w:type="dxa"/>
              <w:right w:w="29" w:type="dxa"/>
            </w:tcMar>
            <w:vAlign w:val="center"/>
          </w:tcPr>
          <w:p w:rsidR="00CA455B" w:rsidP="00F407C0" w14:paraId="3ADC3B73" w14:textId="05939205">
            <w:pPr>
              <w:keepNext/>
              <w:suppressAutoHyphens/>
              <w:jc w:val="center"/>
              <w:rPr>
                <w:rFonts w:ascii="Arial" w:hAnsi="Arial" w:cs="Arial"/>
                <w:sz w:val="20"/>
                <w:szCs w:val="20"/>
              </w:rPr>
            </w:pPr>
            <w:r>
              <w:rPr>
                <w:rFonts w:ascii="Arial" w:hAnsi="Arial" w:cs="Arial"/>
                <w:sz w:val="20"/>
                <w:szCs w:val="20"/>
              </w:rPr>
              <w:t>Customer Service Specialist (GS–7 Step 5 for the locality pay area of Philadelphia</w:t>
            </w:r>
          </w:p>
        </w:tc>
        <w:tc>
          <w:tcPr>
            <w:tcW w:w="1350" w:type="dxa"/>
            <w:tcMar>
              <w:left w:w="29" w:type="dxa"/>
              <w:right w:w="29" w:type="dxa"/>
            </w:tcMar>
            <w:vAlign w:val="center"/>
          </w:tcPr>
          <w:p w:rsidR="00CA455B" w:rsidP="00F407C0" w14:paraId="2DE1873E" w14:textId="0309E288">
            <w:pPr>
              <w:keepNext/>
              <w:suppressAutoHyphens/>
              <w:jc w:val="center"/>
              <w:rPr>
                <w:rFonts w:ascii="Arial" w:hAnsi="Arial" w:cs="Arial"/>
                <w:sz w:val="20"/>
                <w:szCs w:val="20"/>
              </w:rPr>
            </w:pPr>
            <w:r>
              <w:rPr>
                <w:rFonts w:ascii="Arial" w:hAnsi="Arial" w:cs="Arial"/>
                <w:sz w:val="20"/>
                <w:szCs w:val="20"/>
              </w:rPr>
              <w:t>$</w:t>
            </w:r>
            <w:r w:rsidR="00DB05A4">
              <w:rPr>
                <w:rFonts w:ascii="Arial" w:hAnsi="Arial" w:cs="Arial"/>
                <w:sz w:val="20"/>
                <w:szCs w:val="20"/>
              </w:rPr>
              <w:t>48.74</w:t>
            </w:r>
          </w:p>
        </w:tc>
        <w:tc>
          <w:tcPr>
            <w:tcW w:w="1530" w:type="dxa"/>
            <w:tcMar>
              <w:left w:w="29" w:type="dxa"/>
              <w:right w:w="29" w:type="dxa"/>
            </w:tcMar>
            <w:vAlign w:val="center"/>
          </w:tcPr>
          <w:p w:rsidR="00CA455B" w:rsidP="00F407C0" w14:paraId="400E0E8B" w14:textId="490B21AE">
            <w:pPr>
              <w:keepNext/>
              <w:suppressAutoHyphens/>
              <w:jc w:val="center"/>
              <w:rPr>
                <w:rFonts w:ascii="Arial" w:hAnsi="Arial" w:cs="Arial"/>
                <w:sz w:val="20"/>
                <w:szCs w:val="20"/>
              </w:rPr>
            </w:pPr>
            <w:r>
              <w:rPr>
                <w:rFonts w:ascii="Arial" w:hAnsi="Arial" w:cs="Arial"/>
                <w:sz w:val="20"/>
                <w:szCs w:val="20"/>
              </w:rPr>
              <w:t>10 minutes</w:t>
            </w:r>
          </w:p>
        </w:tc>
        <w:tc>
          <w:tcPr>
            <w:tcW w:w="1080" w:type="dxa"/>
            <w:tcMar>
              <w:left w:w="29" w:type="dxa"/>
              <w:right w:w="29" w:type="dxa"/>
            </w:tcMar>
            <w:vAlign w:val="center"/>
          </w:tcPr>
          <w:p w:rsidR="00CA455B" w:rsidP="00F407C0" w14:paraId="7650CD19" w14:textId="586C9E06">
            <w:pPr>
              <w:keepNext/>
              <w:suppressAutoHyphens/>
              <w:jc w:val="center"/>
              <w:rPr>
                <w:rFonts w:ascii="Arial" w:hAnsi="Arial" w:cs="Arial"/>
                <w:sz w:val="20"/>
                <w:szCs w:val="20"/>
              </w:rPr>
            </w:pPr>
            <w:r>
              <w:rPr>
                <w:rFonts w:ascii="Arial" w:hAnsi="Arial" w:cs="Arial"/>
                <w:sz w:val="20"/>
                <w:szCs w:val="20"/>
              </w:rPr>
              <w:t>$</w:t>
            </w:r>
            <w:r w:rsidR="00DF7AAA">
              <w:rPr>
                <w:rFonts w:ascii="Arial" w:hAnsi="Arial" w:cs="Arial"/>
                <w:sz w:val="20"/>
                <w:szCs w:val="20"/>
              </w:rPr>
              <w:t>8.12</w:t>
            </w:r>
          </w:p>
        </w:tc>
        <w:tc>
          <w:tcPr>
            <w:tcW w:w="1080" w:type="dxa"/>
            <w:tcMar>
              <w:left w:w="29" w:type="dxa"/>
              <w:right w:w="29" w:type="dxa"/>
            </w:tcMar>
            <w:vAlign w:val="center"/>
          </w:tcPr>
          <w:p w:rsidR="00CA455B" w:rsidP="00F407C0" w14:paraId="14D939C9" w14:textId="4503F846">
            <w:pPr>
              <w:keepNext/>
              <w:suppressAutoHyphens/>
              <w:jc w:val="center"/>
              <w:rPr>
                <w:rFonts w:ascii="Arial" w:hAnsi="Arial" w:cs="Arial"/>
                <w:sz w:val="20"/>
                <w:szCs w:val="20"/>
              </w:rPr>
            </w:pPr>
            <w:r>
              <w:rPr>
                <w:rFonts w:ascii="Arial" w:hAnsi="Arial" w:cs="Arial"/>
                <w:sz w:val="20"/>
                <w:szCs w:val="20"/>
              </w:rPr>
              <w:t>203,719</w:t>
            </w:r>
          </w:p>
        </w:tc>
        <w:tc>
          <w:tcPr>
            <w:tcW w:w="1350" w:type="dxa"/>
            <w:tcMar>
              <w:left w:w="29" w:type="dxa"/>
              <w:right w:w="29" w:type="dxa"/>
            </w:tcMar>
            <w:vAlign w:val="center"/>
          </w:tcPr>
          <w:p w:rsidR="00CA455B" w:rsidP="00F407C0" w14:paraId="6C8A97AD" w14:textId="5023DB21">
            <w:pPr>
              <w:keepNext/>
              <w:suppressAutoHyphens/>
              <w:jc w:val="center"/>
              <w:rPr>
                <w:rFonts w:ascii="Arial" w:hAnsi="Arial" w:cs="Arial"/>
                <w:sz w:val="20"/>
                <w:szCs w:val="20"/>
              </w:rPr>
            </w:pPr>
            <w:r>
              <w:rPr>
                <w:rFonts w:ascii="Arial" w:hAnsi="Arial" w:cs="Arial"/>
                <w:sz w:val="20"/>
                <w:szCs w:val="20"/>
              </w:rPr>
              <w:t>$</w:t>
            </w:r>
            <w:r w:rsidRPr="00DF7AAA" w:rsidR="00DF7AAA">
              <w:rPr>
                <w:rFonts w:ascii="Arial" w:hAnsi="Arial" w:cs="Arial"/>
                <w:sz w:val="20"/>
                <w:szCs w:val="20"/>
              </w:rPr>
              <w:t>1,654,198.28</w:t>
            </w:r>
          </w:p>
        </w:tc>
      </w:tr>
      <w:tr w14:paraId="46778A7C" w14:textId="77777777" w:rsidTr="00DB05A4">
        <w:tblPrEx>
          <w:tblW w:w="9085" w:type="dxa"/>
          <w:jc w:val="center"/>
          <w:tblLayout w:type="fixed"/>
          <w:tblLook w:val="04A0"/>
        </w:tblPrEx>
        <w:trPr>
          <w:trHeight w:val="683"/>
          <w:jc w:val="center"/>
        </w:trPr>
        <w:tc>
          <w:tcPr>
            <w:tcW w:w="2695" w:type="dxa"/>
            <w:tcMar>
              <w:left w:w="29" w:type="dxa"/>
              <w:right w:w="29" w:type="dxa"/>
            </w:tcMar>
            <w:vAlign w:val="center"/>
          </w:tcPr>
          <w:p w:rsidR="00886445" w:rsidP="00F407C0" w14:paraId="14D26B54" w14:textId="77777777">
            <w:pPr>
              <w:keepNext/>
              <w:suppressAutoHyphens/>
              <w:jc w:val="center"/>
              <w:rPr>
                <w:rFonts w:ascii="Arial" w:hAnsi="Arial" w:cs="Arial"/>
                <w:sz w:val="20"/>
                <w:szCs w:val="20"/>
              </w:rPr>
            </w:pPr>
            <w:r>
              <w:rPr>
                <w:rFonts w:ascii="Arial" w:hAnsi="Arial" w:cs="Arial"/>
                <w:sz w:val="20"/>
                <w:szCs w:val="20"/>
              </w:rPr>
              <w:t xml:space="preserve">TOTAL </w:t>
            </w:r>
          </w:p>
        </w:tc>
        <w:tc>
          <w:tcPr>
            <w:tcW w:w="6390" w:type="dxa"/>
            <w:gridSpan w:val="5"/>
            <w:tcMar>
              <w:left w:w="29" w:type="dxa"/>
              <w:right w:w="29" w:type="dxa"/>
            </w:tcMar>
            <w:vAlign w:val="center"/>
          </w:tcPr>
          <w:p w:rsidR="00886445" w:rsidP="00886445" w14:paraId="09100409" w14:textId="641929B8">
            <w:pPr>
              <w:keepNext/>
              <w:suppressAutoHyphens/>
              <w:jc w:val="right"/>
              <w:rPr>
                <w:rFonts w:ascii="Arial" w:hAnsi="Arial" w:cs="Arial"/>
                <w:sz w:val="20"/>
                <w:szCs w:val="20"/>
              </w:rPr>
            </w:pPr>
            <w:bookmarkStart w:id="3" w:name="_Hlk99382643"/>
            <w:r>
              <w:rPr>
                <w:rFonts w:ascii="Arial" w:hAnsi="Arial" w:cs="Arial"/>
                <w:sz w:val="20"/>
                <w:szCs w:val="20"/>
              </w:rPr>
              <w:t>$</w:t>
            </w:r>
            <w:bookmarkEnd w:id="3"/>
            <w:r w:rsidRPr="00DF7AAA" w:rsidR="00DF7AAA">
              <w:rPr>
                <w:rFonts w:ascii="Arial" w:hAnsi="Arial" w:cs="Arial"/>
                <w:sz w:val="20"/>
                <w:szCs w:val="20"/>
              </w:rPr>
              <w:t>4,337,177.51</w:t>
            </w:r>
          </w:p>
        </w:tc>
      </w:tr>
    </w:tbl>
    <w:p w:rsidR="0030796E" w:rsidP="0030796E" w14:paraId="08707336" w14:textId="18F8A9BC">
      <w:pPr>
        <w:pStyle w:val="NoSpacing"/>
        <w:ind w:left="535" w:firstLine="5" w:leftChars="243"/>
        <w:rPr>
          <w:rFonts w:ascii="Times New Roman" w:hAnsi="Times New Roman"/>
          <w:b/>
          <w:bCs/>
          <w:sz w:val="24"/>
          <w:szCs w:val="24"/>
        </w:rPr>
      </w:pPr>
      <w:r>
        <w:rPr>
          <w:rFonts w:ascii="Times New Roman" w:hAnsi="Times New Roman"/>
          <w:sz w:val="24"/>
          <w:szCs w:val="24"/>
        </w:rPr>
        <w:t xml:space="preserve">                             </w:t>
      </w:r>
    </w:p>
    <w:p w:rsidR="00642857" w:rsidRPr="00AB6A41" w:rsidP="00FC153F" w14:paraId="5CE85B19" w14:textId="4ADA19D1">
      <w:pPr>
        <w:pStyle w:val="NoSpacing"/>
        <w:tabs>
          <w:tab w:val="left" w:pos="1260"/>
          <w:tab w:val="right" w:pos="7920"/>
        </w:tabs>
        <w:spacing w:after="240"/>
        <w:ind w:left="535" w:firstLine="4" w:leftChars="243" w:firstLineChars="2"/>
        <w:rPr>
          <w:rFonts w:ascii="Times New Roman" w:hAnsi="Times New Roman"/>
          <w:sz w:val="24"/>
          <w:szCs w:val="24"/>
        </w:rPr>
      </w:pPr>
      <w:r>
        <w:rPr>
          <w:rFonts w:ascii="Arial" w:hAnsi="Arial" w:cs="Arial"/>
          <w:sz w:val="18"/>
          <w:szCs w:val="18"/>
        </w:rPr>
        <w:t xml:space="preserve">Federal Government </w:t>
      </w:r>
      <w:r w:rsidRPr="00E942AE">
        <w:rPr>
          <w:rFonts w:ascii="Arial" w:hAnsi="Arial" w:cs="Arial"/>
          <w:sz w:val="18"/>
          <w:szCs w:val="18"/>
        </w:rPr>
        <w:t>Fully-loaded</w:t>
      </w:r>
      <w:r w:rsidRPr="00E942AE">
        <w:rPr>
          <w:rFonts w:ascii="Arial" w:hAnsi="Arial" w:cs="Arial"/>
          <w:sz w:val="18"/>
          <w:szCs w:val="18"/>
        </w:rPr>
        <w:t xml:space="preserve"> Labor Rate per Hour = Wage rate x </w:t>
      </w:r>
      <w:r>
        <w:rPr>
          <w:rFonts w:ascii="Arial" w:hAnsi="Arial" w:cs="Arial"/>
          <w:sz w:val="18"/>
          <w:szCs w:val="18"/>
        </w:rPr>
        <w:t xml:space="preserve">a factor of </w:t>
      </w:r>
      <w:r w:rsidRPr="00E942AE">
        <w:rPr>
          <w:rFonts w:ascii="Arial" w:hAnsi="Arial" w:cs="Arial"/>
          <w:sz w:val="18"/>
          <w:szCs w:val="18"/>
        </w:rPr>
        <w:t>1.</w:t>
      </w:r>
      <w:r>
        <w:rPr>
          <w:rFonts w:ascii="Arial" w:hAnsi="Arial" w:cs="Arial"/>
          <w:sz w:val="18"/>
          <w:szCs w:val="18"/>
        </w:rPr>
        <w:t>63</w:t>
      </w:r>
      <w:r w:rsidRPr="00E942AE">
        <w:rPr>
          <w:rFonts w:ascii="Arial" w:hAnsi="Arial" w:cs="Arial"/>
          <w:sz w:val="18"/>
          <w:szCs w:val="18"/>
        </w:rPr>
        <w:t xml:space="preserve"> to account for benefit costs.  Per the </w:t>
      </w:r>
      <w:r>
        <w:rPr>
          <w:rFonts w:ascii="Arial" w:hAnsi="Arial" w:cs="Arial"/>
          <w:sz w:val="18"/>
          <w:szCs w:val="18"/>
        </w:rPr>
        <w:t xml:space="preserve">Office of Personnel Management (OPM) wage data for Philadelphia, PA. </w:t>
      </w:r>
      <w:r w:rsidRPr="00E942AE">
        <w:rPr>
          <w:rFonts w:ascii="Arial" w:hAnsi="Arial" w:cs="Arial"/>
          <w:sz w:val="18"/>
          <w:szCs w:val="18"/>
        </w:rPr>
        <w:t xml:space="preserve">See the </w:t>
      </w:r>
      <w:r>
        <w:rPr>
          <w:rFonts w:ascii="Arial" w:hAnsi="Arial" w:cs="Arial"/>
          <w:sz w:val="18"/>
          <w:szCs w:val="18"/>
        </w:rPr>
        <w:t xml:space="preserve">OPM website at </w:t>
      </w:r>
      <w:r w:rsidRPr="00886445">
        <w:rPr>
          <w:rFonts w:ascii="Arial" w:hAnsi="Arial" w:cs="Arial"/>
          <w:sz w:val="18"/>
          <w:szCs w:val="18"/>
        </w:rPr>
        <w:t>https://www.opm.gov/policy-data-oversight/pay-leave/salaries-wages/salary-tables/22Tables/pdf/PHL_h.pdf</w:t>
      </w:r>
    </w:p>
    <w:p w:rsidR="00284B7F" w:rsidRPr="00AB6A41" w:rsidP="00AB6A41" w14:paraId="58FBB94E" w14:textId="77777777">
      <w:pPr>
        <w:pStyle w:val="NoSpacing"/>
        <w:numPr>
          <w:ilvl w:val="0"/>
          <w:numId w:val="5"/>
        </w:numPr>
        <w:tabs>
          <w:tab w:val="left" w:pos="540"/>
        </w:tabs>
        <w:ind w:left="535" w:hanging="535" w:hangingChars="223"/>
        <w:rPr>
          <w:rFonts w:ascii="Times New Roman" w:hAnsi="Times New Roman"/>
          <w:b/>
          <w:sz w:val="24"/>
          <w:szCs w:val="24"/>
        </w:rPr>
      </w:pPr>
      <w:r w:rsidRPr="00AB6A41">
        <w:rPr>
          <w:rFonts w:ascii="Times New Roman" w:hAnsi="Times New Roman"/>
          <w:b/>
          <w:sz w:val="24"/>
          <w:szCs w:val="24"/>
        </w:rPr>
        <w:t xml:space="preserve">Explain the reasons for any program changes or adjustments reported in Items 13 or 14 of </w:t>
      </w:r>
      <w:r w:rsidRPr="00AB6A41">
        <w:rPr>
          <w:rFonts w:ascii="Times New Roman" w:hAnsi="Times New Roman"/>
          <w:b/>
          <w:sz w:val="24"/>
          <w:szCs w:val="24"/>
        </w:rPr>
        <w:t>the OMB</w:t>
      </w:r>
      <w:r w:rsidRPr="00AB6A41">
        <w:rPr>
          <w:rFonts w:ascii="Times New Roman" w:hAnsi="Times New Roman"/>
          <w:b/>
          <w:sz w:val="24"/>
          <w:szCs w:val="24"/>
        </w:rPr>
        <w:t xml:space="preserve"> 83-1I.</w:t>
      </w:r>
    </w:p>
    <w:p w:rsidR="00284B7F" w:rsidP="00AB6A41" w14:paraId="4C00BC67" w14:textId="77777777">
      <w:pPr>
        <w:pStyle w:val="NoSpacing"/>
        <w:tabs>
          <w:tab w:val="left" w:pos="540"/>
        </w:tabs>
        <w:ind w:left="535" w:hanging="535" w:hangingChars="223"/>
        <w:rPr>
          <w:rFonts w:ascii="Times New Roman" w:hAnsi="Times New Roman"/>
          <w:sz w:val="24"/>
          <w:szCs w:val="24"/>
        </w:rPr>
      </w:pPr>
    </w:p>
    <w:p w:rsidR="00F17DC1" w:rsidP="00F17DC1" w14:paraId="534897CE" w14:textId="15F72B2E">
      <w:pPr>
        <w:pStyle w:val="NoSpacing"/>
        <w:ind w:left="540"/>
        <w:rPr>
          <w:rFonts w:ascii="Times New Roman" w:hAnsi="Times New Roman"/>
          <w:sz w:val="24"/>
          <w:szCs w:val="24"/>
        </w:rPr>
      </w:pPr>
      <w:r>
        <w:rPr>
          <w:rFonts w:ascii="Times New Roman" w:hAnsi="Times New Roman"/>
          <w:sz w:val="24"/>
          <w:szCs w:val="24"/>
        </w:rPr>
        <w:t>No changes or adjustments are reported.</w:t>
      </w:r>
    </w:p>
    <w:p w:rsidR="00284B7F" w:rsidRPr="00AB6A41" w:rsidP="00DE0CF9" w14:paraId="22F49241" w14:textId="77777777">
      <w:pPr>
        <w:pStyle w:val="NoSpacing"/>
        <w:tabs>
          <w:tab w:val="left" w:pos="540"/>
        </w:tabs>
        <w:ind w:left="535" w:hanging="535" w:hangingChars="223"/>
        <w:rPr>
          <w:rFonts w:ascii="Times New Roman" w:hAnsi="Times New Roman"/>
          <w:sz w:val="24"/>
          <w:szCs w:val="24"/>
        </w:rPr>
      </w:pPr>
    </w:p>
    <w:p w:rsidR="00284B7F" w:rsidRPr="00AB6A41" w:rsidP="00AB6A41" w14:paraId="1B9B87FB" w14:textId="77777777">
      <w:pPr>
        <w:pStyle w:val="NoSpacing"/>
        <w:numPr>
          <w:ilvl w:val="0"/>
          <w:numId w:val="5"/>
        </w:numPr>
        <w:tabs>
          <w:tab w:val="left" w:pos="540"/>
        </w:tabs>
        <w:ind w:left="535" w:hanging="535" w:hangingChars="223"/>
        <w:rPr>
          <w:rFonts w:ascii="Times New Roman" w:hAnsi="Times New Roman"/>
          <w:b/>
          <w:sz w:val="24"/>
          <w:szCs w:val="24"/>
        </w:rPr>
      </w:pPr>
      <w:r w:rsidRPr="00AB6A41">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84B7F" w:rsidRPr="00AB6A41" w:rsidP="00AB6A41" w14:paraId="38BC5CC9" w14:textId="77777777">
      <w:pPr>
        <w:pStyle w:val="NoSpacing"/>
        <w:tabs>
          <w:tab w:val="left" w:pos="540"/>
        </w:tabs>
        <w:ind w:left="535" w:hanging="535" w:hangingChars="223"/>
        <w:rPr>
          <w:rFonts w:ascii="Times New Roman" w:hAnsi="Times New Roman"/>
          <w:b/>
          <w:sz w:val="24"/>
          <w:szCs w:val="24"/>
        </w:rPr>
      </w:pPr>
    </w:p>
    <w:p w:rsidR="00284B7F" w:rsidRPr="00AB6A41" w:rsidP="00FC153F" w14:paraId="179B7DEE" w14:textId="7D273426">
      <w:pPr>
        <w:ind w:firstLine="537"/>
        <w:rPr>
          <w:rFonts w:ascii="Times New Roman" w:hAnsi="Times New Roman"/>
          <w:sz w:val="24"/>
          <w:szCs w:val="24"/>
        </w:rPr>
      </w:pPr>
      <w:r w:rsidRPr="00DE0CF9">
        <w:rPr>
          <w:rFonts w:ascii="Times New Roman" w:hAnsi="Times New Roman"/>
          <w:sz w:val="24"/>
          <w:szCs w:val="24"/>
        </w:rPr>
        <w:t>The results of the collection of this information will not be published for statistical use.</w:t>
      </w:r>
    </w:p>
    <w:p w:rsidR="00284B7F" w:rsidRPr="00AB6A41" w:rsidP="00AB6A41" w14:paraId="433AC0F1" w14:textId="77777777">
      <w:pPr>
        <w:pStyle w:val="NoSpacing"/>
        <w:tabs>
          <w:tab w:val="left" w:pos="540"/>
        </w:tabs>
        <w:ind w:left="535" w:hanging="535" w:hangingChars="223"/>
        <w:rPr>
          <w:rFonts w:ascii="Times New Roman" w:hAnsi="Times New Roman"/>
          <w:sz w:val="24"/>
          <w:szCs w:val="24"/>
        </w:rPr>
      </w:pPr>
    </w:p>
    <w:p w:rsidR="00284B7F" w:rsidRPr="00AB6A41" w:rsidP="00AB6A41" w14:paraId="4008C135" w14:textId="77777777">
      <w:pPr>
        <w:pStyle w:val="NoSpacing"/>
        <w:numPr>
          <w:ilvl w:val="0"/>
          <w:numId w:val="5"/>
        </w:numPr>
        <w:tabs>
          <w:tab w:val="left" w:pos="540"/>
        </w:tabs>
        <w:ind w:left="535" w:hanging="535" w:hangingChars="223"/>
        <w:rPr>
          <w:rFonts w:ascii="Times New Roman" w:hAnsi="Times New Roman"/>
          <w:b/>
          <w:sz w:val="24"/>
          <w:szCs w:val="24"/>
        </w:rPr>
      </w:pPr>
      <w:r w:rsidRPr="00AB6A41">
        <w:rPr>
          <w:rFonts w:ascii="Times New Roman" w:hAnsi="Times New Roman"/>
          <w:b/>
          <w:sz w:val="24"/>
          <w:szCs w:val="24"/>
        </w:rPr>
        <w:t>If seeking approval to not display the expiration date for OMB approval of the information collection, explain the reasons that display would be inappropriate.</w:t>
      </w:r>
    </w:p>
    <w:p w:rsidR="00284B7F" w:rsidRPr="00AB6A41" w:rsidP="00AB6A41" w14:paraId="2AE8D80F" w14:textId="77777777">
      <w:pPr>
        <w:pStyle w:val="NoSpacing"/>
        <w:tabs>
          <w:tab w:val="left" w:pos="540"/>
        </w:tabs>
        <w:ind w:left="535" w:hanging="535" w:hangingChars="223"/>
        <w:rPr>
          <w:rFonts w:ascii="Times New Roman" w:hAnsi="Times New Roman"/>
          <w:sz w:val="24"/>
          <w:szCs w:val="24"/>
        </w:rPr>
      </w:pPr>
      <w:r w:rsidRPr="00AB6A41">
        <w:rPr>
          <w:rFonts w:ascii="Times New Roman" w:hAnsi="Times New Roman"/>
          <w:sz w:val="24"/>
          <w:szCs w:val="24"/>
        </w:rPr>
        <w:tab/>
      </w:r>
    </w:p>
    <w:p w:rsidR="00284B7F" w:rsidRPr="00AB6A41" w:rsidP="00AB6A41" w14:paraId="41B58E11" w14:textId="77777777">
      <w:pPr>
        <w:pStyle w:val="NoSpacing"/>
        <w:tabs>
          <w:tab w:val="left" w:pos="540"/>
        </w:tabs>
        <w:ind w:left="535" w:hanging="535" w:hangingChars="223"/>
        <w:rPr>
          <w:rFonts w:ascii="Times New Roman" w:hAnsi="Times New Roman"/>
          <w:sz w:val="24"/>
          <w:szCs w:val="24"/>
        </w:rPr>
      </w:pPr>
      <w:r w:rsidRPr="00AB6A41">
        <w:rPr>
          <w:rFonts w:ascii="Times New Roman" w:hAnsi="Times New Roman"/>
          <w:sz w:val="24"/>
          <w:szCs w:val="24"/>
        </w:rPr>
        <w:tab/>
        <w:t>We believe the public interest will be better served by not printing an expiration date on the form</w:t>
      </w:r>
      <w:r w:rsidR="00DE0CF9">
        <w:rPr>
          <w:rFonts w:ascii="Times New Roman" w:hAnsi="Times New Roman"/>
          <w:sz w:val="24"/>
          <w:szCs w:val="24"/>
        </w:rPr>
        <w:t>s</w:t>
      </w:r>
      <w:r w:rsidRPr="00AB6A41">
        <w:rPr>
          <w:rFonts w:ascii="Times New Roman" w:hAnsi="Times New Roman"/>
          <w:sz w:val="24"/>
          <w:szCs w:val="24"/>
        </w:rPr>
        <w:t xml:space="preserve">. </w:t>
      </w:r>
    </w:p>
    <w:p w:rsidR="00284B7F" w:rsidRPr="00AB6A41" w:rsidP="00AB6A41" w14:paraId="6D17FB1D" w14:textId="77777777">
      <w:pPr>
        <w:pStyle w:val="NoSpacing"/>
        <w:tabs>
          <w:tab w:val="left" w:pos="540"/>
        </w:tabs>
        <w:ind w:left="535" w:hanging="535" w:hangingChars="223"/>
        <w:rPr>
          <w:rFonts w:ascii="Times New Roman" w:hAnsi="Times New Roman"/>
          <w:sz w:val="24"/>
          <w:szCs w:val="24"/>
        </w:rPr>
      </w:pPr>
    </w:p>
    <w:p w:rsidR="00284B7F" w:rsidRPr="00AB6A41" w:rsidP="00AB6A41" w14:paraId="4C0978AD" w14:textId="77777777">
      <w:pPr>
        <w:pStyle w:val="NoSpacing"/>
        <w:tabs>
          <w:tab w:val="left" w:pos="540"/>
        </w:tabs>
        <w:ind w:left="535" w:hanging="535" w:hangingChars="223"/>
        <w:rPr>
          <w:rFonts w:ascii="Times New Roman" w:hAnsi="Times New Roman"/>
          <w:sz w:val="24"/>
          <w:szCs w:val="24"/>
        </w:rPr>
      </w:pPr>
      <w:r w:rsidRPr="00AB6A41">
        <w:rPr>
          <w:rFonts w:ascii="Times New Roman" w:hAnsi="Times New Roman"/>
          <w:sz w:val="24"/>
          <w:szCs w:val="24"/>
        </w:rPr>
        <w:tab/>
        <w:t>Printing the expiration date on the for</w:t>
      </w:r>
      <w:r w:rsidR="00DE0CF9">
        <w:rPr>
          <w:rFonts w:ascii="Times New Roman" w:hAnsi="Times New Roman"/>
          <w:sz w:val="24"/>
          <w:szCs w:val="24"/>
        </w:rPr>
        <w:t>ms</w:t>
      </w:r>
      <w:r w:rsidRPr="00AB6A41">
        <w:rPr>
          <w:rFonts w:ascii="Times New Roman" w:hAnsi="Times New Roman"/>
          <w:sz w:val="24"/>
          <w:szCs w:val="24"/>
        </w:rPr>
        <w:t xml:space="preserve"> will result in increased costs because of the need to replace inventories that become obsolete by passage of the expiration date each time </w:t>
      </w:r>
      <w:r w:rsidRPr="00AB6A41">
        <w:rPr>
          <w:rFonts w:ascii="Times New Roman" w:hAnsi="Times New Roman"/>
          <w:sz w:val="24"/>
          <w:szCs w:val="24"/>
        </w:rPr>
        <w:t xml:space="preserve">OMB approval is needed. </w:t>
      </w:r>
      <w:r w:rsidR="00642857">
        <w:rPr>
          <w:rFonts w:ascii="Times New Roman" w:hAnsi="Times New Roman"/>
          <w:sz w:val="24"/>
          <w:szCs w:val="24"/>
        </w:rPr>
        <w:t xml:space="preserve"> </w:t>
      </w:r>
      <w:r w:rsidRPr="00AB6A41">
        <w:rPr>
          <w:rFonts w:ascii="Times New Roman" w:hAnsi="Times New Roman"/>
          <w:sz w:val="24"/>
          <w:szCs w:val="24"/>
        </w:rPr>
        <w:t>Without printing the expiration date, supplies of the form could continue to be used.</w:t>
      </w:r>
    </w:p>
    <w:p w:rsidR="00284B7F" w:rsidRPr="00AB6A41" w:rsidP="00AB6A41" w14:paraId="2267697A" w14:textId="77777777">
      <w:pPr>
        <w:pStyle w:val="NoSpacing"/>
        <w:tabs>
          <w:tab w:val="left" w:pos="540"/>
        </w:tabs>
        <w:ind w:left="535" w:hanging="535" w:hangingChars="223"/>
        <w:rPr>
          <w:rFonts w:ascii="Times New Roman" w:hAnsi="Times New Roman"/>
          <w:sz w:val="24"/>
          <w:szCs w:val="24"/>
        </w:rPr>
      </w:pPr>
    </w:p>
    <w:p w:rsidR="00284B7F" w:rsidRPr="00AB6A41" w:rsidP="00AB6A41" w14:paraId="744644FC" w14:textId="77777777">
      <w:pPr>
        <w:pStyle w:val="NoSpacing"/>
        <w:tabs>
          <w:tab w:val="left" w:pos="540"/>
        </w:tabs>
        <w:ind w:left="535" w:hanging="535" w:hangingChars="223"/>
        <w:rPr>
          <w:rFonts w:ascii="Times New Roman" w:hAnsi="Times New Roman"/>
          <w:sz w:val="24"/>
          <w:szCs w:val="24"/>
        </w:rPr>
      </w:pPr>
      <w:r w:rsidRPr="00AB6A41">
        <w:rPr>
          <w:rFonts w:ascii="Times New Roman" w:hAnsi="Times New Roman"/>
          <w:sz w:val="24"/>
          <w:szCs w:val="24"/>
        </w:rPr>
        <w:tab/>
        <w:t xml:space="preserve">Not printing the expiration date on the form will also avoid confusion among users who may have identical forms with different expiration dates in their possession. </w:t>
      </w:r>
    </w:p>
    <w:p w:rsidR="00284B7F" w:rsidRPr="00AB6A41" w:rsidP="00AB6A41" w14:paraId="46D16551" w14:textId="77777777">
      <w:pPr>
        <w:pStyle w:val="NoSpacing"/>
        <w:tabs>
          <w:tab w:val="left" w:pos="540"/>
        </w:tabs>
        <w:ind w:left="535" w:hanging="535" w:hangingChars="223"/>
        <w:rPr>
          <w:rFonts w:ascii="Times New Roman" w:hAnsi="Times New Roman"/>
          <w:sz w:val="24"/>
          <w:szCs w:val="24"/>
        </w:rPr>
      </w:pPr>
    </w:p>
    <w:p w:rsidR="00284B7F" w:rsidRPr="00AB6A41" w:rsidP="00AB6A41" w14:paraId="6A28B24F" w14:textId="1E1EF7E5">
      <w:pPr>
        <w:pStyle w:val="NoSpacing"/>
        <w:tabs>
          <w:tab w:val="left" w:pos="540"/>
        </w:tabs>
        <w:ind w:left="535" w:hanging="535" w:hangingChars="223"/>
        <w:rPr>
          <w:rFonts w:ascii="Times New Roman" w:hAnsi="Times New Roman"/>
          <w:sz w:val="24"/>
          <w:szCs w:val="24"/>
        </w:rPr>
      </w:pPr>
      <w:r w:rsidRPr="00AB6A41">
        <w:rPr>
          <w:rFonts w:ascii="Times New Roman" w:hAnsi="Times New Roman"/>
          <w:sz w:val="24"/>
          <w:szCs w:val="24"/>
        </w:rPr>
        <w:tab/>
        <w:t>For the above reasons, we request authorization to omit printing the expiration date on this form and permission to use previous versions of F</w:t>
      </w:r>
      <w:r w:rsidR="00DE0CF9">
        <w:rPr>
          <w:rFonts w:ascii="Times New Roman" w:hAnsi="Times New Roman"/>
          <w:sz w:val="24"/>
          <w:szCs w:val="24"/>
        </w:rPr>
        <w:t>S Form 150.1</w:t>
      </w:r>
    </w:p>
    <w:p w:rsidR="00284B7F" w:rsidRPr="00AB6A41" w:rsidP="00AB6A41" w14:paraId="364D7164" w14:textId="77777777">
      <w:pPr>
        <w:pStyle w:val="NoSpacing"/>
        <w:tabs>
          <w:tab w:val="left" w:pos="540"/>
        </w:tabs>
        <w:ind w:left="535" w:hanging="535" w:hangingChars="223"/>
        <w:rPr>
          <w:rFonts w:ascii="Times New Roman" w:hAnsi="Times New Roman"/>
          <w:sz w:val="24"/>
          <w:szCs w:val="24"/>
        </w:rPr>
      </w:pPr>
    </w:p>
    <w:p w:rsidR="00284B7F" w:rsidRPr="00AB6A41" w:rsidP="00AB6A41" w14:paraId="5403EA5C" w14:textId="77777777">
      <w:pPr>
        <w:pStyle w:val="NoSpacing"/>
        <w:numPr>
          <w:ilvl w:val="0"/>
          <w:numId w:val="5"/>
        </w:numPr>
        <w:tabs>
          <w:tab w:val="left" w:pos="540"/>
        </w:tabs>
        <w:ind w:left="535" w:hanging="535" w:hangingChars="223"/>
        <w:rPr>
          <w:rFonts w:ascii="Times New Roman" w:hAnsi="Times New Roman"/>
          <w:b/>
          <w:sz w:val="24"/>
          <w:szCs w:val="24"/>
        </w:rPr>
      </w:pPr>
      <w:r w:rsidRPr="00AB6A41">
        <w:rPr>
          <w:rFonts w:ascii="Times New Roman" w:hAnsi="Times New Roman"/>
          <w:b/>
          <w:sz w:val="24"/>
          <w:szCs w:val="24"/>
        </w:rPr>
        <w:t>Explain each exception to the certification statement identified in Item 19, “Certification for Paperwork Reduction Act Submissions,” of OMB Form 83-I.</w:t>
      </w:r>
    </w:p>
    <w:p w:rsidR="00284B7F" w:rsidRPr="00DE0CF9" w:rsidP="00DE0CF9" w14:paraId="3542ADE1" w14:textId="77777777">
      <w:pPr>
        <w:pStyle w:val="NoSpacing"/>
        <w:tabs>
          <w:tab w:val="left" w:pos="540"/>
        </w:tabs>
        <w:ind w:left="624" w:hanging="624" w:hangingChars="223"/>
        <w:rPr>
          <w:rFonts w:ascii="Times New Roman" w:hAnsi="Times New Roman"/>
          <w:sz w:val="28"/>
          <w:szCs w:val="24"/>
        </w:rPr>
      </w:pPr>
    </w:p>
    <w:p w:rsidR="00284B7F" w:rsidRPr="00DE0CF9" w:rsidP="00DE0CF9" w14:paraId="5A155E23" w14:textId="77777777">
      <w:pPr>
        <w:pStyle w:val="NoSpacing"/>
        <w:tabs>
          <w:tab w:val="left" w:pos="540"/>
        </w:tabs>
        <w:ind w:left="624" w:hanging="624" w:hangingChars="223"/>
        <w:rPr>
          <w:rFonts w:ascii="Times New Roman" w:hAnsi="Times New Roman"/>
          <w:sz w:val="28"/>
          <w:szCs w:val="24"/>
        </w:rPr>
      </w:pPr>
      <w:r w:rsidRPr="00DE0CF9">
        <w:rPr>
          <w:rFonts w:ascii="Times New Roman" w:hAnsi="Times New Roman"/>
          <w:sz w:val="28"/>
          <w:szCs w:val="24"/>
        </w:rPr>
        <w:tab/>
      </w:r>
      <w:r w:rsidRPr="00DE0CF9" w:rsidR="00DE0CF9">
        <w:rPr>
          <w:rFonts w:ascii="Times New Roman" w:hAnsi="Times New Roman"/>
          <w:bCs/>
          <w:sz w:val="24"/>
        </w:rPr>
        <w:t>There are no exceptions to the certification statement.</w:t>
      </w:r>
    </w:p>
    <w:p w:rsidR="00284B7F" w:rsidRPr="00AB6A41" w:rsidP="00AB6A41" w14:paraId="00C956E9" w14:textId="77777777">
      <w:pPr>
        <w:pStyle w:val="NoSpacing"/>
        <w:tabs>
          <w:tab w:val="left" w:pos="540"/>
        </w:tabs>
        <w:ind w:left="535" w:hanging="535" w:hangingChars="223"/>
        <w:rPr>
          <w:rFonts w:ascii="Times New Roman" w:hAnsi="Times New Roman"/>
          <w:sz w:val="24"/>
          <w:szCs w:val="24"/>
        </w:rPr>
      </w:pPr>
    </w:p>
    <w:p w:rsidR="00284B7F" w:rsidRPr="00AB6A41" w:rsidP="00AB6A41" w14:paraId="4717D53A" w14:textId="77777777">
      <w:pPr>
        <w:pStyle w:val="NoSpacing"/>
        <w:numPr>
          <w:ilvl w:val="0"/>
          <w:numId w:val="2"/>
        </w:numPr>
        <w:tabs>
          <w:tab w:val="left" w:pos="540"/>
        </w:tabs>
        <w:ind w:left="535" w:hanging="535" w:hangingChars="223"/>
        <w:rPr>
          <w:rFonts w:ascii="Times New Roman" w:hAnsi="Times New Roman"/>
          <w:b/>
          <w:sz w:val="24"/>
          <w:szCs w:val="24"/>
        </w:rPr>
      </w:pPr>
      <w:r w:rsidRPr="00AB6A41">
        <w:rPr>
          <w:rFonts w:ascii="Times New Roman" w:hAnsi="Times New Roman"/>
          <w:b/>
          <w:sz w:val="24"/>
          <w:szCs w:val="24"/>
          <w:u w:val="thick"/>
        </w:rPr>
        <w:t>Collections of Information Employing Statistical Methods</w:t>
      </w:r>
    </w:p>
    <w:p w:rsidR="00284B7F" w:rsidRPr="00AB6A41" w:rsidP="00AB6A41" w14:paraId="785BEED4" w14:textId="77777777">
      <w:pPr>
        <w:pStyle w:val="NoSpacing"/>
        <w:tabs>
          <w:tab w:val="left" w:pos="540"/>
        </w:tabs>
        <w:ind w:left="535" w:hanging="535" w:hangingChars="223"/>
        <w:rPr>
          <w:rFonts w:ascii="Times New Roman" w:hAnsi="Times New Roman"/>
          <w:b/>
          <w:sz w:val="24"/>
          <w:szCs w:val="24"/>
        </w:rPr>
      </w:pPr>
    </w:p>
    <w:p w:rsidR="00284B7F" w:rsidRPr="00DE0CF9" w:rsidP="00DE0CF9" w14:paraId="79E641BC" w14:textId="77777777">
      <w:pPr>
        <w:pStyle w:val="NoSpacing"/>
        <w:tabs>
          <w:tab w:val="left" w:pos="540"/>
        </w:tabs>
        <w:ind w:left="624" w:hanging="624" w:hangingChars="223"/>
        <w:rPr>
          <w:rFonts w:ascii="Times New Roman" w:hAnsi="Times New Roman"/>
          <w:sz w:val="28"/>
          <w:szCs w:val="24"/>
        </w:rPr>
      </w:pPr>
      <w:r w:rsidRPr="00DE0CF9">
        <w:rPr>
          <w:rFonts w:ascii="Times New Roman" w:hAnsi="Times New Roman"/>
          <w:sz w:val="28"/>
          <w:szCs w:val="24"/>
        </w:rPr>
        <w:tab/>
      </w:r>
      <w:r w:rsidRPr="00DE0CF9" w:rsidR="00DE0CF9">
        <w:rPr>
          <w:rFonts w:ascii="Times New Roman" w:hAnsi="Times New Roman"/>
          <w:bCs/>
          <w:sz w:val="24"/>
        </w:rPr>
        <w:t>This collection does not employ statistical methods.</w:t>
      </w:r>
      <w:r w:rsidRPr="00DE0CF9" w:rsidR="00DE0CF9">
        <w:rPr>
          <w:rFonts w:ascii="Times New Roman" w:hAnsi="Times New Roman"/>
          <w:sz w:val="24"/>
        </w:rPr>
        <w:t xml:space="preserve">  </w:t>
      </w:r>
    </w:p>
    <w:sectPr w:rsidSect="006C0BE3">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A41" w:rsidRPr="00AB6A41" w14:paraId="783543CA" w14:textId="77777777">
    <w:pPr>
      <w:pStyle w:val="Footer"/>
      <w:jc w:val="right"/>
      <w:rPr>
        <w:rFonts w:ascii="Times New Roman" w:hAnsi="Times New Roman"/>
        <w:sz w:val="24"/>
        <w:szCs w:val="24"/>
      </w:rPr>
    </w:pPr>
    <w:r w:rsidRPr="00AB6A41">
      <w:rPr>
        <w:rFonts w:ascii="Times New Roman" w:hAnsi="Times New Roman"/>
        <w:sz w:val="24"/>
        <w:szCs w:val="24"/>
      </w:rPr>
      <w:fldChar w:fldCharType="begin"/>
    </w:r>
    <w:r w:rsidRPr="00AB6A41">
      <w:rPr>
        <w:rFonts w:ascii="Times New Roman" w:hAnsi="Times New Roman"/>
        <w:sz w:val="24"/>
        <w:szCs w:val="24"/>
      </w:rPr>
      <w:instrText xml:space="preserve"> PAGE   \* MERGEFORMAT </w:instrText>
    </w:r>
    <w:r w:rsidRPr="00AB6A41">
      <w:rPr>
        <w:rFonts w:ascii="Times New Roman" w:hAnsi="Times New Roman"/>
        <w:sz w:val="24"/>
        <w:szCs w:val="24"/>
      </w:rPr>
      <w:fldChar w:fldCharType="separate"/>
    </w:r>
    <w:r w:rsidR="002014BB">
      <w:rPr>
        <w:rFonts w:ascii="Times New Roman" w:hAnsi="Times New Roman"/>
        <w:noProof/>
        <w:sz w:val="24"/>
        <w:szCs w:val="24"/>
      </w:rPr>
      <w:t>1</w:t>
    </w:r>
    <w:r w:rsidRPr="00AB6A41">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6A41" w:rsidP="00AB6A41" w14:paraId="1174B9EB" w14:textId="77777777">
      <w:pPr>
        <w:spacing w:after="0" w:line="240" w:lineRule="auto"/>
      </w:pPr>
      <w:r>
        <w:separator/>
      </w:r>
    </w:p>
  </w:footnote>
  <w:footnote w:type="continuationSeparator" w:id="1">
    <w:p w:rsidR="00AB6A41" w:rsidP="00AB6A41" w14:paraId="009718FE" w14:textId="77777777">
      <w:pPr>
        <w:spacing w:after="0" w:line="240" w:lineRule="auto"/>
      </w:pPr>
      <w:r>
        <w:continuationSeparator/>
      </w:r>
    </w:p>
  </w:footnote>
  <w:footnote w:id="2">
    <w:p w:rsidR="00500B4D" w:rsidP="00500B4D" w14:paraId="2A47CE9F" w14:textId="6F18F6BD">
      <w:pPr>
        <w:pStyle w:val="FootnoteText"/>
        <w:rPr>
          <w:sz w:val="20"/>
          <w:szCs w:val="20"/>
        </w:rPr>
      </w:pPr>
      <w:r>
        <w:rPr>
          <w:rStyle w:val="FootnoteReference"/>
          <w:sz w:val="20"/>
          <w:szCs w:val="20"/>
        </w:rPr>
        <w:footnoteRef/>
      </w:r>
      <w:r>
        <w:rPr>
          <w:sz w:val="20"/>
          <w:szCs w:val="20"/>
        </w:rPr>
        <w:t xml:space="preserve"> It is expected that respondents to this collection could be from the field of Business and Financial Operations with an average wage rate of $</w:t>
      </w:r>
      <w:r w:rsidR="00DB05A4">
        <w:rPr>
          <w:sz w:val="20"/>
          <w:szCs w:val="20"/>
        </w:rPr>
        <w:t>43.55</w:t>
      </w:r>
      <w:r>
        <w:rPr>
          <w:sz w:val="20"/>
          <w:szCs w:val="20"/>
        </w:rPr>
        <w:t xml:space="preserve"> according to the May 202</w:t>
      </w:r>
      <w:r w:rsidR="00DB05A4">
        <w:rPr>
          <w:sz w:val="20"/>
          <w:szCs w:val="20"/>
        </w:rPr>
        <w:t>3</w:t>
      </w:r>
      <w:r>
        <w:rPr>
          <w:sz w:val="20"/>
          <w:szCs w:val="20"/>
        </w:rPr>
        <w:t xml:space="preserve"> National Occupational Employment and Wage Estimates.  </w:t>
      </w:r>
      <w:hyperlink r:id="rId1" w:history="1">
        <w:r>
          <w:rPr>
            <w:rStyle w:val="Hyperlink"/>
            <w:sz w:val="20"/>
            <w:szCs w:val="20"/>
          </w:rPr>
          <w:t>https://www.bls.gov/oes/current/oes_nat.htm</w:t>
        </w:r>
      </w:hyperlink>
      <w:r>
        <w:rPr>
          <w:sz w:val="20"/>
          <w:szCs w:val="20"/>
        </w:rPr>
        <w:t xml:space="preserve">   A benefit multiplier of 1.44 is used to calculate a </w:t>
      </w:r>
      <w:r>
        <w:rPr>
          <w:sz w:val="20"/>
          <w:szCs w:val="20"/>
        </w:rPr>
        <w:t>fully-loaded</w:t>
      </w:r>
      <w:r>
        <w:rPr>
          <w:sz w:val="20"/>
          <w:szCs w:val="20"/>
        </w:rPr>
        <w:t xml:space="preserve"> wage rate of $</w:t>
      </w:r>
      <w:r w:rsidR="00DB05A4">
        <w:rPr>
          <w:sz w:val="20"/>
          <w:szCs w:val="20"/>
        </w:rPr>
        <w:t>43.55</w:t>
      </w:r>
      <w:r>
        <w:rPr>
          <w:sz w:val="20"/>
          <w:szCs w:val="20"/>
        </w:rPr>
        <w:t>*1.44=$</w:t>
      </w:r>
      <w:r w:rsidR="00DB05A4">
        <w:rPr>
          <w:sz w:val="20"/>
          <w:szCs w:val="20"/>
        </w:rPr>
        <w:t>62.71</w:t>
      </w:r>
    </w:p>
    <w:p w:rsidR="00500B4D" w:rsidP="00500B4D" w14:paraId="1FCE63E9" w14:textId="77777777">
      <w:pPr>
        <w:pStyle w:val="FootnoteText"/>
        <w:rPr>
          <w:sz w:val="20"/>
          <w:szCs w:val="20"/>
        </w:rPr>
      </w:pPr>
    </w:p>
    <w:p w:rsidR="00500B4D" w:rsidP="00500B4D" w14:paraId="41AF9B0A" w14:textId="464052E9">
      <w:pPr>
        <w:pStyle w:val="FootnoteText"/>
      </w:pPr>
      <w:r>
        <w:rPr>
          <w:sz w:val="20"/>
          <w:szCs w:val="20"/>
        </w:rPr>
        <w:t xml:space="preserve">Using the BLS Employer Costs for Employee Compensation – March 2020 report </w:t>
      </w:r>
      <w:hyperlink r:id="rId2" w:history="1">
        <w:r>
          <w:rPr>
            <w:rStyle w:val="Hyperlink"/>
            <w:sz w:val="20"/>
            <w:szCs w:val="20"/>
          </w:rPr>
          <w:t>https://www.bls.gov/news.release/pdf/ecec.pdf</w:t>
        </w:r>
      </w:hyperlink>
      <w:r>
        <w:rPr>
          <w:sz w:val="20"/>
          <w:szCs w:val="20"/>
        </w:rPr>
        <w:t>, a benefit multiplier of 1.44 was calculated by taking the private industry worker 50</w:t>
      </w:r>
      <w:r>
        <w:rPr>
          <w:sz w:val="20"/>
          <w:szCs w:val="20"/>
          <w:vertAlign w:val="superscript"/>
        </w:rPr>
        <w:t>th</w:t>
      </w:r>
      <w:r>
        <w:rPr>
          <w:sz w:val="20"/>
          <w:szCs w:val="20"/>
        </w:rPr>
        <w:t xml:space="preserve"> (median) wage percentile total compensation rate divided by the wages and salaries rate.  $26/$18.05=1.44  </w:t>
      </w:r>
    </w:p>
  </w:footnote>
  <w:footnote w:id="3">
    <w:p w:rsidR="0030796E" w:rsidRPr="00E942AE" w:rsidP="0030796E" w14:paraId="7308A03E" w14:textId="77777777">
      <w:pPr>
        <w:suppressAutoHyphens/>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493E6D"/>
    <w:multiLevelType w:val="hybridMultilevel"/>
    <w:tmpl w:val="02B2D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18A700B6"/>
    <w:multiLevelType w:val="hybridMultilevel"/>
    <w:tmpl w:val="248C7E10"/>
    <w:lvl w:ilvl="0">
      <w:start w:val="1"/>
      <w:numFmt w:val="decimal"/>
      <w:lvlText w:val="%1."/>
      <w:lvlJc w:val="left"/>
      <w:pPr>
        <w:ind w:left="1080" w:hanging="360"/>
      </w:pPr>
      <w:rPr>
        <w:rFonts w:cs="Times New Roman" w:hint="default"/>
        <w:sz w:val="24"/>
        <w:szCs w:val="24"/>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
    <w:nsid w:val="370907B5"/>
    <w:multiLevelType w:val="hybridMultilevel"/>
    <w:tmpl w:val="B02AC832"/>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3AD36C27"/>
    <w:multiLevelType w:val="hybridMultilevel"/>
    <w:tmpl w:val="C8FCEFB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422D7862"/>
    <w:multiLevelType w:val="hybridMultilevel"/>
    <w:tmpl w:val="A954991A"/>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48040EF4"/>
    <w:multiLevelType w:val="hybridMultilevel"/>
    <w:tmpl w:val="53B263C6"/>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4D0E5A6D"/>
    <w:multiLevelType w:val="hybridMultilevel"/>
    <w:tmpl w:val="547224DA"/>
    <w:lvl w:ilvl="0">
      <w:start w:val="1"/>
      <w:numFmt w:val="decimal"/>
      <w:lvlText w:val="%1."/>
      <w:lvlJc w:val="left"/>
      <w:pPr>
        <w:ind w:left="1800" w:hanging="360"/>
      </w:pPr>
      <w:rPr>
        <w:rFonts w:cs="Times New Roman" w:hint="default"/>
        <w:b/>
      </w:rPr>
    </w:lvl>
    <w:lvl w:ilvl="1" w:tentative="1">
      <w:start w:val="1"/>
      <w:numFmt w:val="lowerLetter"/>
      <w:lvlText w:val="%2."/>
      <w:lvlJc w:val="left"/>
      <w:pPr>
        <w:ind w:left="2520" w:hanging="360"/>
      </w:pPr>
      <w:rPr>
        <w:rFonts w:cs="Times New Roman"/>
      </w:r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8">
    <w:nsid w:val="5E2F07F4"/>
    <w:multiLevelType w:val="hybridMultilevel"/>
    <w:tmpl w:val="98768A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7DD5DC8"/>
    <w:multiLevelType w:val="hybridMultilevel"/>
    <w:tmpl w:val="FEFA444E"/>
    <w:lvl w:ilvl="0">
      <w:start w:val="1"/>
      <w:numFmt w:val="decimal"/>
      <w:lvlText w:val="%1."/>
      <w:lvlJc w:val="left"/>
      <w:pPr>
        <w:ind w:left="1800" w:hanging="360"/>
      </w:pPr>
      <w:rPr>
        <w:rFonts w:cs="Times New Roman"/>
      </w:rPr>
    </w:lvl>
    <w:lvl w:ilvl="1" w:tentative="1">
      <w:start w:val="1"/>
      <w:numFmt w:val="lowerLetter"/>
      <w:lvlText w:val="%2."/>
      <w:lvlJc w:val="left"/>
      <w:pPr>
        <w:ind w:left="2520" w:hanging="360"/>
      </w:pPr>
      <w:rPr>
        <w:rFonts w:cs="Times New Roman"/>
      </w:r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10">
    <w:nsid w:val="7B4A0D27"/>
    <w:multiLevelType w:val="hybridMultilevel"/>
    <w:tmpl w:val="8676DAC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14704263">
    <w:abstractNumId w:val="5"/>
  </w:num>
  <w:num w:numId="2" w16cid:durableId="1090350441">
    <w:abstractNumId w:val="6"/>
  </w:num>
  <w:num w:numId="3" w16cid:durableId="1950504867">
    <w:abstractNumId w:val="3"/>
  </w:num>
  <w:num w:numId="4" w16cid:durableId="886915934">
    <w:abstractNumId w:val="4"/>
  </w:num>
  <w:num w:numId="5" w16cid:durableId="1754735553">
    <w:abstractNumId w:val="2"/>
  </w:num>
  <w:num w:numId="6" w16cid:durableId="1886982226">
    <w:abstractNumId w:val="7"/>
  </w:num>
  <w:num w:numId="7" w16cid:durableId="14549102">
    <w:abstractNumId w:val="9"/>
  </w:num>
  <w:num w:numId="8" w16cid:durableId="451635477">
    <w:abstractNumId w:val="1"/>
  </w:num>
  <w:num w:numId="9" w16cid:durableId="936450378">
    <w:abstractNumId w:val="0"/>
  </w:num>
  <w:num w:numId="10" w16cid:durableId="192350960">
    <w:abstractNumId w:val="10"/>
  </w:num>
  <w:num w:numId="11" w16cid:durableId="2396831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BBA"/>
    <w:rsid w:val="00015D5F"/>
    <w:rsid w:val="000170D4"/>
    <w:rsid w:val="000B23A5"/>
    <w:rsid w:val="000C4244"/>
    <w:rsid w:val="000D3772"/>
    <w:rsid w:val="000E4267"/>
    <w:rsid w:val="000F0456"/>
    <w:rsid w:val="00124DF8"/>
    <w:rsid w:val="001278D6"/>
    <w:rsid w:val="00146AE1"/>
    <w:rsid w:val="00160197"/>
    <w:rsid w:val="00192066"/>
    <w:rsid w:val="001A65EF"/>
    <w:rsid w:val="001A6E69"/>
    <w:rsid w:val="001E31FF"/>
    <w:rsid w:val="001F2014"/>
    <w:rsid w:val="002014BB"/>
    <w:rsid w:val="00202595"/>
    <w:rsid w:val="00206D64"/>
    <w:rsid w:val="00207F37"/>
    <w:rsid w:val="00211E9E"/>
    <w:rsid w:val="0022768C"/>
    <w:rsid w:val="00234F89"/>
    <w:rsid w:val="0023690D"/>
    <w:rsid w:val="00242569"/>
    <w:rsid w:val="002453FE"/>
    <w:rsid w:val="00252A9B"/>
    <w:rsid w:val="00262459"/>
    <w:rsid w:val="00277E26"/>
    <w:rsid w:val="00284B7F"/>
    <w:rsid w:val="002A4B29"/>
    <w:rsid w:val="002C10D8"/>
    <w:rsid w:val="002C3D71"/>
    <w:rsid w:val="002D165A"/>
    <w:rsid w:val="002E6CB6"/>
    <w:rsid w:val="002F59FF"/>
    <w:rsid w:val="0030066D"/>
    <w:rsid w:val="003075A7"/>
    <w:rsid w:val="0030796E"/>
    <w:rsid w:val="00330CE3"/>
    <w:rsid w:val="00335992"/>
    <w:rsid w:val="00351E24"/>
    <w:rsid w:val="00370F04"/>
    <w:rsid w:val="003816C9"/>
    <w:rsid w:val="003A5EAA"/>
    <w:rsid w:val="003D057F"/>
    <w:rsid w:val="003E617F"/>
    <w:rsid w:val="003E6E3D"/>
    <w:rsid w:val="0040006F"/>
    <w:rsid w:val="00405BB5"/>
    <w:rsid w:val="00413324"/>
    <w:rsid w:val="004362AF"/>
    <w:rsid w:val="00436423"/>
    <w:rsid w:val="0044724F"/>
    <w:rsid w:val="00450D0C"/>
    <w:rsid w:val="00454A8D"/>
    <w:rsid w:val="00460549"/>
    <w:rsid w:val="00470F5A"/>
    <w:rsid w:val="00483012"/>
    <w:rsid w:val="00485AB8"/>
    <w:rsid w:val="00492FD6"/>
    <w:rsid w:val="004964CC"/>
    <w:rsid w:val="004C3F95"/>
    <w:rsid w:val="004C5755"/>
    <w:rsid w:val="004C760D"/>
    <w:rsid w:val="004E4D22"/>
    <w:rsid w:val="004F02C5"/>
    <w:rsid w:val="00500B4D"/>
    <w:rsid w:val="0050598B"/>
    <w:rsid w:val="00506FF4"/>
    <w:rsid w:val="00531F02"/>
    <w:rsid w:val="00570F17"/>
    <w:rsid w:val="005773EF"/>
    <w:rsid w:val="00577E36"/>
    <w:rsid w:val="00580D72"/>
    <w:rsid w:val="005F3A7A"/>
    <w:rsid w:val="0062757A"/>
    <w:rsid w:val="00642857"/>
    <w:rsid w:val="00675F16"/>
    <w:rsid w:val="00691B26"/>
    <w:rsid w:val="006B4E86"/>
    <w:rsid w:val="006B604B"/>
    <w:rsid w:val="006C0BE3"/>
    <w:rsid w:val="006D0109"/>
    <w:rsid w:val="00706E4F"/>
    <w:rsid w:val="007137DA"/>
    <w:rsid w:val="007263E8"/>
    <w:rsid w:val="00726778"/>
    <w:rsid w:val="00737E52"/>
    <w:rsid w:val="007611CC"/>
    <w:rsid w:val="0076265F"/>
    <w:rsid w:val="00763FAD"/>
    <w:rsid w:val="00771915"/>
    <w:rsid w:val="00782A8A"/>
    <w:rsid w:val="00787570"/>
    <w:rsid w:val="00794752"/>
    <w:rsid w:val="007A03C2"/>
    <w:rsid w:val="007C37EB"/>
    <w:rsid w:val="007E1B1F"/>
    <w:rsid w:val="007F6302"/>
    <w:rsid w:val="007F664E"/>
    <w:rsid w:val="008073BB"/>
    <w:rsid w:val="008412DF"/>
    <w:rsid w:val="00841736"/>
    <w:rsid w:val="00847324"/>
    <w:rsid w:val="00863C12"/>
    <w:rsid w:val="008801D2"/>
    <w:rsid w:val="00886445"/>
    <w:rsid w:val="00895EFD"/>
    <w:rsid w:val="00897164"/>
    <w:rsid w:val="008E07C4"/>
    <w:rsid w:val="008F7BAA"/>
    <w:rsid w:val="00904C38"/>
    <w:rsid w:val="00914A87"/>
    <w:rsid w:val="00914B30"/>
    <w:rsid w:val="009155D4"/>
    <w:rsid w:val="0094644C"/>
    <w:rsid w:val="009672FC"/>
    <w:rsid w:val="00971474"/>
    <w:rsid w:val="00975B07"/>
    <w:rsid w:val="009D7962"/>
    <w:rsid w:val="009E4977"/>
    <w:rsid w:val="00A21085"/>
    <w:rsid w:val="00A3414E"/>
    <w:rsid w:val="00A365B8"/>
    <w:rsid w:val="00A93C0A"/>
    <w:rsid w:val="00AB34F2"/>
    <w:rsid w:val="00AB6A41"/>
    <w:rsid w:val="00AC1A68"/>
    <w:rsid w:val="00AC70D5"/>
    <w:rsid w:val="00B406C7"/>
    <w:rsid w:val="00B63132"/>
    <w:rsid w:val="00B8162C"/>
    <w:rsid w:val="00B87406"/>
    <w:rsid w:val="00B93794"/>
    <w:rsid w:val="00B975DA"/>
    <w:rsid w:val="00BA0DE4"/>
    <w:rsid w:val="00BB621E"/>
    <w:rsid w:val="00C149D9"/>
    <w:rsid w:val="00C15C3F"/>
    <w:rsid w:val="00C45D6F"/>
    <w:rsid w:val="00C47A24"/>
    <w:rsid w:val="00C566C2"/>
    <w:rsid w:val="00C57277"/>
    <w:rsid w:val="00C704C3"/>
    <w:rsid w:val="00C71CF6"/>
    <w:rsid w:val="00CA455B"/>
    <w:rsid w:val="00CA5D9B"/>
    <w:rsid w:val="00CD73C9"/>
    <w:rsid w:val="00CE4755"/>
    <w:rsid w:val="00CF4E1F"/>
    <w:rsid w:val="00D00830"/>
    <w:rsid w:val="00D01B55"/>
    <w:rsid w:val="00D03E7B"/>
    <w:rsid w:val="00D33140"/>
    <w:rsid w:val="00D426A5"/>
    <w:rsid w:val="00D5105E"/>
    <w:rsid w:val="00D642B3"/>
    <w:rsid w:val="00D66644"/>
    <w:rsid w:val="00D77D8C"/>
    <w:rsid w:val="00DA55AA"/>
    <w:rsid w:val="00DB05A4"/>
    <w:rsid w:val="00DB0661"/>
    <w:rsid w:val="00DD13BE"/>
    <w:rsid w:val="00DD3021"/>
    <w:rsid w:val="00DD57F1"/>
    <w:rsid w:val="00DE0CF9"/>
    <w:rsid w:val="00DF7AAA"/>
    <w:rsid w:val="00E63374"/>
    <w:rsid w:val="00E6355A"/>
    <w:rsid w:val="00E72CD1"/>
    <w:rsid w:val="00E87B2D"/>
    <w:rsid w:val="00E942AE"/>
    <w:rsid w:val="00E9486C"/>
    <w:rsid w:val="00EA6BBA"/>
    <w:rsid w:val="00EB0A95"/>
    <w:rsid w:val="00EC012B"/>
    <w:rsid w:val="00EC7072"/>
    <w:rsid w:val="00EE524C"/>
    <w:rsid w:val="00EF1371"/>
    <w:rsid w:val="00EF1706"/>
    <w:rsid w:val="00EF1C27"/>
    <w:rsid w:val="00F03B4F"/>
    <w:rsid w:val="00F041AF"/>
    <w:rsid w:val="00F17DC1"/>
    <w:rsid w:val="00F406CE"/>
    <w:rsid w:val="00F407C0"/>
    <w:rsid w:val="00F611E2"/>
    <w:rsid w:val="00F97246"/>
    <w:rsid w:val="00FB50C9"/>
    <w:rsid w:val="00FC153F"/>
    <w:rsid w:val="00FD68A8"/>
    <w:rsid w:val="00FF7D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EBBE46B"/>
  <w15:docId w15:val="{5A81855A-DCF8-4065-A779-80ADFB82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B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6BBA"/>
    <w:pPr>
      <w:ind w:left="720"/>
      <w:contextualSpacing/>
    </w:pPr>
  </w:style>
  <w:style w:type="paragraph" w:styleId="NoSpacing">
    <w:name w:val="No Spacing"/>
    <w:uiPriority w:val="99"/>
    <w:qFormat/>
    <w:rsid w:val="00EA6BBA"/>
    <w:rPr>
      <w:sz w:val="22"/>
      <w:szCs w:val="22"/>
    </w:rPr>
  </w:style>
  <w:style w:type="paragraph" w:styleId="BalloonText">
    <w:name w:val="Balloon Text"/>
    <w:basedOn w:val="Normal"/>
    <w:link w:val="BalloonTextChar"/>
    <w:uiPriority w:val="99"/>
    <w:semiHidden/>
    <w:rsid w:val="002D16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D165A"/>
    <w:rPr>
      <w:rFonts w:ascii="Tahoma" w:hAnsi="Tahoma" w:cs="Tahoma"/>
      <w:sz w:val="16"/>
      <w:szCs w:val="16"/>
    </w:rPr>
  </w:style>
  <w:style w:type="paragraph" w:styleId="Header">
    <w:name w:val="header"/>
    <w:basedOn w:val="Normal"/>
    <w:link w:val="HeaderChar"/>
    <w:uiPriority w:val="99"/>
    <w:unhideWhenUsed/>
    <w:rsid w:val="00AB6A41"/>
    <w:pPr>
      <w:tabs>
        <w:tab w:val="center" w:pos="4680"/>
        <w:tab w:val="right" w:pos="9360"/>
      </w:tabs>
    </w:pPr>
  </w:style>
  <w:style w:type="character" w:customStyle="1" w:styleId="HeaderChar">
    <w:name w:val="Header Char"/>
    <w:basedOn w:val="DefaultParagraphFont"/>
    <w:link w:val="Header"/>
    <w:uiPriority w:val="99"/>
    <w:rsid w:val="00AB6A41"/>
  </w:style>
  <w:style w:type="paragraph" w:styleId="Footer">
    <w:name w:val="footer"/>
    <w:basedOn w:val="Normal"/>
    <w:link w:val="FooterChar"/>
    <w:unhideWhenUsed/>
    <w:rsid w:val="00AB6A41"/>
    <w:pPr>
      <w:tabs>
        <w:tab w:val="center" w:pos="4680"/>
        <w:tab w:val="right" w:pos="9360"/>
      </w:tabs>
    </w:pPr>
  </w:style>
  <w:style w:type="character" w:customStyle="1" w:styleId="FooterChar">
    <w:name w:val="Footer Char"/>
    <w:basedOn w:val="DefaultParagraphFont"/>
    <w:link w:val="Footer"/>
    <w:uiPriority w:val="99"/>
    <w:rsid w:val="00AB6A41"/>
  </w:style>
  <w:style w:type="paragraph" w:styleId="Title">
    <w:name w:val="Title"/>
    <w:basedOn w:val="Normal"/>
    <w:next w:val="Normal"/>
    <w:link w:val="TitleChar"/>
    <w:qFormat/>
    <w:locked/>
    <w:rsid w:val="00AC1A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C1A6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locked/>
    <w:rsid w:val="00AC1A6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C1A68"/>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242569"/>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97164"/>
    <w:rPr>
      <w:sz w:val="16"/>
      <w:szCs w:val="16"/>
    </w:rPr>
  </w:style>
  <w:style w:type="paragraph" w:styleId="CommentText">
    <w:name w:val="annotation text"/>
    <w:basedOn w:val="Normal"/>
    <w:link w:val="CommentTextChar"/>
    <w:uiPriority w:val="99"/>
    <w:semiHidden/>
    <w:unhideWhenUsed/>
    <w:rsid w:val="00897164"/>
    <w:pPr>
      <w:spacing w:line="240" w:lineRule="auto"/>
    </w:pPr>
    <w:rPr>
      <w:sz w:val="20"/>
      <w:szCs w:val="20"/>
    </w:rPr>
  </w:style>
  <w:style w:type="character" w:customStyle="1" w:styleId="CommentTextChar">
    <w:name w:val="Comment Text Char"/>
    <w:basedOn w:val="DefaultParagraphFont"/>
    <w:link w:val="CommentText"/>
    <w:uiPriority w:val="99"/>
    <w:semiHidden/>
    <w:rsid w:val="00897164"/>
  </w:style>
  <w:style w:type="paragraph" w:styleId="CommentSubject">
    <w:name w:val="annotation subject"/>
    <w:basedOn w:val="CommentText"/>
    <w:next w:val="CommentText"/>
    <w:link w:val="CommentSubjectChar"/>
    <w:uiPriority w:val="99"/>
    <w:semiHidden/>
    <w:unhideWhenUsed/>
    <w:rsid w:val="00897164"/>
    <w:rPr>
      <w:b/>
      <w:bCs/>
    </w:rPr>
  </w:style>
  <w:style w:type="character" w:customStyle="1" w:styleId="CommentSubjectChar">
    <w:name w:val="Comment Subject Char"/>
    <w:basedOn w:val="CommentTextChar"/>
    <w:link w:val="CommentSubject"/>
    <w:uiPriority w:val="99"/>
    <w:semiHidden/>
    <w:rsid w:val="00897164"/>
    <w:rPr>
      <w:b/>
      <w:bCs/>
    </w:rPr>
  </w:style>
  <w:style w:type="table" w:styleId="TableGrid">
    <w:name w:val="Table Grid"/>
    <w:basedOn w:val="TableNormal"/>
    <w:locked/>
    <w:rsid w:val="00DD3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D3021"/>
    <w:rPr>
      <w:color w:val="0000FF"/>
      <w:u w:val="single"/>
    </w:rPr>
  </w:style>
  <w:style w:type="paragraph" w:styleId="FootnoteText">
    <w:name w:val="footnote text"/>
    <w:basedOn w:val="Normal"/>
    <w:link w:val="FootnoteTextChar"/>
    <w:rsid w:val="00DD3021"/>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FootnoteTextChar">
    <w:name w:val="Footnote Text Char"/>
    <w:basedOn w:val="DefaultParagraphFont"/>
    <w:link w:val="FootnoteText"/>
    <w:rsid w:val="00DD3021"/>
    <w:rPr>
      <w:rFonts w:ascii="Times New Roman" w:eastAsia="Times New Roman" w:hAnsi="Times New Roman"/>
      <w:sz w:val="24"/>
      <w:szCs w:val="24"/>
    </w:rPr>
  </w:style>
  <w:style w:type="character" w:styleId="FootnoteReference">
    <w:name w:val="footnote reference"/>
    <w:rsid w:val="00DD3021"/>
    <w:rPr>
      <w:vertAlign w:val="superscript"/>
    </w:rPr>
  </w:style>
  <w:style w:type="paragraph" w:styleId="Revision">
    <w:name w:val="Revision"/>
    <w:hidden/>
    <w:uiPriority w:val="99"/>
    <w:semiHidden/>
    <w:rsid w:val="00B87406"/>
    <w:rPr>
      <w:sz w:val="22"/>
      <w:szCs w:val="22"/>
    </w:rPr>
  </w:style>
  <w:style w:type="table" w:customStyle="1" w:styleId="TableGrid1">
    <w:name w:val="Table Grid1"/>
    <w:basedOn w:val="TableNormal"/>
    <w:next w:val="TableGrid"/>
    <w:uiPriority w:val="39"/>
    <w:rsid w:val="003079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B05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9</Pages>
  <Words>2794</Words>
  <Characters>15480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FOR PAPERWORK REDUCTION ACT SUBMISSTIONS OMB NO</vt:lpstr>
    </vt:vector>
  </TitlesOfParts>
  <Company>Dept. of the Treasury, FMS</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SUBMISSTIONS OMB NO</dc:title>
  <dc:creator>Maryanne Garrett</dc:creator>
  <cp:lastModifiedBy>Bruce A. Sharp</cp:lastModifiedBy>
  <cp:revision>8</cp:revision>
  <cp:lastPrinted>2012-07-11T18:26:00Z</cp:lastPrinted>
  <dcterms:created xsi:type="dcterms:W3CDTF">2022-03-30T15:59:00Z</dcterms:created>
  <dcterms:modified xsi:type="dcterms:W3CDTF">2025-06-27T19:35:00Z</dcterms:modified>
</cp:coreProperties>
</file>