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4901" w:rsidRPr="00147B08" w:rsidP="003F347B" w14:paraId="61C38171" w14:textId="22BEDD33">
      <w:pPr>
        <w:widowControl w:val="0"/>
        <w:tabs>
          <w:tab w:val="center" w:pos="4680"/>
        </w:tabs>
        <w:jc w:val="center"/>
        <w:rPr>
          <w:b/>
          <w:bCs/>
          <w:szCs w:val="24"/>
        </w:rPr>
      </w:pPr>
      <w:r w:rsidRPr="00147B08">
        <w:rPr>
          <w:b/>
          <w:bCs/>
          <w:szCs w:val="24"/>
        </w:rPr>
        <w:fldChar w:fldCharType="begin"/>
      </w:r>
      <w:r w:rsidRPr="00147B08">
        <w:rPr>
          <w:b/>
          <w:bCs/>
          <w:szCs w:val="24"/>
        </w:rPr>
        <w:instrText xml:space="preserve"> SEQ CHAPTER \h \r 1</w:instrText>
      </w:r>
      <w:r>
        <w:rPr>
          <w:b/>
          <w:bCs/>
          <w:szCs w:val="24"/>
        </w:rPr>
        <w:fldChar w:fldCharType="separate"/>
      </w:r>
      <w:r w:rsidRPr="00147B08">
        <w:rPr>
          <w:b/>
          <w:bCs/>
          <w:szCs w:val="24"/>
        </w:rPr>
        <w:fldChar w:fldCharType="end"/>
      </w:r>
      <w:r w:rsidRPr="00147B08">
        <w:rPr>
          <w:b/>
          <w:bCs/>
          <w:szCs w:val="24"/>
        </w:rPr>
        <w:t>SUPPORTING STATEMENT</w:t>
      </w:r>
    </w:p>
    <w:p w:rsidR="004F3BA4" w:rsidRPr="00147B08" w:rsidP="004F3BA4" w14:paraId="4CCD6D6B" w14:textId="6EB2E9C3">
      <w:pPr>
        <w:widowControl w:val="0"/>
        <w:tabs>
          <w:tab w:val="center" w:pos="4680"/>
        </w:tabs>
        <w:jc w:val="center"/>
        <w:rPr>
          <w:szCs w:val="24"/>
        </w:rPr>
      </w:pPr>
      <w:r w:rsidRPr="00147B08">
        <w:rPr>
          <w:szCs w:val="24"/>
        </w:rPr>
        <w:t>Internal Revenue Service</w:t>
      </w:r>
      <w:r w:rsidRPr="00147B08" w:rsidR="0045306F">
        <w:rPr>
          <w:szCs w:val="24"/>
        </w:rPr>
        <w:t xml:space="preserve"> (IRS)</w:t>
      </w:r>
    </w:p>
    <w:p w:rsidR="0045306F" w:rsidRPr="00147B08" w:rsidP="004F3BA4" w14:paraId="3A1B1E49" w14:textId="2F539CF3">
      <w:pPr>
        <w:widowControl w:val="0"/>
        <w:tabs>
          <w:tab w:val="center" w:pos="4680"/>
        </w:tabs>
        <w:jc w:val="center"/>
        <w:rPr>
          <w:szCs w:val="24"/>
        </w:rPr>
      </w:pPr>
      <w:r w:rsidRPr="00147B08">
        <w:rPr>
          <w:szCs w:val="24"/>
        </w:rPr>
        <w:t>Estate (and Generation-Skipping Transfer) Tax Returns and Related Forms</w:t>
      </w:r>
    </w:p>
    <w:p w:rsidR="00CA25A2" w:rsidRPr="00147B08" w:rsidP="004F3BA4" w14:paraId="3B5C2BBF" w14:textId="3C5A19B0">
      <w:pPr>
        <w:widowControl w:val="0"/>
        <w:tabs>
          <w:tab w:val="center" w:pos="4680"/>
        </w:tabs>
        <w:jc w:val="center"/>
        <w:rPr>
          <w:b/>
          <w:bCs/>
          <w:szCs w:val="24"/>
        </w:rPr>
      </w:pPr>
      <w:r w:rsidRPr="00147B08">
        <w:rPr>
          <w:szCs w:val="24"/>
        </w:rPr>
        <w:t xml:space="preserve">OMB </w:t>
      </w:r>
      <w:r w:rsidRPr="00147B08" w:rsidR="00835C91">
        <w:rPr>
          <w:szCs w:val="24"/>
        </w:rPr>
        <w:t xml:space="preserve">Control </w:t>
      </w:r>
      <w:r w:rsidRPr="00147B08">
        <w:rPr>
          <w:szCs w:val="24"/>
        </w:rPr>
        <w:t>N</w:t>
      </w:r>
      <w:r w:rsidRPr="00147B08" w:rsidR="0045306F">
        <w:rPr>
          <w:szCs w:val="24"/>
        </w:rPr>
        <w:t>umber</w:t>
      </w:r>
      <w:r w:rsidRPr="00147B08">
        <w:rPr>
          <w:szCs w:val="24"/>
        </w:rPr>
        <w:t xml:space="preserve"> </w:t>
      </w:r>
      <w:r w:rsidRPr="00147B08">
        <w:rPr>
          <w:b/>
          <w:bCs/>
          <w:szCs w:val="24"/>
        </w:rPr>
        <w:t>1545-0015</w:t>
      </w:r>
    </w:p>
    <w:p w:rsidR="009E4901" w:rsidRPr="00147B08" w14:paraId="5CF15DF9" w14:textId="77777777">
      <w:pPr>
        <w:widowControl w:val="0"/>
        <w:rPr>
          <w:szCs w:val="24"/>
        </w:rPr>
      </w:pPr>
    </w:p>
    <w:p w:rsidR="009E4901" w:rsidRPr="00147B08" w:rsidP="0045306F" w14:paraId="32AF0D26" w14:textId="5EBC1421">
      <w:pPr>
        <w:pStyle w:val="Level1"/>
        <w:numPr>
          <w:ilvl w:val="0"/>
          <w:numId w:val="2"/>
        </w:numPr>
        <w:tabs>
          <w:tab w:val="left" w:pos="-1440"/>
          <w:tab w:val="num" w:pos="720"/>
        </w:tabs>
        <w:autoSpaceDE w:val="0"/>
        <w:autoSpaceDN w:val="0"/>
        <w:adjustRightInd w:val="0"/>
        <w:ind w:hanging="720"/>
        <w:outlineLvl w:val="0"/>
        <w:rPr>
          <w:szCs w:val="24"/>
          <w:u w:val="single"/>
        </w:rPr>
      </w:pPr>
      <w:r w:rsidRPr="00147B08">
        <w:rPr>
          <w:szCs w:val="24"/>
          <w:u w:val="single"/>
        </w:rPr>
        <w:t>CIRCUMSTANCES NECESSITATING COLLECTION OF INFORMATION</w:t>
      </w:r>
    </w:p>
    <w:p w:rsidR="009E4901" w:rsidRPr="00147B08" w:rsidP="0045306F" w14:paraId="00982FAB" w14:textId="77777777">
      <w:pPr>
        <w:widowControl w:val="0"/>
        <w:autoSpaceDE w:val="0"/>
        <w:autoSpaceDN w:val="0"/>
        <w:adjustRightInd w:val="0"/>
        <w:ind w:left="720"/>
        <w:rPr>
          <w:szCs w:val="24"/>
        </w:rPr>
      </w:pPr>
    </w:p>
    <w:p w:rsidR="005738FD" w:rsidRPr="00147B08" w:rsidP="00F47D64" w14:paraId="60D10AB8" w14:textId="77777777">
      <w:pPr>
        <w:widowControl w:val="0"/>
        <w:autoSpaceDE w:val="0"/>
        <w:autoSpaceDN w:val="0"/>
        <w:adjustRightInd w:val="0"/>
        <w:ind w:left="720"/>
        <w:rPr>
          <w:szCs w:val="24"/>
        </w:rPr>
      </w:pPr>
      <w:r w:rsidRPr="00147B08">
        <w:rPr>
          <w:szCs w:val="24"/>
        </w:rPr>
        <w:t xml:space="preserve">The federal estate tax is a tax on the transfer of property at death. It is applied to estates for which at-death gross assets ("gross estate") plus adjusted taxable gifts exceed the filing threshold.  Chapter 11 of the </w:t>
      </w:r>
      <w:r w:rsidRPr="00147B08" w:rsidR="00AF10F4">
        <w:rPr>
          <w:szCs w:val="24"/>
        </w:rPr>
        <w:t xml:space="preserve">Internal Revenue Code (IRC) </w:t>
      </w:r>
      <w:r w:rsidRPr="00147B08">
        <w:rPr>
          <w:szCs w:val="24"/>
        </w:rPr>
        <w:t xml:space="preserve">provides the rules and requirements for estate taxes. IRC </w:t>
      </w:r>
      <w:r w:rsidRPr="00147B08" w:rsidR="0045306F">
        <w:rPr>
          <w:szCs w:val="24"/>
        </w:rPr>
        <w:t>s</w:t>
      </w:r>
      <w:r w:rsidRPr="00147B08">
        <w:rPr>
          <w:szCs w:val="24"/>
        </w:rPr>
        <w:t xml:space="preserve">ection 2001 imposes a tax on the transfer of the taxable estate of every decedent who was a citizen or resident of the United States. Chapter 13 of the IRC provides rules and requirements for certain generation-skipping transfers (GST). IRC section 2601 imposes a tax on </w:t>
      </w:r>
      <w:r w:rsidRPr="00147B08" w:rsidR="00DE43A2">
        <w:rPr>
          <w:szCs w:val="24"/>
        </w:rPr>
        <w:t>a</w:t>
      </w:r>
      <w:r w:rsidRPr="00147B08">
        <w:rPr>
          <w:szCs w:val="24"/>
        </w:rPr>
        <w:t xml:space="preserve"> </w:t>
      </w:r>
      <w:r w:rsidRPr="00147B08" w:rsidR="00DE43A2">
        <w:rPr>
          <w:szCs w:val="24"/>
        </w:rPr>
        <w:t>GST</w:t>
      </w:r>
      <w:r w:rsidRPr="00147B08">
        <w:rPr>
          <w:szCs w:val="24"/>
        </w:rPr>
        <w:t xml:space="preserve">. </w:t>
      </w:r>
    </w:p>
    <w:p w:rsidR="005738FD" w:rsidRPr="00147B08" w:rsidP="00F47D64" w14:paraId="4904CE5D" w14:textId="77777777">
      <w:pPr>
        <w:widowControl w:val="0"/>
        <w:autoSpaceDE w:val="0"/>
        <w:autoSpaceDN w:val="0"/>
        <w:adjustRightInd w:val="0"/>
        <w:ind w:left="720"/>
        <w:rPr>
          <w:szCs w:val="24"/>
        </w:rPr>
      </w:pPr>
    </w:p>
    <w:p w:rsidR="00385E5F" w:rsidP="00385E5F" w14:paraId="37AA3097" w14:textId="730D8748">
      <w:pPr>
        <w:widowControl w:val="0"/>
        <w:autoSpaceDE w:val="0"/>
        <w:autoSpaceDN w:val="0"/>
        <w:adjustRightInd w:val="0"/>
        <w:ind w:left="720"/>
        <w:rPr>
          <w:szCs w:val="24"/>
        </w:rPr>
      </w:pPr>
      <w:r w:rsidRPr="00147B08">
        <w:rPr>
          <w:szCs w:val="24"/>
        </w:rPr>
        <w:t xml:space="preserve">Form 706 </w:t>
      </w:r>
      <w:r w:rsidRPr="00147B08" w:rsidR="007A0FC1">
        <w:rPr>
          <w:szCs w:val="24"/>
        </w:rPr>
        <w:t>and related forms are u</w:t>
      </w:r>
      <w:r w:rsidRPr="00147B08">
        <w:rPr>
          <w:szCs w:val="24"/>
        </w:rPr>
        <w:t xml:space="preserve">sed to report and compute </w:t>
      </w:r>
      <w:r w:rsidRPr="00147B08" w:rsidR="00BD5F37">
        <w:rPr>
          <w:szCs w:val="24"/>
        </w:rPr>
        <w:t>both</w:t>
      </w:r>
      <w:r w:rsidRPr="00147B08">
        <w:rPr>
          <w:szCs w:val="24"/>
        </w:rPr>
        <w:t xml:space="preserve"> taxes.</w:t>
      </w:r>
      <w:r w:rsidR="00342EA7">
        <w:rPr>
          <w:szCs w:val="24"/>
        </w:rPr>
        <w:t xml:space="preserve">  </w:t>
      </w:r>
      <w:r w:rsidRPr="00147B08">
        <w:rPr>
          <w:szCs w:val="24"/>
        </w:rPr>
        <w:t xml:space="preserve">IRC section 2603(a)(2) provides that the GST tax imposed on a direct skip from a trust must be paid by the trustee (not the estate). </w:t>
      </w:r>
    </w:p>
    <w:p w:rsidR="00385E5F" w:rsidRPr="00147B08" w:rsidP="00385E5F" w14:paraId="17081527" w14:textId="77777777">
      <w:pPr>
        <w:widowControl w:val="0"/>
        <w:autoSpaceDE w:val="0"/>
        <w:autoSpaceDN w:val="0"/>
        <w:adjustRightInd w:val="0"/>
        <w:ind w:left="720"/>
        <w:rPr>
          <w:szCs w:val="24"/>
        </w:rPr>
      </w:pPr>
    </w:p>
    <w:p w:rsidR="009A62C8" w:rsidP="00F47D64" w14:paraId="1CAD3F93" w14:textId="17E1E74C">
      <w:pPr>
        <w:widowControl w:val="0"/>
        <w:autoSpaceDE w:val="0"/>
        <w:autoSpaceDN w:val="0"/>
        <w:adjustRightInd w:val="0"/>
        <w:ind w:left="720"/>
        <w:rPr>
          <w:szCs w:val="24"/>
        </w:rPr>
      </w:pPr>
      <w:r w:rsidRPr="00342EA7">
        <w:rPr>
          <w:szCs w:val="24"/>
        </w:rPr>
        <w:t xml:space="preserve">This information collection request (ICR) covers the actual reporting burden associated with preparing and submitting the prescribed return forms, by </w:t>
      </w:r>
      <w:r>
        <w:rPr>
          <w:szCs w:val="24"/>
        </w:rPr>
        <w:t>exec</w:t>
      </w:r>
      <w:r w:rsidR="00385E5F">
        <w:rPr>
          <w:szCs w:val="24"/>
        </w:rPr>
        <w:t xml:space="preserve">utors </w:t>
      </w:r>
      <w:r w:rsidRPr="00342EA7">
        <w:rPr>
          <w:szCs w:val="24"/>
        </w:rPr>
        <w:t xml:space="preserve">required to file Form </w:t>
      </w:r>
      <w:r w:rsidR="00385E5F">
        <w:rPr>
          <w:szCs w:val="24"/>
        </w:rPr>
        <w:t>706</w:t>
      </w:r>
      <w:r w:rsidRPr="00342EA7">
        <w:rPr>
          <w:szCs w:val="24"/>
        </w:rPr>
        <w:t xml:space="preserve"> </w:t>
      </w:r>
      <w:r w:rsidR="003A23A6">
        <w:rPr>
          <w:szCs w:val="24"/>
        </w:rPr>
        <w:t xml:space="preserve">series. </w:t>
      </w:r>
    </w:p>
    <w:p w:rsidR="00755BEF" w:rsidP="00F47D64" w14:paraId="6807FEEF" w14:textId="77777777">
      <w:pPr>
        <w:widowControl w:val="0"/>
        <w:autoSpaceDE w:val="0"/>
        <w:autoSpaceDN w:val="0"/>
        <w:adjustRightInd w:val="0"/>
        <w:ind w:left="720"/>
        <w:rPr>
          <w:szCs w:val="24"/>
        </w:rPr>
      </w:pPr>
    </w:p>
    <w:p w:rsidR="009A2A13" w:rsidP="00F47D64" w14:paraId="7BEF8E0D" w14:textId="77777777">
      <w:pPr>
        <w:widowControl w:val="0"/>
        <w:autoSpaceDE w:val="0"/>
        <w:autoSpaceDN w:val="0"/>
        <w:adjustRightInd w:val="0"/>
        <w:ind w:left="720"/>
        <w:rPr>
          <w:szCs w:val="24"/>
        </w:rPr>
      </w:pPr>
    </w:p>
    <w:tbl>
      <w:tblPr>
        <w:tblW w:w="8994" w:type="dxa"/>
        <w:tblInd w:w="535" w:type="dxa"/>
        <w:tblLayout w:type="fixed"/>
        <w:tblLook w:val="04A0"/>
      </w:tblPr>
      <w:tblGrid>
        <w:gridCol w:w="2430"/>
        <w:gridCol w:w="6564"/>
      </w:tblGrid>
      <w:tr w14:paraId="09B633E8" w14:textId="77777777" w:rsidTr="0074627C">
        <w:tblPrEx>
          <w:tblW w:w="8994" w:type="dxa"/>
          <w:tblInd w:w="535" w:type="dxa"/>
          <w:tblLayout w:type="fixed"/>
          <w:tblLook w:val="04A0"/>
        </w:tblPrEx>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23A6" w:rsidRPr="0074627C" w:rsidP="000847AB" w14:paraId="0381D6E9" w14:textId="77777777">
            <w:pPr>
              <w:jc w:val="center"/>
              <w:rPr>
                <w:b/>
                <w:bCs/>
                <w:color w:val="000000"/>
                <w:sz w:val="22"/>
                <w:szCs w:val="22"/>
              </w:rPr>
            </w:pPr>
            <w:r w:rsidRPr="0074627C">
              <w:rPr>
                <w:b/>
                <w:bCs/>
                <w:color w:val="000000"/>
                <w:sz w:val="22"/>
                <w:szCs w:val="22"/>
              </w:rPr>
              <w:t>Form No.</w:t>
            </w:r>
          </w:p>
        </w:tc>
        <w:tc>
          <w:tcPr>
            <w:tcW w:w="6564" w:type="dxa"/>
            <w:tcBorders>
              <w:top w:val="single" w:sz="4" w:space="0" w:color="auto"/>
              <w:left w:val="nil"/>
              <w:bottom w:val="single" w:sz="4" w:space="0" w:color="auto"/>
              <w:right w:val="single" w:sz="4" w:space="0" w:color="auto"/>
            </w:tcBorders>
            <w:shd w:val="clear" w:color="auto" w:fill="auto"/>
            <w:vAlign w:val="center"/>
            <w:hideMark/>
          </w:tcPr>
          <w:p w:rsidR="003A23A6" w:rsidRPr="0074627C" w:rsidP="000847AB" w14:paraId="539B591B" w14:textId="77777777">
            <w:pPr>
              <w:jc w:val="center"/>
              <w:rPr>
                <w:b/>
                <w:bCs/>
                <w:color w:val="000000"/>
                <w:sz w:val="22"/>
                <w:szCs w:val="22"/>
              </w:rPr>
            </w:pPr>
            <w:r w:rsidRPr="0074627C">
              <w:rPr>
                <w:b/>
                <w:bCs/>
                <w:color w:val="000000"/>
                <w:sz w:val="22"/>
                <w:szCs w:val="22"/>
              </w:rPr>
              <w:t>Form Description</w:t>
            </w:r>
          </w:p>
        </w:tc>
      </w:tr>
      <w:tr w14:paraId="382EED05" w14:textId="77777777" w:rsidTr="0074627C">
        <w:tblPrEx>
          <w:tblW w:w="8994" w:type="dxa"/>
          <w:tblInd w:w="535" w:type="dxa"/>
          <w:tblLayout w:type="fixed"/>
          <w:tblLook w:val="04A0"/>
        </w:tblPrEx>
        <w:trPr>
          <w:trHeight w:val="290"/>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3A23A6" w:rsidRPr="0074627C" w:rsidP="000847AB" w14:paraId="3D02A31B" w14:textId="7EADE98D">
            <w:pPr>
              <w:rPr>
                <w:color w:val="000000"/>
                <w:sz w:val="22"/>
                <w:szCs w:val="22"/>
              </w:rPr>
            </w:pPr>
            <w:r w:rsidRPr="0074627C">
              <w:rPr>
                <w:color w:val="000000"/>
                <w:sz w:val="22"/>
                <w:szCs w:val="22"/>
              </w:rPr>
              <w:t>Form 706</w:t>
            </w:r>
          </w:p>
        </w:tc>
        <w:tc>
          <w:tcPr>
            <w:tcW w:w="6564" w:type="dxa"/>
            <w:tcBorders>
              <w:top w:val="nil"/>
              <w:left w:val="nil"/>
              <w:bottom w:val="single" w:sz="4" w:space="0" w:color="auto"/>
              <w:right w:val="single" w:sz="4" w:space="0" w:color="auto"/>
            </w:tcBorders>
            <w:shd w:val="clear" w:color="auto" w:fill="auto"/>
          </w:tcPr>
          <w:p w:rsidR="003A23A6" w:rsidRPr="0074627C" w:rsidP="000847AB" w14:paraId="67796BF1" w14:textId="207AE577">
            <w:pPr>
              <w:rPr>
                <w:color w:val="000000"/>
                <w:sz w:val="22"/>
                <w:szCs w:val="22"/>
              </w:rPr>
            </w:pPr>
            <w:r w:rsidRPr="0074627C">
              <w:rPr>
                <w:color w:val="000000"/>
                <w:sz w:val="22"/>
                <w:szCs w:val="22"/>
              </w:rPr>
              <w:t>This form is to be filed on certain estates of a deceased resident or citizen.</w:t>
            </w:r>
          </w:p>
        </w:tc>
      </w:tr>
      <w:tr w14:paraId="071483A6" w14:textId="77777777" w:rsidTr="0074627C">
        <w:tblPrEx>
          <w:tblW w:w="8994" w:type="dxa"/>
          <w:tblInd w:w="535" w:type="dxa"/>
          <w:tblLayout w:type="fixed"/>
          <w:tblLook w:val="04A0"/>
        </w:tblPrEx>
        <w:trPr>
          <w:trHeight w:val="480"/>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3A23A6" w:rsidRPr="0074627C" w:rsidP="000847AB" w14:paraId="7B47A4F1" w14:textId="763E37DF">
            <w:pPr>
              <w:rPr>
                <w:color w:val="000000"/>
                <w:sz w:val="22"/>
                <w:szCs w:val="22"/>
              </w:rPr>
            </w:pPr>
            <w:r w:rsidRPr="0074627C">
              <w:rPr>
                <w:color w:val="000000"/>
                <w:sz w:val="22"/>
                <w:szCs w:val="22"/>
              </w:rPr>
              <w:t>Form 706 Schedule A</w:t>
            </w:r>
          </w:p>
        </w:tc>
        <w:tc>
          <w:tcPr>
            <w:tcW w:w="6564" w:type="dxa"/>
            <w:tcBorders>
              <w:top w:val="nil"/>
              <w:left w:val="nil"/>
              <w:bottom w:val="single" w:sz="4" w:space="0" w:color="auto"/>
              <w:right w:val="single" w:sz="4" w:space="0" w:color="auto"/>
            </w:tcBorders>
            <w:shd w:val="clear" w:color="auto" w:fill="auto"/>
            <w:vAlign w:val="center"/>
          </w:tcPr>
          <w:p w:rsidR="003A23A6" w:rsidRPr="0074627C" w:rsidP="000847AB" w14:paraId="4F0828DD" w14:textId="2F93D792">
            <w:pPr>
              <w:rPr>
                <w:color w:val="000000"/>
                <w:sz w:val="22"/>
                <w:szCs w:val="22"/>
              </w:rPr>
            </w:pPr>
            <w:r w:rsidRPr="0074627C">
              <w:rPr>
                <w:color w:val="000000"/>
                <w:sz w:val="22"/>
                <w:szCs w:val="22"/>
              </w:rPr>
              <w:t xml:space="preserve">If the total gross estate contains any </w:t>
            </w:r>
            <w:r w:rsidRPr="0074627C">
              <w:rPr>
                <w:color w:val="000000"/>
                <w:sz w:val="22"/>
                <w:szCs w:val="22"/>
              </w:rPr>
              <w:t>real estate, complete Schedule A.</w:t>
            </w:r>
          </w:p>
        </w:tc>
      </w:tr>
      <w:tr w14:paraId="75691411" w14:textId="77777777" w:rsidTr="0074627C">
        <w:tblPrEx>
          <w:tblW w:w="8994" w:type="dxa"/>
          <w:tblInd w:w="535" w:type="dxa"/>
          <w:tblLayout w:type="fixed"/>
          <w:tblLook w:val="04A0"/>
        </w:tblPrEx>
        <w:trPr>
          <w:trHeight w:val="480"/>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3A23A6" w:rsidRPr="0074627C" w:rsidP="000847AB" w14:paraId="79F73B1A" w14:textId="2A430C6A">
            <w:pPr>
              <w:rPr>
                <w:color w:val="000000"/>
                <w:sz w:val="22"/>
                <w:szCs w:val="22"/>
              </w:rPr>
            </w:pPr>
            <w:r w:rsidRPr="0074627C">
              <w:rPr>
                <w:color w:val="000000"/>
                <w:sz w:val="22"/>
                <w:szCs w:val="22"/>
              </w:rPr>
              <w:t>Form 706 Schedule B</w:t>
            </w:r>
          </w:p>
        </w:tc>
        <w:tc>
          <w:tcPr>
            <w:tcW w:w="6564" w:type="dxa"/>
            <w:tcBorders>
              <w:top w:val="nil"/>
              <w:left w:val="nil"/>
              <w:bottom w:val="single" w:sz="4" w:space="0" w:color="auto"/>
              <w:right w:val="single" w:sz="4" w:space="0" w:color="auto"/>
            </w:tcBorders>
            <w:shd w:val="clear" w:color="auto" w:fill="auto"/>
            <w:vAlign w:val="center"/>
          </w:tcPr>
          <w:p w:rsidR="003A23A6" w:rsidRPr="0074627C" w:rsidP="00F40222" w14:paraId="1DC788CB" w14:textId="77777777">
            <w:pPr>
              <w:rPr>
                <w:color w:val="000000"/>
                <w:sz w:val="22"/>
                <w:szCs w:val="22"/>
              </w:rPr>
            </w:pPr>
            <w:r w:rsidRPr="0074627C">
              <w:rPr>
                <w:color w:val="000000"/>
                <w:sz w:val="22"/>
                <w:szCs w:val="22"/>
              </w:rPr>
              <w:t>If the total gross estate contains any stocks or bonds, you</w:t>
            </w:r>
          </w:p>
          <w:p w:rsidR="003A23A6" w:rsidRPr="0074627C" w:rsidP="00F40222" w14:paraId="3D5B5F70" w14:textId="40BB8A92">
            <w:pPr>
              <w:rPr>
                <w:color w:val="000000"/>
                <w:sz w:val="22"/>
                <w:szCs w:val="22"/>
              </w:rPr>
            </w:pPr>
            <w:r w:rsidRPr="0074627C">
              <w:rPr>
                <w:color w:val="000000"/>
                <w:sz w:val="22"/>
                <w:szCs w:val="22"/>
              </w:rPr>
              <w:t xml:space="preserve">must complete Schedule B.  </w:t>
            </w:r>
          </w:p>
        </w:tc>
      </w:tr>
      <w:tr w14:paraId="4B87A7D4" w14:textId="77777777" w:rsidTr="0074627C">
        <w:tblPrEx>
          <w:tblW w:w="8994" w:type="dxa"/>
          <w:tblInd w:w="535" w:type="dxa"/>
          <w:tblLayout w:type="fixed"/>
          <w:tblLook w:val="04A0"/>
        </w:tblPrEx>
        <w:trPr>
          <w:trHeight w:val="480"/>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3A23A6" w:rsidRPr="0074627C" w:rsidP="000847AB" w14:paraId="5B33BBD9" w14:textId="297F0CFC">
            <w:pPr>
              <w:rPr>
                <w:color w:val="000000"/>
                <w:sz w:val="22"/>
                <w:szCs w:val="22"/>
              </w:rPr>
            </w:pPr>
            <w:r w:rsidRPr="0074627C">
              <w:rPr>
                <w:color w:val="000000"/>
                <w:sz w:val="22"/>
                <w:szCs w:val="22"/>
              </w:rPr>
              <w:t>Form 706 Schedule C</w:t>
            </w:r>
          </w:p>
        </w:tc>
        <w:tc>
          <w:tcPr>
            <w:tcW w:w="6564" w:type="dxa"/>
            <w:tcBorders>
              <w:top w:val="nil"/>
              <w:left w:val="nil"/>
              <w:bottom w:val="single" w:sz="4" w:space="0" w:color="auto"/>
              <w:right w:val="single" w:sz="4" w:space="0" w:color="auto"/>
            </w:tcBorders>
            <w:shd w:val="clear" w:color="auto" w:fill="auto"/>
            <w:vAlign w:val="center"/>
          </w:tcPr>
          <w:p w:rsidR="003A23A6" w:rsidRPr="0074627C" w:rsidP="000847AB" w14:paraId="085F4FDE" w14:textId="4E88F630">
            <w:pPr>
              <w:rPr>
                <w:color w:val="000000"/>
                <w:sz w:val="22"/>
                <w:szCs w:val="22"/>
              </w:rPr>
            </w:pPr>
            <w:r w:rsidRPr="0074627C">
              <w:rPr>
                <w:color w:val="000000"/>
                <w:sz w:val="22"/>
                <w:szCs w:val="22"/>
              </w:rPr>
              <w:t xml:space="preserve">Complete Schedule C and file it with your return if the total gross estate contains any: </w:t>
            </w:r>
            <w:r w:rsidRPr="0074627C">
              <w:rPr>
                <w:color w:val="000000"/>
                <w:sz w:val="22"/>
                <w:szCs w:val="22"/>
              </w:rPr>
              <w:t>Mortgages, Notes, or Cash.</w:t>
            </w:r>
          </w:p>
        </w:tc>
      </w:tr>
      <w:tr w14:paraId="304BDF97" w14:textId="77777777" w:rsidTr="0074627C">
        <w:tblPrEx>
          <w:tblW w:w="8994" w:type="dxa"/>
          <w:tblInd w:w="535" w:type="dxa"/>
          <w:tblLayout w:type="fixed"/>
          <w:tblLook w:val="04A0"/>
        </w:tblPrEx>
        <w:trPr>
          <w:trHeight w:val="480"/>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3A23A6" w:rsidRPr="0074627C" w:rsidP="000847AB" w14:paraId="2E3E41FD" w14:textId="138092AC">
            <w:pPr>
              <w:rPr>
                <w:color w:val="000000"/>
                <w:sz w:val="22"/>
                <w:szCs w:val="22"/>
              </w:rPr>
            </w:pPr>
            <w:r w:rsidRPr="0074627C">
              <w:rPr>
                <w:color w:val="000000"/>
                <w:sz w:val="22"/>
                <w:szCs w:val="22"/>
              </w:rPr>
              <w:t xml:space="preserve">Form 706 Schedule D </w:t>
            </w:r>
          </w:p>
        </w:tc>
        <w:tc>
          <w:tcPr>
            <w:tcW w:w="6564" w:type="dxa"/>
            <w:tcBorders>
              <w:top w:val="nil"/>
              <w:left w:val="nil"/>
              <w:bottom w:val="single" w:sz="4" w:space="0" w:color="auto"/>
              <w:right w:val="single" w:sz="4" w:space="0" w:color="auto"/>
            </w:tcBorders>
            <w:shd w:val="clear" w:color="auto" w:fill="auto"/>
            <w:vAlign w:val="center"/>
          </w:tcPr>
          <w:p w:rsidR="003A23A6" w:rsidRPr="0074627C" w:rsidP="00C33AC1" w14:paraId="47C6CA4E" w14:textId="3614EF4C">
            <w:pPr>
              <w:rPr>
                <w:color w:val="000000"/>
                <w:sz w:val="22"/>
                <w:szCs w:val="22"/>
              </w:rPr>
            </w:pPr>
            <w:r w:rsidRPr="0074627C">
              <w:rPr>
                <w:color w:val="000000"/>
                <w:sz w:val="22"/>
                <w:szCs w:val="22"/>
              </w:rPr>
              <w:t>If you are required to file Form 706 and there was any insurance on the decedent's life, whether included in the gross estate, you must complete Schedule D.</w:t>
            </w:r>
          </w:p>
        </w:tc>
      </w:tr>
      <w:tr w14:paraId="14E8E473" w14:textId="77777777" w:rsidTr="0074627C">
        <w:tblPrEx>
          <w:tblW w:w="8994" w:type="dxa"/>
          <w:tblInd w:w="535" w:type="dxa"/>
          <w:tblLayout w:type="fixed"/>
          <w:tblLook w:val="04A0"/>
        </w:tblPrEx>
        <w:trPr>
          <w:trHeight w:val="480"/>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3A23A6" w:rsidRPr="0074627C" w:rsidP="000847AB" w14:paraId="69CD61BE" w14:textId="09C85DB1">
            <w:pPr>
              <w:rPr>
                <w:color w:val="000000"/>
                <w:sz w:val="22"/>
                <w:szCs w:val="22"/>
              </w:rPr>
            </w:pPr>
            <w:r w:rsidRPr="0074627C">
              <w:rPr>
                <w:color w:val="000000"/>
                <w:sz w:val="22"/>
                <w:szCs w:val="22"/>
              </w:rPr>
              <w:t>Form 706 Schedule E</w:t>
            </w:r>
          </w:p>
        </w:tc>
        <w:tc>
          <w:tcPr>
            <w:tcW w:w="6564" w:type="dxa"/>
            <w:tcBorders>
              <w:top w:val="nil"/>
              <w:left w:val="nil"/>
              <w:bottom w:val="single" w:sz="4" w:space="0" w:color="auto"/>
              <w:right w:val="single" w:sz="4" w:space="0" w:color="auto"/>
            </w:tcBorders>
            <w:shd w:val="clear" w:color="auto" w:fill="auto"/>
            <w:vAlign w:val="center"/>
          </w:tcPr>
          <w:p w:rsidR="003A23A6" w:rsidRPr="0074627C" w:rsidP="00D33626" w14:paraId="332E5E6A" w14:textId="2C87980D">
            <w:pPr>
              <w:rPr>
                <w:color w:val="000000"/>
                <w:sz w:val="22"/>
                <w:szCs w:val="22"/>
              </w:rPr>
            </w:pPr>
            <w:r w:rsidRPr="0074627C">
              <w:rPr>
                <w:color w:val="000000"/>
                <w:sz w:val="22"/>
                <w:szCs w:val="22"/>
              </w:rPr>
              <w:t xml:space="preserve">If you are required to </w:t>
            </w:r>
            <w:r w:rsidRPr="0074627C">
              <w:rPr>
                <w:color w:val="000000"/>
                <w:sz w:val="22"/>
                <w:szCs w:val="22"/>
              </w:rPr>
              <w:t>file Form 706, complete Schedule E and file it with the return if the decedent owned any joint property at the time of death, whether the decedent's interest is includible in the gross estate.</w:t>
            </w:r>
          </w:p>
        </w:tc>
      </w:tr>
      <w:tr w14:paraId="6EBE76B0" w14:textId="77777777" w:rsidTr="0074627C">
        <w:tblPrEx>
          <w:tblW w:w="8994" w:type="dxa"/>
          <w:tblInd w:w="535" w:type="dxa"/>
          <w:tblLayout w:type="fixed"/>
          <w:tblLook w:val="04A0"/>
        </w:tblPrEx>
        <w:trPr>
          <w:trHeight w:val="480"/>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3A23A6" w:rsidRPr="0074627C" w:rsidP="000847AB" w14:paraId="4590BE62" w14:textId="58F32E6F">
            <w:pPr>
              <w:rPr>
                <w:color w:val="000000"/>
                <w:sz w:val="22"/>
                <w:szCs w:val="22"/>
              </w:rPr>
            </w:pPr>
            <w:r w:rsidRPr="0074627C">
              <w:rPr>
                <w:color w:val="000000"/>
                <w:sz w:val="22"/>
                <w:szCs w:val="22"/>
              </w:rPr>
              <w:t>Form 706 Schedule F</w:t>
            </w:r>
          </w:p>
        </w:tc>
        <w:tc>
          <w:tcPr>
            <w:tcW w:w="6564" w:type="dxa"/>
            <w:tcBorders>
              <w:top w:val="nil"/>
              <w:left w:val="nil"/>
              <w:bottom w:val="single" w:sz="4" w:space="0" w:color="auto"/>
              <w:right w:val="single" w:sz="4" w:space="0" w:color="auto"/>
            </w:tcBorders>
            <w:shd w:val="clear" w:color="auto" w:fill="auto"/>
            <w:vAlign w:val="center"/>
          </w:tcPr>
          <w:p w:rsidR="003A23A6" w:rsidRPr="0074627C" w:rsidP="00412839" w14:paraId="4742F504" w14:textId="5D532D49">
            <w:pPr>
              <w:rPr>
                <w:color w:val="000000"/>
                <w:sz w:val="22"/>
                <w:szCs w:val="22"/>
              </w:rPr>
            </w:pPr>
            <w:r w:rsidRPr="0074627C">
              <w:rPr>
                <w:color w:val="000000"/>
                <w:sz w:val="22"/>
                <w:szCs w:val="22"/>
              </w:rPr>
              <w:t xml:space="preserve">On Schedule F, list all items that must be included in the gross estate that are not reported on any other schedule.  </w:t>
            </w:r>
          </w:p>
        </w:tc>
      </w:tr>
      <w:tr w14:paraId="12232C85" w14:textId="77777777" w:rsidTr="0074627C">
        <w:tblPrEx>
          <w:tblW w:w="8994" w:type="dxa"/>
          <w:tblInd w:w="535" w:type="dxa"/>
          <w:tblLayout w:type="fixed"/>
          <w:tblLook w:val="04A0"/>
        </w:tblPrEx>
        <w:trPr>
          <w:trHeight w:val="368"/>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3A23A6" w:rsidRPr="0074627C" w:rsidP="000847AB" w14:paraId="1BDC2EC8" w14:textId="7F61D60B">
            <w:pPr>
              <w:rPr>
                <w:color w:val="000000"/>
                <w:sz w:val="22"/>
                <w:szCs w:val="22"/>
              </w:rPr>
            </w:pPr>
            <w:r w:rsidRPr="0074627C">
              <w:rPr>
                <w:color w:val="000000"/>
                <w:sz w:val="22"/>
                <w:szCs w:val="22"/>
              </w:rPr>
              <w:t>Form 706 Schedule G</w:t>
            </w:r>
          </w:p>
        </w:tc>
        <w:tc>
          <w:tcPr>
            <w:tcW w:w="6564" w:type="dxa"/>
            <w:tcBorders>
              <w:top w:val="nil"/>
              <w:left w:val="nil"/>
              <w:bottom w:val="single" w:sz="4" w:space="0" w:color="auto"/>
              <w:right w:val="single" w:sz="4" w:space="0" w:color="auto"/>
            </w:tcBorders>
            <w:shd w:val="clear" w:color="auto" w:fill="auto"/>
            <w:vAlign w:val="center"/>
          </w:tcPr>
          <w:p w:rsidR="003A23A6" w:rsidRPr="0074627C" w:rsidP="00343A81" w14:paraId="1220DF4C" w14:textId="324C62F1">
            <w:pPr>
              <w:rPr>
                <w:color w:val="000000"/>
                <w:sz w:val="22"/>
                <w:szCs w:val="22"/>
              </w:rPr>
            </w:pPr>
            <w:r w:rsidRPr="0074627C">
              <w:rPr>
                <w:color w:val="000000"/>
                <w:sz w:val="22"/>
                <w:szCs w:val="22"/>
              </w:rPr>
              <w:t>Complete Schedule G and file it with the return if the decedent made transfers during the decedent’s life.</w:t>
            </w:r>
          </w:p>
        </w:tc>
      </w:tr>
      <w:tr w14:paraId="4ACA696E" w14:textId="77777777" w:rsidTr="0074627C">
        <w:tblPrEx>
          <w:tblW w:w="8994" w:type="dxa"/>
          <w:tblInd w:w="535" w:type="dxa"/>
          <w:tblLayout w:type="fixed"/>
          <w:tblLook w:val="04A0"/>
        </w:tblPrEx>
        <w:trPr>
          <w:trHeight w:val="377"/>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3A23A6" w:rsidRPr="0074627C" w:rsidP="000847AB" w14:paraId="6A6FAFD9" w14:textId="7031BB7C">
            <w:pPr>
              <w:rPr>
                <w:color w:val="000000"/>
                <w:sz w:val="22"/>
                <w:szCs w:val="22"/>
              </w:rPr>
            </w:pPr>
            <w:r w:rsidRPr="0074627C">
              <w:rPr>
                <w:color w:val="000000"/>
                <w:sz w:val="22"/>
                <w:szCs w:val="22"/>
              </w:rPr>
              <w:t>Form 706 Schedule H</w:t>
            </w:r>
          </w:p>
        </w:tc>
        <w:tc>
          <w:tcPr>
            <w:tcW w:w="6564" w:type="dxa"/>
            <w:tcBorders>
              <w:top w:val="nil"/>
              <w:left w:val="nil"/>
              <w:bottom w:val="single" w:sz="4" w:space="0" w:color="auto"/>
              <w:right w:val="single" w:sz="4" w:space="0" w:color="auto"/>
            </w:tcBorders>
            <w:shd w:val="clear" w:color="auto" w:fill="auto"/>
            <w:vAlign w:val="center"/>
          </w:tcPr>
          <w:p w:rsidR="003A23A6" w:rsidRPr="0074627C" w:rsidP="00046984" w14:paraId="50B4FFE9" w14:textId="185185A4">
            <w:pPr>
              <w:rPr>
                <w:color w:val="000000"/>
                <w:sz w:val="22"/>
                <w:szCs w:val="22"/>
              </w:rPr>
            </w:pPr>
            <w:r w:rsidRPr="0074627C">
              <w:rPr>
                <w:color w:val="000000"/>
                <w:sz w:val="22"/>
                <w:szCs w:val="22"/>
              </w:rPr>
              <w:t xml:space="preserve">Complete Schedule H and file it with the return if you answered “Yes” to question 14 of </w:t>
            </w:r>
            <w:r w:rsidRPr="0074627C">
              <w:rPr>
                <w:i/>
                <w:iCs/>
                <w:color w:val="000000"/>
                <w:sz w:val="22"/>
                <w:szCs w:val="22"/>
              </w:rPr>
              <w:t>Part 4—General Information</w:t>
            </w:r>
            <w:r w:rsidRPr="0074627C">
              <w:rPr>
                <w:color w:val="000000"/>
                <w:sz w:val="22"/>
                <w:szCs w:val="22"/>
              </w:rPr>
              <w:t>.</w:t>
            </w:r>
          </w:p>
        </w:tc>
      </w:tr>
      <w:tr w14:paraId="190B8E87" w14:textId="77777777" w:rsidTr="0074627C">
        <w:tblPrEx>
          <w:tblW w:w="8994" w:type="dxa"/>
          <w:tblInd w:w="535" w:type="dxa"/>
          <w:tblLayout w:type="fixed"/>
          <w:tblLook w:val="04A0"/>
        </w:tblPrEx>
        <w:trPr>
          <w:trHeight w:val="323"/>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3A23A6" w:rsidRPr="0074627C" w:rsidP="000847AB" w14:paraId="523B8E5B" w14:textId="6F5A339B">
            <w:pPr>
              <w:rPr>
                <w:color w:val="000000"/>
                <w:sz w:val="22"/>
                <w:szCs w:val="22"/>
              </w:rPr>
            </w:pPr>
            <w:r w:rsidRPr="0074627C">
              <w:rPr>
                <w:color w:val="000000"/>
                <w:sz w:val="22"/>
                <w:szCs w:val="22"/>
              </w:rPr>
              <w:t>Form 706 Schedule I</w:t>
            </w:r>
          </w:p>
        </w:tc>
        <w:tc>
          <w:tcPr>
            <w:tcW w:w="6564" w:type="dxa"/>
            <w:tcBorders>
              <w:top w:val="nil"/>
              <w:left w:val="nil"/>
              <w:bottom w:val="single" w:sz="4" w:space="0" w:color="auto"/>
              <w:right w:val="single" w:sz="4" w:space="0" w:color="auto"/>
            </w:tcBorders>
            <w:shd w:val="clear" w:color="auto" w:fill="auto"/>
            <w:vAlign w:val="center"/>
          </w:tcPr>
          <w:p w:rsidR="003A23A6" w:rsidRPr="0074627C" w:rsidP="00BA6071" w14:paraId="5DEE464B" w14:textId="5469DE50">
            <w:pPr>
              <w:rPr>
                <w:color w:val="000000"/>
                <w:sz w:val="22"/>
                <w:szCs w:val="22"/>
              </w:rPr>
            </w:pPr>
            <w:r w:rsidRPr="0074627C">
              <w:rPr>
                <w:color w:val="000000"/>
                <w:sz w:val="22"/>
                <w:szCs w:val="22"/>
              </w:rPr>
              <w:t xml:space="preserve">Complete Schedule l and file it with the return if you answered “Yes” to question 16 of </w:t>
            </w:r>
            <w:r w:rsidRPr="0074627C">
              <w:rPr>
                <w:i/>
                <w:iCs/>
                <w:color w:val="000000"/>
                <w:sz w:val="22"/>
                <w:szCs w:val="22"/>
              </w:rPr>
              <w:t>Part 4—General Information</w:t>
            </w:r>
            <w:r w:rsidRPr="0074627C">
              <w:rPr>
                <w:color w:val="000000"/>
                <w:sz w:val="22"/>
                <w:szCs w:val="22"/>
              </w:rPr>
              <w:t>.</w:t>
            </w:r>
          </w:p>
        </w:tc>
      </w:tr>
      <w:tr w14:paraId="3634B006" w14:textId="77777777" w:rsidTr="0074627C">
        <w:tblPrEx>
          <w:tblW w:w="8994" w:type="dxa"/>
          <w:tblInd w:w="535" w:type="dxa"/>
          <w:tblLayout w:type="fixed"/>
          <w:tblLook w:val="04A0"/>
        </w:tblPrEx>
        <w:trPr>
          <w:trHeight w:val="440"/>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3A23A6" w:rsidRPr="0074627C" w:rsidP="000847AB" w14:paraId="6B679E5E" w14:textId="2D1DFF48">
            <w:pPr>
              <w:rPr>
                <w:color w:val="000000"/>
                <w:sz w:val="22"/>
                <w:szCs w:val="22"/>
              </w:rPr>
            </w:pPr>
            <w:r w:rsidRPr="0074627C">
              <w:rPr>
                <w:color w:val="000000"/>
                <w:sz w:val="22"/>
                <w:szCs w:val="22"/>
              </w:rPr>
              <w:t>Form 706 Schedule J</w:t>
            </w:r>
          </w:p>
        </w:tc>
        <w:tc>
          <w:tcPr>
            <w:tcW w:w="6564" w:type="dxa"/>
            <w:tcBorders>
              <w:top w:val="nil"/>
              <w:left w:val="nil"/>
              <w:bottom w:val="single" w:sz="4" w:space="0" w:color="auto"/>
              <w:right w:val="single" w:sz="4" w:space="0" w:color="auto"/>
            </w:tcBorders>
            <w:shd w:val="clear" w:color="auto" w:fill="auto"/>
            <w:vAlign w:val="center"/>
          </w:tcPr>
          <w:p w:rsidR="003A23A6" w:rsidRPr="0074627C" w:rsidP="000847AB" w14:paraId="2C117EA8" w14:textId="1A84DB67">
            <w:pPr>
              <w:rPr>
                <w:color w:val="000000"/>
                <w:sz w:val="22"/>
                <w:szCs w:val="22"/>
              </w:rPr>
            </w:pPr>
            <w:r w:rsidRPr="0074627C">
              <w:rPr>
                <w:color w:val="000000"/>
                <w:sz w:val="22"/>
                <w:szCs w:val="22"/>
              </w:rPr>
              <w:t xml:space="preserve">Complete and file Schedule J if you claim a deduction on item 14 of </w:t>
            </w:r>
            <w:r w:rsidRPr="0074627C">
              <w:rPr>
                <w:i/>
                <w:iCs/>
                <w:color w:val="000000"/>
                <w:sz w:val="22"/>
                <w:szCs w:val="22"/>
              </w:rPr>
              <w:t>Part 5—Recapitulation.</w:t>
            </w:r>
          </w:p>
        </w:tc>
      </w:tr>
      <w:tr w14:paraId="0CBEB0C4" w14:textId="77777777" w:rsidTr="0074627C">
        <w:tblPrEx>
          <w:tblW w:w="8994" w:type="dxa"/>
          <w:tblInd w:w="535" w:type="dxa"/>
          <w:tblLayout w:type="fixed"/>
          <w:tblLook w:val="04A0"/>
        </w:tblPrEx>
        <w:trPr>
          <w:trHeight w:val="480"/>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3A23A6" w:rsidRPr="0074627C" w:rsidP="000847AB" w14:paraId="1E51B5FA" w14:textId="65AD265B">
            <w:pPr>
              <w:rPr>
                <w:color w:val="000000"/>
                <w:sz w:val="22"/>
                <w:szCs w:val="22"/>
              </w:rPr>
            </w:pPr>
            <w:r w:rsidRPr="0074627C">
              <w:rPr>
                <w:color w:val="000000"/>
                <w:sz w:val="22"/>
                <w:szCs w:val="22"/>
              </w:rPr>
              <w:t>Form 706 Schedule K</w:t>
            </w:r>
          </w:p>
        </w:tc>
        <w:tc>
          <w:tcPr>
            <w:tcW w:w="6564" w:type="dxa"/>
            <w:tcBorders>
              <w:top w:val="nil"/>
              <w:left w:val="nil"/>
              <w:bottom w:val="single" w:sz="4" w:space="0" w:color="auto"/>
              <w:right w:val="single" w:sz="4" w:space="0" w:color="auto"/>
            </w:tcBorders>
            <w:shd w:val="clear" w:color="auto" w:fill="auto"/>
            <w:vAlign w:val="center"/>
          </w:tcPr>
          <w:p w:rsidR="003A23A6" w:rsidRPr="0074627C" w:rsidP="000847AB" w14:paraId="1E85C40C" w14:textId="3D65D2FC">
            <w:pPr>
              <w:rPr>
                <w:color w:val="000000"/>
                <w:sz w:val="22"/>
                <w:szCs w:val="22"/>
              </w:rPr>
            </w:pPr>
            <w:r w:rsidRPr="0074627C">
              <w:rPr>
                <w:color w:val="000000"/>
                <w:sz w:val="22"/>
                <w:szCs w:val="22"/>
              </w:rPr>
              <w:t xml:space="preserve">You must complete and attach Schedule K if you claimed deductions on either item 15 or item 16 of </w:t>
            </w:r>
            <w:r w:rsidRPr="0074627C">
              <w:rPr>
                <w:i/>
                <w:iCs/>
                <w:color w:val="000000"/>
                <w:sz w:val="22"/>
                <w:szCs w:val="22"/>
              </w:rPr>
              <w:t>Part 5—Recapitulation.</w:t>
            </w:r>
          </w:p>
        </w:tc>
      </w:tr>
      <w:tr w14:paraId="285DBC48" w14:textId="77777777" w:rsidTr="0074627C">
        <w:tblPrEx>
          <w:tblW w:w="8994" w:type="dxa"/>
          <w:tblInd w:w="535" w:type="dxa"/>
          <w:tblLayout w:type="fixed"/>
          <w:tblLook w:val="04A0"/>
        </w:tblPrEx>
        <w:trPr>
          <w:trHeight w:val="413"/>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3A23A6" w:rsidRPr="0074627C" w:rsidP="000847AB" w14:paraId="0A900FB8" w14:textId="3D31358C">
            <w:pPr>
              <w:rPr>
                <w:color w:val="000000"/>
                <w:sz w:val="22"/>
                <w:szCs w:val="22"/>
              </w:rPr>
            </w:pPr>
            <w:r w:rsidRPr="0074627C">
              <w:rPr>
                <w:color w:val="000000"/>
                <w:sz w:val="22"/>
                <w:szCs w:val="22"/>
              </w:rPr>
              <w:t>Form 706 Schedule L</w:t>
            </w:r>
          </w:p>
        </w:tc>
        <w:tc>
          <w:tcPr>
            <w:tcW w:w="6564" w:type="dxa"/>
            <w:tcBorders>
              <w:top w:val="nil"/>
              <w:left w:val="nil"/>
              <w:bottom w:val="single" w:sz="4" w:space="0" w:color="auto"/>
              <w:right w:val="single" w:sz="4" w:space="0" w:color="auto"/>
            </w:tcBorders>
            <w:shd w:val="clear" w:color="auto" w:fill="auto"/>
            <w:vAlign w:val="center"/>
          </w:tcPr>
          <w:p w:rsidR="003A23A6" w:rsidRPr="0074627C" w:rsidP="000847AB" w14:paraId="4C8F1677" w14:textId="7D36F38A">
            <w:pPr>
              <w:rPr>
                <w:color w:val="000000"/>
                <w:sz w:val="22"/>
                <w:szCs w:val="22"/>
              </w:rPr>
            </w:pPr>
            <w:r w:rsidRPr="0074627C">
              <w:rPr>
                <w:color w:val="000000"/>
                <w:sz w:val="22"/>
                <w:szCs w:val="22"/>
              </w:rPr>
              <w:t xml:space="preserve">Complete Schedule L and file it with the return if you claim deductions on either item 19 or item 20 of </w:t>
            </w:r>
            <w:r w:rsidRPr="0074627C">
              <w:rPr>
                <w:i/>
                <w:iCs/>
                <w:color w:val="000000"/>
                <w:sz w:val="22"/>
                <w:szCs w:val="22"/>
              </w:rPr>
              <w:t>Part 5—Recapitulation.</w:t>
            </w:r>
          </w:p>
        </w:tc>
      </w:tr>
      <w:tr w14:paraId="623BA04C" w14:textId="77777777" w:rsidTr="0074627C">
        <w:tblPrEx>
          <w:tblW w:w="8994" w:type="dxa"/>
          <w:tblInd w:w="535" w:type="dxa"/>
          <w:tblLayout w:type="fixed"/>
          <w:tblLook w:val="04A0"/>
        </w:tblPrEx>
        <w:trPr>
          <w:trHeight w:val="440"/>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3A23A6" w:rsidRPr="0074627C" w:rsidP="000847AB" w14:paraId="2F0CE2F6" w14:textId="68C3EDA4">
            <w:pPr>
              <w:rPr>
                <w:color w:val="000000"/>
                <w:sz w:val="22"/>
                <w:szCs w:val="22"/>
              </w:rPr>
            </w:pPr>
            <w:r w:rsidRPr="0074627C">
              <w:rPr>
                <w:color w:val="000000"/>
                <w:sz w:val="22"/>
                <w:szCs w:val="22"/>
              </w:rPr>
              <w:t>Form 706 Schedule M</w:t>
            </w:r>
          </w:p>
        </w:tc>
        <w:tc>
          <w:tcPr>
            <w:tcW w:w="6564" w:type="dxa"/>
            <w:tcBorders>
              <w:top w:val="nil"/>
              <w:left w:val="nil"/>
              <w:bottom w:val="single" w:sz="4" w:space="0" w:color="auto"/>
              <w:right w:val="single" w:sz="4" w:space="0" w:color="auto"/>
            </w:tcBorders>
            <w:shd w:val="clear" w:color="auto" w:fill="auto"/>
            <w:vAlign w:val="center"/>
          </w:tcPr>
          <w:p w:rsidR="003A23A6" w:rsidRPr="0074627C" w:rsidP="00700583" w14:paraId="6A91461C" w14:textId="574CE79E">
            <w:pPr>
              <w:rPr>
                <w:color w:val="000000"/>
                <w:sz w:val="22"/>
                <w:szCs w:val="22"/>
              </w:rPr>
            </w:pPr>
            <w:r w:rsidRPr="0074627C">
              <w:rPr>
                <w:color w:val="000000"/>
                <w:sz w:val="22"/>
                <w:szCs w:val="22"/>
              </w:rPr>
              <w:t xml:space="preserve">You must complete Schedule M and file it with the return if you claim a deduction on item 21 of </w:t>
            </w:r>
            <w:r w:rsidRPr="0074627C">
              <w:rPr>
                <w:i/>
                <w:iCs/>
                <w:color w:val="000000"/>
                <w:sz w:val="22"/>
                <w:szCs w:val="22"/>
              </w:rPr>
              <w:t>Part 5—Recapitulation.</w:t>
            </w:r>
          </w:p>
        </w:tc>
      </w:tr>
      <w:tr w14:paraId="05E805B5" w14:textId="77777777" w:rsidTr="0074627C">
        <w:tblPrEx>
          <w:tblW w:w="8994" w:type="dxa"/>
          <w:tblInd w:w="535" w:type="dxa"/>
          <w:tblLayout w:type="fixed"/>
          <w:tblLook w:val="04A0"/>
        </w:tblPrEx>
        <w:trPr>
          <w:trHeight w:val="440"/>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3A23A6" w:rsidRPr="0074627C" w:rsidP="000847AB" w14:paraId="248174AE" w14:textId="467CC5D0">
            <w:pPr>
              <w:rPr>
                <w:color w:val="000000"/>
                <w:sz w:val="22"/>
                <w:szCs w:val="22"/>
              </w:rPr>
            </w:pPr>
            <w:r w:rsidRPr="0074627C">
              <w:rPr>
                <w:color w:val="000000"/>
                <w:sz w:val="22"/>
                <w:szCs w:val="22"/>
              </w:rPr>
              <w:t>Form 706 Schedule O</w:t>
            </w:r>
          </w:p>
        </w:tc>
        <w:tc>
          <w:tcPr>
            <w:tcW w:w="6564" w:type="dxa"/>
            <w:tcBorders>
              <w:top w:val="nil"/>
              <w:left w:val="nil"/>
              <w:bottom w:val="single" w:sz="4" w:space="0" w:color="auto"/>
              <w:right w:val="single" w:sz="4" w:space="0" w:color="auto"/>
            </w:tcBorders>
            <w:shd w:val="clear" w:color="auto" w:fill="auto"/>
            <w:vAlign w:val="center"/>
          </w:tcPr>
          <w:p w:rsidR="003A23A6" w:rsidRPr="0074627C" w:rsidP="000847AB" w14:paraId="02760D47" w14:textId="183ABFBC">
            <w:pPr>
              <w:rPr>
                <w:color w:val="000000"/>
                <w:sz w:val="22"/>
                <w:szCs w:val="22"/>
              </w:rPr>
            </w:pPr>
            <w:r w:rsidRPr="0074627C">
              <w:rPr>
                <w:color w:val="000000"/>
                <w:sz w:val="22"/>
                <w:szCs w:val="22"/>
              </w:rPr>
              <w:t xml:space="preserve">You must complete Schedule O and file it with the return if you claim a deduction on item 22 of </w:t>
            </w:r>
            <w:r w:rsidRPr="0074627C">
              <w:rPr>
                <w:i/>
                <w:iCs/>
                <w:color w:val="000000"/>
                <w:sz w:val="22"/>
                <w:szCs w:val="22"/>
              </w:rPr>
              <w:t>Part 5—Recapitulation.</w:t>
            </w:r>
          </w:p>
        </w:tc>
      </w:tr>
      <w:tr w14:paraId="7E87462E" w14:textId="77777777" w:rsidTr="0074627C">
        <w:tblPrEx>
          <w:tblW w:w="8994" w:type="dxa"/>
          <w:tblInd w:w="535" w:type="dxa"/>
          <w:tblLayout w:type="fixed"/>
          <w:tblLook w:val="04A0"/>
        </w:tblPrEx>
        <w:trPr>
          <w:trHeight w:val="440"/>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3A23A6" w:rsidRPr="0074627C" w:rsidP="000847AB" w14:paraId="312FAAFA" w14:textId="70B61C51">
            <w:pPr>
              <w:rPr>
                <w:color w:val="000000"/>
                <w:sz w:val="22"/>
                <w:szCs w:val="22"/>
              </w:rPr>
            </w:pPr>
            <w:r w:rsidRPr="0074627C">
              <w:rPr>
                <w:color w:val="000000"/>
                <w:sz w:val="22"/>
                <w:szCs w:val="22"/>
              </w:rPr>
              <w:t>Form 706 Schedule P</w:t>
            </w:r>
          </w:p>
        </w:tc>
        <w:tc>
          <w:tcPr>
            <w:tcW w:w="6564" w:type="dxa"/>
            <w:tcBorders>
              <w:top w:val="nil"/>
              <w:left w:val="nil"/>
              <w:bottom w:val="single" w:sz="4" w:space="0" w:color="auto"/>
              <w:right w:val="single" w:sz="4" w:space="0" w:color="auto"/>
            </w:tcBorders>
            <w:shd w:val="clear" w:color="auto" w:fill="auto"/>
            <w:vAlign w:val="center"/>
          </w:tcPr>
          <w:p w:rsidR="003A23A6" w:rsidRPr="0074627C" w:rsidP="000847AB" w14:paraId="17B464AF" w14:textId="3C66F836">
            <w:pPr>
              <w:rPr>
                <w:color w:val="000000"/>
                <w:sz w:val="22"/>
                <w:szCs w:val="22"/>
              </w:rPr>
            </w:pPr>
            <w:r w:rsidRPr="0074627C">
              <w:rPr>
                <w:color w:val="000000"/>
                <w:sz w:val="22"/>
                <w:szCs w:val="22"/>
              </w:rPr>
              <w:t xml:space="preserve">If you claim a credit on </w:t>
            </w:r>
            <w:r w:rsidRPr="0074627C">
              <w:rPr>
                <w:i/>
                <w:iCs/>
                <w:color w:val="000000"/>
                <w:sz w:val="22"/>
                <w:szCs w:val="22"/>
              </w:rPr>
              <w:t>Part 2—Tax Computation</w:t>
            </w:r>
            <w:r w:rsidRPr="0074627C">
              <w:rPr>
                <w:color w:val="000000"/>
                <w:sz w:val="22"/>
                <w:szCs w:val="22"/>
              </w:rPr>
              <w:t>, line 13, complete Schedule P and file it with the return. Attach Form(s) 706-CE to Form 706 to support any credit you claim.</w:t>
            </w:r>
          </w:p>
        </w:tc>
      </w:tr>
      <w:tr w14:paraId="237FE4ED" w14:textId="77777777" w:rsidTr="0074627C">
        <w:tblPrEx>
          <w:tblW w:w="8994" w:type="dxa"/>
          <w:tblInd w:w="535" w:type="dxa"/>
          <w:tblLayout w:type="fixed"/>
          <w:tblLook w:val="04A0"/>
        </w:tblPrEx>
        <w:trPr>
          <w:trHeight w:val="350"/>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3A23A6" w:rsidRPr="0074627C" w:rsidP="000847AB" w14:paraId="269C488A" w14:textId="7FE7D5DC">
            <w:pPr>
              <w:rPr>
                <w:color w:val="000000"/>
                <w:sz w:val="22"/>
                <w:szCs w:val="22"/>
              </w:rPr>
            </w:pPr>
            <w:r w:rsidRPr="0074627C">
              <w:rPr>
                <w:color w:val="000000"/>
                <w:sz w:val="22"/>
                <w:szCs w:val="22"/>
              </w:rPr>
              <w:t>Form 706 Schedule Q</w:t>
            </w:r>
          </w:p>
        </w:tc>
        <w:tc>
          <w:tcPr>
            <w:tcW w:w="6564" w:type="dxa"/>
            <w:tcBorders>
              <w:top w:val="nil"/>
              <w:left w:val="nil"/>
              <w:bottom w:val="single" w:sz="4" w:space="0" w:color="auto"/>
              <w:right w:val="single" w:sz="4" w:space="0" w:color="auto"/>
            </w:tcBorders>
            <w:shd w:val="clear" w:color="auto" w:fill="auto"/>
            <w:vAlign w:val="center"/>
          </w:tcPr>
          <w:p w:rsidR="003A23A6" w:rsidRPr="0074627C" w:rsidP="000847AB" w14:paraId="554A6E8C" w14:textId="65892DDA">
            <w:pPr>
              <w:rPr>
                <w:color w:val="000000"/>
                <w:sz w:val="22"/>
                <w:szCs w:val="22"/>
              </w:rPr>
            </w:pPr>
            <w:r w:rsidRPr="0074627C">
              <w:rPr>
                <w:color w:val="000000"/>
                <w:sz w:val="22"/>
                <w:szCs w:val="22"/>
              </w:rPr>
              <w:t xml:space="preserve">Complete Schedule Q and file it with the return if you claim a credit on </w:t>
            </w:r>
            <w:r w:rsidRPr="0074627C">
              <w:rPr>
                <w:i/>
                <w:iCs/>
                <w:color w:val="000000"/>
                <w:sz w:val="22"/>
                <w:szCs w:val="22"/>
              </w:rPr>
              <w:t>Part 2—Tax</w:t>
            </w:r>
            <w:r w:rsidRPr="0074627C">
              <w:rPr>
                <w:color w:val="000000"/>
                <w:sz w:val="22"/>
                <w:szCs w:val="22"/>
              </w:rPr>
              <w:t xml:space="preserve"> </w:t>
            </w:r>
            <w:r w:rsidRPr="0074627C">
              <w:rPr>
                <w:i/>
                <w:iCs/>
                <w:color w:val="000000"/>
                <w:sz w:val="22"/>
                <w:szCs w:val="22"/>
              </w:rPr>
              <w:t>Computation</w:t>
            </w:r>
            <w:r w:rsidRPr="0074627C">
              <w:rPr>
                <w:color w:val="000000"/>
                <w:sz w:val="22"/>
                <w:szCs w:val="22"/>
              </w:rPr>
              <w:t>, line 14.</w:t>
            </w:r>
          </w:p>
        </w:tc>
      </w:tr>
      <w:tr w14:paraId="0E0022DB" w14:textId="77777777" w:rsidTr="0074627C">
        <w:tblPrEx>
          <w:tblW w:w="8994" w:type="dxa"/>
          <w:tblInd w:w="535" w:type="dxa"/>
          <w:tblLayout w:type="fixed"/>
          <w:tblLook w:val="04A0"/>
        </w:tblPrEx>
        <w:trPr>
          <w:trHeight w:val="440"/>
        </w:trPr>
        <w:tc>
          <w:tcPr>
            <w:tcW w:w="2430" w:type="dxa"/>
            <w:tcBorders>
              <w:top w:val="nil"/>
              <w:left w:val="single" w:sz="4" w:space="0" w:color="auto"/>
              <w:bottom w:val="single" w:sz="4" w:space="0" w:color="auto"/>
              <w:right w:val="single" w:sz="4" w:space="0" w:color="auto"/>
            </w:tcBorders>
            <w:shd w:val="clear" w:color="auto" w:fill="auto"/>
            <w:vAlign w:val="center"/>
          </w:tcPr>
          <w:p w:rsidR="003A23A6" w:rsidRPr="0074627C" w:rsidP="000847AB" w14:paraId="7C7E196F" w14:textId="609B8707">
            <w:pPr>
              <w:rPr>
                <w:color w:val="000000"/>
                <w:sz w:val="22"/>
                <w:szCs w:val="22"/>
              </w:rPr>
            </w:pPr>
            <w:r w:rsidRPr="0074627C">
              <w:rPr>
                <w:color w:val="000000"/>
                <w:sz w:val="22"/>
                <w:szCs w:val="22"/>
              </w:rPr>
              <w:t>Form 706 Schedule R</w:t>
            </w:r>
          </w:p>
        </w:tc>
        <w:tc>
          <w:tcPr>
            <w:tcW w:w="6564" w:type="dxa"/>
            <w:tcBorders>
              <w:top w:val="nil"/>
              <w:left w:val="nil"/>
              <w:bottom w:val="single" w:sz="4" w:space="0" w:color="auto"/>
              <w:right w:val="single" w:sz="4" w:space="0" w:color="auto"/>
            </w:tcBorders>
            <w:shd w:val="clear" w:color="auto" w:fill="auto"/>
            <w:vAlign w:val="center"/>
          </w:tcPr>
          <w:p w:rsidR="003A23A6" w:rsidRPr="0074627C" w:rsidP="000847AB" w14:paraId="55E6B023" w14:textId="657E8FA0">
            <w:pPr>
              <w:rPr>
                <w:color w:val="000000"/>
                <w:sz w:val="22"/>
                <w:szCs w:val="22"/>
              </w:rPr>
            </w:pPr>
            <w:r w:rsidRPr="0074627C">
              <w:rPr>
                <w:color w:val="000000"/>
                <w:sz w:val="22"/>
                <w:szCs w:val="22"/>
              </w:rPr>
              <w:t xml:space="preserve">Schedule R is used to figure the </w:t>
            </w:r>
            <w:r w:rsidRPr="0074627C">
              <w:rPr>
                <w:color w:val="000000"/>
                <w:sz w:val="22"/>
                <w:szCs w:val="22"/>
              </w:rPr>
              <w:t>generation-skipping transfer (GST) tax that is payable by the estate.</w:t>
            </w:r>
          </w:p>
        </w:tc>
      </w:tr>
      <w:tr w14:paraId="1E2806EC" w14:textId="77777777" w:rsidTr="0074627C">
        <w:tblPrEx>
          <w:tblW w:w="8994" w:type="dxa"/>
          <w:tblInd w:w="535" w:type="dxa"/>
          <w:tblLayout w:type="fixed"/>
          <w:tblLook w:val="04A0"/>
        </w:tblPrEx>
        <w:trPr>
          <w:trHeight w:val="440"/>
        </w:trPr>
        <w:tc>
          <w:tcPr>
            <w:tcW w:w="2430" w:type="dxa"/>
            <w:tcBorders>
              <w:top w:val="nil"/>
              <w:left w:val="single" w:sz="4" w:space="0" w:color="auto"/>
              <w:bottom w:val="single" w:sz="4" w:space="0" w:color="auto"/>
              <w:right w:val="single" w:sz="4" w:space="0" w:color="auto"/>
            </w:tcBorders>
            <w:shd w:val="clear" w:color="auto" w:fill="auto"/>
            <w:vAlign w:val="center"/>
          </w:tcPr>
          <w:p w:rsidR="003A23A6" w:rsidRPr="0074627C" w:rsidP="00DA62EA" w14:paraId="3A01CB2B" w14:textId="70E74395">
            <w:pPr>
              <w:rPr>
                <w:color w:val="000000"/>
                <w:sz w:val="22"/>
                <w:szCs w:val="22"/>
              </w:rPr>
            </w:pPr>
            <w:r w:rsidRPr="0074627C">
              <w:rPr>
                <w:color w:val="000000"/>
                <w:sz w:val="22"/>
                <w:szCs w:val="22"/>
              </w:rPr>
              <w:t>Form 706 Schedule R-1</w:t>
            </w:r>
          </w:p>
        </w:tc>
        <w:tc>
          <w:tcPr>
            <w:tcW w:w="6564" w:type="dxa"/>
            <w:tcBorders>
              <w:top w:val="nil"/>
              <w:left w:val="nil"/>
              <w:bottom w:val="single" w:sz="4" w:space="0" w:color="auto"/>
              <w:right w:val="single" w:sz="4" w:space="0" w:color="auto"/>
            </w:tcBorders>
            <w:shd w:val="clear" w:color="auto" w:fill="auto"/>
            <w:vAlign w:val="center"/>
          </w:tcPr>
          <w:p w:rsidR="003A23A6" w:rsidRPr="0074627C" w:rsidP="00DA62EA" w14:paraId="210028C0" w14:textId="1135D2E0">
            <w:pPr>
              <w:rPr>
                <w:color w:val="000000"/>
                <w:sz w:val="22"/>
                <w:szCs w:val="22"/>
              </w:rPr>
            </w:pPr>
            <w:r w:rsidRPr="0074627C">
              <w:rPr>
                <w:color w:val="000000"/>
                <w:sz w:val="22"/>
                <w:szCs w:val="22"/>
              </w:rPr>
              <w:t xml:space="preserve">Schedule R-1 (Form 706) serves as a payment voucher for the Generation-Skipping Transfer (GST) tax imposed on a direct skip from a trust, which the trustee of </w:t>
            </w:r>
            <w:r w:rsidRPr="0074627C">
              <w:rPr>
                <w:color w:val="000000"/>
                <w:sz w:val="22"/>
                <w:szCs w:val="22"/>
              </w:rPr>
              <w:t>the of the trust must pay.</w:t>
            </w:r>
          </w:p>
        </w:tc>
      </w:tr>
      <w:tr w14:paraId="4B5A65E3" w14:textId="77777777" w:rsidTr="0074627C">
        <w:tblPrEx>
          <w:tblW w:w="8994" w:type="dxa"/>
          <w:tblInd w:w="535" w:type="dxa"/>
          <w:tblLayout w:type="fixed"/>
          <w:tblLook w:val="04A0"/>
        </w:tblPrEx>
        <w:trPr>
          <w:trHeight w:val="440"/>
        </w:trPr>
        <w:tc>
          <w:tcPr>
            <w:tcW w:w="2430" w:type="dxa"/>
            <w:tcBorders>
              <w:top w:val="nil"/>
              <w:left w:val="single" w:sz="4" w:space="0" w:color="auto"/>
              <w:bottom w:val="single" w:sz="4" w:space="0" w:color="auto"/>
              <w:right w:val="single" w:sz="4" w:space="0" w:color="auto"/>
            </w:tcBorders>
            <w:shd w:val="clear" w:color="auto" w:fill="auto"/>
            <w:vAlign w:val="center"/>
          </w:tcPr>
          <w:p w:rsidR="003A23A6" w:rsidRPr="0074627C" w:rsidP="00DA62EA" w14:paraId="584C2B8F" w14:textId="404ECA6F">
            <w:pPr>
              <w:rPr>
                <w:color w:val="000000"/>
                <w:sz w:val="22"/>
                <w:szCs w:val="22"/>
              </w:rPr>
            </w:pPr>
            <w:r w:rsidRPr="0074627C">
              <w:rPr>
                <w:color w:val="000000"/>
                <w:sz w:val="22"/>
                <w:szCs w:val="22"/>
              </w:rPr>
              <w:t>Form 706 Schedule T</w:t>
            </w:r>
          </w:p>
        </w:tc>
        <w:tc>
          <w:tcPr>
            <w:tcW w:w="6564" w:type="dxa"/>
            <w:tcBorders>
              <w:top w:val="nil"/>
              <w:left w:val="nil"/>
              <w:bottom w:val="single" w:sz="4" w:space="0" w:color="auto"/>
              <w:right w:val="single" w:sz="4" w:space="0" w:color="auto"/>
            </w:tcBorders>
            <w:shd w:val="clear" w:color="auto" w:fill="auto"/>
            <w:vAlign w:val="bottom"/>
          </w:tcPr>
          <w:p w:rsidR="003A23A6" w:rsidRPr="0074627C" w:rsidP="00DA62EA" w14:paraId="34C381E1" w14:textId="3460A0BB">
            <w:pPr>
              <w:rPr>
                <w:color w:val="000000"/>
                <w:sz w:val="22"/>
                <w:szCs w:val="22"/>
              </w:rPr>
            </w:pPr>
            <w:r w:rsidRPr="0074627C">
              <w:rPr>
                <w:color w:val="343434"/>
                <w:sz w:val="22"/>
                <w:szCs w:val="22"/>
              </w:rPr>
              <w:t xml:space="preserve">The election to value certain farm and closely held business property at its special-use value is made by checking “Yes” on Form 706, </w:t>
            </w:r>
            <w:r w:rsidRPr="0074627C">
              <w:rPr>
                <w:i/>
                <w:iCs/>
                <w:color w:val="343434"/>
                <w:sz w:val="22"/>
                <w:szCs w:val="22"/>
              </w:rPr>
              <w:t>Part 3—Elections by the Executor</w:t>
            </w:r>
            <w:r w:rsidRPr="0074627C">
              <w:rPr>
                <w:color w:val="343434"/>
                <w:sz w:val="22"/>
                <w:szCs w:val="22"/>
              </w:rPr>
              <w:t>, line 2. Schedule T is used to report the additional information that must be submitted to support this election.</w:t>
            </w:r>
          </w:p>
        </w:tc>
      </w:tr>
      <w:tr w14:paraId="5113B725" w14:textId="77777777" w:rsidTr="0074627C">
        <w:tblPrEx>
          <w:tblW w:w="8994" w:type="dxa"/>
          <w:tblInd w:w="535" w:type="dxa"/>
          <w:tblLayout w:type="fixed"/>
          <w:tblLook w:val="04A0"/>
        </w:tblPrEx>
        <w:trPr>
          <w:trHeight w:val="350"/>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3A23A6" w:rsidRPr="0074627C" w:rsidP="00DA62EA" w14:paraId="3645F3DE" w14:textId="66CBE5F3">
            <w:pPr>
              <w:rPr>
                <w:color w:val="000000"/>
                <w:sz w:val="22"/>
                <w:szCs w:val="22"/>
              </w:rPr>
            </w:pPr>
            <w:r w:rsidRPr="0074627C">
              <w:rPr>
                <w:color w:val="000000"/>
                <w:sz w:val="22"/>
                <w:szCs w:val="22"/>
              </w:rPr>
              <w:t>Form 706 Schedule U</w:t>
            </w:r>
          </w:p>
        </w:tc>
        <w:tc>
          <w:tcPr>
            <w:tcW w:w="6564" w:type="dxa"/>
            <w:tcBorders>
              <w:top w:val="nil"/>
              <w:left w:val="nil"/>
              <w:bottom w:val="single" w:sz="4" w:space="0" w:color="auto"/>
              <w:right w:val="single" w:sz="4" w:space="0" w:color="auto"/>
            </w:tcBorders>
            <w:shd w:val="clear" w:color="auto" w:fill="auto"/>
            <w:vAlign w:val="center"/>
          </w:tcPr>
          <w:p w:rsidR="003A23A6" w:rsidRPr="0074627C" w:rsidP="00DA62EA" w14:paraId="5D884D8B" w14:textId="11925DDB">
            <w:pPr>
              <w:rPr>
                <w:color w:val="000000"/>
                <w:sz w:val="22"/>
                <w:szCs w:val="22"/>
              </w:rPr>
            </w:pPr>
            <w:r w:rsidRPr="0074627C">
              <w:rPr>
                <w:color w:val="000000"/>
                <w:sz w:val="22"/>
                <w:szCs w:val="22"/>
              </w:rPr>
              <w:t xml:space="preserve">Schedule U covers Qualified Conservation Easement Exclusion elections. </w:t>
            </w:r>
          </w:p>
        </w:tc>
      </w:tr>
      <w:tr w14:paraId="1F58A7B5" w14:textId="77777777" w:rsidTr="0074627C">
        <w:tblPrEx>
          <w:tblW w:w="8994" w:type="dxa"/>
          <w:tblInd w:w="535" w:type="dxa"/>
          <w:tblLayout w:type="fixed"/>
          <w:tblLook w:val="04A0"/>
        </w:tblPrEx>
        <w:trPr>
          <w:trHeight w:val="350"/>
        </w:trPr>
        <w:tc>
          <w:tcPr>
            <w:tcW w:w="2430" w:type="dxa"/>
            <w:tcBorders>
              <w:top w:val="nil"/>
              <w:left w:val="single" w:sz="4" w:space="0" w:color="auto"/>
              <w:bottom w:val="single" w:sz="4" w:space="0" w:color="auto"/>
              <w:right w:val="single" w:sz="4" w:space="0" w:color="auto"/>
            </w:tcBorders>
            <w:shd w:val="clear" w:color="auto" w:fill="auto"/>
            <w:vAlign w:val="center"/>
          </w:tcPr>
          <w:p w:rsidR="003A23A6" w:rsidRPr="0074627C" w:rsidP="00DA62EA" w14:paraId="57CF845F" w14:textId="692DBBD3">
            <w:pPr>
              <w:rPr>
                <w:color w:val="000000"/>
                <w:sz w:val="22"/>
                <w:szCs w:val="22"/>
              </w:rPr>
            </w:pPr>
            <w:r w:rsidRPr="0074627C">
              <w:rPr>
                <w:color w:val="000000"/>
                <w:sz w:val="22"/>
                <w:szCs w:val="22"/>
              </w:rPr>
              <w:t>Form 706 Schedule W</w:t>
            </w:r>
          </w:p>
        </w:tc>
        <w:tc>
          <w:tcPr>
            <w:tcW w:w="6564" w:type="dxa"/>
            <w:tcBorders>
              <w:top w:val="nil"/>
              <w:left w:val="nil"/>
              <w:bottom w:val="single" w:sz="4" w:space="0" w:color="auto"/>
              <w:right w:val="single" w:sz="4" w:space="0" w:color="auto"/>
            </w:tcBorders>
            <w:shd w:val="clear" w:color="auto" w:fill="auto"/>
            <w:vAlign w:val="center"/>
          </w:tcPr>
          <w:p w:rsidR="003A23A6" w:rsidRPr="0074627C" w:rsidP="00DA62EA" w14:paraId="1A8C9C66" w14:textId="764F61EB">
            <w:pPr>
              <w:rPr>
                <w:color w:val="000000"/>
                <w:sz w:val="22"/>
                <w:szCs w:val="22"/>
              </w:rPr>
            </w:pPr>
            <w:r w:rsidRPr="0074627C">
              <w:rPr>
                <w:color w:val="000000"/>
                <w:sz w:val="22"/>
                <w:szCs w:val="22"/>
              </w:rPr>
              <w:t xml:space="preserve">This form is used when more space is needed to list more assets or deductions than was available on one of the main schedules. </w:t>
            </w:r>
          </w:p>
        </w:tc>
      </w:tr>
      <w:tr w14:paraId="560508D7" w14:textId="77777777" w:rsidTr="0074627C">
        <w:tblPrEx>
          <w:tblW w:w="8994" w:type="dxa"/>
          <w:tblInd w:w="535" w:type="dxa"/>
          <w:tblLayout w:type="fixed"/>
          <w:tblLook w:val="04A0"/>
        </w:tblPrEx>
        <w:trPr>
          <w:trHeight w:val="350"/>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3A23A6" w:rsidRPr="0074627C" w:rsidP="00DA62EA" w14:paraId="7C65E49F" w14:textId="13701D21">
            <w:pPr>
              <w:rPr>
                <w:color w:val="000000"/>
                <w:sz w:val="22"/>
                <w:szCs w:val="22"/>
              </w:rPr>
            </w:pPr>
            <w:r w:rsidRPr="0074627C">
              <w:rPr>
                <w:color w:val="000000"/>
                <w:sz w:val="22"/>
                <w:szCs w:val="22"/>
              </w:rPr>
              <w:t>Form 706 Schedule PC</w:t>
            </w:r>
          </w:p>
        </w:tc>
        <w:tc>
          <w:tcPr>
            <w:tcW w:w="6564" w:type="dxa"/>
            <w:tcBorders>
              <w:top w:val="nil"/>
              <w:left w:val="nil"/>
              <w:bottom w:val="single" w:sz="4" w:space="0" w:color="auto"/>
              <w:right w:val="single" w:sz="4" w:space="0" w:color="auto"/>
            </w:tcBorders>
            <w:shd w:val="clear" w:color="auto" w:fill="auto"/>
            <w:vAlign w:val="center"/>
          </w:tcPr>
          <w:p w:rsidR="003A23A6" w:rsidRPr="0074627C" w:rsidP="00DA62EA" w14:paraId="7212CB10" w14:textId="190A6250">
            <w:pPr>
              <w:rPr>
                <w:color w:val="000000"/>
                <w:sz w:val="22"/>
                <w:szCs w:val="22"/>
              </w:rPr>
            </w:pPr>
            <w:r w:rsidRPr="0074627C">
              <w:rPr>
                <w:color w:val="000000"/>
                <w:sz w:val="22"/>
                <w:szCs w:val="22"/>
              </w:rPr>
              <w:t>This form is used by Form 706 filers to file a section 2053 protective claim for refund by estates of decedents who died after December 31, 2011. It will also be used to inform the IRS when the contingency leading to the protective claim for refund is resolved and the refund due the estate is finalized.</w:t>
            </w:r>
          </w:p>
        </w:tc>
      </w:tr>
      <w:tr w14:paraId="35FC206D" w14:textId="77777777" w:rsidTr="0074627C">
        <w:tblPrEx>
          <w:tblW w:w="8994" w:type="dxa"/>
          <w:tblInd w:w="535" w:type="dxa"/>
          <w:tblLayout w:type="fixed"/>
          <w:tblLook w:val="04A0"/>
        </w:tblPrEx>
        <w:trPr>
          <w:trHeight w:val="350"/>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3A23A6" w:rsidRPr="0074627C" w:rsidP="00DA62EA" w14:paraId="1A310CD4" w14:textId="3B45E82A">
            <w:pPr>
              <w:rPr>
                <w:color w:val="000000"/>
                <w:sz w:val="22"/>
                <w:szCs w:val="22"/>
              </w:rPr>
            </w:pPr>
            <w:r w:rsidRPr="0074627C">
              <w:rPr>
                <w:color w:val="000000"/>
                <w:sz w:val="22"/>
                <w:szCs w:val="22"/>
              </w:rPr>
              <w:t>Form 706-A</w:t>
            </w:r>
          </w:p>
        </w:tc>
        <w:tc>
          <w:tcPr>
            <w:tcW w:w="6564" w:type="dxa"/>
            <w:tcBorders>
              <w:top w:val="nil"/>
              <w:left w:val="nil"/>
              <w:bottom w:val="single" w:sz="4" w:space="0" w:color="auto"/>
              <w:right w:val="single" w:sz="4" w:space="0" w:color="auto"/>
            </w:tcBorders>
            <w:shd w:val="clear" w:color="auto" w:fill="auto"/>
            <w:vAlign w:val="center"/>
          </w:tcPr>
          <w:p w:rsidR="003A23A6" w:rsidRPr="0074627C" w:rsidP="00DA62EA" w14:paraId="51AEB254" w14:textId="25337F5C">
            <w:pPr>
              <w:rPr>
                <w:color w:val="000000"/>
                <w:sz w:val="22"/>
                <w:szCs w:val="22"/>
              </w:rPr>
            </w:pPr>
            <w:r w:rsidRPr="0074627C">
              <w:rPr>
                <w:color w:val="000000"/>
                <w:sz w:val="22"/>
                <w:szCs w:val="22"/>
              </w:rPr>
              <w:t xml:space="preserve">This form is used to report all </w:t>
            </w:r>
            <w:r w:rsidRPr="0074627C">
              <w:rPr>
                <w:color w:val="000000"/>
                <w:sz w:val="22"/>
                <w:szCs w:val="22"/>
              </w:rPr>
              <w:t>dispositions or cessations of qualified use under Section 2032A of the Internal Revenue Code.</w:t>
            </w:r>
          </w:p>
        </w:tc>
      </w:tr>
      <w:tr w14:paraId="12BC340F" w14:textId="77777777" w:rsidTr="0074627C">
        <w:tblPrEx>
          <w:tblW w:w="8994" w:type="dxa"/>
          <w:tblInd w:w="535" w:type="dxa"/>
          <w:tblLayout w:type="fixed"/>
          <w:tblLook w:val="04A0"/>
        </w:tblPrEx>
        <w:trPr>
          <w:trHeight w:val="350"/>
        </w:trPr>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3A23A6" w:rsidRPr="0074627C" w:rsidP="00DA62EA" w14:paraId="4DE0608A" w14:textId="41C52D3B">
            <w:pPr>
              <w:rPr>
                <w:color w:val="000000"/>
                <w:sz w:val="22"/>
                <w:szCs w:val="22"/>
              </w:rPr>
            </w:pPr>
            <w:r w:rsidRPr="0074627C">
              <w:rPr>
                <w:color w:val="000000"/>
                <w:sz w:val="22"/>
                <w:szCs w:val="22"/>
              </w:rPr>
              <w:t>Form 706-CE</w:t>
            </w:r>
          </w:p>
        </w:tc>
        <w:tc>
          <w:tcPr>
            <w:tcW w:w="6564" w:type="dxa"/>
            <w:tcBorders>
              <w:top w:val="single" w:sz="4" w:space="0" w:color="auto"/>
              <w:left w:val="nil"/>
              <w:bottom w:val="single" w:sz="4" w:space="0" w:color="auto"/>
              <w:right w:val="single" w:sz="4" w:space="0" w:color="auto"/>
            </w:tcBorders>
            <w:shd w:val="clear" w:color="auto" w:fill="auto"/>
            <w:vAlign w:val="center"/>
          </w:tcPr>
          <w:p w:rsidR="003A23A6" w:rsidRPr="0074627C" w:rsidP="00DA62EA" w14:paraId="5DEE1C30" w14:textId="0DCDA8A4">
            <w:pPr>
              <w:rPr>
                <w:color w:val="000000"/>
                <w:sz w:val="22"/>
                <w:szCs w:val="22"/>
              </w:rPr>
            </w:pPr>
            <w:r w:rsidRPr="0074627C">
              <w:rPr>
                <w:color w:val="000000"/>
                <w:sz w:val="22"/>
                <w:szCs w:val="22"/>
              </w:rPr>
              <w:t>Executors use Form 706-CE as evidence of payment of foreign death taxes, to be allowed a credit for those foreign death taxes on Form 706.</w:t>
            </w:r>
          </w:p>
        </w:tc>
      </w:tr>
      <w:tr w14:paraId="5F4D9389" w14:textId="77777777" w:rsidTr="0074627C">
        <w:tblPrEx>
          <w:tblW w:w="8994" w:type="dxa"/>
          <w:tblInd w:w="535" w:type="dxa"/>
          <w:tblLayout w:type="fixed"/>
          <w:tblLook w:val="04A0"/>
        </w:tblPrEx>
        <w:trPr>
          <w:trHeight w:val="350"/>
        </w:trPr>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3A23A6" w:rsidRPr="0074627C" w:rsidP="00DA62EA" w14:paraId="3D96D3CC" w14:textId="2DED8862">
            <w:pPr>
              <w:rPr>
                <w:color w:val="000000"/>
                <w:sz w:val="22"/>
                <w:szCs w:val="22"/>
              </w:rPr>
            </w:pPr>
            <w:r w:rsidRPr="0074627C">
              <w:rPr>
                <w:color w:val="000000"/>
                <w:sz w:val="22"/>
                <w:szCs w:val="22"/>
              </w:rPr>
              <w:t>Form 706-GS(D)</w:t>
            </w:r>
          </w:p>
        </w:tc>
        <w:tc>
          <w:tcPr>
            <w:tcW w:w="6564" w:type="dxa"/>
            <w:tcBorders>
              <w:top w:val="single" w:sz="4" w:space="0" w:color="auto"/>
              <w:left w:val="nil"/>
              <w:bottom w:val="single" w:sz="4" w:space="0" w:color="auto"/>
              <w:right w:val="single" w:sz="4" w:space="0" w:color="auto"/>
            </w:tcBorders>
            <w:shd w:val="clear" w:color="auto" w:fill="auto"/>
            <w:vAlign w:val="center"/>
          </w:tcPr>
          <w:p w:rsidR="003A23A6" w:rsidRPr="0074627C" w:rsidP="00DA62EA" w14:paraId="0C84D78A" w14:textId="61E81B2A">
            <w:pPr>
              <w:rPr>
                <w:color w:val="000000"/>
                <w:sz w:val="22"/>
                <w:szCs w:val="22"/>
              </w:rPr>
            </w:pPr>
            <w:r w:rsidRPr="0074627C">
              <w:rPr>
                <w:color w:val="000000"/>
                <w:sz w:val="22"/>
                <w:szCs w:val="22"/>
              </w:rPr>
              <w:t>Form 706-GS(D) is used by a skip person distributee to calculate and report the tax due on distributions from a trust that are subject to the generation-skipping transfer (GST) tax.</w:t>
            </w:r>
          </w:p>
        </w:tc>
      </w:tr>
      <w:tr w14:paraId="177C3CAD" w14:textId="77777777" w:rsidTr="0074627C">
        <w:tblPrEx>
          <w:tblW w:w="8994" w:type="dxa"/>
          <w:tblInd w:w="535" w:type="dxa"/>
          <w:tblLayout w:type="fixed"/>
          <w:tblLook w:val="04A0"/>
        </w:tblPrEx>
        <w:trPr>
          <w:trHeight w:val="350"/>
        </w:trPr>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3A23A6" w:rsidRPr="0074627C" w:rsidP="00DA62EA" w14:paraId="097B3CF9" w14:textId="7A336915">
            <w:pPr>
              <w:rPr>
                <w:color w:val="000000"/>
                <w:sz w:val="22"/>
                <w:szCs w:val="22"/>
              </w:rPr>
            </w:pPr>
            <w:r w:rsidRPr="0074627C">
              <w:rPr>
                <w:color w:val="000000"/>
                <w:sz w:val="22"/>
                <w:szCs w:val="22"/>
              </w:rPr>
              <w:t>Form 706-GS(D-1)</w:t>
            </w:r>
          </w:p>
        </w:tc>
        <w:tc>
          <w:tcPr>
            <w:tcW w:w="6564" w:type="dxa"/>
            <w:tcBorders>
              <w:top w:val="single" w:sz="4" w:space="0" w:color="auto"/>
              <w:left w:val="nil"/>
              <w:bottom w:val="single" w:sz="4" w:space="0" w:color="auto"/>
              <w:right w:val="single" w:sz="4" w:space="0" w:color="auto"/>
            </w:tcBorders>
            <w:shd w:val="clear" w:color="auto" w:fill="auto"/>
            <w:vAlign w:val="center"/>
          </w:tcPr>
          <w:p w:rsidR="003A23A6" w:rsidRPr="0074627C" w:rsidP="00DA62EA" w14:paraId="1B7CA2BF" w14:textId="0448712D">
            <w:pPr>
              <w:rPr>
                <w:color w:val="000000"/>
                <w:sz w:val="22"/>
                <w:szCs w:val="22"/>
              </w:rPr>
            </w:pPr>
            <w:r w:rsidRPr="0074627C">
              <w:rPr>
                <w:color w:val="000000"/>
                <w:sz w:val="22"/>
                <w:szCs w:val="22"/>
              </w:rPr>
              <w:t xml:space="preserve">A trustee uses Form 706-GS(D-1) to report </w:t>
            </w:r>
            <w:r w:rsidRPr="0074627C">
              <w:rPr>
                <w:color w:val="000000"/>
                <w:sz w:val="22"/>
                <w:szCs w:val="22"/>
              </w:rPr>
              <w:t>certain distributions from a trust that are subject to the generation-skipping transfer tax and to provide the skip person distributee with information needed to figure the tax due on the distribution.</w:t>
            </w:r>
          </w:p>
        </w:tc>
      </w:tr>
      <w:tr w14:paraId="4A66752E" w14:textId="77777777" w:rsidTr="0074627C">
        <w:tblPrEx>
          <w:tblW w:w="8994" w:type="dxa"/>
          <w:tblInd w:w="535" w:type="dxa"/>
          <w:tblLayout w:type="fixed"/>
          <w:tblLook w:val="04A0"/>
        </w:tblPrEx>
        <w:trPr>
          <w:trHeight w:val="350"/>
        </w:trPr>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3A23A6" w:rsidRPr="0074627C" w:rsidP="00DA62EA" w14:paraId="7B735CFA" w14:textId="51DF068B">
            <w:pPr>
              <w:rPr>
                <w:color w:val="000000"/>
                <w:sz w:val="22"/>
                <w:szCs w:val="22"/>
              </w:rPr>
            </w:pPr>
            <w:r w:rsidRPr="0074627C">
              <w:rPr>
                <w:color w:val="000000"/>
                <w:sz w:val="22"/>
                <w:szCs w:val="22"/>
              </w:rPr>
              <w:t xml:space="preserve">Form 706-GS(T) </w:t>
            </w:r>
          </w:p>
        </w:tc>
        <w:tc>
          <w:tcPr>
            <w:tcW w:w="6564" w:type="dxa"/>
            <w:tcBorders>
              <w:top w:val="single" w:sz="4" w:space="0" w:color="auto"/>
              <w:left w:val="nil"/>
              <w:bottom w:val="single" w:sz="4" w:space="0" w:color="auto"/>
              <w:right w:val="single" w:sz="4" w:space="0" w:color="auto"/>
            </w:tcBorders>
            <w:shd w:val="clear" w:color="auto" w:fill="auto"/>
            <w:vAlign w:val="center"/>
          </w:tcPr>
          <w:p w:rsidR="003A23A6" w:rsidRPr="0074627C" w:rsidP="00DA62EA" w14:paraId="38525A7E" w14:textId="299235C8">
            <w:pPr>
              <w:rPr>
                <w:color w:val="000000"/>
                <w:sz w:val="22"/>
                <w:szCs w:val="22"/>
              </w:rPr>
            </w:pPr>
            <w:r w:rsidRPr="0074627C">
              <w:rPr>
                <w:color w:val="000000"/>
                <w:sz w:val="22"/>
                <w:szCs w:val="22"/>
              </w:rPr>
              <w:t>Form 706-GS(T) is used by a trustee to figure and report the tax due from certain trust terminations that are subject to the generation-skipping transfer (GST) tax.</w:t>
            </w:r>
          </w:p>
        </w:tc>
      </w:tr>
      <w:tr w14:paraId="069D20A2" w14:textId="77777777" w:rsidTr="0074627C">
        <w:tblPrEx>
          <w:tblW w:w="8994" w:type="dxa"/>
          <w:tblInd w:w="535" w:type="dxa"/>
          <w:tblLayout w:type="fixed"/>
          <w:tblLook w:val="04A0"/>
        </w:tblPrEx>
        <w:trPr>
          <w:trHeight w:val="350"/>
        </w:trPr>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3A23A6" w:rsidRPr="0074627C" w:rsidP="00DA62EA" w14:paraId="2C3FA567" w14:textId="30AE8E39">
            <w:pPr>
              <w:rPr>
                <w:color w:val="000000"/>
                <w:sz w:val="22"/>
                <w:szCs w:val="22"/>
              </w:rPr>
            </w:pPr>
            <w:r w:rsidRPr="0074627C">
              <w:rPr>
                <w:color w:val="000000"/>
                <w:sz w:val="22"/>
                <w:szCs w:val="22"/>
              </w:rPr>
              <w:t>Form 706-NA</w:t>
            </w:r>
          </w:p>
        </w:tc>
        <w:tc>
          <w:tcPr>
            <w:tcW w:w="6564" w:type="dxa"/>
            <w:tcBorders>
              <w:top w:val="single" w:sz="4" w:space="0" w:color="auto"/>
              <w:left w:val="nil"/>
              <w:bottom w:val="single" w:sz="4" w:space="0" w:color="auto"/>
              <w:right w:val="single" w:sz="4" w:space="0" w:color="auto"/>
            </w:tcBorders>
            <w:shd w:val="clear" w:color="auto" w:fill="auto"/>
            <w:vAlign w:val="center"/>
          </w:tcPr>
          <w:p w:rsidR="003A23A6" w:rsidRPr="0074627C" w:rsidP="0074627C" w14:paraId="7C954C4D" w14:textId="4E73E8DC">
            <w:pPr>
              <w:ind w:right="-108"/>
              <w:rPr>
                <w:color w:val="000000"/>
                <w:sz w:val="22"/>
                <w:szCs w:val="22"/>
              </w:rPr>
            </w:pPr>
            <w:r w:rsidRPr="0074627C">
              <w:rPr>
                <w:color w:val="000000"/>
                <w:sz w:val="22"/>
                <w:szCs w:val="22"/>
              </w:rPr>
              <w:t xml:space="preserve">Executors for nonresident alien decedents use Form 706-NA to compute estate and generation-skipping transfer (GST) tax liability. The estate tax </w:t>
            </w:r>
            <w:r w:rsidRPr="0074627C">
              <w:rPr>
                <w:color w:val="000000"/>
                <w:sz w:val="22"/>
                <w:szCs w:val="22"/>
              </w:rPr>
              <w:t>is imposed on the transfer of the decedent's taxable estate, rather than on the receipt of any part of it.</w:t>
            </w:r>
          </w:p>
        </w:tc>
      </w:tr>
      <w:tr w14:paraId="35B9A409" w14:textId="77777777" w:rsidTr="0074627C">
        <w:tblPrEx>
          <w:tblW w:w="8994" w:type="dxa"/>
          <w:tblInd w:w="535" w:type="dxa"/>
          <w:tblLayout w:type="fixed"/>
          <w:tblLook w:val="04A0"/>
        </w:tblPrEx>
        <w:trPr>
          <w:trHeight w:val="350"/>
        </w:trPr>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3A23A6" w:rsidRPr="0074627C" w:rsidP="00DA62EA" w14:paraId="01B5C62D" w14:textId="762C447E">
            <w:pPr>
              <w:rPr>
                <w:color w:val="000000"/>
                <w:sz w:val="22"/>
                <w:szCs w:val="22"/>
              </w:rPr>
            </w:pPr>
            <w:r w:rsidRPr="0074627C">
              <w:rPr>
                <w:color w:val="000000"/>
                <w:sz w:val="22"/>
                <w:szCs w:val="22"/>
              </w:rPr>
              <w:t xml:space="preserve">Form 706-QDT </w:t>
            </w:r>
          </w:p>
        </w:tc>
        <w:tc>
          <w:tcPr>
            <w:tcW w:w="6564" w:type="dxa"/>
            <w:tcBorders>
              <w:top w:val="single" w:sz="4" w:space="0" w:color="auto"/>
              <w:left w:val="nil"/>
              <w:bottom w:val="single" w:sz="4" w:space="0" w:color="auto"/>
              <w:right w:val="single" w:sz="4" w:space="0" w:color="auto"/>
            </w:tcBorders>
            <w:shd w:val="clear" w:color="auto" w:fill="auto"/>
            <w:vAlign w:val="center"/>
          </w:tcPr>
          <w:p w:rsidR="003A23A6" w:rsidRPr="0074627C" w:rsidP="0074627C" w14:paraId="19E30814" w14:textId="3E9B9685">
            <w:pPr>
              <w:ind w:right="-108"/>
              <w:rPr>
                <w:color w:val="000000"/>
                <w:sz w:val="22"/>
                <w:szCs w:val="22"/>
              </w:rPr>
            </w:pPr>
            <w:r w:rsidRPr="0074627C">
              <w:rPr>
                <w:color w:val="000000"/>
                <w:sz w:val="22"/>
                <w:szCs w:val="22"/>
              </w:rPr>
              <w:t>The trustee/designated filers of qualified domestic trusts use Form 706-QDT to figure and report tax on certain distributions, the value of property on the date of the surviving spouse's death, and the corpus portion of certain annuity payments.</w:t>
            </w:r>
          </w:p>
        </w:tc>
      </w:tr>
    </w:tbl>
    <w:p w:rsidR="00DA62EA" w:rsidP="00DA62EA" w14:paraId="02ECAC96" w14:textId="77777777">
      <w:pPr>
        <w:pStyle w:val="Level1"/>
        <w:tabs>
          <w:tab w:val="left" w:pos="-1440"/>
        </w:tabs>
        <w:autoSpaceDE w:val="0"/>
        <w:autoSpaceDN w:val="0"/>
        <w:adjustRightInd w:val="0"/>
        <w:ind w:left="720"/>
        <w:outlineLvl w:val="0"/>
        <w:rPr>
          <w:szCs w:val="24"/>
          <w:u w:val="single"/>
        </w:rPr>
      </w:pPr>
    </w:p>
    <w:p w:rsidR="009E4901" w:rsidRPr="00147B08" w:rsidP="0045306F" w14:paraId="034ECD84" w14:textId="30107887">
      <w:pPr>
        <w:pStyle w:val="Level1"/>
        <w:numPr>
          <w:ilvl w:val="0"/>
          <w:numId w:val="2"/>
        </w:numPr>
        <w:tabs>
          <w:tab w:val="left" w:pos="-1440"/>
          <w:tab w:val="num" w:pos="720"/>
        </w:tabs>
        <w:autoSpaceDE w:val="0"/>
        <w:autoSpaceDN w:val="0"/>
        <w:adjustRightInd w:val="0"/>
        <w:ind w:hanging="720"/>
        <w:outlineLvl w:val="0"/>
        <w:rPr>
          <w:szCs w:val="24"/>
          <w:u w:val="single"/>
        </w:rPr>
      </w:pPr>
      <w:r w:rsidRPr="00147B08">
        <w:rPr>
          <w:szCs w:val="24"/>
          <w:u w:val="single"/>
        </w:rPr>
        <w:t>USE OF DATA</w:t>
      </w:r>
    </w:p>
    <w:p w:rsidR="009E4901" w:rsidRPr="00147B08" w:rsidP="0045306F" w14:paraId="012EF94E" w14:textId="77777777">
      <w:pPr>
        <w:widowControl w:val="0"/>
        <w:autoSpaceDE w:val="0"/>
        <w:autoSpaceDN w:val="0"/>
        <w:adjustRightInd w:val="0"/>
        <w:ind w:left="720"/>
        <w:rPr>
          <w:szCs w:val="24"/>
        </w:rPr>
      </w:pPr>
    </w:p>
    <w:p w:rsidR="009E4901" w:rsidRPr="00147B08" w:rsidP="0045306F" w14:paraId="021EC93C" w14:textId="6A4DD409">
      <w:pPr>
        <w:widowControl w:val="0"/>
        <w:autoSpaceDE w:val="0"/>
        <w:autoSpaceDN w:val="0"/>
        <w:adjustRightInd w:val="0"/>
        <w:ind w:left="720"/>
        <w:rPr>
          <w:szCs w:val="24"/>
        </w:rPr>
      </w:pPr>
      <w:r w:rsidRPr="00147B08">
        <w:rPr>
          <w:szCs w:val="24"/>
        </w:rPr>
        <w:t xml:space="preserve">The IRS uses the information on Form 706 </w:t>
      </w:r>
      <w:r w:rsidR="00DE448B">
        <w:rPr>
          <w:szCs w:val="24"/>
        </w:rPr>
        <w:t xml:space="preserve">and related returns </w:t>
      </w:r>
      <w:r w:rsidRPr="00147B08">
        <w:rPr>
          <w:szCs w:val="24"/>
        </w:rPr>
        <w:t xml:space="preserve">to enforce the estate and </w:t>
      </w:r>
      <w:r w:rsidRPr="00147B08" w:rsidR="00DD418E">
        <w:rPr>
          <w:szCs w:val="24"/>
        </w:rPr>
        <w:t>GST</w:t>
      </w:r>
      <w:r w:rsidRPr="00147B08">
        <w:rPr>
          <w:szCs w:val="24"/>
        </w:rPr>
        <w:t xml:space="preserve"> tax provisions of the IRC</w:t>
      </w:r>
      <w:r w:rsidRPr="00147B08" w:rsidR="00F06884">
        <w:rPr>
          <w:szCs w:val="24"/>
        </w:rPr>
        <w:t xml:space="preserve"> and</w:t>
      </w:r>
      <w:r w:rsidRPr="00147B08">
        <w:rPr>
          <w:szCs w:val="24"/>
        </w:rPr>
        <w:t xml:space="preserve"> verify that the taxes have been properly computed. </w:t>
      </w:r>
    </w:p>
    <w:p w:rsidR="009E4901" w:rsidRPr="00147B08" w:rsidP="0045306F" w14:paraId="721AA721" w14:textId="77777777">
      <w:pPr>
        <w:widowControl w:val="0"/>
        <w:autoSpaceDE w:val="0"/>
        <w:autoSpaceDN w:val="0"/>
        <w:adjustRightInd w:val="0"/>
        <w:ind w:left="720"/>
        <w:rPr>
          <w:szCs w:val="24"/>
        </w:rPr>
      </w:pPr>
    </w:p>
    <w:p w:rsidR="009E4901" w:rsidRPr="00147B08" w:rsidP="00F06884" w14:paraId="038A8DBE" w14:textId="0BAEE585">
      <w:pPr>
        <w:pStyle w:val="Level1"/>
        <w:numPr>
          <w:ilvl w:val="0"/>
          <w:numId w:val="2"/>
        </w:numPr>
        <w:tabs>
          <w:tab w:val="left" w:pos="-1440"/>
          <w:tab w:val="num" w:pos="720"/>
        </w:tabs>
        <w:autoSpaceDE w:val="0"/>
        <w:autoSpaceDN w:val="0"/>
        <w:adjustRightInd w:val="0"/>
        <w:ind w:hanging="720"/>
        <w:outlineLvl w:val="0"/>
        <w:rPr>
          <w:szCs w:val="24"/>
          <w:u w:val="single"/>
        </w:rPr>
      </w:pPr>
      <w:r w:rsidRPr="00147B08">
        <w:rPr>
          <w:szCs w:val="24"/>
          <w:u w:val="single"/>
        </w:rPr>
        <w:t>USE OF IMPROVED INFORMATION TECHNOLOGY TO REDUCE BURDEN</w:t>
      </w:r>
    </w:p>
    <w:p w:rsidR="009E4901" w:rsidRPr="00147B08" w:rsidP="0045306F" w14:paraId="756C5529" w14:textId="77777777">
      <w:pPr>
        <w:widowControl w:val="0"/>
        <w:autoSpaceDE w:val="0"/>
        <w:autoSpaceDN w:val="0"/>
        <w:adjustRightInd w:val="0"/>
        <w:ind w:left="720"/>
        <w:rPr>
          <w:szCs w:val="24"/>
        </w:rPr>
      </w:pPr>
    </w:p>
    <w:p w:rsidR="007F08C9" w:rsidRPr="004C156B" w:rsidP="007F08C9" w14:paraId="4FAAB6A7" w14:textId="07F51EAE">
      <w:pPr>
        <w:ind w:left="720"/>
        <w:rPr>
          <w:color w:val="FF0000"/>
        </w:rPr>
      </w:pPr>
      <w:r w:rsidRPr="00147B08">
        <w:rPr>
          <w:szCs w:val="24"/>
        </w:rPr>
        <w:t xml:space="preserve">Form 706 and </w:t>
      </w:r>
      <w:r w:rsidR="00924758">
        <w:rPr>
          <w:szCs w:val="24"/>
        </w:rPr>
        <w:t xml:space="preserve">related returns </w:t>
      </w:r>
      <w:r w:rsidRPr="00147B08">
        <w:rPr>
          <w:szCs w:val="24"/>
        </w:rPr>
        <w:t xml:space="preserve">are available electronically on IRS.gov. </w:t>
      </w:r>
      <w:r>
        <w:t xml:space="preserve">IRS is </w:t>
      </w:r>
      <w:r w:rsidR="00F27934">
        <w:t>currently working on pro</w:t>
      </w:r>
      <w:r w:rsidR="00827875">
        <w:t xml:space="preserve">gramming to allow electronic filing of </w:t>
      </w:r>
      <w:r>
        <w:t>F</w:t>
      </w:r>
      <w:r w:rsidRPr="003F6E20">
        <w:t>orm 70</w:t>
      </w:r>
      <w:r>
        <w:t>6</w:t>
      </w:r>
      <w:r w:rsidRPr="003F6E20">
        <w:t xml:space="preserve"> </w:t>
      </w:r>
      <w:r>
        <w:t>serie</w:t>
      </w:r>
      <w:r w:rsidR="00827875">
        <w:t xml:space="preserve">s. </w:t>
      </w:r>
      <w:r w:rsidR="00F354BB">
        <w:t xml:space="preserve">We anticipate electronic filing to be enable </w:t>
      </w:r>
      <w:r w:rsidR="00327D61">
        <w:t>by tax year 2026.</w:t>
      </w:r>
      <w:r w:rsidRPr="004C156B">
        <w:rPr>
          <w:color w:val="FF0000"/>
        </w:rPr>
        <w:t xml:space="preserve"> </w:t>
      </w:r>
    </w:p>
    <w:p w:rsidR="009E4901" w:rsidRPr="00147B08" w:rsidP="0045306F" w14:paraId="61699235" w14:textId="77777777">
      <w:pPr>
        <w:widowControl w:val="0"/>
        <w:autoSpaceDE w:val="0"/>
        <w:autoSpaceDN w:val="0"/>
        <w:adjustRightInd w:val="0"/>
        <w:ind w:left="720"/>
        <w:rPr>
          <w:szCs w:val="24"/>
        </w:rPr>
      </w:pPr>
    </w:p>
    <w:p w:rsidR="009E4901" w:rsidRPr="00147B08" w:rsidP="00F06884" w14:paraId="2A1AEAE6" w14:textId="42AB5B94">
      <w:pPr>
        <w:pStyle w:val="Level1"/>
        <w:numPr>
          <w:ilvl w:val="0"/>
          <w:numId w:val="2"/>
        </w:numPr>
        <w:tabs>
          <w:tab w:val="left" w:pos="-1440"/>
          <w:tab w:val="num" w:pos="720"/>
        </w:tabs>
        <w:autoSpaceDE w:val="0"/>
        <w:autoSpaceDN w:val="0"/>
        <w:adjustRightInd w:val="0"/>
        <w:ind w:hanging="720"/>
        <w:outlineLvl w:val="0"/>
        <w:rPr>
          <w:szCs w:val="24"/>
          <w:u w:val="single"/>
        </w:rPr>
      </w:pPr>
      <w:r w:rsidRPr="00147B08">
        <w:rPr>
          <w:szCs w:val="24"/>
          <w:u w:val="single"/>
        </w:rPr>
        <w:t>EFFORTS TO IDENTIFY DUPLICATION</w:t>
      </w:r>
    </w:p>
    <w:p w:rsidR="009E4901" w:rsidRPr="00147B08" w:rsidP="0045306F" w14:paraId="65B245C1" w14:textId="77777777">
      <w:pPr>
        <w:widowControl w:val="0"/>
        <w:autoSpaceDE w:val="0"/>
        <w:autoSpaceDN w:val="0"/>
        <w:adjustRightInd w:val="0"/>
        <w:ind w:left="720"/>
        <w:rPr>
          <w:szCs w:val="24"/>
        </w:rPr>
      </w:pPr>
    </w:p>
    <w:p w:rsidR="00EC357F" w:rsidRPr="00147B08" w:rsidP="0045306F" w14:paraId="34B968F9" w14:textId="6687ADAC">
      <w:pPr>
        <w:widowControl w:val="0"/>
        <w:autoSpaceDE w:val="0"/>
        <w:autoSpaceDN w:val="0"/>
        <w:adjustRightInd w:val="0"/>
        <w:ind w:left="720"/>
        <w:rPr>
          <w:szCs w:val="24"/>
        </w:rPr>
      </w:pPr>
      <w:r w:rsidRPr="00147B08">
        <w:rPr>
          <w:szCs w:val="24"/>
        </w:rPr>
        <w:t>The information obtained through this collection is unique and is not already available for use or adaptation from another source.</w:t>
      </w:r>
    </w:p>
    <w:p w:rsidR="009E4901" w:rsidRPr="00147B08" w:rsidP="0045306F" w14:paraId="21B55013" w14:textId="77777777">
      <w:pPr>
        <w:widowControl w:val="0"/>
        <w:autoSpaceDE w:val="0"/>
        <w:autoSpaceDN w:val="0"/>
        <w:adjustRightInd w:val="0"/>
        <w:ind w:left="720"/>
        <w:rPr>
          <w:szCs w:val="24"/>
        </w:rPr>
      </w:pPr>
      <w:r w:rsidRPr="00147B08">
        <w:rPr>
          <w:szCs w:val="24"/>
        </w:rPr>
        <w:t xml:space="preserve"> </w:t>
      </w:r>
    </w:p>
    <w:p w:rsidR="009E4901" w:rsidRPr="00147B08" w:rsidP="00F06884" w14:paraId="43CDBFAC" w14:textId="6CEBEE65">
      <w:pPr>
        <w:pStyle w:val="Level1"/>
        <w:numPr>
          <w:ilvl w:val="0"/>
          <w:numId w:val="2"/>
        </w:numPr>
        <w:tabs>
          <w:tab w:val="left" w:pos="-1440"/>
          <w:tab w:val="num" w:pos="720"/>
        </w:tabs>
        <w:autoSpaceDE w:val="0"/>
        <w:autoSpaceDN w:val="0"/>
        <w:adjustRightInd w:val="0"/>
        <w:ind w:hanging="720"/>
        <w:outlineLvl w:val="0"/>
        <w:rPr>
          <w:szCs w:val="24"/>
          <w:u w:val="single"/>
        </w:rPr>
      </w:pPr>
      <w:r w:rsidRPr="00147B08">
        <w:rPr>
          <w:szCs w:val="24"/>
          <w:u w:val="single"/>
        </w:rPr>
        <w:t>METHODS TO MINIMIZE BURDEN ON SMALL BUSINESSES OR OTHER</w:t>
      </w:r>
      <w:r w:rsidRPr="00147B08" w:rsidR="00CA25A2">
        <w:rPr>
          <w:szCs w:val="24"/>
          <w:u w:val="single"/>
        </w:rPr>
        <w:t xml:space="preserve"> </w:t>
      </w:r>
      <w:r w:rsidRPr="00147B08">
        <w:rPr>
          <w:szCs w:val="24"/>
          <w:u w:val="single"/>
        </w:rPr>
        <w:t>SMALL ENTITIES</w:t>
      </w:r>
    </w:p>
    <w:p w:rsidR="009E4901" w:rsidRPr="00147B08" w:rsidP="0045306F" w14:paraId="473F0100" w14:textId="77777777">
      <w:pPr>
        <w:widowControl w:val="0"/>
        <w:autoSpaceDE w:val="0"/>
        <w:autoSpaceDN w:val="0"/>
        <w:adjustRightInd w:val="0"/>
        <w:ind w:left="720"/>
        <w:rPr>
          <w:szCs w:val="24"/>
        </w:rPr>
      </w:pPr>
    </w:p>
    <w:p w:rsidR="009E4901" w:rsidRPr="00147B08" w:rsidP="0045306F" w14:paraId="57163CD5" w14:textId="68B4CDA2">
      <w:pPr>
        <w:widowControl w:val="0"/>
        <w:autoSpaceDE w:val="0"/>
        <w:autoSpaceDN w:val="0"/>
        <w:adjustRightInd w:val="0"/>
        <w:ind w:left="720"/>
        <w:rPr>
          <w:szCs w:val="24"/>
        </w:rPr>
      </w:pPr>
      <w:r w:rsidRPr="00147B08">
        <w:rPr>
          <w:szCs w:val="24"/>
        </w:rPr>
        <w:t>T</w:t>
      </w:r>
      <w:r w:rsidRPr="00147B08" w:rsidR="00D05E87">
        <w:rPr>
          <w:szCs w:val="24"/>
        </w:rPr>
        <w:t>here</w:t>
      </w:r>
      <w:r w:rsidRPr="00147B08" w:rsidR="009258D3">
        <w:rPr>
          <w:szCs w:val="24"/>
        </w:rPr>
        <w:t xml:space="preserve"> is minimal to no burden </w:t>
      </w:r>
      <w:r w:rsidRPr="00147B08" w:rsidR="00D05E87">
        <w:rPr>
          <w:szCs w:val="24"/>
        </w:rPr>
        <w:t>o</w:t>
      </w:r>
      <w:r w:rsidRPr="00147B08" w:rsidR="009258D3">
        <w:rPr>
          <w:szCs w:val="24"/>
        </w:rPr>
        <w:t>n</w:t>
      </w:r>
      <w:r w:rsidRPr="00147B08" w:rsidR="00D05E87">
        <w:rPr>
          <w:szCs w:val="24"/>
        </w:rPr>
        <w:t xml:space="preserve"> small </w:t>
      </w:r>
      <w:r w:rsidRPr="00147B08" w:rsidR="009258D3">
        <w:rPr>
          <w:szCs w:val="24"/>
        </w:rPr>
        <w:t xml:space="preserve">businesses or </w:t>
      </w:r>
      <w:r w:rsidRPr="00147B08" w:rsidR="00D05E87">
        <w:rPr>
          <w:szCs w:val="24"/>
        </w:rPr>
        <w:t xml:space="preserve">entities </w:t>
      </w:r>
      <w:r w:rsidRPr="00147B08" w:rsidR="009258D3">
        <w:rPr>
          <w:szCs w:val="24"/>
        </w:rPr>
        <w:t>by this collection due to the inapplicability of the authorizing statue</w:t>
      </w:r>
      <w:r w:rsidRPr="00147B08">
        <w:rPr>
          <w:szCs w:val="24"/>
        </w:rPr>
        <w:t>s</w:t>
      </w:r>
      <w:r w:rsidRPr="00147B08" w:rsidR="009258D3">
        <w:rPr>
          <w:szCs w:val="24"/>
        </w:rPr>
        <w:t xml:space="preserve"> under </w:t>
      </w:r>
      <w:r w:rsidRPr="00147B08">
        <w:rPr>
          <w:szCs w:val="24"/>
        </w:rPr>
        <w:t xml:space="preserve">IRC </w:t>
      </w:r>
      <w:r w:rsidRPr="00147B08" w:rsidR="009258D3">
        <w:rPr>
          <w:szCs w:val="24"/>
        </w:rPr>
        <w:t>sections</w:t>
      </w:r>
      <w:r w:rsidRPr="00147B08" w:rsidR="00F325D1">
        <w:rPr>
          <w:szCs w:val="24"/>
        </w:rPr>
        <w:t xml:space="preserve"> 2001 and 2601</w:t>
      </w:r>
      <w:r w:rsidRPr="00147B08">
        <w:rPr>
          <w:szCs w:val="24"/>
        </w:rPr>
        <w:t>.</w:t>
      </w:r>
    </w:p>
    <w:p w:rsidR="009E4901" w:rsidRPr="00147B08" w:rsidP="0045306F" w14:paraId="0B289D6F" w14:textId="77777777">
      <w:pPr>
        <w:widowControl w:val="0"/>
        <w:autoSpaceDE w:val="0"/>
        <w:autoSpaceDN w:val="0"/>
        <w:adjustRightInd w:val="0"/>
        <w:ind w:left="720"/>
        <w:rPr>
          <w:szCs w:val="24"/>
        </w:rPr>
      </w:pPr>
    </w:p>
    <w:p w:rsidR="009E4901" w:rsidRPr="00147B08" w:rsidP="00F06884" w14:paraId="302C6DF0" w14:textId="726E0BC3">
      <w:pPr>
        <w:pStyle w:val="Level1"/>
        <w:numPr>
          <w:ilvl w:val="0"/>
          <w:numId w:val="2"/>
        </w:numPr>
        <w:tabs>
          <w:tab w:val="left" w:pos="-1440"/>
          <w:tab w:val="num" w:pos="720"/>
        </w:tabs>
        <w:autoSpaceDE w:val="0"/>
        <w:autoSpaceDN w:val="0"/>
        <w:adjustRightInd w:val="0"/>
        <w:ind w:hanging="720"/>
        <w:outlineLvl w:val="0"/>
        <w:rPr>
          <w:szCs w:val="24"/>
          <w:u w:val="single"/>
        </w:rPr>
      </w:pPr>
      <w:r w:rsidRPr="00147B08">
        <w:rPr>
          <w:szCs w:val="24"/>
          <w:u w:val="single"/>
        </w:rPr>
        <w:t>CONSEQUENCES OF LESS FREQUENT COLLECTION ON FEDERAL PROGRAMS OR POLICY ACTIVITIES</w:t>
      </w:r>
    </w:p>
    <w:p w:rsidR="009E4901" w:rsidRPr="00147B08" w:rsidP="00F06884" w14:paraId="33825606" w14:textId="77777777">
      <w:pPr>
        <w:widowControl w:val="0"/>
        <w:autoSpaceDE w:val="0"/>
        <w:autoSpaceDN w:val="0"/>
        <w:adjustRightInd w:val="0"/>
        <w:ind w:left="720"/>
        <w:rPr>
          <w:szCs w:val="24"/>
        </w:rPr>
      </w:pPr>
    </w:p>
    <w:p w:rsidR="009E4901" w:rsidRPr="00147B08" w:rsidP="00F06884" w14:paraId="2A2AE2BF" w14:textId="7FC9EFBA">
      <w:pPr>
        <w:widowControl w:val="0"/>
        <w:autoSpaceDE w:val="0"/>
        <w:autoSpaceDN w:val="0"/>
        <w:adjustRightInd w:val="0"/>
        <w:ind w:left="720"/>
        <w:rPr>
          <w:szCs w:val="24"/>
        </w:rPr>
      </w:pPr>
      <w:r w:rsidRPr="00147B08">
        <w:rPr>
          <w:szCs w:val="24"/>
        </w:rPr>
        <w:t>The IRS will use the information</w:t>
      </w:r>
      <w:r w:rsidRPr="00147B08" w:rsidR="0017619B">
        <w:rPr>
          <w:szCs w:val="24"/>
        </w:rPr>
        <w:t xml:space="preserve"> to determine and verify that </w:t>
      </w:r>
      <w:r w:rsidRPr="00147B08">
        <w:rPr>
          <w:szCs w:val="24"/>
        </w:rPr>
        <w:t>estate and GST</w:t>
      </w:r>
      <w:r w:rsidRPr="00147B08" w:rsidR="0017619B">
        <w:rPr>
          <w:szCs w:val="24"/>
        </w:rPr>
        <w:t xml:space="preserve"> taxes have</w:t>
      </w:r>
      <w:r w:rsidRPr="00147B08" w:rsidR="000231E3">
        <w:rPr>
          <w:szCs w:val="24"/>
        </w:rPr>
        <w:t xml:space="preserve"> been properly computed</w:t>
      </w:r>
      <w:r w:rsidRPr="00147B08" w:rsidR="00983A2E">
        <w:rPr>
          <w:szCs w:val="24"/>
        </w:rPr>
        <w:t>.</w:t>
      </w:r>
      <w:r w:rsidRPr="00147B08" w:rsidR="00F06884">
        <w:rPr>
          <w:szCs w:val="24"/>
        </w:rPr>
        <w:t xml:space="preserve"> </w:t>
      </w:r>
      <w:r w:rsidRPr="00147B08">
        <w:rPr>
          <w:szCs w:val="24"/>
        </w:rPr>
        <w:t>A less frequent collection would compromise the ability of the IRS to enforce tax compliance</w:t>
      </w:r>
      <w:r w:rsidRPr="00147B08" w:rsidR="000231E3">
        <w:rPr>
          <w:szCs w:val="24"/>
        </w:rPr>
        <w:t xml:space="preserve">. </w:t>
      </w:r>
      <w:bookmarkStart w:id="0" w:name="_Hlk95465246"/>
      <w:r w:rsidRPr="00147B08">
        <w:rPr>
          <w:bCs/>
          <w:szCs w:val="24"/>
        </w:rPr>
        <w:t>Tax compliance is a vital part of the government’s ability to meet its mission and serve the public.</w:t>
      </w:r>
      <w:bookmarkEnd w:id="0"/>
    </w:p>
    <w:p w:rsidR="009E4901" w:rsidRPr="00147B08" w:rsidP="00F06884" w14:paraId="4A498690" w14:textId="77777777">
      <w:pPr>
        <w:widowControl w:val="0"/>
        <w:autoSpaceDE w:val="0"/>
        <w:autoSpaceDN w:val="0"/>
        <w:adjustRightInd w:val="0"/>
        <w:ind w:left="720"/>
        <w:rPr>
          <w:szCs w:val="24"/>
        </w:rPr>
      </w:pPr>
    </w:p>
    <w:p w:rsidR="009E4901" w:rsidRPr="00147B08" w:rsidP="00F06884" w14:paraId="01BC1F9A" w14:textId="24312DAF">
      <w:pPr>
        <w:pStyle w:val="Level1"/>
        <w:numPr>
          <w:ilvl w:val="0"/>
          <w:numId w:val="2"/>
        </w:numPr>
        <w:tabs>
          <w:tab w:val="left" w:pos="-1440"/>
          <w:tab w:val="num" w:pos="720"/>
        </w:tabs>
        <w:autoSpaceDE w:val="0"/>
        <w:autoSpaceDN w:val="0"/>
        <w:adjustRightInd w:val="0"/>
        <w:ind w:hanging="720"/>
        <w:outlineLvl w:val="0"/>
        <w:rPr>
          <w:szCs w:val="24"/>
          <w:u w:val="single"/>
        </w:rPr>
      </w:pPr>
      <w:r w:rsidRPr="00147B08">
        <w:rPr>
          <w:szCs w:val="24"/>
          <w:u w:val="single"/>
        </w:rPr>
        <w:t>SPECIAL CIRCUMSTANCES REQUIRING DATA COLLECTION TO BE</w:t>
      </w:r>
      <w:r w:rsidRPr="00147B08" w:rsidR="00CA25A2">
        <w:rPr>
          <w:szCs w:val="24"/>
          <w:u w:val="single"/>
        </w:rPr>
        <w:t xml:space="preserve"> </w:t>
      </w:r>
      <w:r w:rsidRPr="00147B08">
        <w:rPr>
          <w:szCs w:val="24"/>
          <w:u w:val="single"/>
        </w:rPr>
        <w:t xml:space="preserve">INCONSISTENT WITH </w:t>
      </w:r>
      <w:r w:rsidRPr="00147B08">
        <w:rPr>
          <w:szCs w:val="24"/>
          <w:u w:val="single"/>
        </w:rPr>
        <w:t>GUIDELINES IN 5 CFR 1320.5(d)(2)</w:t>
      </w:r>
    </w:p>
    <w:p w:rsidR="009E4901" w:rsidRPr="00147B08" w:rsidP="00F06884" w14:paraId="29150FE4" w14:textId="77777777">
      <w:pPr>
        <w:widowControl w:val="0"/>
        <w:autoSpaceDE w:val="0"/>
        <w:autoSpaceDN w:val="0"/>
        <w:adjustRightInd w:val="0"/>
        <w:ind w:left="720"/>
        <w:rPr>
          <w:szCs w:val="24"/>
        </w:rPr>
      </w:pPr>
    </w:p>
    <w:p w:rsidR="00DA4DF9" w:rsidP="00F06884" w14:paraId="74B3C0B0" w14:textId="2F695900">
      <w:pPr>
        <w:widowControl w:val="0"/>
        <w:autoSpaceDE w:val="0"/>
        <w:autoSpaceDN w:val="0"/>
        <w:adjustRightInd w:val="0"/>
        <w:ind w:left="720"/>
        <w:rPr>
          <w:szCs w:val="24"/>
        </w:rPr>
      </w:pPr>
      <w:r w:rsidRPr="00147B08">
        <w:rPr>
          <w:szCs w:val="24"/>
        </w:rPr>
        <w:t xml:space="preserve">There are no special circumstances requiring data collection to be inconsistent with </w:t>
      </w:r>
      <w:r w:rsidRPr="00147B08" w:rsidR="00047BA9">
        <w:rPr>
          <w:szCs w:val="24"/>
        </w:rPr>
        <w:t>g</w:t>
      </w:r>
      <w:r w:rsidRPr="00147B08">
        <w:rPr>
          <w:szCs w:val="24"/>
        </w:rPr>
        <w:t>uidelines in 5 CFR 1320.5(d)(2).</w:t>
      </w:r>
    </w:p>
    <w:p w:rsidR="00414E64" w:rsidP="00F06884" w14:paraId="7C68857C" w14:textId="77777777">
      <w:pPr>
        <w:widowControl w:val="0"/>
        <w:autoSpaceDE w:val="0"/>
        <w:autoSpaceDN w:val="0"/>
        <w:adjustRightInd w:val="0"/>
        <w:ind w:left="720"/>
        <w:rPr>
          <w:szCs w:val="24"/>
        </w:rPr>
      </w:pPr>
    </w:p>
    <w:p w:rsidR="0074627C" w:rsidP="00F06884" w14:paraId="54DA3F99" w14:textId="77777777">
      <w:pPr>
        <w:widowControl w:val="0"/>
        <w:autoSpaceDE w:val="0"/>
        <w:autoSpaceDN w:val="0"/>
        <w:adjustRightInd w:val="0"/>
        <w:ind w:left="720"/>
        <w:rPr>
          <w:szCs w:val="24"/>
        </w:rPr>
      </w:pPr>
    </w:p>
    <w:p w:rsidR="0074627C" w:rsidP="00F06884" w14:paraId="096A8D0E" w14:textId="77777777">
      <w:pPr>
        <w:widowControl w:val="0"/>
        <w:autoSpaceDE w:val="0"/>
        <w:autoSpaceDN w:val="0"/>
        <w:adjustRightInd w:val="0"/>
        <w:ind w:left="720"/>
        <w:rPr>
          <w:szCs w:val="24"/>
        </w:rPr>
      </w:pPr>
    </w:p>
    <w:p w:rsidR="0074627C" w:rsidP="00F06884" w14:paraId="6297E1FA" w14:textId="77777777">
      <w:pPr>
        <w:widowControl w:val="0"/>
        <w:autoSpaceDE w:val="0"/>
        <w:autoSpaceDN w:val="0"/>
        <w:adjustRightInd w:val="0"/>
        <w:ind w:left="720"/>
        <w:rPr>
          <w:szCs w:val="24"/>
        </w:rPr>
      </w:pPr>
    </w:p>
    <w:p w:rsidR="0074627C" w:rsidRPr="00147B08" w:rsidP="00F06884" w14:paraId="5E59362D" w14:textId="77777777">
      <w:pPr>
        <w:widowControl w:val="0"/>
        <w:autoSpaceDE w:val="0"/>
        <w:autoSpaceDN w:val="0"/>
        <w:adjustRightInd w:val="0"/>
        <w:ind w:left="720"/>
        <w:rPr>
          <w:szCs w:val="24"/>
        </w:rPr>
      </w:pPr>
    </w:p>
    <w:p w:rsidR="009E4901" w:rsidRPr="00147B08" w:rsidP="00F06884" w14:paraId="2EF426CF" w14:textId="75AF8FED">
      <w:pPr>
        <w:pStyle w:val="Level1"/>
        <w:numPr>
          <w:ilvl w:val="0"/>
          <w:numId w:val="2"/>
        </w:numPr>
        <w:tabs>
          <w:tab w:val="left" w:pos="-1440"/>
          <w:tab w:val="num" w:pos="720"/>
        </w:tabs>
        <w:autoSpaceDE w:val="0"/>
        <w:autoSpaceDN w:val="0"/>
        <w:adjustRightInd w:val="0"/>
        <w:ind w:hanging="720"/>
        <w:outlineLvl w:val="0"/>
        <w:rPr>
          <w:szCs w:val="24"/>
          <w:u w:val="single"/>
        </w:rPr>
      </w:pPr>
      <w:r w:rsidRPr="00147B08">
        <w:rPr>
          <w:szCs w:val="24"/>
          <w:u w:val="single"/>
        </w:rPr>
        <w:t>CONSULTATION WITH INDIVIDUALS OUTSIDE OF THE AGENCY ON</w:t>
      </w:r>
      <w:r w:rsidRPr="00147B08" w:rsidR="00CA25A2">
        <w:rPr>
          <w:szCs w:val="24"/>
          <w:u w:val="single"/>
        </w:rPr>
        <w:t xml:space="preserve"> </w:t>
      </w:r>
      <w:r w:rsidRPr="00147B08">
        <w:rPr>
          <w:szCs w:val="24"/>
          <w:u w:val="single"/>
        </w:rPr>
        <w:t>AVAILABILITY OF DATA, FREQUENCY OF COLLECTION, CLARITY OF INSTRUCTIONS AND FORMS, AND DATA ELEMENTS</w:t>
      </w:r>
    </w:p>
    <w:p w:rsidR="009E4901" w:rsidRPr="00147B08" w:rsidP="00F06884" w14:paraId="6781AB3D" w14:textId="77777777">
      <w:pPr>
        <w:widowControl w:val="0"/>
        <w:autoSpaceDE w:val="0"/>
        <w:autoSpaceDN w:val="0"/>
        <w:adjustRightInd w:val="0"/>
        <w:ind w:left="720"/>
        <w:rPr>
          <w:szCs w:val="24"/>
        </w:rPr>
      </w:pPr>
    </w:p>
    <w:p w:rsidR="00D7479E" w:rsidRPr="00147B08" w:rsidP="00D51C17" w14:paraId="0FD044B4" w14:textId="7C0A5F29">
      <w:pPr>
        <w:widowControl w:val="0"/>
        <w:autoSpaceDE w:val="0"/>
        <w:autoSpaceDN w:val="0"/>
        <w:adjustRightInd w:val="0"/>
        <w:ind w:left="720"/>
        <w:rPr>
          <w:szCs w:val="24"/>
        </w:rPr>
      </w:pPr>
      <w:bookmarkStart w:id="1" w:name="_Hlk90540128"/>
      <w:bookmarkStart w:id="2" w:name="_Hlk103317334"/>
      <w:r w:rsidRPr="00147B08">
        <w:rPr>
          <w:szCs w:val="24"/>
        </w:rPr>
        <w:t xml:space="preserve">In response to the Federal Register notice dated </w:t>
      </w:r>
      <w:r w:rsidR="008340C4">
        <w:rPr>
          <w:szCs w:val="24"/>
        </w:rPr>
        <w:t>April 2</w:t>
      </w:r>
      <w:r w:rsidR="00924758">
        <w:rPr>
          <w:szCs w:val="24"/>
        </w:rPr>
        <w:t xml:space="preserve">, 2025, </w:t>
      </w:r>
      <w:r w:rsidRPr="00147B08">
        <w:rPr>
          <w:szCs w:val="24"/>
        </w:rPr>
        <w:t>(</w:t>
      </w:r>
      <w:r w:rsidR="0070130A">
        <w:rPr>
          <w:szCs w:val="24"/>
        </w:rPr>
        <w:t>90</w:t>
      </w:r>
      <w:r w:rsidRPr="00147B08">
        <w:rPr>
          <w:szCs w:val="24"/>
        </w:rPr>
        <w:t xml:space="preserve"> FR </w:t>
      </w:r>
      <w:r w:rsidR="008340C4">
        <w:rPr>
          <w:szCs w:val="24"/>
        </w:rPr>
        <w:t>14520</w:t>
      </w:r>
      <w:r w:rsidRPr="00147B08">
        <w:rPr>
          <w:szCs w:val="24"/>
        </w:rPr>
        <w:t xml:space="preserve">), the IRS received </w:t>
      </w:r>
      <w:r w:rsidR="0070130A">
        <w:rPr>
          <w:szCs w:val="24"/>
        </w:rPr>
        <w:t xml:space="preserve">no </w:t>
      </w:r>
      <w:r w:rsidRPr="00147B08">
        <w:rPr>
          <w:szCs w:val="24"/>
        </w:rPr>
        <w:t>public comment</w:t>
      </w:r>
      <w:bookmarkEnd w:id="1"/>
      <w:bookmarkEnd w:id="2"/>
      <w:r w:rsidR="00D51C17">
        <w:rPr>
          <w:szCs w:val="24"/>
        </w:rPr>
        <w:t xml:space="preserve">s.  </w:t>
      </w:r>
    </w:p>
    <w:p w:rsidR="009E4901" w:rsidRPr="00147B08" w:rsidP="00F06884" w14:paraId="72FBE800" w14:textId="77777777">
      <w:pPr>
        <w:widowControl w:val="0"/>
        <w:autoSpaceDE w:val="0"/>
        <w:autoSpaceDN w:val="0"/>
        <w:adjustRightInd w:val="0"/>
        <w:ind w:left="720"/>
        <w:rPr>
          <w:szCs w:val="24"/>
        </w:rPr>
      </w:pPr>
    </w:p>
    <w:p w:rsidR="009E4901" w:rsidRPr="00147B08" w:rsidP="00F06884" w14:paraId="450048E0" w14:textId="13EFE2E4">
      <w:pPr>
        <w:pStyle w:val="Level1"/>
        <w:numPr>
          <w:ilvl w:val="0"/>
          <w:numId w:val="2"/>
        </w:numPr>
        <w:tabs>
          <w:tab w:val="left" w:pos="-1440"/>
          <w:tab w:val="num" w:pos="720"/>
        </w:tabs>
        <w:autoSpaceDE w:val="0"/>
        <w:autoSpaceDN w:val="0"/>
        <w:adjustRightInd w:val="0"/>
        <w:ind w:hanging="720"/>
        <w:outlineLvl w:val="0"/>
        <w:rPr>
          <w:szCs w:val="24"/>
          <w:u w:val="single"/>
        </w:rPr>
      </w:pPr>
      <w:r w:rsidRPr="00147B08">
        <w:rPr>
          <w:szCs w:val="24"/>
          <w:u w:val="single"/>
        </w:rPr>
        <w:t xml:space="preserve">EXPLANATION OF DECISION TO PROVIDE ANY PAYMENT OR GIFT TO </w:t>
      </w:r>
      <w:r w:rsidRPr="00147B08">
        <w:rPr>
          <w:szCs w:val="24"/>
          <w:u w:val="single"/>
        </w:rPr>
        <w:t>RESPONDENTS</w:t>
      </w:r>
    </w:p>
    <w:p w:rsidR="009E4901" w:rsidRPr="00147B08" w:rsidP="00F06884" w14:paraId="36F8A366" w14:textId="77777777">
      <w:pPr>
        <w:widowControl w:val="0"/>
        <w:autoSpaceDE w:val="0"/>
        <w:autoSpaceDN w:val="0"/>
        <w:adjustRightInd w:val="0"/>
        <w:ind w:left="720"/>
        <w:rPr>
          <w:szCs w:val="24"/>
        </w:rPr>
      </w:pPr>
    </w:p>
    <w:p w:rsidR="00DA4DF9" w:rsidRPr="00147B08" w:rsidP="00F06884" w14:paraId="7BA15AB7" w14:textId="77777777">
      <w:pPr>
        <w:widowControl w:val="0"/>
        <w:autoSpaceDE w:val="0"/>
        <w:autoSpaceDN w:val="0"/>
        <w:adjustRightInd w:val="0"/>
        <w:ind w:left="720"/>
        <w:rPr>
          <w:szCs w:val="24"/>
        </w:rPr>
      </w:pPr>
      <w:r w:rsidRPr="00147B08">
        <w:rPr>
          <w:szCs w:val="24"/>
        </w:rPr>
        <w:t>No payment or gift has been provided to any respondents.</w:t>
      </w:r>
    </w:p>
    <w:p w:rsidR="009E4901" w:rsidRPr="00147B08" w:rsidP="00F06884" w14:paraId="78221670" w14:textId="77777777">
      <w:pPr>
        <w:widowControl w:val="0"/>
        <w:autoSpaceDE w:val="0"/>
        <w:autoSpaceDN w:val="0"/>
        <w:adjustRightInd w:val="0"/>
        <w:ind w:left="720"/>
        <w:rPr>
          <w:szCs w:val="24"/>
        </w:rPr>
      </w:pPr>
    </w:p>
    <w:p w:rsidR="009E4901" w:rsidRPr="00147B08" w:rsidP="00F06884" w14:paraId="4EC3BF8C" w14:textId="41F31989">
      <w:pPr>
        <w:pStyle w:val="Level1"/>
        <w:numPr>
          <w:ilvl w:val="0"/>
          <w:numId w:val="2"/>
        </w:numPr>
        <w:tabs>
          <w:tab w:val="left" w:pos="-1440"/>
          <w:tab w:val="num" w:pos="720"/>
        </w:tabs>
        <w:autoSpaceDE w:val="0"/>
        <w:autoSpaceDN w:val="0"/>
        <w:adjustRightInd w:val="0"/>
        <w:ind w:hanging="720"/>
        <w:outlineLvl w:val="0"/>
        <w:rPr>
          <w:szCs w:val="24"/>
          <w:u w:val="single"/>
        </w:rPr>
      </w:pPr>
      <w:r w:rsidRPr="00147B08">
        <w:rPr>
          <w:szCs w:val="24"/>
          <w:u w:val="single"/>
        </w:rPr>
        <w:t>ASSURANCE OF CONFIDENTIALITY OF RESPONSES</w:t>
      </w:r>
    </w:p>
    <w:p w:rsidR="009E4901" w:rsidRPr="00147B08" w:rsidP="00F06884" w14:paraId="46983740" w14:textId="77777777">
      <w:pPr>
        <w:widowControl w:val="0"/>
        <w:autoSpaceDE w:val="0"/>
        <w:autoSpaceDN w:val="0"/>
        <w:adjustRightInd w:val="0"/>
        <w:ind w:left="720"/>
        <w:rPr>
          <w:szCs w:val="24"/>
        </w:rPr>
      </w:pPr>
    </w:p>
    <w:p w:rsidR="009E4901" w:rsidRPr="00147B08" w:rsidP="00F06884" w14:paraId="588C6079" w14:textId="449F1833">
      <w:pPr>
        <w:widowControl w:val="0"/>
        <w:autoSpaceDE w:val="0"/>
        <w:autoSpaceDN w:val="0"/>
        <w:adjustRightInd w:val="0"/>
        <w:ind w:left="720"/>
        <w:rPr>
          <w:szCs w:val="24"/>
        </w:rPr>
      </w:pPr>
      <w:r w:rsidRPr="00147B08">
        <w:rPr>
          <w:szCs w:val="24"/>
        </w:rPr>
        <w:t>Generally, tax returns and tax return information are confidential as required by 26 U</w:t>
      </w:r>
      <w:r w:rsidRPr="00147B08" w:rsidR="0066171D">
        <w:rPr>
          <w:szCs w:val="24"/>
        </w:rPr>
        <w:t>.</w:t>
      </w:r>
      <w:r w:rsidRPr="00147B08">
        <w:rPr>
          <w:szCs w:val="24"/>
        </w:rPr>
        <w:t>S</w:t>
      </w:r>
      <w:r w:rsidRPr="00147B08" w:rsidR="0066171D">
        <w:rPr>
          <w:szCs w:val="24"/>
        </w:rPr>
        <w:t>.</w:t>
      </w:r>
      <w:r w:rsidRPr="00147B08">
        <w:rPr>
          <w:szCs w:val="24"/>
        </w:rPr>
        <w:t>C</w:t>
      </w:r>
      <w:r w:rsidRPr="00147B08" w:rsidR="0066171D">
        <w:rPr>
          <w:szCs w:val="24"/>
        </w:rPr>
        <w:t>.</w:t>
      </w:r>
      <w:r w:rsidRPr="00147B08">
        <w:rPr>
          <w:szCs w:val="24"/>
        </w:rPr>
        <w:t xml:space="preserve"> 6103.</w:t>
      </w:r>
    </w:p>
    <w:p w:rsidR="009E4901" w:rsidRPr="00147B08" w:rsidP="00F06884" w14:paraId="1C5DF413" w14:textId="77777777">
      <w:pPr>
        <w:widowControl w:val="0"/>
        <w:autoSpaceDE w:val="0"/>
        <w:autoSpaceDN w:val="0"/>
        <w:adjustRightInd w:val="0"/>
        <w:ind w:left="720"/>
        <w:rPr>
          <w:szCs w:val="24"/>
        </w:rPr>
      </w:pPr>
    </w:p>
    <w:p w:rsidR="009E4901" w:rsidRPr="00147B08" w:rsidP="00F06884" w14:paraId="5B6948E1" w14:textId="64FCD976">
      <w:pPr>
        <w:pStyle w:val="Level1"/>
        <w:numPr>
          <w:ilvl w:val="0"/>
          <w:numId w:val="2"/>
        </w:numPr>
        <w:tabs>
          <w:tab w:val="left" w:pos="-1440"/>
          <w:tab w:val="num" w:pos="720"/>
        </w:tabs>
        <w:autoSpaceDE w:val="0"/>
        <w:autoSpaceDN w:val="0"/>
        <w:adjustRightInd w:val="0"/>
        <w:ind w:hanging="720"/>
        <w:outlineLvl w:val="0"/>
        <w:rPr>
          <w:szCs w:val="24"/>
          <w:u w:val="single"/>
        </w:rPr>
      </w:pPr>
      <w:r w:rsidRPr="00147B08">
        <w:rPr>
          <w:szCs w:val="24"/>
          <w:u w:val="single"/>
        </w:rPr>
        <w:t>JUSTIFICATION OF SENSITIVE QUESTIONS</w:t>
      </w:r>
    </w:p>
    <w:p w:rsidR="009E4901" w:rsidRPr="00147B08" w:rsidP="00F06884" w14:paraId="711DC09E" w14:textId="77777777">
      <w:pPr>
        <w:widowControl w:val="0"/>
        <w:autoSpaceDE w:val="0"/>
        <w:autoSpaceDN w:val="0"/>
        <w:adjustRightInd w:val="0"/>
        <w:ind w:left="720"/>
        <w:rPr>
          <w:szCs w:val="24"/>
        </w:rPr>
      </w:pPr>
    </w:p>
    <w:p w:rsidR="0066171D" w:rsidRPr="00147B08" w:rsidP="0066171D" w14:paraId="2B8A09A6" w14:textId="7ABE470C">
      <w:pPr>
        <w:numPr>
          <w:ilvl w:val="12"/>
          <w:numId w:val="0"/>
        </w:numPr>
        <w:ind w:left="720"/>
        <w:rPr>
          <w:bCs/>
          <w:szCs w:val="24"/>
        </w:rPr>
      </w:pPr>
      <w:bookmarkStart w:id="3" w:name="_Hlk125524792"/>
      <w:bookmarkStart w:id="4" w:name="_Hlk129670057"/>
      <w:r w:rsidRPr="00147B08">
        <w:rPr>
          <w:bCs/>
          <w:szCs w:val="24"/>
        </w:rPr>
        <w:t xml:space="preserve">A </w:t>
      </w:r>
      <w:r w:rsidRPr="00147B08">
        <w:rPr>
          <w:bCs/>
          <w:szCs w:val="24"/>
        </w:rPr>
        <w:t>privacy impact assessment (PIA) has been conducted for information collected under this request</w:t>
      </w:r>
      <w:r w:rsidRPr="00147B08" w:rsidR="00AB46B3">
        <w:rPr>
          <w:bCs/>
          <w:szCs w:val="24"/>
        </w:rPr>
        <w:t xml:space="preserve"> as part of the “Business Master File (BMF)” and “Individual Master File (IMF) systems</w:t>
      </w:r>
      <w:r w:rsidRPr="00147B08">
        <w:rPr>
          <w:bCs/>
          <w:szCs w:val="24"/>
        </w:rPr>
        <w:t xml:space="preserve">, and a Privacy Act System of Records notice (SORN) has been issued for </w:t>
      </w:r>
      <w:bookmarkStart w:id="5" w:name="_Hlk94249110"/>
      <w:r w:rsidRPr="00147B08">
        <w:rPr>
          <w:bCs/>
          <w:szCs w:val="24"/>
        </w:rPr>
        <w:t xml:space="preserve">these systems under </w:t>
      </w:r>
      <w:bookmarkStart w:id="6" w:name="_Hlk95474527"/>
      <w:r w:rsidRPr="00147B08">
        <w:rPr>
          <w:bCs/>
          <w:szCs w:val="24"/>
        </w:rPr>
        <w:t>Treasury/IRS 24.030 - Customer Account Data Engine (CADE) Individual Master File</w:t>
      </w:r>
      <w:r w:rsidRPr="00147B08" w:rsidR="00AB46B3">
        <w:rPr>
          <w:bCs/>
          <w:szCs w:val="24"/>
        </w:rPr>
        <w:t>,</w:t>
      </w:r>
      <w:r w:rsidRPr="00147B08">
        <w:rPr>
          <w:bCs/>
          <w:szCs w:val="24"/>
        </w:rPr>
        <w:t xml:space="preserve"> Treasury/IRS 24.046 - CADE Business Master File (BMF)</w:t>
      </w:r>
      <w:r w:rsidRPr="00147B08" w:rsidR="00AB46B3">
        <w:rPr>
          <w:bCs/>
          <w:szCs w:val="24"/>
        </w:rPr>
        <w:t>, and</w:t>
      </w:r>
      <w:r w:rsidRPr="00147B08">
        <w:rPr>
          <w:bCs/>
          <w:szCs w:val="24"/>
        </w:rPr>
        <w:t xml:space="preserve"> Treasury/IRS 34.037 - Audit Trail and Security Records. </w:t>
      </w:r>
      <w:bookmarkStart w:id="7" w:name="_Hlk90540730"/>
      <w:r w:rsidRPr="00147B08">
        <w:rPr>
          <w:bCs/>
          <w:szCs w:val="24"/>
        </w:rPr>
        <w:t>The Internal Revenue Service PIAs can be f</w:t>
      </w:r>
      <w:r w:rsidRPr="00147B08">
        <w:rPr>
          <w:bCs/>
          <w:szCs w:val="24"/>
        </w:rPr>
        <w:t xml:space="preserve">ound </w:t>
      </w:r>
      <w:bookmarkStart w:id="8" w:name="_Hlk96425022"/>
      <w:r w:rsidRPr="00147B08">
        <w:rPr>
          <w:bCs/>
          <w:szCs w:val="24"/>
        </w:rPr>
        <w:t xml:space="preserve">at </w:t>
      </w:r>
      <w:bookmarkStart w:id="9" w:name="_Hlk90530558"/>
      <w:hyperlink r:id="rId5" w:history="1">
        <w:r w:rsidRPr="00147B08">
          <w:rPr>
            <w:rStyle w:val="Hyperlink"/>
            <w:bCs/>
            <w:szCs w:val="24"/>
          </w:rPr>
          <w:t>https://www.irs.gov/privacy-disclosure/privacy-impact-assessments-pia</w:t>
        </w:r>
      </w:hyperlink>
      <w:bookmarkEnd w:id="9"/>
      <w:r w:rsidRPr="00147B08">
        <w:rPr>
          <w:bCs/>
          <w:szCs w:val="24"/>
        </w:rPr>
        <w:t>.</w:t>
      </w:r>
      <w:bookmarkEnd w:id="3"/>
      <w:bookmarkEnd w:id="5"/>
      <w:bookmarkEnd w:id="6"/>
      <w:bookmarkEnd w:id="7"/>
      <w:bookmarkEnd w:id="8"/>
    </w:p>
    <w:p w:rsidR="0066171D" w:rsidRPr="00147B08" w:rsidP="0066171D" w14:paraId="69A100A4" w14:textId="77777777">
      <w:pPr>
        <w:numPr>
          <w:ilvl w:val="12"/>
          <w:numId w:val="0"/>
        </w:numPr>
        <w:ind w:left="720"/>
        <w:rPr>
          <w:bCs/>
          <w:szCs w:val="24"/>
        </w:rPr>
      </w:pPr>
    </w:p>
    <w:p w:rsidR="0066171D" w:rsidRPr="00147B08" w:rsidP="0066171D" w14:paraId="60A27D86" w14:textId="77777777">
      <w:pPr>
        <w:numPr>
          <w:ilvl w:val="12"/>
          <w:numId w:val="0"/>
        </w:numPr>
        <w:ind w:left="720"/>
        <w:rPr>
          <w:bCs/>
          <w:szCs w:val="24"/>
        </w:rPr>
      </w:pPr>
      <w:r w:rsidRPr="00147B08">
        <w:rPr>
          <w:bCs/>
          <w:szCs w:val="24"/>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bookmarkEnd w:id="4"/>
    </w:p>
    <w:p w:rsidR="009E4901" w:rsidRPr="00147B08" w:rsidP="00F06884" w14:paraId="3AD27136" w14:textId="77777777">
      <w:pPr>
        <w:widowControl w:val="0"/>
        <w:autoSpaceDE w:val="0"/>
        <w:autoSpaceDN w:val="0"/>
        <w:adjustRightInd w:val="0"/>
        <w:ind w:left="720"/>
        <w:rPr>
          <w:szCs w:val="24"/>
        </w:rPr>
      </w:pPr>
    </w:p>
    <w:p w:rsidR="009E4901" w:rsidRPr="00147B08" w:rsidP="00F06884" w14:paraId="364E043A" w14:textId="20FAC0A5">
      <w:pPr>
        <w:pStyle w:val="Level1"/>
        <w:numPr>
          <w:ilvl w:val="0"/>
          <w:numId w:val="2"/>
        </w:numPr>
        <w:tabs>
          <w:tab w:val="left" w:pos="-1440"/>
          <w:tab w:val="num" w:pos="720"/>
        </w:tabs>
        <w:autoSpaceDE w:val="0"/>
        <w:autoSpaceDN w:val="0"/>
        <w:adjustRightInd w:val="0"/>
        <w:ind w:hanging="720"/>
        <w:outlineLvl w:val="0"/>
        <w:rPr>
          <w:szCs w:val="24"/>
          <w:u w:val="single"/>
        </w:rPr>
      </w:pPr>
      <w:r w:rsidRPr="00147B08">
        <w:rPr>
          <w:szCs w:val="24"/>
          <w:u w:val="single"/>
        </w:rPr>
        <w:t xml:space="preserve">ESTIMATED BURDEN OF </w:t>
      </w:r>
      <w:r w:rsidRPr="00147B08">
        <w:rPr>
          <w:szCs w:val="24"/>
          <w:u w:val="single"/>
        </w:rPr>
        <w:t>INFORMATION COLLECTION</w:t>
      </w:r>
    </w:p>
    <w:p w:rsidR="003D557A" w:rsidRPr="00147B08" w:rsidP="00F06884" w14:paraId="2BCAD32C" w14:textId="44654B14">
      <w:pPr>
        <w:widowControl w:val="0"/>
        <w:autoSpaceDE w:val="0"/>
        <w:autoSpaceDN w:val="0"/>
        <w:adjustRightInd w:val="0"/>
        <w:ind w:left="720"/>
        <w:rPr>
          <w:szCs w:val="24"/>
        </w:rPr>
      </w:pPr>
      <w:r w:rsidRPr="00147B08">
        <w:rPr>
          <w:szCs w:val="24"/>
        </w:rPr>
        <w:tab/>
      </w:r>
    </w:p>
    <w:p w:rsidR="003D557A" w:rsidRPr="00147B08" w:rsidP="00F06884" w14:paraId="4D6010C9" w14:textId="541BB803">
      <w:pPr>
        <w:widowControl w:val="0"/>
        <w:autoSpaceDE w:val="0"/>
        <w:autoSpaceDN w:val="0"/>
        <w:adjustRightInd w:val="0"/>
        <w:ind w:left="720"/>
        <w:rPr>
          <w:szCs w:val="24"/>
        </w:rPr>
      </w:pPr>
      <w:r w:rsidRPr="00147B08">
        <w:rPr>
          <w:szCs w:val="24"/>
        </w:rPr>
        <w:t xml:space="preserve">Chapters 11 and 13 of the IRC require decedent estates to provide information and keep records. </w:t>
      </w:r>
      <w:r w:rsidRPr="00147B08" w:rsidR="005A69F1">
        <w:rPr>
          <w:szCs w:val="24"/>
        </w:rPr>
        <w:t xml:space="preserve">The executor of the estate uses </w:t>
      </w:r>
      <w:r w:rsidRPr="00147B08">
        <w:rPr>
          <w:szCs w:val="24"/>
        </w:rPr>
        <w:t xml:space="preserve">Form 706 </w:t>
      </w:r>
      <w:r w:rsidRPr="00147B08" w:rsidR="005A69F1">
        <w:rPr>
          <w:szCs w:val="24"/>
        </w:rPr>
        <w:t xml:space="preserve">to figure and report taxes imposed on the estate and certain GST taxes. </w:t>
      </w:r>
    </w:p>
    <w:p w:rsidR="00414E64" w:rsidP="00F06884" w14:paraId="5418BBFA" w14:textId="77777777">
      <w:pPr>
        <w:widowControl w:val="0"/>
        <w:autoSpaceDE w:val="0"/>
        <w:autoSpaceDN w:val="0"/>
        <w:adjustRightInd w:val="0"/>
        <w:ind w:left="720"/>
        <w:rPr>
          <w:szCs w:val="24"/>
        </w:rPr>
      </w:pPr>
    </w:p>
    <w:p w:rsidR="0074627C" w:rsidP="00F06884" w14:paraId="172F8425" w14:textId="77777777">
      <w:pPr>
        <w:widowControl w:val="0"/>
        <w:autoSpaceDE w:val="0"/>
        <w:autoSpaceDN w:val="0"/>
        <w:adjustRightInd w:val="0"/>
        <w:ind w:left="720"/>
        <w:rPr>
          <w:szCs w:val="24"/>
        </w:rPr>
      </w:pPr>
    </w:p>
    <w:p w:rsidR="0074627C" w:rsidP="00F06884" w14:paraId="6A59F7F4" w14:textId="77777777">
      <w:pPr>
        <w:widowControl w:val="0"/>
        <w:autoSpaceDE w:val="0"/>
        <w:autoSpaceDN w:val="0"/>
        <w:adjustRightInd w:val="0"/>
        <w:ind w:left="720"/>
        <w:rPr>
          <w:szCs w:val="24"/>
        </w:rPr>
      </w:pPr>
    </w:p>
    <w:p w:rsidR="0074627C" w:rsidP="00F06884" w14:paraId="0CF3EA7D" w14:textId="77777777">
      <w:pPr>
        <w:widowControl w:val="0"/>
        <w:autoSpaceDE w:val="0"/>
        <w:autoSpaceDN w:val="0"/>
        <w:adjustRightInd w:val="0"/>
        <w:ind w:left="720"/>
        <w:rPr>
          <w:szCs w:val="24"/>
        </w:rPr>
      </w:pPr>
    </w:p>
    <w:p w:rsidR="0074627C" w:rsidP="00F06884" w14:paraId="75E4BE1E" w14:textId="77777777">
      <w:pPr>
        <w:widowControl w:val="0"/>
        <w:autoSpaceDE w:val="0"/>
        <w:autoSpaceDN w:val="0"/>
        <w:adjustRightInd w:val="0"/>
        <w:ind w:left="720"/>
        <w:rPr>
          <w:szCs w:val="24"/>
        </w:rPr>
      </w:pPr>
    </w:p>
    <w:p w:rsidR="0074627C" w:rsidP="00F06884" w14:paraId="384834AE" w14:textId="77777777">
      <w:pPr>
        <w:widowControl w:val="0"/>
        <w:autoSpaceDE w:val="0"/>
        <w:autoSpaceDN w:val="0"/>
        <w:adjustRightInd w:val="0"/>
        <w:ind w:left="720"/>
        <w:rPr>
          <w:szCs w:val="24"/>
        </w:rPr>
      </w:pPr>
    </w:p>
    <w:p w:rsidR="0074627C" w:rsidP="00F06884" w14:paraId="0B2AC940" w14:textId="77777777">
      <w:pPr>
        <w:widowControl w:val="0"/>
        <w:autoSpaceDE w:val="0"/>
        <w:autoSpaceDN w:val="0"/>
        <w:adjustRightInd w:val="0"/>
        <w:ind w:left="720"/>
        <w:rPr>
          <w:szCs w:val="24"/>
        </w:rPr>
      </w:pPr>
    </w:p>
    <w:p w:rsidR="0074627C" w:rsidRPr="00147B08" w:rsidP="00F06884" w14:paraId="147F35A2" w14:textId="77777777">
      <w:pPr>
        <w:widowControl w:val="0"/>
        <w:autoSpaceDE w:val="0"/>
        <w:autoSpaceDN w:val="0"/>
        <w:adjustRightInd w:val="0"/>
        <w:ind w:left="720"/>
        <w:rPr>
          <w:szCs w:val="24"/>
        </w:rPr>
      </w:pPr>
    </w:p>
    <w:p w:rsidR="009E4901" w:rsidRPr="00147B08" w:rsidP="00F06884" w14:paraId="5B669151" w14:textId="0CE1DA14">
      <w:pPr>
        <w:widowControl w:val="0"/>
        <w:autoSpaceDE w:val="0"/>
        <w:autoSpaceDN w:val="0"/>
        <w:adjustRightInd w:val="0"/>
        <w:ind w:left="720"/>
        <w:rPr>
          <w:szCs w:val="24"/>
        </w:rPr>
      </w:pPr>
      <w:r w:rsidRPr="00147B08">
        <w:rPr>
          <w:szCs w:val="24"/>
        </w:rPr>
        <w:t>The burden estimate is as follows:</w:t>
      </w:r>
    </w:p>
    <w:p w:rsidR="003D3178" w:rsidRPr="00147B08" w:rsidP="00F06884" w14:paraId="4F77E93D" w14:textId="463B96F0">
      <w:pPr>
        <w:widowControl w:val="0"/>
        <w:autoSpaceDE w:val="0"/>
        <w:autoSpaceDN w:val="0"/>
        <w:adjustRightInd w:val="0"/>
        <w:ind w:left="720"/>
        <w:rPr>
          <w:szCs w:val="24"/>
        </w:rPr>
      </w:pPr>
    </w:p>
    <w:tbl>
      <w:tblPr>
        <w:tblW w:w="8667"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0"/>
        <w:gridCol w:w="1350"/>
        <w:gridCol w:w="1260"/>
        <w:gridCol w:w="1260"/>
        <w:gridCol w:w="1620"/>
        <w:gridCol w:w="1287"/>
      </w:tblGrid>
      <w:tr w14:paraId="14FE8D4D" w14:textId="77777777" w:rsidTr="0074627C">
        <w:tblPrEx>
          <w:tblW w:w="8667"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3"/>
        </w:trPr>
        <w:tc>
          <w:tcPr>
            <w:tcW w:w="1890" w:type="dxa"/>
            <w:vAlign w:val="bottom"/>
          </w:tcPr>
          <w:p w:rsidR="00403C4F" w:rsidRPr="00F33AF2" w:rsidP="0047162D" w14:paraId="13DEFCE1" w14:textId="77777777">
            <w:pPr>
              <w:keepNext/>
              <w:keepLines/>
              <w:numPr>
                <w:ilvl w:val="12"/>
                <w:numId w:val="0"/>
              </w:numPr>
              <w:jc w:val="center"/>
              <w:rPr>
                <w:b/>
                <w:sz w:val="20"/>
              </w:rPr>
            </w:pPr>
            <w:bookmarkStart w:id="10" w:name="_Hlk103748992"/>
            <w:r w:rsidRPr="00F33AF2">
              <w:rPr>
                <w:b/>
                <w:sz w:val="20"/>
              </w:rPr>
              <w:t>Description</w:t>
            </w:r>
          </w:p>
        </w:tc>
        <w:tc>
          <w:tcPr>
            <w:tcW w:w="1350" w:type="dxa"/>
            <w:vAlign w:val="bottom"/>
          </w:tcPr>
          <w:p w:rsidR="00403C4F" w:rsidRPr="00F33AF2" w:rsidP="0047162D" w14:paraId="6C98108A" w14:textId="77777777">
            <w:pPr>
              <w:keepNext/>
              <w:keepLines/>
              <w:numPr>
                <w:ilvl w:val="12"/>
                <w:numId w:val="0"/>
              </w:numPr>
              <w:jc w:val="center"/>
              <w:rPr>
                <w:b/>
                <w:sz w:val="20"/>
              </w:rPr>
            </w:pPr>
            <w:r w:rsidRPr="00F33AF2">
              <w:rPr>
                <w:b/>
                <w:sz w:val="20"/>
              </w:rPr>
              <w:t># of Respondents</w:t>
            </w:r>
          </w:p>
        </w:tc>
        <w:tc>
          <w:tcPr>
            <w:tcW w:w="1260" w:type="dxa"/>
            <w:vAlign w:val="bottom"/>
          </w:tcPr>
          <w:p w:rsidR="00403C4F" w:rsidRPr="00F33AF2" w:rsidP="0047162D" w14:paraId="20BF5EF1" w14:textId="77777777">
            <w:pPr>
              <w:keepNext/>
              <w:keepLines/>
              <w:numPr>
                <w:ilvl w:val="12"/>
                <w:numId w:val="0"/>
              </w:numPr>
              <w:jc w:val="center"/>
              <w:rPr>
                <w:b/>
                <w:sz w:val="20"/>
              </w:rPr>
            </w:pPr>
            <w:r w:rsidRPr="00F33AF2">
              <w:rPr>
                <w:b/>
                <w:sz w:val="20"/>
              </w:rPr>
              <w:t># Responses per Respondent</w:t>
            </w:r>
          </w:p>
        </w:tc>
        <w:tc>
          <w:tcPr>
            <w:tcW w:w="1260" w:type="dxa"/>
            <w:shd w:val="clear" w:color="auto" w:fill="auto"/>
            <w:vAlign w:val="bottom"/>
          </w:tcPr>
          <w:p w:rsidR="00403C4F" w:rsidRPr="00F33AF2" w:rsidP="0047162D" w14:paraId="68AA1119" w14:textId="77777777">
            <w:pPr>
              <w:keepNext/>
              <w:keepLines/>
              <w:numPr>
                <w:ilvl w:val="12"/>
                <w:numId w:val="0"/>
              </w:numPr>
              <w:jc w:val="center"/>
              <w:rPr>
                <w:b/>
                <w:sz w:val="20"/>
              </w:rPr>
            </w:pPr>
            <w:r w:rsidRPr="00F33AF2">
              <w:rPr>
                <w:b/>
                <w:sz w:val="20"/>
              </w:rPr>
              <w:t>Annual Responses</w:t>
            </w:r>
          </w:p>
        </w:tc>
        <w:tc>
          <w:tcPr>
            <w:tcW w:w="1620" w:type="dxa"/>
            <w:vAlign w:val="bottom"/>
          </w:tcPr>
          <w:p w:rsidR="00403C4F" w:rsidRPr="00F33AF2" w:rsidP="0047162D" w14:paraId="5F5EEC35" w14:textId="77777777">
            <w:pPr>
              <w:keepNext/>
              <w:keepLines/>
              <w:numPr>
                <w:ilvl w:val="12"/>
                <w:numId w:val="0"/>
              </w:numPr>
              <w:jc w:val="center"/>
              <w:rPr>
                <w:b/>
                <w:sz w:val="20"/>
              </w:rPr>
            </w:pPr>
            <w:r w:rsidRPr="00F33AF2">
              <w:rPr>
                <w:b/>
                <w:sz w:val="20"/>
              </w:rPr>
              <w:t>Hours per Response</w:t>
            </w:r>
          </w:p>
        </w:tc>
        <w:tc>
          <w:tcPr>
            <w:tcW w:w="1287" w:type="dxa"/>
            <w:shd w:val="clear" w:color="auto" w:fill="auto"/>
            <w:vAlign w:val="bottom"/>
          </w:tcPr>
          <w:p w:rsidR="00403C4F" w:rsidRPr="00F33AF2" w:rsidP="0047162D" w14:paraId="57989E52" w14:textId="77777777">
            <w:pPr>
              <w:keepNext/>
              <w:keepLines/>
              <w:numPr>
                <w:ilvl w:val="12"/>
                <w:numId w:val="0"/>
              </w:numPr>
              <w:jc w:val="center"/>
              <w:rPr>
                <w:b/>
                <w:sz w:val="20"/>
              </w:rPr>
            </w:pPr>
            <w:r w:rsidRPr="00F33AF2">
              <w:rPr>
                <w:b/>
                <w:sz w:val="20"/>
              </w:rPr>
              <w:t>Total Burden Hours</w:t>
            </w:r>
          </w:p>
        </w:tc>
      </w:tr>
      <w:tr w14:paraId="68003DC6" w14:textId="77777777" w:rsidTr="0074627C">
        <w:tblPrEx>
          <w:tblW w:w="8667" w:type="dxa"/>
          <w:tblInd w:w="625" w:type="dxa"/>
          <w:tblLayout w:type="fixed"/>
          <w:tblLook w:val="04A0"/>
        </w:tblPrEx>
        <w:trPr>
          <w:trHeight w:val="2760"/>
        </w:trPr>
        <w:tc>
          <w:tcPr>
            <w:tcW w:w="1890" w:type="dxa"/>
            <w:tcBorders>
              <w:bottom w:val="single" w:sz="4" w:space="0" w:color="auto"/>
            </w:tcBorders>
            <w:vAlign w:val="bottom"/>
          </w:tcPr>
          <w:p w:rsidR="00403C4F" w:rsidRPr="00F33AF2" w:rsidP="008D0AEA" w14:paraId="081AD0EA" w14:textId="77777777">
            <w:pPr>
              <w:keepNext/>
              <w:keepLines/>
              <w:numPr>
                <w:ilvl w:val="12"/>
                <w:numId w:val="0"/>
              </w:numPr>
              <w:spacing w:line="360" w:lineRule="auto"/>
              <w:rPr>
                <w:sz w:val="20"/>
              </w:rPr>
            </w:pPr>
            <w:r w:rsidRPr="00F33AF2">
              <w:rPr>
                <w:sz w:val="20"/>
              </w:rPr>
              <w:t>Form 706</w:t>
            </w:r>
          </w:p>
          <w:p w:rsidR="00403C4F" w:rsidRPr="00F33AF2" w:rsidP="008D0AEA" w14:paraId="07CD5131" w14:textId="03A435F4">
            <w:pPr>
              <w:keepNext/>
              <w:keepLines/>
              <w:numPr>
                <w:ilvl w:val="12"/>
                <w:numId w:val="0"/>
              </w:numPr>
              <w:spacing w:line="360" w:lineRule="auto"/>
              <w:ind w:left="-20" w:right="-100"/>
              <w:rPr>
                <w:sz w:val="20"/>
              </w:rPr>
            </w:pPr>
            <w:r>
              <w:rPr>
                <w:sz w:val="20"/>
              </w:rPr>
              <w:t>Form 706-A</w:t>
            </w:r>
          </w:p>
          <w:p w:rsidR="00403C4F" w:rsidRPr="00EC61C8" w:rsidP="008D0AEA" w14:paraId="6AB07068" w14:textId="77777777">
            <w:pPr>
              <w:keepNext/>
              <w:keepLines/>
              <w:numPr>
                <w:ilvl w:val="12"/>
                <w:numId w:val="0"/>
              </w:numPr>
              <w:spacing w:line="360" w:lineRule="auto"/>
              <w:rPr>
                <w:sz w:val="20"/>
              </w:rPr>
            </w:pPr>
            <w:r w:rsidRPr="00EC61C8">
              <w:rPr>
                <w:sz w:val="20"/>
              </w:rPr>
              <w:t>Form 706-CE</w:t>
            </w:r>
          </w:p>
          <w:p w:rsidR="00403C4F" w:rsidRPr="00EC61C8" w:rsidP="008D0AEA" w14:paraId="0DD53B0C" w14:textId="77777777">
            <w:pPr>
              <w:keepNext/>
              <w:keepLines/>
              <w:numPr>
                <w:ilvl w:val="12"/>
                <w:numId w:val="0"/>
              </w:numPr>
              <w:spacing w:line="360" w:lineRule="auto"/>
              <w:rPr>
                <w:sz w:val="20"/>
              </w:rPr>
            </w:pPr>
            <w:r>
              <w:rPr>
                <w:sz w:val="20"/>
              </w:rPr>
              <w:t>Form 706 GS(D)</w:t>
            </w:r>
          </w:p>
          <w:p w:rsidR="00403C4F" w:rsidRPr="00EC61C8" w:rsidP="008D0AEA" w14:paraId="4846F91A" w14:textId="77777777">
            <w:pPr>
              <w:keepNext/>
              <w:keepLines/>
              <w:numPr>
                <w:ilvl w:val="12"/>
                <w:numId w:val="0"/>
              </w:numPr>
              <w:spacing w:line="360" w:lineRule="auto"/>
              <w:rPr>
                <w:sz w:val="20"/>
              </w:rPr>
            </w:pPr>
            <w:r>
              <w:rPr>
                <w:sz w:val="20"/>
              </w:rPr>
              <w:t>Form 706 GS(D-1)</w:t>
            </w:r>
          </w:p>
          <w:p w:rsidR="00403C4F" w:rsidRPr="00EC61C8" w:rsidP="008D0AEA" w14:paraId="65CF27B2" w14:textId="77777777">
            <w:pPr>
              <w:keepNext/>
              <w:keepLines/>
              <w:numPr>
                <w:ilvl w:val="12"/>
                <w:numId w:val="0"/>
              </w:numPr>
              <w:spacing w:line="360" w:lineRule="auto"/>
              <w:rPr>
                <w:sz w:val="20"/>
              </w:rPr>
            </w:pPr>
            <w:r>
              <w:rPr>
                <w:sz w:val="20"/>
              </w:rPr>
              <w:t>Form 706-GS(T)</w:t>
            </w:r>
          </w:p>
          <w:p w:rsidR="00403C4F" w:rsidRPr="00EC61C8" w:rsidP="008D0AEA" w14:paraId="5732BBEB" w14:textId="77777777">
            <w:pPr>
              <w:keepNext/>
              <w:keepLines/>
              <w:numPr>
                <w:ilvl w:val="12"/>
                <w:numId w:val="0"/>
              </w:numPr>
              <w:spacing w:line="360" w:lineRule="auto"/>
              <w:rPr>
                <w:sz w:val="20"/>
              </w:rPr>
            </w:pPr>
            <w:r>
              <w:rPr>
                <w:sz w:val="20"/>
              </w:rPr>
              <w:t>Form 706-NA</w:t>
            </w:r>
          </w:p>
          <w:p w:rsidR="00403C4F" w:rsidRPr="00F33AF2" w:rsidP="008D0AEA" w14:paraId="2CE3BDEE" w14:textId="5060018F">
            <w:pPr>
              <w:keepNext/>
              <w:keepLines/>
              <w:numPr>
                <w:ilvl w:val="12"/>
                <w:numId w:val="0"/>
              </w:numPr>
              <w:spacing w:line="360" w:lineRule="auto"/>
              <w:rPr>
                <w:sz w:val="20"/>
              </w:rPr>
            </w:pPr>
            <w:r>
              <w:rPr>
                <w:sz w:val="20"/>
              </w:rPr>
              <w:t>Form 706-QDT</w:t>
            </w:r>
          </w:p>
        </w:tc>
        <w:tc>
          <w:tcPr>
            <w:tcW w:w="1350" w:type="dxa"/>
            <w:vAlign w:val="bottom"/>
          </w:tcPr>
          <w:p w:rsidR="00403C4F" w:rsidRPr="00F33AF2" w:rsidP="006651ED" w14:paraId="37FA0DAE" w14:textId="4C7326FC">
            <w:pPr>
              <w:keepNext/>
              <w:keepLines/>
              <w:numPr>
                <w:ilvl w:val="12"/>
                <w:numId w:val="0"/>
              </w:numPr>
              <w:jc w:val="center"/>
              <w:rPr>
                <w:sz w:val="20"/>
              </w:rPr>
            </w:pPr>
            <w:r>
              <w:rPr>
                <w:sz w:val="20"/>
              </w:rPr>
              <w:t>25,037</w:t>
            </w:r>
          </w:p>
        </w:tc>
        <w:tc>
          <w:tcPr>
            <w:tcW w:w="1260" w:type="dxa"/>
            <w:vAlign w:val="bottom"/>
          </w:tcPr>
          <w:p w:rsidR="00403C4F" w:rsidRPr="00F33AF2" w:rsidP="0047162D" w14:paraId="0EEBAB39" w14:textId="2753262B">
            <w:pPr>
              <w:keepNext/>
              <w:keepLines/>
              <w:numPr>
                <w:ilvl w:val="12"/>
                <w:numId w:val="0"/>
              </w:numPr>
              <w:jc w:val="center"/>
              <w:rPr>
                <w:sz w:val="20"/>
              </w:rPr>
            </w:pPr>
            <w:r>
              <w:rPr>
                <w:sz w:val="20"/>
              </w:rPr>
              <w:t>1</w:t>
            </w:r>
          </w:p>
        </w:tc>
        <w:tc>
          <w:tcPr>
            <w:tcW w:w="1260" w:type="dxa"/>
            <w:shd w:val="clear" w:color="auto" w:fill="auto"/>
            <w:vAlign w:val="bottom"/>
          </w:tcPr>
          <w:p w:rsidR="00403C4F" w:rsidRPr="00F33AF2" w:rsidP="0047162D" w14:paraId="0214697A" w14:textId="146C9872">
            <w:pPr>
              <w:keepNext/>
              <w:keepLines/>
              <w:numPr>
                <w:ilvl w:val="12"/>
                <w:numId w:val="0"/>
              </w:numPr>
              <w:jc w:val="center"/>
              <w:rPr>
                <w:sz w:val="20"/>
              </w:rPr>
            </w:pPr>
            <w:r>
              <w:rPr>
                <w:sz w:val="20"/>
              </w:rPr>
              <w:t>25,037</w:t>
            </w:r>
          </w:p>
        </w:tc>
        <w:tc>
          <w:tcPr>
            <w:tcW w:w="1620" w:type="dxa"/>
            <w:vAlign w:val="bottom"/>
          </w:tcPr>
          <w:p w:rsidR="00403C4F" w:rsidRPr="00F33AF2" w:rsidP="0047162D" w14:paraId="641F1089" w14:textId="0F34A494">
            <w:pPr>
              <w:keepNext/>
              <w:keepLines/>
              <w:numPr>
                <w:ilvl w:val="12"/>
                <w:numId w:val="0"/>
              </w:numPr>
              <w:jc w:val="center"/>
              <w:rPr>
                <w:sz w:val="20"/>
              </w:rPr>
            </w:pPr>
            <w:r>
              <w:rPr>
                <w:sz w:val="20"/>
              </w:rPr>
              <w:t>10 hrs., 16 min.</w:t>
            </w:r>
          </w:p>
        </w:tc>
        <w:tc>
          <w:tcPr>
            <w:tcW w:w="1287" w:type="dxa"/>
            <w:shd w:val="clear" w:color="auto" w:fill="auto"/>
            <w:vAlign w:val="bottom"/>
          </w:tcPr>
          <w:p w:rsidR="00403C4F" w:rsidRPr="00F33AF2" w:rsidP="0047162D" w14:paraId="16CA3FDA" w14:textId="0029048B">
            <w:pPr>
              <w:keepNext/>
              <w:keepLines/>
              <w:numPr>
                <w:ilvl w:val="12"/>
                <w:numId w:val="0"/>
              </w:numPr>
              <w:jc w:val="center"/>
              <w:rPr>
                <w:sz w:val="20"/>
              </w:rPr>
            </w:pPr>
            <w:r>
              <w:rPr>
                <w:sz w:val="20"/>
              </w:rPr>
              <w:t>254,424</w:t>
            </w:r>
          </w:p>
        </w:tc>
      </w:tr>
      <w:tr w14:paraId="7C7DC4D2" w14:textId="77777777" w:rsidTr="0074627C">
        <w:tblPrEx>
          <w:tblW w:w="8667" w:type="dxa"/>
          <w:tblInd w:w="625" w:type="dxa"/>
          <w:tblLayout w:type="fixed"/>
          <w:tblLook w:val="04A0"/>
        </w:tblPrEx>
        <w:trPr>
          <w:trHeight w:val="219"/>
        </w:trPr>
        <w:tc>
          <w:tcPr>
            <w:tcW w:w="1890" w:type="dxa"/>
            <w:vAlign w:val="bottom"/>
          </w:tcPr>
          <w:p w:rsidR="00403C4F" w:rsidRPr="00F33AF2" w:rsidP="006A1D36" w14:paraId="12E59882" w14:textId="20ADC043">
            <w:pPr>
              <w:keepNext/>
              <w:keepLines/>
              <w:numPr>
                <w:ilvl w:val="12"/>
                <w:numId w:val="0"/>
              </w:numPr>
              <w:jc w:val="center"/>
              <w:rPr>
                <w:b/>
                <w:bCs/>
                <w:sz w:val="20"/>
              </w:rPr>
            </w:pPr>
            <w:r w:rsidRPr="00F33AF2">
              <w:rPr>
                <w:b/>
                <w:bCs/>
                <w:sz w:val="20"/>
              </w:rPr>
              <w:t>Totals</w:t>
            </w:r>
          </w:p>
        </w:tc>
        <w:tc>
          <w:tcPr>
            <w:tcW w:w="1350" w:type="dxa"/>
            <w:vAlign w:val="bottom"/>
          </w:tcPr>
          <w:p w:rsidR="00403C4F" w:rsidRPr="00F33AF2" w:rsidP="006A1D36" w14:paraId="0D18632F" w14:textId="01A26F83">
            <w:pPr>
              <w:keepNext/>
              <w:keepLines/>
              <w:numPr>
                <w:ilvl w:val="12"/>
                <w:numId w:val="0"/>
              </w:numPr>
              <w:jc w:val="center"/>
              <w:rPr>
                <w:b/>
                <w:bCs/>
                <w:sz w:val="20"/>
              </w:rPr>
            </w:pPr>
            <w:r>
              <w:rPr>
                <w:b/>
                <w:bCs/>
                <w:sz w:val="20"/>
              </w:rPr>
              <w:t>25,037</w:t>
            </w:r>
          </w:p>
        </w:tc>
        <w:tc>
          <w:tcPr>
            <w:tcW w:w="1260" w:type="dxa"/>
            <w:vAlign w:val="bottom"/>
          </w:tcPr>
          <w:p w:rsidR="00403C4F" w:rsidRPr="00F33AF2" w:rsidP="006A1D36" w14:paraId="7BA1BF23" w14:textId="77777777">
            <w:pPr>
              <w:keepNext/>
              <w:keepLines/>
              <w:numPr>
                <w:ilvl w:val="12"/>
                <w:numId w:val="0"/>
              </w:numPr>
              <w:jc w:val="center"/>
              <w:rPr>
                <w:b/>
                <w:bCs/>
                <w:sz w:val="20"/>
              </w:rPr>
            </w:pPr>
          </w:p>
        </w:tc>
        <w:tc>
          <w:tcPr>
            <w:tcW w:w="1260" w:type="dxa"/>
            <w:shd w:val="clear" w:color="auto" w:fill="auto"/>
            <w:vAlign w:val="bottom"/>
          </w:tcPr>
          <w:p w:rsidR="00403C4F" w:rsidRPr="00F33AF2" w:rsidP="006A1D36" w14:paraId="072EA358" w14:textId="4CF2FF21">
            <w:pPr>
              <w:keepNext/>
              <w:keepLines/>
              <w:numPr>
                <w:ilvl w:val="12"/>
                <w:numId w:val="0"/>
              </w:numPr>
              <w:jc w:val="center"/>
              <w:rPr>
                <w:b/>
                <w:bCs/>
                <w:sz w:val="20"/>
              </w:rPr>
            </w:pPr>
            <w:r>
              <w:rPr>
                <w:b/>
                <w:bCs/>
                <w:sz w:val="20"/>
              </w:rPr>
              <w:t>25,037</w:t>
            </w:r>
          </w:p>
        </w:tc>
        <w:tc>
          <w:tcPr>
            <w:tcW w:w="1620" w:type="dxa"/>
            <w:vAlign w:val="bottom"/>
          </w:tcPr>
          <w:p w:rsidR="00403C4F" w:rsidRPr="00F33AF2" w:rsidP="006A1D36" w14:paraId="233D23BD" w14:textId="77777777">
            <w:pPr>
              <w:keepNext/>
              <w:keepLines/>
              <w:numPr>
                <w:ilvl w:val="12"/>
                <w:numId w:val="0"/>
              </w:numPr>
              <w:jc w:val="center"/>
              <w:rPr>
                <w:b/>
                <w:bCs/>
                <w:sz w:val="20"/>
              </w:rPr>
            </w:pPr>
          </w:p>
        </w:tc>
        <w:tc>
          <w:tcPr>
            <w:tcW w:w="1287" w:type="dxa"/>
            <w:shd w:val="clear" w:color="auto" w:fill="auto"/>
            <w:vAlign w:val="bottom"/>
          </w:tcPr>
          <w:p w:rsidR="00403C4F" w:rsidRPr="00F33AF2" w:rsidP="006A1D36" w14:paraId="7B90C90C" w14:textId="672F54B4">
            <w:pPr>
              <w:keepNext/>
              <w:keepLines/>
              <w:numPr>
                <w:ilvl w:val="12"/>
                <w:numId w:val="0"/>
              </w:numPr>
              <w:jc w:val="center"/>
              <w:rPr>
                <w:b/>
                <w:bCs/>
                <w:sz w:val="20"/>
              </w:rPr>
            </w:pPr>
            <w:r>
              <w:rPr>
                <w:b/>
                <w:bCs/>
                <w:sz w:val="20"/>
              </w:rPr>
              <w:t>254,424</w:t>
            </w:r>
          </w:p>
        </w:tc>
      </w:tr>
      <w:bookmarkEnd w:id="10"/>
    </w:tbl>
    <w:p w:rsidR="00816336" w:rsidRPr="00F0047D" w:rsidP="00816336" w14:paraId="5B3EE4CE" w14:textId="77777777">
      <w:pPr>
        <w:widowControl w:val="0"/>
        <w:autoSpaceDE w:val="0"/>
        <w:autoSpaceDN w:val="0"/>
        <w:adjustRightInd w:val="0"/>
        <w:ind w:left="720"/>
        <w:rPr>
          <w:szCs w:val="24"/>
        </w:rPr>
      </w:pPr>
    </w:p>
    <w:p w:rsidR="00816336" w:rsidRPr="00873CC3" w:rsidP="00816336" w14:paraId="16DC8DCD" w14:textId="77777777">
      <w:pPr>
        <w:widowControl w:val="0"/>
        <w:autoSpaceDE w:val="0"/>
        <w:autoSpaceDN w:val="0"/>
        <w:adjustRightInd w:val="0"/>
        <w:ind w:left="720"/>
        <w:jc w:val="both"/>
        <w:rPr>
          <w:bCs/>
          <w:szCs w:val="24"/>
        </w:rPr>
      </w:pPr>
      <w:r w:rsidRPr="00147B08">
        <w:rPr>
          <w:szCs w:val="24"/>
        </w:rPr>
        <w:t xml:space="preserve">The following regulations impose no additional burden. </w:t>
      </w:r>
      <w:r w:rsidRPr="00873CC3">
        <w:rPr>
          <w:bCs/>
          <w:szCs w:val="24"/>
        </w:rPr>
        <w:t xml:space="preserve">We are asking for continued approval of these regulations that are associated with Form </w:t>
      </w:r>
      <w:r>
        <w:rPr>
          <w:bCs/>
          <w:szCs w:val="24"/>
        </w:rPr>
        <w:t>706</w:t>
      </w:r>
      <w:r w:rsidRPr="00873CC3">
        <w:rPr>
          <w:bCs/>
          <w:szCs w:val="24"/>
        </w:rPr>
        <w:t>.  Please continue to assign OMB number 1545-</w:t>
      </w:r>
      <w:r>
        <w:rPr>
          <w:bCs/>
          <w:szCs w:val="24"/>
        </w:rPr>
        <w:t>0015</w:t>
      </w:r>
      <w:r w:rsidRPr="00873CC3">
        <w:rPr>
          <w:bCs/>
          <w:szCs w:val="24"/>
        </w:rPr>
        <w:t xml:space="preserve"> to these regulations.</w:t>
      </w:r>
    </w:p>
    <w:p w:rsidR="00816336" w:rsidRPr="00873CC3" w:rsidP="00816336" w14:paraId="2638B895" w14:textId="77777777">
      <w:pPr>
        <w:widowControl w:val="0"/>
        <w:autoSpaceDE w:val="0"/>
        <w:autoSpaceDN w:val="0"/>
        <w:adjustRightInd w:val="0"/>
        <w:jc w:val="both"/>
        <w:rPr>
          <w:bCs/>
          <w:szCs w:val="24"/>
        </w:rPr>
      </w:pPr>
      <w:r w:rsidRPr="00873CC3">
        <w:rPr>
          <w:bCs/>
          <w:szCs w:val="24"/>
        </w:rPr>
        <w:tab/>
        <w:t xml:space="preserve">  </w:t>
      </w:r>
    </w:p>
    <w:tbl>
      <w:tblPr>
        <w:tblStyle w:val="TableGrid"/>
        <w:tblW w:w="6840" w:type="dxa"/>
        <w:tblInd w:w="625" w:type="dxa"/>
        <w:tblLook w:val="04A0"/>
      </w:tblPr>
      <w:tblGrid>
        <w:gridCol w:w="1710"/>
        <w:gridCol w:w="1800"/>
        <w:gridCol w:w="1620"/>
        <w:gridCol w:w="1710"/>
      </w:tblGrid>
      <w:tr w14:paraId="41C19775" w14:textId="77777777" w:rsidTr="0074627C">
        <w:tblPrEx>
          <w:tblW w:w="6840" w:type="dxa"/>
          <w:tblInd w:w="625" w:type="dxa"/>
          <w:tblLook w:val="04A0"/>
        </w:tblPrEx>
        <w:tc>
          <w:tcPr>
            <w:tcW w:w="1710" w:type="dxa"/>
          </w:tcPr>
          <w:p w:rsidR="00816336" w:rsidRPr="0074627C" w:rsidP="00F02E03" w14:paraId="690DEE10" w14:textId="77777777">
            <w:pPr>
              <w:widowControl w:val="0"/>
              <w:autoSpaceDE w:val="0"/>
              <w:autoSpaceDN w:val="0"/>
              <w:adjustRightInd w:val="0"/>
              <w:jc w:val="both"/>
              <w:rPr>
                <w:bCs/>
                <w:sz w:val="22"/>
                <w:szCs w:val="22"/>
              </w:rPr>
            </w:pPr>
            <w:r w:rsidRPr="0074627C">
              <w:rPr>
                <w:sz w:val="22"/>
                <w:szCs w:val="22"/>
              </w:rPr>
              <w:t>7.639A-1</w:t>
            </w:r>
          </w:p>
        </w:tc>
        <w:tc>
          <w:tcPr>
            <w:tcW w:w="1800" w:type="dxa"/>
          </w:tcPr>
          <w:p w:rsidR="00816336" w:rsidRPr="0074627C" w:rsidP="00F02E03" w14:paraId="5672D605" w14:textId="77777777">
            <w:pPr>
              <w:widowControl w:val="0"/>
              <w:autoSpaceDE w:val="0"/>
              <w:autoSpaceDN w:val="0"/>
              <w:adjustRightInd w:val="0"/>
              <w:jc w:val="both"/>
              <w:rPr>
                <w:bCs/>
                <w:sz w:val="22"/>
                <w:szCs w:val="22"/>
              </w:rPr>
            </w:pPr>
            <w:r w:rsidRPr="0074627C">
              <w:rPr>
                <w:bCs/>
                <w:sz w:val="22"/>
                <w:szCs w:val="22"/>
              </w:rPr>
              <w:t>20.2032A-4</w:t>
            </w:r>
          </w:p>
        </w:tc>
        <w:tc>
          <w:tcPr>
            <w:tcW w:w="1620" w:type="dxa"/>
          </w:tcPr>
          <w:p w:rsidR="00816336" w:rsidRPr="0074627C" w:rsidP="00F02E03" w14:paraId="0E896179" w14:textId="77777777">
            <w:pPr>
              <w:widowControl w:val="0"/>
              <w:autoSpaceDE w:val="0"/>
              <w:autoSpaceDN w:val="0"/>
              <w:adjustRightInd w:val="0"/>
              <w:jc w:val="both"/>
              <w:rPr>
                <w:bCs/>
                <w:sz w:val="22"/>
                <w:szCs w:val="22"/>
              </w:rPr>
            </w:pPr>
            <w:r w:rsidRPr="0074627C">
              <w:rPr>
                <w:bCs/>
                <w:sz w:val="22"/>
                <w:szCs w:val="22"/>
              </w:rPr>
              <w:t>20.2106-2</w:t>
            </w:r>
          </w:p>
        </w:tc>
        <w:tc>
          <w:tcPr>
            <w:tcW w:w="1710" w:type="dxa"/>
          </w:tcPr>
          <w:p w:rsidR="00816336" w:rsidRPr="0074627C" w:rsidP="00F02E03" w14:paraId="476D28C3" w14:textId="77777777">
            <w:pPr>
              <w:widowControl w:val="0"/>
              <w:autoSpaceDE w:val="0"/>
              <w:autoSpaceDN w:val="0"/>
              <w:adjustRightInd w:val="0"/>
              <w:jc w:val="both"/>
              <w:rPr>
                <w:bCs/>
                <w:sz w:val="22"/>
                <w:szCs w:val="22"/>
              </w:rPr>
            </w:pPr>
            <w:r w:rsidRPr="0074627C">
              <w:rPr>
                <w:bCs/>
                <w:sz w:val="22"/>
                <w:szCs w:val="22"/>
              </w:rPr>
              <w:t>20.6081-1</w:t>
            </w:r>
          </w:p>
        </w:tc>
      </w:tr>
      <w:tr w14:paraId="1246B31E" w14:textId="77777777" w:rsidTr="0074627C">
        <w:tblPrEx>
          <w:tblW w:w="6840" w:type="dxa"/>
          <w:tblInd w:w="625" w:type="dxa"/>
          <w:tblLook w:val="04A0"/>
        </w:tblPrEx>
        <w:tc>
          <w:tcPr>
            <w:tcW w:w="1710" w:type="dxa"/>
          </w:tcPr>
          <w:p w:rsidR="00816336" w:rsidRPr="0074627C" w:rsidP="00F02E03" w14:paraId="3ADC3C72" w14:textId="77777777">
            <w:pPr>
              <w:widowControl w:val="0"/>
              <w:autoSpaceDE w:val="0"/>
              <w:autoSpaceDN w:val="0"/>
              <w:adjustRightInd w:val="0"/>
              <w:rPr>
                <w:bCs/>
                <w:sz w:val="22"/>
                <w:szCs w:val="22"/>
              </w:rPr>
            </w:pPr>
            <w:r w:rsidRPr="0074627C">
              <w:rPr>
                <w:bCs/>
                <w:sz w:val="22"/>
                <w:szCs w:val="22"/>
              </w:rPr>
              <w:t>20.2010-2</w:t>
            </w:r>
          </w:p>
        </w:tc>
        <w:tc>
          <w:tcPr>
            <w:tcW w:w="1800" w:type="dxa"/>
          </w:tcPr>
          <w:p w:rsidR="00816336" w:rsidRPr="0074627C" w:rsidP="00F02E03" w14:paraId="2E07AC32" w14:textId="77777777">
            <w:pPr>
              <w:widowControl w:val="0"/>
              <w:autoSpaceDE w:val="0"/>
              <w:autoSpaceDN w:val="0"/>
              <w:adjustRightInd w:val="0"/>
              <w:rPr>
                <w:bCs/>
                <w:sz w:val="22"/>
                <w:szCs w:val="22"/>
              </w:rPr>
            </w:pPr>
            <w:r w:rsidRPr="0074627C">
              <w:rPr>
                <w:bCs/>
                <w:sz w:val="22"/>
                <w:szCs w:val="22"/>
              </w:rPr>
              <w:t>20.2032A-8</w:t>
            </w:r>
          </w:p>
        </w:tc>
        <w:tc>
          <w:tcPr>
            <w:tcW w:w="1620" w:type="dxa"/>
          </w:tcPr>
          <w:p w:rsidR="00816336" w:rsidRPr="0074627C" w:rsidP="00F02E03" w14:paraId="7765B847" w14:textId="77777777">
            <w:pPr>
              <w:widowControl w:val="0"/>
              <w:autoSpaceDE w:val="0"/>
              <w:autoSpaceDN w:val="0"/>
              <w:adjustRightInd w:val="0"/>
              <w:rPr>
                <w:bCs/>
                <w:sz w:val="22"/>
                <w:szCs w:val="22"/>
              </w:rPr>
            </w:pPr>
            <w:r w:rsidRPr="0074627C">
              <w:rPr>
                <w:bCs/>
                <w:sz w:val="22"/>
                <w:szCs w:val="22"/>
              </w:rPr>
              <w:t>20.2204-1</w:t>
            </w:r>
          </w:p>
        </w:tc>
        <w:tc>
          <w:tcPr>
            <w:tcW w:w="1710" w:type="dxa"/>
          </w:tcPr>
          <w:p w:rsidR="00816336" w:rsidRPr="0074627C" w:rsidP="00F02E03" w14:paraId="145B6BE4" w14:textId="77777777">
            <w:pPr>
              <w:widowControl w:val="0"/>
              <w:autoSpaceDE w:val="0"/>
              <w:autoSpaceDN w:val="0"/>
              <w:adjustRightInd w:val="0"/>
              <w:rPr>
                <w:bCs/>
                <w:sz w:val="22"/>
                <w:szCs w:val="22"/>
              </w:rPr>
            </w:pPr>
            <w:r w:rsidRPr="0074627C">
              <w:rPr>
                <w:bCs/>
                <w:sz w:val="22"/>
                <w:szCs w:val="22"/>
              </w:rPr>
              <w:t>20.6091-1</w:t>
            </w:r>
          </w:p>
        </w:tc>
      </w:tr>
      <w:tr w14:paraId="3E8EF2F1" w14:textId="77777777" w:rsidTr="0074627C">
        <w:tblPrEx>
          <w:tblW w:w="6840" w:type="dxa"/>
          <w:tblInd w:w="625" w:type="dxa"/>
          <w:tblLook w:val="04A0"/>
        </w:tblPrEx>
        <w:tc>
          <w:tcPr>
            <w:tcW w:w="1710" w:type="dxa"/>
          </w:tcPr>
          <w:p w:rsidR="00816336" w:rsidRPr="0074627C" w:rsidP="00F02E03" w14:paraId="3D523C99" w14:textId="77777777">
            <w:pPr>
              <w:widowControl w:val="0"/>
              <w:autoSpaceDE w:val="0"/>
              <w:autoSpaceDN w:val="0"/>
              <w:adjustRightInd w:val="0"/>
              <w:rPr>
                <w:bCs/>
                <w:sz w:val="22"/>
                <w:szCs w:val="22"/>
              </w:rPr>
            </w:pPr>
            <w:r w:rsidRPr="0074627C">
              <w:rPr>
                <w:bCs/>
                <w:sz w:val="22"/>
                <w:szCs w:val="22"/>
              </w:rPr>
              <w:t>20.2011-1</w:t>
            </w:r>
          </w:p>
        </w:tc>
        <w:tc>
          <w:tcPr>
            <w:tcW w:w="1800" w:type="dxa"/>
          </w:tcPr>
          <w:p w:rsidR="00816336" w:rsidRPr="0074627C" w:rsidP="00F02E03" w14:paraId="16EB83FD" w14:textId="77777777">
            <w:pPr>
              <w:widowControl w:val="0"/>
              <w:autoSpaceDE w:val="0"/>
              <w:autoSpaceDN w:val="0"/>
              <w:adjustRightInd w:val="0"/>
              <w:rPr>
                <w:bCs/>
                <w:sz w:val="22"/>
                <w:szCs w:val="22"/>
              </w:rPr>
            </w:pPr>
            <w:r w:rsidRPr="0074627C">
              <w:rPr>
                <w:bCs/>
                <w:sz w:val="22"/>
                <w:szCs w:val="22"/>
              </w:rPr>
              <w:t>20.2039-4</w:t>
            </w:r>
          </w:p>
        </w:tc>
        <w:tc>
          <w:tcPr>
            <w:tcW w:w="1620" w:type="dxa"/>
          </w:tcPr>
          <w:p w:rsidR="00816336" w:rsidRPr="0074627C" w:rsidP="00F02E03" w14:paraId="6433428C" w14:textId="77777777">
            <w:pPr>
              <w:widowControl w:val="0"/>
              <w:autoSpaceDE w:val="0"/>
              <w:autoSpaceDN w:val="0"/>
              <w:adjustRightInd w:val="0"/>
              <w:rPr>
                <w:bCs/>
                <w:sz w:val="22"/>
                <w:szCs w:val="22"/>
              </w:rPr>
            </w:pPr>
            <w:r w:rsidRPr="0074627C">
              <w:rPr>
                <w:bCs/>
                <w:sz w:val="22"/>
                <w:szCs w:val="22"/>
              </w:rPr>
              <w:t>20.2204-2</w:t>
            </w:r>
          </w:p>
        </w:tc>
        <w:tc>
          <w:tcPr>
            <w:tcW w:w="1710" w:type="dxa"/>
          </w:tcPr>
          <w:p w:rsidR="00816336" w:rsidRPr="0074627C" w:rsidP="00F02E03" w14:paraId="1D8CD332" w14:textId="77777777">
            <w:pPr>
              <w:widowControl w:val="0"/>
              <w:autoSpaceDE w:val="0"/>
              <w:autoSpaceDN w:val="0"/>
              <w:adjustRightInd w:val="0"/>
              <w:rPr>
                <w:bCs/>
                <w:sz w:val="22"/>
                <w:szCs w:val="22"/>
              </w:rPr>
            </w:pPr>
            <w:r w:rsidRPr="0074627C">
              <w:rPr>
                <w:bCs/>
                <w:sz w:val="22"/>
                <w:szCs w:val="22"/>
              </w:rPr>
              <w:t>20.6161-1</w:t>
            </w:r>
          </w:p>
        </w:tc>
      </w:tr>
      <w:tr w14:paraId="566390F0" w14:textId="77777777" w:rsidTr="0074627C">
        <w:tblPrEx>
          <w:tblW w:w="6840" w:type="dxa"/>
          <w:tblInd w:w="625" w:type="dxa"/>
          <w:tblLook w:val="04A0"/>
        </w:tblPrEx>
        <w:tc>
          <w:tcPr>
            <w:tcW w:w="1710" w:type="dxa"/>
          </w:tcPr>
          <w:p w:rsidR="00816336" w:rsidRPr="0074627C" w:rsidP="00F02E03" w14:paraId="0D0ACFDC" w14:textId="77777777">
            <w:pPr>
              <w:widowControl w:val="0"/>
              <w:autoSpaceDE w:val="0"/>
              <w:autoSpaceDN w:val="0"/>
              <w:adjustRightInd w:val="0"/>
              <w:rPr>
                <w:bCs/>
                <w:sz w:val="22"/>
                <w:szCs w:val="22"/>
              </w:rPr>
            </w:pPr>
            <w:r w:rsidRPr="0074627C">
              <w:rPr>
                <w:bCs/>
                <w:sz w:val="22"/>
                <w:szCs w:val="22"/>
              </w:rPr>
              <w:t>20.2014-5</w:t>
            </w:r>
          </w:p>
        </w:tc>
        <w:tc>
          <w:tcPr>
            <w:tcW w:w="1800" w:type="dxa"/>
          </w:tcPr>
          <w:p w:rsidR="00816336" w:rsidRPr="0074627C" w:rsidP="00F02E03" w14:paraId="72D4E942" w14:textId="77777777">
            <w:pPr>
              <w:widowControl w:val="0"/>
              <w:autoSpaceDE w:val="0"/>
              <w:autoSpaceDN w:val="0"/>
              <w:adjustRightInd w:val="0"/>
              <w:rPr>
                <w:bCs/>
                <w:sz w:val="22"/>
                <w:szCs w:val="22"/>
              </w:rPr>
            </w:pPr>
            <w:r w:rsidRPr="0074627C">
              <w:rPr>
                <w:bCs/>
                <w:sz w:val="22"/>
                <w:szCs w:val="22"/>
              </w:rPr>
              <w:t>20.2051-1</w:t>
            </w:r>
          </w:p>
        </w:tc>
        <w:tc>
          <w:tcPr>
            <w:tcW w:w="1620" w:type="dxa"/>
          </w:tcPr>
          <w:p w:rsidR="00816336" w:rsidRPr="0074627C" w:rsidP="00F02E03" w14:paraId="6D058DF9" w14:textId="77777777">
            <w:pPr>
              <w:widowControl w:val="0"/>
              <w:autoSpaceDE w:val="0"/>
              <w:autoSpaceDN w:val="0"/>
              <w:adjustRightInd w:val="0"/>
              <w:jc w:val="both"/>
              <w:rPr>
                <w:bCs/>
                <w:sz w:val="22"/>
                <w:szCs w:val="22"/>
              </w:rPr>
            </w:pPr>
            <w:r w:rsidRPr="0074627C">
              <w:rPr>
                <w:bCs/>
                <w:sz w:val="22"/>
                <w:szCs w:val="22"/>
              </w:rPr>
              <w:t>20.6001-1</w:t>
            </w:r>
          </w:p>
        </w:tc>
        <w:tc>
          <w:tcPr>
            <w:tcW w:w="1710" w:type="dxa"/>
          </w:tcPr>
          <w:p w:rsidR="00816336" w:rsidRPr="0074627C" w:rsidP="00F02E03" w14:paraId="0924732F" w14:textId="77777777">
            <w:pPr>
              <w:widowControl w:val="0"/>
              <w:autoSpaceDE w:val="0"/>
              <w:autoSpaceDN w:val="0"/>
              <w:adjustRightInd w:val="0"/>
              <w:jc w:val="both"/>
              <w:rPr>
                <w:bCs/>
                <w:sz w:val="22"/>
                <w:szCs w:val="22"/>
              </w:rPr>
            </w:pPr>
            <w:r w:rsidRPr="0074627C">
              <w:rPr>
                <w:bCs/>
                <w:sz w:val="22"/>
                <w:szCs w:val="22"/>
              </w:rPr>
              <w:t>20.6161-2</w:t>
            </w:r>
          </w:p>
        </w:tc>
      </w:tr>
      <w:tr w14:paraId="7D1FF552" w14:textId="77777777" w:rsidTr="0074627C">
        <w:tblPrEx>
          <w:tblW w:w="6840" w:type="dxa"/>
          <w:tblInd w:w="625" w:type="dxa"/>
          <w:tblLook w:val="04A0"/>
        </w:tblPrEx>
        <w:tc>
          <w:tcPr>
            <w:tcW w:w="1710" w:type="dxa"/>
          </w:tcPr>
          <w:p w:rsidR="00816336" w:rsidRPr="0074627C" w:rsidP="00F02E03" w14:paraId="44BC303D" w14:textId="77777777">
            <w:pPr>
              <w:widowControl w:val="0"/>
              <w:autoSpaceDE w:val="0"/>
              <w:autoSpaceDN w:val="0"/>
              <w:adjustRightInd w:val="0"/>
              <w:jc w:val="both"/>
              <w:rPr>
                <w:bCs/>
                <w:sz w:val="22"/>
                <w:szCs w:val="22"/>
              </w:rPr>
            </w:pPr>
            <w:r w:rsidRPr="0074627C">
              <w:rPr>
                <w:bCs/>
                <w:sz w:val="22"/>
                <w:szCs w:val="22"/>
              </w:rPr>
              <w:t>20.2014-6</w:t>
            </w:r>
          </w:p>
        </w:tc>
        <w:tc>
          <w:tcPr>
            <w:tcW w:w="1800" w:type="dxa"/>
          </w:tcPr>
          <w:p w:rsidR="00816336" w:rsidRPr="0074627C" w:rsidP="00F02E03" w14:paraId="029360F7" w14:textId="77777777">
            <w:pPr>
              <w:rPr>
                <w:bCs/>
                <w:sz w:val="22"/>
                <w:szCs w:val="22"/>
              </w:rPr>
            </w:pPr>
            <w:r w:rsidRPr="0074627C">
              <w:rPr>
                <w:bCs/>
                <w:sz w:val="22"/>
                <w:szCs w:val="22"/>
              </w:rPr>
              <w:t>20.2053-3</w:t>
            </w:r>
          </w:p>
        </w:tc>
        <w:tc>
          <w:tcPr>
            <w:tcW w:w="1620" w:type="dxa"/>
          </w:tcPr>
          <w:p w:rsidR="00816336" w:rsidRPr="0074627C" w:rsidP="00F02E03" w14:paraId="6AFB9E2C" w14:textId="77777777">
            <w:pPr>
              <w:rPr>
                <w:bCs/>
                <w:sz w:val="22"/>
                <w:szCs w:val="22"/>
              </w:rPr>
            </w:pPr>
            <w:r w:rsidRPr="0074627C">
              <w:rPr>
                <w:bCs/>
                <w:sz w:val="22"/>
                <w:szCs w:val="22"/>
              </w:rPr>
              <w:t>20.6011-1</w:t>
            </w:r>
          </w:p>
        </w:tc>
        <w:tc>
          <w:tcPr>
            <w:tcW w:w="1710" w:type="dxa"/>
          </w:tcPr>
          <w:p w:rsidR="00816336" w:rsidRPr="0074627C" w:rsidP="00F02E03" w14:paraId="51EFF1E6" w14:textId="77777777">
            <w:pPr>
              <w:rPr>
                <w:bCs/>
                <w:sz w:val="22"/>
                <w:szCs w:val="22"/>
              </w:rPr>
            </w:pPr>
            <w:r w:rsidRPr="0074627C">
              <w:rPr>
                <w:bCs/>
                <w:sz w:val="22"/>
                <w:szCs w:val="22"/>
              </w:rPr>
              <w:t>20.6163-1</w:t>
            </w:r>
          </w:p>
        </w:tc>
      </w:tr>
      <w:tr w14:paraId="7310FDE0" w14:textId="77777777" w:rsidTr="0074627C">
        <w:tblPrEx>
          <w:tblW w:w="6840" w:type="dxa"/>
          <w:tblInd w:w="625" w:type="dxa"/>
          <w:tblLook w:val="04A0"/>
        </w:tblPrEx>
        <w:tc>
          <w:tcPr>
            <w:tcW w:w="1710" w:type="dxa"/>
          </w:tcPr>
          <w:p w:rsidR="00816336" w:rsidRPr="0074627C" w:rsidP="00F02E03" w14:paraId="4E1332CA" w14:textId="77777777">
            <w:pPr>
              <w:rPr>
                <w:bCs/>
                <w:sz w:val="22"/>
                <w:szCs w:val="22"/>
              </w:rPr>
            </w:pPr>
            <w:r w:rsidRPr="0074627C">
              <w:rPr>
                <w:bCs/>
                <w:sz w:val="22"/>
                <w:szCs w:val="22"/>
              </w:rPr>
              <w:t>20.2016-1</w:t>
            </w:r>
          </w:p>
        </w:tc>
        <w:tc>
          <w:tcPr>
            <w:tcW w:w="1800" w:type="dxa"/>
          </w:tcPr>
          <w:p w:rsidR="00816336" w:rsidRPr="0074627C" w:rsidP="00F02E03" w14:paraId="51904DB7" w14:textId="77777777">
            <w:pPr>
              <w:rPr>
                <w:bCs/>
                <w:sz w:val="22"/>
                <w:szCs w:val="22"/>
              </w:rPr>
            </w:pPr>
            <w:r w:rsidRPr="0074627C">
              <w:rPr>
                <w:bCs/>
                <w:sz w:val="22"/>
                <w:szCs w:val="22"/>
              </w:rPr>
              <w:t>20.2053-9</w:t>
            </w:r>
          </w:p>
        </w:tc>
        <w:tc>
          <w:tcPr>
            <w:tcW w:w="1620" w:type="dxa"/>
          </w:tcPr>
          <w:p w:rsidR="00816336" w:rsidRPr="0074627C" w:rsidP="00F02E03" w14:paraId="2802599F" w14:textId="77777777">
            <w:pPr>
              <w:widowControl w:val="0"/>
              <w:autoSpaceDE w:val="0"/>
              <w:autoSpaceDN w:val="0"/>
              <w:adjustRightInd w:val="0"/>
              <w:jc w:val="both"/>
              <w:rPr>
                <w:bCs/>
                <w:sz w:val="22"/>
                <w:szCs w:val="22"/>
              </w:rPr>
            </w:pPr>
            <w:r w:rsidRPr="0074627C">
              <w:rPr>
                <w:bCs/>
                <w:sz w:val="22"/>
                <w:szCs w:val="22"/>
              </w:rPr>
              <w:t>20.6018-1</w:t>
            </w:r>
          </w:p>
        </w:tc>
        <w:tc>
          <w:tcPr>
            <w:tcW w:w="1710" w:type="dxa"/>
          </w:tcPr>
          <w:p w:rsidR="00816336" w:rsidRPr="0074627C" w:rsidP="00F02E03" w14:paraId="7D34F110" w14:textId="77777777">
            <w:pPr>
              <w:rPr>
                <w:bCs/>
                <w:sz w:val="22"/>
                <w:szCs w:val="22"/>
              </w:rPr>
            </w:pPr>
            <w:r w:rsidRPr="0074627C">
              <w:rPr>
                <w:bCs/>
                <w:sz w:val="22"/>
                <w:szCs w:val="22"/>
              </w:rPr>
              <w:t>20.6166A-1</w:t>
            </w:r>
          </w:p>
        </w:tc>
      </w:tr>
      <w:tr w14:paraId="7ABA7F3B" w14:textId="77777777" w:rsidTr="0074627C">
        <w:tblPrEx>
          <w:tblW w:w="6840" w:type="dxa"/>
          <w:tblInd w:w="625" w:type="dxa"/>
          <w:tblLook w:val="04A0"/>
        </w:tblPrEx>
        <w:tc>
          <w:tcPr>
            <w:tcW w:w="1710" w:type="dxa"/>
          </w:tcPr>
          <w:p w:rsidR="00816336" w:rsidRPr="0074627C" w:rsidP="00F02E03" w14:paraId="6DE87F5F" w14:textId="77777777">
            <w:pPr>
              <w:widowControl w:val="0"/>
              <w:autoSpaceDE w:val="0"/>
              <w:autoSpaceDN w:val="0"/>
              <w:adjustRightInd w:val="0"/>
              <w:rPr>
                <w:bCs/>
                <w:sz w:val="22"/>
                <w:szCs w:val="22"/>
              </w:rPr>
            </w:pPr>
            <w:r w:rsidRPr="0074627C">
              <w:rPr>
                <w:bCs/>
                <w:sz w:val="22"/>
                <w:szCs w:val="22"/>
              </w:rPr>
              <w:t>20.2031-2</w:t>
            </w:r>
          </w:p>
        </w:tc>
        <w:tc>
          <w:tcPr>
            <w:tcW w:w="1800" w:type="dxa"/>
          </w:tcPr>
          <w:p w:rsidR="00816336" w:rsidRPr="0074627C" w:rsidP="00F02E03" w14:paraId="0B6B493D" w14:textId="77777777">
            <w:pPr>
              <w:widowControl w:val="0"/>
              <w:autoSpaceDE w:val="0"/>
              <w:autoSpaceDN w:val="0"/>
              <w:adjustRightInd w:val="0"/>
              <w:rPr>
                <w:bCs/>
                <w:sz w:val="22"/>
                <w:szCs w:val="22"/>
              </w:rPr>
            </w:pPr>
            <w:r w:rsidRPr="0074627C">
              <w:rPr>
                <w:bCs/>
                <w:sz w:val="22"/>
                <w:szCs w:val="22"/>
              </w:rPr>
              <w:t>20.2053-10</w:t>
            </w:r>
          </w:p>
        </w:tc>
        <w:tc>
          <w:tcPr>
            <w:tcW w:w="1620" w:type="dxa"/>
          </w:tcPr>
          <w:p w:rsidR="00816336" w:rsidRPr="0074627C" w:rsidP="00F02E03" w14:paraId="2DE56807" w14:textId="77777777">
            <w:pPr>
              <w:widowControl w:val="0"/>
              <w:autoSpaceDE w:val="0"/>
              <w:autoSpaceDN w:val="0"/>
              <w:adjustRightInd w:val="0"/>
              <w:jc w:val="both"/>
              <w:rPr>
                <w:bCs/>
                <w:sz w:val="22"/>
                <w:szCs w:val="22"/>
              </w:rPr>
            </w:pPr>
            <w:r w:rsidRPr="0074627C">
              <w:rPr>
                <w:bCs/>
                <w:sz w:val="22"/>
                <w:szCs w:val="22"/>
              </w:rPr>
              <w:t>20.6018-2</w:t>
            </w:r>
          </w:p>
        </w:tc>
        <w:tc>
          <w:tcPr>
            <w:tcW w:w="1710" w:type="dxa"/>
          </w:tcPr>
          <w:p w:rsidR="00816336" w:rsidRPr="0074627C" w:rsidP="00F02E03" w14:paraId="54D4973A" w14:textId="77777777">
            <w:pPr>
              <w:widowControl w:val="0"/>
              <w:autoSpaceDE w:val="0"/>
              <w:autoSpaceDN w:val="0"/>
              <w:adjustRightInd w:val="0"/>
              <w:jc w:val="both"/>
              <w:rPr>
                <w:bCs/>
                <w:sz w:val="22"/>
                <w:szCs w:val="22"/>
              </w:rPr>
            </w:pPr>
            <w:r w:rsidRPr="0074627C">
              <w:rPr>
                <w:bCs/>
                <w:sz w:val="22"/>
                <w:szCs w:val="22"/>
              </w:rPr>
              <w:t>20.6166A-3</w:t>
            </w:r>
          </w:p>
        </w:tc>
      </w:tr>
      <w:tr w14:paraId="632B7FD4" w14:textId="77777777" w:rsidTr="0074627C">
        <w:tblPrEx>
          <w:tblW w:w="6840" w:type="dxa"/>
          <w:tblInd w:w="625" w:type="dxa"/>
          <w:tblLook w:val="04A0"/>
        </w:tblPrEx>
        <w:tc>
          <w:tcPr>
            <w:tcW w:w="1710" w:type="dxa"/>
          </w:tcPr>
          <w:p w:rsidR="00816336" w:rsidRPr="0074627C" w:rsidP="00F02E03" w14:paraId="5FB0019A" w14:textId="77777777">
            <w:pPr>
              <w:widowControl w:val="0"/>
              <w:autoSpaceDE w:val="0"/>
              <w:autoSpaceDN w:val="0"/>
              <w:adjustRightInd w:val="0"/>
              <w:jc w:val="both"/>
              <w:rPr>
                <w:bCs/>
                <w:sz w:val="22"/>
                <w:szCs w:val="22"/>
              </w:rPr>
            </w:pPr>
            <w:r w:rsidRPr="0074627C">
              <w:rPr>
                <w:bCs/>
                <w:sz w:val="22"/>
                <w:szCs w:val="22"/>
              </w:rPr>
              <w:t>20.2031-3</w:t>
            </w:r>
          </w:p>
        </w:tc>
        <w:tc>
          <w:tcPr>
            <w:tcW w:w="1800" w:type="dxa"/>
          </w:tcPr>
          <w:p w:rsidR="00816336" w:rsidRPr="0074627C" w:rsidP="00F02E03" w14:paraId="7E3A64DB" w14:textId="77777777">
            <w:pPr>
              <w:widowControl w:val="0"/>
              <w:autoSpaceDE w:val="0"/>
              <w:autoSpaceDN w:val="0"/>
              <w:adjustRightInd w:val="0"/>
              <w:jc w:val="both"/>
              <w:rPr>
                <w:bCs/>
                <w:sz w:val="22"/>
                <w:szCs w:val="22"/>
              </w:rPr>
            </w:pPr>
            <w:r w:rsidRPr="0074627C">
              <w:rPr>
                <w:bCs/>
                <w:sz w:val="22"/>
                <w:szCs w:val="22"/>
              </w:rPr>
              <w:t>20.2055-1</w:t>
            </w:r>
          </w:p>
        </w:tc>
        <w:tc>
          <w:tcPr>
            <w:tcW w:w="1620" w:type="dxa"/>
          </w:tcPr>
          <w:p w:rsidR="00816336" w:rsidRPr="0074627C" w:rsidP="00F02E03" w14:paraId="213C25B0" w14:textId="77777777">
            <w:pPr>
              <w:widowControl w:val="0"/>
              <w:autoSpaceDE w:val="0"/>
              <w:autoSpaceDN w:val="0"/>
              <w:adjustRightInd w:val="0"/>
              <w:jc w:val="both"/>
              <w:rPr>
                <w:bCs/>
                <w:sz w:val="22"/>
                <w:szCs w:val="22"/>
              </w:rPr>
            </w:pPr>
            <w:r w:rsidRPr="0074627C">
              <w:rPr>
                <w:bCs/>
                <w:sz w:val="22"/>
                <w:szCs w:val="22"/>
              </w:rPr>
              <w:t>20.6018-3</w:t>
            </w:r>
          </w:p>
        </w:tc>
        <w:tc>
          <w:tcPr>
            <w:tcW w:w="1710" w:type="dxa"/>
          </w:tcPr>
          <w:p w:rsidR="00816336" w:rsidRPr="0074627C" w:rsidP="00F02E03" w14:paraId="1B7E9BCB" w14:textId="77777777">
            <w:pPr>
              <w:widowControl w:val="0"/>
              <w:autoSpaceDE w:val="0"/>
              <w:autoSpaceDN w:val="0"/>
              <w:adjustRightInd w:val="0"/>
              <w:jc w:val="both"/>
              <w:rPr>
                <w:bCs/>
                <w:sz w:val="22"/>
                <w:szCs w:val="22"/>
              </w:rPr>
            </w:pPr>
            <w:r w:rsidRPr="0074627C">
              <w:rPr>
                <w:bCs/>
                <w:sz w:val="22"/>
                <w:szCs w:val="22"/>
              </w:rPr>
              <w:t>22.0</w:t>
            </w:r>
          </w:p>
        </w:tc>
      </w:tr>
      <w:tr w14:paraId="6B2046C9" w14:textId="77777777" w:rsidTr="0074627C">
        <w:tblPrEx>
          <w:tblW w:w="6840" w:type="dxa"/>
          <w:tblInd w:w="625" w:type="dxa"/>
          <w:tblLook w:val="04A0"/>
        </w:tblPrEx>
        <w:tc>
          <w:tcPr>
            <w:tcW w:w="1710" w:type="dxa"/>
          </w:tcPr>
          <w:p w:rsidR="00816336" w:rsidRPr="0074627C" w:rsidP="00F02E03" w14:paraId="16D3D3FD" w14:textId="77777777">
            <w:pPr>
              <w:widowControl w:val="0"/>
              <w:autoSpaceDE w:val="0"/>
              <w:autoSpaceDN w:val="0"/>
              <w:adjustRightInd w:val="0"/>
              <w:jc w:val="both"/>
              <w:rPr>
                <w:bCs/>
                <w:sz w:val="22"/>
                <w:szCs w:val="22"/>
              </w:rPr>
            </w:pPr>
            <w:r w:rsidRPr="0074627C">
              <w:rPr>
                <w:bCs/>
                <w:sz w:val="22"/>
                <w:szCs w:val="22"/>
              </w:rPr>
              <w:t>20.2031-4</w:t>
            </w:r>
          </w:p>
        </w:tc>
        <w:tc>
          <w:tcPr>
            <w:tcW w:w="1800" w:type="dxa"/>
          </w:tcPr>
          <w:p w:rsidR="00816336" w:rsidRPr="0074627C" w:rsidP="00F02E03" w14:paraId="577860EF" w14:textId="77777777">
            <w:pPr>
              <w:widowControl w:val="0"/>
              <w:autoSpaceDE w:val="0"/>
              <w:autoSpaceDN w:val="0"/>
              <w:adjustRightInd w:val="0"/>
              <w:jc w:val="both"/>
              <w:rPr>
                <w:bCs/>
                <w:sz w:val="22"/>
                <w:szCs w:val="22"/>
              </w:rPr>
            </w:pPr>
            <w:r w:rsidRPr="0074627C">
              <w:rPr>
                <w:bCs/>
                <w:sz w:val="22"/>
                <w:szCs w:val="22"/>
              </w:rPr>
              <w:t>20.2055-2</w:t>
            </w:r>
          </w:p>
        </w:tc>
        <w:tc>
          <w:tcPr>
            <w:tcW w:w="1620" w:type="dxa"/>
          </w:tcPr>
          <w:p w:rsidR="00816336" w:rsidRPr="0074627C" w:rsidP="00F02E03" w14:paraId="402B8A5D" w14:textId="77777777">
            <w:pPr>
              <w:rPr>
                <w:bCs/>
                <w:sz w:val="22"/>
                <w:szCs w:val="22"/>
              </w:rPr>
            </w:pPr>
            <w:r w:rsidRPr="0074627C">
              <w:rPr>
                <w:bCs/>
                <w:sz w:val="22"/>
                <w:szCs w:val="22"/>
              </w:rPr>
              <w:t>20.6018-4</w:t>
            </w:r>
          </w:p>
        </w:tc>
        <w:tc>
          <w:tcPr>
            <w:tcW w:w="1710" w:type="dxa"/>
          </w:tcPr>
          <w:p w:rsidR="00816336" w:rsidRPr="0074627C" w:rsidP="00F02E03" w14:paraId="6167EDF2" w14:textId="77777777">
            <w:pPr>
              <w:rPr>
                <w:bCs/>
                <w:sz w:val="22"/>
                <w:szCs w:val="22"/>
              </w:rPr>
            </w:pPr>
            <w:r w:rsidRPr="0074627C">
              <w:rPr>
                <w:bCs/>
                <w:sz w:val="22"/>
                <w:szCs w:val="22"/>
              </w:rPr>
              <w:t>25.2523(f)-1</w:t>
            </w:r>
          </w:p>
        </w:tc>
      </w:tr>
      <w:tr w14:paraId="700E4FA8" w14:textId="77777777" w:rsidTr="0074627C">
        <w:tblPrEx>
          <w:tblW w:w="6840" w:type="dxa"/>
          <w:tblInd w:w="625" w:type="dxa"/>
          <w:tblLook w:val="04A0"/>
        </w:tblPrEx>
        <w:tc>
          <w:tcPr>
            <w:tcW w:w="1710" w:type="dxa"/>
          </w:tcPr>
          <w:p w:rsidR="00816336" w:rsidRPr="0074627C" w:rsidP="00F02E03" w14:paraId="5048801C" w14:textId="77777777">
            <w:pPr>
              <w:rPr>
                <w:bCs/>
                <w:sz w:val="22"/>
                <w:szCs w:val="22"/>
              </w:rPr>
            </w:pPr>
            <w:r w:rsidRPr="0074627C">
              <w:rPr>
                <w:bCs/>
                <w:sz w:val="22"/>
                <w:szCs w:val="22"/>
              </w:rPr>
              <w:t>20.2031-6</w:t>
            </w:r>
          </w:p>
        </w:tc>
        <w:tc>
          <w:tcPr>
            <w:tcW w:w="1800" w:type="dxa"/>
          </w:tcPr>
          <w:p w:rsidR="00816336" w:rsidRPr="0074627C" w:rsidP="00F02E03" w14:paraId="08678C04" w14:textId="77777777">
            <w:pPr>
              <w:widowControl w:val="0"/>
              <w:autoSpaceDE w:val="0"/>
              <w:autoSpaceDN w:val="0"/>
              <w:adjustRightInd w:val="0"/>
              <w:jc w:val="both"/>
              <w:rPr>
                <w:bCs/>
                <w:sz w:val="22"/>
                <w:szCs w:val="22"/>
              </w:rPr>
            </w:pPr>
            <w:r w:rsidRPr="0074627C">
              <w:rPr>
                <w:bCs/>
                <w:sz w:val="22"/>
                <w:szCs w:val="22"/>
              </w:rPr>
              <w:t>20.2055-3</w:t>
            </w:r>
          </w:p>
        </w:tc>
        <w:tc>
          <w:tcPr>
            <w:tcW w:w="1620" w:type="dxa"/>
          </w:tcPr>
          <w:p w:rsidR="00816336" w:rsidRPr="0074627C" w:rsidP="00F02E03" w14:paraId="077320C4" w14:textId="77777777">
            <w:pPr>
              <w:rPr>
                <w:bCs/>
                <w:sz w:val="22"/>
                <w:szCs w:val="22"/>
              </w:rPr>
            </w:pPr>
            <w:r w:rsidRPr="0074627C">
              <w:rPr>
                <w:bCs/>
                <w:sz w:val="22"/>
                <w:szCs w:val="22"/>
              </w:rPr>
              <w:t>20.6036-2</w:t>
            </w:r>
          </w:p>
        </w:tc>
        <w:tc>
          <w:tcPr>
            <w:tcW w:w="1710" w:type="dxa"/>
          </w:tcPr>
          <w:p w:rsidR="00816336" w:rsidRPr="0074627C" w:rsidP="00F02E03" w14:paraId="66BCB23A" w14:textId="77777777">
            <w:pPr>
              <w:widowControl w:val="0"/>
              <w:autoSpaceDE w:val="0"/>
              <w:autoSpaceDN w:val="0"/>
              <w:adjustRightInd w:val="0"/>
              <w:jc w:val="both"/>
              <w:rPr>
                <w:bCs/>
                <w:sz w:val="22"/>
                <w:szCs w:val="22"/>
              </w:rPr>
            </w:pPr>
            <w:r w:rsidRPr="0074627C">
              <w:rPr>
                <w:bCs/>
                <w:sz w:val="22"/>
                <w:szCs w:val="22"/>
              </w:rPr>
              <w:t>26.2662-1</w:t>
            </w:r>
          </w:p>
        </w:tc>
      </w:tr>
      <w:tr w14:paraId="10EA1468" w14:textId="77777777" w:rsidTr="0074627C">
        <w:tblPrEx>
          <w:tblW w:w="6840" w:type="dxa"/>
          <w:tblInd w:w="625" w:type="dxa"/>
          <w:tblLook w:val="04A0"/>
        </w:tblPrEx>
        <w:tc>
          <w:tcPr>
            <w:tcW w:w="1710" w:type="dxa"/>
          </w:tcPr>
          <w:p w:rsidR="00816336" w:rsidRPr="0074627C" w:rsidP="00F02E03" w14:paraId="7012D225" w14:textId="77777777">
            <w:pPr>
              <w:rPr>
                <w:bCs/>
                <w:sz w:val="22"/>
                <w:szCs w:val="22"/>
              </w:rPr>
            </w:pPr>
            <w:r w:rsidRPr="0074627C">
              <w:rPr>
                <w:bCs/>
                <w:sz w:val="22"/>
                <w:szCs w:val="22"/>
              </w:rPr>
              <w:t>20.2031-10</w:t>
            </w:r>
          </w:p>
        </w:tc>
        <w:tc>
          <w:tcPr>
            <w:tcW w:w="1800" w:type="dxa"/>
          </w:tcPr>
          <w:p w:rsidR="00816336" w:rsidRPr="0074627C" w:rsidP="00F02E03" w14:paraId="1D14C7DC" w14:textId="77777777">
            <w:pPr>
              <w:widowControl w:val="0"/>
              <w:autoSpaceDE w:val="0"/>
              <w:autoSpaceDN w:val="0"/>
              <w:adjustRightInd w:val="0"/>
              <w:jc w:val="both"/>
              <w:rPr>
                <w:bCs/>
                <w:sz w:val="22"/>
                <w:szCs w:val="22"/>
              </w:rPr>
            </w:pPr>
            <w:r w:rsidRPr="0074627C">
              <w:rPr>
                <w:bCs/>
                <w:sz w:val="22"/>
                <w:szCs w:val="22"/>
              </w:rPr>
              <w:t>20.2056(b)-4</w:t>
            </w:r>
          </w:p>
        </w:tc>
        <w:tc>
          <w:tcPr>
            <w:tcW w:w="1620" w:type="dxa"/>
          </w:tcPr>
          <w:p w:rsidR="00816336" w:rsidRPr="0074627C" w:rsidP="00F02E03" w14:paraId="4144047C" w14:textId="77777777">
            <w:pPr>
              <w:rPr>
                <w:bCs/>
                <w:sz w:val="22"/>
                <w:szCs w:val="22"/>
              </w:rPr>
            </w:pPr>
            <w:r w:rsidRPr="0074627C">
              <w:rPr>
                <w:bCs/>
                <w:sz w:val="22"/>
                <w:szCs w:val="22"/>
              </w:rPr>
              <w:t>20.6061-1</w:t>
            </w:r>
          </w:p>
        </w:tc>
        <w:tc>
          <w:tcPr>
            <w:tcW w:w="1710" w:type="dxa"/>
          </w:tcPr>
          <w:p w:rsidR="00816336" w:rsidRPr="0074627C" w:rsidP="00F02E03" w14:paraId="696CE069" w14:textId="77777777">
            <w:pPr>
              <w:widowControl w:val="0"/>
              <w:autoSpaceDE w:val="0"/>
              <w:autoSpaceDN w:val="0"/>
              <w:adjustRightInd w:val="0"/>
              <w:jc w:val="both"/>
              <w:rPr>
                <w:bCs/>
                <w:sz w:val="22"/>
                <w:szCs w:val="22"/>
              </w:rPr>
            </w:pPr>
            <w:r w:rsidRPr="0074627C">
              <w:rPr>
                <w:bCs/>
                <w:sz w:val="22"/>
                <w:szCs w:val="22"/>
              </w:rPr>
              <w:t>301.6324A-1</w:t>
            </w:r>
          </w:p>
        </w:tc>
      </w:tr>
      <w:tr w14:paraId="44564535" w14:textId="77777777" w:rsidTr="0074627C">
        <w:tblPrEx>
          <w:tblW w:w="6840" w:type="dxa"/>
          <w:tblInd w:w="625" w:type="dxa"/>
          <w:tblLook w:val="04A0"/>
        </w:tblPrEx>
        <w:tc>
          <w:tcPr>
            <w:tcW w:w="1710" w:type="dxa"/>
          </w:tcPr>
          <w:p w:rsidR="00816336" w:rsidRPr="0074627C" w:rsidP="00F02E03" w14:paraId="7F1DA1B5" w14:textId="77777777">
            <w:pPr>
              <w:rPr>
                <w:bCs/>
                <w:sz w:val="22"/>
                <w:szCs w:val="22"/>
              </w:rPr>
            </w:pPr>
            <w:r w:rsidRPr="0074627C">
              <w:rPr>
                <w:bCs/>
                <w:sz w:val="22"/>
                <w:szCs w:val="22"/>
              </w:rPr>
              <w:t>20.2032-1</w:t>
            </w:r>
          </w:p>
        </w:tc>
        <w:tc>
          <w:tcPr>
            <w:tcW w:w="1800" w:type="dxa"/>
          </w:tcPr>
          <w:p w:rsidR="00816336" w:rsidRPr="0074627C" w:rsidP="00F02E03" w14:paraId="2ED1AB58" w14:textId="77777777">
            <w:pPr>
              <w:widowControl w:val="0"/>
              <w:autoSpaceDE w:val="0"/>
              <w:autoSpaceDN w:val="0"/>
              <w:adjustRightInd w:val="0"/>
              <w:jc w:val="both"/>
              <w:rPr>
                <w:bCs/>
                <w:sz w:val="22"/>
                <w:szCs w:val="22"/>
              </w:rPr>
            </w:pPr>
            <w:r w:rsidRPr="0074627C">
              <w:rPr>
                <w:bCs/>
                <w:sz w:val="22"/>
                <w:szCs w:val="22"/>
              </w:rPr>
              <w:t>20.2056(b)-7</w:t>
            </w:r>
          </w:p>
        </w:tc>
        <w:tc>
          <w:tcPr>
            <w:tcW w:w="1620" w:type="dxa"/>
          </w:tcPr>
          <w:p w:rsidR="00816336" w:rsidRPr="0074627C" w:rsidP="00F02E03" w14:paraId="3CA71BEC" w14:textId="77777777">
            <w:pPr>
              <w:rPr>
                <w:bCs/>
                <w:sz w:val="22"/>
                <w:szCs w:val="22"/>
              </w:rPr>
            </w:pPr>
            <w:r w:rsidRPr="0074627C">
              <w:rPr>
                <w:bCs/>
                <w:sz w:val="22"/>
                <w:szCs w:val="22"/>
              </w:rPr>
              <w:t>20.6065-1</w:t>
            </w:r>
          </w:p>
        </w:tc>
        <w:tc>
          <w:tcPr>
            <w:tcW w:w="1710" w:type="dxa"/>
          </w:tcPr>
          <w:p w:rsidR="00816336" w:rsidRPr="0074627C" w:rsidP="00F02E03" w14:paraId="71E6F51D" w14:textId="77777777">
            <w:pPr>
              <w:widowControl w:val="0"/>
              <w:autoSpaceDE w:val="0"/>
              <w:autoSpaceDN w:val="0"/>
              <w:adjustRightInd w:val="0"/>
              <w:jc w:val="both"/>
              <w:rPr>
                <w:bCs/>
                <w:sz w:val="22"/>
                <w:szCs w:val="22"/>
              </w:rPr>
            </w:pPr>
            <w:r w:rsidRPr="0074627C">
              <w:rPr>
                <w:bCs/>
                <w:sz w:val="22"/>
                <w:szCs w:val="22"/>
              </w:rPr>
              <w:t>301.7517-1</w:t>
            </w:r>
          </w:p>
        </w:tc>
      </w:tr>
      <w:tr w14:paraId="0FD70FFC" w14:textId="77777777" w:rsidTr="0074627C">
        <w:tblPrEx>
          <w:tblW w:w="6840" w:type="dxa"/>
          <w:tblInd w:w="625" w:type="dxa"/>
          <w:tblLook w:val="04A0"/>
        </w:tblPrEx>
        <w:tc>
          <w:tcPr>
            <w:tcW w:w="1710" w:type="dxa"/>
          </w:tcPr>
          <w:p w:rsidR="00816336" w:rsidRPr="0074627C" w:rsidP="00F02E03" w14:paraId="3CA9DCD8" w14:textId="77777777">
            <w:pPr>
              <w:rPr>
                <w:bCs/>
                <w:sz w:val="22"/>
                <w:szCs w:val="22"/>
              </w:rPr>
            </w:pPr>
            <w:r w:rsidRPr="0074627C">
              <w:rPr>
                <w:bCs/>
                <w:sz w:val="22"/>
                <w:szCs w:val="22"/>
              </w:rPr>
              <w:t>20.2032A-3</w:t>
            </w:r>
          </w:p>
        </w:tc>
        <w:tc>
          <w:tcPr>
            <w:tcW w:w="1800" w:type="dxa"/>
          </w:tcPr>
          <w:p w:rsidR="00816336" w:rsidRPr="0074627C" w:rsidP="00F02E03" w14:paraId="5B8A1519" w14:textId="77777777">
            <w:pPr>
              <w:widowControl w:val="0"/>
              <w:autoSpaceDE w:val="0"/>
              <w:autoSpaceDN w:val="0"/>
              <w:adjustRightInd w:val="0"/>
              <w:jc w:val="both"/>
              <w:rPr>
                <w:bCs/>
                <w:sz w:val="22"/>
                <w:szCs w:val="22"/>
              </w:rPr>
            </w:pPr>
            <w:r w:rsidRPr="0074627C">
              <w:rPr>
                <w:bCs/>
                <w:sz w:val="22"/>
                <w:szCs w:val="22"/>
              </w:rPr>
              <w:t>20.2106-1</w:t>
            </w:r>
          </w:p>
        </w:tc>
        <w:tc>
          <w:tcPr>
            <w:tcW w:w="1620" w:type="dxa"/>
          </w:tcPr>
          <w:p w:rsidR="00816336" w:rsidRPr="0074627C" w:rsidP="00F02E03" w14:paraId="5B58369F" w14:textId="77777777">
            <w:pPr>
              <w:rPr>
                <w:bCs/>
                <w:sz w:val="22"/>
                <w:szCs w:val="22"/>
              </w:rPr>
            </w:pPr>
            <w:r w:rsidRPr="0074627C">
              <w:rPr>
                <w:bCs/>
                <w:sz w:val="22"/>
                <w:szCs w:val="22"/>
              </w:rPr>
              <w:t>20.6075-1</w:t>
            </w:r>
          </w:p>
        </w:tc>
        <w:tc>
          <w:tcPr>
            <w:tcW w:w="1710" w:type="dxa"/>
          </w:tcPr>
          <w:p w:rsidR="00816336" w:rsidRPr="0074627C" w:rsidP="00F02E03" w14:paraId="62346A18" w14:textId="77777777">
            <w:pPr>
              <w:widowControl w:val="0"/>
              <w:autoSpaceDE w:val="0"/>
              <w:autoSpaceDN w:val="0"/>
              <w:adjustRightInd w:val="0"/>
              <w:jc w:val="both"/>
              <w:rPr>
                <w:bCs/>
                <w:sz w:val="22"/>
                <w:szCs w:val="22"/>
              </w:rPr>
            </w:pPr>
          </w:p>
        </w:tc>
      </w:tr>
    </w:tbl>
    <w:p w:rsidR="00816336" w:rsidRPr="00147B08" w:rsidP="00F33AF2" w14:paraId="3E978F33" w14:textId="77777777">
      <w:pPr>
        <w:widowControl w:val="0"/>
        <w:autoSpaceDE w:val="0"/>
        <w:autoSpaceDN w:val="0"/>
        <w:adjustRightInd w:val="0"/>
        <w:rPr>
          <w:szCs w:val="24"/>
        </w:rPr>
        <w:sectPr w:rsidSect="00CA25A2">
          <w:headerReference w:type="even" r:id="rId6"/>
          <w:headerReference w:type="default" r:id="rId7"/>
          <w:footerReference w:type="even" r:id="rId8"/>
          <w:footerReference w:type="default" r:id="rId9"/>
          <w:headerReference w:type="first" r:id="rId10"/>
          <w:footerReference w:type="first" r:id="rId11"/>
          <w:footnotePr>
            <w:numFmt w:val="lowerLetter"/>
          </w:footnotePr>
          <w:endnotePr>
            <w:numFmt w:val="lowerLetter"/>
          </w:endnotePr>
          <w:type w:val="continuous"/>
          <w:pgSz w:w="12240" w:h="15840"/>
          <w:pgMar w:top="1440" w:right="1440" w:bottom="1440" w:left="1440" w:header="720" w:footer="720" w:gutter="0"/>
          <w:cols w:space="720"/>
          <w:docGrid w:linePitch="326"/>
        </w:sectPr>
      </w:pPr>
    </w:p>
    <w:p w:rsidR="009404B4" w:rsidRPr="00147B08" w:rsidP="00F33AF2" w14:paraId="575D76E9" w14:textId="77777777">
      <w:pPr>
        <w:widowControl w:val="0"/>
        <w:autoSpaceDE w:val="0"/>
        <w:autoSpaceDN w:val="0"/>
        <w:adjustRightInd w:val="0"/>
        <w:rPr>
          <w:szCs w:val="24"/>
        </w:rPr>
        <w:sectPr w:rsidSect="009404B4">
          <w:footnotePr>
            <w:numFmt w:val="lowerLetter"/>
          </w:footnotePr>
          <w:endnotePr>
            <w:numFmt w:val="lowerLetter"/>
          </w:endnotePr>
          <w:type w:val="continuous"/>
          <w:pgSz w:w="12240" w:h="15840"/>
          <w:pgMar w:top="1440" w:right="1440" w:bottom="1440" w:left="1440" w:header="720" w:footer="720" w:gutter="0"/>
          <w:cols w:num="3" w:space="90"/>
          <w:docGrid w:linePitch="326"/>
        </w:sectPr>
      </w:pPr>
    </w:p>
    <w:p w:rsidR="009E4901" w:rsidRPr="00F33AF2" w:rsidP="00F06884" w14:paraId="7D7C7C62" w14:textId="346B85D9">
      <w:pPr>
        <w:pStyle w:val="Level1"/>
        <w:numPr>
          <w:ilvl w:val="0"/>
          <w:numId w:val="2"/>
        </w:numPr>
        <w:tabs>
          <w:tab w:val="left" w:pos="-1440"/>
          <w:tab w:val="num" w:pos="720"/>
        </w:tabs>
        <w:autoSpaceDE w:val="0"/>
        <w:autoSpaceDN w:val="0"/>
        <w:adjustRightInd w:val="0"/>
        <w:ind w:hanging="720"/>
        <w:outlineLvl w:val="0"/>
        <w:rPr>
          <w:szCs w:val="24"/>
          <w:u w:val="single"/>
        </w:rPr>
      </w:pPr>
      <w:r w:rsidRPr="00F33AF2">
        <w:rPr>
          <w:szCs w:val="24"/>
          <w:u w:val="single"/>
        </w:rPr>
        <w:t>ESTIMATED TOTAL ANNUAL COST BURDEN TO RESPONDENTS</w:t>
      </w:r>
    </w:p>
    <w:p w:rsidR="009E4901" w:rsidRPr="00147B08" w:rsidP="00F06884" w14:paraId="2BBCAA0C" w14:textId="77777777">
      <w:pPr>
        <w:widowControl w:val="0"/>
        <w:autoSpaceDE w:val="0"/>
        <w:autoSpaceDN w:val="0"/>
        <w:adjustRightInd w:val="0"/>
        <w:ind w:left="720"/>
        <w:rPr>
          <w:szCs w:val="24"/>
        </w:rPr>
      </w:pPr>
    </w:p>
    <w:p w:rsidR="005D4621" w:rsidP="005D4621" w14:paraId="35535B89" w14:textId="67E64600">
      <w:r>
        <w:rPr>
          <w:bCs/>
          <w:szCs w:val="24"/>
        </w:rPr>
        <w:tab/>
      </w:r>
      <w:r w:rsidRPr="00361228">
        <w:t>IRS estimates the total annual cost to respondents at $</w:t>
      </w:r>
      <w:r w:rsidR="006B5148">
        <w:t>8,</w:t>
      </w:r>
      <w:r w:rsidR="00301E47">
        <w:t>473,082</w:t>
      </w:r>
      <w:r w:rsidR="00BF6A80">
        <w:t>.</w:t>
      </w:r>
      <w:r w:rsidRPr="00361228">
        <w:t> </w:t>
      </w:r>
    </w:p>
    <w:p w:rsidR="008F072E" w:rsidRPr="00361228" w:rsidP="005D4621" w14:paraId="50A6C77D" w14:textId="77777777"/>
    <w:p w:rsidR="005D4621" w:rsidRPr="00361228" w:rsidP="0074627C" w14:paraId="59EB56FB" w14:textId="1F9A197E">
      <w:pPr>
        <w:ind w:left="720"/>
      </w:pPr>
      <w:r w:rsidRPr="00361228">
        <w:t>To arrive at this figure, 51%</w:t>
      </w:r>
      <w:r>
        <w:rPr>
          <w:vertAlign w:val="superscript"/>
        </w:rPr>
        <w:footnoteReference w:id="2"/>
      </w:r>
      <w:r w:rsidRPr="00361228">
        <w:rPr>
          <w:vertAlign w:val="superscript"/>
        </w:rPr>
        <w:t xml:space="preserve"> </w:t>
      </w:r>
      <w:r w:rsidRPr="00361228">
        <w:t xml:space="preserve">of burden of </w:t>
      </w:r>
      <w:r w:rsidR="008F072E">
        <w:t>254</w:t>
      </w:r>
      <w:r w:rsidR="006F6326">
        <w:t>,</w:t>
      </w:r>
      <w:r w:rsidR="008F072E">
        <w:t>424</w:t>
      </w:r>
      <w:r w:rsidRPr="00361228">
        <w:t xml:space="preserve"> was multiplied by $</w:t>
      </w:r>
      <w:r w:rsidR="008F072E">
        <w:t>65.30</w:t>
      </w:r>
      <w:r w:rsidRPr="00361228">
        <w:t xml:space="preserve"> per hour. IRS anticipates that 51% of </w:t>
      </w:r>
      <w:r w:rsidR="00BF7917">
        <w:t>filers</w:t>
      </w:r>
      <w:r w:rsidRPr="00361228">
        <w:t xml:space="preserve"> may use a tax </w:t>
      </w:r>
      <w:r w:rsidR="008F072E">
        <w:t xml:space="preserve">professional </w:t>
      </w:r>
      <w:r w:rsidRPr="00361228">
        <w:t>to complete their Form 70</w:t>
      </w:r>
      <w:r w:rsidR="008F072E">
        <w:t>6</w:t>
      </w:r>
      <w:r w:rsidRPr="00361228">
        <w:t xml:space="preserve"> to report </w:t>
      </w:r>
      <w:r>
        <w:t>and</w:t>
      </w:r>
      <w:r w:rsidRPr="00361228">
        <w:t xml:space="preserve"> compute the </w:t>
      </w:r>
      <w:r w:rsidR="00C47D33">
        <w:t xml:space="preserve">applicable </w:t>
      </w:r>
      <w:r w:rsidRPr="00361228">
        <w:t>tax</w:t>
      </w:r>
      <w:r w:rsidR="00C47D33">
        <w:t>.</w:t>
      </w:r>
      <w:r w:rsidRPr="00361228">
        <w:t xml:space="preserve">  </w:t>
      </w:r>
    </w:p>
    <w:p w:rsidR="008F072E" w:rsidP="008F072E" w14:paraId="5EC150B1" w14:textId="77777777">
      <w:pPr>
        <w:ind w:left="720"/>
      </w:pPr>
    </w:p>
    <w:p w:rsidR="005D4621" w:rsidRPr="00361228" w:rsidP="0074627C" w14:paraId="3474CE93" w14:textId="06DE6162">
      <w:pPr>
        <w:ind w:left="720"/>
      </w:pPr>
      <w:r w:rsidRPr="00361228">
        <w:t xml:space="preserve">The above Hourly Wage Rate is the </w:t>
      </w:r>
      <w:hyperlink r:id="rId12" w:history="1">
        <w:r w:rsidRPr="00361228">
          <w:rPr>
            <w:rStyle w:val="Hyperlink"/>
          </w:rPr>
          <w:t>May 202</w:t>
        </w:r>
        <w:r>
          <w:rPr>
            <w:rStyle w:val="Hyperlink"/>
          </w:rPr>
          <w:t>4</w:t>
        </w:r>
        <w:r w:rsidRPr="00361228">
          <w:rPr>
            <w:rStyle w:val="Hyperlink"/>
          </w:rPr>
          <w:t xml:space="preserve"> Bureau of Labor Statistics</w:t>
        </w:r>
      </w:hyperlink>
      <w:r w:rsidRPr="00361228">
        <w:t xml:space="preserve"> mean wage for “</w:t>
      </w:r>
      <w:r w:rsidR="00C47D33">
        <w:t>Accountant and Auditors</w:t>
      </w:r>
      <w:r w:rsidRPr="00361228">
        <w:t>” (Major Group (13-20</w:t>
      </w:r>
      <w:r w:rsidR="008547AC">
        <w:t>11</w:t>
      </w:r>
      <w:r w:rsidRPr="00361228">
        <w:t>)” of $</w:t>
      </w:r>
      <w:r w:rsidR="008547AC">
        <w:t>44.96</w:t>
      </w:r>
      <w:r w:rsidRPr="00361228">
        <w:t xml:space="preserve"> times the wage rate benefit multiplier of 1.4524 (to account for fringe benefits) equaling a fully-loaded wage rate of $</w:t>
      </w:r>
      <w:r w:rsidR="00ED597F">
        <w:t>65.30</w:t>
      </w:r>
      <w:r w:rsidRPr="00361228">
        <w:t>.</w:t>
      </w:r>
    </w:p>
    <w:p w:rsidR="00ED597F" w:rsidP="00ED597F" w14:paraId="15E8AD04" w14:textId="77777777">
      <w:pPr>
        <w:ind w:left="720"/>
      </w:pPr>
    </w:p>
    <w:p w:rsidR="005D4621" w:rsidRPr="00361228" w:rsidP="0074627C" w14:paraId="0025ACC1" w14:textId="23A5422E">
      <w:pPr>
        <w:ind w:left="720"/>
      </w:pPr>
      <w:r w:rsidRPr="00361228">
        <w:t xml:space="preserve">The benefits multiplier is estimated by dividing total compensation of $46.84 by salaries and wages of $32.25, based on Employer Cost for Employee Compensation, September 2024 data, released </w:t>
      </w:r>
      <w:hyperlink r:id="rId13" w:history="1">
        <w:r w:rsidRPr="00361228">
          <w:rPr>
            <w:rStyle w:val="Hyperlink"/>
          </w:rPr>
          <w:t>December 17, 2024</w:t>
        </w:r>
      </w:hyperlink>
      <w:r w:rsidRPr="00361228">
        <w:t xml:space="preserve">.  </w:t>
      </w:r>
    </w:p>
    <w:p w:rsidR="00873CC3" w:rsidRPr="00873CC3" w:rsidP="00873CC3" w14:paraId="22D19CC6" w14:textId="4061294D">
      <w:pPr>
        <w:widowControl w:val="0"/>
        <w:autoSpaceDE w:val="0"/>
        <w:autoSpaceDN w:val="0"/>
        <w:adjustRightInd w:val="0"/>
        <w:jc w:val="both"/>
        <w:rPr>
          <w:bCs/>
          <w:szCs w:val="24"/>
        </w:rPr>
      </w:pPr>
    </w:p>
    <w:p w:rsidR="009E4901" w:rsidRPr="00147B08" w:rsidP="00F06884" w14:paraId="08B99692" w14:textId="7F74CC58">
      <w:pPr>
        <w:pStyle w:val="Level1"/>
        <w:numPr>
          <w:ilvl w:val="0"/>
          <w:numId w:val="2"/>
        </w:numPr>
        <w:tabs>
          <w:tab w:val="left" w:pos="-1440"/>
          <w:tab w:val="num" w:pos="720"/>
        </w:tabs>
        <w:autoSpaceDE w:val="0"/>
        <w:autoSpaceDN w:val="0"/>
        <w:adjustRightInd w:val="0"/>
        <w:ind w:hanging="720"/>
        <w:outlineLvl w:val="0"/>
        <w:rPr>
          <w:szCs w:val="24"/>
          <w:u w:val="single"/>
        </w:rPr>
      </w:pPr>
      <w:r w:rsidRPr="00147B08">
        <w:rPr>
          <w:szCs w:val="24"/>
          <w:u w:val="single"/>
        </w:rPr>
        <w:t>ESTIMATED ANNUALIZED COST TO THE FEDERAL GOVERNMENT</w:t>
      </w:r>
    </w:p>
    <w:p w:rsidR="009E4901" w:rsidRPr="00147B08" w:rsidP="00F06884" w14:paraId="52D2216D" w14:textId="77777777">
      <w:pPr>
        <w:widowControl w:val="0"/>
        <w:autoSpaceDE w:val="0"/>
        <w:autoSpaceDN w:val="0"/>
        <w:adjustRightInd w:val="0"/>
        <w:ind w:left="720"/>
        <w:rPr>
          <w:szCs w:val="24"/>
        </w:rPr>
      </w:pPr>
    </w:p>
    <w:p w:rsidR="00EA310E" w:rsidRPr="00147B08" w:rsidP="00EA310E" w14:paraId="461CF11F" w14:textId="77777777">
      <w:pPr>
        <w:ind w:left="720"/>
        <w:rPr>
          <w:szCs w:val="24"/>
        </w:rPr>
      </w:pPr>
      <w:bookmarkStart w:id="11" w:name="_Hlk90531343"/>
      <w:bookmarkStart w:id="12" w:name="_Hlk91161430"/>
      <w:r w:rsidRPr="00147B08">
        <w:rPr>
          <w:szCs w:val="24"/>
        </w:rPr>
        <w:t>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These costs do not include any activities such as taxpayer assistance and enforcement.</w:t>
      </w:r>
    </w:p>
    <w:p w:rsidR="00EA310E" w:rsidRPr="00147B08" w:rsidP="00EA310E" w14:paraId="5F5B0C06" w14:textId="77777777">
      <w:pPr>
        <w:ind w:left="720"/>
        <w:rPr>
          <w:szCs w:val="24"/>
        </w:rPr>
      </w:pPr>
    </w:p>
    <w:p w:rsidR="00EA310E" w:rsidP="00EA310E" w14:paraId="42E9333F" w14:textId="77777777">
      <w:pPr>
        <w:ind w:left="720"/>
        <w:rPr>
          <w:szCs w:val="24"/>
        </w:rPr>
      </w:pPr>
      <w:r w:rsidRPr="00147B08">
        <w:rPr>
          <w:szCs w:val="24"/>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w:t>
      </w:r>
      <w:r w:rsidRPr="00147B08">
        <w:rPr>
          <w:szCs w:val="24"/>
        </w:rPr>
        <w:t xml:space="preserve"> aggregated total cost and factor are multiplied together to obtain the aggregated cost per product. Lastly, the aggregated cost per product is added to the cost of shipping and printing each product to IRS offices, National Distribution Center, libraries, and other outlets.</w:t>
      </w:r>
      <w:bookmarkEnd w:id="11"/>
      <w:r w:rsidRPr="00147B08">
        <w:rPr>
          <w:szCs w:val="24"/>
        </w:rPr>
        <w:t xml:space="preserve"> The result is the government cost estimate per product.</w:t>
      </w:r>
    </w:p>
    <w:p w:rsidR="0074627C" w:rsidRPr="00147B08" w:rsidP="00EA310E" w14:paraId="5582B352" w14:textId="77777777">
      <w:pPr>
        <w:ind w:left="720"/>
        <w:rPr>
          <w:szCs w:val="24"/>
        </w:rPr>
      </w:pPr>
    </w:p>
    <w:p w:rsidR="008B5C56" w:rsidRPr="00147B08" w:rsidP="00EA310E" w14:paraId="235F3BFD" w14:textId="028A77E9">
      <w:pPr>
        <w:widowControl w:val="0"/>
        <w:autoSpaceDE w:val="0"/>
        <w:autoSpaceDN w:val="0"/>
        <w:adjustRightInd w:val="0"/>
        <w:ind w:left="720"/>
        <w:rPr>
          <w:szCs w:val="24"/>
        </w:rPr>
      </w:pPr>
      <w:r w:rsidRPr="00147B08">
        <w:rPr>
          <w:szCs w:val="24"/>
        </w:rPr>
        <w:t>The government cost estimate for this collection is summarized in the table below.</w:t>
      </w:r>
      <w:bookmarkEnd w:id="12"/>
    </w:p>
    <w:tbl>
      <w:tblPr>
        <w:tblW w:w="8644"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8"/>
        <w:gridCol w:w="2321"/>
        <w:gridCol w:w="330"/>
        <w:gridCol w:w="1592"/>
        <w:gridCol w:w="386"/>
        <w:gridCol w:w="1697"/>
      </w:tblGrid>
      <w:tr w14:paraId="6D47B863" w14:textId="77777777" w:rsidTr="0074627C">
        <w:tblPrEx>
          <w:tblW w:w="8644"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18" w:type="dxa"/>
            <w:shd w:val="clear" w:color="auto" w:fill="auto"/>
            <w:vAlign w:val="bottom"/>
          </w:tcPr>
          <w:p w:rsidR="00EA310E" w:rsidRPr="00821066" w:rsidP="0047162D" w14:paraId="7FB74D9E" w14:textId="77777777">
            <w:pPr>
              <w:keepNext/>
              <w:keepLines/>
              <w:jc w:val="center"/>
              <w:rPr>
                <w:b/>
                <w:sz w:val="20"/>
              </w:rPr>
            </w:pPr>
            <w:bookmarkStart w:id="13" w:name="_Hlk90531615"/>
            <w:r w:rsidRPr="00821066">
              <w:rPr>
                <w:b/>
                <w:sz w:val="20"/>
              </w:rPr>
              <w:t>Product</w:t>
            </w:r>
          </w:p>
        </w:tc>
        <w:tc>
          <w:tcPr>
            <w:tcW w:w="2321" w:type="dxa"/>
            <w:shd w:val="clear" w:color="auto" w:fill="auto"/>
            <w:vAlign w:val="bottom"/>
          </w:tcPr>
          <w:p w:rsidR="00EA310E" w:rsidRPr="00821066" w:rsidP="0047162D" w14:paraId="362993F2" w14:textId="77777777">
            <w:pPr>
              <w:keepNext/>
              <w:keepLines/>
              <w:jc w:val="center"/>
              <w:rPr>
                <w:b/>
                <w:sz w:val="20"/>
              </w:rPr>
            </w:pPr>
            <w:r w:rsidRPr="00821066">
              <w:rPr>
                <w:b/>
                <w:sz w:val="20"/>
              </w:rPr>
              <w:t>Aggregate Cost per Product (factor applied)</w:t>
            </w:r>
          </w:p>
        </w:tc>
        <w:tc>
          <w:tcPr>
            <w:tcW w:w="330" w:type="dxa"/>
            <w:shd w:val="clear" w:color="auto" w:fill="auto"/>
          </w:tcPr>
          <w:p w:rsidR="00EA310E" w:rsidRPr="00821066" w:rsidP="0047162D" w14:paraId="741D73F7" w14:textId="77777777">
            <w:pPr>
              <w:keepNext/>
              <w:keepLines/>
              <w:jc w:val="center"/>
              <w:rPr>
                <w:b/>
                <w:sz w:val="20"/>
              </w:rPr>
            </w:pPr>
          </w:p>
        </w:tc>
        <w:tc>
          <w:tcPr>
            <w:tcW w:w="1592" w:type="dxa"/>
            <w:shd w:val="clear" w:color="auto" w:fill="auto"/>
            <w:vAlign w:val="bottom"/>
          </w:tcPr>
          <w:p w:rsidR="00EA310E" w:rsidRPr="00821066" w:rsidP="0047162D" w14:paraId="28F6CEC2" w14:textId="77777777">
            <w:pPr>
              <w:keepNext/>
              <w:keepLines/>
              <w:jc w:val="center"/>
              <w:rPr>
                <w:b/>
                <w:sz w:val="20"/>
              </w:rPr>
            </w:pPr>
            <w:r w:rsidRPr="00821066">
              <w:rPr>
                <w:b/>
                <w:sz w:val="20"/>
              </w:rPr>
              <w:t>Printing and Distribution</w:t>
            </w:r>
          </w:p>
        </w:tc>
        <w:tc>
          <w:tcPr>
            <w:tcW w:w="386" w:type="dxa"/>
            <w:shd w:val="clear" w:color="auto" w:fill="auto"/>
          </w:tcPr>
          <w:p w:rsidR="00EA310E" w:rsidRPr="00821066" w:rsidP="0047162D" w14:paraId="1F669E0D" w14:textId="77777777">
            <w:pPr>
              <w:keepNext/>
              <w:keepLines/>
              <w:jc w:val="center"/>
              <w:rPr>
                <w:b/>
                <w:sz w:val="20"/>
              </w:rPr>
            </w:pPr>
          </w:p>
        </w:tc>
        <w:tc>
          <w:tcPr>
            <w:tcW w:w="1697" w:type="dxa"/>
            <w:shd w:val="clear" w:color="auto" w:fill="auto"/>
            <w:vAlign w:val="bottom"/>
          </w:tcPr>
          <w:p w:rsidR="00EA310E" w:rsidRPr="00821066" w:rsidP="0047162D" w14:paraId="3ECA2DB1" w14:textId="18A8B152">
            <w:pPr>
              <w:keepNext/>
              <w:keepLines/>
              <w:jc w:val="center"/>
              <w:rPr>
                <w:b/>
                <w:sz w:val="20"/>
              </w:rPr>
            </w:pPr>
            <w:r w:rsidRPr="00821066">
              <w:rPr>
                <w:b/>
                <w:sz w:val="20"/>
              </w:rPr>
              <w:t xml:space="preserve">Government Cost Estimate </w:t>
            </w:r>
          </w:p>
        </w:tc>
      </w:tr>
      <w:tr w14:paraId="60F88F7F" w14:textId="77777777" w:rsidTr="0074627C">
        <w:tblPrEx>
          <w:tblW w:w="8644" w:type="dxa"/>
          <w:tblInd w:w="715" w:type="dxa"/>
          <w:tblLook w:val="04A0"/>
        </w:tblPrEx>
        <w:tc>
          <w:tcPr>
            <w:tcW w:w="2318" w:type="dxa"/>
            <w:shd w:val="clear" w:color="auto" w:fill="auto"/>
            <w:vAlign w:val="bottom"/>
          </w:tcPr>
          <w:p w:rsidR="00EA310E" w:rsidRPr="00821066" w:rsidP="0047162D" w14:paraId="7379AD0A" w14:textId="68C9DF50">
            <w:pPr>
              <w:keepNext/>
              <w:keepLines/>
              <w:numPr>
                <w:ilvl w:val="12"/>
                <w:numId w:val="0"/>
              </w:numPr>
              <w:rPr>
                <w:bCs/>
                <w:sz w:val="20"/>
              </w:rPr>
            </w:pPr>
            <w:r w:rsidRPr="00821066">
              <w:rPr>
                <w:bCs/>
                <w:sz w:val="20"/>
              </w:rPr>
              <w:t>Form 706</w:t>
            </w:r>
          </w:p>
        </w:tc>
        <w:tc>
          <w:tcPr>
            <w:tcW w:w="2321" w:type="dxa"/>
            <w:shd w:val="clear" w:color="auto" w:fill="auto"/>
          </w:tcPr>
          <w:p w:rsidR="00EA310E" w:rsidRPr="00014059" w:rsidP="0047162D" w14:paraId="1DF05B3C" w14:textId="5DA69F8F">
            <w:pPr>
              <w:keepNext/>
              <w:keepLines/>
              <w:jc w:val="center"/>
              <w:rPr>
                <w:bCs/>
                <w:sz w:val="20"/>
              </w:rPr>
            </w:pPr>
            <w:r w:rsidRPr="00014059">
              <w:rPr>
                <w:bCs/>
                <w:sz w:val="20"/>
              </w:rPr>
              <w:t>$</w:t>
            </w:r>
            <w:r w:rsidR="00780E1C">
              <w:rPr>
                <w:bCs/>
                <w:sz w:val="20"/>
              </w:rPr>
              <w:t>63,106</w:t>
            </w:r>
          </w:p>
        </w:tc>
        <w:tc>
          <w:tcPr>
            <w:tcW w:w="330" w:type="dxa"/>
            <w:shd w:val="clear" w:color="auto" w:fill="auto"/>
          </w:tcPr>
          <w:p w:rsidR="00EA310E" w:rsidRPr="00014059" w:rsidP="0047162D" w14:paraId="28E8D75A" w14:textId="078D8324">
            <w:pPr>
              <w:keepNext/>
              <w:keepLines/>
              <w:jc w:val="center"/>
              <w:rPr>
                <w:bCs/>
                <w:sz w:val="20"/>
              </w:rPr>
            </w:pPr>
            <w:r>
              <w:rPr>
                <w:bCs/>
                <w:sz w:val="20"/>
              </w:rPr>
              <w:t>+</w:t>
            </w:r>
          </w:p>
        </w:tc>
        <w:tc>
          <w:tcPr>
            <w:tcW w:w="1592" w:type="dxa"/>
            <w:shd w:val="clear" w:color="auto" w:fill="auto"/>
          </w:tcPr>
          <w:p w:rsidR="00EA310E" w:rsidRPr="00014059" w:rsidP="0047162D" w14:paraId="079A6746" w14:textId="3A786C62">
            <w:pPr>
              <w:keepNext/>
              <w:keepLines/>
              <w:jc w:val="center"/>
              <w:rPr>
                <w:bCs/>
                <w:sz w:val="20"/>
              </w:rPr>
            </w:pPr>
            <w:r w:rsidRPr="00014059">
              <w:rPr>
                <w:bCs/>
                <w:sz w:val="20"/>
              </w:rPr>
              <w:t>$</w:t>
            </w:r>
            <w:r w:rsidR="00780E1C">
              <w:rPr>
                <w:bCs/>
                <w:sz w:val="20"/>
              </w:rPr>
              <w:t>0</w:t>
            </w:r>
          </w:p>
        </w:tc>
        <w:tc>
          <w:tcPr>
            <w:tcW w:w="386" w:type="dxa"/>
            <w:shd w:val="clear" w:color="auto" w:fill="auto"/>
          </w:tcPr>
          <w:p w:rsidR="00EA310E" w:rsidRPr="00014059" w:rsidP="0047162D" w14:paraId="49789829" w14:textId="51CE2AC1">
            <w:pPr>
              <w:keepNext/>
              <w:keepLines/>
              <w:jc w:val="center"/>
              <w:rPr>
                <w:bCs/>
                <w:sz w:val="20"/>
              </w:rPr>
            </w:pPr>
            <w:r>
              <w:rPr>
                <w:bCs/>
                <w:sz w:val="20"/>
              </w:rPr>
              <w:t>=</w:t>
            </w:r>
          </w:p>
        </w:tc>
        <w:tc>
          <w:tcPr>
            <w:tcW w:w="1697" w:type="dxa"/>
            <w:shd w:val="clear" w:color="auto" w:fill="auto"/>
          </w:tcPr>
          <w:p w:rsidR="00EA310E" w:rsidRPr="00014059" w:rsidP="0047162D" w14:paraId="32722B6C" w14:textId="1BFAB725">
            <w:pPr>
              <w:keepNext/>
              <w:keepLines/>
              <w:jc w:val="center"/>
              <w:rPr>
                <w:bCs/>
                <w:sz w:val="20"/>
              </w:rPr>
            </w:pPr>
            <w:r w:rsidRPr="00014059">
              <w:rPr>
                <w:bCs/>
                <w:sz w:val="20"/>
              </w:rPr>
              <w:t>$</w:t>
            </w:r>
            <w:r w:rsidR="002C2CE0">
              <w:rPr>
                <w:bCs/>
                <w:sz w:val="20"/>
              </w:rPr>
              <w:t>63,106</w:t>
            </w:r>
          </w:p>
        </w:tc>
      </w:tr>
      <w:tr w14:paraId="729E452F" w14:textId="77777777" w:rsidTr="0074627C">
        <w:tblPrEx>
          <w:tblW w:w="8644" w:type="dxa"/>
          <w:tblInd w:w="715" w:type="dxa"/>
          <w:tblLook w:val="04A0"/>
        </w:tblPrEx>
        <w:tc>
          <w:tcPr>
            <w:tcW w:w="2318" w:type="dxa"/>
            <w:shd w:val="clear" w:color="auto" w:fill="auto"/>
            <w:vAlign w:val="bottom"/>
          </w:tcPr>
          <w:p w:rsidR="00EA310E" w:rsidRPr="00821066" w:rsidP="0047162D" w14:paraId="3AA5DCFE" w14:textId="44FF0D43">
            <w:pPr>
              <w:keepNext/>
              <w:keepLines/>
              <w:numPr>
                <w:ilvl w:val="12"/>
                <w:numId w:val="0"/>
              </w:numPr>
              <w:rPr>
                <w:bCs/>
                <w:sz w:val="20"/>
              </w:rPr>
            </w:pPr>
            <w:r w:rsidRPr="00821066">
              <w:rPr>
                <w:bCs/>
                <w:sz w:val="20"/>
              </w:rPr>
              <w:t>706 Instructions</w:t>
            </w:r>
          </w:p>
        </w:tc>
        <w:tc>
          <w:tcPr>
            <w:tcW w:w="2321" w:type="dxa"/>
            <w:shd w:val="clear" w:color="auto" w:fill="auto"/>
          </w:tcPr>
          <w:p w:rsidR="00EA310E" w:rsidRPr="00014059" w:rsidP="0047162D" w14:paraId="081BDEA8" w14:textId="16B7E6EC">
            <w:pPr>
              <w:keepNext/>
              <w:keepLines/>
              <w:jc w:val="center"/>
              <w:rPr>
                <w:bCs/>
                <w:sz w:val="20"/>
              </w:rPr>
            </w:pPr>
            <w:r w:rsidRPr="00014059">
              <w:rPr>
                <w:bCs/>
                <w:sz w:val="20"/>
              </w:rPr>
              <w:t>$4</w:t>
            </w:r>
            <w:r w:rsidRPr="00014059" w:rsidR="001B2918">
              <w:rPr>
                <w:bCs/>
                <w:sz w:val="20"/>
              </w:rPr>
              <w:t>6,</w:t>
            </w:r>
            <w:r w:rsidR="00780E1C">
              <w:rPr>
                <w:bCs/>
                <w:sz w:val="20"/>
              </w:rPr>
              <w:t>925</w:t>
            </w:r>
          </w:p>
        </w:tc>
        <w:tc>
          <w:tcPr>
            <w:tcW w:w="330" w:type="dxa"/>
            <w:shd w:val="clear" w:color="auto" w:fill="auto"/>
          </w:tcPr>
          <w:p w:rsidR="00EA310E" w:rsidRPr="00014059" w:rsidP="0047162D" w14:paraId="30399977" w14:textId="47A632C9">
            <w:pPr>
              <w:keepNext/>
              <w:keepLines/>
              <w:jc w:val="center"/>
              <w:rPr>
                <w:bCs/>
                <w:sz w:val="20"/>
              </w:rPr>
            </w:pPr>
            <w:r>
              <w:rPr>
                <w:bCs/>
                <w:sz w:val="20"/>
              </w:rPr>
              <w:t>+</w:t>
            </w:r>
          </w:p>
        </w:tc>
        <w:tc>
          <w:tcPr>
            <w:tcW w:w="1592" w:type="dxa"/>
            <w:shd w:val="clear" w:color="auto" w:fill="auto"/>
          </w:tcPr>
          <w:p w:rsidR="00EA310E" w:rsidRPr="00014059" w:rsidP="0047162D" w14:paraId="2CC13A2E" w14:textId="25CE01AA">
            <w:pPr>
              <w:keepNext/>
              <w:keepLines/>
              <w:jc w:val="center"/>
              <w:rPr>
                <w:bCs/>
                <w:sz w:val="20"/>
              </w:rPr>
            </w:pPr>
            <w:r w:rsidRPr="00014059">
              <w:rPr>
                <w:bCs/>
                <w:sz w:val="20"/>
              </w:rPr>
              <w:t>$</w:t>
            </w:r>
            <w:r w:rsidR="00780E1C">
              <w:rPr>
                <w:bCs/>
                <w:sz w:val="20"/>
              </w:rPr>
              <w:t>1,702</w:t>
            </w:r>
          </w:p>
        </w:tc>
        <w:tc>
          <w:tcPr>
            <w:tcW w:w="386" w:type="dxa"/>
            <w:shd w:val="clear" w:color="auto" w:fill="auto"/>
          </w:tcPr>
          <w:p w:rsidR="00EA310E" w:rsidRPr="00014059" w:rsidP="0047162D" w14:paraId="0BE1C949" w14:textId="2F9E9D87">
            <w:pPr>
              <w:keepNext/>
              <w:keepLines/>
              <w:jc w:val="center"/>
              <w:rPr>
                <w:bCs/>
                <w:sz w:val="20"/>
              </w:rPr>
            </w:pPr>
            <w:r>
              <w:rPr>
                <w:bCs/>
                <w:sz w:val="20"/>
              </w:rPr>
              <w:t>=</w:t>
            </w:r>
          </w:p>
        </w:tc>
        <w:tc>
          <w:tcPr>
            <w:tcW w:w="1697" w:type="dxa"/>
            <w:shd w:val="clear" w:color="auto" w:fill="auto"/>
          </w:tcPr>
          <w:p w:rsidR="00EA310E" w:rsidRPr="00014059" w:rsidP="0047162D" w14:paraId="6FF3AF70" w14:textId="3FBA2802">
            <w:pPr>
              <w:keepNext/>
              <w:keepLines/>
              <w:jc w:val="center"/>
              <w:rPr>
                <w:bCs/>
                <w:sz w:val="20"/>
              </w:rPr>
            </w:pPr>
            <w:r w:rsidRPr="00014059">
              <w:rPr>
                <w:bCs/>
                <w:sz w:val="20"/>
              </w:rPr>
              <w:t>$4</w:t>
            </w:r>
            <w:r w:rsidR="00BB3F1D">
              <w:rPr>
                <w:bCs/>
                <w:sz w:val="20"/>
              </w:rPr>
              <w:t>8,627</w:t>
            </w:r>
          </w:p>
        </w:tc>
      </w:tr>
      <w:tr w14:paraId="45414003" w14:textId="77777777" w:rsidTr="0074627C">
        <w:tblPrEx>
          <w:tblW w:w="8644" w:type="dxa"/>
          <w:tblInd w:w="715" w:type="dxa"/>
          <w:tblLook w:val="04A0"/>
        </w:tblPrEx>
        <w:tc>
          <w:tcPr>
            <w:tcW w:w="2318" w:type="dxa"/>
            <w:shd w:val="clear" w:color="auto" w:fill="auto"/>
            <w:vAlign w:val="bottom"/>
          </w:tcPr>
          <w:p w:rsidR="002C2CE0" w:rsidRPr="00821066" w:rsidP="002C2CE0" w14:paraId="1ADB407C" w14:textId="316B5C26">
            <w:pPr>
              <w:keepNext/>
              <w:keepLines/>
              <w:numPr>
                <w:ilvl w:val="12"/>
                <w:numId w:val="0"/>
              </w:numPr>
              <w:rPr>
                <w:bCs/>
                <w:sz w:val="20"/>
              </w:rPr>
            </w:pPr>
            <w:r w:rsidRPr="00821066">
              <w:rPr>
                <w:bCs/>
                <w:sz w:val="20"/>
              </w:rPr>
              <w:t>Form 706</w:t>
            </w:r>
            <w:r>
              <w:rPr>
                <w:bCs/>
                <w:sz w:val="20"/>
              </w:rPr>
              <w:t>-A</w:t>
            </w:r>
          </w:p>
        </w:tc>
        <w:tc>
          <w:tcPr>
            <w:tcW w:w="2321" w:type="dxa"/>
            <w:shd w:val="clear" w:color="auto" w:fill="auto"/>
          </w:tcPr>
          <w:p w:rsidR="002C2CE0" w:rsidRPr="00014059" w:rsidP="002C2CE0" w14:paraId="6845A631" w14:textId="1CF2273A">
            <w:pPr>
              <w:keepNext/>
              <w:keepLines/>
              <w:jc w:val="center"/>
              <w:rPr>
                <w:bCs/>
                <w:sz w:val="20"/>
              </w:rPr>
            </w:pPr>
            <w:r w:rsidRPr="00014059">
              <w:rPr>
                <w:bCs/>
                <w:sz w:val="20"/>
              </w:rPr>
              <w:t>$</w:t>
            </w:r>
            <w:r>
              <w:rPr>
                <w:bCs/>
                <w:sz w:val="20"/>
              </w:rPr>
              <w:t>22,654</w:t>
            </w:r>
          </w:p>
        </w:tc>
        <w:tc>
          <w:tcPr>
            <w:tcW w:w="330" w:type="dxa"/>
            <w:shd w:val="clear" w:color="auto" w:fill="auto"/>
          </w:tcPr>
          <w:p w:rsidR="002C2CE0" w:rsidRPr="00014059" w:rsidP="002C2CE0" w14:paraId="53059B23" w14:textId="0F799770">
            <w:pPr>
              <w:keepNext/>
              <w:keepLines/>
              <w:jc w:val="center"/>
              <w:rPr>
                <w:bCs/>
                <w:sz w:val="20"/>
              </w:rPr>
            </w:pPr>
            <w:r>
              <w:rPr>
                <w:bCs/>
                <w:sz w:val="20"/>
              </w:rPr>
              <w:t>+</w:t>
            </w:r>
          </w:p>
        </w:tc>
        <w:tc>
          <w:tcPr>
            <w:tcW w:w="1592" w:type="dxa"/>
            <w:shd w:val="clear" w:color="auto" w:fill="auto"/>
          </w:tcPr>
          <w:p w:rsidR="002C2CE0" w:rsidRPr="00014059" w:rsidP="002C2CE0" w14:paraId="191D78CA" w14:textId="24CC6699">
            <w:pPr>
              <w:keepNext/>
              <w:keepLines/>
              <w:jc w:val="center"/>
              <w:rPr>
                <w:bCs/>
                <w:sz w:val="20"/>
              </w:rPr>
            </w:pPr>
            <w:r w:rsidRPr="00014059">
              <w:rPr>
                <w:bCs/>
                <w:sz w:val="20"/>
              </w:rPr>
              <w:t>$</w:t>
            </w:r>
            <w:r>
              <w:rPr>
                <w:bCs/>
                <w:sz w:val="20"/>
              </w:rPr>
              <w:t>0</w:t>
            </w:r>
          </w:p>
        </w:tc>
        <w:tc>
          <w:tcPr>
            <w:tcW w:w="386" w:type="dxa"/>
            <w:shd w:val="clear" w:color="auto" w:fill="auto"/>
          </w:tcPr>
          <w:p w:rsidR="002C2CE0" w:rsidRPr="00014059" w:rsidP="002C2CE0" w14:paraId="1AAFA684" w14:textId="0B857943">
            <w:pPr>
              <w:keepNext/>
              <w:keepLines/>
              <w:jc w:val="center"/>
              <w:rPr>
                <w:bCs/>
                <w:sz w:val="20"/>
              </w:rPr>
            </w:pPr>
            <w:r>
              <w:rPr>
                <w:bCs/>
                <w:sz w:val="20"/>
              </w:rPr>
              <w:t>=</w:t>
            </w:r>
          </w:p>
        </w:tc>
        <w:tc>
          <w:tcPr>
            <w:tcW w:w="1697" w:type="dxa"/>
            <w:shd w:val="clear" w:color="auto" w:fill="auto"/>
          </w:tcPr>
          <w:p w:rsidR="002C2CE0" w:rsidRPr="00014059" w:rsidP="002C2CE0" w14:paraId="5F93D438" w14:textId="54D4558D">
            <w:pPr>
              <w:keepNext/>
              <w:keepLines/>
              <w:jc w:val="center"/>
              <w:rPr>
                <w:bCs/>
                <w:sz w:val="20"/>
              </w:rPr>
            </w:pPr>
            <w:r w:rsidRPr="00014059">
              <w:rPr>
                <w:bCs/>
                <w:sz w:val="20"/>
              </w:rPr>
              <w:t>$</w:t>
            </w:r>
            <w:r>
              <w:rPr>
                <w:bCs/>
                <w:sz w:val="20"/>
              </w:rPr>
              <w:t>22,654</w:t>
            </w:r>
          </w:p>
        </w:tc>
      </w:tr>
      <w:tr w14:paraId="1532A7A1" w14:textId="77777777" w:rsidTr="0074627C">
        <w:tblPrEx>
          <w:tblW w:w="8644" w:type="dxa"/>
          <w:tblInd w:w="715" w:type="dxa"/>
          <w:tblLook w:val="04A0"/>
        </w:tblPrEx>
        <w:tc>
          <w:tcPr>
            <w:tcW w:w="2318" w:type="dxa"/>
            <w:shd w:val="clear" w:color="auto" w:fill="auto"/>
            <w:vAlign w:val="bottom"/>
          </w:tcPr>
          <w:p w:rsidR="002C2CE0" w:rsidRPr="00821066" w:rsidP="002C2CE0" w14:paraId="4973655D" w14:textId="5E3CAD1A">
            <w:pPr>
              <w:keepNext/>
              <w:keepLines/>
              <w:numPr>
                <w:ilvl w:val="12"/>
                <w:numId w:val="0"/>
              </w:numPr>
              <w:rPr>
                <w:bCs/>
                <w:sz w:val="20"/>
              </w:rPr>
            </w:pPr>
            <w:r w:rsidRPr="00821066">
              <w:rPr>
                <w:bCs/>
                <w:sz w:val="20"/>
              </w:rPr>
              <w:t>706</w:t>
            </w:r>
            <w:r>
              <w:rPr>
                <w:bCs/>
                <w:sz w:val="20"/>
              </w:rPr>
              <w:t>-A</w:t>
            </w:r>
            <w:r w:rsidRPr="00821066">
              <w:rPr>
                <w:bCs/>
                <w:sz w:val="20"/>
              </w:rPr>
              <w:t xml:space="preserve"> Instructions</w:t>
            </w:r>
          </w:p>
        </w:tc>
        <w:tc>
          <w:tcPr>
            <w:tcW w:w="2321" w:type="dxa"/>
            <w:shd w:val="clear" w:color="auto" w:fill="auto"/>
          </w:tcPr>
          <w:p w:rsidR="002C2CE0" w:rsidRPr="00014059" w:rsidP="002C2CE0" w14:paraId="6B046DBC" w14:textId="0C869155">
            <w:pPr>
              <w:keepNext/>
              <w:keepLines/>
              <w:jc w:val="center"/>
              <w:rPr>
                <w:bCs/>
                <w:sz w:val="20"/>
              </w:rPr>
            </w:pPr>
            <w:r w:rsidRPr="00014059">
              <w:rPr>
                <w:bCs/>
                <w:sz w:val="20"/>
              </w:rPr>
              <w:t>$</w:t>
            </w:r>
            <w:r>
              <w:rPr>
                <w:bCs/>
                <w:sz w:val="20"/>
              </w:rPr>
              <w:t>4,854</w:t>
            </w:r>
          </w:p>
        </w:tc>
        <w:tc>
          <w:tcPr>
            <w:tcW w:w="330" w:type="dxa"/>
            <w:shd w:val="clear" w:color="auto" w:fill="auto"/>
          </w:tcPr>
          <w:p w:rsidR="002C2CE0" w:rsidRPr="00014059" w:rsidP="002C2CE0" w14:paraId="23F2B40B" w14:textId="4070F830">
            <w:pPr>
              <w:keepNext/>
              <w:keepLines/>
              <w:jc w:val="center"/>
              <w:rPr>
                <w:bCs/>
                <w:sz w:val="20"/>
              </w:rPr>
            </w:pPr>
            <w:r>
              <w:rPr>
                <w:bCs/>
                <w:sz w:val="20"/>
              </w:rPr>
              <w:t>+</w:t>
            </w:r>
          </w:p>
        </w:tc>
        <w:tc>
          <w:tcPr>
            <w:tcW w:w="1592" w:type="dxa"/>
            <w:shd w:val="clear" w:color="auto" w:fill="auto"/>
          </w:tcPr>
          <w:p w:rsidR="002C2CE0" w:rsidRPr="00014059" w:rsidP="002C2CE0" w14:paraId="30F1CF75" w14:textId="7E5C952B">
            <w:pPr>
              <w:keepNext/>
              <w:keepLines/>
              <w:jc w:val="center"/>
              <w:rPr>
                <w:bCs/>
                <w:sz w:val="20"/>
              </w:rPr>
            </w:pPr>
            <w:r w:rsidRPr="00DA5633">
              <w:rPr>
                <w:bCs/>
                <w:sz w:val="20"/>
              </w:rPr>
              <w:t>$0</w:t>
            </w:r>
          </w:p>
        </w:tc>
        <w:tc>
          <w:tcPr>
            <w:tcW w:w="386" w:type="dxa"/>
            <w:shd w:val="clear" w:color="auto" w:fill="auto"/>
          </w:tcPr>
          <w:p w:rsidR="002C2CE0" w:rsidRPr="00014059" w:rsidP="002C2CE0" w14:paraId="47B07D97" w14:textId="76D33215">
            <w:pPr>
              <w:keepNext/>
              <w:keepLines/>
              <w:jc w:val="center"/>
              <w:rPr>
                <w:bCs/>
                <w:sz w:val="20"/>
              </w:rPr>
            </w:pPr>
            <w:r>
              <w:rPr>
                <w:bCs/>
                <w:sz w:val="20"/>
              </w:rPr>
              <w:t>=</w:t>
            </w:r>
          </w:p>
        </w:tc>
        <w:tc>
          <w:tcPr>
            <w:tcW w:w="1697" w:type="dxa"/>
            <w:shd w:val="clear" w:color="auto" w:fill="auto"/>
          </w:tcPr>
          <w:p w:rsidR="002C2CE0" w:rsidRPr="00014059" w:rsidP="002C2CE0" w14:paraId="58CEEBA3" w14:textId="4CFB42A3">
            <w:pPr>
              <w:keepNext/>
              <w:keepLines/>
              <w:jc w:val="center"/>
              <w:rPr>
                <w:bCs/>
                <w:sz w:val="20"/>
              </w:rPr>
            </w:pPr>
            <w:r w:rsidRPr="00014059">
              <w:rPr>
                <w:bCs/>
                <w:sz w:val="20"/>
              </w:rPr>
              <w:t>$</w:t>
            </w:r>
            <w:r>
              <w:rPr>
                <w:bCs/>
                <w:sz w:val="20"/>
              </w:rPr>
              <w:t>4,854</w:t>
            </w:r>
          </w:p>
        </w:tc>
      </w:tr>
      <w:tr w14:paraId="3114AD7B" w14:textId="77777777" w:rsidTr="0074627C">
        <w:tblPrEx>
          <w:tblW w:w="8644" w:type="dxa"/>
          <w:tblInd w:w="715" w:type="dxa"/>
          <w:tblLook w:val="04A0"/>
        </w:tblPrEx>
        <w:tc>
          <w:tcPr>
            <w:tcW w:w="2318" w:type="dxa"/>
            <w:shd w:val="clear" w:color="auto" w:fill="auto"/>
            <w:vAlign w:val="bottom"/>
          </w:tcPr>
          <w:p w:rsidR="002C2CE0" w:rsidRPr="00821066" w:rsidP="002C2CE0" w14:paraId="25A22DD0" w14:textId="080A0D8D">
            <w:pPr>
              <w:keepNext/>
              <w:keepLines/>
              <w:numPr>
                <w:ilvl w:val="12"/>
                <w:numId w:val="0"/>
              </w:numPr>
              <w:rPr>
                <w:bCs/>
                <w:sz w:val="20"/>
              </w:rPr>
            </w:pPr>
            <w:r w:rsidRPr="00821066">
              <w:rPr>
                <w:bCs/>
                <w:sz w:val="20"/>
              </w:rPr>
              <w:t>Form 706</w:t>
            </w:r>
            <w:r>
              <w:rPr>
                <w:bCs/>
                <w:sz w:val="20"/>
              </w:rPr>
              <w:t>-CE</w:t>
            </w:r>
          </w:p>
        </w:tc>
        <w:tc>
          <w:tcPr>
            <w:tcW w:w="2321" w:type="dxa"/>
            <w:shd w:val="clear" w:color="auto" w:fill="auto"/>
          </w:tcPr>
          <w:p w:rsidR="002C2CE0" w:rsidRPr="00014059" w:rsidP="002C2CE0" w14:paraId="59C446DF" w14:textId="1F99F0B4">
            <w:pPr>
              <w:keepNext/>
              <w:keepLines/>
              <w:jc w:val="center"/>
              <w:rPr>
                <w:bCs/>
                <w:sz w:val="20"/>
              </w:rPr>
            </w:pPr>
            <w:r w:rsidRPr="00014059">
              <w:rPr>
                <w:bCs/>
                <w:sz w:val="20"/>
              </w:rPr>
              <w:t>$</w:t>
            </w:r>
            <w:r>
              <w:rPr>
                <w:bCs/>
                <w:sz w:val="20"/>
              </w:rPr>
              <w:t>21,035</w:t>
            </w:r>
          </w:p>
        </w:tc>
        <w:tc>
          <w:tcPr>
            <w:tcW w:w="330" w:type="dxa"/>
            <w:shd w:val="clear" w:color="auto" w:fill="auto"/>
          </w:tcPr>
          <w:p w:rsidR="002C2CE0" w:rsidRPr="00014059" w:rsidP="002C2CE0" w14:paraId="59DFCFB2" w14:textId="7FAC0397">
            <w:pPr>
              <w:keepNext/>
              <w:keepLines/>
              <w:jc w:val="center"/>
              <w:rPr>
                <w:bCs/>
                <w:sz w:val="20"/>
              </w:rPr>
            </w:pPr>
            <w:r>
              <w:rPr>
                <w:bCs/>
                <w:sz w:val="20"/>
              </w:rPr>
              <w:t>+</w:t>
            </w:r>
          </w:p>
        </w:tc>
        <w:tc>
          <w:tcPr>
            <w:tcW w:w="1592" w:type="dxa"/>
            <w:shd w:val="clear" w:color="auto" w:fill="auto"/>
          </w:tcPr>
          <w:p w:rsidR="002C2CE0" w:rsidRPr="00014059" w:rsidP="002C2CE0" w14:paraId="7A2FD513" w14:textId="118BE531">
            <w:pPr>
              <w:keepNext/>
              <w:keepLines/>
              <w:jc w:val="center"/>
              <w:rPr>
                <w:bCs/>
                <w:sz w:val="20"/>
              </w:rPr>
            </w:pPr>
            <w:r w:rsidRPr="00DA5633">
              <w:rPr>
                <w:bCs/>
                <w:sz w:val="20"/>
              </w:rPr>
              <w:t>$0</w:t>
            </w:r>
          </w:p>
        </w:tc>
        <w:tc>
          <w:tcPr>
            <w:tcW w:w="386" w:type="dxa"/>
            <w:shd w:val="clear" w:color="auto" w:fill="auto"/>
          </w:tcPr>
          <w:p w:rsidR="002C2CE0" w:rsidRPr="00014059" w:rsidP="002C2CE0" w14:paraId="180E2BF2" w14:textId="0CCE57F2">
            <w:pPr>
              <w:keepNext/>
              <w:keepLines/>
              <w:jc w:val="center"/>
              <w:rPr>
                <w:bCs/>
                <w:sz w:val="20"/>
              </w:rPr>
            </w:pPr>
            <w:r>
              <w:rPr>
                <w:bCs/>
                <w:sz w:val="20"/>
              </w:rPr>
              <w:t>=</w:t>
            </w:r>
          </w:p>
        </w:tc>
        <w:tc>
          <w:tcPr>
            <w:tcW w:w="1697" w:type="dxa"/>
            <w:shd w:val="clear" w:color="auto" w:fill="auto"/>
          </w:tcPr>
          <w:p w:rsidR="002C2CE0" w:rsidRPr="00014059" w:rsidP="002C2CE0" w14:paraId="72B8A812" w14:textId="2D6F9B6B">
            <w:pPr>
              <w:keepNext/>
              <w:keepLines/>
              <w:jc w:val="center"/>
              <w:rPr>
                <w:bCs/>
                <w:sz w:val="20"/>
              </w:rPr>
            </w:pPr>
            <w:r w:rsidRPr="00014059">
              <w:rPr>
                <w:bCs/>
                <w:sz w:val="20"/>
              </w:rPr>
              <w:t>$</w:t>
            </w:r>
            <w:r>
              <w:rPr>
                <w:bCs/>
                <w:sz w:val="20"/>
              </w:rPr>
              <w:t>21,035</w:t>
            </w:r>
          </w:p>
        </w:tc>
      </w:tr>
      <w:tr w14:paraId="34CF8130" w14:textId="77777777" w:rsidTr="0074627C">
        <w:tblPrEx>
          <w:tblW w:w="8644" w:type="dxa"/>
          <w:tblInd w:w="715" w:type="dxa"/>
          <w:tblLook w:val="04A0"/>
        </w:tblPrEx>
        <w:tc>
          <w:tcPr>
            <w:tcW w:w="2318" w:type="dxa"/>
            <w:shd w:val="clear" w:color="auto" w:fill="auto"/>
            <w:vAlign w:val="bottom"/>
          </w:tcPr>
          <w:p w:rsidR="002C2CE0" w:rsidRPr="00821066" w:rsidP="002C2CE0" w14:paraId="4DE1284F" w14:textId="15AB6F02">
            <w:pPr>
              <w:keepNext/>
              <w:keepLines/>
              <w:numPr>
                <w:ilvl w:val="12"/>
                <w:numId w:val="0"/>
              </w:numPr>
              <w:rPr>
                <w:bCs/>
                <w:sz w:val="20"/>
              </w:rPr>
            </w:pPr>
            <w:r w:rsidRPr="00821066">
              <w:rPr>
                <w:bCs/>
                <w:sz w:val="20"/>
              </w:rPr>
              <w:t>Form 706</w:t>
            </w:r>
            <w:r>
              <w:rPr>
                <w:bCs/>
                <w:sz w:val="20"/>
              </w:rPr>
              <w:t>-GS(D)</w:t>
            </w:r>
          </w:p>
        </w:tc>
        <w:tc>
          <w:tcPr>
            <w:tcW w:w="2321" w:type="dxa"/>
            <w:shd w:val="clear" w:color="auto" w:fill="auto"/>
          </w:tcPr>
          <w:p w:rsidR="002C2CE0" w:rsidRPr="00014059" w:rsidP="002C2CE0" w14:paraId="51D44B6B" w14:textId="779E84D0">
            <w:pPr>
              <w:keepNext/>
              <w:keepLines/>
              <w:jc w:val="center"/>
              <w:rPr>
                <w:bCs/>
                <w:sz w:val="20"/>
              </w:rPr>
            </w:pPr>
            <w:r w:rsidRPr="00014059">
              <w:rPr>
                <w:bCs/>
                <w:sz w:val="20"/>
              </w:rPr>
              <w:t>$</w:t>
            </w:r>
            <w:r>
              <w:rPr>
                <w:bCs/>
                <w:sz w:val="20"/>
              </w:rPr>
              <w:t>17,799</w:t>
            </w:r>
          </w:p>
        </w:tc>
        <w:tc>
          <w:tcPr>
            <w:tcW w:w="330" w:type="dxa"/>
            <w:shd w:val="clear" w:color="auto" w:fill="auto"/>
          </w:tcPr>
          <w:p w:rsidR="002C2CE0" w:rsidRPr="00014059" w:rsidP="002C2CE0" w14:paraId="585E3737" w14:textId="162FAF03">
            <w:pPr>
              <w:keepNext/>
              <w:keepLines/>
              <w:jc w:val="center"/>
              <w:rPr>
                <w:bCs/>
                <w:sz w:val="20"/>
              </w:rPr>
            </w:pPr>
            <w:r>
              <w:rPr>
                <w:bCs/>
                <w:sz w:val="20"/>
              </w:rPr>
              <w:t>+</w:t>
            </w:r>
          </w:p>
        </w:tc>
        <w:tc>
          <w:tcPr>
            <w:tcW w:w="1592" w:type="dxa"/>
            <w:shd w:val="clear" w:color="auto" w:fill="auto"/>
          </w:tcPr>
          <w:p w:rsidR="002C2CE0" w:rsidRPr="00014059" w:rsidP="002C2CE0" w14:paraId="31790FAC" w14:textId="079B8A60">
            <w:pPr>
              <w:keepNext/>
              <w:keepLines/>
              <w:jc w:val="center"/>
              <w:rPr>
                <w:bCs/>
                <w:sz w:val="20"/>
              </w:rPr>
            </w:pPr>
            <w:r w:rsidRPr="00DA5633">
              <w:rPr>
                <w:bCs/>
                <w:sz w:val="20"/>
              </w:rPr>
              <w:t>$0</w:t>
            </w:r>
          </w:p>
        </w:tc>
        <w:tc>
          <w:tcPr>
            <w:tcW w:w="386" w:type="dxa"/>
            <w:shd w:val="clear" w:color="auto" w:fill="auto"/>
          </w:tcPr>
          <w:p w:rsidR="002C2CE0" w:rsidRPr="00014059" w:rsidP="002C2CE0" w14:paraId="0C5B1965" w14:textId="70C12D5E">
            <w:pPr>
              <w:keepNext/>
              <w:keepLines/>
              <w:jc w:val="center"/>
              <w:rPr>
                <w:bCs/>
                <w:sz w:val="20"/>
              </w:rPr>
            </w:pPr>
            <w:r>
              <w:rPr>
                <w:bCs/>
                <w:sz w:val="20"/>
              </w:rPr>
              <w:t>=</w:t>
            </w:r>
          </w:p>
        </w:tc>
        <w:tc>
          <w:tcPr>
            <w:tcW w:w="1697" w:type="dxa"/>
            <w:shd w:val="clear" w:color="auto" w:fill="auto"/>
          </w:tcPr>
          <w:p w:rsidR="002C2CE0" w:rsidRPr="00014059" w:rsidP="002C2CE0" w14:paraId="1DE9FE5A" w14:textId="7153D20D">
            <w:pPr>
              <w:keepNext/>
              <w:keepLines/>
              <w:jc w:val="center"/>
              <w:rPr>
                <w:bCs/>
                <w:sz w:val="20"/>
              </w:rPr>
            </w:pPr>
            <w:r w:rsidRPr="00014059">
              <w:rPr>
                <w:bCs/>
                <w:sz w:val="20"/>
              </w:rPr>
              <w:t>$</w:t>
            </w:r>
            <w:r>
              <w:rPr>
                <w:bCs/>
                <w:sz w:val="20"/>
              </w:rPr>
              <w:t>17,799</w:t>
            </w:r>
          </w:p>
        </w:tc>
      </w:tr>
      <w:tr w14:paraId="5A6E10A0" w14:textId="77777777" w:rsidTr="0074627C">
        <w:tblPrEx>
          <w:tblW w:w="8644" w:type="dxa"/>
          <w:tblInd w:w="715" w:type="dxa"/>
          <w:tblLook w:val="04A0"/>
        </w:tblPrEx>
        <w:tc>
          <w:tcPr>
            <w:tcW w:w="2318" w:type="dxa"/>
            <w:shd w:val="clear" w:color="auto" w:fill="auto"/>
            <w:vAlign w:val="bottom"/>
          </w:tcPr>
          <w:p w:rsidR="002C2CE0" w:rsidRPr="00821066" w:rsidP="002C2CE0" w14:paraId="706CCD18" w14:textId="4D03A14E">
            <w:pPr>
              <w:keepNext/>
              <w:keepLines/>
              <w:numPr>
                <w:ilvl w:val="12"/>
                <w:numId w:val="0"/>
              </w:numPr>
              <w:rPr>
                <w:bCs/>
                <w:sz w:val="20"/>
              </w:rPr>
            </w:pPr>
            <w:r w:rsidRPr="00821066">
              <w:rPr>
                <w:bCs/>
                <w:sz w:val="20"/>
              </w:rPr>
              <w:t>706</w:t>
            </w:r>
            <w:r>
              <w:rPr>
                <w:bCs/>
                <w:sz w:val="20"/>
              </w:rPr>
              <w:t>-GS(D)</w:t>
            </w:r>
            <w:r w:rsidRPr="00821066">
              <w:rPr>
                <w:bCs/>
                <w:sz w:val="20"/>
              </w:rPr>
              <w:t xml:space="preserve"> Instructions</w:t>
            </w:r>
          </w:p>
        </w:tc>
        <w:tc>
          <w:tcPr>
            <w:tcW w:w="2321" w:type="dxa"/>
            <w:shd w:val="clear" w:color="auto" w:fill="auto"/>
          </w:tcPr>
          <w:p w:rsidR="002C2CE0" w:rsidRPr="00014059" w:rsidP="002C2CE0" w14:paraId="1905118D" w14:textId="1E2F7128">
            <w:pPr>
              <w:keepNext/>
              <w:keepLines/>
              <w:jc w:val="center"/>
              <w:rPr>
                <w:bCs/>
                <w:sz w:val="20"/>
              </w:rPr>
            </w:pPr>
            <w:r w:rsidRPr="00014059">
              <w:rPr>
                <w:bCs/>
                <w:sz w:val="20"/>
              </w:rPr>
              <w:t>$</w:t>
            </w:r>
            <w:r>
              <w:rPr>
                <w:bCs/>
                <w:sz w:val="20"/>
              </w:rPr>
              <w:t>4,854</w:t>
            </w:r>
          </w:p>
        </w:tc>
        <w:tc>
          <w:tcPr>
            <w:tcW w:w="330" w:type="dxa"/>
            <w:shd w:val="clear" w:color="auto" w:fill="auto"/>
          </w:tcPr>
          <w:p w:rsidR="002C2CE0" w:rsidRPr="00014059" w:rsidP="002C2CE0" w14:paraId="727EFD33" w14:textId="7581AF2E">
            <w:pPr>
              <w:keepNext/>
              <w:keepLines/>
              <w:jc w:val="center"/>
              <w:rPr>
                <w:bCs/>
                <w:sz w:val="20"/>
              </w:rPr>
            </w:pPr>
            <w:r>
              <w:rPr>
                <w:bCs/>
                <w:sz w:val="20"/>
              </w:rPr>
              <w:t>+</w:t>
            </w:r>
          </w:p>
        </w:tc>
        <w:tc>
          <w:tcPr>
            <w:tcW w:w="1592" w:type="dxa"/>
            <w:shd w:val="clear" w:color="auto" w:fill="auto"/>
          </w:tcPr>
          <w:p w:rsidR="002C2CE0" w:rsidRPr="00014059" w:rsidP="002C2CE0" w14:paraId="0CC48976" w14:textId="3B3CBD21">
            <w:pPr>
              <w:keepNext/>
              <w:keepLines/>
              <w:jc w:val="center"/>
              <w:rPr>
                <w:bCs/>
                <w:sz w:val="20"/>
              </w:rPr>
            </w:pPr>
            <w:r w:rsidRPr="00DA5633">
              <w:rPr>
                <w:bCs/>
                <w:sz w:val="20"/>
              </w:rPr>
              <w:t>$0</w:t>
            </w:r>
          </w:p>
        </w:tc>
        <w:tc>
          <w:tcPr>
            <w:tcW w:w="386" w:type="dxa"/>
            <w:shd w:val="clear" w:color="auto" w:fill="auto"/>
          </w:tcPr>
          <w:p w:rsidR="002C2CE0" w:rsidRPr="00014059" w:rsidP="002C2CE0" w14:paraId="6ADA3820" w14:textId="4803505E">
            <w:pPr>
              <w:keepNext/>
              <w:keepLines/>
              <w:jc w:val="center"/>
              <w:rPr>
                <w:bCs/>
                <w:sz w:val="20"/>
              </w:rPr>
            </w:pPr>
            <w:r>
              <w:rPr>
                <w:bCs/>
                <w:sz w:val="20"/>
              </w:rPr>
              <w:t>=</w:t>
            </w:r>
          </w:p>
        </w:tc>
        <w:tc>
          <w:tcPr>
            <w:tcW w:w="1697" w:type="dxa"/>
            <w:shd w:val="clear" w:color="auto" w:fill="auto"/>
          </w:tcPr>
          <w:p w:rsidR="002C2CE0" w:rsidRPr="00014059" w:rsidP="002C2CE0" w14:paraId="50A80FAC" w14:textId="3002BD43">
            <w:pPr>
              <w:keepNext/>
              <w:keepLines/>
              <w:jc w:val="center"/>
              <w:rPr>
                <w:bCs/>
                <w:sz w:val="20"/>
              </w:rPr>
            </w:pPr>
            <w:r w:rsidRPr="00014059">
              <w:rPr>
                <w:bCs/>
                <w:sz w:val="20"/>
              </w:rPr>
              <w:t>$</w:t>
            </w:r>
            <w:r>
              <w:rPr>
                <w:bCs/>
                <w:sz w:val="20"/>
              </w:rPr>
              <w:t>4,854</w:t>
            </w:r>
          </w:p>
        </w:tc>
      </w:tr>
      <w:tr w14:paraId="0BC6A25A" w14:textId="77777777" w:rsidTr="0074627C">
        <w:tblPrEx>
          <w:tblW w:w="8644" w:type="dxa"/>
          <w:tblInd w:w="715" w:type="dxa"/>
          <w:tblLook w:val="04A0"/>
        </w:tblPrEx>
        <w:tc>
          <w:tcPr>
            <w:tcW w:w="2318" w:type="dxa"/>
            <w:shd w:val="clear" w:color="auto" w:fill="auto"/>
            <w:vAlign w:val="bottom"/>
          </w:tcPr>
          <w:p w:rsidR="002C2CE0" w:rsidRPr="00821066" w:rsidP="002C2CE0" w14:paraId="11807907" w14:textId="177935E5">
            <w:pPr>
              <w:keepNext/>
              <w:keepLines/>
              <w:numPr>
                <w:ilvl w:val="12"/>
                <w:numId w:val="0"/>
              </w:numPr>
              <w:rPr>
                <w:bCs/>
                <w:sz w:val="20"/>
              </w:rPr>
            </w:pPr>
            <w:r w:rsidRPr="00821066">
              <w:rPr>
                <w:bCs/>
                <w:sz w:val="20"/>
              </w:rPr>
              <w:t>Form 706</w:t>
            </w:r>
            <w:r>
              <w:rPr>
                <w:bCs/>
                <w:sz w:val="20"/>
              </w:rPr>
              <w:t>-GS (D-1)</w:t>
            </w:r>
          </w:p>
        </w:tc>
        <w:tc>
          <w:tcPr>
            <w:tcW w:w="2321" w:type="dxa"/>
            <w:shd w:val="clear" w:color="auto" w:fill="auto"/>
          </w:tcPr>
          <w:p w:rsidR="002C2CE0" w:rsidRPr="00014059" w:rsidP="002C2CE0" w14:paraId="08AFB2D9" w14:textId="104BA89F">
            <w:pPr>
              <w:keepNext/>
              <w:keepLines/>
              <w:jc w:val="center"/>
              <w:rPr>
                <w:bCs/>
                <w:sz w:val="20"/>
              </w:rPr>
            </w:pPr>
            <w:r w:rsidRPr="00014059">
              <w:rPr>
                <w:bCs/>
                <w:sz w:val="20"/>
              </w:rPr>
              <w:t>$</w:t>
            </w:r>
            <w:r>
              <w:rPr>
                <w:bCs/>
                <w:sz w:val="20"/>
              </w:rPr>
              <w:t>21,035</w:t>
            </w:r>
          </w:p>
        </w:tc>
        <w:tc>
          <w:tcPr>
            <w:tcW w:w="330" w:type="dxa"/>
            <w:shd w:val="clear" w:color="auto" w:fill="auto"/>
          </w:tcPr>
          <w:p w:rsidR="002C2CE0" w:rsidRPr="00014059" w:rsidP="002C2CE0" w14:paraId="576CF63D" w14:textId="79C5DD49">
            <w:pPr>
              <w:keepNext/>
              <w:keepLines/>
              <w:jc w:val="center"/>
              <w:rPr>
                <w:bCs/>
                <w:sz w:val="20"/>
              </w:rPr>
            </w:pPr>
            <w:r>
              <w:rPr>
                <w:bCs/>
                <w:sz w:val="20"/>
              </w:rPr>
              <w:t>+</w:t>
            </w:r>
          </w:p>
        </w:tc>
        <w:tc>
          <w:tcPr>
            <w:tcW w:w="1592" w:type="dxa"/>
            <w:shd w:val="clear" w:color="auto" w:fill="auto"/>
          </w:tcPr>
          <w:p w:rsidR="002C2CE0" w:rsidRPr="00014059" w:rsidP="002C2CE0" w14:paraId="0A2F5FF9" w14:textId="71694169">
            <w:pPr>
              <w:keepNext/>
              <w:keepLines/>
              <w:jc w:val="center"/>
              <w:rPr>
                <w:bCs/>
                <w:sz w:val="20"/>
              </w:rPr>
            </w:pPr>
            <w:r w:rsidRPr="00DA5633">
              <w:rPr>
                <w:bCs/>
                <w:sz w:val="20"/>
              </w:rPr>
              <w:t>$0</w:t>
            </w:r>
          </w:p>
        </w:tc>
        <w:tc>
          <w:tcPr>
            <w:tcW w:w="386" w:type="dxa"/>
            <w:shd w:val="clear" w:color="auto" w:fill="auto"/>
          </w:tcPr>
          <w:p w:rsidR="002C2CE0" w:rsidRPr="00014059" w:rsidP="002C2CE0" w14:paraId="568196D1" w14:textId="258B8653">
            <w:pPr>
              <w:keepNext/>
              <w:keepLines/>
              <w:jc w:val="center"/>
              <w:rPr>
                <w:bCs/>
                <w:sz w:val="20"/>
              </w:rPr>
            </w:pPr>
            <w:r>
              <w:rPr>
                <w:bCs/>
                <w:sz w:val="20"/>
              </w:rPr>
              <w:t>=</w:t>
            </w:r>
          </w:p>
        </w:tc>
        <w:tc>
          <w:tcPr>
            <w:tcW w:w="1697" w:type="dxa"/>
            <w:shd w:val="clear" w:color="auto" w:fill="auto"/>
          </w:tcPr>
          <w:p w:rsidR="002C2CE0" w:rsidRPr="00014059" w:rsidP="002C2CE0" w14:paraId="4483B514" w14:textId="12989323">
            <w:pPr>
              <w:keepNext/>
              <w:keepLines/>
              <w:jc w:val="center"/>
              <w:rPr>
                <w:bCs/>
                <w:sz w:val="20"/>
              </w:rPr>
            </w:pPr>
            <w:r w:rsidRPr="00014059">
              <w:rPr>
                <w:bCs/>
                <w:sz w:val="20"/>
              </w:rPr>
              <w:t>$</w:t>
            </w:r>
            <w:r>
              <w:rPr>
                <w:bCs/>
                <w:sz w:val="20"/>
              </w:rPr>
              <w:t>21,035</w:t>
            </w:r>
          </w:p>
        </w:tc>
      </w:tr>
      <w:tr w14:paraId="7A355DD5" w14:textId="77777777" w:rsidTr="0074627C">
        <w:tblPrEx>
          <w:tblW w:w="8644" w:type="dxa"/>
          <w:tblInd w:w="715" w:type="dxa"/>
          <w:tblLook w:val="04A0"/>
        </w:tblPrEx>
        <w:tc>
          <w:tcPr>
            <w:tcW w:w="2318" w:type="dxa"/>
            <w:shd w:val="clear" w:color="auto" w:fill="auto"/>
            <w:vAlign w:val="bottom"/>
          </w:tcPr>
          <w:p w:rsidR="002C2CE0" w:rsidRPr="00821066" w:rsidP="002C2CE0" w14:paraId="2A4BDE0E" w14:textId="68EB8715">
            <w:pPr>
              <w:keepNext/>
              <w:keepLines/>
              <w:numPr>
                <w:ilvl w:val="12"/>
                <w:numId w:val="0"/>
              </w:numPr>
              <w:rPr>
                <w:bCs/>
                <w:sz w:val="20"/>
              </w:rPr>
            </w:pPr>
            <w:r w:rsidRPr="00821066">
              <w:rPr>
                <w:bCs/>
                <w:sz w:val="20"/>
              </w:rPr>
              <w:t>706</w:t>
            </w:r>
            <w:r>
              <w:rPr>
                <w:bCs/>
                <w:sz w:val="20"/>
              </w:rPr>
              <w:t>-GS(D-1)</w:t>
            </w:r>
            <w:r w:rsidRPr="00821066">
              <w:rPr>
                <w:bCs/>
                <w:sz w:val="20"/>
              </w:rPr>
              <w:t xml:space="preserve"> Instructions</w:t>
            </w:r>
          </w:p>
        </w:tc>
        <w:tc>
          <w:tcPr>
            <w:tcW w:w="2321" w:type="dxa"/>
            <w:shd w:val="clear" w:color="auto" w:fill="auto"/>
          </w:tcPr>
          <w:p w:rsidR="002C2CE0" w:rsidRPr="00014059" w:rsidP="002C2CE0" w14:paraId="3B92855F" w14:textId="68F1E1D2">
            <w:pPr>
              <w:keepNext/>
              <w:keepLines/>
              <w:jc w:val="center"/>
              <w:rPr>
                <w:bCs/>
                <w:sz w:val="20"/>
              </w:rPr>
            </w:pPr>
            <w:r w:rsidRPr="00014059">
              <w:rPr>
                <w:bCs/>
                <w:sz w:val="20"/>
              </w:rPr>
              <w:t>$</w:t>
            </w:r>
            <w:r>
              <w:rPr>
                <w:bCs/>
                <w:sz w:val="20"/>
              </w:rPr>
              <w:t>4,854</w:t>
            </w:r>
          </w:p>
        </w:tc>
        <w:tc>
          <w:tcPr>
            <w:tcW w:w="330" w:type="dxa"/>
            <w:shd w:val="clear" w:color="auto" w:fill="auto"/>
          </w:tcPr>
          <w:p w:rsidR="002C2CE0" w:rsidRPr="00014059" w:rsidP="002C2CE0" w14:paraId="7F134F85" w14:textId="38D10696">
            <w:pPr>
              <w:keepNext/>
              <w:keepLines/>
              <w:jc w:val="center"/>
              <w:rPr>
                <w:bCs/>
                <w:sz w:val="20"/>
              </w:rPr>
            </w:pPr>
            <w:r>
              <w:rPr>
                <w:bCs/>
                <w:sz w:val="20"/>
              </w:rPr>
              <w:t>+</w:t>
            </w:r>
          </w:p>
        </w:tc>
        <w:tc>
          <w:tcPr>
            <w:tcW w:w="1592" w:type="dxa"/>
            <w:shd w:val="clear" w:color="auto" w:fill="auto"/>
          </w:tcPr>
          <w:p w:rsidR="002C2CE0" w:rsidRPr="00014059" w:rsidP="002C2CE0" w14:paraId="22DEA27F" w14:textId="75A0D945">
            <w:pPr>
              <w:keepNext/>
              <w:keepLines/>
              <w:jc w:val="center"/>
              <w:rPr>
                <w:bCs/>
                <w:sz w:val="20"/>
              </w:rPr>
            </w:pPr>
            <w:r w:rsidRPr="00DA5633">
              <w:rPr>
                <w:bCs/>
                <w:sz w:val="20"/>
              </w:rPr>
              <w:t>$0</w:t>
            </w:r>
          </w:p>
        </w:tc>
        <w:tc>
          <w:tcPr>
            <w:tcW w:w="386" w:type="dxa"/>
            <w:shd w:val="clear" w:color="auto" w:fill="auto"/>
          </w:tcPr>
          <w:p w:rsidR="002C2CE0" w:rsidRPr="00014059" w:rsidP="002C2CE0" w14:paraId="520C9B4E" w14:textId="53DC5904">
            <w:pPr>
              <w:keepNext/>
              <w:keepLines/>
              <w:jc w:val="center"/>
              <w:rPr>
                <w:bCs/>
                <w:sz w:val="20"/>
              </w:rPr>
            </w:pPr>
            <w:r>
              <w:rPr>
                <w:bCs/>
                <w:sz w:val="20"/>
              </w:rPr>
              <w:t>=</w:t>
            </w:r>
          </w:p>
        </w:tc>
        <w:tc>
          <w:tcPr>
            <w:tcW w:w="1697" w:type="dxa"/>
            <w:shd w:val="clear" w:color="auto" w:fill="auto"/>
          </w:tcPr>
          <w:p w:rsidR="002C2CE0" w:rsidRPr="00014059" w:rsidP="002C2CE0" w14:paraId="48AEEFE1" w14:textId="0672B77E">
            <w:pPr>
              <w:keepNext/>
              <w:keepLines/>
              <w:jc w:val="center"/>
              <w:rPr>
                <w:bCs/>
                <w:sz w:val="20"/>
              </w:rPr>
            </w:pPr>
            <w:r w:rsidRPr="00014059">
              <w:rPr>
                <w:bCs/>
                <w:sz w:val="20"/>
              </w:rPr>
              <w:t>$</w:t>
            </w:r>
            <w:r>
              <w:rPr>
                <w:bCs/>
                <w:sz w:val="20"/>
              </w:rPr>
              <w:t>4,854</w:t>
            </w:r>
          </w:p>
        </w:tc>
      </w:tr>
      <w:tr w14:paraId="223A8FE6" w14:textId="77777777" w:rsidTr="0074627C">
        <w:tblPrEx>
          <w:tblW w:w="8644" w:type="dxa"/>
          <w:tblInd w:w="715" w:type="dxa"/>
          <w:tblLook w:val="04A0"/>
        </w:tblPrEx>
        <w:tc>
          <w:tcPr>
            <w:tcW w:w="2318" w:type="dxa"/>
            <w:shd w:val="clear" w:color="auto" w:fill="auto"/>
            <w:vAlign w:val="bottom"/>
          </w:tcPr>
          <w:p w:rsidR="002C2CE0" w:rsidRPr="00821066" w:rsidP="002C2CE0" w14:paraId="7B7925D5" w14:textId="1907F3AC">
            <w:pPr>
              <w:keepNext/>
              <w:keepLines/>
              <w:numPr>
                <w:ilvl w:val="12"/>
                <w:numId w:val="0"/>
              </w:numPr>
              <w:rPr>
                <w:bCs/>
                <w:sz w:val="20"/>
              </w:rPr>
            </w:pPr>
            <w:r w:rsidRPr="00821066">
              <w:rPr>
                <w:bCs/>
                <w:sz w:val="20"/>
              </w:rPr>
              <w:t>Form 706</w:t>
            </w:r>
            <w:r>
              <w:rPr>
                <w:bCs/>
                <w:sz w:val="20"/>
              </w:rPr>
              <w:t>-GS(T)</w:t>
            </w:r>
          </w:p>
        </w:tc>
        <w:tc>
          <w:tcPr>
            <w:tcW w:w="2321" w:type="dxa"/>
            <w:shd w:val="clear" w:color="auto" w:fill="auto"/>
          </w:tcPr>
          <w:p w:rsidR="002C2CE0" w:rsidRPr="00014059" w:rsidP="002C2CE0" w14:paraId="71AD5EAD" w14:textId="6B558CD4">
            <w:pPr>
              <w:keepNext/>
              <w:keepLines/>
              <w:jc w:val="center"/>
              <w:rPr>
                <w:bCs/>
                <w:sz w:val="20"/>
              </w:rPr>
            </w:pPr>
            <w:r w:rsidRPr="00014059">
              <w:rPr>
                <w:bCs/>
                <w:sz w:val="20"/>
              </w:rPr>
              <w:t>$</w:t>
            </w:r>
            <w:r>
              <w:rPr>
                <w:bCs/>
                <w:sz w:val="20"/>
              </w:rPr>
              <w:t>21,035</w:t>
            </w:r>
          </w:p>
        </w:tc>
        <w:tc>
          <w:tcPr>
            <w:tcW w:w="330" w:type="dxa"/>
            <w:shd w:val="clear" w:color="auto" w:fill="auto"/>
          </w:tcPr>
          <w:p w:rsidR="002C2CE0" w:rsidRPr="00014059" w:rsidP="002C2CE0" w14:paraId="23160E42" w14:textId="6A1A255A">
            <w:pPr>
              <w:keepNext/>
              <w:keepLines/>
              <w:jc w:val="center"/>
              <w:rPr>
                <w:bCs/>
                <w:sz w:val="20"/>
              </w:rPr>
            </w:pPr>
            <w:r>
              <w:rPr>
                <w:bCs/>
                <w:sz w:val="20"/>
              </w:rPr>
              <w:t>+</w:t>
            </w:r>
          </w:p>
        </w:tc>
        <w:tc>
          <w:tcPr>
            <w:tcW w:w="1592" w:type="dxa"/>
            <w:shd w:val="clear" w:color="auto" w:fill="auto"/>
          </w:tcPr>
          <w:p w:rsidR="002C2CE0" w:rsidRPr="00014059" w:rsidP="002C2CE0" w14:paraId="202DB3C0" w14:textId="699F7FF8">
            <w:pPr>
              <w:keepNext/>
              <w:keepLines/>
              <w:jc w:val="center"/>
              <w:rPr>
                <w:bCs/>
                <w:sz w:val="20"/>
              </w:rPr>
            </w:pPr>
            <w:r w:rsidRPr="00DA5633">
              <w:rPr>
                <w:bCs/>
                <w:sz w:val="20"/>
              </w:rPr>
              <w:t>$0</w:t>
            </w:r>
          </w:p>
        </w:tc>
        <w:tc>
          <w:tcPr>
            <w:tcW w:w="386" w:type="dxa"/>
            <w:shd w:val="clear" w:color="auto" w:fill="auto"/>
          </w:tcPr>
          <w:p w:rsidR="002C2CE0" w:rsidRPr="00014059" w:rsidP="002C2CE0" w14:paraId="145581F4" w14:textId="2EA39F84">
            <w:pPr>
              <w:keepNext/>
              <w:keepLines/>
              <w:jc w:val="center"/>
              <w:rPr>
                <w:bCs/>
                <w:sz w:val="20"/>
              </w:rPr>
            </w:pPr>
            <w:r>
              <w:rPr>
                <w:bCs/>
                <w:sz w:val="20"/>
              </w:rPr>
              <w:t>=</w:t>
            </w:r>
          </w:p>
        </w:tc>
        <w:tc>
          <w:tcPr>
            <w:tcW w:w="1697" w:type="dxa"/>
            <w:shd w:val="clear" w:color="auto" w:fill="auto"/>
          </w:tcPr>
          <w:p w:rsidR="002C2CE0" w:rsidRPr="00014059" w:rsidP="002C2CE0" w14:paraId="2F671FC5" w14:textId="70EE437F">
            <w:pPr>
              <w:keepNext/>
              <w:keepLines/>
              <w:jc w:val="center"/>
              <w:rPr>
                <w:bCs/>
                <w:sz w:val="20"/>
              </w:rPr>
            </w:pPr>
            <w:r w:rsidRPr="00014059">
              <w:rPr>
                <w:bCs/>
                <w:sz w:val="20"/>
              </w:rPr>
              <w:t>$</w:t>
            </w:r>
            <w:r>
              <w:rPr>
                <w:bCs/>
                <w:sz w:val="20"/>
              </w:rPr>
              <w:t>21,035</w:t>
            </w:r>
          </w:p>
        </w:tc>
      </w:tr>
      <w:tr w14:paraId="44EC92EC" w14:textId="77777777" w:rsidTr="0074627C">
        <w:tblPrEx>
          <w:tblW w:w="8644" w:type="dxa"/>
          <w:tblInd w:w="715" w:type="dxa"/>
          <w:tblLook w:val="04A0"/>
        </w:tblPrEx>
        <w:tc>
          <w:tcPr>
            <w:tcW w:w="2318" w:type="dxa"/>
            <w:shd w:val="clear" w:color="auto" w:fill="auto"/>
            <w:vAlign w:val="bottom"/>
          </w:tcPr>
          <w:p w:rsidR="002C2CE0" w:rsidRPr="00821066" w:rsidP="002C2CE0" w14:paraId="30BDBFEF" w14:textId="4F2D31A5">
            <w:pPr>
              <w:keepNext/>
              <w:keepLines/>
              <w:numPr>
                <w:ilvl w:val="12"/>
                <w:numId w:val="0"/>
              </w:numPr>
              <w:rPr>
                <w:bCs/>
                <w:sz w:val="20"/>
              </w:rPr>
            </w:pPr>
            <w:r w:rsidRPr="00821066">
              <w:rPr>
                <w:bCs/>
                <w:sz w:val="20"/>
              </w:rPr>
              <w:t>706</w:t>
            </w:r>
            <w:r>
              <w:rPr>
                <w:bCs/>
                <w:sz w:val="20"/>
              </w:rPr>
              <w:t>-GS(T)</w:t>
            </w:r>
            <w:r w:rsidRPr="00821066">
              <w:rPr>
                <w:bCs/>
                <w:sz w:val="20"/>
              </w:rPr>
              <w:t xml:space="preserve"> Instructions</w:t>
            </w:r>
          </w:p>
        </w:tc>
        <w:tc>
          <w:tcPr>
            <w:tcW w:w="2321" w:type="dxa"/>
            <w:shd w:val="clear" w:color="auto" w:fill="auto"/>
          </w:tcPr>
          <w:p w:rsidR="002C2CE0" w:rsidRPr="00014059" w:rsidP="002C2CE0" w14:paraId="7A78EFC3" w14:textId="35F4B695">
            <w:pPr>
              <w:keepNext/>
              <w:keepLines/>
              <w:jc w:val="center"/>
              <w:rPr>
                <w:bCs/>
                <w:sz w:val="20"/>
              </w:rPr>
            </w:pPr>
            <w:r w:rsidRPr="00014059">
              <w:rPr>
                <w:bCs/>
                <w:sz w:val="20"/>
              </w:rPr>
              <w:t>$</w:t>
            </w:r>
            <w:r>
              <w:rPr>
                <w:bCs/>
                <w:sz w:val="20"/>
              </w:rPr>
              <w:t>6,472</w:t>
            </w:r>
          </w:p>
        </w:tc>
        <w:tc>
          <w:tcPr>
            <w:tcW w:w="330" w:type="dxa"/>
            <w:shd w:val="clear" w:color="auto" w:fill="auto"/>
          </w:tcPr>
          <w:p w:rsidR="002C2CE0" w:rsidRPr="00014059" w:rsidP="002C2CE0" w14:paraId="0C931809" w14:textId="4A044616">
            <w:pPr>
              <w:keepNext/>
              <w:keepLines/>
              <w:jc w:val="center"/>
              <w:rPr>
                <w:bCs/>
                <w:sz w:val="20"/>
              </w:rPr>
            </w:pPr>
            <w:r>
              <w:rPr>
                <w:bCs/>
                <w:sz w:val="20"/>
              </w:rPr>
              <w:t>+</w:t>
            </w:r>
          </w:p>
        </w:tc>
        <w:tc>
          <w:tcPr>
            <w:tcW w:w="1592" w:type="dxa"/>
            <w:shd w:val="clear" w:color="auto" w:fill="auto"/>
          </w:tcPr>
          <w:p w:rsidR="002C2CE0" w:rsidRPr="00014059" w:rsidP="002C2CE0" w14:paraId="020DBF0E" w14:textId="5CFBA042">
            <w:pPr>
              <w:keepNext/>
              <w:keepLines/>
              <w:jc w:val="center"/>
              <w:rPr>
                <w:bCs/>
                <w:sz w:val="20"/>
              </w:rPr>
            </w:pPr>
            <w:r w:rsidRPr="00DA5633">
              <w:rPr>
                <w:bCs/>
                <w:sz w:val="20"/>
              </w:rPr>
              <w:t>$0</w:t>
            </w:r>
          </w:p>
        </w:tc>
        <w:tc>
          <w:tcPr>
            <w:tcW w:w="386" w:type="dxa"/>
            <w:shd w:val="clear" w:color="auto" w:fill="auto"/>
          </w:tcPr>
          <w:p w:rsidR="002C2CE0" w:rsidRPr="00014059" w:rsidP="002C2CE0" w14:paraId="64672EE3" w14:textId="7C586676">
            <w:pPr>
              <w:keepNext/>
              <w:keepLines/>
              <w:jc w:val="center"/>
              <w:rPr>
                <w:bCs/>
                <w:sz w:val="20"/>
              </w:rPr>
            </w:pPr>
            <w:r>
              <w:rPr>
                <w:bCs/>
                <w:sz w:val="20"/>
              </w:rPr>
              <w:t>=</w:t>
            </w:r>
          </w:p>
        </w:tc>
        <w:tc>
          <w:tcPr>
            <w:tcW w:w="1697" w:type="dxa"/>
            <w:shd w:val="clear" w:color="auto" w:fill="auto"/>
          </w:tcPr>
          <w:p w:rsidR="002C2CE0" w:rsidRPr="00014059" w:rsidP="002C2CE0" w14:paraId="657E9A26" w14:textId="46B59B82">
            <w:pPr>
              <w:keepNext/>
              <w:keepLines/>
              <w:jc w:val="center"/>
              <w:rPr>
                <w:bCs/>
                <w:sz w:val="20"/>
              </w:rPr>
            </w:pPr>
            <w:r w:rsidRPr="00014059">
              <w:rPr>
                <w:bCs/>
                <w:sz w:val="20"/>
              </w:rPr>
              <w:t>$</w:t>
            </w:r>
            <w:r>
              <w:rPr>
                <w:bCs/>
                <w:sz w:val="20"/>
              </w:rPr>
              <w:t>6,472</w:t>
            </w:r>
          </w:p>
        </w:tc>
      </w:tr>
      <w:tr w14:paraId="3685CF06" w14:textId="77777777" w:rsidTr="0074627C">
        <w:tblPrEx>
          <w:tblW w:w="8644" w:type="dxa"/>
          <w:tblInd w:w="715" w:type="dxa"/>
          <w:tblLook w:val="04A0"/>
        </w:tblPrEx>
        <w:tc>
          <w:tcPr>
            <w:tcW w:w="2318" w:type="dxa"/>
            <w:shd w:val="clear" w:color="auto" w:fill="auto"/>
            <w:vAlign w:val="bottom"/>
          </w:tcPr>
          <w:p w:rsidR="002C2CE0" w:rsidRPr="00821066" w:rsidP="002C2CE0" w14:paraId="01003D2E" w14:textId="1F748859">
            <w:pPr>
              <w:keepNext/>
              <w:keepLines/>
              <w:numPr>
                <w:ilvl w:val="12"/>
                <w:numId w:val="0"/>
              </w:numPr>
              <w:rPr>
                <w:bCs/>
                <w:sz w:val="20"/>
              </w:rPr>
            </w:pPr>
            <w:r w:rsidRPr="00821066">
              <w:rPr>
                <w:bCs/>
                <w:sz w:val="20"/>
              </w:rPr>
              <w:t>Form 706</w:t>
            </w:r>
            <w:r>
              <w:rPr>
                <w:bCs/>
                <w:sz w:val="20"/>
              </w:rPr>
              <w:t>-NA</w:t>
            </w:r>
          </w:p>
        </w:tc>
        <w:tc>
          <w:tcPr>
            <w:tcW w:w="2321" w:type="dxa"/>
            <w:shd w:val="clear" w:color="auto" w:fill="auto"/>
          </w:tcPr>
          <w:p w:rsidR="002C2CE0" w:rsidRPr="00014059" w:rsidP="002C2CE0" w14:paraId="0137CFA7" w14:textId="5DFD53F8">
            <w:pPr>
              <w:keepNext/>
              <w:keepLines/>
              <w:jc w:val="center"/>
              <w:rPr>
                <w:bCs/>
                <w:sz w:val="20"/>
              </w:rPr>
            </w:pPr>
            <w:r w:rsidRPr="00014059">
              <w:rPr>
                <w:bCs/>
                <w:sz w:val="20"/>
              </w:rPr>
              <w:t>$</w:t>
            </w:r>
            <w:r>
              <w:rPr>
                <w:bCs/>
                <w:sz w:val="20"/>
              </w:rPr>
              <w:t>19,417</w:t>
            </w:r>
          </w:p>
        </w:tc>
        <w:tc>
          <w:tcPr>
            <w:tcW w:w="330" w:type="dxa"/>
            <w:shd w:val="clear" w:color="auto" w:fill="auto"/>
          </w:tcPr>
          <w:p w:rsidR="002C2CE0" w:rsidRPr="00014059" w:rsidP="002C2CE0" w14:paraId="5525E726" w14:textId="5D68F25B">
            <w:pPr>
              <w:keepNext/>
              <w:keepLines/>
              <w:jc w:val="center"/>
              <w:rPr>
                <w:bCs/>
                <w:sz w:val="20"/>
              </w:rPr>
            </w:pPr>
            <w:r>
              <w:rPr>
                <w:bCs/>
                <w:sz w:val="20"/>
              </w:rPr>
              <w:t>+</w:t>
            </w:r>
          </w:p>
        </w:tc>
        <w:tc>
          <w:tcPr>
            <w:tcW w:w="1592" w:type="dxa"/>
            <w:shd w:val="clear" w:color="auto" w:fill="auto"/>
          </w:tcPr>
          <w:p w:rsidR="002C2CE0" w:rsidRPr="00014059" w:rsidP="002C2CE0" w14:paraId="2A218BF6" w14:textId="78B791E6">
            <w:pPr>
              <w:keepNext/>
              <w:keepLines/>
              <w:jc w:val="center"/>
              <w:rPr>
                <w:bCs/>
                <w:sz w:val="20"/>
              </w:rPr>
            </w:pPr>
            <w:r w:rsidRPr="00DA5633">
              <w:rPr>
                <w:bCs/>
                <w:sz w:val="20"/>
              </w:rPr>
              <w:t>$0</w:t>
            </w:r>
          </w:p>
        </w:tc>
        <w:tc>
          <w:tcPr>
            <w:tcW w:w="386" w:type="dxa"/>
            <w:shd w:val="clear" w:color="auto" w:fill="auto"/>
          </w:tcPr>
          <w:p w:rsidR="002C2CE0" w:rsidRPr="00014059" w:rsidP="002C2CE0" w14:paraId="64031DDA" w14:textId="06CBC8E7">
            <w:pPr>
              <w:keepNext/>
              <w:keepLines/>
              <w:jc w:val="center"/>
              <w:rPr>
                <w:bCs/>
                <w:sz w:val="20"/>
              </w:rPr>
            </w:pPr>
            <w:r>
              <w:rPr>
                <w:bCs/>
                <w:sz w:val="20"/>
              </w:rPr>
              <w:t>=</w:t>
            </w:r>
          </w:p>
        </w:tc>
        <w:tc>
          <w:tcPr>
            <w:tcW w:w="1697" w:type="dxa"/>
            <w:shd w:val="clear" w:color="auto" w:fill="auto"/>
          </w:tcPr>
          <w:p w:rsidR="002C2CE0" w:rsidRPr="00014059" w:rsidP="002C2CE0" w14:paraId="669D2AF4" w14:textId="7E583E85">
            <w:pPr>
              <w:keepNext/>
              <w:keepLines/>
              <w:jc w:val="center"/>
              <w:rPr>
                <w:bCs/>
                <w:sz w:val="20"/>
              </w:rPr>
            </w:pPr>
            <w:r w:rsidRPr="00014059">
              <w:rPr>
                <w:bCs/>
                <w:sz w:val="20"/>
              </w:rPr>
              <w:t>$</w:t>
            </w:r>
            <w:r>
              <w:rPr>
                <w:bCs/>
                <w:sz w:val="20"/>
              </w:rPr>
              <w:t>19,417</w:t>
            </w:r>
          </w:p>
        </w:tc>
      </w:tr>
      <w:tr w14:paraId="34AB1420" w14:textId="77777777" w:rsidTr="0074627C">
        <w:tblPrEx>
          <w:tblW w:w="8644" w:type="dxa"/>
          <w:tblInd w:w="715" w:type="dxa"/>
          <w:tblLook w:val="04A0"/>
        </w:tblPrEx>
        <w:tc>
          <w:tcPr>
            <w:tcW w:w="2318" w:type="dxa"/>
            <w:shd w:val="clear" w:color="auto" w:fill="auto"/>
            <w:vAlign w:val="bottom"/>
          </w:tcPr>
          <w:p w:rsidR="002C2CE0" w:rsidRPr="00821066" w:rsidP="002C2CE0" w14:paraId="4E142C3A" w14:textId="7C2B9328">
            <w:pPr>
              <w:keepNext/>
              <w:keepLines/>
              <w:numPr>
                <w:ilvl w:val="12"/>
                <w:numId w:val="0"/>
              </w:numPr>
              <w:rPr>
                <w:bCs/>
                <w:sz w:val="20"/>
              </w:rPr>
            </w:pPr>
            <w:r w:rsidRPr="00821066">
              <w:rPr>
                <w:bCs/>
                <w:sz w:val="20"/>
              </w:rPr>
              <w:t>706</w:t>
            </w:r>
            <w:r>
              <w:rPr>
                <w:bCs/>
                <w:sz w:val="20"/>
              </w:rPr>
              <w:t>-NA</w:t>
            </w:r>
            <w:r w:rsidRPr="00821066">
              <w:rPr>
                <w:bCs/>
                <w:sz w:val="20"/>
              </w:rPr>
              <w:t xml:space="preserve"> Instructions</w:t>
            </w:r>
          </w:p>
        </w:tc>
        <w:tc>
          <w:tcPr>
            <w:tcW w:w="2321" w:type="dxa"/>
            <w:shd w:val="clear" w:color="auto" w:fill="auto"/>
          </w:tcPr>
          <w:p w:rsidR="002C2CE0" w:rsidRPr="00014059" w:rsidP="002C2CE0" w14:paraId="76F17DC4" w14:textId="66C96CB2">
            <w:pPr>
              <w:keepNext/>
              <w:keepLines/>
              <w:jc w:val="center"/>
              <w:rPr>
                <w:bCs/>
                <w:sz w:val="20"/>
              </w:rPr>
            </w:pPr>
            <w:r w:rsidRPr="00014059">
              <w:rPr>
                <w:bCs/>
                <w:sz w:val="20"/>
              </w:rPr>
              <w:t>$</w:t>
            </w:r>
            <w:r>
              <w:rPr>
                <w:bCs/>
                <w:sz w:val="20"/>
              </w:rPr>
              <w:t>4,854</w:t>
            </w:r>
          </w:p>
        </w:tc>
        <w:tc>
          <w:tcPr>
            <w:tcW w:w="330" w:type="dxa"/>
            <w:shd w:val="clear" w:color="auto" w:fill="auto"/>
          </w:tcPr>
          <w:p w:rsidR="002C2CE0" w:rsidRPr="00014059" w:rsidP="002C2CE0" w14:paraId="2972BA19" w14:textId="689EFD69">
            <w:pPr>
              <w:keepNext/>
              <w:keepLines/>
              <w:jc w:val="center"/>
              <w:rPr>
                <w:bCs/>
                <w:sz w:val="20"/>
              </w:rPr>
            </w:pPr>
            <w:r>
              <w:rPr>
                <w:bCs/>
                <w:sz w:val="20"/>
              </w:rPr>
              <w:t>+</w:t>
            </w:r>
          </w:p>
        </w:tc>
        <w:tc>
          <w:tcPr>
            <w:tcW w:w="1592" w:type="dxa"/>
            <w:shd w:val="clear" w:color="auto" w:fill="auto"/>
          </w:tcPr>
          <w:p w:rsidR="002C2CE0" w:rsidRPr="00014059" w:rsidP="002C2CE0" w14:paraId="315A0828" w14:textId="00C2005F">
            <w:pPr>
              <w:keepNext/>
              <w:keepLines/>
              <w:jc w:val="center"/>
              <w:rPr>
                <w:bCs/>
                <w:sz w:val="20"/>
              </w:rPr>
            </w:pPr>
            <w:r w:rsidRPr="00DA5633">
              <w:rPr>
                <w:bCs/>
                <w:sz w:val="20"/>
              </w:rPr>
              <w:t>$0</w:t>
            </w:r>
          </w:p>
        </w:tc>
        <w:tc>
          <w:tcPr>
            <w:tcW w:w="386" w:type="dxa"/>
            <w:shd w:val="clear" w:color="auto" w:fill="auto"/>
          </w:tcPr>
          <w:p w:rsidR="002C2CE0" w:rsidRPr="00014059" w:rsidP="002C2CE0" w14:paraId="65F7AD69" w14:textId="282B1CCC">
            <w:pPr>
              <w:keepNext/>
              <w:keepLines/>
              <w:jc w:val="center"/>
              <w:rPr>
                <w:bCs/>
                <w:sz w:val="20"/>
              </w:rPr>
            </w:pPr>
            <w:r>
              <w:rPr>
                <w:bCs/>
                <w:sz w:val="20"/>
              </w:rPr>
              <w:t>=</w:t>
            </w:r>
          </w:p>
        </w:tc>
        <w:tc>
          <w:tcPr>
            <w:tcW w:w="1697" w:type="dxa"/>
            <w:shd w:val="clear" w:color="auto" w:fill="auto"/>
          </w:tcPr>
          <w:p w:rsidR="002C2CE0" w:rsidRPr="00014059" w:rsidP="002C2CE0" w14:paraId="69C48EE7" w14:textId="71B10422">
            <w:pPr>
              <w:keepNext/>
              <w:keepLines/>
              <w:jc w:val="center"/>
              <w:rPr>
                <w:bCs/>
                <w:sz w:val="20"/>
              </w:rPr>
            </w:pPr>
            <w:r w:rsidRPr="00014059">
              <w:rPr>
                <w:bCs/>
                <w:sz w:val="20"/>
              </w:rPr>
              <w:t>$</w:t>
            </w:r>
            <w:r>
              <w:rPr>
                <w:bCs/>
                <w:sz w:val="20"/>
              </w:rPr>
              <w:t>4,854</w:t>
            </w:r>
          </w:p>
        </w:tc>
      </w:tr>
      <w:tr w14:paraId="3E40AEBC" w14:textId="77777777" w:rsidTr="0074627C">
        <w:tblPrEx>
          <w:tblW w:w="8644" w:type="dxa"/>
          <w:tblInd w:w="715" w:type="dxa"/>
          <w:tblLook w:val="04A0"/>
        </w:tblPrEx>
        <w:tc>
          <w:tcPr>
            <w:tcW w:w="2318" w:type="dxa"/>
            <w:shd w:val="clear" w:color="auto" w:fill="auto"/>
            <w:vAlign w:val="bottom"/>
          </w:tcPr>
          <w:p w:rsidR="002C2CE0" w:rsidRPr="00821066" w:rsidP="002C2CE0" w14:paraId="546E76A7" w14:textId="6A8D8CB9">
            <w:pPr>
              <w:keepNext/>
              <w:keepLines/>
              <w:numPr>
                <w:ilvl w:val="12"/>
                <w:numId w:val="0"/>
              </w:numPr>
              <w:rPr>
                <w:bCs/>
                <w:sz w:val="20"/>
              </w:rPr>
            </w:pPr>
            <w:r w:rsidRPr="00821066">
              <w:rPr>
                <w:bCs/>
                <w:sz w:val="20"/>
              </w:rPr>
              <w:t>Form 706</w:t>
            </w:r>
            <w:r>
              <w:rPr>
                <w:bCs/>
                <w:sz w:val="20"/>
              </w:rPr>
              <w:t>-QDT</w:t>
            </w:r>
          </w:p>
        </w:tc>
        <w:tc>
          <w:tcPr>
            <w:tcW w:w="2321" w:type="dxa"/>
            <w:shd w:val="clear" w:color="auto" w:fill="auto"/>
          </w:tcPr>
          <w:p w:rsidR="002C2CE0" w:rsidRPr="00014059" w:rsidP="002C2CE0" w14:paraId="2CCAD224" w14:textId="3190917E">
            <w:pPr>
              <w:keepNext/>
              <w:keepLines/>
              <w:jc w:val="center"/>
              <w:rPr>
                <w:bCs/>
                <w:sz w:val="20"/>
              </w:rPr>
            </w:pPr>
            <w:r w:rsidRPr="00014059">
              <w:rPr>
                <w:bCs/>
                <w:sz w:val="20"/>
              </w:rPr>
              <w:t>$</w:t>
            </w:r>
            <w:r>
              <w:rPr>
                <w:bCs/>
                <w:sz w:val="20"/>
              </w:rPr>
              <w:t>29,450</w:t>
            </w:r>
          </w:p>
        </w:tc>
        <w:tc>
          <w:tcPr>
            <w:tcW w:w="330" w:type="dxa"/>
            <w:shd w:val="clear" w:color="auto" w:fill="auto"/>
          </w:tcPr>
          <w:p w:rsidR="002C2CE0" w:rsidRPr="00014059" w:rsidP="002C2CE0" w14:paraId="7BEC7103" w14:textId="4B19FCB4">
            <w:pPr>
              <w:keepNext/>
              <w:keepLines/>
              <w:jc w:val="center"/>
              <w:rPr>
                <w:bCs/>
                <w:sz w:val="20"/>
              </w:rPr>
            </w:pPr>
            <w:r>
              <w:rPr>
                <w:bCs/>
                <w:sz w:val="20"/>
              </w:rPr>
              <w:t>+</w:t>
            </w:r>
          </w:p>
        </w:tc>
        <w:tc>
          <w:tcPr>
            <w:tcW w:w="1592" w:type="dxa"/>
            <w:shd w:val="clear" w:color="auto" w:fill="auto"/>
          </w:tcPr>
          <w:p w:rsidR="002C2CE0" w:rsidRPr="00014059" w:rsidP="002C2CE0" w14:paraId="38B87A4C" w14:textId="480F1454">
            <w:pPr>
              <w:keepNext/>
              <w:keepLines/>
              <w:jc w:val="center"/>
              <w:rPr>
                <w:bCs/>
                <w:sz w:val="20"/>
              </w:rPr>
            </w:pPr>
            <w:r w:rsidRPr="00DA5633">
              <w:rPr>
                <w:bCs/>
                <w:sz w:val="20"/>
              </w:rPr>
              <w:t>$0</w:t>
            </w:r>
          </w:p>
        </w:tc>
        <w:tc>
          <w:tcPr>
            <w:tcW w:w="386" w:type="dxa"/>
            <w:shd w:val="clear" w:color="auto" w:fill="auto"/>
          </w:tcPr>
          <w:p w:rsidR="002C2CE0" w:rsidRPr="00014059" w:rsidP="002C2CE0" w14:paraId="18389957" w14:textId="1A8D1E0D">
            <w:pPr>
              <w:keepNext/>
              <w:keepLines/>
              <w:jc w:val="center"/>
              <w:rPr>
                <w:bCs/>
                <w:sz w:val="20"/>
              </w:rPr>
            </w:pPr>
            <w:r>
              <w:rPr>
                <w:bCs/>
                <w:sz w:val="20"/>
              </w:rPr>
              <w:t>=</w:t>
            </w:r>
          </w:p>
        </w:tc>
        <w:tc>
          <w:tcPr>
            <w:tcW w:w="1697" w:type="dxa"/>
            <w:shd w:val="clear" w:color="auto" w:fill="auto"/>
          </w:tcPr>
          <w:p w:rsidR="002C2CE0" w:rsidRPr="00014059" w:rsidP="002C2CE0" w14:paraId="4E5F6F61" w14:textId="0F1E21F5">
            <w:pPr>
              <w:keepNext/>
              <w:keepLines/>
              <w:jc w:val="center"/>
              <w:rPr>
                <w:bCs/>
                <w:sz w:val="20"/>
              </w:rPr>
            </w:pPr>
            <w:r w:rsidRPr="00014059">
              <w:rPr>
                <w:bCs/>
                <w:sz w:val="20"/>
              </w:rPr>
              <w:t>$</w:t>
            </w:r>
            <w:r>
              <w:rPr>
                <w:bCs/>
                <w:sz w:val="20"/>
              </w:rPr>
              <w:t>29,450</w:t>
            </w:r>
          </w:p>
        </w:tc>
      </w:tr>
      <w:tr w14:paraId="2C09880A" w14:textId="77777777" w:rsidTr="0074627C">
        <w:tblPrEx>
          <w:tblW w:w="8644" w:type="dxa"/>
          <w:tblInd w:w="715" w:type="dxa"/>
          <w:tblLook w:val="04A0"/>
        </w:tblPrEx>
        <w:tc>
          <w:tcPr>
            <w:tcW w:w="2318" w:type="dxa"/>
            <w:shd w:val="clear" w:color="auto" w:fill="auto"/>
            <w:vAlign w:val="bottom"/>
          </w:tcPr>
          <w:p w:rsidR="002C2CE0" w:rsidRPr="00821066" w:rsidP="002C2CE0" w14:paraId="1E2A9D1F" w14:textId="3F16520E">
            <w:pPr>
              <w:keepNext/>
              <w:keepLines/>
              <w:numPr>
                <w:ilvl w:val="12"/>
                <w:numId w:val="0"/>
              </w:numPr>
              <w:rPr>
                <w:bCs/>
                <w:sz w:val="20"/>
              </w:rPr>
            </w:pPr>
            <w:r>
              <w:rPr>
                <w:bCs/>
                <w:sz w:val="20"/>
              </w:rPr>
              <w:t>706-QDT Instructions</w:t>
            </w:r>
          </w:p>
        </w:tc>
        <w:tc>
          <w:tcPr>
            <w:tcW w:w="2321" w:type="dxa"/>
            <w:shd w:val="clear" w:color="auto" w:fill="auto"/>
          </w:tcPr>
          <w:p w:rsidR="002C2CE0" w:rsidRPr="00014059" w:rsidP="002C2CE0" w14:paraId="63DA742B" w14:textId="36986E62">
            <w:pPr>
              <w:keepNext/>
              <w:keepLines/>
              <w:jc w:val="center"/>
              <w:rPr>
                <w:bCs/>
                <w:sz w:val="20"/>
              </w:rPr>
            </w:pPr>
            <w:r w:rsidRPr="00014059">
              <w:rPr>
                <w:bCs/>
                <w:sz w:val="20"/>
              </w:rPr>
              <w:t>$</w:t>
            </w:r>
            <w:r>
              <w:rPr>
                <w:bCs/>
                <w:sz w:val="20"/>
              </w:rPr>
              <w:t>7,362</w:t>
            </w:r>
          </w:p>
        </w:tc>
        <w:tc>
          <w:tcPr>
            <w:tcW w:w="330" w:type="dxa"/>
            <w:shd w:val="clear" w:color="auto" w:fill="auto"/>
          </w:tcPr>
          <w:p w:rsidR="002C2CE0" w:rsidRPr="00014059" w:rsidP="002C2CE0" w14:paraId="4EA78184" w14:textId="513C0946">
            <w:pPr>
              <w:keepNext/>
              <w:keepLines/>
              <w:jc w:val="center"/>
              <w:rPr>
                <w:bCs/>
                <w:sz w:val="20"/>
              </w:rPr>
            </w:pPr>
            <w:r>
              <w:rPr>
                <w:bCs/>
                <w:sz w:val="20"/>
              </w:rPr>
              <w:t>+</w:t>
            </w:r>
          </w:p>
        </w:tc>
        <w:tc>
          <w:tcPr>
            <w:tcW w:w="1592" w:type="dxa"/>
            <w:shd w:val="clear" w:color="auto" w:fill="auto"/>
          </w:tcPr>
          <w:p w:rsidR="002C2CE0" w:rsidRPr="00014059" w:rsidP="002C2CE0" w14:paraId="0B209460" w14:textId="5E5768D0">
            <w:pPr>
              <w:keepNext/>
              <w:keepLines/>
              <w:jc w:val="center"/>
              <w:rPr>
                <w:bCs/>
                <w:sz w:val="20"/>
              </w:rPr>
            </w:pPr>
            <w:r w:rsidRPr="00DA5633">
              <w:rPr>
                <w:bCs/>
                <w:sz w:val="20"/>
              </w:rPr>
              <w:t>$0</w:t>
            </w:r>
          </w:p>
        </w:tc>
        <w:tc>
          <w:tcPr>
            <w:tcW w:w="386" w:type="dxa"/>
            <w:shd w:val="clear" w:color="auto" w:fill="auto"/>
          </w:tcPr>
          <w:p w:rsidR="002C2CE0" w:rsidRPr="00014059" w:rsidP="002C2CE0" w14:paraId="7BE8DE2B" w14:textId="4D741B77">
            <w:pPr>
              <w:keepNext/>
              <w:keepLines/>
              <w:jc w:val="center"/>
              <w:rPr>
                <w:bCs/>
                <w:sz w:val="20"/>
              </w:rPr>
            </w:pPr>
            <w:r>
              <w:rPr>
                <w:bCs/>
                <w:sz w:val="20"/>
              </w:rPr>
              <w:t>=</w:t>
            </w:r>
          </w:p>
        </w:tc>
        <w:tc>
          <w:tcPr>
            <w:tcW w:w="1697" w:type="dxa"/>
            <w:shd w:val="clear" w:color="auto" w:fill="auto"/>
          </w:tcPr>
          <w:p w:rsidR="002C2CE0" w:rsidRPr="00014059" w:rsidP="002C2CE0" w14:paraId="2FA019C6" w14:textId="0C835A7D">
            <w:pPr>
              <w:keepNext/>
              <w:keepLines/>
              <w:jc w:val="center"/>
              <w:rPr>
                <w:bCs/>
                <w:sz w:val="20"/>
              </w:rPr>
            </w:pPr>
            <w:r w:rsidRPr="00014059">
              <w:rPr>
                <w:bCs/>
                <w:sz w:val="20"/>
              </w:rPr>
              <w:t>$</w:t>
            </w:r>
            <w:r>
              <w:rPr>
                <w:bCs/>
                <w:sz w:val="20"/>
              </w:rPr>
              <w:t>7,362</w:t>
            </w:r>
          </w:p>
        </w:tc>
      </w:tr>
      <w:tr w14:paraId="0621AA65" w14:textId="77777777" w:rsidTr="0074627C">
        <w:tblPrEx>
          <w:tblW w:w="8644" w:type="dxa"/>
          <w:tblInd w:w="715" w:type="dxa"/>
          <w:tblLook w:val="04A0"/>
        </w:tblPrEx>
        <w:tc>
          <w:tcPr>
            <w:tcW w:w="2318" w:type="dxa"/>
            <w:shd w:val="clear" w:color="auto" w:fill="auto"/>
          </w:tcPr>
          <w:p w:rsidR="00D64289" w:rsidRPr="00821066" w:rsidP="00D64289" w14:paraId="3CD112B0" w14:textId="49023A76">
            <w:pPr>
              <w:keepNext/>
              <w:keepLines/>
              <w:rPr>
                <w:b/>
                <w:sz w:val="20"/>
              </w:rPr>
            </w:pPr>
            <w:r w:rsidRPr="00821066">
              <w:rPr>
                <w:b/>
                <w:sz w:val="20"/>
              </w:rPr>
              <w:t>Total</w:t>
            </w:r>
          </w:p>
        </w:tc>
        <w:tc>
          <w:tcPr>
            <w:tcW w:w="2321" w:type="dxa"/>
            <w:shd w:val="clear" w:color="auto" w:fill="auto"/>
          </w:tcPr>
          <w:p w:rsidR="00D64289" w:rsidRPr="00165CC9" w:rsidP="00D64289" w14:paraId="3BC6B218" w14:textId="5A421F46">
            <w:pPr>
              <w:keepNext/>
              <w:keepLines/>
              <w:jc w:val="center"/>
              <w:rPr>
                <w:b/>
                <w:sz w:val="20"/>
              </w:rPr>
            </w:pPr>
            <w:r w:rsidRPr="00165CC9">
              <w:rPr>
                <w:b/>
                <w:sz w:val="20"/>
              </w:rPr>
              <w:t>$</w:t>
            </w:r>
            <w:r w:rsidRPr="00165CC9" w:rsidR="009D691D">
              <w:rPr>
                <w:b/>
                <w:sz w:val="20"/>
              </w:rPr>
              <w:t>295,706</w:t>
            </w:r>
          </w:p>
        </w:tc>
        <w:tc>
          <w:tcPr>
            <w:tcW w:w="330" w:type="dxa"/>
            <w:shd w:val="clear" w:color="auto" w:fill="auto"/>
          </w:tcPr>
          <w:p w:rsidR="00D64289" w:rsidRPr="00F812D7" w:rsidP="00D64289" w14:paraId="50AB197C" w14:textId="2DCADA76">
            <w:pPr>
              <w:keepNext/>
              <w:keepLines/>
              <w:jc w:val="center"/>
              <w:rPr>
                <w:b/>
                <w:sz w:val="20"/>
              </w:rPr>
            </w:pPr>
            <w:r w:rsidRPr="00F812D7">
              <w:rPr>
                <w:b/>
                <w:sz w:val="20"/>
              </w:rPr>
              <w:t>+</w:t>
            </w:r>
          </w:p>
        </w:tc>
        <w:tc>
          <w:tcPr>
            <w:tcW w:w="1592" w:type="dxa"/>
            <w:shd w:val="clear" w:color="auto" w:fill="auto"/>
          </w:tcPr>
          <w:p w:rsidR="00D64289" w:rsidRPr="00165CC9" w:rsidP="00D64289" w14:paraId="4EFD90EC" w14:textId="60071B7B">
            <w:pPr>
              <w:keepNext/>
              <w:keepLines/>
              <w:jc w:val="center"/>
              <w:rPr>
                <w:b/>
                <w:sz w:val="20"/>
              </w:rPr>
            </w:pPr>
            <w:r w:rsidRPr="00165CC9">
              <w:rPr>
                <w:b/>
                <w:sz w:val="20"/>
              </w:rPr>
              <w:t>$</w:t>
            </w:r>
            <w:r w:rsidRPr="00165CC9" w:rsidR="00BB3F1D">
              <w:rPr>
                <w:b/>
                <w:sz w:val="20"/>
              </w:rPr>
              <w:t>1,702</w:t>
            </w:r>
          </w:p>
        </w:tc>
        <w:tc>
          <w:tcPr>
            <w:tcW w:w="386" w:type="dxa"/>
            <w:shd w:val="clear" w:color="auto" w:fill="auto"/>
          </w:tcPr>
          <w:p w:rsidR="00D64289" w:rsidRPr="00014059" w:rsidP="00D64289" w14:paraId="70AD96A2" w14:textId="2CE7E184">
            <w:pPr>
              <w:keepNext/>
              <w:keepLines/>
              <w:jc w:val="center"/>
              <w:rPr>
                <w:bCs/>
                <w:sz w:val="20"/>
              </w:rPr>
            </w:pPr>
            <w:r>
              <w:rPr>
                <w:bCs/>
                <w:sz w:val="20"/>
              </w:rPr>
              <w:t>=</w:t>
            </w:r>
          </w:p>
        </w:tc>
        <w:tc>
          <w:tcPr>
            <w:tcW w:w="1697" w:type="dxa"/>
            <w:shd w:val="clear" w:color="auto" w:fill="auto"/>
          </w:tcPr>
          <w:p w:rsidR="00D64289" w:rsidRPr="007025BD" w:rsidP="00D64289" w14:paraId="4E78AA14" w14:textId="0937339B">
            <w:pPr>
              <w:keepNext/>
              <w:keepLines/>
              <w:jc w:val="center"/>
              <w:rPr>
                <w:b/>
                <w:sz w:val="20"/>
              </w:rPr>
            </w:pPr>
            <w:r w:rsidRPr="007025BD">
              <w:rPr>
                <w:b/>
                <w:sz w:val="20"/>
              </w:rPr>
              <w:t>$</w:t>
            </w:r>
            <w:r w:rsidRPr="007025BD" w:rsidR="00165CC9">
              <w:rPr>
                <w:b/>
                <w:sz w:val="20"/>
              </w:rPr>
              <w:t>297</w:t>
            </w:r>
            <w:r w:rsidRPr="007025BD" w:rsidR="007025BD">
              <w:rPr>
                <w:b/>
                <w:sz w:val="20"/>
              </w:rPr>
              <w:t>,408</w:t>
            </w:r>
          </w:p>
        </w:tc>
      </w:tr>
      <w:tr w14:paraId="15FBA5C5" w14:textId="77777777" w:rsidTr="00EA310E">
        <w:tblPrEx>
          <w:tblW w:w="8644" w:type="dxa"/>
          <w:tblInd w:w="715" w:type="dxa"/>
          <w:tblLook w:val="04A0"/>
        </w:tblPrEx>
        <w:tc>
          <w:tcPr>
            <w:tcW w:w="8644" w:type="dxa"/>
            <w:gridSpan w:val="6"/>
            <w:shd w:val="clear" w:color="auto" w:fill="auto"/>
          </w:tcPr>
          <w:p w:rsidR="00EA310E" w:rsidRPr="00821066" w:rsidP="0047162D" w14:paraId="54929219" w14:textId="7B4F52D7">
            <w:pPr>
              <w:keepNext/>
              <w:keepLines/>
              <w:rPr>
                <w:sz w:val="16"/>
                <w:szCs w:val="16"/>
              </w:rPr>
            </w:pPr>
            <w:r w:rsidRPr="00821066">
              <w:rPr>
                <w:sz w:val="16"/>
                <w:szCs w:val="16"/>
              </w:rPr>
              <w:t xml:space="preserve">Table costs are based on </w:t>
            </w:r>
            <w:r w:rsidR="00014059">
              <w:rPr>
                <w:sz w:val="16"/>
                <w:szCs w:val="16"/>
              </w:rPr>
              <w:t>202</w:t>
            </w:r>
            <w:r w:rsidR="00D8603B">
              <w:rPr>
                <w:sz w:val="16"/>
                <w:szCs w:val="16"/>
              </w:rPr>
              <w:t>3</w:t>
            </w:r>
            <w:r w:rsidRPr="00821066">
              <w:rPr>
                <w:sz w:val="16"/>
                <w:szCs w:val="16"/>
              </w:rPr>
              <w:t xml:space="preserve"> actuals obtained from IRS Chief Financial Office</w:t>
            </w:r>
            <w:r w:rsidRPr="00821066" w:rsidR="00E353C5">
              <w:rPr>
                <w:sz w:val="16"/>
                <w:szCs w:val="16"/>
              </w:rPr>
              <w:t>r</w:t>
            </w:r>
            <w:r w:rsidRPr="00821066">
              <w:rPr>
                <w:sz w:val="16"/>
                <w:szCs w:val="16"/>
              </w:rPr>
              <w:t xml:space="preserve"> and Media and Publications</w:t>
            </w:r>
          </w:p>
        </w:tc>
      </w:tr>
      <w:bookmarkEnd w:id="13"/>
    </w:tbl>
    <w:p w:rsidR="005F5E19" w:rsidRPr="00147B08" w:rsidP="00F06884" w14:paraId="11A8DAC2" w14:textId="77777777">
      <w:pPr>
        <w:widowControl w:val="0"/>
        <w:autoSpaceDE w:val="0"/>
        <w:autoSpaceDN w:val="0"/>
        <w:adjustRightInd w:val="0"/>
        <w:ind w:left="720"/>
        <w:rPr>
          <w:szCs w:val="24"/>
        </w:rPr>
      </w:pPr>
    </w:p>
    <w:p w:rsidR="009E4901" w:rsidRPr="00147B08" w:rsidP="00F06884" w14:paraId="15DD1088" w14:textId="58605A2F">
      <w:pPr>
        <w:pStyle w:val="Level1"/>
        <w:numPr>
          <w:ilvl w:val="0"/>
          <w:numId w:val="2"/>
        </w:numPr>
        <w:tabs>
          <w:tab w:val="left" w:pos="-1440"/>
          <w:tab w:val="num" w:pos="720"/>
        </w:tabs>
        <w:autoSpaceDE w:val="0"/>
        <w:autoSpaceDN w:val="0"/>
        <w:adjustRightInd w:val="0"/>
        <w:ind w:hanging="720"/>
        <w:outlineLvl w:val="0"/>
        <w:rPr>
          <w:szCs w:val="24"/>
          <w:u w:val="single"/>
        </w:rPr>
      </w:pPr>
      <w:r w:rsidRPr="00147B08">
        <w:rPr>
          <w:szCs w:val="24"/>
          <w:u w:val="single"/>
        </w:rPr>
        <w:t>REASONS FOR CHANGE IN BURDEN</w:t>
      </w:r>
    </w:p>
    <w:p w:rsidR="009E4901" w:rsidRPr="00147B08" w:rsidP="00F06884" w14:paraId="5CCFF2E4" w14:textId="77777777">
      <w:pPr>
        <w:widowControl w:val="0"/>
        <w:autoSpaceDE w:val="0"/>
        <w:autoSpaceDN w:val="0"/>
        <w:adjustRightInd w:val="0"/>
        <w:ind w:left="720"/>
        <w:rPr>
          <w:szCs w:val="24"/>
        </w:rPr>
      </w:pPr>
    </w:p>
    <w:p w:rsidR="00D00405" w:rsidRPr="009D1A24" w:rsidP="00F06884" w14:paraId="731CCB90" w14:textId="6CBADA3E">
      <w:pPr>
        <w:widowControl w:val="0"/>
        <w:autoSpaceDE w:val="0"/>
        <w:autoSpaceDN w:val="0"/>
        <w:adjustRightInd w:val="0"/>
        <w:ind w:left="720"/>
        <w:rPr>
          <w:strike/>
          <w:szCs w:val="24"/>
        </w:rPr>
      </w:pPr>
      <w:r>
        <w:rPr>
          <w:szCs w:val="24"/>
        </w:rPr>
        <w:t>C</w:t>
      </w:r>
      <w:r w:rsidRPr="009056E1" w:rsidR="00611F58">
        <w:rPr>
          <w:szCs w:val="24"/>
        </w:rPr>
        <w:t>hange</w:t>
      </w:r>
      <w:r>
        <w:rPr>
          <w:szCs w:val="24"/>
        </w:rPr>
        <w:t xml:space="preserve">s </w:t>
      </w:r>
      <w:r w:rsidR="00B41258">
        <w:rPr>
          <w:szCs w:val="24"/>
        </w:rPr>
        <w:t xml:space="preserve">in the layout of the forms along with updated burden estimates </w:t>
      </w:r>
      <w:r w:rsidR="001F0CC5">
        <w:rPr>
          <w:szCs w:val="24"/>
        </w:rPr>
        <w:t xml:space="preserve">increase the annual </w:t>
      </w:r>
      <w:r w:rsidR="007F0C8E">
        <w:rPr>
          <w:szCs w:val="24"/>
        </w:rPr>
        <w:t xml:space="preserve">responses </w:t>
      </w:r>
      <w:r w:rsidR="001F0CC5">
        <w:rPr>
          <w:szCs w:val="24"/>
        </w:rPr>
        <w:t>by 10,770</w:t>
      </w:r>
      <w:r w:rsidR="007F0C8E">
        <w:rPr>
          <w:szCs w:val="24"/>
        </w:rPr>
        <w:t xml:space="preserve"> and </w:t>
      </w:r>
      <w:r w:rsidR="00995AEB">
        <w:rPr>
          <w:szCs w:val="24"/>
        </w:rPr>
        <w:t>decrease the annual estimated burden by 262,</w:t>
      </w:r>
      <w:r w:rsidR="00245AFB">
        <w:rPr>
          <w:szCs w:val="24"/>
        </w:rPr>
        <w:t>666</w:t>
      </w:r>
      <w:r w:rsidR="00995AEB">
        <w:rPr>
          <w:szCs w:val="24"/>
        </w:rPr>
        <w:t xml:space="preserve"> hours</w:t>
      </w:r>
      <w:r w:rsidR="00DA58D8">
        <w:rPr>
          <w:szCs w:val="24"/>
        </w:rPr>
        <w:t xml:space="preserve">.  </w:t>
      </w:r>
    </w:p>
    <w:p w:rsidR="00611F58" w:rsidRPr="00147B08" w:rsidP="00F06884" w14:paraId="273CC3BB" w14:textId="398CC36C">
      <w:pPr>
        <w:widowControl w:val="0"/>
        <w:autoSpaceDE w:val="0"/>
        <w:autoSpaceDN w:val="0"/>
        <w:adjustRightInd w:val="0"/>
        <w:ind w:left="720"/>
        <w:rPr>
          <w:szCs w:val="24"/>
        </w:rPr>
      </w:pPr>
    </w:p>
    <w:tbl>
      <w:tblPr>
        <w:tblDescription w:val="table that charts list of burden"/>
        <w:tblW w:w="4591"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170"/>
        <w:gridCol w:w="1170"/>
        <w:gridCol w:w="1170"/>
        <w:gridCol w:w="1350"/>
        <w:gridCol w:w="1350"/>
        <w:gridCol w:w="1350"/>
        <w:gridCol w:w="1020"/>
      </w:tblGrid>
      <w:tr w14:paraId="3E01DD75" w14:textId="77777777" w:rsidTr="0047162D">
        <w:tblPrEx>
          <w:tblW w:w="4591"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vAlign w:val="center"/>
            <w:hideMark/>
          </w:tcPr>
          <w:p w:rsidR="0076698E" w:rsidRPr="00641AEC" w:rsidP="0047162D" w14:paraId="057EBE8F" w14:textId="77777777">
            <w:pPr>
              <w:keepNext/>
              <w:keepLines/>
              <w:jc w:val="center"/>
              <w:rPr>
                <w:b/>
                <w:bCs/>
                <w:color w:val="000000"/>
                <w:sz w:val="20"/>
              </w:rPr>
            </w:pPr>
            <w:bookmarkStart w:id="14" w:name="_Hlk129672017"/>
          </w:p>
        </w:tc>
        <w:tc>
          <w:tcPr>
            <w:tcW w:w="1170" w:type="dxa"/>
            <w:tcBorders>
              <w:top w:val="outset" w:sz="6" w:space="0" w:color="auto"/>
              <w:left w:val="outset" w:sz="6" w:space="0" w:color="auto"/>
              <w:bottom w:val="outset" w:sz="6" w:space="0" w:color="auto"/>
              <w:right w:val="outset" w:sz="6" w:space="0" w:color="auto"/>
            </w:tcBorders>
            <w:vAlign w:val="center"/>
            <w:hideMark/>
          </w:tcPr>
          <w:p w:rsidR="0076698E" w:rsidRPr="00641AEC" w:rsidP="0047162D" w14:paraId="6A6132F6" w14:textId="1214A9C5">
            <w:pPr>
              <w:keepNext/>
              <w:keepLines/>
              <w:jc w:val="center"/>
              <w:rPr>
                <w:b/>
                <w:bCs/>
                <w:color w:val="000000"/>
                <w:sz w:val="20"/>
              </w:rPr>
            </w:pPr>
            <w:r w:rsidRPr="00641AEC">
              <w:rPr>
                <w:b/>
                <w:bCs/>
                <w:color w:val="000000"/>
                <w:sz w:val="20"/>
              </w:rPr>
              <w:t>Total Requested</w:t>
            </w:r>
          </w:p>
        </w:tc>
        <w:tc>
          <w:tcPr>
            <w:tcW w:w="1170" w:type="dxa"/>
            <w:tcBorders>
              <w:top w:val="outset" w:sz="6" w:space="0" w:color="auto"/>
              <w:left w:val="outset" w:sz="6" w:space="0" w:color="auto"/>
              <w:bottom w:val="outset" w:sz="6" w:space="0" w:color="auto"/>
              <w:right w:val="outset" w:sz="6" w:space="0" w:color="auto"/>
            </w:tcBorders>
            <w:vAlign w:val="center"/>
            <w:hideMark/>
          </w:tcPr>
          <w:p w:rsidR="0076698E" w:rsidRPr="00641AEC" w:rsidP="0047162D" w14:paraId="2DECFE5B" w14:textId="77777777">
            <w:pPr>
              <w:keepNext/>
              <w:keepLines/>
              <w:jc w:val="center"/>
              <w:rPr>
                <w:b/>
                <w:bCs/>
                <w:color w:val="000000"/>
                <w:sz w:val="20"/>
              </w:rPr>
            </w:pPr>
            <w:r w:rsidRPr="00641AEC">
              <w:rPr>
                <w:b/>
                <w:bCs/>
                <w:color w:val="000000"/>
                <w:sz w:val="20"/>
              </w:rPr>
              <w:t>Change Due to New Statute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76698E" w:rsidRPr="00641AEC" w:rsidP="0047162D" w14:paraId="77E6AD9D" w14:textId="77777777">
            <w:pPr>
              <w:keepNext/>
              <w:keepLines/>
              <w:jc w:val="center"/>
              <w:rPr>
                <w:b/>
                <w:bCs/>
                <w:color w:val="000000"/>
                <w:sz w:val="20"/>
              </w:rPr>
            </w:pPr>
            <w:r w:rsidRPr="00641AEC">
              <w:rPr>
                <w:b/>
                <w:bCs/>
                <w:color w:val="000000"/>
                <w:sz w:val="20"/>
              </w:rPr>
              <w:t>Change Due to Agency Discretion</w:t>
            </w:r>
          </w:p>
        </w:tc>
        <w:tc>
          <w:tcPr>
            <w:tcW w:w="1350" w:type="dxa"/>
            <w:tcBorders>
              <w:top w:val="outset" w:sz="6" w:space="0" w:color="auto"/>
              <w:left w:val="outset" w:sz="6" w:space="0" w:color="auto"/>
              <w:bottom w:val="outset" w:sz="6" w:space="0" w:color="auto"/>
              <w:right w:val="outset" w:sz="6" w:space="0" w:color="auto"/>
            </w:tcBorders>
            <w:vAlign w:val="center"/>
            <w:hideMark/>
          </w:tcPr>
          <w:p w:rsidR="0076698E" w:rsidRPr="00641AEC" w:rsidP="0047162D" w14:paraId="679F67F4" w14:textId="77777777">
            <w:pPr>
              <w:keepNext/>
              <w:keepLines/>
              <w:jc w:val="center"/>
              <w:rPr>
                <w:b/>
                <w:bCs/>
                <w:color w:val="000000"/>
                <w:sz w:val="20"/>
              </w:rPr>
            </w:pPr>
            <w:r w:rsidRPr="00641AEC">
              <w:rPr>
                <w:b/>
                <w:bCs/>
                <w:color w:val="000000"/>
                <w:sz w:val="20"/>
              </w:rPr>
              <w:t xml:space="preserve">Change Due to </w:t>
            </w:r>
            <w:r w:rsidRPr="00641AEC">
              <w:rPr>
                <w:b/>
                <w:bCs/>
                <w:color w:val="000000"/>
                <w:sz w:val="20"/>
              </w:rPr>
              <w:t>Adjustment in Estimate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76698E" w:rsidRPr="00641AEC" w:rsidP="0047162D" w14:paraId="6963E8A9" w14:textId="77777777">
            <w:pPr>
              <w:keepNext/>
              <w:keepLines/>
              <w:jc w:val="center"/>
              <w:rPr>
                <w:b/>
                <w:bCs/>
                <w:color w:val="000000"/>
                <w:sz w:val="20"/>
              </w:rPr>
            </w:pPr>
            <w:r w:rsidRPr="00641AEC">
              <w:rPr>
                <w:b/>
                <w:bCs/>
                <w:color w:val="000000"/>
                <w:sz w:val="20"/>
              </w:rPr>
              <w:t>Change Due to Potential Violation of the PRA</w:t>
            </w:r>
          </w:p>
        </w:tc>
        <w:tc>
          <w:tcPr>
            <w:tcW w:w="1020" w:type="dxa"/>
            <w:tcBorders>
              <w:top w:val="outset" w:sz="6" w:space="0" w:color="auto"/>
              <w:left w:val="outset" w:sz="6" w:space="0" w:color="auto"/>
              <w:bottom w:val="outset" w:sz="6" w:space="0" w:color="auto"/>
              <w:right w:val="outset" w:sz="6" w:space="0" w:color="auto"/>
            </w:tcBorders>
            <w:vAlign w:val="center"/>
          </w:tcPr>
          <w:p w:rsidR="0076698E" w:rsidRPr="00641AEC" w:rsidP="0047162D" w14:paraId="38E18040" w14:textId="77777777">
            <w:pPr>
              <w:keepNext/>
              <w:keepLines/>
              <w:jc w:val="center"/>
              <w:rPr>
                <w:b/>
                <w:bCs/>
                <w:color w:val="000000"/>
                <w:sz w:val="20"/>
              </w:rPr>
            </w:pPr>
            <w:r w:rsidRPr="00641AEC">
              <w:rPr>
                <w:b/>
                <w:bCs/>
                <w:color w:val="000000"/>
                <w:sz w:val="20"/>
              </w:rPr>
              <w:t>Previously Approved</w:t>
            </w:r>
          </w:p>
        </w:tc>
      </w:tr>
      <w:tr w14:paraId="4C289BCC" w14:textId="77777777" w:rsidTr="0047162D">
        <w:tblPrEx>
          <w:tblW w:w="4591" w:type="pct"/>
          <w:tblInd w:w="712" w:type="dxa"/>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hideMark/>
          </w:tcPr>
          <w:p w:rsidR="0076698E" w:rsidRPr="00641AEC" w:rsidP="0047162D" w14:paraId="6899B2E9" w14:textId="77777777">
            <w:pPr>
              <w:keepNext/>
              <w:keepLines/>
              <w:rPr>
                <w:color w:val="000000"/>
                <w:sz w:val="20"/>
              </w:rPr>
            </w:pPr>
            <w:r w:rsidRPr="00641AEC">
              <w:rPr>
                <w:color w:val="000000"/>
                <w:sz w:val="20"/>
              </w:rPr>
              <w:t>Annual Number of Responses</w:t>
            </w:r>
          </w:p>
        </w:tc>
        <w:tc>
          <w:tcPr>
            <w:tcW w:w="1170" w:type="dxa"/>
            <w:tcBorders>
              <w:top w:val="outset" w:sz="6" w:space="0" w:color="auto"/>
              <w:left w:val="outset" w:sz="6" w:space="0" w:color="auto"/>
              <w:bottom w:val="outset" w:sz="6" w:space="0" w:color="auto"/>
              <w:right w:val="outset" w:sz="6" w:space="0" w:color="auto"/>
            </w:tcBorders>
            <w:hideMark/>
          </w:tcPr>
          <w:p w:rsidR="00641AEC" w:rsidRPr="00641AEC" w:rsidP="00641AEC" w14:paraId="45D686A9" w14:textId="77777777">
            <w:pPr>
              <w:keepNext/>
              <w:keepLines/>
              <w:jc w:val="center"/>
              <w:rPr>
                <w:color w:val="000000"/>
                <w:sz w:val="20"/>
              </w:rPr>
            </w:pPr>
          </w:p>
          <w:p w:rsidR="0076698E" w:rsidRPr="00641AEC" w:rsidP="00641AEC" w14:paraId="6B717394" w14:textId="37800898">
            <w:pPr>
              <w:keepNext/>
              <w:keepLines/>
              <w:jc w:val="center"/>
              <w:rPr>
                <w:color w:val="000000"/>
                <w:sz w:val="20"/>
              </w:rPr>
            </w:pPr>
            <w:r w:rsidRPr="00641AEC">
              <w:rPr>
                <w:color w:val="000000"/>
                <w:sz w:val="20"/>
              </w:rPr>
              <w:t>25,0</w:t>
            </w:r>
            <w:r w:rsidRPr="00641AEC" w:rsidR="00487994">
              <w:rPr>
                <w:color w:val="000000"/>
                <w:sz w:val="20"/>
              </w:rPr>
              <w:t>37</w:t>
            </w:r>
          </w:p>
        </w:tc>
        <w:tc>
          <w:tcPr>
            <w:tcW w:w="1170" w:type="dxa"/>
            <w:tcBorders>
              <w:top w:val="outset" w:sz="6" w:space="0" w:color="auto"/>
              <w:left w:val="outset" w:sz="6" w:space="0" w:color="auto"/>
              <w:bottom w:val="outset" w:sz="6" w:space="0" w:color="auto"/>
              <w:right w:val="outset" w:sz="6" w:space="0" w:color="auto"/>
            </w:tcBorders>
            <w:hideMark/>
          </w:tcPr>
          <w:p w:rsidR="00641AEC" w:rsidRPr="00641AEC" w:rsidP="00641AEC" w14:paraId="52DA0026" w14:textId="77777777">
            <w:pPr>
              <w:keepNext/>
              <w:keepLines/>
              <w:jc w:val="center"/>
              <w:rPr>
                <w:color w:val="000000"/>
                <w:sz w:val="20"/>
              </w:rPr>
            </w:pPr>
          </w:p>
          <w:p w:rsidR="0076698E" w:rsidRPr="00641AEC" w:rsidP="00641AEC" w14:paraId="7A6BD3EC" w14:textId="51F8DA42">
            <w:pPr>
              <w:keepNext/>
              <w:keepLines/>
              <w:jc w:val="center"/>
              <w:rPr>
                <w:color w:val="000000"/>
                <w:sz w:val="20"/>
              </w:rPr>
            </w:pPr>
            <w:r w:rsidRPr="00641AEC">
              <w:rPr>
                <w:color w:val="000000"/>
                <w:sz w:val="20"/>
              </w:rPr>
              <w:t>0</w:t>
            </w:r>
          </w:p>
        </w:tc>
        <w:tc>
          <w:tcPr>
            <w:tcW w:w="1350" w:type="dxa"/>
            <w:tcBorders>
              <w:top w:val="outset" w:sz="6" w:space="0" w:color="auto"/>
              <w:left w:val="outset" w:sz="6" w:space="0" w:color="auto"/>
              <w:bottom w:val="outset" w:sz="6" w:space="0" w:color="auto"/>
              <w:right w:val="outset" w:sz="6" w:space="0" w:color="auto"/>
            </w:tcBorders>
            <w:hideMark/>
          </w:tcPr>
          <w:p w:rsidR="00641AEC" w:rsidRPr="00641AEC" w:rsidP="00641AEC" w14:paraId="32E45123" w14:textId="77777777">
            <w:pPr>
              <w:keepNext/>
              <w:keepLines/>
              <w:jc w:val="center"/>
              <w:rPr>
                <w:color w:val="000000"/>
                <w:sz w:val="20"/>
              </w:rPr>
            </w:pPr>
          </w:p>
          <w:p w:rsidR="0076698E" w:rsidRPr="00641AEC" w:rsidP="00641AEC" w14:paraId="15ADF8F3" w14:textId="433C45F9">
            <w:pPr>
              <w:keepNext/>
              <w:keepLines/>
              <w:jc w:val="center"/>
              <w:rPr>
                <w:color w:val="000000"/>
                <w:sz w:val="20"/>
              </w:rPr>
            </w:pPr>
            <w:r>
              <w:rPr>
                <w:color w:val="000000"/>
                <w:sz w:val="20"/>
              </w:rPr>
              <w:t>-20</w:t>
            </w:r>
            <w:r w:rsidRPr="00641AEC" w:rsidR="00C35E9E">
              <w:rPr>
                <w:color w:val="000000"/>
                <w:sz w:val="20"/>
              </w:rPr>
              <w:t>0</w:t>
            </w:r>
          </w:p>
        </w:tc>
        <w:tc>
          <w:tcPr>
            <w:tcW w:w="1350" w:type="dxa"/>
            <w:tcBorders>
              <w:top w:val="outset" w:sz="6" w:space="0" w:color="auto"/>
              <w:left w:val="outset" w:sz="6" w:space="0" w:color="auto"/>
              <w:bottom w:val="outset" w:sz="6" w:space="0" w:color="auto"/>
              <w:right w:val="outset" w:sz="6" w:space="0" w:color="auto"/>
            </w:tcBorders>
            <w:hideMark/>
          </w:tcPr>
          <w:p w:rsidR="00641AEC" w:rsidRPr="00641AEC" w:rsidP="00641AEC" w14:paraId="135595C5" w14:textId="77777777">
            <w:pPr>
              <w:keepNext/>
              <w:keepLines/>
              <w:jc w:val="center"/>
              <w:rPr>
                <w:color w:val="000000"/>
                <w:sz w:val="20"/>
              </w:rPr>
            </w:pPr>
          </w:p>
          <w:p w:rsidR="0076698E" w:rsidRPr="00641AEC" w:rsidP="00641AEC" w14:paraId="4E3451A0" w14:textId="17B426D0">
            <w:pPr>
              <w:keepNext/>
              <w:keepLines/>
              <w:jc w:val="center"/>
              <w:rPr>
                <w:color w:val="000000"/>
                <w:sz w:val="20"/>
              </w:rPr>
            </w:pPr>
            <w:r w:rsidRPr="00641AEC">
              <w:rPr>
                <w:color w:val="000000"/>
                <w:sz w:val="20"/>
              </w:rPr>
              <w:t>10,</w:t>
            </w:r>
            <w:r w:rsidR="00784821">
              <w:rPr>
                <w:color w:val="000000"/>
                <w:sz w:val="20"/>
              </w:rPr>
              <w:t>9</w:t>
            </w:r>
            <w:r w:rsidRPr="00641AEC">
              <w:rPr>
                <w:color w:val="000000"/>
                <w:sz w:val="20"/>
              </w:rPr>
              <w:t>70</w:t>
            </w:r>
          </w:p>
        </w:tc>
        <w:tc>
          <w:tcPr>
            <w:tcW w:w="1350" w:type="dxa"/>
            <w:tcBorders>
              <w:top w:val="outset" w:sz="6" w:space="0" w:color="auto"/>
              <w:left w:val="outset" w:sz="6" w:space="0" w:color="auto"/>
              <w:bottom w:val="outset" w:sz="6" w:space="0" w:color="auto"/>
              <w:right w:val="outset" w:sz="6" w:space="0" w:color="auto"/>
            </w:tcBorders>
            <w:hideMark/>
          </w:tcPr>
          <w:p w:rsidR="00641AEC" w:rsidRPr="00641AEC" w:rsidP="00641AEC" w14:paraId="654FB614" w14:textId="77777777">
            <w:pPr>
              <w:keepNext/>
              <w:keepLines/>
              <w:jc w:val="center"/>
              <w:rPr>
                <w:color w:val="000000"/>
                <w:sz w:val="20"/>
              </w:rPr>
            </w:pPr>
          </w:p>
          <w:p w:rsidR="0076698E" w:rsidRPr="00641AEC" w:rsidP="00641AEC" w14:paraId="482C4EAD" w14:textId="54FC121D">
            <w:pPr>
              <w:keepNext/>
              <w:keepLines/>
              <w:jc w:val="center"/>
              <w:rPr>
                <w:color w:val="000000"/>
                <w:sz w:val="20"/>
              </w:rPr>
            </w:pPr>
            <w:r w:rsidRPr="00641AEC">
              <w:rPr>
                <w:color w:val="000000"/>
                <w:sz w:val="20"/>
              </w:rPr>
              <w:t>0</w:t>
            </w:r>
          </w:p>
        </w:tc>
        <w:tc>
          <w:tcPr>
            <w:tcW w:w="1020" w:type="dxa"/>
            <w:tcBorders>
              <w:top w:val="outset" w:sz="6" w:space="0" w:color="auto"/>
              <w:left w:val="outset" w:sz="6" w:space="0" w:color="auto"/>
              <w:bottom w:val="outset" w:sz="6" w:space="0" w:color="auto"/>
              <w:right w:val="outset" w:sz="6" w:space="0" w:color="auto"/>
            </w:tcBorders>
          </w:tcPr>
          <w:p w:rsidR="00641AEC" w:rsidRPr="00641AEC" w:rsidP="00641AEC" w14:paraId="7C07956E" w14:textId="77777777">
            <w:pPr>
              <w:keepNext/>
              <w:keepLines/>
              <w:jc w:val="center"/>
              <w:rPr>
                <w:color w:val="000000"/>
                <w:sz w:val="20"/>
              </w:rPr>
            </w:pPr>
          </w:p>
          <w:p w:rsidR="0076698E" w:rsidRPr="00641AEC" w:rsidP="00641AEC" w14:paraId="66D31DBC" w14:textId="3E090B69">
            <w:pPr>
              <w:keepNext/>
              <w:keepLines/>
              <w:jc w:val="center"/>
              <w:rPr>
                <w:color w:val="000000"/>
                <w:sz w:val="20"/>
              </w:rPr>
            </w:pPr>
            <w:r w:rsidRPr="00641AEC">
              <w:rPr>
                <w:color w:val="000000"/>
                <w:sz w:val="20"/>
              </w:rPr>
              <w:t>14,267</w:t>
            </w:r>
          </w:p>
        </w:tc>
      </w:tr>
      <w:tr w14:paraId="21D10545" w14:textId="77777777" w:rsidTr="0047162D">
        <w:tblPrEx>
          <w:tblW w:w="4591" w:type="pct"/>
          <w:tblInd w:w="712" w:type="dxa"/>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hideMark/>
          </w:tcPr>
          <w:p w:rsidR="0076698E" w:rsidRPr="00641AEC" w:rsidP="0047162D" w14:paraId="4CEDCD88" w14:textId="1BCFA04B">
            <w:pPr>
              <w:keepNext/>
              <w:keepLines/>
              <w:rPr>
                <w:color w:val="000000"/>
                <w:sz w:val="20"/>
              </w:rPr>
            </w:pPr>
            <w:r w:rsidRPr="00641AEC">
              <w:rPr>
                <w:color w:val="000000"/>
                <w:sz w:val="20"/>
              </w:rPr>
              <w:t>Annual Time Burden (</w:t>
            </w:r>
            <w:r w:rsidRPr="00641AEC" w:rsidR="00142727">
              <w:rPr>
                <w:color w:val="000000"/>
                <w:sz w:val="20"/>
              </w:rPr>
              <w:t>Hr.</w:t>
            </w:r>
            <w:r w:rsidRPr="00641AEC">
              <w:rPr>
                <w:color w:val="000000"/>
                <w:sz w:val="20"/>
              </w:rPr>
              <w:t>)</w:t>
            </w:r>
          </w:p>
        </w:tc>
        <w:tc>
          <w:tcPr>
            <w:tcW w:w="1170" w:type="dxa"/>
            <w:tcBorders>
              <w:top w:val="outset" w:sz="6" w:space="0" w:color="auto"/>
              <w:left w:val="outset" w:sz="6" w:space="0" w:color="auto"/>
              <w:bottom w:val="outset" w:sz="6" w:space="0" w:color="auto"/>
              <w:right w:val="outset" w:sz="6" w:space="0" w:color="auto"/>
            </w:tcBorders>
            <w:hideMark/>
          </w:tcPr>
          <w:p w:rsidR="00641AEC" w:rsidRPr="00641AEC" w:rsidP="00641AEC" w14:paraId="7A710E13" w14:textId="77777777">
            <w:pPr>
              <w:keepNext/>
              <w:keepLines/>
              <w:jc w:val="center"/>
              <w:rPr>
                <w:color w:val="000000"/>
                <w:sz w:val="20"/>
              </w:rPr>
            </w:pPr>
          </w:p>
          <w:p w:rsidR="0076698E" w:rsidRPr="00641AEC" w:rsidP="00641AEC" w14:paraId="59F2ADE0" w14:textId="4B51444C">
            <w:pPr>
              <w:keepNext/>
              <w:keepLines/>
              <w:jc w:val="center"/>
              <w:rPr>
                <w:color w:val="000000"/>
                <w:sz w:val="20"/>
              </w:rPr>
            </w:pPr>
            <w:r w:rsidRPr="00641AEC">
              <w:rPr>
                <w:color w:val="000000"/>
                <w:sz w:val="20"/>
              </w:rPr>
              <w:t>254,</w:t>
            </w:r>
            <w:r w:rsidR="00245AFB">
              <w:rPr>
                <w:color w:val="000000"/>
                <w:sz w:val="20"/>
              </w:rPr>
              <w:t>424</w:t>
            </w:r>
          </w:p>
        </w:tc>
        <w:tc>
          <w:tcPr>
            <w:tcW w:w="1170" w:type="dxa"/>
            <w:tcBorders>
              <w:top w:val="outset" w:sz="6" w:space="0" w:color="auto"/>
              <w:left w:val="outset" w:sz="6" w:space="0" w:color="auto"/>
              <w:bottom w:val="outset" w:sz="6" w:space="0" w:color="auto"/>
              <w:right w:val="outset" w:sz="6" w:space="0" w:color="auto"/>
            </w:tcBorders>
            <w:hideMark/>
          </w:tcPr>
          <w:p w:rsidR="00641AEC" w:rsidRPr="00641AEC" w:rsidP="00641AEC" w14:paraId="54BB60CC" w14:textId="77777777">
            <w:pPr>
              <w:keepNext/>
              <w:keepLines/>
              <w:jc w:val="center"/>
              <w:rPr>
                <w:color w:val="000000"/>
                <w:sz w:val="20"/>
              </w:rPr>
            </w:pPr>
          </w:p>
          <w:p w:rsidR="0076698E" w:rsidRPr="00641AEC" w:rsidP="00641AEC" w14:paraId="4E05518D" w14:textId="5E35E5BD">
            <w:pPr>
              <w:keepNext/>
              <w:keepLines/>
              <w:jc w:val="center"/>
              <w:rPr>
                <w:color w:val="000000"/>
                <w:sz w:val="20"/>
              </w:rPr>
            </w:pPr>
            <w:r w:rsidRPr="00641AEC">
              <w:rPr>
                <w:color w:val="000000"/>
                <w:sz w:val="20"/>
              </w:rPr>
              <w:t>0</w:t>
            </w:r>
          </w:p>
        </w:tc>
        <w:tc>
          <w:tcPr>
            <w:tcW w:w="1350" w:type="dxa"/>
            <w:tcBorders>
              <w:top w:val="outset" w:sz="6" w:space="0" w:color="auto"/>
              <w:left w:val="outset" w:sz="6" w:space="0" w:color="auto"/>
              <w:bottom w:val="outset" w:sz="6" w:space="0" w:color="auto"/>
              <w:right w:val="outset" w:sz="6" w:space="0" w:color="auto"/>
            </w:tcBorders>
            <w:hideMark/>
          </w:tcPr>
          <w:p w:rsidR="00641AEC" w:rsidRPr="00641AEC" w:rsidP="00641AEC" w14:paraId="6792A990" w14:textId="77777777">
            <w:pPr>
              <w:keepNext/>
              <w:keepLines/>
              <w:jc w:val="center"/>
              <w:rPr>
                <w:color w:val="000000"/>
                <w:sz w:val="20"/>
              </w:rPr>
            </w:pPr>
          </w:p>
          <w:p w:rsidR="0076698E" w:rsidRPr="00641AEC" w:rsidP="00641AEC" w14:paraId="3D166CA2" w14:textId="6DE533CF">
            <w:pPr>
              <w:keepNext/>
              <w:keepLines/>
              <w:jc w:val="center"/>
              <w:rPr>
                <w:color w:val="000000"/>
                <w:sz w:val="20"/>
              </w:rPr>
            </w:pPr>
            <w:r>
              <w:rPr>
                <w:color w:val="000000"/>
                <w:sz w:val="20"/>
              </w:rPr>
              <w:t>-268</w:t>
            </w:r>
          </w:p>
        </w:tc>
        <w:tc>
          <w:tcPr>
            <w:tcW w:w="1350" w:type="dxa"/>
            <w:tcBorders>
              <w:top w:val="outset" w:sz="6" w:space="0" w:color="auto"/>
              <w:left w:val="outset" w:sz="6" w:space="0" w:color="auto"/>
              <w:bottom w:val="outset" w:sz="6" w:space="0" w:color="auto"/>
              <w:right w:val="outset" w:sz="6" w:space="0" w:color="auto"/>
            </w:tcBorders>
            <w:hideMark/>
          </w:tcPr>
          <w:p w:rsidR="00641AEC" w:rsidRPr="00641AEC" w:rsidP="00641AEC" w14:paraId="438F286F" w14:textId="77777777">
            <w:pPr>
              <w:keepNext/>
              <w:keepLines/>
              <w:jc w:val="center"/>
              <w:rPr>
                <w:color w:val="000000"/>
                <w:sz w:val="20"/>
              </w:rPr>
            </w:pPr>
          </w:p>
          <w:p w:rsidR="0076698E" w:rsidRPr="00641AEC" w:rsidP="00641AEC" w14:paraId="20525799" w14:textId="6EE243A7">
            <w:pPr>
              <w:keepNext/>
              <w:keepLines/>
              <w:jc w:val="center"/>
              <w:rPr>
                <w:color w:val="000000"/>
                <w:sz w:val="20"/>
              </w:rPr>
            </w:pPr>
            <w:r w:rsidRPr="00641AEC">
              <w:rPr>
                <w:color w:val="000000"/>
                <w:sz w:val="20"/>
              </w:rPr>
              <w:t>-</w:t>
            </w:r>
            <w:r w:rsidRPr="00641AEC" w:rsidR="009056E1">
              <w:rPr>
                <w:color w:val="000000"/>
                <w:sz w:val="20"/>
              </w:rPr>
              <w:t>262,</w:t>
            </w:r>
            <w:r w:rsidR="00784821">
              <w:rPr>
                <w:color w:val="000000"/>
                <w:sz w:val="20"/>
              </w:rPr>
              <w:t>398</w:t>
            </w:r>
          </w:p>
        </w:tc>
        <w:tc>
          <w:tcPr>
            <w:tcW w:w="1350" w:type="dxa"/>
            <w:tcBorders>
              <w:top w:val="outset" w:sz="6" w:space="0" w:color="auto"/>
              <w:left w:val="outset" w:sz="6" w:space="0" w:color="auto"/>
              <w:bottom w:val="outset" w:sz="6" w:space="0" w:color="auto"/>
              <w:right w:val="outset" w:sz="6" w:space="0" w:color="auto"/>
            </w:tcBorders>
            <w:hideMark/>
          </w:tcPr>
          <w:p w:rsidR="00641AEC" w:rsidRPr="00641AEC" w:rsidP="00641AEC" w14:paraId="69283C01" w14:textId="77777777">
            <w:pPr>
              <w:keepNext/>
              <w:keepLines/>
              <w:jc w:val="center"/>
              <w:rPr>
                <w:color w:val="000000"/>
                <w:sz w:val="20"/>
              </w:rPr>
            </w:pPr>
          </w:p>
          <w:p w:rsidR="0076698E" w:rsidRPr="00641AEC" w:rsidP="00641AEC" w14:paraId="11F74CC5" w14:textId="660F0463">
            <w:pPr>
              <w:keepNext/>
              <w:keepLines/>
              <w:jc w:val="center"/>
              <w:rPr>
                <w:color w:val="000000"/>
                <w:sz w:val="20"/>
              </w:rPr>
            </w:pPr>
            <w:r w:rsidRPr="00641AEC">
              <w:rPr>
                <w:color w:val="000000"/>
                <w:sz w:val="20"/>
              </w:rPr>
              <w:t>0</w:t>
            </w:r>
          </w:p>
        </w:tc>
        <w:tc>
          <w:tcPr>
            <w:tcW w:w="1020" w:type="dxa"/>
            <w:tcBorders>
              <w:top w:val="outset" w:sz="6" w:space="0" w:color="auto"/>
              <w:left w:val="outset" w:sz="6" w:space="0" w:color="auto"/>
              <w:bottom w:val="outset" w:sz="6" w:space="0" w:color="auto"/>
              <w:right w:val="outset" w:sz="6" w:space="0" w:color="auto"/>
            </w:tcBorders>
          </w:tcPr>
          <w:p w:rsidR="00641AEC" w:rsidRPr="00641AEC" w:rsidP="00641AEC" w14:paraId="68515A4C" w14:textId="77777777">
            <w:pPr>
              <w:keepNext/>
              <w:keepLines/>
              <w:jc w:val="center"/>
              <w:rPr>
                <w:color w:val="000000"/>
                <w:sz w:val="20"/>
              </w:rPr>
            </w:pPr>
          </w:p>
          <w:p w:rsidR="0076698E" w:rsidRPr="00641AEC" w:rsidP="00641AEC" w14:paraId="5748E048" w14:textId="4792DDBC">
            <w:pPr>
              <w:keepNext/>
              <w:keepLines/>
              <w:jc w:val="center"/>
              <w:rPr>
                <w:color w:val="000000"/>
                <w:sz w:val="20"/>
              </w:rPr>
            </w:pPr>
            <w:r w:rsidRPr="00641AEC">
              <w:rPr>
                <w:color w:val="000000"/>
                <w:sz w:val="20"/>
              </w:rPr>
              <w:t>517,090</w:t>
            </w:r>
          </w:p>
        </w:tc>
      </w:tr>
      <w:bookmarkEnd w:id="14"/>
    </w:tbl>
    <w:p w:rsidR="00E353C5" w:rsidRPr="00147B08" w:rsidP="0074627C" w14:paraId="2B6123AF" w14:textId="77777777">
      <w:pPr>
        <w:widowControl w:val="0"/>
        <w:autoSpaceDE w:val="0"/>
        <w:autoSpaceDN w:val="0"/>
        <w:adjustRightInd w:val="0"/>
        <w:rPr>
          <w:szCs w:val="24"/>
        </w:rPr>
      </w:pPr>
    </w:p>
    <w:p w:rsidR="009E4901" w:rsidRPr="00147B08" w:rsidP="00F06884" w14:paraId="3811D9EF" w14:textId="1FBBD566">
      <w:pPr>
        <w:pStyle w:val="Level1"/>
        <w:numPr>
          <w:ilvl w:val="0"/>
          <w:numId w:val="2"/>
        </w:numPr>
        <w:tabs>
          <w:tab w:val="left" w:pos="-1440"/>
          <w:tab w:val="num" w:pos="720"/>
        </w:tabs>
        <w:autoSpaceDE w:val="0"/>
        <w:autoSpaceDN w:val="0"/>
        <w:adjustRightInd w:val="0"/>
        <w:ind w:hanging="720"/>
        <w:outlineLvl w:val="0"/>
        <w:rPr>
          <w:szCs w:val="24"/>
          <w:u w:val="single"/>
        </w:rPr>
      </w:pPr>
      <w:r w:rsidRPr="00147B08">
        <w:rPr>
          <w:szCs w:val="24"/>
          <w:u w:val="single"/>
        </w:rPr>
        <w:t xml:space="preserve">PLANS FOR TABULATION, </w:t>
      </w:r>
      <w:r w:rsidRPr="00147B08">
        <w:rPr>
          <w:szCs w:val="24"/>
          <w:u w:val="single"/>
        </w:rPr>
        <w:t>STATISTICAL ANALYSIS AND PUBLICATION</w:t>
      </w:r>
    </w:p>
    <w:p w:rsidR="009E4901" w:rsidRPr="00147B08" w:rsidP="00F06884" w14:paraId="1FE26B49" w14:textId="77777777">
      <w:pPr>
        <w:widowControl w:val="0"/>
        <w:autoSpaceDE w:val="0"/>
        <w:autoSpaceDN w:val="0"/>
        <w:adjustRightInd w:val="0"/>
        <w:ind w:left="720"/>
        <w:rPr>
          <w:szCs w:val="24"/>
        </w:rPr>
      </w:pPr>
    </w:p>
    <w:p w:rsidR="009E4901" w:rsidRPr="00147B08" w:rsidP="00F06884" w14:paraId="4C3A919B" w14:textId="7E9D93AF">
      <w:pPr>
        <w:widowControl w:val="0"/>
        <w:autoSpaceDE w:val="0"/>
        <w:autoSpaceDN w:val="0"/>
        <w:adjustRightInd w:val="0"/>
        <w:ind w:left="720"/>
        <w:rPr>
          <w:szCs w:val="24"/>
        </w:rPr>
      </w:pPr>
      <w:r w:rsidRPr="000451A8">
        <w:rPr>
          <w:szCs w:val="24"/>
        </w:rPr>
        <w:t>The intent of this collection is to collect data in areas of income, gains, losses, deductions, credits, and to figure the income tax liability of a taxpayer. There are no plans for the IRS to publish the information collected.</w:t>
      </w:r>
    </w:p>
    <w:p w:rsidR="00C35E9E" w:rsidP="00F06884" w14:paraId="08B8A36B" w14:textId="77777777">
      <w:pPr>
        <w:widowControl w:val="0"/>
        <w:autoSpaceDE w:val="0"/>
        <w:autoSpaceDN w:val="0"/>
        <w:adjustRightInd w:val="0"/>
        <w:ind w:left="720"/>
        <w:rPr>
          <w:szCs w:val="24"/>
        </w:rPr>
      </w:pPr>
    </w:p>
    <w:p w:rsidR="009E4901" w:rsidRPr="00147B08" w:rsidP="00F06884" w14:paraId="195F52C5" w14:textId="377C19BF">
      <w:pPr>
        <w:pStyle w:val="Level1"/>
        <w:numPr>
          <w:ilvl w:val="0"/>
          <w:numId w:val="2"/>
        </w:numPr>
        <w:tabs>
          <w:tab w:val="left" w:pos="-1440"/>
          <w:tab w:val="num" w:pos="720"/>
        </w:tabs>
        <w:autoSpaceDE w:val="0"/>
        <w:autoSpaceDN w:val="0"/>
        <w:adjustRightInd w:val="0"/>
        <w:ind w:hanging="720"/>
        <w:outlineLvl w:val="0"/>
        <w:rPr>
          <w:szCs w:val="24"/>
          <w:u w:val="single"/>
        </w:rPr>
      </w:pPr>
      <w:r w:rsidRPr="00147B08">
        <w:rPr>
          <w:szCs w:val="24"/>
          <w:u w:val="single"/>
        </w:rPr>
        <w:t>REASONS WHY DISPLAYING THE OMB EXPIRATION DATE IS</w:t>
      </w:r>
      <w:r w:rsidRPr="00147B08" w:rsidR="00CA25A2">
        <w:rPr>
          <w:szCs w:val="24"/>
          <w:u w:val="single"/>
        </w:rPr>
        <w:t xml:space="preserve"> </w:t>
      </w:r>
      <w:r w:rsidRPr="00147B08">
        <w:rPr>
          <w:szCs w:val="24"/>
          <w:u w:val="single"/>
        </w:rPr>
        <w:t>INAPPROPRIATE</w:t>
      </w:r>
    </w:p>
    <w:p w:rsidR="009E4901" w:rsidRPr="00147B08" w:rsidP="00F06884" w14:paraId="78F71A1E" w14:textId="77777777">
      <w:pPr>
        <w:widowControl w:val="0"/>
        <w:autoSpaceDE w:val="0"/>
        <w:autoSpaceDN w:val="0"/>
        <w:adjustRightInd w:val="0"/>
        <w:ind w:left="720"/>
        <w:rPr>
          <w:szCs w:val="24"/>
        </w:rPr>
      </w:pPr>
    </w:p>
    <w:p w:rsidR="00611F58" w:rsidRPr="00147B08" w:rsidP="00F06884" w14:paraId="3B7FBD73" w14:textId="3A008550">
      <w:pPr>
        <w:widowControl w:val="0"/>
        <w:autoSpaceDE w:val="0"/>
        <w:autoSpaceDN w:val="0"/>
        <w:adjustRightInd w:val="0"/>
        <w:ind w:left="720"/>
        <w:rPr>
          <w:szCs w:val="24"/>
        </w:rPr>
      </w:pPr>
      <w:r w:rsidRPr="00147B08">
        <w:rPr>
          <w:szCs w:val="24"/>
        </w:rPr>
        <w:t xml:space="preserve">The IRS believes that displaying the OMB expiration date is inappropriate because it could cause confusion by </w:t>
      </w:r>
      <w:r w:rsidRPr="00147B08">
        <w:rPr>
          <w:szCs w:val="24"/>
        </w:rPr>
        <w:t>leading taxpayers to believe that the form or regulation expires as of the expiration date. Taxpayers are not likely to be aware that the IRS intends to request renewal of the OMB approval and obtain a new expiration date before the old one expires.</w:t>
      </w:r>
    </w:p>
    <w:p w:rsidR="009E4901" w:rsidRPr="00147B08" w:rsidP="00F06884" w14:paraId="5E8735A4" w14:textId="77777777">
      <w:pPr>
        <w:widowControl w:val="0"/>
        <w:autoSpaceDE w:val="0"/>
        <w:autoSpaceDN w:val="0"/>
        <w:adjustRightInd w:val="0"/>
        <w:ind w:left="720"/>
        <w:rPr>
          <w:szCs w:val="24"/>
        </w:rPr>
      </w:pPr>
    </w:p>
    <w:p w:rsidR="009E4901" w:rsidRPr="00147B08" w:rsidP="00F06884" w14:paraId="0421C307" w14:textId="41072C79">
      <w:pPr>
        <w:pStyle w:val="Level1"/>
        <w:numPr>
          <w:ilvl w:val="0"/>
          <w:numId w:val="2"/>
        </w:numPr>
        <w:tabs>
          <w:tab w:val="left" w:pos="-1440"/>
          <w:tab w:val="num" w:pos="720"/>
        </w:tabs>
        <w:autoSpaceDE w:val="0"/>
        <w:autoSpaceDN w:val="0"/>
        <w:adjustRightInd w:val="0"/>
        <w:ind w:hanging="720"/>
        <w:outlineLvl w:val="0"/>
        <w:rPr>
          <w:szCs w:val="24"/>
          <w:u w:val="single"/>
        </w:rPr>
      </w:pPr>
      <w:r w:rsidRPr="00147B08">
        <w:rPr>
          <w:szCs w:val="24"/>
          <w:u w:val="single"/>
        </w:rPr>
        <w:t xml:space="preserve">EXCEPTIONS TO THE CERTIFICATION STATEMENT </w:t>
      </w:r>
    </w:p>
    <w:p w:rsidR="009E4901" w:rsidRPr="00147B08" w:rsidP="00F06884" w14:paraId="1E438CFB" w14:textId="77777777">
      <w:pPr>
        <w:widowControl w:val="0"/>
        <w:autoSpaceDE w:val="0"/>
        <w:autoSpaceDN w:val="0"/>
        <w:adjustRightInd w:val="0"/>
        <w:ind w:left="720"/>
        <w:rPr>
          <w:szCs w:val="24"/>
        </w:rPr>
      </w:pPr>
    </w:p>
    <w:p w:rsidR="00F62ED5" w:rsidRPr="00147B08" w:rsidP="00F62ED5" w14:paraId="03A78673" w14:textId="77777777">
      <w:pPr>
        <w:ind w:left="720"/>
        <w:rPr>
          <w:szCs w:val="24"/>
        </w:rPr>
      </w:pPr>
      <w:bookmarkStart w:id="15" w:name="_Hlk95714878"/>
      <w:r w:rsidRPr="00147B08">
        <w:rPr>
          <w:szCs w:val="24"/>
        </w:rPr>
        <w:t>There are no exceptions to the certification statement.</w:t>
      </w:r>
    </w:p>
    <w:bookmarkEnd w:id="15"/>
    <w:p w:rsidR="00F62ED5" w:rsidRPr="00147B08" w:rsidP="00F62ED5" w14:paraId="4CDD9157" w14:textId="77777777">
      <w:pPr>
        <w:ind w:left="720"/>
        <w:rPr>
          <w:szCs w:val="24"/>
        </w:rPr>
      </w:pPr>
    </w:p>
    <w:sectPr w:rsidSect="00CA25A2">
      <w:endnotePr>
        <w:numFmt w:val="lowerLetter"/>
      </w:endnotePr>
      <w:type w:val="continuous"/>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7661" w14:paraId="19084510" w14:textId="7777777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5A2" w14:paraId="6C7C7640" w14:textId="2DA2AA52">
    <w:pPr>
      <w:pStyle w:val="Footer"/>
      <w:jc w:val="right"/>
    </w:pPr>
    <w:r>
      <w:fldChar w:fldCharType="begin"/>
    </w:r>
    <w:r>
      <w:instrText xml:space="preserve"> PAGE   \* MERGEFORMAT </w:instrText>
    </w:r>
    <w:r>
      <w:fldChar w:fldCharType="separate"/>
    </w:r>
    <w:r w:rsidR="001F312D">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6756" w14:paraId="0EF6C43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D7A96" w14:paraId="18C0FE52" w14:textId="77777777">
      <w:r>
        <w:separator/>
      </w:r>
    </w:p>
  </w:footnote>
  <w:footnote w:type="continuationSeparator" w:id="1">
    <w:p w:rsidR="00DD7A96" w14:paraId="16A68F4A" w14:textId="77777777">
      <w:r>
        <w:continuationSeparator/>
      </w:r>
    </w:p>
  </w:footnote>
  <w:footnote w:id="2">
    <w:p w:rsidR="005D4621" w:rsidP="005D4621" w14:paraId="6A7A49DC" w14:textId="75777BD8">
      <w:pPr>
        <w:pStyle w:val="FootnoteText"/>
      </w:pPr>
      <w:r>
        <w:rPr>
          <w:rStyle w:val="FootnoteReference"/>
          <w:rFonts w:eastAsiaTheme="majorEastAsia"/>
        </w:rPr>
        <w:footnoteRef/>
      </w:r>
      <w:r>
        <w:t xml:space="preserve"> </w:t>
      </w:r>
      <w:r>
        <w:rPr>
          <w:rFonts w:ascii="Times New Roman" w:hAnsi="Times New Roman"/>
        </w:rPr>
        <w:t>IRS estimates, a 51% of taxpayers would seek a tax professional to complete their tax return based on IRS Data Book,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7661" w14:paraId="6857CA50"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3BA4" w14:paraId="1E874B3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6756" w14:paraId="2D8AEE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1"/>
    <w:lvl w:ilvl="0">
      <w:start w:val="17"/>
      <w:numFmt w:val="decimal"/>
      <w:suff w:val="nothing"/>
      <w:lvlText w:val="%1."/>
      <w:lvlJc w:val="left"/>
    </w:lvl>
  </w:abstractNum>
  <w:abstractNum w:abstractNumId="1">
    <w:nsid w:val="1369656A"/>
    <w:multiLevelType w:val="hybridMultilevel"/>
    <w:tmpl w:val="6EEE25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411773B"/>
    <w:multiLevelType w:val="hybridMultilevel"/>
    <w:tmpl w:val="8CA4D624"/>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4961343">
    <w:abstractNumId w:val="0"/>
  </w:num>
  <w:num w:numId="2" w16cid:durableId="547031544">
    <w:abstractNumId w:val="2"/>
  </w:num>
  <w:num w:numId="3" w16cid:durableId="18179185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0"/>
    <w:footnote w:id="1"/>
  </w:footnotePr>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C09"/>
    <w:rsid w:val="00001CD2"/>
    <w:rsid w:val="000112A8"/>
    <w:rsid w:val="00012135"/>
    <w:rsid w:val="00014059"/>
    <w:rsid w:val="00014367"/>
    <w:rsid w:val="00021662"/>
    <w:rsid w:val="00021781"/>
    <w:rsid w:val="000231E3"/>
    <w:rsid w:val="00036209"/>
    <w:rsid w:val="000415DA"/>
    <w:rsid w:val="000418B0"/>
    <w:rsid w:val="0004444D"/>
    <w:rsid w:val="000451A8"/>
    <w:rsid w:val="00046984"/>
    <w:rsid w:val="00047819"/>
    <w:rsid w:val="00047BA9"/>
    <w:rsid w:val="00052655"/>
    <w:rsid w:val="00056814"/>
    <w:rsid w:val="0005747F"/>
    <w:rsid w:val="0006130E"/>
    <w:rsid w:val="000626D4"/>
    <w:rsid w:val="000800F7"/>
    <w:rsid w:val="00083818"/>
    <w:rsid w:val="000847AB"/>
    <w:rsid w:val="000A0EAF"/>
    <w:rsid w:val="000B5CFC"/>
    <w:rsid w:val="000B6C37"/>
    <w:rsid w:val="000B795E"/>
    <w:rsid w:val="000C06B3"/>
    <w:rsid w:val="000C3287"/>
    <w:rsid w:val="000D385B"/>
    <w:rsid w:val="000E3B21"/>
    <w:rsid w:val="000E3C19"/>
    <w:rsid w:val="000E4FB8"/>
    <w:rsid w:val="001125A7"/>
    <w:rsid w:val="00116309"/>
    <w:rsid w:val="00117C9E"/>
    <w:rsid w:val="00140F28"/>
    <w:rsid w:val="00141FC7"/>
    <w:rsid w:val="00142727"/>
    <w:rsid w:val="00143049"/>
    <w:rsid w:val="001468EA"/>
    <w:rsid w:val="00147B08"/>
    <w:rsid w:val="0015549A"/>
    <w:rsid w:val="00165CC9"/>
    <w:rsid w:val="0017619B"/>
    <w:rsid w:val="001766CC"/>
    <w:rsid w:val="001A2761"/>
    <w:rsid w:val="001B2918"/>
    <w:rsid w:val="001C1D06"/>
    <w:rsid w:val="001C78E9"/>
    <w:rsid w:val="001D2220"/>
    <w:rsid w:val="001D2382"/>
    <w:rsid w:val="001E3459"/>
    <w:rsid w:val="001E7542"/>
    <w:rsid w:val="001F0CC5"/>
    <w:rsid w:val="001F312D"/>
    <w:rsid w:val="001F4B32"/>
    <w:rsid w:val="0022000C"/>
    <w:rsid w:val="0022387D"/>
    <w:rsid w:val="00223A52"/>
    <w:rsid w:val="00230B24"/>
    <w:rsid w:val="00231AC4"/>
    <w:rsid w:val="00233081"/>
    <w:rsid w:val="00233745"/>
    <w:rsid w:val="00243DF8"/>
    <w:rsid w:val="00244279"/>
    <w:rsid w:val="00245AFB"/>
    <w:rsid w:val="00254AA6"/>
    <w:rsid w:val="00257A0E"/>
    <w:rsid w:val="00261368"/>
    <w:rsid w:val="00261453"/>
    <w:rsid w:val="00265B21"/>
    <w:rsid w:val="002779A8"/>
    <w:rsid w:val="00277A44"/>
    <w:rsid w:val="00285839"/>
    <w:rsid w:val="00291857"/>
    <w:rsid w:val="002C2CE0"/>
    <w:rsid w:val="002C71EA"/>
    <w:rsid w:val="002E0E80"/>
    <w:rsid w:val="00301E47"/>
    <w:rsid w:val="00305947"/>
    <w:rsid w:val="00307A8C"/>
    <w:rsid w:val="00307DFE"/>
    <w:rsid w:val="00307F86"/>
    <w:rsid w:val="003129DD"/>
    <w:rsid w:val="0031337F"/>
    <w:rsid w:val="00313DB4"/>
    <w:rsid w:val="00324F23"/>
    <w:rsid w:val="00327962"/>
    <w:rsid w:val="00327D61"/>
    <w:rsid w:val="003413F4"/>
    <w:rsid w:val="00341F6A"/>
    <w:rsid w:val="00342EA7"/>
    <w:rsid w:val="00343A81"/>
    <w:rsid w:val="003529B1"/>
    <w:rsid w:val="00361228"/>
    <w:rsid w:val="00363F82"/>
    <w:rsid w:val="00374E0A"/>
    <w:rsid w:val="00380A63"/>
    <w:rsid w:val="00381717"/>
    <w:rsid w:val="003856EF"/>
    <w:rsid w:val="00385E5F"/>
    <w:rsid w:val="0038648E"/>
    <w:rsid w:val="0039240E"/>
    <w:rsid w:val="00393375"/>
    <w:rsid w:val="003A1555"/>
    <w:rsid w:val="003A1F86"/>
    <w:rsid w:val="003A23A6"/>
    <w:rsid w:val="003A452C"/>
    <w:rsid w:val="003B53FE"/>
    <w:rsid w:val="003B5F2E"/>
    <w:rsid w:val="003C1EC5"/>
    <w:rsid w:val="003C4D10"/>
    <w:rsid w:val="003D3178"/>
    <w:rsid w:val="003D557A"/>
    <w:rsid w:val="003F347B"/>
    <w:rsid w:val="003F6E20"/>
    <w:rsid w:val="003F7126"/>
    <w:rsid w:val="003F77C3"/>
    <w:rsid w:val="00403C4F"/>
    <w:rsid w:val="00412839"/>
    <w:rsid w:val="00414E64"/>
    <w:rsid w:val="00422DA8"/>
    <w:rsid w:val="004353DC"/>
    <w:rsid w:val="00436449"/>
    <w:rsid w:val="004520FA"/>
    <w:rsid w:val="0045306F"/>
    <w:rsid w:val="00460757"/>
    <w:rsid w:val="00463FB8"/>
    <w:rsid w:val="00464752"/>
    <w:rsid w:val="0047011A"/>
    <w:rsid w:val="0047162D"/>
    <w:rsid w:val="00472245"/>
    <w:rsid w:val="00486543"/>
    <w:rsid w:val="00487994"/>
    <w:rsid w:val="00490200"/>
    <w:rsid w:val="004A605E"/>
    <w:rsid w:val="004A663C"/>
    <w:rsid w:val="004B005F"/>
    <w:rsid w:val="004B1656"/>
    <w:rsid w:val="004B1B64"/>
    <w:rsid w:val="004B4A69"/>
    <w:rsid w:val="004B7BF8"/>
    <w:rsid w:val="004C156B"/>
    <w:rsid w:val="004E1B5D"/>
    <w:rsid w:val="004F0F37"/>
    <w:rsid w:val="004F3775"/>
    <w:rsid w:val="004F3BA4"/>
    <w:rsid w:val="00506FEE"/>
    <w:rsid w:val="005151BA"/>
    <w:rsid w:val="005168D2"/>
    <w:rsid w:val="00527525"/>
    <w:rsid w:val="0053468E"/>
    <w:rsid w:val="005371DD"/>
    <w:rsid w:val="00541585"/>
    <w:rsid w:val="00541ED4"/>
    <w:rsid w:val="0055583C"/>
    <w:rsid w:val="005604B0"/>
    <w:rsid w:val="0056323D"/>
    <w:rsid w:val="005738FD"/>
    <w:rsid w:val="005829B2"/>
    <w:rsid w:val="00594C5F"/>
    <w:rsid w:val="005A69F1"/>
    <w:rsid w:val="005A79DE"/>
    <w:rsid w:val="005C27EE"/>
    <w:rsid w:val="005C605B"/>
    <w:rsid w:val="005D43EF"/>
    <w:rsid w:val="005D4621"/>
    <w:rsid w:val="005D5E5F"/>
    <w:rsid w:val="005E6E63"/>
    <w:rsid w:val="005F5E19"/>
    <w:rsid w:val="00601356"/>
    <w:rsid w:val="00601576"/>
    <w:rsid w:val="0060245E"/>
    <w:rsid w:val="00604C81"/>
    <w:rsid w:val="0061049E"/>
    <w:rsid w:val="00611F58"/>
    <w:rsid w:val="006143EC"/>
    <w:rsid w:val="00615B78"/>
    <w:rsid w:val="00616F98"/>
    <w:rsid w:val="00632BEC"/>
    <w:rsid w:val="0064012A"/>
    <w:rsid w:val="00641AEC"/>
    <w:rsid w:val="0064474B"/>
    <w:rsid w:val="00644E20"/>
    <w:rsid w:val="00651B6C"/>
    <w:rsid w:val="00653960"/>
    <w:rsid w:val="0066171D"/>
    <w:rsid w:val="00663D5D"/>
    <w:rsid w:val="006651ED"/>
    <w:rsid w:val="00666849"/>
    <w:rsid w:val="00676352"/>
    <w:rsid w:val="00676756"/>
    <w:rsid w:val="006A0C93"/>
    <w:rsid w:val="006A1D36"/>
    <w:rsid w:val="006A2E04"/>
    <w:rsid w:val="006B05E7"/>
    <w:rsid w:val="006B2417"/>
    <w:rsid w:val="006B2B53"/>
    <w:rsid w:val="006B2EAD"/>
    <w:rsid w:val="006B5148"/>
    <w:rsid w:val="006B77E2"/>
    <w:rsid w:val="006C341B"/>
    <w:rsid w:val="006C536A"/>
    <w:rsid w:val="006C6281"/>
    <w:rsid w:val="006D0D67"/>
    <w:rsid w:val="006E468A"/>
    <w:rsid w:val="006E69D5"/>
    <w:rsid w:val="006F4262"/>
    <w:rsid w:val="006F4B0D"/>
    <w:rsid w:val="006F6326"/>
    <w:rsid w:val="00700583"/>
    <w:rsid w:val="0070130A"/>
    <w:rsid w:val="007025BD"/>
    <w:rsid w:val="0070675F"/>
    <w:rsid w:val="00706E4A"/>
    <w:rsid w:val="007134E9"/>
    <w:rsid w:val="007302A0"/>
    <w:rsid w:val="0074204A"/>
    <w:rsid w:val="0074437C"/>
    <w:rsid w:val="0074627C"/>
    <w:rsid w:val="00755BEF"/>
    <w:rsid w:val="0076698E"/>
    <w:rsid w:val="00771062"/>
    <w:rsid w:val="00773BDB"/>
    <w:rsid w:val="007745FC"/>
    <w:rsid w:val="00777744"/>
    <w:rsid w:val="00780E1C"/>
    <w:rsid w:val="00781856"/>
    <w:rsid w:val="00782293"/>
    <w:rsid w:val="007825D6"/>
    <w:rsid w:val="00784821"/>
    <w:rsid w:val="00793889"/>
    <w:rsid w:val="00794924"/>
    <w:rsid w:val="007A0FC1"/>
    <w:rsid w:val="007B028A"/>
    <w:rsid w:val="007B34C3"/>
    <w:rsid w:val="007C68A2"/>
    <w:rsid w:val="007D13D9"/>
    <w:rsid w:val="007E5169"/>
    <w:rsid w:val="007E5A85"/>
    <w:rsid w:val="007F08C9"/>
    <w:rsid w:val="007F0C8E"/>
    <w:rsid w:val="007F23E1"/>
    <w:rsid w:val="007F2DE1"/>
    <w:rsid w:val="00801C11"/>
    <w:rsid w:val="00814407"/>
    <w:rsid w:val="00816336"/>
    <w:rsid w:val="0082010F"/>
    <w:rsid w:val="00820B6A"/>
    <w:rsid w:val="00821066"/>
    <w:rsid w:val="00821321"/>
    <w:rsid w:val="008244B8"/>
    <w:rsid w:val="00827875"/>
    <w:rsid w:val="00832A8D"/>
    <w:rsid w:val="008340C4"/>
    <w:rsid w:val="00835C91"/>
    <w:rsid w:val="00837B25"/>
    <w:rsid w:val="008547AC"/>
    <w:rsid w:val="008553B6"/>
    <w:rsid w:val="00864DF5"/>
    <w:rsid w:val="00866E88"/>
    <w:rsid w:val="00867F09"/>
    <w:rsid w:val="008710A2"/>
    <w:rsid w:val="00873CC3"/>
    <w:rsid w:val="00881075"/>
    <w:rsid w:val="00884B51"/>
    <w:rsid w:val="008A0E45"/>
    <w:rsid w:val="008A2FD2"/>
    <w:rsid w:val="008A690F"/>
    <w:rsid w:val="008B5C56"/>
    <w:rsid w:val="008C1648"/>
    <w:rsid w:val="008D0AEA"/>
    <w:rsid w:val="008D1B89"/>
    <w:rsid w:val="008E0D1E"/>
    <w:rsid w:val="008E5C0F"/>
    <w:rsid w:val="008E7ABD"/>
    <w:rsid w:val="008F072E"/>
    <w:rsid w:val="009056E1"/>
    <w:rsid w:val="00914944"/>
    <w:rsid w:val="00914ED6"/>
    <w:rsid w:val="00917811"/>
    <w:rsid w:val="00924758"/>
    <w:rsid w:val="009258D3"/>
    <w:rsid w:val="00930C51"/>
    <w:rsid w:val="00936365"/>
    <w:rsid w:val="009404B4"/>
    <w:rsid w:val="00940A9A"/>
    <w:rsid w:val="009437F6"/>
    <w:rsid w:val="009442AE"/>
    <w:rsid w:val="00951700"/>
    <w:rsid w:val="00972C05"/>
    <w:rsid w:val="00980483"/>
    <w:rsid w:val="009836DD"/>
    <w:rsid w:val="00983A2E"/>
    <w:rsid w:val="00987F96"/>
    <w:rsid w:val="00995AEB"/>
    <w:rsid w:val="00996291"/>
    <w:rsid w:val="00996CC1"/>
    <w:rsid w:val="009A1C68"/>
    <w:rsid w:val="009A2A13"/>
    <w:rsid w:val="009A62C8"/>
    <w:rsid w:val="009A65FB"/>
    <w:rsid w:val="009B1AC6"/>
    <w:rsid w:val="009B253E"/>
    <w:rsid w:val="009B666B"/>
    <w:rsid w:val="009C2ED2"/>
    <w:rsid w:val="009C7F81"/>
    <w:rsid w:val="009D1A24"/>
    <w:rsid w:val="009D2B07"/>
    <w:rsid w:val="009D691D"/>
    <w:rsid w:val="009D7D95"/>
    <w:rsid w:val="009E1B77"/>
    <w:rsid w:val="009E4901"/>
    <w:rsid w:val="00A00F24"/>
    <w:rsid w:val="00A11EDE"/>
    <w:rsid w:val="00A22170"/>
    <w:rsid w:val="00A34B17"/>
    <w:rsid w:val="00A4587C"/>
    <w:rsid w:val="00A60EB0"/>
    <w:rsid w:val="00A63A78"/>
    <w:rsid w:val="00A71222"/>
    <w:rsid w:val="00A7516F"/>
    <w:rsid w:val="00A8234D"/>
    <w:rsid w:val="00A82461"/>
    <w:rsid w:val="00A8742F"/>
    <w:rsid w:val="00A952D9"/>
    <w:rsid w:val="00A95597"/>
    <w:rsid w:val="00AA31B6"/>
    <w:rsid w:val="00AB23C4"/>
    <w:rsid w:val="00AB46B3"/>
    <w:rsid w:val="00AC5673"/>
    <w:rsid w:val="00AD5ABE"/>
    <w:rsid w:val="00AE1F7C"/>
    <w:rsid w:val="00AF10F4"/>
    <w:rsid w:val="00AF15E9"/>
    <w:rsid w:val="00B13171"/>
    <w:rsid w:val="00B15B65"/>
    <w:rsid w:val="00B27757"/>
    <w:rsid w:val="00B37B56"/>
    <w:rsid w:val="00B41258"/>
    <w:rsid w:val="00B41BF0"/>
    <w:rsid w:val="00B42263"/>
    <w:rsid w:val="00B52F60"/>
    <w:rsid w:val="00B52F80"/>
    <w:rsid w:val="00B57661"/>
    <w:rsid w:val="00B61691"/>
    <w:rsid w:val="00B66111"/>
    <w:rsid w:val="00B92507"/>
    <w:rsid w:val="00B94DFA"/>
    <w:rsid w:val="00BA008F"/>
    <w:rsid w:val="00BA0886"/>
    <w:rsid w:val="00BA30A7"/>
    <w:rsid w:val="00BA6071"/>
    <w:rsid w:val="00BA67E4"/>
    <w:rsid w:val="00BA7BF3"/>
    <w:rsid w:val="00BB3F1D"/>
    <w:rsid w:val="00BB5657"/>
    <w:rsid w:val="00BC3788"/>
    <w:rsid w:val="00BC617A"/>
    <w:rsid w:val="00BD336D"/>
    <w:rsid w:val="00BD5AA6"/>
    <w:rsid w:val="00BD5F37"/>
    <w:rsid w:val="00BF59B0"/>
    <w:rsid w:val="00BF6A80"/>
    <w:rsid w:val="00BF7917"/>
    <w:rsid w:val="00C104B8"/>
    <w:rsid w:val="00C15E2A"/>
    <w:rsid w:val="00C22C83"/>
    <w:rsid w:val="00C33AC1"/>
    <w:rsid w:val="00C35304"/>
    <w:rsid w:val="00C35340"/>
    <w:rsid w:val="00C35E9E"/>
    <w:rsid w:val="00C47D33"/>
    <w:rsid w:val="00C5570B"/>
    <w:rsid w:val="00C61D89"/>
    <w:rsid w:val="00C656D9"/>
    <w:rsid w:val="00C90D2F"/>
    <w:rsid w:val="00C928AC"/>
    <w:rsid w:val="00C93A15"/>
    <w:rsid w:val="00CA25A2"/>
    <w:rsid w:val="00CA5AA2"/>
    <w:rsid w:val="00CB5EDE"/>
    <w:rsid w:val="00CC48AB"/>
    <w:rsid w:val="00CF2D46"/>
    <w:rsid w:val="00CF42E3"/>
    <w:rsid w:val="00D00405"/>
    <w:rsid w:val="00D0258D"/>
    <w:rsid w:val="00D05B41"/>
    <w:rsid w:val="00D05E87"/>
    <w:rsid w:val="00D1295B"/>
    <w:rsid w:val="00D21B53"/>
    <w:rsid w:val="00D30BCB"/>
    <w:rsid w:val="00D33626"/>
    <w:rsid w:val="00D34B80"/>
    <w:rsid w:val="00D51C17"/>
    <w:rsid w:val="00D64289"/>
    <w:rsid w:val="00D64B0E"/>
    <w:rsid w:val="00D66D93"/>
    <w:rsid w:val="00D71585"/>
    <w:rsid w:val="00D71B0B"/>
    <w:rsid w:val="00D72269"/>
    <w:rsid w:val="00D7479E"/>
    <w:rsid w:val="00D80950"/>
    <w:rsid w:val="00D851E5"/>
    <w:rsid w:val="00D8603B"/>
    <w:rsid w:val="00D91C09"/>
    <w:rsid w:val="00DA4DF9"/>
    <w:rsid w:val="00DA55C2"/>
    <w:rsid w:val="00DA5633"/>
    <w:rsid w:val="00DA58D8"/>
    <w:rsid w:val="00DA62EA"/>
    <w:rsid w:val="00DA72F9"/>
    <w:rsid w:val="00DA75BD"/>
    <w:rsid w:val="00DC1DA4"/>
    <w:rsid w:val="00DC45E4"/>
    <w:rsid w:val="00DC54BD"/>
    <w:rsid w:val="00DC6C08"/>
    <w:rsid w:val="00DD418E"/>
    <w:rsid w:val="00DD69CC"/>
    <w:rsid w:val="00DD7A96"/>
    <w:rsid w:val="00DE43A2"/>
    <w:rsid w:val="00DE448B"/>
    <w:rsid w:val="00DF0EE0"/>
    <w:rsid w:val="00DF38A9"/>
    <w:rsid w:val="00E020A7"/>
    <w:rsid w:val="00E1477A"/>
    <w:rsid w:val="00E14B6D"/>
    <w:rsid w:val="00E256EE"/>
    <w:rsid w:val="00E25B4A"/>
    <w:rsid w:val="00E25FE5"/>
    <w:rsid w:val="00E2697D"/>
    <w:rsid w:val="00E31745"/>
    <w:rsid w:val="00E333CA"/>
    <w:rsid w:val="00E353C5"/>
    <w:rsid w:val="00E50265"/>
    <w:rsid w:val="00E6704D"/>
    <w:rsid w:val="00E95BB4"/>
    <w:rsid w:val="00EA310E"/>
    <w:rsid w:val="00EA6D62"/>
    <w:rsid w:val="00EB2737"/>
    <w:rsid w:val="00EB28CE"/>
    <w:rsid w:val="00EB6C2B"/>
    <w:rsid w:val="00EC1130"/>
    <w:rsid w:val="00EC357F"/>
    <w:rsid w:val="00EC61C8"/>
    <w:rsid w:val="00ED597F"/>
    <w:rsid w:val="00EE09E0"/>
    <w:rsid w:val="00EE2938"/>
    <w:rsid w:val="00F0047D"/>
    <w:rsid w:val="00F02E03"/>
    <w:rsid w:val="00F06884"/>
    <w:rsid w:val="00F16925"/>
    <w:rsid w:val="00F223FB"/>
    <w:rsid w:val="00F22648"/>
    <w:rsid w:val="00F27934"/>
    <w:rsid w:val="00F31890"/>
    <w:rsid w:val="00F325D1"/>
    <w:rsid w:val="00F33AF2"/>
    <w:rsid w:val="00F354BB"/>
    <w:rsid w:val="00F36B3B"/>
    <w:rsid w:val="00F40222"/>
    <w:rsid w:val="00F4422C"/>
    <w:rsid w:val="00F47409"/>
    <w:rsid w:val="00F47D64"/>
    <w:rsid w:val="00F62E71"/>
    <w:rsid w:val="00F62ED5"/>
    <w:rsid w:val="00F71789"/>
    <w:rsid w:val="00F72848"/>
    <w:rsid w:val="00F7532D"/>
    <w:rsid w:val="00F812D7"/>
    <w:rsid w:val="00F834CA"/>
    <w:rsid w:val="00F84A3A"/>
    <w:rsid w:val="00F878E0"/>
    <w:rsid w:val="00F9149C"/>
    <w:rsid w:val="00F9426A"/>
    <w:rsid w:val="00F946B2"/>
    <w:rsid w:val="00F9720E"/>
    <w:rsid w:val="00FA5581"/>
    <w:rsid w:val="00FA68D8"/>
    <w:rsid w:val="00FA6B58"/>
    <w:rsid w:val="00FA7B7E"/>
    <w:rsid w:val="00FB04E0"/>
    <w:rsid w:val="00FB53C6"/>
    <w:rsid w:val="00FC2016"/>
    <w:rsid w:val="00FD1AD7"/>
    <w:rsid w:val="00FD4D0F"/>
    <w:rsid w:val="00FE14D5"/>
    <w:rsid w:val="00FE4108"/>
    <w:rsid w:val="00FF1BE0"/>
    <w:rsid w:val="00FF28B9"/>
    <w:rsid w:val="00FF34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FD57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3CC3"/>
    <w:rPr>
      <w:sz w:val="24"/>
    </w:rPr>
  </w:style>
  <w:style w:type="paragraph" w:styleId="Heading1">
    <w:name w:val="heading 1"/>
    <w:basedOn w:val="Normal"/>
    <w:next w:val="Normal"/>
    <w:link w:val="Heading1Char"/>
    <w:qFormat/>
    <w:rsid w:val="00755BEF"/>
    <w:pPr>
      <w:keepNext/>
      <w:widowControl w:val="0"/>
      <w:tabs>
        <w:tab w:val="left" w:pos="720"/>
      </w:tabs>
      <w:autoSpaceDE w:val="0"/>
      <w:autoSpaceDN w:val="0"/>
      <w:adjustRightInd w:val="0"/>
      <w:ind w:left="1440" w:hanging="1440"/>
      <w:outlineLvl w:val="0"/>
    </w:pPr>
    <w:rPr>
      <w:rFonts w:ascii="CG Times" w:hAnsi="CG Times"/>
      <w:szCs w:val="24"/>
    </w:rPr>
  </w:style>
  <w:style w:type="paragraph" w:styleId="Heading2">
    <w:name w:val="heading 2"/>
    <w:basedOn w:val="Normal"/>
    <w:next w:val="Normal"/>
    <w:link w:val="Heading2Char"/>
    <w:qFormat/>
    <w:rsid w:val="00755BEF"/>
    <w:pPr>
      <w:keepNext/>
      <w:widowControl w:val="0"/>
      <w:autoSpaceDE w:val="0"/>
      <w:autoSpaceDN w:val="0"/>
      <w:adjustRightInd w:val="0"/>
      <w:ind w:left="720"/>
      <w:outlineLvl w:val="1"/>
    </w:pPr>
    <w:rPr>
      <w:rFonts w:ascii="CG Times" w:hAnsi="CG Times"/>
      <w:b/>
      <w:bCs/>
      <w:szCs w:val="24"/>
      <w:u w:val="single"/>
    </w:rPr>
  </w:style>
  <w:style w:type="paragraph" w:styleId="Heading3">
    <w:name w:val="heading 3"/>
    <w:basedOn w:val="Normal"/>
    <w:next w:val="Normal"/>
    <w:link w:val="Heading3Char"/>
    <w:qFormat/>
    <w:rsid w:val="00755BEF"/>
    <w:pPr>
      <w:keepNext/>
      <w:widowControl w:val="0"/>
      <w:autoSpaceDE w:val="0"/>
      <w:autoSpaceDN w:val="0"/>
      <w:adjustRightInd w:val="0"/>
      <w:ind w:left="720"/>
      <w:outlineLvl w:val="2"/>
    </w:pPr>
    <w:rPr>
      <w:rFonts w:ascii="CG Times" w:hAnsi="CG Times"/>
      <w:b/>
      <w:bCs/>
      <w:szCs w:val="24"/>
    </w:rPr>
  </w:style>
  <w:style w:type="paragraph" w:styleId="Heading4">
    <w:name w:val="heading 4"/>
    <w:basedOn w:val="Normal"/>
    <w:next w:val="Normal"/>
    <w:link w:val="Heading4Char"/>
    <w:qFormat/>
    <w:rsid w:val="00755BEF"/>
    <w:pPr>
      <w:keepNext/>
      <w:widowControl w:val="0"/>
      <w:autoSpaceDE w:val="0"/>
      <w:autoSpaceDN w:val="0"/>
      <w:adjustRightInd w:val="0"/>
      <w:ind w:left="783"/>
      <w:outlineLvl w:val="3"/>
    </w:pPr>
    <w:rPr>
      <w:rFonts w:ascii="CG Times" w:hAnsi="CG Times"/>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A25A2"/>
    <w:pPr>
      <w:tabs>
        <w:tab w:val="center" w:pos="4680"/>
        <w:tab w:val="right" w:pos="9360"/>
      </w:tabs>
    </w:pPr>
  </w:style>
  <w:style w:type="paragraph" w:customStyle="1" w:styleId="Level1">
    <w:name w:val="Level 1"/>
    <w:basedOn w:val="Normal"/>
    <w:pPr>
      <w:widowControl w:val="0"/>
    </w:pPr>
  </w:style>
  <w:style w:type="paragraph" w:customStyle="1" w:styleId="Quick1">
    <w:name w:val="Quick 1."/>
    <w:basedOn w:val="Normal"/>
    <w:pPr>
      <w:widowControl w:val="0"/>
    </w:pPr>
  </w:style>
  <w:style w:type="paragraph" w:customStyle="1" w:styleId="QuickA">
    <w:name w:val="Quick A."/>
    <w:basedOn w:val="Normal"/>
    <w:pPr>
      <w:widowControl w:val="0"/>
    </w:pPr>
  </w:style>
  <w:style w:type="character" w:customStyle="1" w:styleId="HeaderChar">
    <w:name w:val="Header Char"/>
    <w:link w:val="Header"/>
    <w:rsid w:val="00CA25A2"/>
    <w:rPr>
      <w:sz w:val="24"/>
    </w:rPr>
  </w:style>
  <w:style w:type="paragraph" w:styleId="Footer">
    <w:name w:val="footer"/>
    <w:basedOn w:val="Normal"/>
    <w:link w:val="FooterChar"/>
    <w:uiPriority w:val="99"/>
    <w:rsid w:val="00CA25A2"/>
    <w:pPr>
      <w:tabs>
        <w:tab w:val="center" w:pos="4680"/>
        <w:tab w:val="right" w:pos="9360"/>
      </w:tabs>
    </w:pPr>
  </w:style>
  <w:style w:type="character" w:customStyle="1" w:styleId="FooterChar">
    <w:name w:val="Footer Char"/>
    <w:link w:val="Footer"/>
    <w:uiPriority w:val="99"/>
    <w:rsid w:val="00CA25A2"/>
    <w:rPr>
      <w:sz w:val="24"/>
    </w:rPr>
  </w:style>
  <w:style w:type="character" w:styleId="Hyperlink">
    <w:name w:val="Hyperlink"/>
    <w:uiPriority w:val="99"/>
    <w:rsid w:val="00CA25A2"/>
    <w:rPr>
      <w:color w:val="0000FF"/>
      <w:u w:val="single"/>
    </w:rPr>
  </w:style>
  <w:style w:type="paragraph" w:styleId="Revision">
    <w:name w:val="Revision"/>
    <w:hidden/>
    <w:uiPriority w:val="99"/>
    <w:semiHidden/>
    <w:rsid w:val="004F3BA4"/>
    <w:rPr>
      <w:sz w:val="24"/>
    </w:rPr>
  </w:style>
  <w:style w:type="paragraph" w:styleId="BalloonText">
    <w:name w:val="Balloon Text"/>
    <w:basedOn w:val="Normal"/>
    <w:link w:val="BalloonTextChar"/>
    <w:rsid w:val="004F3BA4"/>
    <w:rPr>
      <w:rFonts w:ascii="Tahoma" w:hAnsi="Tahoma" w:cs="Tahoma"/>
      <w:sz w:val="16"/>
      <w:szCs w:val="16"/>
    </w:rPr>
  </w:style>
  <w:style w:type="character" w:customStyle="1" w:styleId="BalloonTextChar">
    <w:name w:val="Balloon Text Char"/>
    <w:basedOn w:val="DefaultParagraphFont"/>
    <w:link w:val="BalloonText"/>
    <w:rsid w:val="004F3BA4"/>
    <w:rPr>
      <w:rFonts w:ascii="Tahoma" w:hAnsi="Tahoma" w:cs="Tahoma"/>
      <w:sz w:val="16"/>
      <w:szCs w:val="16"/>
    </w:rPr>
  </w:style>
  <w:style w:type="paragraph" w:customStyle="1" w:styleId="Default">
    <w:name w:val="Default"/>
    <w:rsid w:val="004F3BA4"/>
    <w:pPr>
      <w:autoSpaceDE w:val="0"/>
      <w:autoSpaceDN w:val="0"/>
      <w:adjustRightInd w:val="0"/>
    </w:pPr>
    <w:rPr>
      <w:rFonts w:ascii="ITC Franklin Gothic Std Book" w:hAnsi="ITC Franklin Gothic Std Book" w:cs="ITC Franklin Gothic Std Book"/>
      <w:color w:val="000000"/>
      <w:sz w:val="24"/>
      <w:szCs w:val="24"/>
    </w:rPr>
  </w:style>
  <w:style w:type="character" w:styleId="FollowedHyperlink">
    <w:name w:val="FollowedHyperlink"/>
    <w:basedOn w:val="DefaultParagraphFont"/>
    <w:uiPriority w:val="99"/>
    <w:rsid w:val="00DD418E"/>
    <w:rPr>
      <w:color w:val="800080" w:themeColor="followedHyperlink"/>
      <w:u w:val="single"/>
    </w:rPr>
  </w:style>
  <w:style w:type="table" w:styleId="TableGrid">
    <w:name w:val="Table Grid"/>
    <w:basedOn w:val="TableNormal"/>
    <w:rsid w:val="00881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15E2A"/>
    <w:rPr>
      <w:sz w:val="16"/>
      <w:szCs w:val="16"/>
    </w:rPr>
  </w:style>
  <w:style w:type="paragraph" w:styleId="CommentText">
    <w:name w:val="annotation text"/>
    <w:basedOn w:val="Normal"/>
    <w:link w:val="CommentTextChar"/>
    <w:uiPriority w:val="99"/>
    <w:unhideWhenUsed/>
    <w:rsid w:val="00C15E2A"/>
    <w:rPr>
      <w:sz w:val="20"/>
    </w:rPr>
  </w:style>
  <w:style w:type="character" w:customStyle="1" w:styleId="CommentTextChar">
    <w:name w:val="Comment Text Char"/>
    <w:basedOn w:val="DefaultParagraphFont"/>
    <w:link w:val="CommentText"/>
    <w:uiPriority w:val="99"/>
    <w:rsid w:val="00C15E2A"/>
  </w:style>
  <w:style w:type="paragraph" w:styleId="CommentSubject">
    <w:name w:val="annotation subject"/>
    <w:basedOn w:val="CommentText"/>
    <w:next w:val="CommentText"/>
    <w:link w:val="CommentSubjectChar"/>
    <w:unhideWhenUsed/>
    <w:rsid w:val="00C15E2A"/>
    <w:rPr>
      <w:b/>
      <w:bCs/>
    </w:rPr>
  </w:style>
  <w:style w:type="character" w:customStyle="1" w:styleId="CommentSubjectChar">
    <w:name w:val="Comment Subject Char"/>
    <w:basedOn w:val="CommentTextChar"/>
    <w:link w:val="CommentSubject"/>
    <w:rsid w:val="00C15E2A"/>
    <w:rPr>
      <w:b/>
      <w:bCs/>
    </w:rPr>
  </w:style>
  <w:style w:type="paragraph" w:styleId="ListParagraph">
    <w:name w:val="List Paragraph"/>
    <w:basedOn w:val="Normal"/>
    <w:uiPriority w:val="34"/>
    <w:qFormat/>
    <w:rsid w:val="002E0E80"/>
    <w:pPr>
      <w:ind w:left="720"/>
      <w:contextualSpacing/>
    </w:pPr>
  </w:style>
  <w:style w:type="character" w:customStyle="1" w:styleId="Heading1Char">
    <w:name w:val="Heading 1 Char"/>
    <w:basedOn w:val="DefaultParagraphFont"/>
    <w:link w:val="Heading1"/>
    <w:rsid w:val="00755BEF"/>
    <w:rPr>
      <w:rFonts w:ascii="CG Times" w:hAnsi="CG Times"/>
      <w:sz w:val="24"/>
      <w:szCs w:val="24"/>
    </w:rPr>
  </w:style>
  <w:style w:type="character" w:customStyle="1" w:styleId="Heading2Char">
    <w:name w:val="Heading 2 Char"/>
    <w:basedOn w:val="DefaultParagraphFont"/>
    <w:link w:val="Heading2"/>
    <w:rsid w:val="00755BEF"/>
    <w:rPr>
      <w:rFonts w:ascii="CG Times" w:hAnsi="CG Times"/>
      <w:b/>
      <w:bCs/>
      <w:sz w:val="24"/>
      <w:szCs w:val="24"/>
      <w:u w:val="single"/>
    </w:rPr>
  </w:style>
  <w:style w:type="character" w:customStyle="1" w:styleId="Heading3Char">
    <w:name w:val="Heading 3 Char"/>
    <w:basedOn w:val="DefaultParagraphFont"/>
    <w:link w:val="Heading3"/>
    <w:rsid w:val="00755BEF"/>
    <w:rPr>
      <w:rFonts w:ascii="CG Times" w:hAnsi="CG Times"/>
      <w:b/>
      <w:bCs/>
      <w:sz w:val="24"/>
      <w:szCs w:val="24"/>
    </w:rPr>
  </w:style>
  <w:style w:type="character" w:customStyle="1" w:styleId="Heading4Char">
    <w:name w:val="Heading 4 Char"/>
    <w:basedOn w:val="DefaultParagraphFont"/>
    <w:link w:val="Heading4"/>
    <w:rsid w:val="00755BEF"/>
    <w:rPr>
      <w:rFonts w:ascii="CG Times" w:hAnsi="CG Times"/>
      <w:b/>
      <w:bCs/>
      <w:sz w:val="24"/>
      <w:szCs w:val="24"/>
    </w:rPr>
  </w:style>
  <w:style w:type="paragraph" w:customStyle="1" w:styleId="Level2">
    <w:name w:val="Level 2"/>
    <w:rsid w:val="00755BEF"/>
    <w:pPr>
      <w:widowControl w:val="0"/>
      <w:autoSpaceDE w:val="0"/>
      <w:autoSpaceDN w:val="0"/>
      <w:adjustRightInd w:val="0"/>
      <w:ind w:left="1440"/>
      <w:jc w:val="both"/>
    </w:pPr>
    <w:rPr>
      <w:rFonts w:ascii="Courier" w:hAnsi="Courier"/>
      <w:sz w:val="24"/>
      <w:szCs w:val="24"/>
    </w:rPr>
  </w:style>
  <w:style w:type="paragraph" w:customStyle="1" w:styleId="Level3">
    <w:name w:val="Level 3"/>
    <w:rsid w:val="00755BEF"/>
    <w:pPr>
      <w:widowControl w:val="0"/>
      <w:autoSpaceDE w:val="0"/>
      <w:autoSpaceDN w:val="0"/>
      <w:adjustRightInd w:val="0"/>
      <w:ind w:left="2160"/>
      <w:jc w:val="both"/>
    </w:pPr>
    <w:rPr>
      <w:rFonts w:ascii="Courier" w:hAnsi="Courier"/>
      <w:sz w:val="24"/>
      <w:szCs w:val="24"/>
    </w:rPr>
  </w:style>
  <w:style w:type="paragraph" w:customStyle="1" w:styleId="Level4">
    <w:name w:val="Level 4"/>
    <w:rsid w:val="00755BEF"/>
    <w:pPr>
      <w:widowControl w:val="0"/>
      <w:autoSpaceDE w:val="0"/>
      <w:autoSpaceDN w:val="0"/>
      <w:adjustRightInd w:val="0"/>
      <w:ind w:left="2880"/>
      <w:jc w:val="both"/>
    </w:pPr>
    <w:rPr>
      <w:rFonts w:ascii="Courier" w:hAnsi="Courier"/>
      <w:sz w:val="24"/>
      <w:szCs w:val="24"/>
    </w:rPr>
  </w:style>
  <w:style w:type="paragraph" w:customStyle="1" w:styleId="Level5">
    <w:name w:val="Level 5"/>
    <w:rsid w:val="00755BEF"/>
    <w:pPr>
      <w:widowControl w:val="0"/>
      <w:autoSpaceDE w:val="0"/>
      <w:autoSpaceDN w:val="0"/>
      <w:adjustRightInd w:val="0"/>
      <w:ind w:left="3600"/>
      <w:jc w:val="both"/>
    </w:pPr>
    <w:rPr>
      <w:rFonts w:ascii="Courier" w:hAnsi="Courier"/>
      <w:sz w:val="24"/>
      <w:szCs w:val="24"/>
    </w:rPr>
  </w:style>
  <w:style w:type="paragraph" w:customStyle="1" w:styleId="Level6">
    <w:name w:val="Level 6"/>
    <w:rsid w:val="00755BEF"/>
    <w:pPr>
      <w:widowControl w:val="0"/>
      <w:autoSpaceDE w:val="0"/>
      <w:autoSpaceDN w:val="0"/>
      <w:adjustRightInd w:val="0"/>
      <w:ind w:left="4320"/>
      <w:jc w:val="both"/>
    </w:pPr>
    <w:rPr>
      <w:rFonts w:ascii="Courier" w:hAnsi="Courier"/>
      <w:sz w:val="24"/>
      <w:szCs w:val="24"/>
    </w:rPr>
  </w:style>
  <w:style w:type="paragraph" w:customStyle="1" w:styleId="Level7">
    <w:name w:val="Level 7"/>
    <w:rsid w:val="00755BEF"/>
    <w:pPr>
      <w:widowControl w:val="0"/>
      <w:autoSpaceDE w:val="0"/>
      <w:autoSpaceDN w:val="0"/>
      <w:adjustRightInd w:val="0"/>
      <w:ind w:left="5040"/>
      <w:jc w:val="both"/>
    </w:pPr>
    <w:rPr>
      <w:rFonts w:ascii="Courier" w:hAnsi="Courier"/>
      <w:sz w:val="24"/>
      <w:szCs w:val="24"/>
    </w:rPr>
  </w:style>
  <w:style w:type="paragraph" w:customStyle="1" w:styleId="Level8">
    <w:name w:val="Level 8"/>
    <w:rsid w:val="00755BEF"/>
    <w:pPr>
      <w:widowControl w:val="0"/>
      <w:autoSpaceDE w:val="0"/>
      <w:autoSpaceDN w:val="0"/>
      <w:adjustRightInd w:val="0"/>
      <w:ind w:left="5760"/>
      <w:jc w:val="both"/>
    </w:pPr>
    <w:rPr>
      <w:rFonts w:ascii="Courier" w:hAnsi="Courier"/>
      <w:sz w:val="24"/>
      <w:szCs w:val="24"/>
    </w:rPr>
  </w:style>
  <w:style w:type="paragraph" w:customStyle="1" w:styleId="Level9">
    <w:name w:val="Level 9"/>
    <w:rsid w:val="00755BEF"/>
    <w:pPr>
      <w:widowControl w:val="0"/>
      <w:autoSpaceDE w:val="0"/>
      <w:autoSpaceDN w:val="0"/>
      <w:adjustRightInd w:val="0"/>
      <w:ind w:left="-1440"/>
      <w:jc w:val="both"/>
    </w:pPr>
    <w:rPr>
      <w:rFonts w:ascii="Courier" w:hAnsi="Courier"/>
      <w:b/>
      <w:bCs/>
      <w:sz w:val="24"/>
      <w:szCs w:val="24"/>
    </w:rPr>
  </w:style>
  <w:style w:type="paragraph" w:styleId="BlockText">
    <w:name w:val="Block Text"/>
    <w:basedOn w:val="Normal"/>
    <w:rsid w:val="00755BEF"/>
    <w:pPr>
      <w:widowControl w:val="0"/>
      <w:tabs>
        <w:tab w:val="left" w:pos="1350"/>
      </w:tabs>
      <w:autoSpaceDE w:val="0"/>
      <w:autoSpaceDN w:val="0"/>
      <w:adjustRightInd w:val="0"/>
      <w:ind w:left="1350" w:right="-1080" w:hanging="630"/>
    </w:pPr>
    <w:rPr>
      <w:rFonts w:ascii="CG Times" w:hAnsi="CG Times"/>
      <w:b/>
      <w:bCs/>
      <w:szCs w:val="24"/>
    </w:rPr>
  </w:style>
  <w:style w:type="paragraph" w:styleId="BodyTextIndent">
    <w:name w:val="Body Text Indent"/>
    <w:basedOn w:val="Normal"/>
    <w:link w:val="BodyTextIndentChar"/>
    <w:rsid w:val="00755BEF"/>
    <w:pPr>
      <w:widowControl w:val="0"/>
      <w:tabs>
        <w:tab w:val="left" w:pos="810"/>
      </w:tabs>
      <w:autoSpaceDE w:val="0"/>
      <w:autoSpaceDN w:val="0"/>
      <w:adjustRightInd w:val="0"/>
      <w:ind w:left="810" w:hanging="810"/>
    </w:pPr>
    <w:rPr>
      <w:rFonts w:ascii="CG Times" w:hAnsi="CG Times"/>
      <w:szCs w:val="24"/>
    </w:rPr>
  </w:style>
  <w:style w:type="character" w:customStyle="1" w:styleId="BodyTextIndentChar">
    <w:name w:val="Body Text Indent Char"/>
    <w:basedOn w:val="DefaultParagraphFont"/>
    <w:link w:val="BodyTextIndent"/>
    <w:rsid w:val="00755BEF"/>
    <w:rPr>
      <w:rFonts w:ascii="CG Times" w:hAnsi="CG Times"/>
      <w:sz w:val="24"/>
      <w:szCs w:val="24"/>
    </w:rPr>
  </w:style>
  <w:style w:type="paragraph" w:styleId="BodyTextIndent2">
    <w:name w:val="Body Text Indent 2"/>
    <w:basedOn w:val="Normal"/>
    <w:link w:val="BodyTextIndent2Char"/>
    <w:rsid w:val="00755BEF"/>
    <w:pPr>
      <w:widowControl w:val="0"/>
      <w:tabs>
        <w:tab w:val="left" w:pos="720"/>
      </w:tabs>
      <w:autoSpaceDE w:val="0"/>
      <w:autoSpaceDN w:val="0"/>
      <w:adjustRightInd w:val="0"/>
      <w:ind w:left="720" w:hanging="720"/>
    </w:pPr>
    <w:rPr>
      <w:rFonts w:ascii="CG Times" w:hAnsi="CG Times"/>
      <w:szCs w:val="24"/>
    </w:rPr>
  </w:style>
  <w:style w:type="character" w:customStyle="1" w:styleId="BodyTextIndent2Char">
    <w:name w:val="Body Text Indent 2 Char"/>
    <w:basedOn w:val="DefaultParagraphFont"/>
    <w:link w:val="BodyTextIndent2"/>
    <w:rsid w:val="00755BEF"/>
    <w:rPr>
      <w:rFonts w:ascii="CG Times" w:hAnsi="CG Times"/>
      <w:sz w:val="24"/>
      <w:szCs w:val="24"/>
    </w:rPr>
  </w:style>
  <w:style w:type="paragraph" w:styleId="BodyTextIndent3">
    <w:name w:val="Body Text Indent 3"/>
    <w:basedOn w:val="Normal"/>
    <w:link w:val="BodyTextIndent3Char"/>
    <w:rsid w:val="00755BEF"/>
    <w:pPr>
      <w:widowControl w:val="0"/>
      <w:autoSpaceDE w:val="0"/>
      <w:autoSpaceDN w:val="0"/>
      <w:adjustRightInd w:val="0"/>
      <w:ind w:left="720"/>
    </w:pPr>
    <w:rPr>
      <w:rFonts w:ascii="CG Times" w:hAnsi="CG Times"/>
      <w:szCs w:val="24"/>
    </w:rPr>
  </w:style>
  <w:style w:type="character" w:customStyle="1" w:styleId="BodyTextIndent3Char">
    <w:name w:val="Body Text Indent 3 Char"/>
    <w:basedOn w:val="DefaultParagraphFont"/>
    <w:link w:val="BodyTextIndent3"/>
    <w:rsid w:val="00755BEF"/>
    <w:rPr>
      <w:rFonts w:ascii="CG Times" w:hAnsi="CG Times"/>
      <w:sz w:val="24"/>
      <w:szCs w:val="24"/>
    </w:rPr>
  </w:style>
  <w:style w:type="paragraph" w:styleId="HTMLPreformatted">
    <w:name w:val="HTML Preformatted"/>
    <w:basedOn w:val="Normal"/>
    <w:link w:val="HTMLPreformattedChar"/>
    <w:rsid w:val="0075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755BEF"/>
    <w:rPr>
      <w:rFonts w:ascii="Courier New" w:hAnsi="Courier New" w:cs="Courier New"/>
    </w:rPr>
  </w:style>
  <w:style w:type="paragraph" w:styleId="FootnoteText">
    <w:name w:val="footnote text"/>
    <w:basedOn w:val="Normal"/>
    <w:link w:val="FootnoteTextChar"/>
    <w:rsid w:val="00755BEF"/>
    <w:pPr>
      <w:widowControl w:val="0"/>
      <w:autoSpaceDE w:val="0"/>
      <w:autoSpaceDN w:val="0"/>
      <w:adjustRightInd w:val="0"/>
    </w:pPr>
    <w:rPr>
      <w:rFonts w:ascii="Courier" w:hAnsi="Courier"/>
      <w:sz w:val="20"/>
    </w:rPr>
  </w:style>
  <w:style w:type="character" w:customStyle="1" w:styleId="FootnoteTextChar">
    <w:name w:val="Footnote Text Char"/>
    <w:basedOn w:val="DefaultParagraphFont"/>
    <w:link w:val="FootnoteText"/>
    <w:rsid w:val="00755BEF"/>
    <w:rPr>
      <w:rFonts w:ascii="Courier" w:hAnsi="Courier"/>
    </w:rPr>
  </w:style>
  <w:style w:type="character" w:styleId="FootnoteReference">
    <w:name w:val="footnote reference"/>
    <w:basedOn w:val="DefaultParagraphFont"/>
    <w:rsid w:val="00755BEF"/>
    <w:rPr>
      <w:vertAlign w:val="superscript"/>
    </w:rPr>
  </w:style>
  <w:style w:type="character" w:customStyle="1" w:styleId="UnresolvedMention1">
    <w:name w:val="Unresolved Mention1"/>
    <w:basedOn w:val="DefaultParagraphFont"/>
    <w:uiPriority w:val="99"/>
    <w:semiHidden/>
    <w:unhideWhenUsed/>
    <w:rsid w:val="00755BEF"/>
    <w:rPr>
      <w:color w:val="808080"/>
      <w:shd w:val="clear" w:color="auto" w:fill="E6E6E6"/>
    </w:rPr>
  </w:style>
  <w:style w:type="character" w:customStyle="1" w:styleId="UnresolvedMention2">
    <w:name w:val="Unresolved Mention2"/>
    <w:basedOn w:val="DefaultParagraphFont"/>
    <w:uiPriority w:val="99"/>
    <w:semiHidden/>
    <w:unhideWhenUsed/>
    <w:rsid w:val="00755BEF"/>
    <w:rPr>
      <w:color w:val="808080"/>
      <w:shd w:val="clear" w:color="auto" w:fill="E6E6E6"/>
    </w:rPr>
  </w:style>
  <w:style w:type="character" w:styleId="UnresolvedMention">
    <w:name w:val="Unresolved Mention"/>
    <w:basedOn w:val="DefaultParagraphFont"/>
    <w:uiPriority w:val="99"/>
    <w:semiHidden/>
    <w:unhideWhenUsed/>
    <w:rsid w:val="00755BEF"/>
    <w:rPr>
      <w:color w:val="605E5C"/>
      <w:shd w:val="clear" w:color="auto" w:fill="E1DFDD"/>
    </w:rPr>
  </w:style>
  <w:style w:type="paragraph" w:customStyle="1" w:styleId="msonormal">
    <w:name w:val="msonormal"/>
    <w:basedOn w:val="Normal"/>
    <w:rsid w:val="00755BEF"/>
    <w:pPr>
      <w:spacing w:before="100" w:beforeAutospacing="1" w:after="100" w:afterAutospacing="1"/>
    </w:pPr>
    <w:rPr>
      <w:szCs w:val="24"/>
    </w:rPr>
  </w:style>
  <w:style w:type="paragraph" w:customStyle="1" w:styleId="xl66">
    <w:name w:val="xl66"/>
    <w:basedOn w:val="Normal"/>
    <w:rsid w:val="00755B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67">
    <w:name w:val="xl67"/>
    <w:basedOn w:val="Normal"/>
    <w:rsid w:val="00755B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68">
    <w:name w:val="xl68"/>
    <w:basedOn w:val="Normal"/>
    <w:rsid w:val="00755B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9">
    <w:name w:val="xl69"/>
    <w:basedOn w:val="Normal"/>
    <w:rsid w:val="00755BEF"/>
    <w:pPr>
      <w:pBdr>
        <w:top w:val="single" w:sz="4" w:space="0" w:color="auto"/>
        <w:left w:val="single" w:sz="4" w:space="0" w:color="auto"/>
        <w:bottom w:val="single" w:sz="4" w:space="0" w:color="auto"/>
        <w:right w:val="single" w:sz="4" w:space="0" w:color="auto"/>
      </w:pBdr>
      <w:spacing w:before="100" w:beforeAutospacing="1" w:after="100" w:afterAutospacing="1"/>
    </w:pPr>
    <w:rPr>
      <w:color w:val="343434"/>
      <w:sz w:val="18"/>
      <w:szCs w:val="18"/>
    </w:rPr>
  </w:style>
  <w:style w:type="paragraph" w:customStyle="1" w:styleId="xl70">
    <w:name w:val="xl70"/>
    <w:basedOn w:val="Normal"/>
    <w:rsid w:val="00755B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1">
    <w:name w:val="xl71"/>
    <w:basedOn w:val="Normal"/>
    <w:rsid w:val="00755B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72">
    <w:name w:val="xl72"/>
    <w:basedOn w:val="Normal"/>
    <w:rsid w:val="00755B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73">
    <w:name w:val="xl73"/>
    <w:basedOn w:val="Normal"/>
    <w:rsid w:val="00755B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4">
    <w:name w:val="xl74"/>
    <w:basedOn w:val="Normal"/>
    <w:rsid w:val="00755BEF"/>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75">
    <w:name w:val="xl75"/>
    <w:basedOn w:val="Normal"/>
    <w:rsid w:val="00755B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76">
    <w:name w:val="xl76"/>
    <w:basedOn w:val="Normal"/>
    <w:rsid w:val="00755B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77">
    <w:name w:val="xl77"/>
    <w:basedOn w:val="Normal"/>
    <w:rsid w:val="00755B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8">
    <w:name w:val="xl78"/>
    <w:basedOn w:val="Normal"/>
    <w:rsid w:val="00755B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9">
    <w:name w:val="xl79"/>
    <w:basedOn w:val="Normal"/>
    <w:rsid w:val="00755BEF"/>
    <w:pPr>
      <w:spacing w:before="100" w:beforeAutospacing="1" w:after="100" w:afterAutospacing="1"/>
      <w:textAlignment w:val="top"/>
    </w:pPr>
    <w:rPr>
      <w:color w:val="343434"/>
      <w:sz w:val="18"/>
      <w:szCs w:val="18"/>
    </w:rPr>
  </w:style>
  <w:style w:type="paragraph" w:customStyle="1" w:styleId="xl80">
    <w:name w:val="xl80"/>
    <w:basedOn w:val="Normal"/>
    <w:rsid w:val="00755B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character" w:customStyle="1" w:styleId="tablesaw-cell-content">
    <w:name w:val="tablesaw-cell-content"/>
    <w:basedOn w:val="DefaultParagraphFont"/>
    <w:rsid w:val="00755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yperlink" Target="https://www.bls.gov/oes/current/oes132082.htm" TargetMode="External" /><Relationship Id="rId13" Type="http://schemas.openxmlformats.org/officeDocument/2006/relationships/hyperlink" Target="https://www.bls.gov/news.release/archives/ecec_12172024.htm"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irs.gov/privacy-disclosure/privacy-impact-assessments-pia"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2401</Words>
  <Characters>12820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2025-06-24T15:04:00Z</dcterms:created>
  <dcterms:modified xsi:type="dcterms:W3CDTF">2025-06-24T15:14:00Z</dcterms:modified>
</cp:coreProperties>
</file>