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11CB2" w:rsidP="00AD02D9" w14:paraId="0352BBE8" w14:textId="77777777">
      <w:pPr>
        <w:jc w:val="center"/>
        <w:rPr>
          <w:b/>
          <w:bCs/>
        </w:rPr>
      </w:pPr>
      <w:r>
        <w:rPr>
          <w:b/>
          <w:bCs/>
        </w:rPr>
        <w:t>Office of the Comptroller of the Currency</w:t>
      </w:r>
    </w:p>
    <w:p w:rsidR="00811CB2" w:rsidP="00AD02D9" w14:paraId="17FF5C58" w14:textId="77777777">
      <w:pPr>
        <w:jc w:val="center"/>
        <w:rPr>
          <w:b/>
          <w:bCs/>
        </w:rPr>
      </w:pPr>
      <w:r>
        <w:rPr>
          <w:b/>
          <w:bCs/>
        </w:rPr>
        <w:t>Supporting Statement</w:t>
      </w:r>
    </w:p>
    <w:p w:rsidR="00811CB2" w:rsidP="00AD02D9" w14:paraId="3A866421" w14:textId="25CFCF57">
      <w:pPr>
        <w:jc w:val="center"/>
        <w:rPr>
          <w:b/>
          <w:bCs/>
        </w:rPr>
      </w:pPr>
      <w:r>
        <w:rPr>
          <w:b/>
          <w:bCs/>
        </w:rPr>
        <w:t xml:space="preserve">Community Reinvestment Act </w:t>
      </w:r>
      <w:r w:rsidR="0071389B">
        <w:rPr>
          <w:b/>
          <w:bCs/>
        </w:rPr>
        <w:t>Qualifying Activities Confirmation</w:t>
      </w:r>
    </w:p>
    <w:p w:rsidR="00811CB2" w:rsidP="00AD02D9" w14:paraId="50BC0D65" w14:textId="70D821CE">
      <w:pPr>
        <w:pStyle w:val="Heading6"/>
      </w:pPr>
      <w:r>
        <w:t>OMB Control No.</w:t>
      </w:r>
      <w:r>
        <w:t xml:space="preserve"> 1557-</w:t>
      </w:r>
      <w:r w:rsidR="00D75B1D">
        <w:t>0356</w:t>
      </w:r>
    </w:p>
    <w:p w:rsidR="00811CB2" w:rsidP="00AD02D9" w14:paraId="595AB980" w14:textId="77777777">
      <w:pPr>
        <w:jc w:val="center"/>
      </w:pPr>
    </w:p>
    <w:p w:rsidR="00811CB2" w:rsidP="00AD02D9" w14:paraId="088B4D3A" w14:textId="77777777">
      <w:pPr>
        <w:jc w:val="center"/>
      </w:pPr>
    </w:p>
    <w:p w:rsidR="00811CB2" w:rsidP="00092BD9" w14:paraId="631E68DC" w14:textId="77777777">
      <w:pPr>
        <w:pStyle w:val="Footer"/>
        <w:numPr>
          <w:ilvl w:val="0"/>
          <w:numId w:val="43"/>
        </w:numPr>
        <w:tabs>
          <w:tab w:val="clear" w:pos="4320"/>
          <w:tab w:val="clear" w:pos="8640"/>
        </w:tabs>
        <w:rPr>
          <w:b/>
        </w:rPr>
      </w:pPr>
      <w:r w:rsidRPr="005C2B31">
        <w:rPr>
          <w:b/>
        </w:rPr>
        <w:t>Justification</w:t>
      </w:r>
    </w:p>
    <w:p w:rsidR="00562EE5" w:rsidP="00092BD9" w14:paraId="20A9A201" w14:textId="77777777">
      <w:pPr>
        <w:pStyle w:val="Footer"/>
        <w:tabs>
          <w:tab w:val="clear" w:pos="4320"/>
          <w:tab w:val="clear" w:pos="8640"/>
        </w:tabs>
        <w:ind w:left="720"/>
        <w:rPr>
          <w:b/>
        </w:rPr>
      </w:pPr>
    </w:p>
    <w:p w:rsidR="00811CB2" w:rsidP="00092BD9" w14:paraId="26B8D14A" w14:textId="77777777">
      <w:pPr>
        <w:numPr>
          <w:ilvl w:val="0"/>
          <w:numId w:val="41"/>
        </w:numPr>
        <w:rPr>
          <w:b/>
          <w:bCs/>
          <w:i/>
        </w:rPr>
      </w:pPr>
      <w:r w:rsidRPr="005C2B31">
        <w:rPr>
          <w:b/>
          <w:bCs/>
          <w:i/>
        </w:rPr>
        <w:t>Circumstances that make the collection necessary</w:t>
      </w:r>
      <w:r w:rsidRPr="005C2B31" w:rsidR="00A75944">
        <w:rPr>
          <w:b/>
          <w:bCs/>
          <w:i/>
        </w:rPr>
        <w:t>:</w:t>
      </w:r>
    </w:p>
    <w:p w:rsidR="00D506C6" w:rsidP="00D506C6" w14:paraId="49CC44CF" w14:textId="3C78A087"/>
    <w:p w:rsidR="00D506C6" w:rsidRPr="000F7054" w:rsidP="00D506C6" w14:paraId="6284DE32" w14:textId="3AD12E09">
      <w:pPr>
        <w:ind w:firstLine="720"/>
        <w:rPr>
          <w:sz w:val="22"/>
          <w:szCs w:val="22"/>
        </w:rPr>
      </w:pPr>
      <w:r w:rsidRPr="006F5E7E">
        <w:t xml:space="preserve">The OCC </w:t>
      </w:r>
      <w:r w:rsidR="00AC59C0">
        <w:t>created a</w:t>
      </w:r>
      <w:r w:rsidRPr="006F5E7E">
        <w:t xml:space="preserve"> form titled “</w:t>
      </w:r>
      <w:r>
        <w:t xml:space="preserve">Community Reinvestment Act </w:t>
      </w:r>
      <w:r w:rsidRPr="006F5E7E">
        <w:t xml:space="preserve">Qualifying Activities Confirmation Request Form” </w:t>
      </w:r>
      <w:bookmarkStart w:id="0" w:name="_Hlk79054945"/>
      <w:r w:rsidRPr="000F7054">
        <w:t xml:space="preserve">to address the need for a qualifying activities confirmation process that would allow banks and interested parties to ascertain whether an activity qualifies under the Community Reinvestment Act (CRA).  The process was well-received and strongly supported by commenters on the OCC ANPR and NPR that resulted in the </w:t>
      </w:r>
      <w:r w:rsidR="00BF7F02">
        <w:t>CRA</w:t>
      </w:r>
      <w:r w:rsidRPr="000F7054">
        <w:t xml:space="preserve"> final rule</w:t>
      </w:r>
      <w:r w:rsidR="00BF7F02">
        <w:t xml:space="preserve"> issued by the OCC in 2020 (2020 CRA final rule)</w:t>
      </w:r>
      <w:r w:rsidRPr="000F7054">
        <w:t>.</w:t>
      </w:r>
      <w:r>
        <w:rPr>
          <w:rStyle w:val="FootnoteReference"/>
        </w:rPr>
        <w:footnoteReference w:id="2"/>
      </w:r>
      <w:r w:rsidR="00D75B1D">
        <w:t xml:space="preserve"> </w:t>
      </w:r>
      <w:r w:rsidRPr="000F7054">
        <w:t> </w:t>
      </w:r>
      <w:r w:rsidRPr="00D75B1D" w:rsidR="00D75B1D">
        <w:t xml:space="preserve">Commenters on the OCC’s September 2021 CRA NPR </w:t>
      </w:r>
      <w:r w:rsidR="00D75B1D">
        <w:t xml:space="preserve">also </w:t>
      </w:r>
      <w:r w:rsidRPr="00D75B1D" w:rsidR="00D75B1D">
        <w:t>expressed continued support for such a confirmation system</w:t>
      </w:r>
      <w:r w:rsidR="00D57290">
        <w:t xml:space="preserve"> and the OCC determined that it was important to </w:t>
      </w:r>
      <w:r w:rsidR="00D57290">
        <w:rPr>
          <w:color w:val="000000"/>
          <w:szCs w:val="19"/>
        </w:rPr>
        <w:t>maintain this confirmation system after adopting the 2021 CRA final rule.</w:t>
      </w:r>
      <w:r>
        <w:rPr>
          <w:rStyle w:val="FootnoteReference"/>
          <w:color w:val="000000"/>
          <w:szCs w:val="19"/>
        </w:rPr>
        <w:footnoteReference w:id="3"/>
      </w:r>
      <w:r w:rsidR="00D75B1D">
        <w:t xml:space="preserve"> </w:t>
      </w:r>
      <w:r w:rsidRPr="00D75B1D" w:rsidR="00D75B1D">
        <w:t xml:space="preserve"> </w:t>
      </w:r>
      <w:r w:rsidRPr="000F7054">
        <w:t xml:space="preserve">The OCC believes that there remains widespread support for such a confirmation system and, thus, has determined that it is important to </w:t>
      </w:r>
      <w:r w:rsidR="00E238CF">
        <w:rPr>
          <w:color w:val="000000"/>
          <w:szCs w:val="19"/>
        </w:rPr>
        <w:t>maintain this confirmation system to</w:t>
      </w:r>
      <w:r w:rsidR="00E238CF">
        <w:t xml:space="preserve"> </w:t>
      </w:r>
      <w:r w:rsidR="00D75B1D">
        <w:t>allow for a</w:t>
      </w:r>
      <w:r w:rsidRPr="000F7054">
        <w:t xml:space="preserve"> more effective and efficient</w:t>
      </w:r>
      <w:r w:rsidR="00D75B1D">
        <w:t xml:space="preserve"> </w:t>
      </w:r>
      <w:r w:rsidRPr="000F7054">
        <w:t xml:space="preserve">confirmation of </w:t>
      </w:r>
      <w:r w:rsidR="00D75B1D">
        <w:t>CRA-</w:t>
      </w:r>
      <w:r w:rsidRPr="000F7054">
        <w:t>qualified activities.</w:t>
      </w:r>
    </w:p>
    <w:bookmarkEnd w:id="0"/>
    <w:p w:rsidR="00811CB2" w:rsidP="00EC3EE2" w14:paraId="528B0D47" w14:textId="77777777"/>
    <w:p w:rsidR="00811CB2" w:rsidP="00EC3EE2" w14:paraId="3B8944F2" w14:textId="77777777">
      <w:pPr>
        <w:numPr>
          <w:ilvl w:val="0"/>
          <w:numId w:val="41"/>
        </w:numPr>
        <w:rPr>
          <w:b/>
          <w:bCs/>
          <w:i/>
        </w:rPr>
      </w:pPr>
      <w:r w:rsidRPr="005C2B31">
        <w:rPr>
          <w:b/>
          <w:bCs/>
          <w:i/>
        </w:rPr>
        <w:t>Use of the information</w:t>
      </w:r>
      <w:r w:rsidRPr="005C2B31" w:rsidR="00A75944">
        <w:rPr>
          <w:b/>
          <w:bCs/>
          <w:i/>
        </w:rPr>
        <w:t>:</w:t>
      </w:r>
    </w:p>
    <w:p w:rsidR="00562EE5" w:rsidRPr="005C2B31" w:rsidP="00EC3EE2" w14:paraId="1C26BDD3" w14:textId="77777777">
      <w:pPr>
        <w:ind w:left="720"/>
        <w:rPr>
          <w:b/>
          <w:i/>
        </w:rPr>
      </w:pPr>
    </w:p>
    <w:p w:rsidR="00EC3EE2" w:rsidRPr="00BE46AE" w:rsidP="00BE46AE" w14:paraId="07EA6C1D" w14:textId="4EF58BE6">
      <w:pPr>
        <w:pStyle w:val="ListParagraph"/>
        <w:widowControl w:val="0"/>
        <w:autoSpaceDE w:val="0"/>
        <w:autoSpaceDN w:val="0"/>
        <w:adjustRightInd w:val="0"/>
        <w:spacing w:after="0" w:line="240" w:lineRule="auto"/>
        <w:ind w:left="0" w:firstLine="360"/>
        <w:rPr>
          <w:rFonts w:ascii="Times New Roman" w:hAnsi="Times New Roman"/>
          <w:sz w:val="24"/>
          <w:szCs w:val="24"/>
        </w:rPr>
      </w:pPr>
      <w:r w:rsidRPr="00456706">
        <w:rPr>
          <w:rFonts w:ascii="Times New Roman" w:eastAsia="Times New Roman" w:hAnsi="Times New Roman"/>
          <w:sz w:val="24"/>
          <w:szCs w:val="24"/>
        </w:rPr>
        <w:t xml:space="preserve">Interested parties may request that the OCC confirm that an activity is a qualifying activity by submitting a complete Qualifying Activity Confirmation Request Form. </w:t>
      </w:r>
    </w:p>
    <w:p w:rsidR="00EC3EE2" w:rsidRPr="00456706" w:rsidP="00EC3EE2" w14:paraId="5A642BD3" w14:textId="77777777">
      <w:pPr>
        <w:pStyle w:val="ListParagraph"/>
        <w:widowControl w:val="0"/>
        <w:autoSpaceDE w:val="0"/>
        <w:autoSpaceDN w:val="0"/>
        <w:adjustRightInd w:val="0"/>
        <w:spacing w:after="0" w:line="240" w:lineRule="auto"/>
        <w:ind w:left="360"/>
        <w:rPr>
          <w:rFonts w:ascii="Times New Roman" w:hAnsi="Times New Roman"/>
          <w:b/>
          <w:sz w:val="24"/>
          <w:szCs w:val="24"/>
        </w:rPr>
      </w:pPr>
    </w:p>
    <w:p w:rsidR="00811CB2" w:rsidRPr="005C2B31" w:rsidP="00EF02C2" w14:paraId="4FF21997" w14:textId="77777777">
      <w:pPr>
        <w:ind w:left="-720" w:firstLine="720"/>
        <w:rPr>
          <w:b/>
          <w:bCs/>
          <w:i/>
        </w:rPr>
      </w:pPr>
      <w:r w:rsidRPr="005C2B31">
        <w:rPr>
          <w:b/>
          <w:bCs/>
          <w:i/>
        </w:rPr>
        <w:t>3. Consideration of the use of improved information technology</w:t>
      </w:r>
      <w:r w:rsidRPr="005C2B31" w:rsidR="00A75944">
        <w:rPr>
          <w:b/>
          <w:bCs/>
          <w:i/>
        </w:rPr>
        <w:t>:</w:t>
      </w:r>
    </w:p>
    <w:p w:rsidR="00811CB2" w:rsidP="00AD02D9" w14:paraId="15CC8AD4" w14:textId="77777777"/>
    <w:p w:rsidR="00811CB2" w:rsidP="00AD02D9" w14:paraId="62F699BE" w14:textId="19597043">
      <w:pPr>
        <w:ind w:firstLine="720"/>
      </w:pPr>
      <w:r>
        <w:t xml:space="preserve">The </w:t>
      </w:r>
      <w:r w:rsidR="00D37986">
        <w:t>OCC</w:t>
      </w:r>
      <w:r>
        <w:t xml:space="preserve"> use</w:t>
      </w:r>
      <w:r w:rsidR="00D37986">
        <w:t>s</w:t>
      </w:r>
      <w:r>
        <w:t xml:space="preserve"> information technology to reduce compliance burden on </w:t>
      </w:r>
      <w:r w:rsidR="00931577">
        <w:t>bank</w:t>
      </w:r>
      <w:r>
        <w:t>s and decrease costs to both the</w:t>
      </w:r>
      <w:r w:rsidR="006352BC">
        <w:t xml:space="preserve"> </w:t>
      </w:r>
      <w:r w:rsidR="00931577">
        <w:t>bank</w:t>
      </w:r>
      <w:r w:rsidR="006352BC">
        <w:t xml:space="preserve">s and the </w:t>
      </w:r>
      <w:r w:rsidR="00D37986">
        <w:t>OCC</w:t>
      </w:r>
      <w:r>
        <w:t>.</w:t>
      </w:r>
    </w:p>
    <w:p w:rsidR="00811CB2" w:rsidP="00AD02D9" w14:paraId="103AFA84" w14:textId="77777777"/>
    <w:p w:rsidR="00811CB2" w:rsidRPr="005C2B31" w:rsidP="00EF02C2" w14:paraId="41A943B0" w14:textId="77777777">
      <w:pPr>
        <w:ind w:left="-144"/>
        <w:rPr>
          <w:b/>
          <w:bCs/>
          <w:i/>
        </w:rPr>
      </w:pPr>
      <w:r>
        <w:rPr>
          <w:b/>
          <w:bCs/>
          <w:i/>
        </w:rPr>
        <w:tab/>
      </w:r>
      <w:r w:rsidRPr="005C2B31">
        <w:rPr>
          <w:b/>
          <w:bCs/>
          <w:i/>
        </w:rPr>
        <w:t>4. Efforts to identify duplication</w:t>
      </w:r>
      <w:r w:rsidRPr="005C2B31" w:rsidR="00A75944">
        <w:rPr>
          <w:b/>
          <w:bCs/>
          <w:i/>
        </w:rPr>
        <w:t>:</w:t>
      </w:r>
    </w:p>
    <w:p w:rsidR="00811CB2" w:rsidP="00AD02D9" w14:paraId="15969773" w14:textId="77777777"/>
    <w:p w:rsidR="00811CB2" w:rsidP="00AD02D9" w14:paraId="4D3CC874" w14:textId="02B400B2">
      <w:pPr>
        <w:ind w:firstLine="720"/>
      </w:pPr>
      <w:r>
        <w:t>The i</w:t>
      </w:r>
      <w:r w:rsidR="004E658D">
        <w:t xml:space="preserve">nformation collected </w:t>
      </w:r>
      <w:r>
        <w:t xml:space="preserve">pertains to </w:t>
      </w:r>
      <w:r w:rsidR="00931577">
        <w:t>bank</w:t>
      </w:r>
      <w:r>
        <w:t>-specific activities</w:t>
      </w:r>
      <w:r w:rsidR="00DC5578">
        <w:t>.  The information</w:t>
      </w:r>
      <w:r>
        <w:t xml:space="preserve"> supports </w:t>
      </w:r>
      <w:r w:rsidR="00931577">
        <w:t>bank</w:t>
      </w:r>
      <w:r>
        <w:t xml:space="preserve">-specific requests for </w:t>
      </w:r>
      <w:r w:rsidR="00131BB7">
        <w:t xml:space="preserve">confirmation </w:t>
      </w:r>
      <w:r>
        <w:t xml:space="preserve">of </w:t>
      </w:r>
      <w:r w:rsidR="00131BB7">
        <w:t>qualifying community development and retail lending activities</w:t>
      </w:r>
      <w:r>
        <w:t>.  For these reasons, the information collected is not otherwise available</w:t>
      </w:r>
      <w:r w:rsidR="00092BD9">
        <w:t xml:space="preserve">.  </w:t>
      </w:r>
    </w:p>
    <w:p w:rsidR="00FA51DB" w:rsidP="00AD02D9" w14:paraId="2FE2F464" w14:textId="77777777">
      <w:pPr>
        <w:rPr>
          <w:b/>
          <w:bCs/>
          <w:i/>
        </w:rPr>
      </w:pPr>
    </w:p>
    <w:p w:rsidR="00811CB2" w:rsidRPr="005C2B31" w:rsidP="00EF02C2" w14:paraId="30C66989" w14:textId="77777777">
      <w:pPr>
        <w:ind w:left="-144"/>
        <w:rPr>
          <w:b/>
          <w:bCs/>
          <w:i/>
        </w:rPr>
      </w:pPr>
      <w:r>
        <w:rPr>
          <w:b/>
          <w:bCs/>
          <w:i/>
        </w:rPr>
        <w:tab/>
      </w:r>
      <w:r w:rsidRPr="005C2B31">
        <w:rPr>
          <w:b/>
          <w:bCs/>
          <w:i/>
        </w:rPr>
        <w:t xml:space="preserve">5. Methods used to minimize burden </w:t>
      </w:r>
      <w:r w:rsidRPr="005C2B31" w:rsidR="00F37AA9">
        <w:rPr>
          <w:b/>
          <w:bCs/>
          <w:i/>
        </w:rPr>
        <w:t xml:space="preserve">if the collection has an impact </w:t>
      </w:r>
      <w:r w:rsidRPr="005C2B31">
        <w:rPr>
          <w:b/>
          <w:bCs/>
          <w:i/>
        </w:rPr>
        <w:t>on small entities</w:t>
      </w:r>
      <w:r w:rsidRPr="005C2B31" w:rsidR="00A75944">
        <w:rPr>
          <w:b/>
          <w:bCs/>
          <w:i/>
        </w:rPr>
        <w:t>:</w:t>
      </w:r>
    </w:p>
    <w:p w:rsidR="00811CB2" w:rsidP="00AD02D9" w14:paraId="46CB7201" w14:textId="77777777">
      <w:pPr>
        <w:rPr>
          <w:b/>
          <w:bCs/>
        </w:rPr>
      </w:pPr>
    </w:p>
    <w:p w:rsidR="00BE66E0" w:rsidP="00AD02D9" w14:paraId="05E163EA" w14:textId="4C6D584A">
      <w:pPr>
        <w:ind w:firstLine="720"/>
      </w:pPr>
      <w:r>
        <w:t xml:space="preserve">The information provided </w:t>
      </w:r>
      <w:r w:rsidR="0006524C">
        <w:t xml:space="preserve">is voluntary and presents a </w:t>
      </w:r>
      <w:r w:rsidR="00811CB2">
        <w:t xml:space="preserve">modest burden </w:t>
      </w:r>
      <w:r w:rsidR="0006524C">
        <w:t>to small banks</w:t>
      </w:r>
      <w:r w:rsidR="00811CB2">
        <w:t xml:space="preserve">.  </w:t>
      </w:r>
    </w:p>
    <w:p w:rsidR="00811CB2" w:rsidP="00AD02D9" w14:paraId="32C2A96D" w14:textId="77777777">
      <w:pPr>
        <w:ind w:firstLine="720"/>
        <w:rPr>
          <w:b/>
          <w:bCs/>
        </w:rPr>
      </w:pPr>
    </w:p>
    <w:p w:rsidR="00811CB2" w:rsidRPr="005C2B31" w:rsidP="00EF02C2" w14:paraId="70EA94E2" w14:textId="45F19A0B">
      <w:pPr>
        <w:ind w:right="432"/>
        <w:rPr>
          <w:b/>
          <w:i/>
        </w:rPr>
      </w:pPr>
      <w:r>
        <w:rPr>
          <w:b/>
          <w:bCs/>
          <w:i/>
        </w:rPr>
        <w:t>6. Consequences to the F</w:t>
      </w:r>
      <w:r w:rsidRPr="005C2B31">
        <w:rPr>
          <w:b/>
          <w:bCs/>
          <w:i/>
        </w:rPr>
        <w:t>ederal</w:t>
      </w:r>
      <w:r w:rsidRPr="005C2B31" w:rsidR="00DC5578">
        <w:rPr>
          <w:b/>
          <w:bCs/>
          <w:i/>
        </w:rPr>
        <w:t xml:space="preserve"> program if the collection was </w:t>
      </w:r>
      <w:r w:rsidRPr="005C2B31">
        <w:rPr>
          <w:b/>
          <w:bCs/>
          <w:i/>
        </w:rPr>
        <w:t>conducted less frequently</w:t>
      </w:r>
      <w:r w:rsidRPr="005C2B31" w:rsidR="009B59E3">
        <w:rPr>
          <w:b/>
          <w:bCs/>
          <w:i/>
        </w:rPr>
        <w:t>:</w:t>
      </w:r>
    </w:p>
    <w:p w:rsidR="00811CB2" w:rsidP="00AD02D9" w14:paraId="725E9D95" w14:textId="77777777"/>
    <w:p w:rsidR="00811CB2" w:rsidP="00AD02D9" w14:paraId="32D04428" w14:textId="0A700179">
      <w:pPr>
        <w:ind w:firstLine="720"/>
      </w:pPr>
      <w:r>
        <w:t xml:space="preserve">Not applicable. The information collected is provided voluntarily by banks or other interested parties on an as needed basis at their option. </w:t>
      </w:r>
      <w:r>
        <w:t xml:space="preserve">  </w:t>
      </w:r>
    </w:p>
    <w:p w:rsidR="00AD7DD3" w:rsidP="00AD02D9" w14:paraId="7AD38313" w14:textId="77777777">
      <w:pPr>
        <w:rPr>
          <w:bCs/>
        </w:rPr>
      </w:pPr>
    </w:p>
    <w:p w:rsidR="00811CB2" w:rsidRPr="005C2B31" w:rsidP="00AD02D9" w14:paraId="1F587A39" w14:textId="60AF6386">
      <w:pPr>
        <w:rPr>
          <w:b/>
          <w:bCs/>
          <w:i/>
        </w:rPr>
      </w:pPr>
      <w:r w:rsidRPr="005C2B31">
        <w:rPr>
          <w:b/>
          <w:bCs/>
          <w:i/>
        </w:rPr>
        <w:t xml:space="preserve">7. </w:t>
      </w:r>
      <w:r w:rsidRPr="005C2B31" w:rsidR="0029337C">
        <w:rPr>
          <w:b/>
          <w:i/>
        </w:rPr>
        <w:t xml:space="preserve">Special circumstances necessitating the collection to be conducted in a manner inconsistent with 5 CFR </w:t>
      </w:r>
      <w:r w:rsidRPr="005C2B31" w:rsidR="005C2B31">
        <w:rPr>
          <w:b/>
          <w:i/>
        </w:rPr>
        <w:t>p</w:t>
      </w:r>
      <w:r w:rsidRPr="005C2B31" w:rsidR="0029337C">
        <w:rPr>
          <w:b/>
          <w:i/>
        </w:rPr>
        <w:t>art 1320:</w:t>
      </w:r>
    </w:p>
    <w:p w:rsidR="00811CB2" w:rsidP="00AD02D9" w14:paraId="20559C2C" w14:textId="77777777"/>
    <w:p w:rsidR="00811CB2" w:rsidP="00AD02D9" w14:paraId="0F55180F" w14:textId="05F525EC">
      <w:pPr>
        <w:ind w:firstLine="720"/>
      </w:pPr>
      <w:r>
        <w:t>The information collection requi</w:t>
      </w:r>
      <w:r w:rsidR="002A5D68">
        <w:t xml:space="preserve">rements </w:t>
      </w:r>
      <w:r w:rsidR="0006524C">
        <w:t xml:space="preserve">related to </w:t>
      </w:r>
      <w:r w:rsidR="002A5D68">
        <w:t xml:space="preserve">the </w:t>
      </w:r>
      <w:r w:rsidR="00D37986">
        <w:t>OCC’s</w:t>
      </w:r>
      <w:r>
        <w:t xml:space="preserve"> CRA regulation are consistent with </w:t>
      </w:r>
      <w:r w:rsidR="005B4659">
        <w:t>5 CFR part 1320</w:t>
      </w:r>
      <w:r>
        <w:t>.</w:t>
      </w:r>
    </w:p>
    <w:p w:rsidR="00811CB2" w:rsidRPr="003962BD" w:rsidP="00AD02D9" w14:paraId="4E88A348" w14:textId="77777777"/>
    <w:p w:rsidR="00811CB2" w:rsidRPr="005C2B31" w:rsidP="00AD02D9" w14:paraId="6AECE4F5" w14:textId="4389E91E">
      <w:pPr>
        <w:rPr>
          <w:b/>
          <w:bCs/>
          <w:i/>
        </w:rPr>
      </w:pPr>
      <w:r w:rsidRPr="005C2B31">
        <w:rPr>
          <w:b/>
          <w:bCs/>
          <w:i/>
        </w:rPr>
        <w:t>8. Efforts to co</w:t>
      </w:r>
      <w:r w:rsidRPr="005C2B31" w:rsidR="00F24564">
        <w:rPr>
          <w:b/>
          <w:bCs/>
          <w:i/>
        </w:rPr>
        <w:t>nsult with persons outside the a</w:t>
      </w:r>
      <w:r w:rsidRPr="005C2B31">
        <w:rPr>
          <w:b/>
          <w:bCs/>
          <w:i/>
        </w:rPr>
        <w:t>gency</w:t>
      </w:r>
      <w:r w:rsidRPr="005C2B31" w:rsidR="00A75944">
        <w:rPr>
          <w:b/>
          <w:bCs/>
          <w:i/>
        </w:rPr>
        <w:t>:</w:t>
      </w:r>
    </w:p>
    <w:p w:rsidR="00811CB2" w:rsidRPr="00162689" w:rsidP="00AD02D9" w14:paraId="1D18891C" w14:textId="77777777"/>
    <w:p w:rsidR="00275DFB" w:rsidP="0071389B" w14:paraId="5F05FFD9" w14:textId="30CA3DF4">
      <w:pPr>
        <w:autoSpaceDE w:val="0"/>
        <w:autoSpaceDN w:val="0"/>
        <w:adjustRightInd w:val="0"/>
        <w:ind w:firstLine="720"/>
        <w:rPr>
          <w:spacing w:val="-1"/>
          <w:szCs w:val="24"/>
        </w:rPr>
      </w:pPr>
      <w:r w:rsidRPr="00162689">
        <w:rPr>
          <w:spacing w:val="-1"/>
          <w:szCs w:val="24"/>
        </w:rPr>
        <w:t xml:space="preserve">The </w:t>
      </w:r>
      <w:r w:rsidR="00D37986">
        <w:rPr>
          <w:spacing w:val="-1"/>
          <w:szCs w:val="24"/>
        </w:rPr>
        <w:t xml:space="preserve">OCC issued a </w:t>
      </w:r>
      <w:r w:rsidR="0071389B">
        <w:rPr>
          <w:spacing w:val="-1"/>
          <w:szCs w:val="24"/>
        </w:rPr>
        <w:t xml:space="preserve">notice for 60 days of comment concerning the collection </w:t>
      </w:r>
      <w:r w:rsidR="00D37986">
        <w:rPr>
          <w:spacing w:val="-1"/>
          <w:szCs w:val="24"/>
        </w:rPr>
        <w:t xml:space="preserve">on </w:t>
      </w:r>
      <w:r w:rsidR="00BB6C11">
        <w:rPr>
          <w:spacing w:val="-1"/>
          <w:szCs w:val="24"/>
        </w:rPr>
        <w:t>April 15, 2025, 90 FR 15783</w:t>
      </w:r>
      <w:r w:rsidR="00D37986">
        <w:rPr>
          <w:spacing w:val="-1"/>
          <w:szCs w:val="24"/>
        </w:rPr>
        <w:t xml:space="preserve">.  </w:t>
      </w:r>
      <w:r w:rsidRPr="00DE11F6" w:rsidR="00BB52F9">
        <w:rPr>
          <w:spacing w:val="-1"/>
          <w:szCs w:val="24"/>
        </w:rPr>
        <w:t>There were no</w:t>
      </w:r>
      <w:r w:rsidRPr="00DE11F6" w:rsidR="005F488E">
        <w:rPr>
          <w:spacing w:val="-1"/>
          <w:szCs w:val="24"/>
        </w:rPr>
        <w:t xml:space="preserve"> </w:t>
      </w:r>
      <w:r w:rsidRPr="00DE11F6" w:rsidR="00DF0CF3">
        <w:rPr>
          <w:spacing w:val="-1"/>
          <w:szCs w:val="24"/>
        </w:rPr>
        <w:t>comments received.</w:t>
      </w:r>
    </w:p>
    <w:p w:rsidR="0071389B" w:rsidP="0071389B" w14:paraId="1B9D3545" w14:textId="77777777">
      <w:pPr>
        <w:autoSpaceDE w:val="0"/>
        <w:autoSpaceDN w:val="0"/>
        <w:adjustRightInd w:val="0"/>
        <w:ind w:firstLine="720"/>
        <w:rPr>
          <w:b/>
          <w:bCs/>
          <w:i/>
        </w:rPr>
      </w:pPr>
    </w:p>
    <w:p w:rsidR="00811CB2" w:rsidRPr="005C2B31" w:rsidP="00AD02D9" w14:paraId="043509D8" w14:textId="148478A1">
      <w:pPr>
        <w:rPr>
          <w:b/>
          <w:bCs/>
          <w:i/>
        </w:rPr>
      </w:pPr>
      <w:r w:rsidRPr="005C2B31">
        <w:rPr>
          <w:b/>
          <w:bCs/>
          <w:i/>
        </w:rPr>
        <w:t>9. Payment to respondents</w:t>
      </w:r>
      <w:r w:rsidRPr="005C2B31" w:rsidR="00A75944">
        <w:rPr>
          <w:b/>
          <w:bCs/>
          <w:i/>
        </w:rPr>
        <w:t>:</w:t>
      </w:r>
    </w:p>
    <w:p w:rsidR="00811CB2" w:rsidP="00AD02D9" w14:paraId="01C74710" w14:textId="77777777"/>
    <w:p w:rsidR="00811CB2" w:rsidP="005F488E" w14:paraId="54FDEF01" w14:textId="77777777">
      <w:pPr>
        <w:ind w:firstLine="720"/>
      </w:pPr>
      <w:r>
        <w:t>Not applicable.  There is no payment to respondents.</w:t>
      </w:r>
    </w:p>
    <w:p w:rsidR="000E6DD2" w:rsidP="00AD02D9" w14:paraId="2CC6CA11" w14:textId="77777777">
      <w:pPr>
        <w:rPr>
          <w:b/>
          <w:bCs/>
          <w:i/>
        </w:rPr>
      </w:pPr>
    </w:p>
    <w:p w:rsidR="00811CB2" w:rsidRPr="005C2B31" w:rsidP="00AD02D9" w14:paraId="6142AA57" w14:textId="391476DE">
      <w:pPr>
        <w:rPr>
          <w:b/>
          <w:bCs/>
          <w:i/>
        </w:rPr>
      </w:pPr>
      <w:r w:rsidRPr="005C2B31">
        <w:rPr>
          <w:b/>
          <w:bCs/>
          <w:i/>
        </w:rPr>
        <w:t>10. Assurance of confidentiality</w:t>
      </w:r>
      <w:r w:rsidRPr="005C2B31" w:rsidR="00A75944">
        <w:rPr>
          <w:b/>
          <w:bCs/>
          <w:i/>
        </w:rPr>
        <w:t>:</w:t>
      </w:r>
    </w:p>
    <w:p w:rsidR="00811CB2" w:rsidP="00AD02D9" w14:paraId="558DC656" w14:textId="77777777"/>
    <w:p w:rsidR="00811CB2" w:rsidP="005F488E" w14:paraId="3AFEBF50" w14:textId="6C5D669E">
      <w:pPr>
        <w:ind w:firstLine="720"/>
      </w:pPr>
      <w:r>
        <w:t>N</w:t>
      </w:r>
      <w:r>
        <w:t>o assurance of confidentiality is made.</w:t>
      </w:r>
    </w:p>
    <w:p w:rsidR="00811CB2" w:rsidRPr="00A75944" w:rsidP="00AD02D9" w14:paraId="59FE3362" w14:textId="77777777"/>
    <w:p w:rsidR="00811CB2" w:rsidRPr="005C2B31" w:rsidP="00AD02D9" w14:paraId="08060FD8" w14:textId="6120F195">
      <w:pPr>
        <w:rPr>
          <w:b/>
          <w:bCs/>
          <w:i/>
        </w:rPr>
      </w:pPr>
      <w:r w:rsidRPr="005C2B31">
        <w:rPr>
          <w:b/>
          <w:bCs/>
          <w:i/>
        </w:rPr>
        <w:t>11. Justification for questions of a sensitive nature</w:t>
      </w:r>
      <w:r w:rsidRPr="005C2B31" w:rsidR="00A75944">
        <w:rPr>
          <w:b/>
          <w:bCs/>
          <w:i/>
        </w:rPr>
        <w:t>:</w:t>
      </w:r>
    </w:p>
    <w:p w:rsidR="00811CB2" w:rsidP="00AD02D9" w14:paraId="6B9A91C1" w14:textId="77777777"/>
    <w:p w:rsidR="00811CB2" w:rsidP="00AD02D9" w14:paraId="23D69379" w14:textId="77777777">
      <w:pPr>
        <w:ind w:firstLine="720"/>
      </w:pPr>
      <w:r>
        <w:t xml:space="preserve">Not applicable.  </w:t>
      </w:r>
    </w:p>
    <w:p w:rsidR="0071389B" w:rsidP="00AD02D9" w14:paraId="274A4DE2" w14:textId="77777777">
      <w:pPr>
        <w:rPr>
          <w:b/>
          <w:bCs/>
          <w:i/>
        </w:rPr>
      </w:pPr>
    </w:p>
    <w:p w:rsidR="00811CB2" w:rsidP="00AD02D9" w14:paraId="478156DF" w14:textId="0432AE03">
      <w:pPr>
        <w:rPr>
          <w:b/>
          <w:bCs/>
          <w:i/>
        </w:rPr>
      </w:pPr>
      <w:r w:rsidRPr="005C2B31">
        <w:rPr>
          <w:b/>
          <w:bCs/>
          <w:i/>
        </w:rPr>
        <w:t xml:space="preserve">12. Burden </w:t>
      </w:r>
      <w:r w:rsidRPr="005C2B31" w:rsidR="008B4E17">
        <w:rPr>
          <w:b/>
          <w:bCs/>
          <w:i/>
        </w:rPr>
        <w:t>e</w:t>
      </w:r>
      <w:r w:rsidRPr="005C2B31">
        <w:rPr>
          <w:b/>
          <w:bCs/>
          <w:i/>
        </w:rPr>
        <w:t>stimate</w:t>
      </w:r>
      <w:r w:rsidRPr="005C2B31" w:rsidR="00A75944">
        <w:rPr>
          <w:b/>
          <w:bCs/>
          <w:i/>
        </w:rPr>
        <w:t>:</w:t>
      </w:r>
    </w:p>
    <w:p w:rsidR="00EF69A4" w:rsidP="00AD02D9" w14:paraId="47EE7C42" w14:textId="77777777">
      <w:pPr>
        <w:rPr>
          <w:b/>
          <w:bCs/>
          <w:i/>
        </w:rPr>
      </w:pPr>
    </w:p>
    <w:tbl>
      <w:tblPr>
        <w:tblW w:w="1089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50"/>
        <w:gridCol w:w="4050"/>
        <w:gridCol w:w="1350"/>
        <w:gridCol w:w="1350"/>
        <w:gridCol w:w="1890"/>
      </w:tblGrid>
      <w:tr w14:paraId="647EBE0E" w14:textId="77777777" w:rsidTr="00EA4E0D">
        <w:tblPrEx>
          <w:tblW w:w="1089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blHeader/>
        </w:trPr>
        <w:tc>
          <w:tcPr>
            <w:tcW w:w="2250" w:type="dxa"/>
            <w:shd w:val="pct20" w:color="auto" w:fill="auto"/>
          </w:tcPr>
          <w:p w:rsidR="00C17E40" w:rsidRPr="00EF69A4" w:rsidP="00691167" w14:paraId="2321C240" w14:textId="72D8D52B">
            <w:pPr>
              <w:keepNext/>
              <w:spacing w:before="240" w:after="60"/>
              <w:outlineLvl w:val="0"/>
              <w:rPr>
                <w:b/>
                <w:kern w:val="28"/>
                <w:sz w:val="20"/>
              </w:rPr>
            </w:pPr>
            <w:r w:rsidRPr="00EF69A4">
              <w:rPr>
                <w:b/>
                <w:kern w:val="28"/>
                <w:sz w:val="20"/>
              </w:rPr>
              <w:t>Burden Type</w:t>
            </w:r>
          </w:p>
        </w:tc>
        <w:tc>
          <w:tcPr>
            <w:tcW w:w="4050" w:type="dxa"/>
            <w:shd w:val="pct20" w:color="auto" w:fill="auto"/>
          </w:tcPr>
          <w:p w:rsidR="00C17E40" w:rsidRPr="00EF69A4" w:rsidP="00691167" w14:paraId="6125D5A8" w14:textId="77777777">
            <w:pPr>
              <w:keepNext/>
              <w:spacing w:before="240" w:after="60"/>
              <w:outlineLvl w:val="0"/>
              <w:rPr>
                <w:b/>
                <w:kern w:val="28"/>
                <w:sz w:val="20"/>
              </w:rPr>
            </w:pPr>
            <w:r w:rsidRPr="00EF69A4">
              <w:rPr>
                <w:b/>
                <w:kern w:val="28"/>
                <w:sz w:val="20"/>
              </w:rPr>
              <w:t>Requirements in 12 CFR 25</w:t>
            </w:r>
          </w:p>
        </w:tc>
        <w:tc>
          <w:tcPr>
            <w:tcW w:w="1350" w:type="dxa"/>
            <w:shd w:val="pct20" w:color="auto" w:fill="auto"/>
          </w:tcPr>
          <w:p w:rsidR="00C17E40" w:rsidRPr="00EF69A4" w:rsidP="00691167" w14:paraId="03828805" w14:textId="77777777">
            <w:pPr>
              <w:keepNext/>
              <w:spacing w:before="240" w:after="60"/>
              <w:jc w:val="center"/>
              <w:outlineLvl w:val="0"/>
              <w:rPr>
                <w:b/>
                <w:kern w:val="28"/>
                <w:sz w:val="20"/>
              </w:rPr>
            </w:pPr>
            <w:r w:rsidRPr="00EF69A4">
              <w:rPr>
                <w:b/>
                <w:kern w:val="28"/>
                <w:sz w:val="20"/>
              </w:rPr>
              <w:t>No. of Respondents</w:t>
            </w:r>
          </w:p>
          <w:p w:rsidR="00C17E40" w:rsidRPr="00EF69A4" w:rsidP="00691167" w14:paraId="41A8D034" w14:textId="77777777">
            <w:pPr>
              <w:jc w:val="center"/>
              <w:rPr>
                <w:sz w:val="20"/>
              </w:rPr>
            </w:pPr>
          </w:p>
        </w:tc>
        <w:tc>
          <w:tcPr>
            <w:tcW w:w="1350" w:type="dxa"/>
            <w:shd w:val="pct20" w:color="auto" w:fill="auto"/>
          </w:tcPr>
          <w:p w:rsidR="00C17E40" w:rsidRPr="00EF69A4" w:rsidP="00691167" w14:paraId="04483110" w14:textId="77777777">
            <w:pPr>
              <w:keepNext/>
              <w:spacing w:before="240" w:after="60"/>
              <w:jc w:val="center"/>
              <w:outlineLvl w:val="0"/>
              <w:rPr>
                <w:b/>
                <w:kern w:val="28"/>
                <w:sz w:val="20"/>
              </w:rPr>
            </w:pPr>
            <w:r w:rsidRPr="00EF69A4">
              <w:rPr>
                <w:b/>
                <w:kern w:val="28"/>
                <w:sz w:val="20"/>
              </w:rPr>
              <w:t>Avg. hours per Response</w:t>
            </w:r>
          </w:p>
        </w:tc>
        <w:tc>
          <w:tcPr>
            <w:tcW w:w="1890" w:type="dxa"/>
            <w:shd w:val="pct20" w:color="auto" w:fill="auto"/>
          </w:tcPr>
          <w:p w:rsidR="00C17E40" w:rsidRPr="00EF69A4" w:rsidP="00691167" w14:paraId="608EE1F1" w14:textId="77777777">
            <w:pPr>
              <w:keepNext/>
              <w:spacing w:before="240" w:after="60"/>
              <w:jc w:val="center"/>
              <w:outlineLvl w:val="0"/>
              <w:rPr>
                <w:b/>
                <w:kern w:val="28"/>
                <w:sz w:val="20"/>
              </w:rPr>
            </w:pPr>
            <w:r w:rsidRPr="00EF69A4">
              <w:rPr>
                <w:b/>
                <w:kern w:val="28"/>
                <w:sz w:val="20"/>
              </w:rPr>
              <w:t>Estimated Burden Hours</w:t>
            </w:r>
          </w:p>
        </w:tc>
      </w:tr>
      <w:tr w14:paraId="4835677E" w14:textId="77777777" w:rsidTr="00691167">
        <w:tblPrEx>
          <w:tblW w:w="10890" w:type="dxa"/>
          <w:tblInd w:w="-522" w:type="dxa"/>
          <w:tblLayout w:type="fixed"/>
          <w:tblLook w:val="0000"/>
        </w:tblPrEx>
        <w:tc>
          <w:tcPr>
            <w:tcW w:w="2250" w:type="dxa"/>
          </w:tcPr>
          <w:p w:rsidR="00C17E40" w:rsidRPr="00EF69A4" w:rsidP="00691167" w14:paraId="64955F48" w14:textId="77777777">
            <w:pPr>
              <w:rPr>
                <w:sz w:val="20"/>
              </w:rPr>
            </w:pPr>
            <w:r w:rsidRPr="00EF69A4">
              <w:rPr>
                <w:sz w:val="20"/>
              </w:rPr>
              <w:t>Optional Reporting</w:t>
            </w:r>
          </w:p>
        </w:tc>
        <w:tc>
          <w:tcPr>
            <w:tcW w:w="4050" w:type="dxa"/>
          </w:tcPr>
          <w:p w:rsidR="00C17E40" w:rsidRPr="00EF69A4" w:rsidP="00691167" w14:paraId="51754BDC" w14:textId="77777777">
            <w:pPr>
              <w:rPr>
                <w:b/>
                <w:iCs/>
                <w:sz w:val="20"/>
                <w:u w:val="single"/>
              </w:rPr>
            </w:pPr>
            <w:r w:rsidRPr="00EF69A4">
              <w:rPr>
                <w:b/>
                <w:iCs/>
                <w:sz w:val="20"/>
                <w:u w:val="single"/>
              </w:rPr>
              <w:t>Qualifying activities confirmation and illustrative list.</w:t>
            </w:r>
          </w:p>
          <w:p w:rsidR="00C17E40" w:rsidRPr="00EF69A4" w:rsidP="00691167" w14:paraId="1BEC16AF" w14:textId="77777777">
            <w:pPr>
              <w:rPr>
                <w:iCs/>
                <w:sz w:val="20"/>
              </w:rPr>
            </w:pPr>
          </w:p>
          <w:p w:rsidR="00C17E40" w:rsidRPr="00EF69A4" w:rsidP="00691167" w14:paraId="4B2EF04B" w14:textId="77777777">
            <w:pPr>
              <w:rPr>
                <w:iCs/>
                <w:sz w:val="20"/>
              </w:rPr>
            </w:pPr>
            <w:r w:rsidRPr="00EF69A4">
              <w:rPr>
                <w:i/>
                <w:iCs/>
                <w:sz w:val="20"/>
                <w:u w:val="single"/>
              </w:rPr>
              <w:t>Process</w:t>
            </w:r>
            <w:r w:rsidRPr="00EF69A4">
              <w:rPr>
                <w:i/>
                <w:iCs/>
                <w:sz w:val="20"/>
              </w:rPr>
              <w:t xml:space="preserve"> </w:t>
            </w:r>
            <w:r w:rsidRPr="00EF69A4">
              <w:rPr>
                <w:iCs/>
                <w:sz w:val="20"/>
              </w:rPr>
              <w:t>– An interested party may request that the OCC confirm that an activity is a qualifying activity by submitting a complete Qualifying Activity Confirmation Request Form.</w:t>
            </w:r>
          </w:p>
          <w:p w:rsidR="00C17E40" w:rsidRPr="00EF69A4" w:rsidP="00691167" w14:paraId="62C55A57" w14:textId="77777777">
            <w:pPr>
              <w:rPr>
                <w:i/>
                <w:iCs/>
                <w:sz w:val="20"/>
                <w:u w:val="single"/>
              </w:rPr>
            </w:pPr>
          </w:p>
        </w:tc>
        <w:tc>
          <w:tcPr>
            <w:tcW w:w="1350" w:type="dxa"/>
          </w:tcPr>
          <w:p w:rsidR="00C17E40" w:rsidRPr="00DE11F6" w:rsidP="00691167" w14:paraId="4827A76D" w14:textId="03CA9148">
            <w:pPr>
              <w:jc w:val="center"/>
              <w:rPr>
                <w:sz w:val="20"/>
              </w:rPr>
            </w:pPr>
            <w:r w:rsidRPr="00DE11F6">
              <w:rPr>
                <w:sz w:val="20"/>
              </w:rPr>
              <w:t>24</w:t>
            </w:r>
          </w:p>
        </w:tc>
        <w:tc>
          <w:tcPr>
            <w:tcW w:w="1350" w:type="dxa"/>
          </w:tcPr>
          <w:p w:rsidR="00C17E40" w:rsidRPr="00DE11F6" w:rsidP="00691167" w14:paraId="344EE90C" w14:textId="0C36B43C">
            <w:pPr>
              <w:jc w:val="center"/>
              <w:rPr>
                <w:sz w:val="20"/>
              </w:rPr>
            </w:pPr>
            <w:r w:rsidRPr="00DE11F6">
              <w:rPr>
                <w:sz w:val="20"/>
              </w:rPr>
              <w:t>19</w:t>
            </w:r>
          </w:p>
        </w:tc>
        <w:tc>
          <w:tcPr>
            <w:tcW w:w="1890" w:type="dxa"/>
          </w:tcPr>
          <w:p w:rsidR="00C17E40" w:rsidRPr="00DE11F6" w:rsidP="00691167" w14:paraId="524F5324" w14:textId="796B50FF">
            <w:pPr>
              <w:jc w:val="right"/>
              <w:rPr>
                <w:sz w:val="20"/>
              </w:rPr>
            </w:pPr>
            <w:r w:rsidRPr="00DE11F6">
              <w:rPr>
                <w:sz w:val="20"/>
              </w:rPr>
              <w:t>456</w:t>
            </w:r>
          </w:p>
        </w:tc>
      </w:tr>
      <w:tr w14:paraId="1DA8F8D3" w14:textId="77777777" w:rsidTr="00691167">
        <w:tblPrEx>
          <w:tblW w:w="10890" w:type="dxa"/>
          <w:tblInd w:w="-522" w:type="dxa"/>
          <w:tblLayout w:type="fixed"/>
          <w:tblLook w:val="0000"/>
        </w:tblPrEx>
        <w:tc>
          <w:tcPr>
            <w:tcW w:w="2250" w:type="dxa"/>
          </w:tcPr>
          <w:p w:rsidR="00C17E40" w:rsidRPr="00EF69A4" w:rsidP="00691167" w14:paraId="07A4E576" w14:textId="77777777">
            <w:pPr>
              <w:keepNext/>
              <w:outlineLvl w:val="7"/>
              <w:rPr>
                <w:b/>
                <w:bCs/>
                <w:sz w:val="20"/>
              </w:rPr>
            </w:pPr>
            <w:r w:rsidRPr="00EF69A4">
              <w:rPr>
                <w:b/>
                <w:bCs/>
                <w:sz w:val="20"/>
              </w:rPr>
              <w:t xml:space="preserve">Total </w:t>
            </w:r>
          </w:p>
        </w:tc>
        <w:tc>
          <w:tcPr>
            <w:tcW w:w="4050" w:type="dxa"/>
          </w:tcPr>
          <w:p w:rsidR="00C17E40" w:rsidRPr="00EF69A4" w:rsidP="00691167" w14:paraId="5C038807" w14:textId="77777777">
            <w:pPr>
              <w:rPr>
                <w:i/>
                <w:iCs/>
                <w:sz w:val="20"/>
                <w:u w:val="single"/>
              </w:rPr>
            </w:pPr>
          </w:p>
        </w:tc>
        <w:tc>
          <w:tcPr>
            <w:tcW w:w="1350" w:type="dxa"/>
          </w:tcPr>
          <w:p w:rsidR="00C17E40" w:rsidRPr="00EF69A4" w:rsidP="00691167" w14:paraId="0E865C2C" w14:textId="77777777">
            <w:pPr>
              <w:keepNext/>
              <w:jc w:val="center"/>
              <w:outlineLvl w:val="8"/>
              <w:rPr>
                <w:b/>
                <w:bCs/>
                <w:sz w:val="20"/>
              </w:rPr>
            </w:pPr>
          </w:p>
        </w:tc>
        <w:tc>
          <w:tcPr>
            <w:tcW w:w="1350" w:type="dxa"/>
          </w:tcPr>
          <w:p w:rsidR="00C17E40" w:rsidRPr="00EF69A4" w:rsidP="00691167" w14:paraId="538ABF7A" w14:textId="77777777">
            <w:pPr>
              <w:keepNext/>
              <w:jc w:val="center"/>
              <w:outlineLvl w:val="8"/>
              <w:rPr>
                <w:b/>
                <w:bCs/>
                <w:sz w:val="20"/>
              </w:rPr>
            </w:pPr>
          </w:p>
        </w:tc>
        <w:tc>
          <w:tcPr>
            <w:tcW w:w="1890" w:type="dxa"/>
          </w:tcPr>
          <w:p w:rsidR="00C17E40" w:rsidRPr="00EF69A4" w:rsidP="00495DD3" w14:paraId="0CE08DB4" w14:textId="53127AD3">
            <w:pPr>
              <w:keepNext/>
              <w:jc w:val="right"/>
              <w:outlineLvl w:val="8"/>
              <w:rPr>
                <w:b/>
                <w:bCs/>
                <w:sz w:val="20"/>
              </w:rPr>
            </w:pPr>
            <w:r>
              <w:rPr>
                <w:b/>
                <w:bCs/>
                <w:sz w:val="20"/>
              </w:rPr>
              <w:t>456</w:t>
            </w:r>
          </w:p>
        </w:tc>
      </w:tr>
    </w:tbl>
    <w:p w:rsidR="00C17E40" w:rsidRPr="00EF69A4" w:rsidP="00C17E40" w14:paraId="765E8699" w14:textId="77777777">
      <w:pPr>
        <w:rPr>
          <w:sz w:val="20"/>
        </w:rPr>
      </w:pPr>
    </w:p>
    <w:p w:rsidR="00B94181" w:rsidRPr="00F17C93" w:rsidP="00AD02D9" w14:paraId="235E9485" w14:textId="77777777">
      <w:pPr>
        <w:tabs>
          <w:tab w:val="left" w:pos="7290"/>
        </w:tabs>
        <w:ind w:right="-90"/>
        <w:rPr>
          <w:b/>
          <w:szCs w:val="24"/>
        </w:rPr>
      </w:pPr>
      <w:r w:rsidRPr="00F17C93">
        <w:rPr>
          <w:b/>
          <w:szCs w:val="24"/>
        </w:rPr>
        <w:t>Cost of Hour Burden:</w:t>
      </w:r>
    </w:p>
    <w:p w:rsidR="00B94181" w:rsidRPr="00F17C93" w:rsidP="00AD02D9" w14:paraId="7E746C62" w14:textId="77777777">
      <w:pPr>
        <w:tabs>
          <w:tab w:val="left" w:pos="7290"/>
        </w:tabs>
        <w:ind w:right="-90"/>
        <w:rPr>
          <w:b/>
          <w:szCs w:val="24"/>
        </w:rPr>
      </w:pPr>
    </w:p>
    <w:p w:rsidR="00B94181" w:rsidRPr="00F17C93" w:rsidP="00AD02D9" w14:paraId="536EE309" w14:textId="77D744B8">
      <w:pPr>
        <w:tabs>
          <w:tab w:val="left" w:pos="7290"/>
        </w:tabs>
        <w:ind w:right="-90"/>
        <w:rPr>
          <w:b/>
          <w:szCs w:val="24"/>
        </w:rPr>
      </w:pPr>
      <w:r>
        <w:rPr>
          <w:b/>
          <w:bCs/>
          <w:szCs w:val="24"/>
        </w:rPr>
        <w:t>456</w:t>
      </w:r>
      <w:r w:rsidR="00210B53">
        <w:rPr>
          <w:b/>
          <w:bCs/>
          <w:sz w:val="20"/>
        </w:rPr>
        <w:t xml:space="preserve"> </w:t>
      </w:r>
      <w:r w:rsidR="00FC12D0">
        <w:rPr>
          <w:b/>
          <w:szCs w:val="24"/>
        </w:rPr>
        <w:t>x $ 1</w:t>
      </w:r>
      <w:r w:rsidR="00BB6C11">
        <w:rPr>
          <w:b/>
          <w:szCs w:val="24"/>
        </w:rPr>
        <w:t>31</w:t>
      </w:r>
      <w:r w:rsidR="00495DD3">
        <w:rPr>
          <w:b/>
          <w:szCs w:val="24"/>
        </w:rPr>
        <w:t>.</w:t>
      </w:r>
      <w:r w:rsidR="00BB6C11">
        <w:rPr>
          <w:b/>
          <w:szCs w:val="24"/>
        </w:rPr>
        <w:t>1</w:t>
      </w:r>
      <w:r w:rsidR="005F488E">
        <w:rPr>
          <w:b/>
          <w:szCs w:val="24"/>
        </w:rPr>
        <w:t>0</w:t>
      </w:r>
      <w:r w:rsidRPr="00F17C93" w:rsidR="00F17C93">
        <w:rPr>
          <w:b/>
          <w:szCs w:val="24"/>
        </w:rPr>
        <w:t xml:space="preserve"> =</w:t>
      </w:r>
      <w:r w:rsidR="00FC12D0">
        <w:rPr>
          <w:b/>
          <w:szCs w:val="24"/>
        </w:rPr>
        <w:t xml:space="preserve"> $ </w:t>
      </w:r>
      <w:r w:rsidR="0040488B">
        <w:rPr>
          <w:b/>
          <w:szCs w:val="24"/>
        </w:rPr>
        <w:t>59,</w:t>
      </w:r>
      <w:r w:rsidR="00BB6C11">
        <w:rPr>
          <w:b/>
          <w:szCs w:val="24"/>
        </w:rPr>
        <w:t>782</w:t>
      </w:r>
      <w:r w:rsidR="0040488B">
        <w:rPr>
          <w:b/>
          <w:szCs w:val="24"/>
        </w:rPr>
        <w:t>.</w:t>
      </w:r>
      <w:r w:rsidR="00BB6C11">
        <w:rPr>
          <w:b/>
          <w:szCs w:val="24"/>
        </w:rPr>
        <w:t>0</w:t>
      </w:r>
      <w:r w:rsidR="0040488B">
        <w:rPr>
          <w:b/>
          <w:szCs w:val="24"/>
        </w:rPr>
        <w:t>0</w:t>
      </w:r>
      <w:r w:rsidR="002A5F00">
        <w:rPr>
          <w:b/>
          <w:szCs w:val="24"/>
        </w:rPr>
        <w:t xml:space="preserve"> (rounded)</w:t>
      </w:r>
    </w:p>
    <w:p w:rsidR="00B94181" w:rsidP="00AD02D9" w14:paraId="6008BECA" w14:textId="77777777">
      <w:pPr>
        <w:tabs>
          <w:tab w:val="left" w:pos="7290"/>
        </w:tabs>
        <w:ind w:right="-90"/>
        <w:rPr>
          <w:szCs w:val="24"/>
        </w:rPr>
      </w:pPr>
    </w:p>
    <w:p w:rsidR="00BB6C11" w:rsidRPr="00BB6C11" w:rsidP="00BB6C11" w14:paraId="51EF7EF6" w14:textId="77777777">
      <w:pPr>
        <w:tabs>
          <w:tab w:val="left" w:pos="7290"/>
        </w:tabs>
        <w:ind w:right="-90"/>
        <w:rPr>
          <w:color w:val="000000"/>
        </w:rPr>
      </w:pPr>
      <w:r w:rsidRPr="00BB6C11">
        <w:rPr>
          <w:color w:val="000000"/>
        </w:rPr>
        <w:t xml:space="preserve">To estimate wages the OCC reviewed May 2024 data for wages (by industry and occupation) from the U.S. Bureau of Labor Statistics (BLS) for credit intermediation and related activities (NAICS 5220A1).  To estimate compensation costs associated with the rule, the OCC uses $131.10 per hour, which is based on the average of the 90th percentile for six occupations adjusted for inflation (3.6 percent as of Q1 2025), plus an additional 35.6 percent for benefits (based on the percent of total compensation allocated to benefits as of Q4 2024 for NAICS 522: credit intermediation and related activities).                                                                                                           </w:t>
      </w:r>
    </w:p>
    <w:p w:rsidR="00811CB2" w:rsidP="00AD02D9" w14:paraId="7D06F2AE" w14:textId="4762EC40">
      <w:r w:rsidRPr="00BB6C11">
        <w:rPr>
          <w:color w:val="000000"/>
        </w:rPr>
        <w:t xml:space="preserve">                                                                                                                </w:t>
      </w:r>
    </w:p>
    <w:p w:rsidR="00811CB2" w:rsidRPr="00E71711" w:rsidP="00AD02D9" w14:paraId="0E98E61D" w14:textId="158AF37A">
      <w:pPr>
        <w:pStyle w:val="BodyText"/>
        <w:rPr>
          <w:i/>
        </w:rPr>
      </w:pPr>
      <w:r w:rsidRPr="00E71711">
        <w:rPr>
          <w:i/>
        </w:rPr>
        <w:t>13.  Estimate of the total annualized cost to respondents</w:t>
      </w:r>
      <w:r w:rsidRPr="00E71711" w:rsidR="00A75944">
        <w:rPr>
          <w:i/>
        </w:rPr>
        <w:t>:</w:t>
      </w:r>
    </w:p>
    <w:p w:rsidR="00811CB2" w:rsidP="00AD02D9" w14:paraId="1AC0A567" w14:textId="77777777"/>
    <w:p w:rsidR="00387507" w:rsidP="00AD02D9" w14:paraId="0A8643D5" w14:textId="5EFCD1F0">
      <w:pPr>
        <w:ind w:firstLine="720"/>
      </w:pPr>
      <w:r w:rsidRPr="00387507">
        <w:t>Not applicable.</w:t>
      </w:r>
    </w:p>
    <w:p w:rsidR="00FC1E26" w:rsidP="00AD02D9" w14:paraId="79CD8F9B" w14:textId="77777777">
      <w:pPr>
        <w:ind w:firstLine="720"/>
      </w:pPr>
    </w:p>
    <w:p w:rsidR="00811CB2" w:rsidRPr="00E71711" w:rsidP="00AD02D9" w14:paraId="5E0B348D" w14:textId="240ED3FC">
      <w:pPr>
        <w:rPr>
          <w:b/>
          <w:i/>
        </w:rPr>
      </w:pPr>
      <w:r w:rsidRPr="00E71711">
        <w:rPr>
          <w:b/>
          <w:bCs/>
          <w:i/>
        </w:rPr>
        <w:t xml:space="preserve">14.  Estimate of annualized cost to the </w:t>
      </w:r>
      <w:r w:rsidR="009D4F9D">
        <w:rPr>
          <w:b/>
          <w:bCs/>
          <w:i/>
        </w:rPr>
        <w:t>f</w:t>
      </w:r>
      <w:r w:rsidRPr="00E71711">
        <w:rPr>
          <w:b/>
          <w:bCs/>
          <w:i/>
        </w:rPr>
        <w:t>ederal government</w:t>
      </w:r>
      <w:r w:rsidRPr="00E71711" w:rsidR="00A75944">
        <w:rPr>
          <w:b/>
          <w:bCs/>
          <w:i/>
        </w:rPr>
        <w:t>:</w:t>
      </w:r>
    </w:p>
    <w:p w:rsidR="00811CB2" w:rsidP="00AD02D9" w14:paraId="6EEC002D" w14:textId="77777777"/>
    <w:p w:rsidR="00387507" w:rsidP="00387507" w14:paraId="25457D31" w14:textId="77777777">
      <w:pPr>
        <w:ind w:firstLine="720"/>
      </w:pPr>
      <w:r>
        <w:t>Not applicable.</w:t>
      </w:r>
    </w:p>
    <w:p w:rsidR="00AD7DD3" w:rsidRPr="00B417E6" w:rsidP="00AD02D9" w14:paraId="3338541C" w14:textId="77777777">
      <w:pPr>
        <w:pStyle w:val="BodyText"/>
        <w:rPr>
          <w:i/>
        </w:rPr>
      </w:pPr>
    </w:p>
    <w:p w:rsidR="00811CB2" w:rsidRPr="00B417E6" w:rsidP="00AD02D9" w14:paraId="12FF909D" w14:textId="28831D56">
      <w:pPr>
        <w:pStyle w:val="BodyText"/>
        <w:rPr>
          <w:i/>
        </w:rPr>
      </w:pPr>
      <w:r w:rsidRPr="00B417E6">
        <w:rPr>
          <w:i/>
        </w:rPr>
        <w:t>15.  Changes in burden:</w:t>
      </w:r>
    </w:p>
    <w:p w:rsidR="0040488B" w:rsidRPr="005B6696" w:rsidP="00DB2BB6" w14:paraId="4E792247" w14:textId="1CD77924">
      <w:pPr>
        <w:widowControl w:val="0"/>
        <w:rPr>
          <w:snapToGrid w:val="0"/>
          <w:szCs w:val="24"/>
        </w:rPr>
      </w:pPr>
    </w:p>
    <w:p w:rsidR="0040488B" w:rsidP="0040488B" w14:paraId="1A2FF7BD" w14:textId="26D8837A">
      <w:pPr>
        <w:widowControl w:val="0"/>
        <w:ind w:firstLine="720"/>
        <w:rPr>
          <w:snapToGrid w:val="0"/>
          <w:szCs w:val="24"/>
        </w:rPr>
      </w:pPr>
      <w:bookmarkStart w:id="1" w:name="_Hlk195089774"/>
      <w:r w:rsidRPr="005B6696">
        <w:rPr>
          <w:snapToGrid w:val="0"/>
          <w:szCs w:val="24"/>
        </w:rPr>
        <w:t>Prior Burden</w:t>
      </w:r>
      <w:r>
        <w:rPr>
          <w:snapToGrid w:val="0"/>
          <w:szCs w:val="24"/>
        </w:rPr>
        <w:t>:  2,280</w:t>
      </w:r>
    </w:p>
    <w:p w:rsidR="0040488B" w:rsidP="0040488B" w14:paraId="3D3FDC1C" w14:textId="3F086064">
      <w:pPr>
        <w:widowControl w:val="0"/>
        <w:ind w:firstLine="720"/>
        <w:rPr>
          <w:snapToGrid w:val="0"/>
          <w:szCs w:val="24"/>
        </w:rPr>
      </w:pPr>
      <w:r>
        <w:rPr>
          <w:snapToGrid w:val="0"/>
          <w:szCs w:val="24"/>
        </w:rPr>
        <w:t>Current Burden:  456 hours.</w:t>
      </w:r>
    </w:p>
    <w:p w:rsidR="0040488B" w:rsidRPr="005B6696" w:rsidP="0040488B" w14:paraId="55EBFED4" w14:textId="5B344F56">
      <w:pPr>
        <w:widowControl w:val="0"/>
        <w:ind w:firstLine="720"/>
        <w:rPr>
          <w:snapToGrid w:val="0"/>
          <w:szCs w:val="24"/>
        </w:rPr>
      </w:pPr>
      <w:r>
        <w:rPr>
          <w:snapToGrid w:val="0"/>
          <w:szCs w:val="24"/>
        </w:rPr>
        <w:t>Difference:  -1,824 hours.</w:t>
      </w:r>
    </w:p>
    <w:bookmarkEnd w:id="1"/>
    <w:p w:rsidR="00351E1F" w:rsidP="00AD02D9" w14:paraId="21F9095A" w14:textId="77777777">
      <w:pPr>
        <w:rPr>
          <w:bCs/>
        </w:rPr>
      </w:pPr>
    </w:p>
    <w:p w:rsidR="00FF5DAB" w:rsidP="00AD02D9" w14:paraId="2AB001CF" w14:textId="53658C52">
      <w:pPr>
        <w:rPr>
          <w:bCs/>
        </w:rPr>
      </w:pPr>
      <w:r>
        <w:rPr>
          <w:bCs/>
        </w:rPr>
        <w:t xml:space="preserve">The initial burden estimate during the implementation of this collection </w:t>
      </w:r>
      <w:r w:rsidR="004D4073">
        <w:rPr>
          <w:bCs/>
        </w:rPr>
        <w:t xml:space="preserve">in 2022 </w:t>
      </w:r>
      <w:r w:rsidRPr="00FF5DAB">
        <w:rPr>
          <w:bCs/>
        </w:rPr>
        <w:t xml:space="preserve">was based on </w:t>
      </w:r>
      <w:r>
        <w:rPr>
          <w:bCs/>
        </w:rPr>
        <w:t xml:space="preserve">the </w:t>
      </w:r>
      <w:r w:rsidRPr="00FF5DAB">
        <w:rPr>
          <w:bCs/>
        </w:rPr>
        <w:t xml:space="preserve">expected volume of </w:t>
      </w:r>
      <w:r w:rsidR="001214FB">
        <w:rPr>
          <w:bCs/>
        </w:rPr>
        <w:t xml:space="preserve">Qualifying Activity Confirmation Request Form </w:t>
      </w:r>
      <w:r w:rsidRPr="00FF5DAB">
        <w:rPr>
          <w:bCs/>
        </w:rPr>
        <w:t>submission</w:t>
      </w:r>
      <w:r w:rsidR="00571E2F">
        <w:rPr>
          <w:bCs/>
        </w:rPr>
        <w:t>s</w:t>
      </w:r>
      <w:r>
        <w:rPr>
          <w:bCs/>
        </w:rPr>
        <w:t>.  T</w:t>
      </w:r>
      <w:r w:rsidRPr="00FF5DAB">
        <w:rPr>
          <w:bCs/>
        </w:rPr>
        <w:t xml:space="preserve">he new estimate is based on the actual </w:t>
      </w:r>
      <w:r>
        <w:rPr>
          <w:bCs/>
        </w:rPr>
        <w:t xml:space="preserve">number of </w:t>
      </w:r>
      <w:r w:rsidRPr="00FF5DAB">
        <w:rPr>
          <w:bCs/>
        </w:rPr>
        <w:t>submissions</w:t>
      </w:r>
      <w:r>
        <w:rPr>
          <w:bCs/>
        </w:rPr>
        <w:t xml:space="preserve"> the agency</w:t>
      </w:r>
      <w:r w:rsidRPr="00FF5DAB">
        <w:rPr>
          <w:bCs/>
        </w:rPr>
        <w:t xml:space="preserve"> received</w:t>
      </w:r>
      <w:r w:rsidR="004D4073">
        <w:rPr>
          <w:bCs/>
        </w:rPr>
        <w:t xml:space="preserve"> in</w:t>
      </w:r>
      <w:r w:rsidR="000B272E">
        <w:rPr>
          <w:bCs/>
        </w:rPr>
        <w:t xml:space="preserve"> </w:t>
      </w:r>
      <w:r w:rsidR="004D4073">
        <w:rPr>
          <w:bCs/>
        </w:rPr>
        <w:t>2023 and 2024</w:t>
      </w:r>
      <w:r w:rsidRPr="00FF5DAB">
        <w:rPr>
          <w:bCs/>
        </w:rPr>
        <w:t xml:space="preserve">.  </w:t>
      </w:r>
      <w:r>
        <w:rPr>
          <w:bCs/>
        </w:rPr>
        <w:t>The</w:t>
      </w:r>
      <w:r w:rsidRPr="00FF5DAB">
        <w:rPr>
          <w:bCs/>
        </w:rPr>
        <w:t xml:space="preserve"> expected volume estimate was significantly higher than actual submissions.</w:t>
      </w:r>
    </w:p>
    <w:p w:rsidR="00FF5DAB" w:rsidRPr="00351E1F" w:rsidP="00AD02D9" w14:paraId="446C8582" w14:textId="77777777">
      <w:pPr>
        <w:rPr>
          <w:bCs/>
        </w:rPr>
      </w:pPr>
    </w:p>
    <w:p w:rsidR="00811CB2" w:rsidRPr="00E71711" w:rsidP="00AD02D9" w14:paraId="69E8995C" w14:textId="49093526">
      <w:pPr>
        <w:rPr>
          <w:b/>
          <w:i/>
        </w:rPr>
      </w:pPr>
      <w:r w:rsidRPr="00E71711">
        <w:rPr>
          <w:b/>
          <w:bCs/>
          <w:i/>
        </w:rPr>
        <w:t>16.  Information regarding collections whose results are planned to be published</w:t>
      </w:r>
      <w:r w:rsidRPr="00E71711" w:rsidR="00FC1E26">
        <w:rPr>
          <w:b/>
          <w:bCs/>
          <w:i/>
        </w:rPr>
        <w:t xml:space="preserve"> for statistical purposes</w:t>
      </w:r>
      <w:r w:rsidRPr="00E71711" w:rsidR="00A75944">
        <w:rPr>
          <w:b/>
          <w:bCs/>
          <w:i/>
        </w:rPr>
        <w:t>:</w:t>
      </w:r>
    </w:p>
    <w:p w:rsidR="00811CB2" w:rsidRPr="00E71711" w:rsidP="00AD02D9" w14:paraId="1B504C32" w14:textId="77777777">
      <w:pPr>
        <w:rPr>
          <w:b/>
          <w:i/>
        </w:rPr>
      </w:pPr>
    </w:p>
    <w:p w:rsidR="00811CB2" w:rsidP="00AD02D9" w14:paraId="7287D19C" w14:textId="77777777">
      <w:pPr>
        <w:ind w:firstLine="720"/>
      </w:pPr>
      <w:r>
        <w:t>Not applicable.</w:t>
      </w:r>
    </w:p>
    <w:p w:rsidR="00B45715" w:rsidP="00AD02D9" w14:paraId="5F813765" w14:textId="77777777">
      <w:pPr>
        <w:rPr>
          <w:b/>
          <w:bCs/>
          <w:i/>
        </w:rPr>
      </w:pPr>
    </w:p>
    <w:p w:rsidR="00811CB2" w:rsidRPr="00E71711" w:rsidP="00AD02D9" w14:paraId="7B3702EB" w14:textId="0148C288">
      <w:pPr>
        <w:rPr>
          <w:b/>
          <w:bCs/>
          <w:i/>
        </w:rPr>
      </w:pPr>
      <w:r w:rsidRPr="00E71711">
        <w:rPr>
          <w:b/>
          <w:bCs/>
          <w:i/>
        </w:rPr>
        <w:t>17.  Display of expiration date</w:t>
      </w:r>
      <w:r w:rsidRPr="00E71711" w:rsidR="00A75944">
        <w:rPr>
          <w:b/>
          <w:bCs/>
          <w:i/>
        </w:rPr>
        <w:t>:</w:t>
      </w:r>
    </w:p>
    <w:p w:rsidR="00811CB2" w:rsidP="00AD02D9" w14:paraId="0877DA6D" w14:textId="77777777"/>
    <w:p w:rsidR="00811CB2" w:rsidP="00AD02D9" w14:paraId="79032E2F" w14:textId="626FB084">
      <w:pPr>
        <w:ind w:firstLine="720"/>
      </w:pPr>
      <w:r>
        <w:t xml:space="preserve">Not applicable.  </w:t>
      </w:r>
    </w:p>
    <w:p w:rsidR="00DF26C9" w:rsidP="00AD02D9" w14:paraId="0A0FAFD2" w14:textId="77777777">
      <w:pPr>
        <w:rPr>
          <w:bCs/>
        </w:rPr>
      </w:pPr>
    </w:p>
    <w:p w:rsidR="00811CB2" w:rsidRPr="00E71711" w:rsidP="00AD02D9" w14:paraId="16D8D0C0" w14:textId="5F5B9912">
      <w:pPr>
        <w:rPr>
          <w:b/>
          <w:bCs/>
          <w:i/>
        </w:rPr>
      </w:pPr>
      <w:r w:rsidRPr="00E71711">
        <w:rPr>
          <w:b/>
          <w:bCs/>
          <w:i/>
        </w:rPr>
        <w:t>18.  Exceptions to certification statement</w:t>
      </w:r>
      <w:r w:rsidRPr="00E71711" w:rsidR="00A75944">
        <w:rPr>
          <w:b/>
          <w:bCs/>
          <w:i/>
        </w:rPr>
        <w:t>:</w:t>
      </w:r>
    </w:p>
    <w:p w:rsidR="00811CB2" w:rsidP="00AD02D9" w14:paraId="16CD17D7" w14:textId="77777777"/>
    <w:p w:rsidR="00811CB2" w:rsidP="00AD02D9" w14:paraId="55184E86" w14:textId="77777777">
      <w:pPr>
        <w:ind w:firstLine="720"/>
      </w:pPr>
      <w:bookmarkStart w:id="2" w:name="_Hlk193107433"/>
      <w:r>
        <w:t>Not applicable.</w:t>
      </w:r>
    </w:p>
    <w:bookmarkEnd w:id="2"/>
    <w:p w:rsidR="00811CB2" w:rsidP="00AD02D9" w14:paraId="20894618" w14:textId="77777777">
      <w:pPr>
        <w:rPr>
          <w:b/>
        </w:rPr>
      </w:pPr>
    </w:p>
    <w:p w:rsidR="00811CB2" w:rsidRPr="00E71711" w:rsidP="00AD02D9" w14:paraId="4D52D146" w14:textId="580C342F">
      <w:pPr>
        <w:pStyle w:val="Heading2"/>
        <w:spacing w:before="0" w:after="0"/>
        <w:rPr>
          <w:bCs/>
        </w:rPr>
      </w:pPr>
      <w:r w:rsidRPr="00E71711">
        <w:rPr>
          <w:bCs/>
        </w:rPr>
        <w:t>B.  Collections of information employing statistical methods</w:t>
      </w:r>
    </w:p>
    <w:p w:rsidR="00811CB2" w:rsidP="00AD02D9" w14:paraId="7D333A00" w14:textId="77777777"/>
    <w:p w:rsidR="00811CB2" w:rsidP="00AD02D9" w14:paraId="31450E75" w14:textId="77777777">
      <w:pPr>
        <w:ind w:firstLine="720"/>
      </w:pPr>
      <w:r>
        <w:t>Not applicable.</w:t>
      </w:r>
    </w:p>
    <w:p w:rsidR="00811CB2" w:rsidP="00AD02D9" w14:paraId="41486D1B" w14:textId="77777777"/>
    <w:sectPr w:rsidSect="00F4260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0" w:footer="432"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7C90" w14:paraId="6793BCD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37C90" w14:paraId="29C00E2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7C90" w14:paraId="31D9745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A16B4">
      <w:rPr>
        <w:rStyle w:val="PageNumber"/>
        <w:noProof/>
      </w:rPr>
      <w:t>2</w:t>
    </w:r>
    <w:r>
      <w:rPr>
        <w:rStyle w:val="PageNumber"/>
      </w:rPr>
      <w:fldChar w:fldCharType="end"/>
    </w:r>
  </w:p>
  <w:p w:rsidR="00737C90" w14:paraId="7E50796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1BCE" w14:paraId="770EE0C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C1FD6" w14:paraId="1B864154" w14:textId="77777777">
      <w:r>
        <w:separator/>
      </w:r>
    </w:p>
  </w:footnote>
  <w:footnote w:type="continuationSeparator" w:id="1">
    <w:p w:rsidR="00CC1FD6" w14:paraId="6DB84EC7" w14:textId="77777777">
      <w:r>
        <w:continuationSeparator/>
      </w:r>
    </w:p>
  </w:footnote>
  <w:footnote w:id="2">
    <w:p w:rsidR="000B272E" w:rsidP="000B272E" w14:paraId="6C617CFA" w14:textId="77777777">
      <w:pPr>
        <w:pStyle w:val="FootnoteText"/>
      </w:pPr>
      <w:r>
        <w:rPr>
          <w:rStyle w:val="FootnoteReference"/>
        </w:rPr>
        <w:footnoteRef/>
      </w:r>
      <w:r>
        <w:t xml:space="preserve"> </w:t>
      </w:r>
      <w:r w:rsidRPr="00304DF8">
        <w:t>85 FR 34734 (June 5, 2020)</w:t>
      </w:r>
      <w:r>
        <w:t>.</w:t>
      </w:r>
    </w:p>
  </w:footnote>
  <w:footnote w:id="3">
    <w:p w:rsidR="00D57290" w:rsidP="00D57290" w14:paraId="1344E2F9" w14:textId="72B96DD5">
      <w:pPr>
        <w:pStyle w:val="FootnoteText"/>
      </w:pPr>
      <w:r>
        <w:rPr>
          <w:rStyle w:val="FootnoteReference"/>
        </w:rPr>
        <w:footnoteRef/>
      </w:r>
      <w:r>
        <w:t xml:space="preserve"> </w:t>
      </w:r>
      <w:r w:rsidRPr="00C07D6B" w:rsidR="000B272E">
        <w:rPr>
          <w:rFonts w:eastAsiaTheme="majorEastAsia"/>
        </w:rPr>
        <w:t>86 FR 713</w:t>
      </w:r>
      <w:r w:rsidR="000B272E">
        <w:rPr>
          <w:rFonts w:eastAsiaTheme="majorEastAsia"/>
        </w:rPr>
        <w:t xml:space="preserve">28 (Dec. 14, 2021).  </w:t>
      </w:r>
      <w:r>
        <w:t xml:space="preserve">The OCC currently assesses national </w:t>
      </w:r>
      <w:r>
        <w:t>banks’</w:t>
      </w:r>
      <w:r>
        <w:t xml:space="preserve"> and savings associations’ CRA performance under the 2021 regulatory framework.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1BCE" w14:paraId="29ABC55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1BCE" w14:paraId="51CA857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1BCE" w14:paraId="64804ED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8507A2"/>
    <w:multiLevelType w:val="hybridMultilevel"/>
    <w:tmpl w:val="F78E84D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
    <w:nsid w:val="027D25DE"/>
    <w:multiLevelType w:val="hybridMultilevel"/>
    <w:tmpl w:val="C978972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
    <w:nsid w:val="0803199B"/>
    <w:multiLevelType w:val="hybridMultilevel"/>
    <w:tmpl w:val="A7EEE19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9180C26"/>
    <w:multiLevelType w:val="multilevel"/>
    <w:tmpl w:val="577EE89A"/>
    <w:lvl w:ilvl="0">
      <w:start w:val="1"/>
      <w:numFmt w:val="upperRoman"/>
      <w:suff w:val="nothing"/>
      <w:lvlText w:val="Article %1"/>
      <w:lvlJc w:val="left"/>
      <w:pPr>
        <w:ind w:left="0" w:firstLine="0"/>
      </w:pPr>
      <w:rPr>
        <w:b w:val="0"/>
        <w:i w:val="0"/>
      </w:rPr>
    </w:lvl>
    <w:lvl w:ilvl="1">
      <w:start w:val="1"/>
      <w:numFmt w:val="decimal"/>
      <w:lvlText w:val="(%2)"/>
      <w:lvlJc w:val="left"/>
      <w:pPr>
        <w:tabs>
          <w:tab w:val="num" w:pos="36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nsid w:val="0AEE7401"/>
    <w:multiLevelType w:val="hybridMultilevel"/>
    <w:tmpl w:val="421A5DDA"/>
    <w:lvl w:ilvl="0">
      <w:start w:val="2"/>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0B3A5418"/>
    <w:multiLevelType w:val="hybridMultilevel"/>
    <w:tmpl w:val="DD5494C4"/>
    <w:lvl w:ilvl="0">
      <w:start w:val="17"/>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0CCC1986"/>
    <w:multiLevelType w:val="multilevel"/>
    <w:tmpl w:val="CC36E874"/>
    <w:lvl w:ilvl="0">
      <w:start w:val="1"/>
      <w:numFmt w:val="upperRoman"/>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nsid w:val="1642104A"/>
    <w:multiLevelType w:val="hybridMultilevel"/>
    <w:tmpl w:val="B36841C8"/>
    <w:lvl w:ilvl="0">
      <w:start w:val="14"/>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1AA60488"/>
    <w:multiLevelType w:val="hybridMultilevel"/>
    <w:tmpl w:val="DFF084AA"/>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AB24867"/>
    <w:multiLevelType w:val="hybridMultilevel"/>
    <w:tmpl w:val="1B4EF41C"/>
    <w:lvl w:ilvl="0">
      <w:start w:val="15"/>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1C337DB3"/>
    <w:multiLevelType w:val="hybridMultilevel"/>
    <w:tmpl w:val="22A6B1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1F1E7CF5"/>
    <w:multiLevelType w:val="hybridMultilevel"/>
    <w:tmpl w:val="4A169CBC"/>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2">
    <w:nsid w:val="234430C9"/>
    <w:multiLevelType w:val="hybridMultilevel"/>
    <w:tmpl w:val="D6506BEC"/>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28FE4247"/>
    <w:multiLevelType w:val="hybridMultilevel"/>
    <w:tmpl w:val="BC9644EC"/>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4">
    <w:nsid w:val="29FB4B4B"/>
    <w:multiLevelType w:val="hybridMultilevel"/>
    <w:tmpl w:val="D24437F0"/>
    <w:lvl w:ilvl="0">
      <w:start w:val="142"/>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2C6B4E66"/>
    <w:multiLevelType w:val="hybridMultilevel"/>
    <w:tmpl w:val="24540B7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2F2C6128"/>
    <w:multiLevelType w:val="hybridMultilevel"/>
    <w:tmpl w:val="93246158"/>
    <w:lvl w:ilvl="0">
      <w:start w:val="16"/>
      <w:numFmt w:val="decimal"/>
      <w:lvlText w:val="%1."/>
      <w:lvlJc w:val="left"/>
      <w:pPr>
        <w:tabs>
          <w:tab w:val="num" w:pos="780"/>
        </w:tabs>
        <w:ind w:left="780" w:hanging="42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25516C6"/>
    <w:multiLevelType w:val="hybridMultilevel"/>
    <w:tmpl w:val="C242DBD4"/>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8">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nsid w:val="3C776B60"/>
    <w:multiLevelType w:val="hybridMultilevel"/>
    <w:tmpl w:val="2A58CE42"/>
    <w:lvl w:ilvl="0">
      <w:start w:val="142"/>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3CB945A9"/>
    <w:multiLevelType w:val="hybridMultilevel"/>
    <w:tmpl w:val="73202FC0"/>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1">
    <w:nsid w:val="3DF341D3"/>
    <w:multiLevelType w:val="hybridMultilevel"/>
    <w:tmpl w:val="271E0BD8"/>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3E1D1611"/>
    <w:multiLevelType w:val="hybridMultilevel"/>
    <w:tmpl w:val="7F74200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3">
    <w:nsid w:val="408C6B59"/>
    <w:multiLevelType w:val="hybridMultilevel"/>
    <w:tmpl w:val="E1FE63E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4">
    <w:nsid w:val="491F6FC7"/>
    <w:multiLevelType w:val="hybridMultilevel"/>
    <w:tmpl w:val="00505F0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5">
    <w:nsid w:val="545B7A70"/>
    <w:multiLevelType w:val="hybridMultilevel"/>
    <w:tmpl w:val="2840901C"/>
    <w:lvl w:ilvl="0">
      <w:start w:val="14"/>
      <w:numFmt w:val="decimal"/>
      <w:lvlText w:val="%1."/>
      <w:lvlJc w:val="left"/>
      <w:pPr>
        <w:tabs>
          <w:tab w:val="num" w:pos="780"/>
        </w:tabs>
        <w:ind w:left="780" w:hanging="42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5BBA4AA8"/>
    <w:multiLevelType w:val="hybridMultilevel"/>
    <w:tmpl w:val="94F4EF2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65A71297"/>
    <w:multiLevelType w:val="hybridMultilevel"/>
    <w:tmpl w:val="4B021B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72F46F8"/>
    <w:multiLevelType w:val="hybridMultilevel"/>
    <w:tmpl w:val="19C03F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95E0D29"/>
    <w:multiLevelType w:val="hybridMultilevel"/>
    <w:tmpl w:val="91C268C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6F2654E7"/>
    <w:multiLevelType w:val="hybridMultilevel"/>
    <w:tmpl w:val="D94241C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1">
    <w:nsid w:val="76A57ABA"/>
    <w:multiLevelType w:val="hybridMultilevel"/>
    <w:tmpl w:val="1FC0849C"/>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nsid w:val="7B930DA7"/>
    <w:multiLevelType w:val="hybridMultilevel"/>
    <w:tmpl w:val="E2067CF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3">
    <w:nsid w:val="7D5B58AC"/>
    <w:multiLevelType w:val="multilevel"/>
    <w:tmpl w:val="D45EB7CC"/>
    <w:lvl w:ilvl="0">
      <w:start w:val="1"/>
      <w:numFmt w:val="upperRoman"/>
      <w:suff w:val="nothing"/>
      <w:lvlText w:val="Article %1"/>
      <w:lvlJc w:val="left"/>
      <w:pPr>
        <w:ind w:left="0" w:firstLine="0"/>
      </w:pPr>
      <w:rPr>
        <w:b/>
        <w:i w:val="0"/>
      </w:rPr>
    </w:lvl>
    <w:lvl w:ilvl="1">
      <w:start w:val="1"/>
      <w:numFmt w:val="decimalZero"/>
      <w:isLgl/>
      <w:lvlText w:val="Section %1.%2"/>
      <w:lvlJc w:val="left"/>
      <w:pPr>
        <w:tabs>
          <w:tab w:val="num" w:pos="1080"/>
        </w:tabs>
        <w:ind w:left="0" w:firstLine="0"/>
      </w:pPr>
    </w:lvl>
    <w:lvl w:ilvl="2">
      <w:start w:val="1"/>
      <w:numFmt w:val="decimal"/>
      <w:lvlText w:val="(%3)"/>
      <w:lvlJc w:val="left"/>
      <w:pPr>
        <w:tabs>
          <w:tab w:val="num" w:pos="720"/>
        </w:tabs>
        <w:ind w:left="720" w:hanging="720"/>
      </w:pPr>
    </w:lvl>
    <w:lvl w:ilvl="3">
      <w:start w:val="1"/>
      <w:numFmt w:val="lowerLetter"/>
      <w:lvlText w:val="(%4)"/>
      <w:lvlJc w:val="left"/>
      <w:pPr>
        <w:tabs>
          <w:tab w:val="num" w:pos="1080"/>
        </w:tabs>
        <w:ind w:left="720" w:firstLine="0"/>
      </w:pPr>
    </w:lvl>
    <w:lvl w:ilvl="4">
      <w:start w:val="1"/>
      <w:numFmt w:val="lowerRoman"/>
      <w:lvlText w:val="(%5)"/>
      <w:lvlJc w:val="left"/>
      <w:pPr>
        <w:tabs>
          <w:tab w:val="num" w:pos="2160"/>
        </w:tabs>
        <w:ind w:left="2160" w:hanging="720"/>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4">
    <w:nsid w:val="7E9734DD"/>
    <w:multiLevelType w:val="hybridMultilevel"/>
    <w:tmpl w:val="DBA28F2E"/>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048603264">
    <w:abstractNumId w:val="3"/>
  </w:num>
  <w:num w:numId="2" w16cid:durableId="44910577">
    <w:abstractNumId w:val="33"/>
  </w:num>
  <w:num w:numId="3" w16cid:durableId="223567046">
    <w:abstractNumId w:val="18"/>
  </w:num>
  <w:num w:numId="4" w16cid:durableId="1595019184">
    <w:abstractNumId w:val="18"/>
  </w:num>
  <w:num w:numId="5" w16cid:durableId="1358385925">
    <w:abstractNumId w:val="6"/>
  </w:num>
  <w:num w:numId="6" w16cid:durableId="1076853464">
    <w:abstractNumId w:val="6"/>
  </w:num>
  <w:num w:numId="7" w16cid:durableId="1487165930">
    <w:abstractNumId w:val="6"/>
  </w:num>
  <w:num w:numId="8" w16cid:durableId="1871186828">
    <w:abstractNumId w:val="6"/>
  </w:num>
  <w:num w:numId="9" w16cid:durableId="431315855">
    <w:abstractNumId w:val="6"/>
  </w:num>
  <w:num w:numId="10" w16cid:durableId="1047527629">
    <w:abstractNumId w:val="6"/>
  </w:num>
  <w:num w:numId="11" w16cid:durableId="354383333">
    <w:abstractNumId w:val="6"/>
  </w:num>
  <w:num w:numId="12" w16cid:durableId="1911117708">
    <w:abstractNumId w:val="6"/>
  </w:num>
  <w:num w:numId="13" w16cid:durableId="1094861092">
    <w:abstractNumId w:val="18"/>
  </w:num>
  <w:num w:numId="14" w16cid:durableId="1854761534">
    <w:abstractNumId w:val="18"/>
  </w:num>
  <w:num w:numId="15" w16cid:durableId="256400746">
    <w:abstractNumId w:val="18"/>
  </w:num>
  <w:num w:numId="16" w16cid:durableId="1163744444">
    <w:abstractNumId w:val="18"/>
  </w:num>
  <w:num w:numId="17" w16cid:durableId="798036131">
    <w:abstractNumId w:val="34"/>
  </w:num>
  <w:num w:numId="18" w16cid:durableId="397703410">
    <w:abstractNumId w:val="29"/>
  </w:num>
  <w:num w:numId="19" w16cid:durableId="522205511">
    <w:abstractNumId w:val="4"/>
  </w:num>
  <w:num w:numId="20" w16cid:durableId="93400435">
    <w:abstractNumId w:val="23"/>
  </w:num>
  <w:num w:numId="21" w16cid:durableId="873007502">
    <w:abstractNumId w:val="11"/>
  </w:num>
  <w:num w:numId="22" w16cid:durableId="1925919460">
    <w:abstractNumId w:val="22"/>
  </w:num>
  <w:num w:numId="23" w16cid:durableId="983193575">
    <w:abstractNumId w:val="30"/>
  </w:num>
  <w:num w:numId="24" w16cid:durableId="435902769">
    <w:abstractNumId w:val="0"/>
  </w:num>
  <w:num w:numId="25" w16cid:durableId="612327955">
    <w:abstractNumId w:val="32"/>
  </w:num>
  <w:num w:numId="26" w16cid:durableId="417795522">
    <w:abstractNumId w:val="24"/>
  </w:num>
  <w:num w:numId="27" w16cid:durableId="260768258">
    <w:abstractNumId w:val="31"/>
  </w:num>
  <w:num w:numId="28" w16cid:durableId="700667430">
    <w:abstractNumId w:val="26"/>
  </w:num>
  <w:num w:numId="29" w16cid:durableId="2107575592">
    <w:abstractNumId w:val="17"/>
  </w:num>
  <w:num w:numId="30" w16cid:durableId="1357922871">
    <w:abstractNumId w:val="1"/>
  </w:num>
  <w:num w:numId="31" w16cid:durableId="899560175">
    <w:abstractNumId w:val="13"/>
  </w:num>
  <w:num w:numId="32" w16cid:durableId="302395459">
    <w:abstractNumId w:val="25"/>
  </w:num>
  <w:num w:numId="33" w16cid:durableId="960376456">
    <w:abstractNumId w:val="7"/>
  </w:num>
  <w:num w:numId="34" w16cid:durableId="181626123">
    <w:abstractNumId w:val="9"/>
  </w:num>
  <w:num w:numId="35" w16cid:durableId="1975452049">
    <w:abstractNumId w:val="16"/>
  </w:num>
  <w:num w:numId="36" w16cid:durableId="145826242">
    <w:abstractNumId w:val="5"/>
  </w:num>
  <w:num w:numId="37" w16cid:durableId="1209955126">
    <w:abstractNumId w:val="21"/>
  </w:num>
  <w:num w:numId="38" w16cid:durableId="607086238">
    <w:abstractNumId w:val="12"/>
  </w:num>
  <w:num w:numId="39" w16cid:durableId="689530513">
    <w:abstractNumId w:val="19"/>
  </w:num>
  <w:num w:numId="40" w16cid:durableId="6640852">
    <w:abstractNumId w:val="14"/>
  </w:num>
  <w:num w:numId="41" w16cid:durableId="1210187833">
    <w:abstractNumId w:val="8"/>
  </w:num>
  <w:num w:numId="42" w16cid:durableId="1355232808">
    <w:abstractNumId w:val="20"/>
  </w:num>
  <w:num w:numId="43" w16cid:durableId="1377121099">
    <w:abstractNumId w:val="2"/>
  </w:num>
  <w:num w:numId="44" w16cid:durableId="844131177">
    <w:abstractNumId w:val="10"/>
  </w:num>
  <w:num w:numId="45" w16cid:durableId="301038889">
    <w:abstractNumId w:val="27"/>
  </w:num>
  <w:num w:numId="46" w16cid:durableId="661541953">
    <w:abstractNumId w:val="15"/>
  </w:num>
  <w:num w:numId="47" w16cid:durableId="48401157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DBC"/>
    <w:rsid w:val="00000435"/>
    <w:rsid w:val="00000607"/>
    <w:rsid w:val="000056D0"/>
    <w:rsid w:val="00010170"/>
    <w:rsid w:val="00010A7C"/>
    <w:rsid w:val="00011B4C"/>
    <w:rsid w:val="00012BA3"/>
    <w:rsid w:val="00020D77"/>
    <w:rsid w:val="00026CBC"/>
    <w:rsid w:val="0006524C"/>
    <w:rsid w:val="00067517"/>
    <w:rsid w:val="0007241B"/>
    <w:rsid w:val="00080467"/>
    <w:rsid w:val="00084AA5"/>
    <w:rsid w:val="00087A0E"/>
    <w:rsid w:val="00092BD9"/>
    <w:rsid w:val="000A0F04"/>
    <w:rsid w:val="000A3413"/>
    <w:rsid w:val="000B272E"/>
    <w:rsid w:val="000B732C"/>
    <w:rsid w:val="000C63C1"/>
    <w:rsid w:val="000C7BCB"/>
    <w:rsid w:val="000D5613"/>
    <w:rsid w:val="000E6DD2"/>
    <w:rsid w:val="000F1D63"/>
    <w:rsid w:val="000F7054"/>
    <w:rsid w:val="001015A0"/>
    <w:rsid w:val="001070C0"/>
    <w:rsid w:val="00115AA6"/>
    <w:rsid w:val="001214FB"/>
    <w:rsid w:val="00131BB7"/>
    <w:rsid w:val="00162689"/>
    <w:rsid w:val="00163D6D"/>
    <w:rsid w:val="001728A0"/>
    <w:rsid w:val="00177B20"/>
    <w:rsid w:val="001868F6"/>
    <w:rsid w:val="001868FC"/>
    <w:rsid w:val="00186ED6"/>
    <w:rsid w:val="00192874"/>
    <w:rsid w:val="00196FCE"/>
    <w:rsid w:val="001A2CA9"/>
    <w:rsid w:val="001A60D1"/>
    <w:rsid w:val="001A74EC"/>
    <w:rsid w:val="001B0520"/>
    <w:rsid w:val="001B6B27"/>
    <w:rsid w:val="001D2642"/>
    <w:rsid w:val="001E1285"/>
    <w:rsid w:val="001F3215"/>
    <w:rsid w:val="00200E4D"/>
    <w:rsid w:val="00207064"/>
    <w:rsid w:val="002070C4"/>
    <w:rsid w:val="00210B53"/>
    <w:rsid w:val="00215514"/>
    <w:rsid w:val="00215C3B"/>
    <w:rsid w:val="0023236B"/>
    <w:rsid w:val="00232BF7"/>
    <w:rsid w:val="00234B76"/>
    <w:rsid w:val="00241945"/>
    <w:rsid w:val="002428DA"/>
    <w:rsid w:val="00242DAA"/>
    <w:rsid w:val="00251049"/>
    <w:rsid w:val="002523CF"/>
    <w:rsid w:val="00252D5C"/>
    <w:rsid w:val="00255A58"/>
    <w:rsid w:val="00256DBC"/>
    <w:rsid w:val="00260007"/>
    <w:rsid w:val="00264D6B"/>
    <w:rsid w:val="00271F7B"/>
    <w:rsid w:val="00275DFB"/>
    <w:rsid w:val="00277FC8"/>
    <w:rsid w:val="0028071B"/>
    <w:rsid w:val="00281849"/>
    <w:rsid w:val="0029337C"/>
    <w:rsid w:val="00295C66"/>
    <w:rsid w:val="002A0859"/>
    <w:rsid w:val="002A5D68"/>
    <w:rsid w:val="002A5F00"/>
    <w:rsid w:val="002B07B2"/>
    <w:rsid w:val="002B4BEB"/>
    <w:rsid w:val="002C1100"/>
    <w:rsid w:val="002D38C1"/>
    <w:rsid w:val="002D535F"/>
    <w:rsid w:val="002E1265"/>
    <w:rsid w:val="00300927"/>
    <w:rsid w:val="0030176C"/>
    <w:rsid w:val="00302FD2"/>
    <w:rsid w:val="00304DF8"/>
    <w:rsid w:val="003064E5"/>
    <w:rsid w:val="00321633"/>
    <w:rsid w:val="00323778"/>
    <w:rsid w:val="00330C62"/>
    <w:rsid w:val="003365DB"/>
    <w:rsid w:val="00337364"/>
    <w:rsid w:val="00351E1F"/>
    <w:rsid w:val="00356632"/>
    <w:rsid w:val="00357531"/>
    <w:rsid w:val="00375170"/>
    <w:rsid w:val="003843F7"/>
    <w:rsid w:val="00385C21"/>
    <w:rsid w:val="00387507"/>
    <w:rsid w:val="0039300C"/>
    <w:rsid w:val="003962BD"/>
    <w:rsid w:val="003A1BCE"/>
    <w:rsid w:val="003A79C4"/>
    <w:rsid w:val="003B20D4"/>
    <w:rsid w:val="003C0D59"/>
    <w:rsid w:val="003C6231"/>
    <w:rsid w:val="003D3BDD"/>
    <w:rsid w:val="00402D41"/>
    <w:rsid w:val="0040488B"/>
    <w:rsid w:val="00410B9C"/>
    <w:rsid w:val="00425D79"/>
    <w:rsid w:val="0043696A"/>
    <w:rsid w:val="00445401"/>
    <w:rsid w:val="00456706"/>
    <w:rsid w:val="00470128"/>
    <w:rsid w:val="0047125F"/>
    <w:rsid w:val="00473E94"/>
    <w:rsid w:val="00475F55"/>
    <w:rsid w:val="00480EF7"/>
    <w:rsid w:val="00486AF8"/>
    <w:rsid w:val="00490188"/>
    <w:rsid w:val="00490CAD"/>
    <w:rsid w:val="00493263"/>
    <w:rsid w:val="00495DD3"/>
    <w:rsid w:val="004A4142"/>
    <w:rsid w:val="004B0FDE"/>
    <w:rsid w:val="004B1424"/>
    <w:rsid w:val="004B62D0"/>
    <w:rsid w:val="004D4073"/>
    <w:rsid w:val="004D585A"/>
    <w:rsid w:val="004D755F"/>
    <w:rsid w:val="004E041F"/>
    <w:rsid w:val="004E0ADE"/>
    <w:rsid w:val="004E0DF1"/>
    <w:rsid w:val="004E658D"/>
    <w:rsid w:val="00501289"/>
    <w:rsid w:val="005109FB"/>
    <w:rsid w:val="00516979"/>
    <w:rsid w:val="005230FF"/>
    <w:rsid w:val="00523AAB"/>
    <w:rsid w:val="00540B3D"/>
    <w:rsid w:val="00540C15"/>
    <w:rsid w:val="00550F30"/>
    <w:rsid w:val="00561528"/>
    <w:rsid w:val="00562EE5"/>
    <w:rsid w:val="00571E2F"/>
    <w:rsid w:val="00575B1F"/>
    <w:rsid w:val="00582644"/>
    <w:rsid w:val="00582744"/>
    <w:rsid w:val="00591814"/>
    <w:rsid w:val="0059537D"/>
    <w:rsid w:val="005A4760"/>
    <w:rsid w:val="005B12A0"/>
    <w:rsid w:val="005B200F"/>
    <w:rsid w:val="005B4659"/>
    <w:rsid w:val="005B6696"/>
    <w:rsid w:val="005C2B31"/>
    <w:rsid w:val="005C63A7"/>
    <w:rsid w:val="005E46BC"/>
    <w:rsid w:val="005F488E"/>
    <w:rsid w:val="005F5440"/>
    <w:rsid w:val="005F5BE0"/>
    <w:rsid w:val="005F77B3"/>
    <w:rsid w:val="00624C52"/>
    <w:rsid w:val="0062559E"/>
    <w:rsid w:val="006263C0"/>
    <w:rsid w:val="006352BC"/>
    <w:rsid w:val="00636BFA"/>
    <w:rsid w:val="00637908"/>
    <w:rsid w:val="0065184B"/>
    <w:rsid w:val="00651AB5"/>
    <w:rsid w:val="00651F8C"/>
    <w:rsid w:val="00671A80"/>
    <w:rsid w:val="00685306"/>
    <w:rsid w:val="006865D5"/>
    <w:rsid w:val="00690910"/>
    <w:rsid w:val="006909A7"/>
    <w:rsid w:val="00691167"/>
    <w:rsid w:val="006B0DFB"/>
    <w:rsid w:val="006B4B47"/>
    <w:rsid w:val="006B58F7"/>
    <w:rsid w:val="006C2216"/>
    <w:rsid w:val="006C4BBD"/>
    <w:rsid w:val="006D69E9"/>
    <w:rsid w:val="006F2DAB"/>
    <w:rsid w:val="006F5E7E"/>
    <w:rsid w:val="006F706C"/>
    <w:rsid w:val="007069EC"/>
    <w:rsid w:val="00706C8C"/>
    <w:rsid w:val="00713508"/>
    <w:rsid w:val="0071389B"/>
    <w:rsid w:val="00723285"/>
    <w:rsid w:val="00737C90"/>
    <w:rsid w:val="00773C16"/>
    <w:rsid w:val="007777E9"/>
    <w:rsid w:val="007805CA"/>
    <w:rsid w:val="007A0131"/>
    <w:rsid w:val="007B5931"/>
    <w:rsid w:val="007B7D67"/>
    <w:rsid w:val="007D7148"/>
    <w:rsid w:val="007E0192"/>
    <w:rsid w:val="007E1504"/>
    <w:rsid w:val="007E213B"/>
    <w:rsid w:val="007F49E8"/>
    <w:rsid w:val="00801D43"/>
    <w:rsid w:val="00801D88"/>
    <w:rsid w:val="00805672"/>
    <w:rsid w:val="00807E02"/>
    <w:rsid w:val="00811CB2"/>
    <w:rsid w:val="00813527"/>
    <w:rsid w:val="00821EFB"/>
    <w:rsid w:val="008234F4"/>
    <w:rsid w:val="00850EDE"/>
    <w:rsid w:val="00851766"/>
    <w:rsid w:val="008630C4"/>
    <w:rsid w:val="008706A6"/>
    <w:rsid w:val="0087204E"/>
    <w:rsid w:val="008800CF"/>
    <w:rsid w:val="00882DBF"/>
    <w:rsid w:val="00883C67"/>
    <w:rsid w:val="008A1C1E"/>
    <w:rsid w:val="008A7ED2"/>
    <w:rsid w:val="008B4E17"/>
    <w:rsid w:val="008B50FF"/>
    <w:rsid w:val="008C4CC0"/>
    <w:rsid w:val="008D28D1"/>
    <w:rsid w:val="008D5BEA"/>
    <w:rsid w:val="008D7771"/>
    <w:rsid w:val="008E1224"/>
    <w:rsid w:val="008F029C"/>
    <w:rsid w:val="008F19B1"/>
    <w:rsid w:val="008F7085"/>
    <w:rsid w:val="0090108B"/>
    <w:rsid w:val="00902951"/>
    <w:rsid w:val="00910839"/>
    <w:rsid w:val="009160DF"/>
    <w:rsid w:val="00924D61"/>
    <w:rsid w:val="00931577"/>
    <w:rsid w:val="00942AE9"/>
    <w:rsid w:val="009507EC"/>
    <w:rsid w:val="00952305"/>
    <w:rsid w:val="00963371"/>
    <w:rsid w:val="00971E58"/>
    <w:rsid w:val="00974182"/>
    <w:rsid w:val="009861F5"/>
    <w:rsid w:val="009913B6"/>
    <w:rsid w:val="00994307"/>
    <w:rsid w:val="009B0C05"/>
    <w:rsid w:val="009B59E3"/>
    <w:rsid w:val="009D2C9D"/>
    <w:rsid w:val="009D455C"/>
    <w:rsid w:val="009D4F9D"/>
    <w:rsid w:val="009F0782"/>
    <w:rsid w:val="009F4A34"/>
    <w:rsid w:val="00A06C0F"/>
    <w:rsid w:val="00A06DAC"/>
    <w:rsid w:val="00A131B2"/>
    <w:rsid w:val="00A22148"/>
    <w:rsid w:val="00A2492B"/>
    <w:rsid w:val="00A42F8D"/>
    <w:rsid w:val="00A52CC4"/>
    <w:rsid w:val="00A602F9"/>
    <w:rsid w:val="00A75944"/>
    <w:rsid w:val="00A87DF7"/>
    <w:rsid w:val="00A94CDC"/>
    <w:rsid w:val="00AA016C"/>
    <w:rsid w:val="00AA16B4"/>
    <w:rsid w:val="00AA4F3A"/>
    <w:rsid w:val="00AC59C0"/>
    <w:rsid w:val="00AC6F96"/>
    <w:rsid w:val="00AD004F"/>
    <w:rsid w:val="00AD02D9"/>
    <w:rsid w:val="00AD7DD3"/>
    <w:rsid w:val="00AE2A9C"/>
    <w:rsid w:val="00AE35FD"/>
    <w:rsid w:val="00AE7B3D"/>
    <w:rsid w:val="00AF2454"/>
    <w:rsid w:val="00B02EB3"/>
    <w:rsid w:val="00B10E1C"/>
    <w:rsid w:val="00B15E1B"/>
    <w:rsid w:val="00B2150D"/>
    <w:rsid w:val="00B21ECB"/>
    <w:rsid w:val="00B30DBB"/>
    <w:rsid w:val="00B374D6"/>
    <w:rsid w:val="00B417E6"/>
    <w:rsid w:val="00B45715"/>
    <w:rsid w:val="00B7223E"/>
    <w:rsid w:val="00B870DB"/>
    <w:rsid w:val="00B94181"/>
    <w:rsid w:val="00B9636B"/>
    <w:rsid w:val="00BA0DC3"/>
    <w:rsid w:val="00BB52F9"/>
    <w:rsid w:val="00BB6C11"/>
    <w:rsid w:val="00BD486E"/>
    <w:rsid w:val="00BE46AE"/>
    <w:rsid w:val="00BE66E0"/>
    <w:rsid w:val="00BF7F02"/>
    <w:rsid w:val="00C01129"/>
    <w:rsid w:val="00C0389B"/>
    <w:rsid w:val="00C065C8"/>
    <w:rsid w:val="00C07D6B"/>
    <w:rsid w:val="00C17E40"/>
    <w:rsid w:val="00C17F51"/>
    <w:rsid w:val="00C20D04"/>
    <w:rsid w:val="00C22F4A"/>
    <w:rsid w:val="00C233A5"/>
    <w:rsid w:val="00C331EC"/>
    <w:rsid w:val="00C342B2"/>
    <w:rsid w:val="00C34B37"/>
    <w:rsid w:val="00C40508"/>
    <w:rsid w:val="00C4200B"/>
    <w:rsid w:val="00C51AC4"/>
    <w:rsid w:val="00C61399"/>
    <w:rsid w:val="00C70486"/>
    <w:rsid w:val="00C71967"/>
    <w:rsid w:val="00C7532D"/>
    <w:rsid w:val="00C8216E"/>
    <w:rsid w:val="00C8467A"/>
    <w:rsid w:val="00C91C37"/>
    <w:rsid w:val="00C92816"/>
    <w:rsid w:val="00C94260"/>
    <w:rsid w:val="00C9453D"/>
    <w:rsid w:val="00C97111"/>
    <w:rsid w:val="00C97D6B"/>
    <w:rsid w:val="00CA3154"/>
    <w:rsid w:val="00CB785D"/>
    <w:rsid w:val="00CC01A5"/>
    <w:rsid w:val="00CC1FD6"/>
    <w:rsid w:val="00CC22AA"/>
    <w:rsid w:val="00CC2BEF"/>
    <w:rsid w:val="00CE2776"/>
    <w:rsid w:val="00CF13AE"/>
    <w:rsid w:val="00CF75E5"/>
    <w:rsid w:val="00CF7F1A"/>
    <w:rsid w:val="00D157B0"/>
    <w:rsid w:val="00D26881"/>
    <w:rsid w:val="00D33ED7"/>
    <w:rsid w:val="00D37986"/>
    <w:rsid w:val="00D37FB9"/>
    <w:rsid w:val="00D40106"/>
    <w:rsid w:val="00D466F7"/>
    <w:rsid w:val="00D47BD3"/>
    <w:rsid w:val="00D506C6"/>
    <w:rsid w:val="00D57290"/>
    <w:rsid w:val="00D614B9"/>
    <w:rsid w:val="00D62D96"/>
    <w:rsid w:val="00D6397B"/>
    <w:rsid w:val="00D726E7"/>
    <w:rsid w:val="00D75B1D"/>
    <w:rsid w:val="00D85B82"/>
    <w:rsid w:val="00D87DB4"/>
    <w:rsid w:val="00DB0772"/>
    <w:rsid w:val="00DB2BB6"/>
    <w:rsid w:val="00DC5578"/>
    <w:rsid w:val="00DE11F6"/>
    <w:rsid w:val="00DE3652"/>
    <w:rsid w:val="00DE4C42"/>
    <w:rsid w:val="00DE5EC3"/>
    <w:rsid w:val="00DF0CF3"/>
    <w:rsid w:val="00DF26C9"/>
    <w:rsid w:val="00DF7E50"/>
    <w:rsid w:val="00E05380"/>
    <w:rsid w:val="00E12009"/>
    <w:rsid w:val="00E15739"/>
    <w:rsid w:val="00E238CF"/>
    <w:rsid w:val="00E31E29"/>
    <w:rsid w:val="00E3270B"/>
    <w:rsid w:val="00E32E00"/>
    <w:rsid w:val="00E405F1"/>
    <w:rsid w:val="00E614E3"/>
    <w:rsid w:val="00E71711"/>
    <w:rsid w:val="00E71D11"/>
    <w:rsid w:val="00E82D5C"/>
    <w:rsid w:val="00E87290"/>
    <w:rsid w:val="00E9439A"/>
    <w:rsid w:val="00E961A0"/>
    <w:rsid w:val="00E976AA"/>
    <w:rsid w:val="00EA0A78"/>
    <w:rsid w:val="00EA4E0D"/>
    <w:rsid w:val="00EB22DB"/>
    <w:rsid w:val="00EB4369"/>
    <w:rsid w:val="00EC3533"/>
    <w:rsid w:val="00EC3EE2"/>
    <w:rsid w:val="00EC6960"/>
    <w:rsid w:val="00EE209E"/>
    <w:rsid w:val="00EF02C2"/>
    <w:rsid w:val="00EF69A4"/>
    <w:rsid w:val="00F008E8"/>
    <w:rsid w:val="00F02E82"/>
    <w:rsid w:val="00F17C93"/>
    <w:rsid w:val="00F24564"/>
    <w:rsid w:val="00F327E9"/>
    <w:rsid w:val="00F37AA9"/>
    <w:rsid w:val="00F420B5"/>
    <w:rsid w:val="00F4260C"/>
    <w:rsid w:val="00F53692"/>
    <w:rsid w:val="00F5695B"/>
    <w:rsid w:val="00F62B37"/>
    <w:rsid w:val="00F8429E"/>
    <w:rsid w:val="00F84300"/>
    <w:rsid w:val="00F84C99"/>
    <w:rsid w:val="00F859E6"/>
    <w:rsid w:val="00F9559E"/>
    <w:rsid w:val="00FA36A3"/>
    <w:rsid w:val="00FA51DB"/>
    <w:rsid w:val="00FB6A55"/>
    <w:rsid w:val="00FC12D0"/>
    <w:rsid w:val="00FC1E26"/>
    <w:rsid w:val="00FC2759"/>
    <w:rsid w:val="00FD45BE"/>
    <w:rsid w:val="00FF1E56"/>
    <w:rsid w:val="00FF2470"/>
    <w:rsid w:val="00FF5DAB"/>
    <w:rsid w:val="00FF68D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6978E4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uiPriority="99"/>
    <w:lsdException w:name="caption" w:semiHidden="1" w:unhideWhenUsed="1" w:qFormat="1"/>
    <w:lsdException w:name="footnote reference" w:qFormat="1"/>
    <w:lsdException w:name="annotation reference" w:uiPriority="99"/>
    <w:lsdException w:name="Title" w:qFormat="1"/>
    <w:lsdException w:name="Subtitle" w:qFormat="1"/>
    <w:lsdException w:name="Strong" w:qFormat="1"/>
    <w:lsdException w:name="Emphasis" w:qFormat="1"/>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87507"/>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outlineLvl w:val="3"/>
    </w:pPr>
    <w:rPr>
      <w:i/>
      <w:iCs/>
      <w:sz w:val="20"/>
      <w:u w:val="single"/>
    </w:rPr>
  </w:style>
  <w:style w:type="paragraph" w:styleId="Heading5">
    <w:name w:val="heading 5"/>
    <w:basedOn w:val="Normal"/>
    <w:next w:val="Normal"/>
    <w:qFormat/>
    <w:pPr>
      <w:keepNext/>
      <w:outlineLvl w:val="4"/>
    </w:pPr>
    <w:rPr>
      <w:b/>
      <w:bCs/>
      <w:u w:val="single"/>
    </w:rPr>
  </w:style>
  <w:style w:type="paragraph" w:styleId="Heading6">
    <w:name w:val="heading 6"/>
    <w:basedOn w:val="Normal"/>
    <w:next w:val="Normal"/>
    <w:qFormat/>
    <w:pPr>
      <w:keepNext/>
      <w:jc w:val="center"/>
      <w:outlineLvl w:val="5"/>
    </w:pPr>
    <w:rPr>
      <w:b/>
      <w:bCs/>
    </w:rPr>
  </w:style>
  <w:style w:type="paragraph" w:styleId="Heading7">
    <w:name w:val="heading 7"/>
    <w:basedOn w:val="Normal"/>
    <w:next w:val="Normal"/>
    <w:qFormat/>
    <w:pPr>
      <w:keepNext/>
      <w:jc w:val="right"/>
      <w:outlineLvl w:val="6"/>
    </w:pPr>
    <w:rPr>
      <w:b/>
      <w:bCs/>
    </w:rPr>
  </w:style>
  <w:style w:type="paragraph" w:styleId="Heading8">
    <w:name w:val="heading 8"/>
    <w:basedOn w:val="Normal"/>
    <w:next w:val="Normal"/>
    <w:qFormat/>
    <w:pPr>
      <w:keepNext/>
      <w:outlineLvl w:val="7"/>
    </w:pPr>
    <w:rPr>
      <w:b/>
      <w:bCs/>
      <w:sz w:val="20"/>
    </w:rPr>
  </w:style>
  <w:style w:type="paragraph" w:styleId="Heading9">
    <w:name w:val="heading 9"/>
    <w:basedOn w:val="Normal"/>
    <w:next w:val="Normal"/>
    <w:qFormat/>
    <w:pPr>
      <w:keepNext/>
      <w:jc w:val="right"/>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ootnote Reference),12,Appel note de bas de p,BVI fnr,EN Footnote Reference,Footnote,Footnote Reference Superscript,Footnote reference number,Footnote symbol,Nota,SUPERS,Style 16,Style 19,Style 35,Voetnootverwijzing,fr,note TESI"/>
    <w:qFormat/>
    <w:rPr>
      <w:vertAlign w:val="superscript"/>
    </w:rPr>
  </w:style>
  <w:style w:type="paragraph" w:styleId="FootnoteText">
    <w:name w:val="footnote text"/>
    <w:aliases w:val="ALTS FOOTNOTE,Car,Footnote Text Char Char,Footnote Text Char Char Char Char,Footnote Text Char Char Char Char Char Char Char Char Char Char Char Char Char Char Char Char Char,Footnote Text Char1,Footnote Text Char1 Char Char,Style 15,fn,ft"/>
    <w:basedOn w:val="Normal"/>
    <w:link w:val="FootnoteTextChar"/>
    <w:qFormat/>
    <w:rPr>
      <w:sz w:val="20"/>
    </w:rPr>
  </w:style>
  <w:style w:type="paragraph" w:customStyle="1" w:styleId="ArticleNumber">
    <w:name w:val="Article Number"/>
    <w:basedOn w:val="Normal"/>
    <w:pPr>
      <w:numPr>
        <w:numId w:val="16"/>
      </w:numPr>
      <w:spacing w:line="480" w:lineRule="auto"/>
      <w:jc w:val="center"/>
    </w:pPr>
  </w:style>
  <w:style w:type="paragraph" w:customStyle="1" w:styleId="ArticleLevel1">
    <w:name w:val="Article Level (1)"/>
    <w:basedOn w:val="Normal"/>
    <w:pPr>
      <w:numPr>
        <w:ilvl w:val="1"/>
        <w:numId w:val="13"/>
      </w:numPr>
      <w:tabs>
        <w:tab w:val="clear" w:pos="1080"/>
      </w:tabs>
      <w:spacing w:line="480" w:lineRule="auto"/>
    </w:pPr>
  </w:style>
  <w:style w:type="paragraph" w:customStyle="1" w:styleId="ArticleLevela">
    <w:name w:val="Article Level (a)"/>
    <w:basedOn w:val="Normal"/>
    <w:pPr>
      <w:numPr>
        <w:ilvl w:val="2"/>
        <w:numId w:val="14"/>
      </w:numPr>
      <w:tabs>
        <w:tab w:val="clear" w:pos="1440"/>
      </w:tabs>
      <w:spacing w:line="480" w:lineRule="auto"/>
      <w:ind w:left="2160"/>
    </w:pPr>
  </w:style>
  <w:style w:type="paragraph" w:customStyle="1" w:styleId="ArticleLeveli">
    <w:name w:val="Article Level (i)"/>
    <w:basedOn w:val="Normal"/>
    <w:pPr>
      <w:numPr>
        <w:ilvl w:val="3"/>
        <w:numId w:val="15"/>
      </w:numPr>
      <w:tabs>
        <w:tab w:val="clear" w:pos="2160"/>
      </w:tabs>
      <w:spacing w:line="480" w:lineRule="auto"/>
      <w:ind w:left="2880"/>
    </w:pPr>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Pr>
      <w:b/>
      <w:bCs/>
    </w:rPr>
  </w:style>
  <w:style w:type="paragraph" w:styleId="BalloonText">
    <w:name w:val="Balloon Text"/>
    <w:basedOn w:val="Normal"/>
    <w:semiHidden/>
    <w:rsid w:val="00D614B9"/>
    <w:rPr>
      <w:rFonts w:ascii="Tahoma" w:hAnsi="Tahoma" w:cs="Tahoma"/>
      <w:sz w:val="16"/>
      <w:szCs w:val="16"/>
    </w:rPr>
  </w:style>
  <w:style w:type="paragraph" w:styleId="EnvelopeAddress">
    <w:name w:val="envelope address"/>
    <w:basedOn w:val="Normal"/>
    <w:rsid w:val="0065184B"/>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65184B"/>
    <w:rPr>
      <w:rFonts w:ascii="Arial" w:hAnsi="Arial" w:cs="Arial"/>
      <w:sz w:val="20"/>
    </w:rPr>
  </w:style>
  <w:style w:type="paragraph" w:styleId="HTMLPreformatted">
    <w:name w:val="HTML Preformatted"/>
    <w:basedOn w:val="Normal"/>
    <w:link w:val="HTMLPreformattedChar"/>
    <w:uiPriority w:val="99"/>
    <w:unhideWhenUsed/>
    <w:rsid w:val="00396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link w:val="HTMLPreformatted"/>
    <w:uiPriority w:val="99"/>
    <w:rsid w:val="003962BD"/>
    <w:rPr>
      <w:rFonts w:ascii="Courier New" w:hAnsi="Courier New" w:cs="Courier New"/>
    </w:rPr>
  </w:style>
  <w:style w:type="character" w:customStyle="1" w:styleId="FootnoteTextChar">
    <w:name w:val="Footnote Text Char"/>
    <w:aliases w:val="Car Char,Footnote Text Char Char Char,Footnote Text Char Char Char Char Char Char Char Char Char Char Char Char Char Char Char Char Char Char,Footnote Text Char1 Char,Footnote Text Char1 Char Char Char,Style 15 Char,fn Char,ft Char"/>
    <w:link w:val="FootnoteText"/>
    <w:rsid w:val="003962BD"/>
  </w:style>
  <w:style w:type="paragraph" w:styleId="Header">
    <w:name w:val="header"/>
    <w:basedOn w:val="Normal"/>
    <w:link w:val="HeaderChar"/>
    <w:rsid w:val="00F4260C"/>
    <w:pPr>
      <w:tabs>
        <w:tab w:val="center" w:pos="4680"/>
        <w:tab w:val="right" w:pos="9360"/>
      </w:tabs>
    </w:pPr>
  </w:style>
  <w:style w:type="character" w:customStyle="1" w:styleId="HeaderChar">
    <w:name w:val="Header Char"/>
    <w:link w:val="Header"/>
    <w:rsid w:val="00F4260C"/>
    <w:rPr>
      <w:sz w:val="24"/>
    </w:rPr>
  </w:style>
  <w:style w:type="paragraph" w:styleId="ListParagraph">
    <w:name w:val="List Paragraph"/>
    <w:basedOn w:val="Normal"/>
    <w:uiPriority w:val="34"/>
    <w:qFormat/>
    <w:rsid w:val="00562EE5"/>
    <w:pPr>
      <w:spacing w:after="160" w:line="259" w:lineRule="auto"/>
      <w:ind w:left="720"/>
      <w:contextualSpacing/>
    </w:pPr>
    <w:rPr>
      <w:rFonts w:ascii="Calibri" w:eastAsia="Calibri" w:hAnsi="Calibri"/>
      <w:sz w:val="22"/>
      <w:szCs w:val="22"/>
    </w:rPr>
  </w:style>
  <w:style w:type="character" w:styleId="CommentReference">
    <w:name w:val="annotation reference"/>
    <w:uiPriority w:val="99"/>
    <w:unhideWhenUsed/>
    <w:rsid w:val="00210B53"/>
    <w:rPr>
      <w:sz w:val="16"/>
      <w:szCs w:val="16"/>
    </w:rPr>
  </w:style>
  <w:style w:type="paragraph" w:styleId="CommentText">
    <w:name w:val="annotation text"/>
    <w:basedOn w:val="Normal"/>
    <w:link w:val="CommentTextChar"/>
    <w:uiPriority w:val="99"/>
    <w:unhideWhenUsed/>
    <w:rsid w:val="00210B53"/>
    <w:pPr>
      <w:spacing w:after="160"/>
    </w:pPr>
    <w:rPr>
      <w:rFonts w:ascii="Calibri" w:eastAsia="Calibri" w:hAnsi="Calibri"/>
      <w:sz w:val="20"/>
    </w:rPr>
  </w:style>
  <w:style w:type="character" w:customStyle="1" w:styleId="CommentTextChar">
    <w:name w:val="Comment Text Char"/>
    <w:link w:val="CommentText"/>
    <w:uiPriority w:val="99"/>
    <w:rsid w:val="00210B53"/>
    <w:rPr>
      <w:rFonts w:ascii="Calibri" w:eastAsia="Calibri" w:hAnsi="Calibri"/>
    </w:rPr>
  </w:style>
  <w:style w:type="paragraph" w:styleId="CommentSubject">
    <w:name w:val="annotation subject"/>
    <w:basedOn w:val="CommentText"/>
    <w:next w:val="CommentText"/>
    <w:link w:val="CommentSubjectChar"/>
    <w:rsid w:val="00D85B82"/>
    <w:pPr>
      <w:spacing w:after="0"/>
    </w:pPr>
    <w:rPr>
      <w:rFonts w:ascii="Times New Roman" w:eastAsia="Times New Roman" w:hAnsi="Times New Roman"/>
      <w:b/>
      <w:bCs/>
    </w:rPr>
  </w:style>
  <w:style w:type="character" w:customStyle="1" w:styleId="CommentSubjectChar">
    <w:name w:val="Comment Subject Char"/>
    <w:link w:val="CommentSubject"/>
    <w:rsid w:val="00D85B82"/>
    <w:rPr>
      <w:rFonts w:ascii="Calibri" w:eastAsia="Calibri" w:hAnsi="Calibri"/>
      <w:b/>
      <w:bCs/>
    </w:rPr>
  </w:style>
  <w:style w:type="paragraph" w:styleId="Revision">
    <w:name w:val="Revision"/>
    <w:hidden/>
    <w:uiPriority w:val="99"/>
    <w:semiHidden/>
    <w:rsid w:val="005F544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0AE390-B974-4E8A-8E0E-1A0DB8AFA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733</Words>
  <Characters>4459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2025-06-24T17:24:00Z</dcterms:created>
  <dcterms:modified xsi:type="dcterms:W3CDTF">2025-06-24T17:24:00Z</dcterms:modified>
</cp:coreProperties>
</file>