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B927EF" w14:paraId="754F1713" w14:textId="77777777">
      <w:pPr>
        <w:pStyle w:val="Title"/>
        <w:tabs>
          <w:tab w:val="left" w:pos="720"/>
        </w:tabs>
        <w:rPr>
          <w:color w:val="000000"/>
        </w:rPr>
      </w:pPr>
      <w:r>
        <w:rPr>
          <w:color w:val="000000"/>
        </w:rPr>
        <w:t>Supporting Statement</w:t>
      </w:r>
    </w:p>
    <w:p w:rsidR="0051709A" w14:paraId="6E2AFCEA" w14:textId="194CC89E">
      <w:pPr>
        <w:jc w:val="center"/>
        <w:rPr>
          <w:b/>
          <w:bCs/>
          <w:color w:val="000000"/>
        </w:rPr>
      </w:pPr>
      <w:r>
        <w:rPr>
          <w:b/>
          <w:bCs/>
          <w:color w:val="000000"/>
        </w:rPr>
        <w:t>Market Risk</w:t>
      </w:r>
      <w:r>
        <w:rPr>
          <w:b/>
          <w:bCs/>
          <w:color w:val="000000"/>
        </w:rPr>
        <w:t xml:space="preserve"> </w:t>
      </w:r>
    </w:p>
    <w:p w:rsidR="0051709A" w14:paraId="02359D10" w14:textId="6ECD401C">
      <w:pPr>
        <w:jc w:val="center"/>
        <w:rPr>
          <w:b/>
          <w:bCs/>
          <w:color w:val="000000"/>
        </w:rPr>
      </w:pPr>
      <w:r>
        <w:rPr>
          <w:b/>
          <w:bCs/>
          <w:color w:val="000000"/>
        </w:rPr>
        <w:t>OMB Control No.</w:t>
      </w:r>
      <w:r>
        <w:rPr>
          <w:b/>
          <w:bCs/>
          <w:color w:val="000000"/>
        </w:rPr>
        <w:t xml:space="preserve"> 1557-</w:t>
      </w:r>
      <w:r w:rsidR="001941C6">
        <w:rPr>
          <w:b/>
          <w:bCs/>
          <w:color w:val="000000"/>
        </w:rPr>
        <w:t>0247</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P="001941C6" w14:paraId="3203A40D" w14:textId="069D32A5">
      <w:pPr>
        <w:ind w:firstLine="720"/>
        <w:rPr>
          <w:color w:val="000000"/>
        </w:rPr>
      </w:pPr>
      <w:r w:rsidRPr="001941C6">
        <w:rPr>
          <w:color w:val="000000"/>
        </w:rPr>
        <w:t>The Office of the Comptroller of the Currency</w:t>
      </w:r>
      <w:r>
        <w:rPr>
          <w:color w:val="000000"/>
        </w:rPr>
        <w:t>’</w:t>
      </w:r>
      <w:r w:rsidRPr="001941C6">
        <w:rPr>
          <w:color w:val="000000"/>
        </w:rPr>
        <w:t>s (OCC) market risk capital rule (12 CFR</w:t>
      </w:r>
      <w:r>
        <w:rPr>
          <w:color w:val="000000"/>
        </w:rPr>
        <w:t xml:space="preserve"> </w:t>
      </w:r>
      <w:r w:rsidRPr="001941C6">
        <w:rPr>
          <w:color w:val="000000"/>
        </w:rPr>
        <w:t>part 3, subpart F) applies to national banks and Federal savings associations with significant</w:t>
      </w:r>
      <w:r>
        <w:rPr>
          <w:color w:val="000000"/>
        </w:rPr>
        <w:t xml:space="preserve"> </w:t>
      </w:r>
      <w:r w:rsidRPr="001941C6">
        <w:rPr>
          <w:color w:val="000000"/>
        </w:rPr>
        <w:t>exposure to market risk, which include those national banks and Federal savings associations with</w:t>
      </w:r>
      <w:r>
        <w:rPr>
          <w:color w:val="000000"/>
        </w:rPr>
        <w:t xml:space="preserve"> </w:t>
      </w:r>
      <w:r w:rsidRPr="001941C6">
        <w:rPr>
          <w:color w:val="000000"/>
        </w:rPr>
        <w:t>aggregate trading assets and trading liabilities (as reported in the national bank</w:t>
      </w:r>
      <w:r>
        <w:rPr>
          <w:color w:val="000000"/>
        </w:rPr>
        <w:t>’</w:t>
      </w:r>
      <w:r w:rsidRPr="001941C6">
        <w:rPr>
          <w:color w:val="000000"/>
        </w:rPr>
        <w:t>s or Federal</w:t>
      </w:r>
      <w:r>
        <w:rPr>
          <w:color w:val="000000"/>
        </w:rPr>
        <w:t xml:space="preserve"> </w:t>
      </w:r>
      <w:r w:rsidRPr="001941C6">
        <w:rPr>
          <w:color w:val="000000"/>
        </w:rPr>
        <w:t>savings association</w:t>
      </w:r>
      <w:r>
        <w:rPr>
          <w:color w:val="000000"/>
        </w:rPr>
        <w:t>’</w:t>
      </w:r>
      <w:r w:rsidRPr="001941C6">
        <w:rPr>
          <w:color w:val="000000"/>
        </w:rPr>
        <w:t>s most recent Call Report) equal to 10 percent or more of quarter-end total</w:t>
      </w:r>
      <w:r>
        <w:rPr>
          <w:color w:val="000000"/>
        </w:rPr>
        <w:t xml:space="preserve"> </w:t>
      </w:r>
      <w:r w:rsidRPr="001941C6">
        <w:rPr>
          <w:color w:val="000000"/>
        </w:rPr>
        <w:t xml:space="preserve">assets or $1 billion or more. </w:t>
      </w:r>
      <w:r>
        <w:rPr>
          <w:color w:val="000000"/>
        </w:rPr>
        <w:t xml:space="preserve"> </w:t>
      </w:r>
      <w:r w:rsidRPr="001941C6">
        <w:rPr>
          <w:color w:val="000000"/>
        </w:rPr>
        <w:t>The rule captures positions for which the market risk capital rule is</w:t>
      </w:r>
      <w:r>
        <w:rPr>
          <w:color w:val="000000"/>
        </w:rPr>
        <w:t xml:space="preserve"> </w:t>
      </w:r>
      <w:r w:rsidRPr="001941C6">
        <w:rPr>
          <w:color w:val="000000"/>
        </w:rPr>
        <w:t>appropriate</w:t>
      </w:r>
      <w:r w:rsidR="00EF5855">
        <w:rPr>
          <w:color w:val="000000"/>
        </w:rPr>
        <w:t>,</w:t>
      </w:r>
      <w:r w:rsidRPr="001941C6">
        <w:rPr>
          <w:color w:val="000000"/>
        </w:rPr>
        <w:t xml:space="preserve"> reduces procyclicality in market risk capital requirements</w:t>
      </w:r>
      <w:r w:rsidR="00EF5855">
        <w:rPr>
          <w:color w:val="000000"/>
        </w:rPr>
        <w:t>,</w:t>
      </w:r>
      <w:r w:rsidRPr="001941C6">
        <w:rPr>
          <w:color w:val="000000"/>
        </w:rPr>
        <w:t xml:space="preserve"> enhances the risk</w:t>
      </w:r>
      <w:r>
        <w:rPr>
          <w:color w:val="000000"/>
        </w:rPr>
        <w:t xml:space="preserve"> </w:t>
      </w:r>
      <w:r w:rsidRPr="001941C6">
        <w:rPr>
          <w:color w:val="000000"/>
        </w:rPr>
        <w:t>sensitivity of the OCC</w:t>
      </w:r>
      <w:r>
        <w:rPr>
          <w:color w:val="000000"/>
        </w:rPr>
        <w:t>’</w:t>
      </w:r>
      <w:r w:rsidRPr="001941C6">
        <w:rPr>
          <w:color w:val="000000"/>
        </w:rPr>
        <w:t>s capital rules by measuring risks that are not adequately captured under the</w:t>
      </w:r>
      <w:r>
        <w:rPr>
          <w:color w:val="000000"/>
        </w:rPr>
        <w:t xml:space="preserve"> </w:t>
      </w:r>
      <w:r w:rsidRPr="001941C6">
        <w:rPr>
          <w:color w:val="000000"/>
        </w:rPr>
        <w:t>requirements for credit risk</w:t>
      </w:r>
      <w:r w:rsidR="00EF5855">
        <w:rPr>
          <w:color w:val="000000"/>
        </w:rPr>
        <w:t>,</w:t>
      </w:r>
      <w:r w:rsidRPr="001941C6">
        <w:rPr>
          <w:color w:val="000000"/>
        </w:rPr>
        <w:t xml:space="preserve"> and increases transparency through enhanced disclosures. </w:t>
      </w:r>
      <w:r>
        <w:rPr>
          <w:color w:val="000000"/>
        </w:rPr>
        <w:t xml:space="preserve"> </w:t>
      </w:r>
      <w:r w:rsidRPr="001941C6">
        <w:rPr>
          <w:color w:val="000000"/>
        </w:rPr>
        <w:t>The</w:t>
      </w:r>
      <w:r>
        <w:rPr>
          <w:color w:val="000000"/>
        </w:rPr>
        <w:t xml:space="preserve"> </w:t>
      </w:r>
      <w:r w:rsidRPr="001941C6">
        <w:rPr>
          <w:color w:val="000000"/>
        </w:rPr>
        <w:t xml:space="preserve">collection of information </w:t>
      </w:r>
      <w:r w:rsidR="00EF5855">
        <w:rPr>
          <w:color w:val="000000"/>
        </w:rPr>
        <w:t>is</w:t>
      </w:r>
      <w:r w:rsidRPr="001941C6">
        <w:rPr>
          <w:color w:val="000000"/>
        </w:rPr>
        <w:t xml:space="preserve"> necessary to ensure capital adequacy appropriate for the level of</w:t>
      </w:r>
      <w:r>
        <w:rPr>
          <w:color w:val="000000"/>
        </w:rPr>
        <w:t xml:space="preserve"> </w:t>
      </w:r>
      <w:r w:rsidRPr="001941C6">
        <w:rPr>
          <w:color w:val="000000"/>
        </w:rPr>
        <w:t>market risk.</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AD3EEA" w:rsidP="001941C6" w14:paraId="40E1A3DE" w14:textId="672831B5">
      <w:pPr>
        <w:ind w:firstLine="720"/>
        <w:rPr>
          <w:color w:val="000000"/>
        </w:rPr>
      </w:pPr>
      <w:r w:rsidRPr="001941C6">
        <w:rPr>
          <w:color w:val="000000"/>
        </w:rPr>
        <w:t>The information collection requirements ar</w:t>
      </w:r>
      <w:r>
        <w:rPr>
          <w:color w:val="000000"/>
        </w:rPr>
        <w:t>e</w:t>
      </w:r>
      <w:r w:rsidRPr="001941C6">
        <w:rPr>
          <w:color w:val="000000"/>
        </w:rPr>
        <w:t xml:space="preserve"> located at 12 CFR 3.203 through 3.212. </w:t>
      </w:r>
      <w:r w:rsidR="000E203F">
        <w:rPr>
          <w:color w:val="000000"/>
        </w:rPr>
        <w:t xml:space="preserve"> </w:t>
      </w:r>
      <w:r w:rsidRPr="001941C6">
        <w:rPr>
          <w:color w:val="000000"/>
        </w:rPr>
        <w:t>The</w:t>
      </w:r>
      <w:r>
        <w:rPr>
          <w:color w:val="000000"/>
        </w:rPr>
        <w:t xml:space="preserve"> </w:t>
      </w:r>
      <w:r w:rsidRPr="001941C6">
        <w:rPr>
          <w:color w:val="000000"/>
        </w:rPr>
        <w:t>rule enhances risk sensitivity and includes requirements for the public disclosure of certain</w:t>
      </w:r>
      <w:r>
        <w:rPr>
          <w:color w:val="000000"/>
        </w:rPr>
        <w:t xml:space="preserve"> </w:t>
      </w:r>
      <w:r w:rsidRPr="001941C6">
        <w:rPr>
          <w:color w:val="000000"/>
        </w:rPr>
        <w:t>qualitative and quantitative information about the market risk of national banks and Federal</w:t>
      </w:r>
      <w:r>
        <w:rPr>
          <w:color w:val="000000"/>
        </w:rPr>
        <w:t xml:space="preserve"> </w:t>
      </w:r>
      <w:r w:rsidRPr="001941C6">
        <w:rPr>
          <w:color w:val="000000"/>
        </w:rPr>
        <w:t>savings associations.</w:t>
      </w:r>
      <w:r>
        <w:rPr>
          <w:color w:val="000000"/>
        </w:rPr>
        <w:t xml:space="preserve"> </w:t>
      </w:r>
      <w:r w:rsidR="000E203F">
        <w:rPr>
          <w:color w:val="000000"/>
        </w:rPr>
        <w:t xml:space="preserve"> </w:t>
      </w:r>
    </w:p>
    <w:p w:rsidR="00AD3EEA" w:rsidP="001941C6" w14:paraId="770B0B9F" w14:textId="77777777">
      <w:pPr>
        <w:ind w:firstLine="720"/>
        <w:rPr>
          <w:color w:val="000000"/>
        </w:rPr>
      </w:pPr>
    </w:p>
    <w:p w:rsidR="0051709A" w:rsidP="00511DF4" w14:paraId="3266E0E3" w14:textId="251D73FD">
      <w:pPr>
        <w:ind w:firstLine="720"/>
        <w:rPr>
          <w:color w:val="000000"/>
        </w:rPr>
      </w:pPr>
      <w:r w:rsidRPr="001941C6">
        <w:rPr>
          <w:color w:val="000000"/>
        </w:rPr>
        <w:t xml:space="preserve">Section 3.203 sets forth the requirements for applying the market risk framework. </w:t>
      </w:r>
      <w:r>
        <w:rPr>
          <w:color w:val="000000"/>
        </w:rPr>
        <w:t xml:space="preserve"> </w:t>
      </w:r>
      <w:r w:rsidRPr="001941C6" w:rsidR="001941C6">
        <w:rPr>
          <w:color w:val="000000"/>
        </w:rPr>
        <w:t>Section</w:t>
      </w:r>
      <w:r w:rsidR="00AD3EEA">
        <w:rPr>
          <w:color w:val="000000"/>
        </w:rPr>
        <w:t xml:space="preserve"> </w:t>
      </w:r>
      <w:r w:rsidRPr="001941C6" w:rsidR="001941C6">
        <w:rPr>
          <w:color w:val="000000"/>
        </w:rPr>
        <w:t>3.203(a)(</w:t>
      </w:r>
      <w:r w:rsidR="00AD3EEA">
        <w:rPr>
          <w:color w:val="000000"/>
        </w:rPr>
        <w:t>1</w:t>
      </w:r>
      <w:r w:rsidRPr="001941C6" w:rsidR="001941C6">
        <w:rPr>
          <w:color w:val="000000"/>
        </w:rPr>
        <w:t>) requires national banks and Federal savings associations to have clearly defined</w:t>
      </w:r>
      <w:r w:rsidR="00AD3EEA">
        <w:rPr>
          <w:color w:val="000000"/>
        </w:rPr>
        <w:t xml:space="preserve"> </w:t>
      </w:r>
      <w:r w:rsidRPr="001941C6" w:rsidR="001941C6">
        <w:rPr>
          <w:color w:val="000000"/>
        </w:rPr>
        <w:t>policies and procedures for determining which trading assets and trading liabilities ar</w:t>
      </w:r>
      <w:r w:rsidR="00AD3EEA">
        <w:rPr>
          <w:color w:val="000000"/>
        </w:rPr>
        <w:t>e</w:t>
      </w:r>
      <w:r w:rsidRPr="001941C6" w:rsidR="001941C6">
        <w:rPr>
          <w:color w:val="000000"/>
        </w:rPr>
        <w:t xml:space="preserve"> trading</w:t>
      </w:r>
      <w:r w:rsidR="00AD3EEA">
        <w:rPr>
          <w:color w:val="000000"/>
        </w:rPr>
        <w:t xml:space="preserve"> </w:t>
      </w:r>
      <w:r w:rsidRPr="001941C6" w:rsidR="001941C6">
        <w:rPr>
          <w:color w:val="000000"/>
        </w:rPr>
        <w:t xml:space="preserve">positions and specifies the factors a national bank or Federal savings association must </w:t>
      </w:r>
      <w:r w:rsidR="007D52C3">
        <w:rPr>
          <w:color w:val="000000"/>
        </w:rPr>
        <w:t xml:space="preserve">consider </w:t>
      </w:r>
      <w:r w:rsidRPr="001941C6" w:rsidR="001941C6">
        <w:rPr>
          <w:color w:val="000000"/>
        </w:rPr>
        <w:t xml:space="preserve">in drafting those policies and procedures. </w:t>
      </w:r>
      <w:r w:rsidR="000E203F">
        <w:rPr>
          <w:color w:val="000000"/>
        </w:rPr>
        <w:t xml:space="preserve"> </w:t>
      </w:r>
      <w:r w:rsidRPr="001941C6" w:rsidR="001941C6">
        <w:rPr>
          <w:color w:val="000000"/>
        </w:rPr>
        <w:t>Section 3.203(a)(2) requires national banks and</w:t>
      </w:r>
      <w:r w:rsidR="00AD3EEA">
        <w:rPr>
          <w:color w:val="000000"/>
        </w:rPr>
        <w:t xml:space="preserve"> </w:t>
      </w:r>
      <w:r w:rsidRPr="001941C6" w:rsidR="001941C6">
        <w:rPr>
          <w:color w:val="000000"/>
        </w:rPr>
        <w:t>Federal savings associations to have clearly defined trading and hedging strategi</w:t>
      </w:r>
      <w:r w:rsidR="00C330AC">
        <w:rPr>
          <w:color w:val="000000"/>
        </w:rPr>
        <w:t>e</w:t>
      </w:r>
      <w:r w:rsidRPr="001941C6" w:rsidR="001941C6">
        <w:rPr>
          <w:color w:val="000000"/>
        </w:rPr>
        <w:t>s for trading</w:t>
      </w:r>
      <w:r w:rsidR="00AD3EEA">
        <w:rPr>
          <w:color w:val="000000"/>
        </w:rPr>
        <w:t xml:space="preserve"> </w:t>
      </w:r>
      <w:r w:rsidRPr="001941C6" w:rsidR="001941C6">
        <w:rPr>
          <w:color w:val="000000"/>
        </w:rPr>
        <w:t>positions that ar</w:t>
      </w:r>
      <w:r w:rsidR="00AD3EEA">
        <w:rPr>
          <w:color w:val="000000"/>
        </w:rPr>
        <w:t>e</w:t>
      </w:r>
      <w:r w:rsidRPr="001941C6" w:rsidR="001941C6">
        <w:rPr>
          <w:color w:val="000000"/>
        </w:rPr>
        <w:t xml:space="preserve"> approved by senior management and specifi</w:t>
      </w:r>
      <w:r w:rsidR="00C330AC">
        <w:rPr>
          <w:color w:val="000000"/>
        </w:rPr>
        <w:t>e</w:t>
      </w:r>
      <w:r w:rsidRPr="001941C6" w:rsidR="001941C6">
        <w:rPr>
          <w:color w:val="000000"/>
        </w:rPr>
        <w:t>s what those strategi</w:t>
      </w:r>
      <w:r w:rsidR="00C330AC">
        <w:rPr>
          <w:color w:val="000000"/>
        </w:rPr>
        <w:t>e</w:t>
      </w:r>
      <w:r w:rsidRPr="001941C6" w:rsidR="001941C6">
        <w:rPr>
          <w:color w:val="000000"/>
        </w:rPr>
        <w:t>s must</w:t>
      </w:r>
      <w:r w:rsidR="00AD3EEA">
        <w:rPr>
          <w:color w:val="000000"/>
        </w:rPr>
        <w:t xml:space="preserve"> </w:t>
      </w:r>
      <w:r w:rsidRPr="001941C6" w:rsidR="001941C6">
        <w:rPr>
          <w:color w:val="000000"/>
        </w:rPr>
        <w:t xml:space="preserve">articulate. </w:t>
      </w:r>
      <w:r w:rsidR="000E203F">
        <w:rPr>
          <w:color w:val="000000"/>
        </w:rPr>
        <w:t xml:space="preserve"> </w:t>
      </w:r>
      <w:r w:rsidRPr="001941C6" w:rsidR="001941C6">
        <w:rPr>
          <w:color w:val="000000"/>
        </w:rPr>
        <w:t>Section 3.203(b)(</w:t>
      </w:r>
      <w:r w:rsidR="00AD3EEA">
        <w:rPr>
          <w:color w:val="000000"/>
        </w:rPr>
        <w:t>1</w:t>
      </w:r>
      <w:r w:rsidRPr="001941C6" w:rsidR="001941C6">
        <w:rPr>
          <w:color w:val="000000"/>
        </w:rPr>
        <w:t>) requires national banks and Federal savings associations to have</w:t>
      </w:r>
      <w:r w:rsidR="00AD3EEA">
        <w:rPr>
          <w:color w:val="000000"/>
        </w:rPr>
        <w:t xml:space="preserve"> </w:t>
      </w:r>
      <w:r w:rsidRPr="001941C6" w:rsidR="001941C6">
        <w:rPr>
          <w:color w:val="000000"/>
        </w:rPr>
        <w:t>clearly defined policies and procedures for actively managing all covered positions and specifi</w:t>
      </w:r>
      <w:r w:rsidR="00C330AC">
        <w:rPr>
          <w:color w:val="000000"/>
        </w:rPr>
        <w:t>e</w:t>
      </w:r>
      <w:r w:rsidRPr="001941C6" w:rsidR="001941C6">
        <w:rPr>
          <w:color w:val="000000"/>
        </w:rPr>
        <w:t>s</w:t>
      </w:r>
      <w:r w:rsidR="00AD3EEA">
        <w:rPr>
          <w:color w:val="000000"/>
        </w:rPr>
        <w:t xml:space="preserve"> </w:t>
      </w:r>
      <w:r w:rsidRPr="001941C6" w:rsidR="001941C6">
        <w:rPr>
          <w:color w:val="000000"/>
        </w:rPr>
        <w:t xml:space="preserve">the minimum requirements for those policies and procedures. </w:t>
      </w:r>
      <w:r w:rsidR="000E203F">
        <w:rPr>
          <w:color w:val="000000"/>
        </w:rPr>
        <w:t xml:space="preserve"> </w:t>
      </w:r>
      <w:r w:rsidRPr="001941C6" w:rsidR="001941C6">
        <w:rPr>
          <w:color w:val="000000"/>
        </w:rPr>
        <w:t>Section 3.203(c)(</w:t>
      </w:r>
      <w:r w:rsidR="00AD3EEA">
        <w:rPr>
          <w:color w:val="000000"/>
        </w:rPr>
        <w:t>1</w:t>
      </w:r>
      <w:r w:rsidRPr="001941C6" w:rsidR="001941C6">
        <w:rPr>
          <w:color w:val="000000"/>
        </w:rPr>
        <w:t>) requires</w:t>
      </w:r>
      <w:r w:rsidR="00A90DF8">
        <w:rPr>
          <w:color w:val="000000"/>
        </w:rPr>
        <w:t xml:space="preserve"> </w:t>
      </w:r>
      <w:r w:rsidRPr="001941C6" w:rsidR="001941C6">
        <w:rPr>
          <w:color w:val="000000"/>
        </w:rPr>
        <w:t>national banks and Federal savings associations to obtain prior written approval of the OCC before</w:t>
      </w:r>
      <w:r w:rsidR="00A90DF8">
        <w:rPr>
          <w:color w:val="000000"/>
        </w:rPr>
        <w:t xml:space="preserve"> </w:t>
      </w:r>
      <w:r w:rsidRPr="001941C6" w:rsidR="001941C6">
        <w:rPr>
          <w:color w:val="000000"/>
        </w:rPr>
        <w:t>using any internal model to calculate their risk-based capital requirement</w:t>
      </w:r>
      <w:r w:rsidR="00B77A47">
        <w:rPr>
          <w:color w:val="000000"/>
        </w:rPr>
        <w:t>s</w:t>
      </w:r>
      <w:r w:rsidRPr="001941C6" w:rsidR="001941C6">
        <w:rPr>
          <w:color w:val="000000"/>
        </w:rPr>
        <w:t xml:space="preserve"> under the rule.</w:t>
      </w:r>
      <w:r w:rsidR="000E203F">
        <w:rPr>
          <w:color w:val="000000"/>
        </w:rPr>
        <w:t xml:space="preserve"> </w:t>
      </w:r>
      <w:r w:rsidRPr="001941C6" w:rsidR="001941C6">
        <w:rPr>
          <w:color w:val="000000"/>
        </w:rPr>
        <w:t xml:space="preserve"> Sections 3.203(c)(4) through 3.203(c)(</w:t>
      </w:r>
      <w:r w:rsidR="00C330AC">
        <w:rPr>
          <w:color w:val="000000"/>
        </w:rPr>
        <w:t>10</w:t>
      </w:r>
      <w:r w:rsidRPr="001941C6" w:rsidR="001941C6">
        <w:rPr>
          <w:color w:val="000000"/>
        </w:rPr>
        <w:t>) require the review, at least annually, of</w:t>
      </w:r>
      <w:r w:rsidR="00A90DF8">
        <w:rPr>
          <w:color w:val="000000"/>
        </w:rPr>
        <w:t xml:space="preserve"> </w:t>
      </w:r>
      <w:r w:rsidRPr="001941C6" w:rsidR="001941C6">
        <w:rPr>
          <w:color w:val="000000"/>
        </w:rPr>
        <w:t xml:space="preserve">internal models and specify certain requirements for those models. </w:t>
      </w:r>
      <w:r w:rsidR="000E203F">
        <w:rPr>
          <w:color w:val="000000"/>
        </w:rPr>
        <w:t xml:space="preserve"> </w:t>
      </w:r>
      <w:r w:rsidRPr="001941C6" w:rsidR="001941C6">
        <w:rPr>
          <w:color w:val="000000"/>
        </w:rPr>
        <w:t>Section 3.203(d)(4) requires</w:t>
      </w:r>
      <w:r w:rsidR="00A90DF8">
        <w:rPr>
          <w:color w:val="000000"/>
        </w:rPr>
        <w:t xml:space="preserve"> </w:t>
      </w:r>
      <w:r w:rsidRPr="001941C6" w:rsidR="001941C6">
        <w:rPr>
          <w:color w:val="000000"/>
        </w:rPr>
        <w:t>the internal audit group of a national bank or Federal savings association to prepare an annual</w:t>
      </w:r>
      <w:r w:rsidR="00A90DF8">
        <w:rPr>
          <w:color w:val="000000"/>
        </w:rPr>
        <w:t xml:space="preserve"> </w:t>
      </w:r>
      <w:r w:rsidRPr="001941C6" w:rsidR="001941C6">
        <w:rPr>
          <w:color w:val="000000"/>
        </w:rPr>
        <w:t>report to t</w:t>
      </w:r>
      <w:r w:rsidR="00C330AC">
        <w:rPr>
          <w:color w:val="000000"/>
        </w:rPr>
        <w:t>he</w:t>
      </w:r>
      <w:r w:rsidRPr="001941C6" w:rsidR="001941C6">
        <w:rPr>
          <w:color w:val="000000"/>
        </w:rPr>
        <w:t xml:space="preserve"> board of directors on the effectiveness of controls supporting the market risk</w:t>
      </w:r>
      <w:r w:rsidR="00A90DF8">
        <w:rPr>
          <w:color w:val="000000"/>
        </w:rPr>
        <w:t xml:space="preserve"> </w:t>
      </w:r>
      <w:r w:rsidRPr="001941C6" w:rsidR="001941C6">
        <w:rPr>
          <w:color w:val="000000"/>
        </w:rPr>
        <w:t>measurement systems.</w:t>
      </w:r>
    </w:p>
    <w:p w:rsidR="001941C6" w:rsidP="001941C6" w14:paraId="3C965C38" w14:textId="77777777">
      <w:pPr>
        <w:ind w:firstLine="720"/>
        <w:rPr>
          <w:color w:val="000000"/>
        </w:rPr>
      </w:pPr>
    </w:p>
    <w:p w:rsidR="001941C6" w:rsidP="001941C6" w14:paraId="7F67FF32" w14:textId="33427F19">
      <w:pPr>
        <w:ind w:firstLine="720"/>
        <w:rPr>
          <w:color w:val="000000"/>
        </w:rPr>
      </w:pPr>
      <w:r w:rsidRPr="001941C6">
        <w:rPr>
          <w:color w:val="000000"/>
        </w:rPr>
        <w:t>Section 3.204(b) requires national banks and Federal savings associations to conduct</w:t>
      </w:r>
      <w:r w:rsidR="00A90DF8">
        <w:rPr>
          <w:color w:val="000000"/>
        </w:rPr>
        <w:t xml:space="preserve"> </w:t>
      </w:r>
      <w:r w:rsidRPr="001941C6">
        <w:rPr>
          <w:color w:val="000000"/>
        </w:rPr>
        <w:t xml:space="preserve">quarterly </w:t>
      </w:r>
      <w:r w:rsidRPr="001941C6">
        <w:rPr>
          <w:color w:val="000000"/>
        </w:rPr>
        <w:t>backtesting</w:t>
      </w:r>
      <w:r w:rsidRPr="001941C6">
        <w:rPr>
          <w:color w:val="000000"/>
        </w:rPr>
        <w:t xml:space="preserve">. </w:t>
      </w:r>
      <w:r w:rsidR="000E203F">
        <w:rPr>
          <w:color w:val="000000"/>
        </w:rPr>
        <w:t xml:space="preserve"> </w:t>
      </w:r>
      <w:r w:rsidRPr="001941C6">
        <w:rPr>
          <w:color w:val="000000"/>
        </w:rPr>
        <w:t>Section 3.205(a)(5) requires institutions to demonstrate to the OCC the</w:t>
      </w:r>
      <w:r w:rsidR="00A90DF8">
        <w:rPr>
          <w:color w:val="000000"/>
        </w:rPr>
        <w:t xml:space="preserve"> </w:t>
      </w:r>
      <w:r w:rsidRPr="001941C6">
        <w:rPr>
          <w:color w:val="000000"/>
        </w:rPr>
        <w:t xml:space="preserve">appropriateness of any proxies used to capture risks within value-at-risk models. </w:t>
      </w:r>
      <w:r w:rsidR="000E203F">
        <w:rPr>
          <w:color w:val="000000"/>
        </w:rPr>
        <w:t xml:space="preserve"> </w:t>
      </w:r>
      <w:r w:rsidRPr="001941C6">
        <w:rPr>
          <w:color w:val="000000"/>
        </w:rPr>
        <w:t>Section 3.205(c)</w:t>
      </w:r>
      <w:r w:rsidR="00A90DF8">
        <w:rPr>
          <w:color w:val="000000"/>
        </w:rPr>
        <w:t xml:space="preserve"> </w:t>
      </w:r>
      <w:r w:rsidRPr="001941C6">
        <w:rPr>
          <w:color w:val="000000"/>
        </w:rPr>
        <w:t>requires institutions to develop, retain, and make available to the OCC value-at-risk and profit and</w:t>
      </w:r>
      <w:r w:rsidR="00A90DF8">
        <w:rPr>
          <w:color w:val="000000"/>
        </w:rPr>
        <w:t xml:space="preserve"> </w:t>
      </w:r>
      <w:r w:rsidRPr="001941C6">
        <w:rPr>
          <w:color w:val="000000"/>
        </w:rPr>
        <w:t xml:space="preserve">loss information on sub-portfolios for two years. </w:t>
      </w:r>
      <w:r w:rsidR="000E203F">
        <w:rPr>
          <w:color w:val="000000"/>
        </w:rPr>
        <w:t xml:space="preserve"> </w:t>
      </w:r>
      <w:r w:rsidRPr="001941C6">
        <w:rPr>
          <w:color w:val="000000"/>
        </w:rPr>
        <w:t>Section 3.206(b)(3) requires national banks and</w:t>
      </w:r>
      <w:r w:rsidR="00A90DF8">
        <w:rPr>
          <w:color w:val="000000"/>
        </w:rPr>
        <w:t xml:space="preserve"> </w:t>
      </w:r>
      <w:r w:rsidRPr="001941C6">
        <w:rPr>
          <w:color w:val="000000"/>
        </w:rPr>
        <w:t>Federal savings associations to have policies and procedures that describe how they determine the</w:t>
      </w:r>
      <w:r w:rsidR="000E203F">
        <w:rPr>
          <w:color w:val="000000"/>
        </w:rPr>
        <w:t xml:space="preserve"> </w:t>
      </w:r>
      <w:r w:rsidRPr="001941C6">
        <w:rPr>
          <w:color w:val="000000"/>
        </w:rPr>
        <w:t>period of significant financial stress used to calculate the institution</w:t>
      </w:r>
      <w:r w:rsidR="000E203F">
        <w:rPr>
          <w:color w:val="000000"/>
        </w:rPr>
        <w:t>’</w:t>
      </w:r>
      <w:r w:rsidRPr="001941C6">
        <w:rPr>
          <w:color w:val="000000"/>
        </w:rPr>
        <w:t>s stressed value-at-risk models</w:t>
      </w:r>
      <w:r w:rsidR="000E203F">
        <w:rPr>
          <w:color w:val="000000"/>
        </w:rPr>
        <w:t xml:space="preserve"> </w:t>
      </w:r>
      <w:r w:rsidRPr="001941C6">
        <w:rPr>
          <w:color w:val="000000"/>
        </w:rPr>
        <w:t>and to obtain prior OCC approval for any material changes to these policies and procedures.</w:t>
      </w:r>
    </w:p>
    <w:p w:rsidR="000E203F" w:rsidRPr="001941C6" w:rsidP="001941C6" w14:paraId="28BD09BE" w14:textId="77777777">
      <w:pPr>
        <w:ind w:firstLine="720"/>
        <w:rPr>
          <w:color w:val="000000"/>
        </w:rPr>
      </w:pPr>
    </w:p>
    <w:p w:rsidR="001941C6" w:rsidP="001941C6" w14:paraId="4E0E405F" w14:textId="57AC905F">
      <w:pPr>
        <w:ind w:firstLine="720"/>
        <w:rPr>
          <w:color w:val="000000"/>
        </w:rPr>
      </w:pPr>
      <w:r w:rsidRPr="001941C6">
        <w:rPr>
          <w:color w:val="000000"/>
        </w:rPr>
        <w:t>Section 3.207(b)(</w:t>
      </w:r>
      <w:r w:rsidR="000E203F">
        <w:rPr>
          <w:color w:val="000000"/>
        </w:rPr>
        <w:t>1</w:t>
      </w:r>
      <w:r w:rsidRPr="001941C6">
        <w:rPr>
          <w:color w:val="000000"/>
        </w:rPr>
        <w:t>) details requirements applicable to a national bank or Federal savings</w:t>
      </w:r>
      <w:r w:rsidR="000E203F">
        <w:rPr>
          <w:color w:val="000000"/>
        </w:rPr>
        <w:t xml:space="preserve"> </w:t>
      </w:r>
      <w:r w:rsidRPr="001941C6">
        <w:rPr>
          <w:color w:val="000000"/>
        </w:rPr>
        <w:t>association when the national bank or Federal savings association uses internal models to measure the</w:t>
      </w:r>
      <w:r w:rsidR="000E203F">
        <w:rPr>
          <w:color w:val="000000"/>
        </w:rPr>
        <w:t xml:space="preserve"> </w:t>
      </w:r>
      <w:r w:rsidRPr="001941C6">
        <w:rPr>
          <w:color w:val="000000"/>
        </w:rPr>
        <w:t>specific risk of certain covered positions.</w:t>
      </w:r>
      <w:r w:rsidR="000E203F">
        <w:rPr>
          <w:color w:val="000000"/>
        </w:rPr>
        <w:t xml:space="preserve"> </w:t>
      </w:r>
      <w:r w:rsidRPr="001941C6">
        <w:rPr>
          <w:color w:val="000000"/>
        </w:rPr>
        <w:t xml:space="preserve"> Section 3.208 requires national banks and Federal savings</w:t>
      </w:r>
      <w:r w:rsidR="000E203F">
        <w:rPr>
          <w:color w:val="000000"/>
        </w:rPr>
        <w:t xml:space="preserve"> </w:t>
      </w:r>
      <w:r w:rsidRPr="001941C6">
        <w:rPr>
          <w:color w:val="000000"/>
        </w:rPr>
        <w:t>associations to obtain prior OCC approval for incremental risk modeling of portfolios of equity</w:t>
      </w:r>
      <w:r w:rsidR="000E203F">
        <w:rPr>
          <w:color w:val="000000"/>
        </w:rPr>
        <w:t xml:space="preserve"> </w:t>
      </w:r>
      <w:r w:rsidRPr="001941C6">
        <w:rPr>
          <w:color w:val="000000"/>
        </w:rPr>
        <w:t xml:space="preserve">positions and describes the requirements for incremental risk modeling. </w:t>
      </w:r>
      <w:r w:rsidR="000E203F">
        <w:rPr>
          <w:color w:val="000000"/>
        </w:rPr>
        <w:t xml:space="preserve"> </w:t>
      </w:r>
      <w:r w:rsidRPr="001941C6">
        <w:rPr>
          <w:color w:val="000000"/>
        </w:rPr>
        <w:t>Section 3.209 requires prior</w:t>
      </w:r>
      <w:r w:rsidR="000E203F">
        <w:rPr>
          <w:color w:val="000000"/>
        </w:rPr>
        <w:t xml:space="preserve"> </w:t>
      </w:r>
      <w:r w:rsidRPr="001941C6">
        <w:rPr>
          <w:color w:val="000000"/>
        </w:rPr>
        <w:t>OCC approval for the use of a comprehensive risk measure and describes applicable requirements.</w:t>
      </w:r>
      <w:r w:rsidR="000E203F">
        <w:rPr>
          <w:color w:val="000000"/>
        </w:rPr>
        <w:t xml:space="preserve">  </w:t>
      </w:r>
      <w:r w:rsidRPr="001941C6">
        <w:rPr>
          <w:color w:val="000000"/>
        </w:rPr>
        <w:t>Section 3.209(c)(2) requires national banks and Federal savings associations to retain and make</w:t>
      </w:r>
      <w:r w:rsidR="000E203F">
        <w:rPr>
          <w:color w:val="000000"/>
        </w:rPr>
        <w:t xml:space="preserve"> </w:t>
      </w:r>
      <w:r w:rsidRPr="001941C6">
        <w:rPr>
          <w:color w:val="000000"/>
        </w:rPr>
        <w:t xml:space="preserve">available to the OCC the results of supervisory stress testing. </w:t>
      </w:r>
      <w:r w:rsidR="000E203F">
        <w:rPr>
          <w:color w:val="000000"/>
        </w:rPr>
        <w:t xml:space="preserve"> </w:t>
      </w:r>
      <w:r w:rsidRPr="001941C6">
        <w:rPr>
          <w:color w:val="000000"/>
        </w:rPr>
        <w:t>Section 3.210(f) requires national</w:t>
      </w:r>
      <w:r w:rsidR="000E203F">
        <w:rPr>
          <w:color w:val="000000"/>
        </w:rPr>
        <w:t xml:space="preserve"> </w:t>
      </w:r>
      <w:r w:rsidRPr="001941C6">
        <w:rPr>
          <w:color w:val="000000"/>
        </w:rPr>
        <w:t>banks and Federal savings associations to document an internal analysis of the risk characteristics of</w:t>
      </w:r>
      <w:r w:rsidR="000E203F">
        <w:rPr>
          <w:color w:val="000000"/>
        </w:rPr>
        <w:t xml:space="preserve"> </w:t>
      </w:r>
      <w:r w:rsidRPr="001941C6">
        <w:rPr>
          <w:color w:val="000000"/>
        </w:rPr>
        <w:t xml:space="preserve">each securitization position </w:t>
      </w:r>
      <w:r w:rsidRPr="001941C6">
        <w:rPr>
          <w:color w:val="000000"/>
        </w:rPr>
        <w:t>in order to</w:t>
      </w:r>
      <w:r w:rsidRPr="001941C6">
        <w:rPr>
          <w:color w:val="000000"/>
        </w:rPr>
        <w:t xml:space="preserve"> demonstrate to the OCC an understanding of</w:t>
      </w:r>
      <w:r w:rsidR="000E203F">
        <w:rPr>
          <w:color w:val="000000"/>
        </w:rPr>
        <w:t xml:space="preserve"> </w:t>
      </w:r>
      <w:r w:rsidRPr="001941C6">
        <w:rPr>
          <w:color w:val="000000"/>
        </w:rPr>
        <w:t xml:space="preserve">the position. </w:t>
      </w:r>
      <w:r w:rsidR="000E203F">
        <w:rPr>
          <w:color w:val="000000"/>
        </w:rPr>
        <w:t xml:space="preserve"> </w:t>
      </w:r>
      <w:r w:rsidRPr="001941C6">
        <w:rPr>
          <w:color w:val="000000"/>
        </w:rPr>
        <w:t>Section 3.212 requires quarterly quantitative disclosures, annual qualitative disclosures,</w:t>
      </w:r>
      <w:r w:rsidR="000E203F">
        <w:rPr>
          <w:color w:val="000000"/>
        </w:rPr>
        <w:t xml:space="preserve"> </w:t>
      </w:r>
      <w:r w:rsidRPr="001941C6">
        <w:rPr>
          <w:color w:val="000000"/>
        </w:rPr>
        <w:t>and a formal disclosure policy approved by the board of directors that addresses the approach for</w:t>
      </w:r>
      <w:r w:rsidR="000E203F">
        <w:rPr>
          <w:color w:val="000000"/>
        </w:rPr>
        <w:t xml:space="preserve"> </w:t>
      </w:r>
      <w:r w:rsidRPr="001941C6">
        <w:rPr>
          <w:color w:val="000000"/>
        </w:rPr>
        <w:t>determining the market risk disclosures it makes.</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687C7C74">
      <w:pPr>
        <w:ind w:firstLine="720"/>
        <w:rPr>
          <w:color w:val="000000"/>
        </w:rPr>
      </w:pPr>
      <w:r>
        <w:rPr>
          <w:color w:val="000000"/>
        </w:rPr>
        <w:t xml:space="preserve">The </w:t>
      </w:r>
      <w:r w:rsidR="00C249FF">
        <w:rPr>
          <w:color w:val="000000"/>
        </w:rPr>
        <w:t xml:space="preserve">required </w:t>
      </w:r>
      <w:r>
        <w:rPr>
          <w:color w:val="000000"/>
        </w:rPr>
        <w:t xml:space="preserve">information is </w:t>
      </w:r>
      <w:r w:rsidR="00C249FF">
        <w:rPr>
          <w:color w:val="000000"/>
        </w:rPr>
        <w:t>unique and is not duplicative of any other information already collected</w:t>
      </w:r>
      <w:r>
        <w:rPr>
          <w:color w:val="000000"/>
        </w:rPr>
        <w:t>.</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2CE2CCBD">
      <w:pPr>
        <w:ind w:firstLine="720"/>
        <w:rPr>
          <w:color w:val="000000"/>
        </w:rPr>
      </w:pPr>
      <w:r>
        <w:rPr>
          <w:color w:val="000000"/>
        </w:rPr>
        <w:t xml:space="preserve">Not applicable. </w:t>
      </w:r>
    </w:p>
    <w:p w:rsidR="0051709A" w14:paraId="75B9A5FD" w14:textId="77777777">
      <w:pPr>
        <w:rPr>
          <w:color w:val="000000"/>
        </w:rPr>
      </w:pPr>
    </w:p>
    <w:p w:rsidR="0051709A" w14:paraId="6E21C0FF" w14:textId="15C476DA">
      <w:pPr>
        <w:pStyle w:val="BodyText"/>
        <w:rPr>
          <w:b/>
          <w:bCs/>
          <w:color w:val="000000"/>
        </w:rPr>
      </w:pPr>
      <w:r>
        <w:rPr>
          <w:b/>
          <w:bCs/>
          <w:color w:val="000000"/>
        </w:rPr>
        <w:t xml:space="preserve">6.  Consequences to the </w:t>
      </w:r>
      <w:r w:rsidR="00EF5855">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4DBC390B">
      <w:pPr>
        <w:ind w:firstLine="720"/>
        <w:rPr>
          <w:color w:val="000000"/>
        </w:rPr>
      </w:pPr>
      <w:r>
        <w:rPr>
          <w:color w:val="000000"/>
        </w:rPr>
        <w:t>The OCC will not be able to adequately monitor capital levels and ensure safety and soundness.</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03E9F458">
      <w:pPr>
        <w:ind w:firstLine="720"/>
        <w:rPr>
          <w:bCs/>
        </w:rPr>
      </w:pPr>
      <w:bookmarkStart w:id="0" w:name="_Hlk160007020"/>
      <w:r>
        <w:rPr>
          <w:bCs/>
        </w:rPr>
        <w:t xml:space="preserve">The OCC issued a 60-day </w:t>
      </w:r>
      <w:r w:rsidRPr="00B32F4C">
        <w:rPr>
          <w:bCs/>
          <w:i/>
        </w:rPr>
        <w:t xml:space="preserve">Federal Register </w:t>
      </w:r>
      <w:r>
        <w:rPr>
          <w:bCs/>
        </w:rPr>
        <w:t xml:space="preserve">notice on </w:t>
      </w:r>
      <w:r w:rsidR="0093617D">
        <w:rPr>
          <w:bCs/>
        </w:rPr>
        <w:t>April 18</w:t>
      </w:r>
      <w:r w:rsidRPr="00791842" w:rsidR="00922BA6">
        <w:rPr>
          <w:bCs/>
        </w:rPr>
        <w:t>,</w:t>
      </w:r>
      <w:r w:rsidRPr="00791842" w:rsidR="009B1BC5">
        <w:rPr>
          <w:bCs/>
        </w:rPr>
        <w:t xml:space="preserve"> 20</w:t>
      </w:r>
      <w:r w:rsidRPr="00791842" w:rsidR="00BB31A5">
        <w:rPr>
          <w:bCs/>
        </w:rPr>
        <w:t>2</w:t>
      </w:r>
      <w:r w:rsidRPr="00791842" w:rsidR="00C249FF">
        <w:rPr>
          <w:bCs/>
        </w:rPr>
        <w:t>5</w:t>
      </w:r>
      <w:r w:rsidRPr="00791842" w:rsidR="009B1BC5">
        <w:rPr>
          <w:bCs/>
        </w:rPr>
        <w:t>,</w:t>
      </w:r>
      <w:r w:rsidRPr="00791842" w:rsidR="009E7C2D">
        <w:rPr>
          <w:bCs/>
        </w:rPr>
        <w:t xml:space="preserve"> </w:t>
      </w:r>
      <w:r w:rsidRPr="00791842" w:rsidR="00C249FF">
        <w:rPr>
          <w:bCs/>
        </w:rPr>
        <w:t>90</w:t>
      </w:r>
      <w:r w:rsidRPr="00791842" w:rsidR="009E7C2D">
        <w:rPr>
          <w:bCs/>
        </w:rPr>
        <w:t xml:space="preserve"> FR </w:t>
      </w:r>
      <w:r w:rsidRPr="00791842" w:rsidR="00791842">
        <w:rPr>
          <w:bCs/>
        </w:rPr>
        <w:t>16590</w:t>
      </w:r>
      <w:r w:rsidRPr="00791842" w:rsidR="009B1BC5">
        <w:rPr>
          <w:bCs/>
        </w:rPr>
        <w:t>.</w:t>
      </w:r>
      <w:r w:rsidRPr="00791842" w:rsidR="0044411A">
        <w:rPr>
          <w:bCs/>
        </w:rPr>
        <w:t xml:space="preserve">  </w:t>
      </w:r>
      <w:r w:rsidR="0093617D">
        <w:rPr>
          <w:bCs/>
        </w:rPr>
        <w:t>No</w:t>
      </w:r>
      <w:r w:rsidR="0044411A">
        <w:rPr>
          <w:bCs/>
        </w:rPr>
        <w:t xml:space="preserve"> comments were received.</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0415A8D1">
      <w:pPr>
        <w:ind w:firstLine="720"/>
        <w:rPr>
          <w:color w:val="000000"/>
        </w:rPr>
      </w:pPr>
      <w:r>
        <w:rPr>
          <w:color w:val="000000"/>
        </w:rPr>
        <w:t xml:space="preserve">The information will be kept confidential to the extent permitted by law. </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p w:rsidR="00BB31A5" w:rsidRPr="0037439D" w14:paraId="41FD51AE" w14:textId="21F5524B">
      <w:pPr>
        <w:pStyle w:val="BodyText"/>
        <w:rPr>
          <w:bCs/>
          <w:i w:val="0"/>
          <w:color w:val="000000"/>
        </w:rPr>
      </w:pPr>
      <w:r w:rsidRPr="0037439D">
        <w:rPr>
          <w:bCs/>
          <w:i w:val="0"/>
          <w:color w:val="000000"/>
        </w:rPr>
        <w:t>Number of Respondents:</w:t>
      </w:r>
      <w:r w:rsidRPr="0037439D" w:rsidR="00C249FF">
        <w:rPr>
          <w:bCs/>
          <w:i w:val="0"/>
          <w:color w:val="000000"/>
        </w:rPr>
        <w:tab/>
        <w:t>1</w:t>
      </w:r>
      <w:r w:rsidRPr="0037439D" w:rsidR="0037439D">
        <w:rPr>
          <w:bCs/>
          <w:i w:val="0"/>
          <w:color w:val="000000"/>
        </w:rPr>
        <w:t>7</w:t>
      </w:r>
    </w:p>
    <w:p w:rsidR="00BB31A5" w:rsidRPr="0037439D" w14:paraId="6769C6F8" w14:textId="3D5416ED">
      <w:pPr>
        <w:pStyle w:val="BodyText"/>
        <w:rPr>
          <w:bCs/>
          <w:i w:val="0"/>
          <w:color w:val="000000"/>
        </w:rPr>
      </w:pPr>
      <w:r w:rsidRPr="0037439D">
        <w:rPr>
          <w:bCs/>
          <w:i w:val="0"/>
          <w:color w:val="000000"/>
        </w:rPr>
        <w:t>Burden per Respondent:</w:t>
      </w:r>
      <w:r w:rsidRPr="0037439D" w:rsidR="00C249FF">
        <w:rPr>
          <w:bCs/>
          <w:i w:val="0"/>
          <w:color w:val="000000"/>
        </w:rPr>
        <w:tab/>
        <w:t>1,964 hours</w:t>
      </w:r>
    </w:p>
    <w:p w:rsidR="00BB31A5" w:rsidRPr="0037439D" w14:paraId="564EC253" w14:textId="019F0F8F">
      <w:pPr>
        <w:pStyle w:val="BodyText"/>
        <w:rPr>
          <w:bCs/>
          <w:i w:val="0"/>
          <w:color w:val="000000"/>
        </w:rPr>
      </w:pPr>
      <w:r w:rsidRPr="0037439D">
        <w:rPr>
          <w:bCs/>
          <w:i w:val="0"/>
          <w:color w:val="000000"/>
        </w:rPr>
        <w:t xml:space="preserve">Total Burden:  </w:t>
      </w:r>
      <w:r w:rsidRPr="0037439D" w:rsidR="00C249FF">
        <w:rPr>
          <w:bCs/>
          <w:i w:val="0"/>
          <w:color w:val="000000"/>
        </w:rPr>
        <w:tab/>
      </w:r>
      <w:r w:rsidRPr="0037439D" w:rsidR="00C249FF">
        <w:rPr>
          <w:bCs/>
          <w:i w:val="0"/>
          <w:color w:val="000000"/>
        </w:rPr>
        <w:tab/>
      </w:r>
      <w:r w:rsidRPr="0037439D" w:rsidR="0037439D">
        <w:rPr>
          <w:bCs/>
          <w:i w:val="0"/>
          <w:color w:val="000000"/>
        </w:rPr>
        <w:t>33,388 hours</w:t>
      </w:r>
    </w:p>
    <w:p w:rsidR="00BB31A5" w:rsidRPr="0037439D" w14:paraId="7B396ABE" w14:textId="77777777">
      <w:pPr>
        <w:pStyle w:val="BodyText"/>
        <w:rPr>
          <w:bCs/>
          <w:i w:val="0"/>
          <w:color w:val="000000"/>
        </w:rPr>
      </w:pPr>
    </w:p>
    <w:p w:rsidR="000A4144" w:rsidRPr="0037439D" w14:paraId="06C06736" w14:textId="77777777">
      <w:pPr>
        <w:pStyle w:val="BodyText"/>
        <w:rPr>
          <w:b/>
          <w:bCs/>
          <w:i w:val="0"/>
          <w:color w:val="000000"/>
        </w:rPr>
      </w:pPr>
      <w:r w:rsidRPr="0037439D">
        <w:rPr>
          <w:b/>
          <w:bCs/>
          <w:i w:val="0"/>
          <w:color w:val="000000"/>
        </w:rPr>
        <w:t>Cost of Hour Burden</w:t>
      </w:r>
    </w:p>
    <w:p w:rsidR="000A4144" w:rsidRPr="0037439D" w14:paraId="1E443CD7" w14:textId="77777777">
      <w:pPr>
        <w:pStyle w:val="BodyText"/>
        <w:rPr>
          <w:b/>
          <w:bCs/>
          <w:i w:val="0"/>
          <w:color w:val="000000"/>
        </w:rPr>
      </w:pPr>
    </w:p>
    <w:p w:rsidR="000A4144" w14:paraId="3ADEBCC0" w14:textId="06D9B6B9">
      <w:pPr>
        <w:pStyle w:val="BodyText"/>
        <w:rPr>
          <w:b/>
          <w:bCs/>
          <w:i w:val="0"/>
          <w:color w:val="000000"/>
        </w:rPr>
      </w:pPr>
      <w:r w:rsidRPr="0037439D">
        <w:rPr>
          <w:b/>
          <w:bCs/>
          <w:i w:val="0"/>
          <w:color w:val="000000"/>
        </w:rPr>
        <w:t xml:space="preserve">33,388 </w:t>
      </w:r>
      <w:r w:rsidRPr="0037439D" w:rsidR="009B1BC5">
        <w:rPr>
          <w:b/>
          <w:bCs/>
          <w:i w:val="0"/>
          <w:color w:val="000000"/>
        </w:rPr>
        <w:t>hours x $1</w:t>
      </w:r>
      <w:r w:rsidR="00351535">
        <w:rPr>
          <w:b/>
          <w:bCs/>
          <w:i w:val="0"/>
          <w:color w:val="000000"/>
        </w:rPr>
        <w:t>31.10</w:t>
      </w:r>
      <w:r w:rsidRPr="0037439D">
        <w:rPr>
          <w:b/>
          <w:bCs/>
          <w:i w:val="0"/>
          <w:color w:val="000000"/>
        </w:rPr>
        <w:t xml:space="preserve"> = </w:t>
      </w:r>
      <w:r w:rsidRPr="0037439D">
        <w:rPr>
          <w:b/>
          <w:bCs/>
          <w:i w:val="0"/>
          <w:color w:val="000000"/>
        </w:rPr>
        <w:t>$4,3</w:t>
      </w:r>
      <w:r w:rsidR="00351535">
        <w:rPr>
          <w:b/>
          <w:bCs/>
          <w:i w:val="0"/>
          <w:color w:val="000000"/>
        </w:rPr>
        <w:t>77,166.80</w:t>
      </w:r>
    </w:p>
    <w:p w:rsidR="000A4144" w14:paraId="0DFBF7E1" w14:textId="77777777">
      <w:pPr>
        <w:pStyle w:val="BodyText"/>
        <w:rPr>
          <w:b/>
          <w:bCs/>
          <w:i w:val="0"/>
          <w:color w:val="000000"/>
        </w:rPr>
      </w:pPr>
    </w:p>
    <w:p w:rsidR="006C38DE" w:rsidP="006C38DE" w14:paraId="0BA97564" w14:textId="43EF348F">
      <w:pPr>
        <w:tabs>
          <w:tab w:val="left" w:pos="-1440"/>
        </w:tabs>
        <w:rPr>
          <w:color w:val="000000"/>
        </w:rPr>
      </w:pPr>
      <w:r>
        <w:rPr>
          <w:color w:val="000000"/>
        </w:rPr>
        <w:t>To estimate wages the OCC reviewed May 202</w:t>
      </w:r>
      <w:r w:rsidR="00351535">
        <w:rPr>
          <w:color w:val="000000"/>
        </w:rPr>
        <w:t>4</w:t>
      </w:r>
      <w:r>
        <w:rPr>
          <w:color w:val="000000"/>
        </w:rPr>
        <w:t xml:space="preserve"> data for wages (by industry and occupation) from the U.S. Bureau of Labor Statistics (BLS) for credit intermediation and related activities (NAICS 5220A1).  To estimate compensation costs associated with the rule, the OCC uses $1</w:t>
      </w:r>
      <w:r w:rsidR="00351535">
        <w:rPr>
          <w:color w:val="000000"/>
        </w:rPr>
        <w:t>31.10</w:t>
      </w:r>
      <w:r>
        <w:rPr>
          <w:color w:val="000000"/>
        </w:rPr>
        <w:t xml:space="preserve"> per hour, which is based on the average of the 90th percentile for six occupations adjusted for inflation (</w:t>
      </w:r>
      <w:r w:rsidR="00351535">
        <w:rPr>
          <w:color w:val="000000"/>
        </w:rPr>
        <w:t>3.6</w:t>
      </w:r>
      <w:r>
        <w:rPr>
          <w:color w:val="000000"/>
        </w:rPr>
        <w:t xml:space="preserve"> percent as of Q1 202</w:t>
      </w:r>
      <w:r w:rsidR="00351535">
        <w:rPr>
          <w:color w:val="000000"/>
        </w:rPr>
        <w:t>5</w:t>
      </w:r>
      <w:r>
        <w:rPr>
          <w:color w:val="000000"/>
        </w:rPr>
        <w:t xml:space="preserve">), plus an additional </w:t>
      </w:r>
      <w:r w:rsidR="00351535">
        <w:rPr>
          <w:color w:val="000000"/>
        </w:rPr>
        <w:t>35.6</w:t>
      </w:r>
      <w:r>
        <w:rPr>
          <w:color w:val="000000"/>
        </w:rPr>
        <w:t xml:space="preserve"> percent for benefits (based on the percent of total compensation allocated to benefits as of Q4 202</w:t>
      </w:r>
      <w:r w:rsidR="00351535">
        <w:rPr>
          <w:color w:val="000000"/>
        </w:rPr>
        <w:t>4</w:t>
      </w:r>
      <w:r>
        <w:rPr>
          <w:color w:val="000000"/>
        </w:rPr>
        <w:t xml:space="preserve"> for NAICS 522: credit intermediation and related activities).</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0A4144" w:rsidRPr="005237F5" w14:paraId="21F2FA5A" w14:textId="0616B9FF">
      <w:pPr>
        <w:rPr>
          <w:color w:val="000000"/>
        </w:rPr>
      </w:pPr>
      <w:r w:rsidRPr="005237F5">
        <w:rPr>
          <w:color w:val="000000"/>
        </w:rPr>
        <w:t>Current</w:t>
      </w:r>
      <w:r w:rsidRPr="005237F5" w:rsidR="0051709A">
        <w:rPr>
          <w:color w:val="000000"/>
        </w:rPr>
        <w:t xml:space="preserve"> burden:</w:t>
      </w:r>
      <w:r w:rsidRPr="005237F5" w:rsidR="005237F5">
        <w:rPr>
          <w:color w:val="000000"/>
        </w:rPr>
        <w:t xml:space="preserve"> </w:t>
      </w:r>
      <w:r w:rsidR="0037439D">
        <w:rPr>
          <w:color w:val="000000"/>
        </w:rPr>
        <w:tab/>
      </w:r>
      <w:r w:rsidRPr="005237F5" w:rsidR="005237F5">
        <w:rPr>
          <w:color w:val="000000"/>
        </w:rPr>
        <w:t>37,316 hours</w:t>
      </w:r>
      <w:r w:rsidRPr="005237F5" w:rsidR="0051709A">
        <w:rPr>
          <w:color w:val="000000"/>
        </w:rPr>
        <w:tab/>
      </w:r>
    </w:p>
    <w:p w:rsidR="000A4144" w:rsidRPr="005237F5" w14:paraId="017B1DAD" w14:textId="77777777">
      <w:pPr>
        <w:rPr>
          <w:color w:val="000000"/>
        </w:rPr>
      </w:pPr>
    </w:p>
    <w:p w:rsidR="000A4144" w:rsidRPr="0037439D" w14:paraId="6B2E1431" w14:textId="1E3C3054">
      <w:pPr>
        <w:rPr>
          <w:color w:val="000000"/>
        </w:rPr>
      </w:pPr>
      <w:r w:rsidRPr="0037439D">
        <w:rPr>
          <w:color w:val="000000"/>
        </w:rPr>
        <w:t>Revised bu</w:t>
      </w:r>
      <w:r w:rsidRPr="0037439D" w:rsidR="0051709A">
        <w:rPr>
          <w:color w:val="000000"/>
        </w:rPr>
        <w:t>rden:</w:t>
      </w:r>
      <w:r w:rsidRPr="0037439D" w:rsidR="0037439D">
        <w:rPr>
          <w:color w:val="000000"/>
        </w:rPr>
        <w:t xml:space="preserve"> </w:t>
      </w:r>
      <w:r w:rsidRPr="0037439D" w:rsidR="0037439D">
        <w:rPr>
          <w:color w:val="000000"/>
        </w:rPr>
        <w:tab/>
        <w:t>33,388 hours</w:t>
      </w:r>
      <w:r w:rsidRPr="0037439D" w:rsidR="0051709A">
        <w:rPr>
          <w:color w:val="000000"/>
        </w:rPr>
        <w:tab/>
      </w:r>
    </w:p>
    <w:p w:rsidR="0051709A" w:rsidRPr="0037439D" w14:paraId="61C98B4B" w14:textId="77777777">
      <w:pPr>
        <w:rPr>
          <w:color w:val="000000"/>
        </w:rPr>
      </w:pPr>
      <w:r w:rsidRPr="0037439D">
        <w:rPr>
          <w:color w:val="000000"/>
        </w:rPr>
        <w:tab/>
      </w:r>
      <w:r w:rsidRPr="0037439D" w:rsidR="00B37BB7">
        <w:rPr>
          <w:color w:val="000000"/>
        </w:rPr>
        <w:t xml:space="preserve"> </w:t>
      </w:r>
    </w:p>
    <w:p w:rsidR="002112CB" w:rsidRPr="0037439D" w14:paraId="0BF1AC6B" w14:textId="06D58C58">
      <w:pPr>
        <w:rPr>
          <w:color w:val="000000"/>
        </w:rPr>
      </w:pPr>
      <w:r w:rsidRPr="0037439D">
        <w:rPr>
          <w:color w:val="000000"/>
        </w:rPr>
        <w:t xml:space="preserve">Difference: </w:t>
      </w:r>
      <w:r w:rsidRPr="0037439D">
        <w:rPr>
          <w:color w:val="000000"/>
        </w:rPr>
        <w:tab/>
      </w:r>
      <w:r w:rsidRPr="0037439D" w:rsidR="00061205">
        <w:rPr>
          <w:color w:val="000000"/>
        </w:rPr>
        <w:tab/>
      </w:r>
      <w:r w:rsidR="008B4FC6">
        <w:rPr>
          <w:color w:val="000000"/>
        </w:rPr>
        <w:t>-</w:t>
      </w:r>
      <w:r w:rsidRPr="0037439D" w:rsidR="0037439D">
        <w:rPr>
          <w:color w:val="000000"/>
        </w:rPr>
        <w:t>3,928 hours</w:t>
      </w:r>
    </w:p>
    <w:p w:rsidR="0051709A" w:rsidRPr="0037439D" w14:paraId="51703520" w14:textId="77777777">
      <w:pPr>
        <w:rPr>
          <w:color w:val="000000"/>
        </w:rPr>
      </w:pPr>
      <w:r w:rsidRPr="0037439D">
        <w:rPr>
          <w:color w:val="000000"/>
        </w:rPr>
        <w:tab/>
      </w:r>
      <w:r w:rsidRPr="0037439D" w:rsidR="00B37BB7">
        <w:rPr>
          <w:color w:val="000000"/>
        </w:rPr>
        <w:t xml:space="preserve"> </w:t>
      </w:r>
    </w:p>
    <w:p w:rsidR="00D331B3" w14:paraId="58B2E590" w14:textId="21EC6140">
      <w:pPr>
        <w:pStyle w:val="Footer"/>
        <w:tabs>
          <w:tab w:val="clear" w:pos="4320"/>
          <w:tab w:val="clear" w:pos="8640"/>
        </w:tabs>
        <w:rPr>
          <w:color w:val="000000"/>
        </w:rPr>
      </w:pPr>
      <w:r w:rsidRPr="0037439D">
        <w:rPr>
          <w:color w:val="000000"/>
        </w:rPr>
        <w:t xml:space="preserve">The </w:t>
      </w:r>
      <w:r w:rsidRPr="0037439D" w:rsidR="0037439D">
        <w:rPr>
          <w:color w:val="000000"/>
        </w:rPr>
        <w:t>de</w:t>
      </w:r>
      <w:r w:rsidRPr="0037439D" w:rsidR="00BB31A5">
        <w:rPr>
          <w:color w:val="000000"/>
        </w:rPr>
        <w:t xml:space="preserve">crease </w:t>
      </w:r>
      <w:r w:rsidRPr="0037439D">
        <w:rPr>
          <w:color w:val="000000"/>
        </w:rPr>
        <w:t xml:space="preserve">in burden is due to </w:t>
      </w:r>
      <w:r w:rsidRPr="0037439D" w:rsidR="005237F5">
        <w:rPr>
          <w:color w:val="000000"/>
        </w:rPr>
        <w:t xml:space="preserve">the </w:t>
      </w:r>
      <w:r w:rsidRPr="0037439D" w:rsidR="0037439D">
        <w:rPr>
          <w:color w:val="000000"/>
        </w:rPr>
        <w:t xml:space="preserve">decrease </w:t>
      </w:r>
      <w:r w:rsidRPr="0037439D" w:rsidR="005237F5">
        <w:rPr>
          <w:color w:val="000000"/>
        </w:rPr>
        <w:t>in the number of institutions subject to the rule</w:t>
      </w:r>
      <w:r w:rsidRPr="0037439D" w:rsidR="00BB31A5">
        <w:rPr>
          <w:color w:val="000000"/>
        </w:rPr>
        <w:t>.</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4"/>
      <w:footerReference w:type="default" r:id="rId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3174B"/>
    <w:rsid w:val="0003678A"/>
    <w:rsid w:val="000429F8"/>
    <w:rsid w:val="00056C76"/>
    <w:rsid w:val="00061205"/>
    <w:rsid w:val="000732E2"/>
    <w:rsid w:val="00081F26"/>
    <w:rsid w:val="00082A00"/>
    <w:rsid w:val="000903EC"/>
    <w:rsid w:val="00094127"/>
    <w:rsid w:val="000976C2"/>
    <w:rsid w:val="000A4144"/>
    <w:rsid w:val="000B2636"/>
    <w:rsid w:val="000D3D3C"/>
    <w:rsid w:val="000D4607"/>
    <w:rsid w:val="000E203F"/>
    <w:rsid w:val="0010090B"/>
    <w:rsid w:val="00112B75"/>
    <w:rsid w:val="00123322"/>
    <w:rsid w:val="00123913"/>
    <w:rsid w:val="00136525"/>
    <w:rsid w:val="0013796A"/>
    <w:rsid w:val="00146058"/>
    <w:rsid w:val="001466D8"/>
    <w:rsid w:val="00146794"/>
    <w:rsid w:val="001468A6"/>
    <w:rsid w:val="00153911"/>
    <w:rsid w:val="0015493B"/>
    <w:rsid w:val="00156213"/>
    <w:rsid w:val="00164623"/>
    <w:rsid w:val="00164C9C"/>
    <w:rsid w:val="00172F24"/>
    <w:rsid w:val="0017568B"/>
    <w:rsid w:val="00186ED7"/>
    <w:rsid w:val="001941C6"/>
    <w:rsid w:val="001A034B"/>
    <w:rsid w:val="001A2EDF"/>
    <w:rsid w:val="001B10F5"/>
    <w:rsid w:val="001C18AC"/>
    <w:rsid w:val="001C6B5A"/>
    <w:rsid w:val="001C705C"/>
    <w:rsid w:val="001D3BB1"/>
    <w:rsid w:val="001E3340"/>
    <w:rsid w:val="001E33F3"/>
    <w:rsid w:val="001F6818"/>
    <w:rsid w:val="00203C0F"/>
    <w:rsid w:val="002112CB"/>
    <w:rsid w:val="00212527"/>
    <w:rsid w:val="0021595B"/>
    <w:rsid w:val="00240D95"/>
    <w:rsid w:val="002504FE"/>
    <w:rsid w:val="00257709"/>
    <w:rsid w:val="0026241C"/>
    <w:rsid w:val="00266496"/>
    <w:rsid w:val="0026750D"/>
    <w:rsid w:val="0026786D"/>
    <w:rsid w:val="00271250"/>
    <w:rsid w:val="002719DA"/>
    <w:rsid w:val="0028032E"/>
    <w:rsid w:val="00283A34"/>
    <w:rsid w:val="00297CC5"/>
    <w:rsid w:val="002B1BD4"/>
    <w:rsid w:val="002B32B2"/>
    <w:rsid w:val="002B7253"/>
    <w:rsid w:val="002C7FFE"/>
    <w:rsid w:val="002D27DD"/>
    <w:rsid w:val="002D3094"/>
    <w:rsid w:val="002D6281"/>
    <w:rsid w:val="002E5910"/>
    <w:rsid w:val="002F0CDF"/>
    <w:rsid w:val="002F637C"/>
    <w:rsid w:val="003024C3"/>
    <w:rsid w:val="003058B5"/>
    <w:rsid w:val="00312DFA"/>
    <w:rsid w:val="00330F2E"/>
    <w:rsid w:val="00341F49"/>
    <w:rsid w:val="00342908"/>
    <w:rsid w:val="00351535"/>
    <w:rsid w:val="00352BAE"/>
    <w:rsid w:val="00354EAF"/>
    <w:rsid w:val="00357171"/>
    <w:rsid w:val="003618F7"/>
    <w:rsid w:val="00370630"/>
    <w:rsid w:val="00371B30"/>
    <w:rsid w:val="0037439D"/>
    <w:rsid w:val="00375494"/>
    <w:rsid w:val="00387640"/>
    <w:rsid w:val="003A5ABE"/>
    <w:rsid w:val="003C0A58"/>
    <w:rsid w:val="003C5162"/>
    <w:rsid w:val="003C5F80"/>
    <w:rsid w:val="003C7D1A"/>
    <w:rsid w:val="003E2687"/>
    <w:rsid w:val="004024F4"/>
    <w:rsid w:val="00406FB2"/>
    <w:rsid w:val="00415ADB"/>
    <w:rsid w:val="0043060F"/>
    <w:rsid w:val="0043160D"/>
    <w:rsid w:val="004335BB"/>
    <w:rsid w:val="0044411A"/>
    <w:rsid w:val="0044648C"/>
    <w:rsid w:val="00453B8A"/>
    <w:rsid w:val="0046055A"/>
    <w:rsid w:val="00473E96"/>
    <w:rsid w:val="0048405C"/>
    <w:rsid w:val="00491FCD"/>
    <w:rsid w:val="00493B5F"/>
    <w:rsid w:val="004A33A4"/>
    <w:rsid w:val="004A490C"/>
    <w:rsid w:val="004C53A4"/>
    <w:rsid w:val="004C7D91"/>
    <w:rsid w:val="004D2CFF"/>
    <w:rsid w:val="004D39DE"/>
    <w:rsid w:val="004D7A48"/>
    <w:rsid w:val="00501CF2"/>
    <w:rsid w:val="005044F1"/>
    <w:rsid w:val="00511DF4"/>
    <w:rsid w:val="0051709A"/>
    <w:rsid w:val="005237F5"/>
    <w:rsid w:val="00542EF2"/>
    <w:rsid w:val="00555394"/>
    <w:rsid w:val="00560223"/>
    <w:rsid w:val="0056185D"/>
    <w:rsid w:val="00562F0F"/>
    <w:rsid w:val="005675AB"/>
    <w:rsid w:val="00575076"/>
    <w:rsid w:val="00585ABF"/>
    <w:rsid w:val="00597EAF"/>
    <w:rsid w:val="005B4717"/>
    <w:rsid w:val="005B6406"/>
    <w:rsid w:val="005C0AE2"/>
    <w:rsid w:val="005C310C"/>
    <w:rsid w:val="005D2AD2"/>
    <w:rsid w:val="005E4215"/>
    <w:rsid w:val="005E58F7"/>
    <w:rsid w:val="005F1A23"/>
    <w:rsid w:val="005F440A"/>
    <w:rsid w:val="00601D88"/>
    <w:rsid w:val="006037C2"/>
    <w:rsid w:val="00606463"/>
    <w:rsid w:val="00611617"/>
    <w:rsid w:val="00624AE6"/>
    <w:rsid w:val="00627925"/>
    <w:rsid w:val="00641631"/>
    <w:rsid w:val="0064178C"/>
    <w:rsid w:val="00657C95"/>
    <w:rsid w:val="00673B11"/>
    <w:rsid w:val="00681826"/>
    <w:rsid w:val="00685C8D"/>
    <w:rsid w:val="0068742D"/>
    <w:rsid w:val="006A1916"/>
    <w:rsid w:val="006A2208"/>
    <w:rsid w:val="006A2F9F"/>
    <w:rsid w:val="006B40D8"/>
    <w:rsid w:val="006C3736"/>
    <w:rsid w:val="006C38DE"/>
    <w:rsid w:val="006C53FB"/>
    <w:rsid w:val="006C7C76"/>
    <w:rsid w:val="006D535A"/>
    <w:rsid w:val="006E4703"/>
    <w:rsid w:val="006F4291"/>
    <w:rsid w:val="007149CD"/>
    <w:rsid w:val="00716CCA"/>
    <w:rsid w:val="00722148"/>
    <w:rsid w:val="007359F9"/>
    <w:rsid w:val="00735F09"/>
    <w:rsid w:val="007501C2"/>
    <w:rsid w:val="00753CFF"/>
    <w:rsid w:val="00756398"/>
    <w:rsid w:val="00756754"/>
    <w:rsid w:val="0076144A"/>
    <w:rsid w:val="007726B9"/>
    <w:rsid w:val="007732CA"/>
    <w:rsid w:val="0077568D"/>
    <w:rsid w:val="007765A6"/>
    <w:rsid w:val="00785BD8"/>
    <w:rsid w:val="00791842"/>
    <w:rsid w:val="00797F47"/>
    <w:rsid w:val="007A2589"/>
    <w:rsid w:val="007A4323"/>
    <w:rsid w:val="007A4A3A"/>
    <w:rsid w:val="007B6321"/>
    <w:rsid w:val="007B6ADD"/>
    <w:rsid w:val="007D52C3"/>
    <w:rsid w:val="007D7EE6"/>
    <w:rsid w:val="007F0D8B"/>
    <w:rsid w:val="007F33E2"/>
    <w:rsid w:val="008069FD"/>
    <w:rsid w:val="008132DF"/>
    <w:rsid w:val="008138EF"/>
    <w:rsid w:val="00815227"/>
    <w:rsid w:val="00821885"/>
    <w:rsid w:val="008222F0"/>
    <w:rsid w:val="008374DA"/>
    <w:rsid w:val="00847554"/>
    <w:rsid w:val="00862D9B"/>
    <w:rsid w:val="00863893"/>
    <w:rsid w:val="00876806"/>
    <w:rsid w:val="00882738"/>
    <w:rsid w:val="00882EDD"/>
    <w:rsid w:val="00882FE4"/>
    <w:rsid w:val="00883FA6"/>
    <w:rsid w:val="00890AB7"/>
    <w:rsid w:val="00891902"/>
    <w:rsid w:val="008924FB"/>
    <w:rsid w:val="008A58AC"/>
    <w:rsid w:val="008A643D"/>
    <w:rsid w:val="008B0589"/>
    <w:rsid w:val="008B4FC6"/>
    <w:rsid w:val="008B661A"/>
    <w:rsid w:val="008C6440"/>
    <w:rsid w:val="008C70DC"/>
    <w:rsid w:val="008D0847"/>
    <w:rsid w:val="008D6467"/>
    <w:rsid w:val="008E0842"/>
    <w:rsid w:val="008E0FA3"/>
    <w:rsid w:val="008E25ED"/>
    <w:rsid w:val="008F021D"/>
    <w:rsid w:val="008F11DE"/>
    <w:rsid w:val="008F5E5F"/>
    <w:rsid w:val="0090629B"/>
    <w:rsid w:val="009177F7"/>
    <w:rsid w:val="00922BA6"/>
    <w:rsid w:val="00924A92"/>
    <w:rsid w:val="009253F8"/>
    <w:rsid w:val="00927B27"/>
    <w:rsid w:val="00934C19"/>
    <w:rsid w:val="009360E7"/>
    <w:rsid w:val="0093617D"/>
    <w:rsid w:val="0093781D"/>
    <w:rsid w:val="00944FB5"/>
    <w:rsid w:val="009527F7"/>
    <w:rsid w:val="00953FEC"/>
    <w:rsid w:val="00960C77"/>
    <w:rsid w:val="00966ADC"/>
    <w:rsid w:val="00967825"/>
    <w:rsid w:val="00975575"/>
    <w:rsid w:val="00975A62"/>
    <w:rsid w:val="00981E48"/>
    <w:rsid w:val="00983B3B"/>
    <w:rsid w:val="00995F60"/>
    <w:rsid w:val="00997FD0"/>
    <w:rsid w:val="009A271C"/>
    <w:rsid w:val="009A6E94"/>
    <w:rsid w:val="009B0F9C"/>
    <w:rsid w:val="009B1BC5"/>
    <w:rsid w:val="009E7AC0"/>
    <w:rsid w:val="009E7C2D"/>
    <w:rsid w:val="009F2DE2"/>
    <w:rsid w:val="009F32B1"/>
    <w:rsid w:val="009F4755"/>
    <w:rsid w:val="00A0664D"/>
    <w:rsid w:val="00A11956"/>
    <w:rsid w:val="00A121E7"/>
    <w:rsid w:val="00A2457F"/>
    <w:rsid w:val="00A30DBC"/>
    <w:rsid w:val="00A34F29"/>
    <w:rsid w:val="00A35623"/>
    <w:rsid w:val="00A367D0"/>
    <w:rsid w:val="00A554C2"/>
    <w:rsid w:val="00A637EA"/>
    <w:rsid w:val="00A658F6"/>
    <w:rsid w:val="00A70C9F"/>
    <w:rsid w:val="00A72474"/>
    <w:rsid w:val="00A73FE6"/>
    <w:rsid w:val="00A77A45"/>
    <w:rsid w:val="00A87283"/>
    <w:rsid w:val="00A90DF8"/>
    <w:rsid w:val="00A96AEC"/>
    <w:rsid w:val="00AA4733"/>
    <w:rsid w:val="00AA611C"/>
    <w:rsid w:val="00AB7DFA"/>
    <w:rsid w:val="00AC08C7"/>
    <w:rsid w:val="00AC6A28"/>
    <w:rsid w:val="00AD17AA"/>
    <w:rsid w:val="00AD1AD6"/>
    <w:rsid w:val="00AD25F4"/>
    <w:rsid w:val="00AD3EEA"/>
    <w:rsid w:val="00AD60CA"/>
    <w:rsid w:val="00AD69A7"/>
    <w:rsid w:val="00AD71D8"/>
    <w:rsid w:val="00AE1CEF"/>
    <w:rsid w:val="00AE31DD"/>
    <w:rsid w:val="00AE3AD6"/>
    <w:rsid w:val="00AE53CE"/>
    <w:rsid w:val="00AF6BA0"/>
    <w:rsid w:val="00B12D2C"/>
    <w:rsid w:val="00B16D39"/>
    <w:rsid w:val="00B32F4C"/>
    <w:rsid w:val="00B35C58"/>
    <w:rsid w:val="00B37BB7"/>
    <w:rsid w:val="00B44A77"/>
    <w:rsid w:val="00B4777D"/>
    <w:rsid w:val="00B47E4A"/>
    <w:rsid w:val="00B511E7"/>
    <w:rsid w:val="00B6583D"/>
    <w:rsid w:val="00B7061E"/>
    <w:rsid w:val="00B73245"/>
    <w:rsid w:val="00B73A99"/>
    <w:rsid w:val="00B77A47"/>
    <w:rsid w:val="00B8002D"/>
    <w:rsid w:val="00B83ECF"/>
    <w:rsid w:val="00B927EF"/>
    <w:rsid w:val="00B92E25"/>
    <w:rsid w:val="00B9494A"/>
    <w:rsid w:val="00B955B7"/>
    <w:rsid w:val="00B97BC7"/>
    <w:rsid w:val="00BA2266"/>
    <w:rsid w:val="00BB0C1A"/>
    <w:rsid w:val="00BB31A5"/>
    <w:rsid w:val="00BB37CF"/>
    <w:rsid w:val="00BB48B0"/>
    <w:rsid w:val="00BC21AC"/>
    <w:rsid w:val="00BD7B61"/>
    <w:rsid w:val="00BE008C"/>
    <w:rsid w:val="00BE34AF"/>
    <w:rsid w:val="00BE4452"/>
    <w:rsid w:val="00BE715F"/>
    <w:rsid w:val="00BF285A"/>
    <w:rsid w:val="00C11863"/>
    <w:rsid w:val="00C145E5"/>
    <w:rsid w:val="00C14FD7"/>
    <w:rsid w:val="00C2172D"/>
    <w:rsid w:val="00C21FEB"/>
    <w:rsid w:val="00C249FF"/>
    <w:rsid w:val="00C24D32"/>
    <w:rsid w:val="00C25194"/>
    <w:rsid w:val="00C26228"/>
    <w:rsid w:val="00C330AC"/>
    <w:rsid w:val="00C41073"/>
    <w:rsid w:val="00C45975"/>
    <w:rsid w:val="00C55628"/>
    <w:rsid w:val="00C663B8"/>
    <w:rsid w:val="00C73CC3"/>
    <w:rsid w:val="00C804E5"/>
    <w:rsid w:val="00C8083F"/>
    <w:rsid w:val="00CB78C1"/>
    <w:rsid w:val="00CC0074"/>
    <w:rsid w:val="00CC74A2"/>
    <w:rsid w:val="00D00195"/>
    <w:rsid w:val="00D1092B"/>
    <w:rsid w:val="00D10E2E"/>
    <w:rsid w:val="00D12BF6"/>
    <w:rsid w:val="00D14293"/>
    <w:rsid w:val="00D162B0"/>
    <w:rsid w:val="00D262C4"/>
    <w:rsid w:val="00D331B3"/>
    <w:rsid w:val="00D46AA2"/>
    <w:rsid w:val="00D5393B"/>
    <w:rsid w:val="00D541B6"/>
    <w:rsid w:val="00D5448D"/>
    <w:rsid w:val="00D76087"/>
    <w:rsid w:val="00D775EC"/>
    <w:rsid w:val="00D870DF"/>
    <w:rsid w:val="00D90449"/>
    <w:rsid w:val="00DB0C09"/>
    <w:rsid w:val="00DC2367"/>
    <w:rsid w:val="00DC6B5F"/>
    <w:rsid w:val="00DD7F67"/>
    <w:rsid w:val="00DE33D8"/>
    <w:rsid w:val="00E16095"/>
    <w:rsid w:val="00E17853"/>
    <w:rsid w:val="00E316C6"/>
    <w:rsid w:val="00E42BD9"/>
    <w:rsid w:val="00E43AD9"/>
    <w:rsid w:val="00E43BAD"/>
    <w:rsid w:val="00E43F1C"/>
    <w:rsid w:val="00E51026"/>
    <w:rsid w:val="00E56F2F"/>
    <w:rsid w:val="00E6072D"/>
    <w:rsid w:val="00E656DA"/>
    <w:rsid w:val="00E7483E"/>
    <w:rsid w:val="00E7525C"/>
    <w:rsid w:val="00E83FD7"/>
    <w:rsid w:val="00E940D8"/>
    <w:rsid w:val="00EA0DB6"/>
    <w:rsid w:val="00EA4E95"/>
    <w:rsid w:val="00EA76D1"/>
    <w:rsid w:val="00EB27AA"/>
    <w:rsid w:val="00EB4089"/>
    <w:rsid w:val="00EC49D8"/>
    <w:rsid w:val="00EE3D1C"/>
    <w:rsid w:val="00EF1E84"/>
    <w:rsid w:val="00EF2E6F"/>
    <w:rsid w:val="00EF5855"/>
    <w:rsid w:val="00EF5AF5"/>
    <w:rsid w:val="00EF64FB"/>
    <w:rsid w:val="00F01977"/>
    <w:rsid w:val="00F147EE"/>
    <w:rsid w:val="00F40B75"/>
    <w:rsid w:val="00F429D2"/>
    <w:rsid w:val="00F53BCA"/>
    <w:rsid w:val="00F5492F"/>
    <w:rsid w:val="00F67110"/>
    <w:rsid w:val="00F70DC3"/>
    <w:rsid w:val="00F72B9D"/>
    <w:rsid w:val="00F83450"/>
    <w:rsid w:val="00F936AC"/>
    <w:rsid w:val="00FA59E4"/>
    <w:rsid w:val="00FB4F38"/>
    <w:rsid w:val="00FB5330"/>
    <w:rsid w:val="00FB666D"/>
    <w:rsid w:val="00FB6FCF"/>
    <w:rsid w:val="00FE0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2025-06-26T20:20:00Z</dcterms:created>
  <dcterms:modified xsi:type="dcterms:W3CDTF">2025-06-26T20:20:00Z</dcterms:modified>
</cp:coreProperties>
</file>