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00B72312">
          <w:pPr>
            <w:spacing w:line="240" w:lineRule="auto"/>
            <w:ind w:left="90"/>
            <w:rPr>
              <w:rFonts w:ascii="Times New Roman" w:hAnsi="Times New Roman" w:cs="Times New Roman"/>
              <w:color w:val="139CD8"/>
              <w:sz w:val="56"/>
              <w:szCs w:val="52"/>
            </w:rPr>
          </w:pPr>
          <w:r w:rsidRPr="0028700E">
            <w:rPr>
              <w:rFonts w:ascii="Times New Roman" w:hAnsi="Times New Roman" w:cs="Times New Roman"/>
              <w:color w:val="139CD8"/>
              <w:sz w:val="56"/>
              <w:szCs w:val="52"/>
            </w:rPr>
            <w:t>Supporting Statement for Technology Partnerships Ombudsmen Reporting Requirements</w:t>
          </w:r>
        </w:p>
      </w:sdtContent>
    </w:sdt>
    <w:p w:rsidR="0059212D" w:rsidRPr="00EE2CAF" w:rsidP="00EE2CAF" w14:paraId="7462A159" w14:textId="77777777">
      <w:pPr>
        <w:pStyle w:val="Heading1"/>
      </w:pPr>
      <w:bookmarkStart w:id="0" w:name="_Toc16271317"/>
      <w:r w:rsidRPr="00EE2CAF">
        <w:t>Part A: Justification</w:t>
      </w:r>
      <w:bookmarkEnd w:id="0"/>
    </w:p>
    <w:p w:rsidR="00711414" w:rsidRPr="00711414" w:rsidP="00D928FD" w14:paraId="06D4D017" w14:textId="7A4EB5D3">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685035" w:rsidP="00FB6BF3" w14:textId="1C0E0C08">
                            <w:pPr>
                              <w:rPr>
                                <w:iCs/>
                                <w:sz w:val="28"/>
                                <w:szCs w:val="28"/>
                              </w:rPr>
                            </w:pPr>
                            <w:r w:rsidRPr="00685035">
                              <w:rPr>
                                <w:iCs/>
                                <w:sz w:val="28"/>
                                <w:szCs w:val="28"/>
                              </w:rPr>
                              <w:t>Technology Partnerships Ombudsman Reporting</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685035" w:rsidP="00FB6BF3" w14:paraId="2C258F15" w14:textId="1C0E0C08">
                      <w:pPr>
                        <w:rPr>
                          <w:iCs/>
                          <w:sz w:val="28"/>
                          <w:szCs w:val="28"/>
                        </w:rPr>
                      </w:pPr>
                      <w:r w:rsidRPr="00685035">
                        <w:rPr>
                          <w:iCs/>
                          <w:sz w:val="28"/>
                          <w:szCs w:val="28"/>
                        </w:rPr>
                        <w:t>Technology Partnerships Ombudsman Reporting</w:t>
                      </w: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28700E">
        <w:rPr>
          <w:rFonts w:ascii="Times New Roman" w:hAnsi="Times New Roman" w:cs="Times New Roman"/>
          <w:b/>
          <w:sz w:val="36"/>
          <w:szCs w:val="36"/>
        </w:rPr>
        <w:t>5118</w:t>
      </w:r>
    </w:p>
    <w:p w:rsidR="001F3A8F" w:rsidRPr="00711414" w:rsidP="00711414" w14:paraId="2D3FC677"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104775</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2F5A57B9">
                            <w:pPr>
                              <w:rPr>
                                <w:color w:val="A6A6A6" w:themeColor="background1" w:themeShade="A6"/>
                                <w:sz w:val="36"/>
                              </w:rPr>
                            </w:pPr>
                            <w:r>
                              <w:rPr>
                                <w:color w:val="A6A6A6" w:themeColor="background1" w:themeShade="A6"/>
                                <w:sz w:val="36"/>
                              </w:rPr>
                              <w:t>June</w:t>
                            </w:r>
                            <w:r w:rsidR="001D63EB">
                              <w:rPr>
                                <w:color w:val="A6A6A6" w:themeColor="background1" w:themeShade="A6"/>
                                <w:sz w:val="36"/>
                              </w:rPr>
                              <w:t xml:space="preserve"> 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8.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2F5A57B9">
                      <w:pPr>
                        <w:rPr>
                          <w:color w:val="A6A6A6" w:themeColor="background1" w:themeShade="A6"/>
                          <w:sz w:val="36"/>
                        </w:rPr>
                      </w:pPr>
                      <w:r>
                        <w:rPr>
                          <w:color w:val="A6A6A6" w:themeColor="background1" w:themeShade="A6"/>
                          <w:sz w:val="36"/>
                        </w:rPr>
                        <w:t>June</w:t>
                      </w:r>
                      <w:r w:rsidR="001D63EB">
                        <w:rPr>
                          <w:color w:val="A6A6A6" w:themeColor="background1" w:themeShade="A6"/>
                          <w:sz w:val="36"/>
                        </w:rPr>
                        <w:t xml:space="preserve"> 2025</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AA32E6" w14:paraId="5A1365D7" w14:textId="77777777">
          <w:pPr>
            <w:pStyle w:val="TOCHeading"/>
          </w:pPr>
          <w:r>
            <w:t>Table of Contents</w:t>
          </w:r>
        </w:p>
        <w:p w:rsidR="00537A91" w14:paraId="3536BDC7" w14:textId="51920AA4">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A91874">
              <w:rPr>
                <w:noProof/>
                <w:webHidden/>
              </w:rPr>
              <w:t>i</w:t>
            </w:r>
            <w:r>
              <w:rPr>
                <w:noProof/>
                <w:webHidden/>
              </w:rPr>
              <w:fldChar w:fldCharType="end"/>
            </w:r>
          </w:hyperlink>
        </w:p>
        <w:p w:rsidR="00537A91" w14:paraId="101B4F84" w14:textId="5B1174F8">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A91874">
              <w:rPr>
                <w:noProof/>
                <w:webHidden/>
              </w:rPr>
              <w:t>2</w:t>
            </w:r>
            <w:r>
              <w:rPr>
                <w:noProof/>
                <w:webHidden/>
              </w:rPr>
              <w:fldChar w:fldCharType="end"/>
            </w:r>
          </w:hyperlink>
        </w:p>
        <w:p w:rsidR="00537A91" w14:paraId="02C634BA" w14:textId="5B78A73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A91874">
              <w:rPr>
                <w:noProof/>
                <w:webHidden/>
              </w:rPr>
              <w:t>2</w:t>
            </w:r>
            <w:r>
              <w:rPr>
                <w:noProof/>
                <w:webHidden/>
              </w:rPr>
              <w:fldChar w:fldCharType="end"/>
            </w:r>
          </w:hyperlink>
        </w:p>
        <w:p w:rsidR="00537A91" w14:paraId="08E178C6" w14:textId="125F774A">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A91874">
              <w:rPr>
                <w:noProof/>
                <w:webHidden/>
              </w:rPr>
              <w:t>2</w:t>
            </w:r>
            <w:r>
              <w:rPr>
                <w:noProof/>
                <w:webHidden/>
              </w:rPr>
              <w:fldChar w:fldCharType="end"/>
            </w:r>
          </w:hyperlink>
        </w:p>
        <w:p w:rsidR="00537A91" w14:paraId="4CE2F60F" w14:textId="2E30CD93">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A91874">
              <w:rPr>
                <w:noProof/>
                <w:webHidden/>
              </w:rPr>
              <w:t>2</w:t>
            </w:r>
            <w:r>
              <w:rPr>
                <w:noProof/>
                <w:webHidden/>
              </w:rPr>
              <w:fldChar w:fldCharType="end"/>
            </w:r>
          </w:hyperlink>
        </w:p>
        <w:p w:rsidR="00537A91" w14:paraId="3A067BC6" w14:textId="60C0E5FD">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A91874">
              <w:rPr>
                <w:noProof/>
                <w:webHidden/>
              </w:rPr>
              <w:t>3</w:t>
            </w:r>
            <w:r>
              <w:rPr>
                <w:noProof/>
                <w:webHidden/>
              </w:rPr>
              <w:fldChar w:fldCharType="end"/>
            </w:r>
          </w:hyperlink>
        </w:p>
        <w:p w:rsidR="00537A91" w14:paraId="25C73FC9" w14:textId="4566C981">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A91874">
              <w:rPr>
                <w:noProof/>
                <w:webHidden/>
              </w:rPr>
              <w:t>3</w:t>
            </w:r>
            <w:r>
              <w:rPr>
                <w:noProof/>
                <w:webHidden/>
              </w:rPr>
              <w:fldChar w:fldCharType="end"/>
            </w:r>
          </w:hyperlink>
        </w:p>
        <w:p w:rsidR="00537A91" w14:paraId="67E6C83A" w14:textId="1107F19F">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A91874">
              <w:rPr>
                <w:noProof/>
                <w:webHidden/>
              </w:rPr>
              <w:t>3</w:t>
            </w:r>
            <w:r>
              <w:rPr>
                <w:noProof/>
                <w:webHidden/>
              </w:rPr>
              <w:fldChar w:fldCharType="end"/>
            </w:r>
          </w:hyperlink>
        </w:p>
        <w:p w:rsidR="00537A91" w14:paraId="1B9C3A7B" w14:textId="6FB36CA3">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A91874">
              <w:rPr>
                <w:noProof/>
                <w:webHidden/>
              </w:rPr>
              <w:t>3</w:t>
            </w:r>
            <w:r>
              <w:rPr>
                <w:noProof/>
                <w:webHidden/>
              </w:rPr>
              <w:fldChar w:fldCharType="end"/>
            </w:r>
          </w:hyperlink>
        </w:p>
        <w:p w:rsidR="00537A91" w14:paraId="537C3941" w14:textId="44AD3D8C">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A91874">
              <w:rPr>
                <w:noProof/>
                <w:webHidden/>
              </w:rPr>
              <w:t>4</w:t>
            </w:r>
            <w:r>
              <w:rPr>
                <w:noProof/>
                <w:webHidden/>
              </w:rPr>
              <w:fldChar w:fldCharType="end"/>
            </w:r>
          </w:hyperlink>
        </w:p>
        <w:p w:rsidR="00537A91" w14:paraId="5FAD51C5" w14:textId="538F8FD3">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A91874">
              <w:rPr>
                <w:noProof/>
                <w:webHidden/>
              </w:rPr>
              <w:t>4</w:t>
            </w:r>
            <w:r>
              <w:rPr>
                <w:noProof/>
                <w:webHidden/>
              </w:rPr>
              <w:fldChar w:fldCharType="end"/>
            </w:r>
          </w:hyperlink>
        </w:p>
        <w:p w:rsidR="00537A91" w14:paraId="1726E6A2" w14:textId="5E6166EF">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A91874">
              <w:rPr>
                <w:noProof/>
                <w:webHidden/>
              </w:rPr>
              <w:t>5</w:t>
            </w:r>
            <w:r>
              <w:rPr>
                <w:noProof/>
                <w:webHidden/>
              </w:rPr>
              <w:fldChar w:fldCharType="end"/>
            </w:r>
          </w:hyperlink>
        </w:p>
        <w:p w:rsidR="00537A91" w14:paraId="4A6A9630" w14:textId="544CA71B">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A91874">
              <w:rPr>
                <w:noProof/>
                <w:webHidden/>
              </w:rPr>
              <w:t>5</w:t>
            </w:r>
            <w:r>
              <w:rPr>
                <w:noProof/>
                <w:webHidden/>
              </w:rPr>
              <w:fldChar w:fldCharType="end"/>
            </w:r>
          </w:hyperlink>
        </w:p>
        <w:p w:rsidR="00537A91" w14:paraId="76109842" w14:textId="556A4353">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A91874">
              <w:rPr>
                <w:noProof/>
                <w:webHidden/>
              </w:rPr>
              <w:t>5</w:t>
            </w:r>
            <w:r>
              <w:rPr>
                <w:noProof/>
                <w:webHidden/>
              </w:rPr>
              <w:fldChar w:fldCharType="end"/>
            </w:r>
          </w:hyperlink>
        </w:p>
        <w:p w:rsidR="00537A91" w14:paraId="75AE2099" w14:textId="3828FEE6">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A91874">
              <w:rPr>
                <w:noProof/>
                <w:webHidden/>
              </w:rPr>
              <w:t>6</w:t>
            </w:r>
            <w:r>
              <w:rPr>
                <w:noProof/>
                <w:webHidden/>
              </w:rPr>
              <w:fldChar w:fldCharType="end"/>
            </w:r>
          </w:hyperlink>
        </w:p>
        <w:p w:rsidR="00537A91" w14:paraId="34257AE7" w14:textId="5E52B782">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A91874">
              <w:rPr>
                <w:noProof/>
                <w:webHidden/>
              </w:rPr>
              <w:t>6</w:t>
            </w:r>
            <w:r>
              <w:rPr>
                <w:noProof/>
                <w:webHidden/>
              </w:rPr>
              <w:fldChar w:fldCharType="end"/>
            </w:r>
          </w:hyperlink>
        </w:p>
        <w:p w:rsidR="00537A91" w14:paraId="1CE8CA5C" w14:textId="6FD15BCC">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A91874">
              <w:rPr>
                <w:noProof/>
                <w:webHidden/>
              </w:rPr>
              <w:t>6</w:t>
            </w:r>
            <w:r>
              <w:rPr>
                <w:noProof/>
                <w:webHidden/>
              </w:rPr>
              <w:fldChar w:fldCharType="end"/>
            </w:r>
          </w:hyperlink>
        </w:p>
        <w:p w:rsidR="00537A91" w14:paraId="29A7E81E" w14:textId="2ECCD267">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A91874">
              <w:rPr>
                <w:noProof/>
                <w:webHidden/>
              </w:rPr>
              <w:t>7</w:t>
            </w:r>
            <w:r>
              <w:rPr>
                <w:noProof/>
                <w:webHidden/>
              </w:rPr>
              <w:fldChar w:fldCharType="end"/>
            </w:r>
          </w:hyperlink>
        </w:p>
        <w:p w:rsidR="00537A91" w14:paraId="29807F52" w14:textId="4BAC3589">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A91874">
              <w:rPr>
                <w:noProof/>
                <w:webHidden/>
              </w:rPr>
              <w:t>7</w:t>
            </w:r>
            <w:r>
              <w:rPr>
                <w:noProof/>
                <w:webHidden/>
              </w:rPr>
              <w:fldChar w:fldCharType="end"/>
            </w:r>
          </w:hyperlink>
        </w:p>
        <w:p w:rsidR="00537A91" w14:paraId="41A13E03" w14:textId="0376FE0C">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A91874">
              <w:rPr>
                <w:noProof/>
                <w:webHidden/>
              </w:rPr>
              <w:t>7</w:t>
            </w:r>
            <w:r>
              <w:rPr>
                <w:noProof/>
                <w:webHidden/>
              </w:rPr>
              <w:fldChar w:fldCharType="end"/>
            </w:r>
          </w:hyperlink>
        </w:p>
        <w:p w:rsidR="00537A91" w14:paraId="61D4CF08" w14:textId="2C3E1D65">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A91874">
              <w:rPr>
                <w:noProof/>
                <w:webHidden/>
              </w:rPr>
              <w:t>8</w:t>
            </w:r>
            <w:r>
              <w:rPr>
                <w:noProof/>
                <w:webHidden/>
              </w:rPr>
              <w:fldChar w:fldCharType="end"/>
            </w:r>
          </w:hyperlink>
        </w:p>
        <w:p w:rsidR="0059212D" w14:paraId="3C174CDC" w14:textId="77777777">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6A20C9" w14:paraId="52FD1B10" w14:textId="77777777">
      <w:pPr>
        <w:pStyle w:val="Heading2"/>
      </w:pPr>
      <w:bookmarkStart w:id="1" w:name="_Toc16271318"/>
      <w:r>
        <w:t>Introdu</w:t>
      </w:r>
      <w:r w:rsidR="00844524">
        <w:t>ction</w:t>
      </w:r>
      <w:bookmarkEnd w:id="1"/>
    </w:p>
    <w:p w:rsidR="006D42EC" w:rsidRPr="006D42EC" w:rsidP="00844524"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P="00A929AD" w14:paraId="5FFD53F5" w14:textId="02A8A72A">
      <w:r>
        <w:t xml:space="preserve">This information collection concerns data related to DOE national laboratories’ use of alternative dispute resolution (ADR) to resolve complaints from industry and the public regarding technology partnerships. A 60-day Federal Register Notice concerning the information collection was published on </w:t>
      </w:r>
      <w:r w:rsidR="00597174">
        <w:t>January 16</w:t>
      </w:r>
      <w:r>
        <w:t>, 202</w:t>
      </w:r>
      <w:r w:rsidR="002153B0">
        <w:t>5</w:t>
      </w:r>
      <w:r>
        <w:t xml:space="preserve">. All data collected via the information collection will be received via </w:t>
      </w:r>
      <w:r w:rsidR="007F774E">
        <w:t xml:space="preserve">the collection instrument assigned </w:t>
      </w:r>
      <w:r>
        <w:t xml:space="preserve">OMB </w:t>
      </w:r>
      <w:r w:rsidR="007F774E">
        <w:t>control</w:t>
      </w:r>
      <w:r>
        <w:t xml:space="preserve"> number </w:t>
      </w:r>
      <w:r w:rsidRPr="00A929AD">
        <w:t>1910–5118</w:t>
      </w:r>
      <w:r>
        <w:t>.</w:t>
      </w:r>
    </w:p>
    <w:p w:rsidR="008C734C" w:rsidP="006A20C9" w14:paraId="148ABAB1" w14:textId="77777777">
      <w:pPr>
        <w:pStyle w:val="Heading2"/>
      </w:pPr>
      <w:bookmarkStart w:id="2" w:name="_Toc16271319"/>
      <w:r>
        <w:t>A.1. Legal Justification</w:t>
      </w:r>
      <w:bookmarkEnd w:id="2"/>
    </w:p>
    <w:p w:rsidR="00A41763" w:rsidRPr="00A41763" w:rsidP="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8C734C" w:rsidP="00A41763" w14:paraId="586C4610" w14:textId="063957BF">
      <w:r>
        <w:t>The Technology Transfer Commercialization Act of 2000</w:t>
      </w:r>
      <w:r w:rsidRPr="00A41763">
        <w:rPr>
          <w:i/>
          <w:iCs/>
        </w:rPr>
        <w:t xml:space="preserve"> </w:t>
      </w:r>
      <w:r>
        <w:t xml:space="preserve">(Public Law 106-404) instituted measures to </w:t>
      </w:r>
      <w:r w:rsidRPr="007244A5">
        <w:t>improve the ability of Federal agencies to license federally</w:t>
      </w:r>
      <w:r>
        <w:t xml:space="preserve"> owned</w:t>
      </w:r>
      <w:r w:rsidRPr="007244A5">
        <w:t xml:space="preserve"> inventions.</w:t>
      </w:r>
      <w:r>
        <w:t xml:space="preserve"> One of these provisions, codified at 42 U.S.C. § 7261c, requires the Secretary of Energy to direct each DOE national laboratory to appoint a Technology Transfer Ombudsman (Ombudsman)</w:t>
      </w:r>
      <w:r w:rsidR="00916CC8">
        <w:t>.</w:t>
      </w:r>
      <w:r>
        <w:t xml:space="preserve"> </w:t>
      </w:r>
      <w:r w:rsidR="00916CC8">
        <w:t xml:space="preserve">Among other duties, each Ombudsman is </w:t>
      </w:r>
      <w:r>
        <w:t xml:space="preserve">to hear and help resolve complaints from outside organizations regarding the policies and actions of each laboratory with respect to technology transfer partnerships, patents, and technology licensing.  </w:t>
      </w:r>
      <w:r w:rsidR="00436F4D">
        <w:t xml:space="preserve">After receiving a complaint, an Ombudsman is to promote the use of </w:t>
      </w:r>
      <w:r w:rsidR="00A929AD">
        <w:t>ADR</w:t>
      </w:r>
      <w:r w:rsidR="00436F4D">
        <w:t xml:space="preserve"> techniques, such as mediation, </w:t>
      </w:r>
      <w:r w:rsidR="0093703F">
        <w:t>to</w:t>
      </w:r>
      <w:r w:rsidR="00436F4D">
        <w:t xml:space="preserve"> resolve the dispute. The Ombudsmen are required to report quarterly on the number and nature of complaints and disputes raised, along with their assessment of their resolution, consistent with the protection of confidential and sensitive information.</w:t>
      </w:r>
    </w:p>
    <w:p w:rsidR="008C734C" w:rsidP="006A20C9" w14:paraId="4CC8B66B" w14:textId="77777777">
      <w:pPr>
        <w:pStyle w:val="Heading2"/>
      </w:pPr>
      <w:bookmarkStart w:id="3" w:name="_Toc16271320"/>
      <w:r>
        <w:t>A.2. Needs and Uses of Data</w:t>
      </w:r>
      <w:bookmarkEnd w:id="3"/>
    </w:p>
    <w:p w:rsidR="00A41763" w:rsidRPr="00A41763" w:rsidP="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w:t>
      </w:r>
      <w:r w:rsidRPr="00A41763">
        <w:rPr>
          <w:b/>
          <w:bCs/>
        </w:rPr>
        <w:t>collection</w:t>
      </w:r>
      <w:r w:rsidRPr="00A41763">
        <w:rPr>
          <w:b/>
          <w:bCs/>
        </w:rPr>
        <w:t xml:space="preserve"> </w:t>
      </w:r>
    </w:p>
    <w:p w:rsidR="00436F4D" w:rsidP="00436F4D" w14:paraId="22FB94B4" w14:textId="67AB4513">
      <w:bookmarkStart w:id="4" w:name="_Toc16271321"/>
      <w:r>
        <w:t xml:space="preserve">DOE’s </w:t>
      </w:r>
      <w:r w:rsidR="004F747D">
        <w:t>Alternative Dispute Resolution Office distributes the collection instrument to Ombuds</w:t>
      </w:r>
      <w:r w:rsidR="00660C80">
        <w:t>men</w:t>
      </w:r>
      <w:r w:rsidR="004F747D">
        <w:t xml:space="preserve"> on a quarterly basis via e-mail. </w:t>
      </w:r>
      <w:r>
        <w:t xml:space="preserve">Ombudsmen submit quarterly reports to </w:t>
      </w:r>
      <w:r>
        <w:t>the</w:t>
      </w:r>
      <w:r w:rsidRPr="00F27EB3">
        <w:t xml:space="preserve"> Office of </w:t>
      </w:r>
      <w:r>
        <w:t>Alternative Dispute</w:t>
      </w:r>
      <w:r w:rsidRPr="00F27EB3">
        <w:t xml:space="preserve"> Resolution</w:t>
      </w:r>
      <w:r>
        <w:t xml:space="preserve">, </w:t>
      </w:r>
      <w:r w:rsidR="001E3723">
        <w:t xml:space="preserve">which </w:t>
      </w:r>
      <w:r>
        <w:t>acts as a resource to assist Ombudsmen in providing ADR services</w:t>
      </w:r>
      <w:r w:rsidRPr="00F27EB3">
        <w:t>.</w:t>
      </w:r>
      <w:r>
        <w:t xml:space="preserve"> </w:t>
      </w:r>
      <w:r w:rsidRPr="00F27EB3">
        <w:t>The information is</w:t>
      </w:r>
      <w:r>
        <w:t xml:space="preserve"> </w:t>
      </w:r>
      <w:r w:rsidRPr="00F27EB3">
        <w:t xml:space="preserve">used to </w:t>
      </w:r>
      <w:r>
        <w:t>measure</w:t>
      </w:r>
      <w:r w:rsidRPr="00F27EB3">
        <w:t xml:space="preserve"> the Ombudsmen</w:t>
      </w:r>
      <w:r>
        <w:t>’s efforts at applying ADR techniques to resolve complaints regarding laboratory policies and actions with respect to technology partnerships.</w:t>
      </w:r>
      <w:r w:rsidR="00660C80">
        <w:t xml:space="preserve"> </w:t>
      </w:r>
      <w:r w:rsidR="00CA1F1D">
        <w:t>Measuring which Ombudsmen are receiving complaints</w:t>
      </w:r>
      <w:r w:rsidR="00660C80">
        <w:t xml:space="preserve">, </w:t>
      </w:r>
      <w:r w:rsidR="00CA1F1D">
        <w:t>and which</w:t>
      </w:r>
      <w:r w:rsidR="00660C80">
        <w:t xml:space="preserve"> are not successfully resolving the complaints that they have received, allows the Alternative Dispute Resolution</w:t>
      </w:r>
      <w:r w:rsidR="007F774E">
        <w:t xml:space="preserve"> Office</w:t>
      </w:r>
      <w:r w:rsidR="00660C80">
        <w:t xml:space="preserve"> to proactively target its</w:t>
      </w:r>
      <w:r w:rsidR="007F774E">
        <w:t xml:space="preserve"> training and</w:t>
      </w:r>
      <w:r w:rsidR="00660C80">
        <w:t xml:space="preserve"> technical assistance on promoting and utilizing ADR services to</w:t>
      </w:r>
      <w:r w:rsidR="00CA1F1D">
        <w:t>wards</w:t>
      </w:r>
      <w:r w:rsidR="00660C80">
        <w:t xml:space="preserve"> those Ombudsmen with the greatest need for assistance. </w:t>
      </w:r>
    </w:p>
    <w:p w:rsidR="008C734C" w:rsidP="006A20C9" w14:paraId="1448BF97" w14:textId="77777777">
      <w:pPr>
        <w:pStyle w:val="Heading2"/>
      </w:pPr>
      <w:r>
        <w:t>A.</w:t>
      </w:r>
      <w:r w:rsidRPr="00A41763" w:rsidR="00A41763">
        <w:t xml:space="preserve">3. </w:t>
      </w:r>
      <w:r>
        <w:t>Use of Technology</w:t>
      </w:r>
      <w:bookmarkEnd w:id="4"/>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P="00A41763" w14:paraId="46E9AED9" w14:textId="46A344F7">
      <w:r>
        <w:t xml:space="preserve">One hundred percent of </w:t>
      </w:r>
      <w:r w:rsidR="00436F4D">
        <w:t>reports are submitted electronically via e-mail to</w:t>
      </w:r>
      <w:r w:rsidR="006E6288">
        <w:t xml:space="preserve"> </w:t>
      </w:r>
      <w:hyperlink r:id="rId10" w:history="1">
        <w:r w:rsidRPr="00282E66" w:rsidR="00522598">
          <w:rPr>
            <w:rStyle w:val="Hyperlink"/>
          </w:rPr>
          <w:t>ADROffice@hq.doe.gov</w:t>
        </w:r>
      </w:hyperlink>
      <w:r>
        <w:t xml:space="preserve"> to</w:t>
      </w:r>
      <w:r w:rsidR="00436F4D">
        <w:t xml:space="preserve"> minimize the collection burden on Ombudsmen and DOE personnel responsible for receiving the reports.</w:t>
      </w:r>
    </w:p>
    <w:p w:rsidR="008C734C" w:rsidP="006A20C9" w14:paraId="0DE5859D"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39439627" w14:textId="77777777">
      <w:r w:rsidRPr="00A41763">
        <w:rPr>
          <w:b/>
          <w:bCs/>
        </w:rPr>
        <w:t xml:space="preserve">Describe efforts to identify duplication. </w:t>
      </w:r>
    </w:p>
    <w:p w:rsidR="008C734C" w:rsidP="00A41763" w14:paraId="7AA88A33" w14:textId="7FE029A1">
      <w:r>
        <w:t xml:space="preserve">The Technology Transfer Commercialization Act of 2000 specifically requires the submission of data on Ombudsmen’s use of ADR to DOE’s Office of Alternative Dispute Resolution. Only the Ombudsmen have access to the data on their own use of ADR in resolving complaints they receive. The Office of Alternative Dispute Resolution is a hub for collecting ADR-related data and communicating ADR best practices to DOE employees and contractors. Therefore, there is no risk of duplication resulting from the information collection because the Ombudsmen are the only source for the information and the Office of Alternative Dispute Resolution is uniquely dedicated to collecting the information covered by the reports. </w:t>
      </w:r>
    </w:p>
    <w:p w:rsidR="008C734C" w:rsidP="006A20C9" w14:paraId="2ECACA07"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8C734C" w:rsidP="00A41763" w14:paraId="3AEA6811" w14:textId="2BA0A5DE">
      <w:r>
        <w:t>None of the contractors operating national laboratories are small businesses, and therefore this information collection has no impact on small businesses.</w:t>
      </w:r>
    </w:p>
    <w:p w:rsidR="008C734C" w:rsidP="006A20C9" w14:paraId="4DA71ECE"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P="00A41763" w14:paraId="762CA884" w14:textId="23467F96">
      <w:r>
        <w:t>The Technology Transfer Commercialization Act of 2000 requires that DOE collect reports from each Ombudsman on a quarterly basis. Collecting reports less frequently than quarterly would not comply with DOE’s legal obligations.</w:t>
      </w:r>
    </w:p>
    <w:p w:rsidR="008C734C" w:rsidP="006A20C9" w14:paraId="2A49B40F"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w:t>
      </w:r>
      <w:r w:rsidRPr="00A41763">
        <w:rPr>
          <w:b/>
          <w:bCs/>
        </w:rPr>
        <w:t>quarterly;</w:t>
      </w:r>
      <w:r w:rsidRPr="00A41763">
        <w:rPr>
          <w:b/>
          <w:bCs/>
        </w:rPr>
        <w:t xml:space="preserve">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w:t>
      </w:r>
      <w:r w:rsidRPr="00A41763">
        <w:rPr>
          <w:b/>
          <w:bCs/>
        </w:rPr>
        <w:t>it;</w:t>
      </w:r>
      <w:r w:rsidRPr="00A41763">
        <w:rPr>
          <w:b/>
          <w:bCs/>
        </w:rPr>
        <w:t xml:space="preserve"> </w:t>
      </w:r>
    </w:p>
    <w:p w:rsidR="00DB6FBD" w:rsidP="00A41763" w14:paraId="7CBBDBFA" w14:textId="77777777">
      <w:pPr>
        <w:rPr>
          <w:b/>
          <w:bCs/>
        </w:rPr>
      </w:pPr>
      <w:r w:rsidRPr="00A41763">
        <w:rPr>
          <w:b/>
          <w:bCs/>
        </w:rPr>
        <w:t xml:space="preserve">(c) requiring respondents to submit more than an original and two copies of any </w:t>
      </w:r>
      <w:r w:rsidRPr="00A41763">
        <w:rPr>
          <w:b/>
          <w:bCs/>
        </w:rPr>
        <w:t>document;</w:t>
      </w:r>
      <w:r w:rsidRPr="00A41763">
        <w:rPr>
          <w:b/>
          <w:bCs/>
        </w:rPr>
        <w:t xml:space="preserve">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w:t>
      </w:r>
      <w:r w:rsidRPr="00A41763">
        <w:rPr>
          <w:b/>
          <w:bCs/>
        </w:rPr>
        <w:t>years;</w:t>
      </w:r>
      <w:r w:rsidRPr="00A41763">
        <w:rPr>
          <w:b/>
          <w:bCs/>
        </w:rPr>
        <w:t xml:space="preserve"> </w:t>
      </w:r>
    </w:p>
    <w:p w:rsidR="00DB6FBD" w:rsidP="00A41763" w14:paraId="7F8B624D" w14:textId="77777777">
      <w:pPr>
        <w:rPr>
          <w:b/>
          <w:bCs/>
        </w:rPr>
      </w:pPr>
      <w:r w:rsidRPr="00A41763">
        <w:rPr>
          <w:b/>
          <w:bCs/>
        </w:rPr>
        <w:t xml:space="preserve">(e) in connection with a statistical survey, that is not designed to product valid and reliable results that can be generalized to the universe of </w:t>
      </w:r>
      <w:r w:rsidRPr="00A41763">
        <w:rPr>
          <w:b/>
          <w:bCs/>
        </w:rPr>
        <w:t>study;</w:t>
      </w:r>
      <w:r w:rsidRPr="00A41763">
        <w:rPr>
          <w:b/>
          <w:bCs/>
        </w:rPr>
        <w:t xml:space="preserve"> </w:t>
      </w:r>
    </w:p>
    <w:p w:rsidR="00DB6FBD" w:rsidP="00A41763" w14:paraId="21472A65" w14:textId="77777777">
      <w:pPr>
        <w:rPr>
          <w:b/>
          <w:bCs/>
        </w:rPr>
      </w:pPr>
      <w:r w:rsidRPr="00A41763">
        <w:rPr>
          <w:b/>
          <w:bCs/>
        </w:rPr>
        <w:t xml:space="preserve">(f) requiring the use of statistical data classification that has not been reviewed and approved by </w:t>
      </w:r>
      <w:r w:rsidRPr="00A41763">
        <w:rPr>
          <w:b/>
          <w:bCs/>
        </w:rPr>
        <w:t>OMB;</w:t>
      </w:r>
      <w:r w:rsidRPr="00A41763">
        <w:rPr>
          <w:b/>
          <w:bCs/>
        </w:rPr>
        <w:t xml:space="preserve"> </w:t>
      </w:r>
    </w:p>
    <w:p w:rsidR="00DB6FBD" w:rsidP="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P="00A41763" w14:paraId="6BD56677" w14:textId="0AC6915A">
      <w:r>
        <w:t>None of the circumstances listed above is applicable to this information collection.</w:t>
      </w:r>
    </w:p>
    <w:p w:rsidR="008C734C" w:rsidP="006A20C9" w14:paraId="74C8DEA2" w14:textId="77777777">
      <w:pPr>
        <w:pStyle w:val="Heading2"/>
      </w:pPr>
      <w:bookmarkStart w:id="9" w:name="_Toc16271326"/>
      <w:r>
        <w:t>A.</w:t>
      </w:r>
      <w:r w:rsidRPr="00A41763" w:rsidR="00A41763">
        <w:t xml:space="preserve">8. </w:t>
      </w:r>
      <w:r w:rsidRPr="008C734C">
        <w:t>Summary of Consultations Outside of the Agency</w:t>
      </w:r>
      <w:bookmarkEnd w:id="9"/>
    </w:p>
    <w:p w:rsidR="00A41763" w:rsidRPr="00A41763" w:rsidP="00A41763" w14:paraId="5911F359" w14:textId="77777777">
      <w:r w:rsidRPr="00A41763">
        <w:rPr>
          <w:b/>
          <w:bCs/>
        </w:rPr>
        <w:t xml:space="preserve">If applicable, provide a copy and identify the date and page number of </w:t>
      </w:r>
      <w:r w:rsidRPr="00A41763">
        <w:rPr>
          <w:b/>
          <w:bCs/>
        </w:rPr>
        <w:t>publication</w:t>
      </w:r>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5F25C3" w:rsidP="005F25C3" w14:paraId="6DFCEDF7" w14:textId="65895064">
      <w:pPr>
        <w:rPr>
          <w:iCs/>
        </w:rPr>
      </w:pPr>
      <w:r>
        <w:rPr>
          <w:iCs/>
        </w:rPr>
        <w:t xml:space="preserve">DOE published a 60-day notice in the Federal Register Vol. </w:t>
      </w:r>
      <w:r w:rsidR="00CF1572">
        <w:rPr>
          <w:iCs/>
        </w:rPr>
        <w:t>90</w:t>
      </w:r>
      <w:r>
        <w:rPr>
          <w:iCs/>
        </w:rPr>
        <w:t xml:space="preserve">, No. </w:t>
      </w:r>
      <w:r w:rsidR="00CF1572">
        <w:rPr>
          <w:iCs/>
        </w:rPr>
        <w:t>10</w:t>
      </w:r>
      <w:r>
        <w:rPr>
          <w:iCs/>
        </w:rPr>
        <w:t xml:space="preserve"> on </w:t>
      </w:r>
      <w:r w:rsidR="00CF1572">
        <w:rPr>
          <w:iCs/>
        </w:rPr>
        <w:t>January 16</w:t>
      </w:r>
      <w:r w:rsidR="00EF33FC">
        <w:rPr>
          <w:iCs/>
        </w:rPr>
        <w:t>, 202</w:t>
      </w:r>
      <w:r w:rsidR="00903A54">
        <w:rPr>
          <w:iCs/>
        </w:rPr>
        <w:t>5</w:t>
      </w:r>
      <w:r w:rsidR="00EF33FC">
        <w:rPr>
          <w:iCs/>
        </w:rPr>
        <w:t>,</w:t>
      </w:r>
      <w:r>
        <w:rPr>
          <w:iCs/>
        </w:rPr>
        <w:t xml:space="preserve"> seeking comment on the proposed extension of the three-year information collection.  No comments were received.</w:t>
      </w:r>
      <w:r w:rsidR="00CA1F1D">
        <w:rPr>
          <w:iCs/>
        </w:rPr>
        <w:t xml:space="preserve"> The Alternative Dispute Resolution Office also </w:t>
      </w:r>
      <w:r w:rsidR="00787809">
        <w:rPr>
          <w:iCs/>
        </w:rPr>
        <w:t xml:space="preserve">conducted informal outreach </w:t>
      </w:r>
      <w:r w:rsidR="004F7148">
        <w:rPr>
          <w:iCs/>
        </w:rPr>
        <w:t>to</w:t>
      </w:r>
      <w:r w:rsidR="00CA1F1D">
        <w:rPr>
          <w:iCs/>
        </w:rPr>
        <w:t xml:space="preserve"> Ombudsmen </w:t>
      </w:r>
      <w:r w:rsidR="00A632EF">
        <w:rPr>
          <w:iCs/>
        </w:rPr>
        <w:t xml:space="preserve">to solicit </w:t>
      </w:r>
      <w:r w:rsidR="00C455D3">
        <w:rPr>
          <w:iCs/>
        </w:rPr>
        <w:t xml:space="preserve">their voluntary input on </w:t>
      </w:r>
      <w:r w:rsidR="00F7297C">
        <w:rPr>
          <w:iCs/>
        </w:rPr>
        <w:t xml:space="preserve">their experiences </w:t>
      </w:r>
      <w:r w:rsidR="00911C9F">
        <w:rPr>
          <w:iCs/>
        </w:rPr>
        <w:t xml:space="preserve">providing data using the collection instrument, </w:t>
      </w:r>
      <w:r w:rsidR="00003C8D">
        <w:rPr>
          <w:iCs/>
        </w:rPr>
        <w:t xml:space="preserve">including the </w:t>
      </w:r>
      <w:r w:rsidR="00A33D34">
        <w:rPr>
          <w:iCs/>
        </w:rPr>
        <w:t xml:space="preserve">clarity of the instructions and burdens associated with </w:t>
      </w:r>
      <w:r w:rsidR="00764839">
        <w:rPr>
          <w:iCs/>
        </w:rPr>
        <w:t>completing and submitting the collection instrument</w:t>
      </w:r>
      <w:r w:rsidR="00CA1F1D">
        <w:rPr>
          <w:iCs/>
        </w:rPr>
        <w:t>.</w:t>
      </w:r>
      <w:r w:rsidR="00D825A2">
        <w:rPr>
          <w:iCs/>
        </w:rPr>
        <w:t xml:space="preserve"> </w:t>
      </w:r>
      <w:r w:rsidR="00D825A2">
        <w:rPr>
          <w:iCs/>
        </w:rPr>
        <w:t xml:space="preserve">DOE published a </w:t>
      </w:r>
      <w:r w:rsidR="00D825A2">
        <w:rPr>
          <w:iCs/>
        </w:rPr>
        <w:t>3</w:t>
      </w:r>
      <w:r w:rsidR="00D825A2">
        <w:rPr>
          <w:iCs/>
        </w:rPr>
        <w:t xml:space="preserve">0-day notice in the Federal Register Vol. 90, No. </w:t>
      </w:r>
      <w:r w:rsidR="00D825A2">
        <w:rPr>
          <w:iCs/>
        </w:rPr>
        <w:t>93, Page 20648</w:t>
      </w:r>
      <w:r w:rsidR="00D825A2">
        <w:rPr>
          <w:iCs/>
        </w:rPr>
        <w:t xml:space="preserve"> on </w:t>
      </w:r>
      <w:r w:rsidR="00D825A2">
        <w:rPr>
          <w:iCs/>
        </w:rPr>
        <w:t>May</w:t>
      </w:r>
      <w:r w:rsidR="00D825A2">
        <w:rPr>
          <w:iCs/>
        </w:rPr>
        <w:t xml:space="preserve"> 1</w:t>
      </w:r>
      <w:r w:rsidR="00D825A2">
        <w:rPr>
          <w:iCs/>
        </w:rPr>
        <w:t>5</w:t>
      </w:r>
      <w:r w:rsidR="00D825A2">
        <w:rPr>
          <w:iCs/>
        </w:rPr>
        <w:t>, 2025</w:t>
      </w:r>
      <w:r w:rsidR="00D825A2">
        <w:rPr>
          <w:iCs/>
        </w:rPr>
        <w:t xml:space="preserve">. </w:t>
      </w:r>
    </w:p>
    <w:p w:rsidR="008C734C" w:rsidP="006A20C9" w14:paraId="72BD7E79"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P="00A41763" w14:paraId="77C37DE8" w14:textId="4BD5B0B2">
      <w:r>
        <w:t>No respondents to this information collection will receive payments or gifts, other than remuneration of contractors</w:t>
      </w:r>
      <w:r w:rsidR="001A38FF">
        <w:t xml:space="preserve"> for work reimbursable under a DOE contract</w:t>
      </w:r>
      <w:r>
        <w:t xml:space="preserve">. </w:t>
      </w:r>
    </w:p>
    <w:p w:rsidR="008C734C" w:rsidP="006A20C9" w14:paraId="21C23607"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F056C3" w:rsidP="00A41763" w14:paraId="65F72007" w14:textId="71AB7D89">
      <w:r>
        <w:t xml:space="preserve">Respondents will not be assured of confidentiality of their responses. </w:t>
      </w:r>
      <w:r w:rsidR="00D716B9">
        <w:t>Reports collect information concerning the number and general nature of complaints received by each Ombudsman</w:t>
      </w:r>
      <w:r w:rsidR="00ED7ABF">
        <w:t xml:space="preserve"> and are not expected to contain sensitive personal or proprietary information. </w:t>
      </w:r>
    </w:p>
    <w:p w:rsidR="00F056C3" w:rsidP="006A20C9" w14:paraId="54948D33"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A41763" w:rsidRPr="00ED7ABF" w:rsidP="00A41763" w14:paraId="45CE0DDF" w14:textId="4B9F3FCE">
      <w:r>
        <w:t>The information collection solely concerns information concerning Ombudsmen’s performance of their official duties – no sensitive information will be collected.</w:t>
      </w:r>
    </w:p>
    <w:p w:rsidR="00F056C3" w:rsidP="006A20C9" w14:paraId="78140148"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RPr="00960424" w:rsidP="00AC69E8" w14:paraId="32821E38" w14:textId="77777777">
      <w:pPr>
        <w:pStyle w:val="Default"/>
        <w:rPr>
          <w:rFonts w:asciiTheme="minorHAnsi" w:hAnsiTheme="minorHAnsi" w:cstheme="minorHAnsi"/>
          <w:sz w:val="22"/>
          <w:szCs w:val="22"/>
        </w:rPr>
      </w:pPr>
      <w:r w:rsidRPr="00960424">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960424">
        <w:rPr>
          <w:rFonts w:asciiTheme="minorHAnsi" w:hAnsiTheme="minorHAnsi" w:cstheme="minorHAnsi"/>
          <w:b/>
          <w:bCs/>
          <w:sz w:val="22"/>
          <w:szCs w:val="22"/>
          <w:u w:val="single"/>
        </w:rPr>
        <w:t>an explanation of how the burden was estimated</w:t>
      </w:r>
      <w:r w:rsidRPr="00960424">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537A91" w:rsidP="00A41763" w14:paraId="312CC952" w14:textId="6AC96615">
      <w:pPr>
        <w:rPr>
          <w:b/>
          <w:bCs/>
        </w:rPr>
      </w:pPr>
    </w:p>
    <w:p w:rsidR="002E4FAD" w:rsidP="002E4FAD" w14:paraId="75B85DFD" w14:textId="5881D27F">
      <w:pPr>
        <w:pStyle w:val="Default"/>
        <w:rPr>
          <w:rFonts w:asciiTheme="minorHAnsi" w:hAnsiTheme="minorHAnsi" w:cstheme="minorHAnsi"/>
          <w:sz w:val="22"/>
          <w:szCs w:val="22"/>
        </w:rPr>
      </w:pPr>
      <w:r w:rsidRPr="004B4A66">
        <w:rPr>
          <w:rFonts w:asciiTheme="minorHAnsi" w:hAnsiTheme="minorHAnsi" w:cstheme="minorHAnsi"/>
          <w:sz w:val="22"/>
          <w:szCs w:val="22"/>
        </w:rPr>
        <w:t>Each of DOE’s 17 national laboratories is required to appoint an Ombudsman. These 17 Ombudsm</w:t>
      </w:r>
      <w:r w:rsidR="005F25C3">
        <w:rPr>
          <w:rFonts w:asciiTheme="minorHAnsi" w:hAnsiTheme="minorHAnsi" w:cstheme="minorHAnsi"/>
          <w:sz w:val="22"/>
          <w:szCs w:val="22"/>
        </w:rPr>
        <w:t>e</w:t>
      </w:r>
      <w:r w:rsidRPr="004B4A66">
        <w:rPr>
          <w:rFonts w:asciiTheme="minorHAnsi" w:hAnsiTheme="minorHAnsi" w:cstheme="minorHAnsi"/>
          <w:sz w:val="22"/>
          <w:szCs w:val="22"/>
        </w:rPr>
        <w:t>n must each report quarterly pursuant to</w:t>
      </w:r>
      <w:r w:rsidRPr="004B4A66">
        <w:t xml:space="preserve"> </w:t>
      </w:r>
      <w:r>
        <w:rPr>
          <w:rFonts w:asciiTheme="minorHAnsi" w:hAnsiTheme="minorHAnsi" w:cstheme="minorHAnsi"/>
          <w:sz w:val="22"/>
          <w:szCs w:val="22"/>
        </w:rPr>
        <w:t>t</w:t>
      </w:r>
      <w:r w:rsidRPr="004B4A66">
        <w:rPr>
          <w:rFonts w:asciiTheme="minorHAnsi" w:hAnsiTheme="minorHAnsi" w:cstheme="minorHAnsi"/>
          <w:sz w:val="22"/>
          <w:szCs w:val="22"/>
        </w:rPr>
        <w:t>he Technology Transfer Commercialization Act of 2000</w:t>
      </w:r>
      <w:r>
        <w:rPr>
          <w:rFonts w:asciiTheme="minorHAnsi" w:hAnsiTheme="minorHAnsi" w:cstheme="minorHAnsi"/>
          <w:sz w:val="22"/>
          <w:szCs w:val="22"/>
        </w:rPr>
        <w:t xml:space="preserve">, and therefore the total annual number of responses is 68. </w:t>
      </w:r>
      <w:r w:rsidR="00F524C4">
        <w:rPr>
          <w:rFonts w:asciiTheme="minorHAnsi" w:hAnsiTheme="minorHAnsi" w:cstheme="minorHAnsi"/>
          <w:sz w:val="22"/>
          <w:szCs w:val="22"/>
        </w:rPr>
        <w:t xml:space="preserve">The Office of Alternative Dispute Resolution </w:t>
      </w:r>
      <w:r w:rsidR="00676499">
        <w:rPr>
          <w:rFonts w:asciiTheme="minorHAnsi" w:hAnsiTheme="minorHAnsi" w:cstheme="minorHAnsi"/>
          <w:sz w:val="22"/>
          <w:szCs w:val="22"/>
        </w:rPr>
        <w:t xml:space="preserve">informally consulted with fewer than ten </w:t>
      </w:r>
      <w:r w:rsidR="00DC6EFF">
        <w:rPr>
          <w:rFonts w:asciiTheme="minorHAnsi" w:hAnsiTheme="minorHAnsi" w:cstheme="minorHAnsi"/>
          <w:sz w:val="22"/>
          <w:szCs w:val="22"/>
        </w:rPr>
        <w:t xml:space="preserve">Ombudsmen concerning </w:t>
      </w:r>
      <w:r w:rsidR="009C6904">
        <w:rPr>
          <w:rFonts w:asciiTheme="minorHAnsi" w:hAnsiTheme="minorHAnsi" w:cstheme="minorHAnsi"/>
          <w:sz w:val="22"/>
          <w:szCs w:val="22"/>
        </w:rPr>
        <w:t xml:space="preserve">their experiences completing and submitting </w:t>
      </w:r>
      <w:r w:rsidR="00E37A7D">
        <w:rPr>
          <w:rFonts w:asciiTheme="minorHAnsi" w:hAnsiTheme="minorHAnsi" w:cstheme="minorHAnsi"/>
          <w:sz w:val="22"/>
          <w:szCs w:val="22"/>
        </w:rPr>
        <w:t xml:space="preserve">the collection instrument. </w:t>
      </w:r>
      <w:r>
        <w:rPr>
          <w:rFonts w:asciiTheme="minorHAnsi" w:hAnsiTheme="minorHAnsi" w:cstheme="minorHAnsi"/>
          <w:sz w:val="22"/>
          <w:szCs w:val="22"/>
        </w:rPr>
        <w:t xml:space="preserve">Based on the </w:t>
      </w:r>
      <w:r w:rsidR="00E37A7D">
        <w:rPr>
          <w:rFonts w:asciiTheme="minorHAnsi" w:hAnsiTheme="minorHAnsi" w:cstheme="minorHAnsi"/>
          <w:sz w:val="22"/>
          <w:szCs w:val="22"/>
        </w:rPr>
        <w:t xml:space="preserve">information provided by these Ombudsmen, the Office of Alternative Dispute Resolution’s </w:t>
      </w:r>
      <w:r w:rsidR="001C1F46">
        <w:rPr>
          <w:rFonts w:asciiTheme="minorHAnsi" w:hAnsiTheme="minorHAnsi" w:cstheme="minorHAnsi"/>
          <w:sz w:val="22"/>
          <w:szCs w:val="22"/>
        </w:rPr>
        <w:t xml:space="preserve">records </w:t>
      </w:r>
      <w:r w:rsidR="00B0395F">
        <w:rPr>
          <w:rFonts w:asciiTheme="minorHAnsi" w:hAnsiTheme="minorHAnsi" w:cstheme="minorHAnsi"/>
          <w:sz w:val="22"/>
          <w:szCs w:val="22"/>
        </w:rPr>
        <w:t>reflecting the portion of Ombudsmen who had information on ADR services provided upon which to report on a quarterly and annual basis</w:t>
      </w:r>
      <w:r w:rsidR="003867D8">
        <w:rPr>
          <w:rFonts w:asciiTheme="minorHAnsi" w:hAnsiTheme="minorHAnsi" w:cstheme="minorHAnsi"/>
          <w:sz w:val="22"/>
          <w:szCs w:val="22"/>
        </w:rPr>
        <w:t>,</w:t>
      </w:r>
      <w:r>
        <w:rPr>
          <w:rFonts w:asciiTheme="minorHAnsi" w:hAnsiTheme="minorHAnsi" w:cstheme="minorHAnsi"/>
          <w:sz w:val="22"/>
          <w:szCs w:val="22"/>
        </w:rPr>
        <w:t xml:space="preserve"> and self-testing, the Office of Alternative Dispute Resolution anticipates that each response will require </w:t>
      </w:r>
      <w:r w:rsidR="00CD47CF">
        <w:rPr>
          <w:rFonts w:asciiTheme="minorHAnsi" w:hAnsiTheme="minorHAnsi" w:cstheme="minorHAnsi"/>
          <w:sz w:val="22"/>
          <w:szCs w:val="22"/>
        </w:rPr>
        <w:t xml:space="preserve">an average of </w:t>
      </w:r>
      <w:r w:rsidR="00A9217A">
        <w:rPr>
          <w:rFonts w:asciiTheme="minorHAnsi" w:hAnsiTheme="minorHAnsi" w:cstheme="minorHAnsi"/>
          <w:sz w:val="22"/>
          <w:szCs w:val="22"/>
        </w:rPr>
        <w:t>twenty</w:t>
      </w:r>
      <w:r w:rsidR="00B8193E">
        <w:rPr>
          <w:rFonts w:asciiTheme="minorHAnsi" w:hAnsiTheme="minorHAnsi" w:cstheme="minorHAnsi"/>
          <w:sz w:val="22"/>
          <w:szCs w:val="22"/>
        </w:rPr>
        <w:t xml:space="preserve"> minutes </w:t>
      </w:r>
      <w:r>
        <w:rPr>
          <w:rFonts w:asciiTheme="minorHAnsi" w:hAnsiTheme="minorHAnsi" w:cstheme="minorHAnsi"/>
          <w:sz w:val="22"/>
          <w:szCs w:val="22"/>
        </w:rPr>
        <w:t>to complete. This includes time required to review records of complaints receive</w:t>
      </w:r>
      <w:r w:rsidR="00765A29">
        <w:rPr>
          <w:rFonts w:asciiTheme="minorHAnsi" w:hAnsiTheme="minorHAnsi" w:cstheme="minorHAnsi"/>
          <w:sz w:val="22"/>
          <w:szCs w:val="22"/>
        </w:rPr>
        <w:t>d</w:t>
      </w:r>
      <w:r>
        <w:rPr>
          <w:rFonts w:asciiTheme="minorHAnsi" w:hAnsiTheme="minorHAnsi" w:cstheme="minorHAnsi"/>
          <w:sz w:val="22"/>
          <w:szCs w:val="22"/>
        </w:rPr>
        <w:t xml:space="preserve">, transcribe that information into the collection instrument, </w:t>
      </w:r>
      <w:r w:rsidR="00765A29">
        <w:rPr>
          <w:rFonts w:asciiTheme="minorHAnsi" w:hAnsiTheme="minorHAnsi" w:cstheme="minorHAnsi"/>
          <w:sz w:val="22"/>
          <w:szCs w:val="22"/>
        </w:rPr>
        <w:t>briefly summarize the nature and resolution of the complaint, and send the collection instrument to the Office of Alternative Dispute Resolution via e-mail.</w:t>
      </w:r>
    </w:p>
    <w:p w:rsidR="00765A29" w:rsidP="002E4FAD" w14:paraId="3E858C24" w14:textId="245E1261">
      <w:pPr>
        <w:pStyle w:val="Default"/>
        <w:rPr>
          <w:rFonts w:asciiTheme="minorHAnsi" w:hAnsiTheme="minorHAnsi" w:cstheme="minorHAnsi"/>
          <w:sz w:val="22"/>
          <w:szCs w:val="22"/>
        </w:rPr>
      </w:pPr>
    </w:p>
    <w:p w:rsidR="00765A29" w:rsidRPr="004B4A66" w:rsidP="002E4FAD" w14:paraId="47F3C9C9" w14:textId="77777777">
      <w:pPr>
        <w:pStyle w:val="Default"/>
        <w:rPr>
          <w:rFonts w:asciiTheme="minorHAnsi" w:hAnsiTheme="minorHAnsi" w:cstheme="minorHAnsi"/>
          <w:sz w:val="22"/>
          <w:szCs w:val="22"/>
        </w:rPr>
      </w:pPr>
    </w:p>
    <w:p w:rsidR="002E4FAD" w:rsidP="00A41763" w14:paraId="4B5E24D8" w14:textId="77777777">
      <w:pPr>
        <w:rPr>
          <w:b/>
          <w:bCs/>
        </w:rPr>
      </w:pPr>
    </w:p>
    <w:tbl>
      <w:tblPr>
        <w:tblW w:w="10020" w:type="dxa"/>
        <w:tblLook w:val="04A0"/>
      </w:tblPr>
      <w:tblGrid>
        <w:gridCol w:w="2848"/>
        <w:gridCol w:w="1296"/>
        <w:gridCol w:w="1296"/>
        <w:gridCol w:w="1158"/>
        <w:gridCol w:w="1157"/>
        <w:gridCol w:w="1155"/>
        <w:gridCol w:w="1110"/>
      </w:tblGrid>
      <w:tr w14:paraId="572EE9F5"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1E34118D"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4E9221FE" w14:textId="77777777">
            <w:pPr>
              <w:spacing w:after="0" w:line="240" w:lineRule="auto"/>
              <w:jc w:val="center"/>
              <w:rPr>
                <w:rFonts w:ascii="Calibri" w:eastAsia="Times New Roman" w:hAnsi="Calibri" w:cs="Arial"/>
                <w:b/>
                <w:bCs/>
                <w:color w:val="0070C0"/>
                <w:sz w:val="28"/>
                <w:szCs w:val="28"/>
              </w:rPr>
            </w:pPr>
          </w:p>
        </w:tc>
      </w:tr>
      <w:tr w14:paraId="4F69B1FB"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3DD2504B"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485F23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04E14EE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29BA06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3765254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3E54AF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51EEC0D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840F521"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4DDBFE7" w14:textId="63367953">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Pr="00ED7ABF" w:rsidR="00ED7ABF">
              <w:rPr>
                <w:rFonts w:ascii="Calibri" w:eastAsia="Times New Roman" w:hAnsi="Calibri" w:cs="Arial"/>
                <w:color w:val="000000"/>
                <w:sz w:val="20"/>
                <w:szCs w:val="20"/>
              </w:rPr>
              <w:t>Technology Partnerships Ombudsman Reporting</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6A17D2F6" w14:textId="4F064AA1">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ED7ABF">
              <w:rPr>
                <w:rFonts w:ascii="Calibri" w:eastAsia="Times New Roman" w:hAnsi="Calibri" w:cs="Arial"/>
                <w:color w:val="000000"/>
                <w:sz w:val="20"/>
                <w:szCs w:val="20"/>
              </w:rPr>
              <w:t>Senior employees of National Laboratories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E9031C" w14:paraId="2F05239A" w14:textId="344A2F80">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 xml:space="preserve">    </w:t>
            </w:r>
            <w:r w:rsidR="00ED7ABF">
              <w:rPr>
                <w:rFonts w:ascii="Calibri" w:eastAsia="Times New Roman" w:hAnsi="Calibri" w:cs="Arial"/>
                <w:color w:val="000000"/>
                <w:sz w:val="20"/>
                <w:szCs w:val="20"/>
              </w:rPr>
              <w:t>17</w:t>
            </w:r>
            <w:r w:rsidRPr="006F3C12">
              <w:rPr>
                <w:rFonts w:ascii="Calibri" w:eastAsia="Times New Roman" w:hAnsi="Calibri" w:cs="Arial"/>
                <w:color w:val="000000"/>
                <w:sz w:val="20"/>
                <w:szCs w:val="20"/>
              </w:rPr>
              <w:t> </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73338490" w14:textId="5234C01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68</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1A717C4E" w14:textId="792E79AF">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0.</w:t>
            </w:r>
            <w:r w:rsidR="007D2A7E">
              <w:rPr>
                <w:rFonts w:ascii="Calibri" w:eastAsia="Times New Roman" w:hAnsi="Calibri" w:cs="Arial"/>
                <w:color w:val="000000"/>
                <w:sz w:val="20"/>
                <w:szCs w:val="20"/>
              </w:rPr>
              <w:t>3</w:t>
            </w:r>
            <w:r w:rsidR="0015418C">
              <w:rPr>
                <w:rFonts w:ascii="Calibri" w:eastAsia="Times New Roman" w:hAnsi="Calibri" w:cs="Arial"/>
                <w:color w:val="000000"/>
                <w:sz w:val="20"/>
                <w:szCs w:val="20"/>
              </w:rPr>
              <w:t>4</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0EBA76B5" w14:textId="3774504C">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23</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2268C457" w14:textId="597BEDA2">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AA32E6">
              <w:rPr>
                <w:rFonts w:ascii="Calibri" w:eastAsia="Times New Roman" w:hAnsi="Calibri" w:cs="Arial"/>
                <w:color w:val="000000"/>
                <w:sz w:val="20"/>
                <w:szCs w:val="20"/>
              </w:rPr>
              <w:t>4</w:t>
            </w:r>
          </w:p>
        </w:tc>
      </w:tr>
      <w:tr w14:paraId="41314169"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7BDE75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3B610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6F3C12" w:rsidP="00E9031C" w14:paraId="14067F12" w14:textId="45E87AFC">
            <w:pPr>
              <w:spacing w:after="0" w:line="240" w:lineRule="auto"/>
              <w:ind w:right="15"/>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17</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584584E5" w14:textId="7FE78590">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68</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7E08173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7705508" w14:textId="2626D2EE">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23</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4B7ACDA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19A731A3" w14:textId="77777777"/>
    <w:p w:rsidR="006F3C12" w:rsidP="006A20C9" w14:paraId="3E28018C"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RPr="00D91781" w:rsidP="000B43BF" w14:paraId="1FD02EB4" w14:textId="78CD8BB5">
      <w:pPr>
        <w:pStyle w:val="Default"/>
        <w:rPr>
          <w:rFonts w:asciiTheme="minorHAnsi" w:hAnsiTheme="minorHAnsi" w:cstheme="minorHAnsi"/>
          <w:b/>
          <w:bCs/>
          <w:sz w:val="22"/>
          <w:szCs w:val="22"/>
        </w:rPr>
      </w:pPr>
      <w:r w:rsidRPr="00D91781">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B525F" w:rsidP="006F3C12" w14:paraId="20C09085" w14:textId="2A6F86C8">
      <w:r>
        <w:br/>
      </w:r>
      <w:r>
        <w:t xml:space="preserve">Pursuant to 42 U.S.C. § 7261c(b), each Ombudsman must be a senior official of a national laboratory. </w:t>
      </w:r>
      <w:r w:rsidR="0093678A">
        <w:t xml:space="preserve">Based on </w:t>
      </w:r>
      <w:r w:rsidR="00F70C08">
        <w:t xml:space="preserve">informal consultations with a sample of fewer than </w:t>
      </w:r>
      <w:r w:rsidR="00F57C85">
        <w:t xml:space="preserve">ten Ombudsmen, the Office of Alternative Dispute Resolution estimates </w:t>
      </w:r>
      <w:r w:rsidR="005C2E26">
        <w:t>that</w:t>
      </w:r>
      <w:r>
        <w:t xml:space="preserve"> the </w:t>
      </w:r>
      <w:r>
        <w:t>fully-burdened</w:t>
      </w:r>
      <w:r>
        <w:t xml:space="preserve"> </w:t>
      </w:r>
      <w:r w:rsidR="005C2E26">
        <w:t>hourly wage of respondents is $140</w:t>
      </w:r>
      <w:r>
        <w:t xml:space="preserve">. </w:t>
      </w:r>
    </w:p>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72AE83FC"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2C0A4014" w14:textId="77777777">
            <w:pPr>
              <w:spacing w:after="0" w:line="240" w:lineRule="auto"/>
              <w:jc w:val="center"/>
              <w:rPr>
                <w:rFonts w:ascii="Calibri" w:eastAsia="Times New Roman" w:hAnsi="Calibri" w:cs="Arial"/>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621326AF" w14:textId="74B75741">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1C6B39">
              <w:rPr>
                <w:rFonts w:ascii="Calibri" w:eastAsia="Times New Roman" w:hAnsi="Calibri" w:cs="Arial"/>
                <w:color w:val="000000"/>
                <w:sz w:val="20"/>
                <w:szCs w:val="20"/>
              </w:rPr>
              <w:t>Senior employees of National Laboratories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6F3C12" w:rsidP="00E9031C" w14:paraId="13BFF413" w14:textId="63978129">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23</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6F3C12" w:rsidP="008F16EC" w14:paraId="460330FA" w14:textId="1E295F91">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w:t>
            </w:r>
            <w:r w:rsidR="005C2E26">
              <w:rPr>
                <w:rFonts w:ascii="Calibri" w:eastAsia="Times New Roman" w:hAnsi="Calibri" w:cs="Arial"/>
                <w:color w:val="000000"/>
                <w:sz w:val="20"/>
                <w:szCs w:val="20"/>
              </w:rPr>
              <w:t>140</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037AC9E1" w14:textId="0CDEF9F0">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1329A2">
              <w:rPr>
                <w:rFonts w:ascii="Calibri" w:eastAsia="Times New Roman" w:hAnsi="Calibri" w:cs="Arial"/>
                <w:color w:val="000000"/>
                <w:sz w:val="20"/>
                <w:szCs w:val="20"/>
              </w:rPr>
              <w:t>3</w:t>
            </w:r>
            <w:r>
              <w:rPr>
                <w:rFonts w:ascii="Calibri" w:eastAsia="Times New Roman" w:hAnsi="Calibri" w:cs="Arial"/>
                <w:color w:val="000000"/>
                <w:sz w:val="20"/>
                <w:szCs w:val="20"/>
              </w:rPr>
              <w:t>,</w:t>
            </w:r>
            <w:r w:rsidR="001329A2">
              <w:rPr>
                <w:rFonts w:ascii="Calibri" w:eastAsia="Times New Roman" w:hAnsi="Calibri" w:cs="Arial"/>
                <w:color w:val="000000"/>
                <w:sz w:val="20"/>
                <w:szCs w:val="20"/>
              </w:rPr>
              <w:t>220.00</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3607E7E" w14:textId="692B8545">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23</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8F16EC" w14:paraId="47E1642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CCC8889" w14:textId="7606766D">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1329A2">
              <w:rPr>
                <w:rFonts w:ascii="Calibri" w:eastAsia="Times New Roman" w:hAnsi="Calibri" w:cs="Arial"/>
                <w:b/>
                <w:bCs/>
                <w:color w:val="000000"/>
                <w:sz w:val="20"/>
                <w:szCs w:val="20"/>
              </w:rPr>
              <w:t>3</w:t>
            </w:r>
            <w:r>
              <w:rPr>
                <w:rFonts w:ascii="Calibri" w:eastAsia="Times New Roman" w:hAnsi="Calibri" w:cs="Arial"/>
                <w:b/>
                <w:bCs/>
                <w:color w:val="000000"/>
                <w:sz w:val="20"/>
                <w:szCs w:val="20"/>
              </w:rPr>
              <w:t>,</w:t>
            </w:r>
            <w:r w:rsidR="001329A2">
              <w:rPr>
                <w:rFonts w:ascii="Calibri" w:eastAsia="Times New Roman" w:hAnsi="Calibri" w:cs="Arial"/>
                <w:b/>
                <w:bCs/>
                <w:color w:val="000000"/>
                <w:sz w:val="20"/>
                <w:szCs w:val="20"/>
              </w:rPr>
              <w:t>220.00</w:t>
            </w:r>
          </w:p>
        </w:tc>
      </w:tr>
    </w:tbl>
    <w:p w:rsidR="00F056C3" w:rsidP="00A41763" w14:paraId="0B174BFC" w14:textId="77777777">
      <w:pPr>
        <w:rPr>
          <w:b/>
          <w:bCs/>
        </w:rPr>
      </w:pPr>
    </w:p>
    <w:p w:rsidR="00F056C3" w:rsidP="006A20C9" w14:paraId="17CAAADC" w14:textId="77777777">
      <w:pPr>
        <w:pStyle w:val="Heading2"/>
      </w:pPr>
      <w:bookmarkStart w:id="15" w:name="_Toc16271332"/>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F056C3" w:rsidP="00A41763" w14:paraId="5C41EF80" w14:textId="6C94C564">
      <w:r>
        <w:t>No startup or maintenance costs are anticipated in the preparation of the reports</w:t>
      </w:r>
      <w:r w:rsidR="00291E94">
        <w:t xml:space="preserve"> covered by this information </w:t>
      </w:r>
      <w:r w:rsidR="00D0645C">
        <w:t>collection</w:t>
      </w:r>
      <w:r w:rsidR="00291E94">
        <w:t xml:space="preserve">. Ombudsmen will use standard office equipment to electronically transmit information on the performance of duties they are required to perform pursuant to the Technology Transfer Commercialization Act of 2000. </w:t>
      </w:r>
    </w:p>
    <w:p w:rsidR="00F056C3" w:rsidP="006A20C9" w14:paraId="249D505C" w14:textId="77777777">
      <w:pPr>
        <w:pStyle w:val="Heading2"/>
      </w:pPr>
      <w:bookmarkStart w:id="16" w:name="_Toc16271333"/>
      <w:r>
        <w:t>A.</w:t>
      </w:r>
      <w:r w:rsidRPr="00A41763" w:rsidR="00A41763">
        <w:t xml:space="preserve">14. </w:t>
      </w:r>
      <w:r w:rsidR="00FE2197">
        <w:t>Annual Cost to the Federal Government</w:t>
      </w:r>
      <w:bookmarkEnd w:id="16"/>
      <w:r w:rsidRPr="00F056C3">
        <w:t xml:space="preserve"> </w:t>
      </w:r>
    </w:p>
    <w:p w:rsidR="00A41763" w:rsidRPr="00A41763" w:rsidP="00A41763" w14:paraId="42208E52" w14:textId="77777777">
      <w:bookmarkStart w:id="17" w:name="_Hlk57385461"/>
      <w:r w:rsidRPr="00A41763">
        <w:rPr>
          <w:b/>
          <w:bCs/>
        </w:rPr>
        <w:t xml:space="preserve">Provide estimates of annualized cost to the Federal government. </w:t>
      </w:r>
    </w:p>
    <w:bookmarkEnd w:id="17"/>
    <w:p w:rsidR="0091409C" w:rsidP="00D854D8" w14:paraId="7600C2C4" w14:textId="31ECA62A">
      <w:r>
        <w:t>Annual costs to DOE are estimated at</w:t>
      </w:r>
      <w:r w:rsidR="007C5324">
        <w:t xml:space="preserve"> $</w:t>
      </w:r>
      <w:r w:rsidR="00A3283F">
        <w:t>2,460</w:t>
      </w:r>
      <w:r w:rsidR="007C5324">
        <w:t>.</w:t>
      </w:r>
      <w:r w:rsidR="00A3283F">
        <w:t>0</w:t>
      </w:r>
      <w:r w:rsidR="007C5324">
        <w:t xml:space="preserve">0. This estimate assumes that two employees within the Office of Alternative Dispute Resolution will each devote </w:t>
      </w:r>
      <w:r w:rsidR="00A3283F">
        <w:t>ten hours</w:t>
      </w:r>
      <w:r w:rsidR="007C5324">
        <w:t xml:space="preserve"> quarterly to distributing the collection instrument to Ombudsmen via e-mail</w:t>
      </w:r>
      <w:r w:rsidR="00BC515B">
        <w:t>, conducting outreach to Ombudsmen to ensure timely and complete submission of the collection instrument,</w:t>
      </w:r>
      <w:r w:rsidR="007C5324">
        <w:t xml:space="preserve"> and reviewing and compiling responses. No dedicated equipment or </w:t>
      </w:r>
      <w:r w:rsidR="00D0645C">
        <w:t>materials are required to conduct the information collection.</w:t>
      </w:r>
    </w:p>
    <w:tbl>
      <w:tblPr>
        <w:tblW w:w="10020" w:type="dxa"/>
        <w:tblLook w:val="04A0"/>
      </w:tblPr>
      <w:tblGrid>
        <w:gridCol w:w="2508"/>
        <w:gridCol w:w="2171"/>
        <w:gridCol w:w="2784"/>
        <w:gridCol w:w="2557"/>
      </w:tblGrid>
      <w:tr w14:paraId="28F11585" w14:textId="77777777" w:rsidTr="00EC783D">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A4181C" w:rsidRPr="006F3C12" w:rsidP="00EC783D" w14:paraId="2B8BB024" w14:textId="0777972B">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A3</w:t>
            </w:r>
            <w:r w:rsidRPr="006F3C12">
              <w:rPr>
                <w:rFonts w:ascii="Calibri" w:eastAsia="Times New Roman" w:hAnsi="Calibri" w:cs="Arial"/>
                <w:b/>
                <w:bCs/>
                <w:color w:val="0070C0"/>
                <w:sz w:val="28"/>
                <w:szCs w:val="28"/>
              </w:rPr>
              <w:t xml:space="preserve">. </w:t>
            </w:r>
            <w:r>
              <w:rPr>
                <w:rFonts w:ascii="Calibri" w:eastAsia="Times New Roman" w:hAnsi="Calibri" w:cs="Arial"/>
                <w:b/>
                <w:bCs/>
                <w:color w:val="0070C0"/>
                <w:sz w:val="28"/>
                <w:szCs w:val="28"/>
              </w:rPr>
              <w:t>Annual Cost to the Federal Government</w:t>
            </w:r>
          </w:p>
        </w:tc>
      </w:tr>
      <w:tr w14:paraId="2AFEF777" w14:textId="77777777" w:rsidTr="00EC783D">
        <w:tblPrEx>
          <w:tblW w:w="10020" w:type="dxa"/>
          <w:tblLook w:val="04A0"/>
        </w:tblPrEx>
        <w:trPr>
          <w:gridAfter w:val="1"/>
          <w:wAfter w:w="1296" w:type="dxa"/>
          <w:trHeight w:val="765"/>
        </w:trPr>
        <w:tc>
          <w:tcPr>
            <w:tcW w:w="2184" w:type="dxa"/>
            <w:tcBorders>
              <w:top w:val="nil"/>
              <w:left w:val="nil"/>
              <w:bottom w:val="single" w:sz="4" w:space="0" w:color="auto"/>
              <w:right w:val="single" w:sz="4" w:space="0" w:color="auto"/>
            </w:tcBorders>
            <w:shd w:val="clear" w:color="000000" w:fill="00B0F0"/>
            <w:vAlign w:val="center"/>
            <w:hideMark/>
          </w:tcPr>
          <w:p w:rsidR="00A4181C" w:rsidRPr="006F3C12" w:rsidP="00EC783D" w14:paraId="43D34AE2"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A4181C" w:rsidRPr="006F3C12" w:rsidP="00EC783D" w14:paraId="1BECA97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A4181C" w:rsidRPr="006F3C12" w:rsidP="00EC783D" w14:paraId="612D8973" w14:textId="39702704">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Federal Government Costs</w:t>
            </w:r>
          </w:p>
        </w:tc>
      </w:tr>
      <w:tr w14:paraId="2EFE40C1" w14:textId="77777777" w:rsidTr="00EC783D">
        <w:tblPrEx>
          <w:tblW w:w="10020" w:type="dxa"/>
          <w:tblLook w:val="04A0"/>
        </w:tblPrEx>
        <w:trPr>
          <w:gridAfter w:val="1"/>
          <w:wAfter w:w="1296" w:type="dxa"/>
          <w:trHeight w:val="255"/>
        </w:trPr>
        <w:tc>
          <w:tcPr>
            <w:tcW w:w="2184" w:type="dxa"/>
            <w:tcBorders>
              <w:top w:val="nil"/>
              <w:left w:val="nil"/>
              <w:bottom w:val="single" w:sz="4" w:space="0" w:color="auto"/>
              <w:right w:val="single" w:sz="4" w:space="0" w:color="auto"/>
            </w:tcBorders>
            <w:shd w:val="clear" w:color="auto" w:fill="auto"/>
            <w:noWrap/>
            <w:vAlign w:val="bottom"/>
            <w:hideMark/>
          </w:tcPr>
          <w:p w:rsidR="00A4181C" w:rsidRPr="006F3C12" w:rsidP="00EC783D" w14:paraId="12685F48" w14:textId="24DE81E6">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4</w:t>
            </w:r>
            <w:r w:rsidR="00952448">
              <w:rPr>
                <w:rFonts w:ascii="Calibri" w:eastAsia="Times New Roman" w:hAnsi="Calibri" w:cs="Arial"/>
                <w:color w:val="000000"/>
                <w:sz w:val="20"/>
                <w:szCs w:val="20"/>
              </w:rPr>
              <w:t>0</w:t>
            </w:r>
          </w:p>
        </w:tc>
        <w:tc>
          <w:tcPr>
            <w:tcW w:w="1890" w:type="dxa"/>
            <w:tcBorders>
              <w:top w:val="nil"/>
              <w:left w:val="nil"/>
              <w:bottom w:val="single" w:sz="4" w:space="0" w:color="auto"/>
              <w:right w:val="single" w:sz="4" w:space="0" w:color="auto"/>
            </w:tcBorders>
            <w:shd w:val="clear" w:color="auto" w:fill="auto"/>
            <w:noWrap/>
            <w:vAlign w:val="bottom"/>
            <w:hideMark/>
          </w:tcPr>
          <w:p w:rsidR="00A4181C" w:rsidRPr="006F3C12" w:rsidP="00EC783D" w14:paraId="491C18D5" w14:textId="0B93DFFD">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$6</w:t>
            </w:r>
            <w:r w:rsidR="00D37FB2">
              <w:rPr>
                <w:rFonts w:ascii="Calibri" w:eastAsia="Times New Roman" w:hAnsi="Calibri" w:cs="Arial"/>
                <w:color w:val="000000"/>
                <w:sz w:val="20"/>
                <w:szCs w:val="20"/>
              </w:rPr>
              <w:t>1</w:t>
            </w:r>
            <w:r>
              <w:rPr>
                <w:rFonts w:ascii="Calibri" w:eastAsia="Times New Roman" w:hAnsi="Calibri" w:cs="Arial"/>
                <w:color w:val="000000"/>
                <w:sz w:val="20"/>
                <w:szCs w:val="20"/>
              </w:rPr>
              <w:t>.</w:t>
            </w:r>
            <w:r w:rsidR="00D37FB2">
              <w:rPr>
                <w:rFonts w:ascii="Calibri" w:eastAsia="Times New Roman" w:hAnsi="Calibri" w:cs="Arial"/>
                <w:color w:val="000000"/>
                <w:sz w:val="20"/>
                <w:szCs w:val="20"/>
              </w:rPr>
              <w:t>50</w:t>
            </w:r>
          </w:p>
        </w:tc>
        <w:tc>
          <w:tcPr>
            <w:tcW w:w="2424" w:type="dxa"/>
            <w:tcBorders>
              <w:top w:val="nil"/>
              <w:left w:val="nil"/>
              <w:bottom w:val="single" w:sz="4" w:space="0" w:color="auto"/>
              <w:right w:val="single" w:sz="4" w:space="0" w:color="auto"/>
            </w:tcBorders>
            <w:shd w:val="clear" w:color="000000" w:fill="E2A5AC"/>
            <w:noWrap/>
            <w:vAlign w:val="bottom"/>
            <w:hideMark/>
          </w:tcPr>
          <w:p w:rsidR="00A4181C" w:rsidRPr="006F3C12" w:rsidP="00EC783D" w14:paraId="55F18EC0" w14:textId="4A2AA523">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2E6F99">
              <w:rPr>
                <w:rFonts w:ascii="Calibri" w:eastAsia="Times New Roman" w:hAnsi="Calibri" w:cs="Arial"/>
                <w:color w:val="000000"/>
                <w:sz w:val="20"/>
                <w:szCs w:val="20"/>
              </w:rPr>
              <w:t>2,460</w:t>
            </w:r>
            <w:r>
              <w:rPr>
                <w:rFonts w:ascii="Calibri" w:eastAsia="Times New Roman" w:hAnsi="Calibri" w:cs="Arial"/>
                <w:color w:val="000000"/>
                <w:sz w:val="20"/>
                <w:szCs w:val="20"/>
              </w:rPr>
              <w:t>.</w:t>
            </w:r>
            <w:r w:rsidR="002E6F99">
              <w:rPr>
                <w:rFonts w:ascii="Calibri" w:eastAsia="Times New Roman" w:hAnsi="Calibri" w:cs="Arial"/>
                <w:color w:val="000000"/>
                <w:sz w:val="20"/>
                <w:szCs w:val="20"/>
              </w:rPr>
              <w:t>00</w:t>
            </w:r>
          </w:p>
        </w:tc>
      </w:tr>
      <w:tr w14:paraId="4770E9B2" w14:textId="77777777" w:rsidTr="00EC783D">
        <w:tblPrEx>
          <w:tblW w:w="10020" w:type="dxa"/>
          <w:tblLook w:val="04A0"/>
        </w:tblPrEx>
        <w:trPr>
          <w:gridAfter w:val="1"/>
          <w:wAfter w:w="1296" w:type="dxa"/>
          <w:trHeight w:val="255"/>
        </w:trPr>
        <w:tc>
          <w:tcPr>
            <w:tcW w:w="2184" w:type="dxa"/>
            <w:tcBorders>
              <w:top w:val="nil"/>
              <w:left w:val="nil"/>
              <w:bottom w:val="single" w:sz="4" w:space="0" w:color="auto"/>
              <w:right w:val="single" w:sz="4" w:space="0" w:color="auto"/>
            </w:tcBorders>
            <w:shd w:val="clear" w:color="000000" w:fill="E2A5AC"/>
            <w:noWrap/>
            <w:vAlign w:val="bottom"/>
            <w:hideMark/>
          </w:tcPr>
          <w:p w:rsidR="00A4181C" w:rsidRPr="006F3C12" w:rsidP="00EC783D" w14:paraId="6B070041" w14:textId="327BA034">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4</w:t>
            </w:r>
            <w:r w:rsidR="002E6F99">
              <w:rPr>
                <w:rFonts w:ascii="Calibri" w:eastAsia="Times New Roman" w:hAnsi="Calibri" w:cs="Arial"/>
                <w:b/>
                <w:bCs/>
                <w:color w:val="000000"/>
                <w:sz w:val="20"/>
                <w:szCs w:val="20"/>
              </w:rPr>
              <w:t>0</w:t>
            </w:r>
          </w:p>
        </w:tc>
        <w:tc>
          <w:tcPr>
            <w:tcW w:w="1890" w:type="dxa"/>
            <w:tcBorders>
              <w:top w:val="nil"/>
              <w:left w:val="nil"/>
              <w:bottom w:val="single" w:sz="4" w:space="0" w:color="auto"/>
              <w:right w:val="single" w:sz="4" w:space="0" w:color="auto"/>
            </w:tcBorders>
            <w:shd w:val="clear" w:color="000000" w:fill="333333"/>
            <w:noWrap/>
            <w:vAlign w:val="bottom"/>
            <w:hideMark/>
          </w:tcPr>
          <w:p w:rsidR="00A4181C" w:rsidRPr="006F3C12" w:rsidP="00EC783D" w14:paraId="06A1BD25" w14:textId="35117EC4">
            <w:pPr>
              <w:spacing w:after="0" w:line="240" w:lineRule="auto"/>
              <w:rPr>
                <w:rFonts w:ascii="Calibri" w:eastAsia="Times New Roman" w:hAnsi="Calibri" w:cs="Arial"/>
                <w:b/>
                <w:bCs/>
                <w:color w:val="000000"/>
                <w:sz w:val="20"/>
                <w:szCs w:val="20"/>
              </w:rPr>
            </w:pPr>
          </w:p>
        </w:tc>
        <w:tc>
          <w:tcPr>
            <w:tcW w:w="2424" w:type="dxa"/>
            <w:tcBorders>
              <w:top w:val="nil"/>
              <w:left w:val="nil"/>
              <w:bottom w:val="single" w:sz="4" w:space="0" w:color="auto"/>
              <w:right w:val="single" w:sz="4" w:space="0" w:color="auto"/>
            </w:tcBorders>
            <w:shd w:val="clear" w:color="000000" w:fill="E2A5AC"/>
            <w:noWrap/>
            <w:vAlign w:val="bottom"/>
            <w:hideMark/>
          </w:tcPr>
          <w:p w:rsidR="00A4181C" w:rsidRPr="006F3C12" w:rsidP="00EC783D" w14:paraId="05E1EDEA" w14:textId="3B5E7A03">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2E6F99">
              <w:rPr>
                <w:rFonts w:ascii="Calibri" w:eastAsia="Times New Roman" w:hAnsi="Calibri" w:cs="Arial"/>
                <w:b/>
                <w:bCs/>
                <w:color w:val="000000"/>
                <w:sz w:val="20"/>
                <w:szCs w:val="20"/>
              </w:rPr>
              <w:t>2,460</w:t>
            </w:r>
            <w:r>
              <w:rPr>
                <w:rFonts w:ascii="Calibri" w:eastAsia="Times New Roman" w:hAnsi="Calibri" w:cs="Arial"/>
                <w:b/>
                <w:bCs/>
                <w:color w:val="000000"/>
                <w:sz w:val="20"/>
                <w:szCs w:val="20"/>
              </w:rPr>
              <w:t>.</w:t>
            </w:r>
            <w:r w:rsidR="002E6F99">
              <w:rPr>
                <w:rFonts w:ascii="Calibri" w:eastAsia="Times New Roman" w:hAnsi="Calibri" w:cs="Arial"/>
                <w:b/>
                <w:bCs/>
                <w:color w:val="000000"/>
                <w:sz w:val="20"/>
                <w:szCs w:val="20"/>
              </w:rPr>
              <w:t>0</w:t>
            </w:r>
            <w:r>
              <w:rPr>
                <w:rFonts w:ascii="Calibri" w:eastAsia="Times New Roman" w:hAnsi="Calibri" w:cs="Arial"/>
                <w:b/>
                <w:bCs/>
                <w:color w:val="000000"/>
                <w:sz w:val="20"/>
                <w:szCs w:val="20"/>
              </w:rPr>
              <w:t>0</w:t>
            </w:r>
          </w:p>
        </w:tc>
      </w:tr>
    </w:tbl>
    <w:p w:rsidR="00A4181C" w:rsidRPr="00291E94" w:rsidP="00D854D8" w14:paraId="10E02577" w14:textId="77777777"/>
    <w:p w:rsidR="006D42EC" w:rsidP="006A20C9" w14:paraId="163CD763" w14:textId="6E9106D9">
      <w:pPr>
        <w:pStyle w:val="Heading2"/>
      </w:pPr>
      <w:bookmarkStart w:id="18" w:name="_Toc16271334"/>
      <w:r>
        <w:t>A.</w:t>
      </w:r>
      <w:r w:rsidRPr="00A41763" w:rsidR="00A41763">
        <w:t xml:space="preserve">15. </w:t>
      </w:r>
      <w:r>
        <w:t>Reasons for Changes in Burden</w:t>
      </w:r>
      <w:bookmarkEnd w:id="18"/>
    </w:p>
    <w:p w:rsidR="00A41763" w:rsidRPr="00A41763" w:rsidP="00A41763" w14:paraId="371F9FF2" w14:textId="77777777">
      <w:bookmarkStart w:id="19" w:name="_Hlk57385469"/>
      <w:r w:rsidRPr="00A41763">
        <w:rPr>
          <w:b/>
          <w:bCs/>
        </w:rPr>
        <w:t xml:space="preserve">Explain the reasons for any program changes or adjustments reported in Items 13 (or 14) of OMB Form 83-I. </w:t>
      </w:r>
    </w:p>
    <w:bookmarkEnd w:id="19"/>
    <w:p w:rsidR="00A41763" w:rsidRPr="00D0645C" w:rsidP="00A41763" w14:paraId="5347DC7B" w14:textId="5560A5D5">
      <w:r>
        <w:t>The estimated burden includes an adjustment of $</w:t>
      </w:r>
      <w:r w:rsidR="00541CA1">
        <w:t>1,</w:t>
      </w:r>
      <w:r w:rsidR="00476393">
        <w:t>990</w:t>
      </w:r>
      <w:r w:rsidR="00541CA1">
        <w:t>.05</w:t>
      </w:r>
      <w:r>
        <w:t>.</w:t>
      </w:r>
      <w:r w:rsidR="00400F9F">
        <w:t xml:space="preserve"> </w:t>
      </w:r>
      <w:r w:rsidR="00C64861">
        <w:t>Over the three years since t</w:t>
      </w:r>
      <w:r w:rsidR="00F46F2C">
        <w:t xml:space="preserve">he previous burden was quantified, the Office of Alternative Dispute Resolution has provided significant training and technical assistance </w:t>
      </w:r>
      <w:r w:rsidR="006324F7">
        <w:t xml:space="preserve">to Ombudsmen to </w:t>
      </w:r>
      <w:r w:rsidR="00323494">
        <w:t>support their provision of ADR services</w:t>
      </w:r>
      <w:r w:rsidR="00333A27">
        <w:t xml:space="preserve"> to national laboratories, industry, and the public. </w:t>
      </w:r>
      <w:r w:rsidR="009C1358">
        <w:t xml:space="preserve">As a result of this assistance, </w:t>
      </w:r>
      <w:r w:rsidR="001E64B9">
        <w:t>a</w:t>
      </w:r>
      <w:r w:rsidR="00C36D1F">
        <w:t xml:space="preserve">s well as </w:t>
      </w:r>
      <w:r w:rsidR="000119C5">
        <w:t xml:space="preserve">the efforts of DOE’s Office </w:t>
      </w:r>
      <w:r w:rsidR="00D144A5">
        <w:t xml:space="preserve">of Technology Transitions to prioritize and </w:t>
      </w:r>
      <w:r w:rsidR="00013A2C">
        <w:t xml:space="preserve">support the work of the Ombudsmen, the Ombudsmen have </w:t>
      </w:r>
      <w:r w:rsidR="000752A9">
        <w:t xml:space="preserve">significantly increased the volume of ADR services that they provide to their </w:t>
      </w:r>
      <w:r w:rsidR="00E548B4">
        <w:t xml:space="preserve">stakeholders. This increased provision of services </w:t>
      </w:r>
      <w:r w:rsidR="00DD477D">
        <w:t xml:space="preserve">has resulted in a greater amount of information upon which to report and </w:t>
      </w:r>
      <w:r w:rsidR="006E3105">
        <w:t xml:space="preserve">consequently </w:t>
      </w:r>
      <w:r w:rsidR="00DD477D">
        <w:t>increased the time dedicated to re</w:t>
      </w:r>
      <w:r w:rsidR="006E71EC">
        <w:t xml:space="preserve">porting by the Ombudsmen. Additionally, as the </w:t>
      </w:r>
      <w:r w:rsidR="00C11F3A">
        <w:t>Ombudsmen roles have developed</w:t>
      </w:r>
      <w:r w:rsidR="00406BC1">
        <w:t>, the compensation of the individuals serving in these capacities has increased.</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06E24529" w14:textId="64AC448F">
            <w:pPr>
              <w:spacing w:after="0" w:line="240" w:lineRule="auto"/>
              <w:jc w:val="center"/>
              <w:rPr>
                <w:rFonts w:ascii="Arial" w:eastAsia="Times New Roman" w:hAnsi="Arial" w:cs="Arial"/>
                <w:b/>
                <w:color w:val="0070C0"/>
                <w:sz w:val="28"/>
                <w:szCs w:val="28"/>
              </w:rPr>
            </w:pPr>
            <w:bookmarkStart w:id="20" w:name="_Hlk57385531"/>
            <w:r>
              <w:br w:type="page"/>
            </w:r>
            <w:r w:rsidRPr="00812C91">
              <w:rPr>
                <w:rFonts w:ascii="Arial" w:eastAsia="Times New Roman" w:hAnsi="Arial" w:cs="Arial"/>
                <w:b/>
                <w:color w:val="0070C0"/>
                <w:sz w:val="28"/>
                <w:szCs w:val="28"/>
              </w:rPr>
              <w:t>Table A</w:t>
            </w:r>
            <w:r w:rsidR="00A4181C">
              <w:rPr>
                <w:rFonts w:ascii="Arial" w:eastAsia="Times New Roman" w:hAnsi="Arial" w:cs="Arial"/>
                <w:b/>
                <w:color w:val="0070C0"/>
                <w:sz w:val="28"/>
                <w:szCs w:val="28"/>
              </w:rPr>
              <w:t>4</w:t>
            </w:r>
            <w:r w:rsidRPr="00812C91">
              <w:rPr>
                <w:rFonts w:ascii="Arial" w:eastAsia="Times New Roman" w:hAnsi="Arial" w:cs="Arial"/>
                <w:b/>
                <w:color w:val="0070C0"/>
                <w:sz w:val="28"/>
                <w:szCs w:val="28"/>
              </w:rPr>
              <w:t>. ICR Summary of Burden</w:t>
            </w:r>
          </w:p>
        </w:tc>
      </w:tr>
      <w:tr w14:paraId="094BCB55"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8F16EC" w14:paraId="2D408BD0"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20407F3C"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655DDE03"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5D1B024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7033AB9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12B505E"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812C91" w:rsidP="008F16EC" w14:paraId="3BC423F7"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6EA49B63" w14:textId="2A6ABB1A">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D0645C">
              <w:rPr>
                <w:rFonts w:ascii="Calibri" w:eastAsia="Times New Roman" w:hAnsi="Calibri" w:cs="Arial"/>
                <w:color w:val="576170"/>
                <w:sz w:val="20"/>
                <w:szCs w:val="20"/>
              </w:rPr>
              <w:t>68</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3BEA0AF1" w14:textId="0A0FC77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1CB2A1A2" w14:textId="754FB319">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8A7E5F" w:rsidRPr="00812C91" w:rsidP="008F16EC" w14:paraId="0BEF94C7" w14:textId="27B6AB0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68</w:t>
            </w:r>
          </w:p>
        </w:tc>
      </w:tr>
      <w:tr w14:paraId="1464B5B9"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812C91" w:rsidP="008F16EC" w14:paraId="75B6D0DB"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w:t>
            </w:r>
            <w:r w:rsidRPr="00812C91">
              <w:rPr>
                <w:rFonts w:ascii="Calibri" w:eastAsia="Times New Roman" w:hAnsi="Calibri" w:cs="Arial"/>
                <w:color w:val="576170"/>
                <w:sz w:val="20"/>
                <w:szCs w:val="20"/>
              </w:rPr>
              <w:t>Hr</w:t>
            </w:r>
            <w:r w:rsidRPr="00812C91">
              <w:rPr>
                <w:rFonts w:ascii="Calibri" w:eastAsia="Times New Roman" w:hAnsi="Calibri" w:cs="Arial"/>
                <w:color w:val="576170"/>
                <w:sz w:val="20"/>
                <w:szCs w:val="20"/>
              </w:rPr>
              <w:t>)</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01774FEF" w14:textId="0B09A69F">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23</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594231E7" w14:textId="784CA39D">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5B815FF5" w14:textId="46A4ECA3">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6</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812C91" w:rsidP="008F16EC" w14:paraId="0D4B14AC" w14:textId="4A44BA3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17</w:t>
            </w:r>
          </w:p>
        </w:tc>
      </w:tr>
      <w:tr w14:paraId="5D31347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P="008F16EC" w14:paraId="769C2643"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5F74D10C" w14:textId="2CE585A2">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FA220B">
              <w:rPr>
                <w:rFonts w:ascii="Calibri" w:eastAsia="Times New Roman" w:hAnsi="Calibri" w:cs="Arial"/>
                <w:color w:val="576170"/>
                <w:sz w:val="20"/>
                <w:szCs w:val="20"/>
              </w:rPr>
              <w:t>3</w:t>
            </w:r>
            <w:r w:rsidR="001329A2">
              <w:rPr>
                <w:rFonts w:ascii="Calibri" w:eastAsia="Times New Roman" w:hAnsi="Calibri" w:cs="Arial"/>
                <w:color w:val="576170"/>
                <w:sz w:val="20"/>
                <w:szCs w:val="20"/>
              </w:rPr>
              <w:t>,</w:t>
            </w:r>
            <w:r w:rsidR="00FA220B">
              <w:rPr>
                <w:rFonts w:ascii="Calibri" w:eastAsia="Times New Roman" w:hAnsi="Calibri" w:cs="Arial"/>
                <w:color w:val="576170"/>
                <w:sz w:val="20"/>
                <w:szCs w:val="20"/>
              </w:rPr>
              <w:t>220</w:t>
            </w:r>
            <w:r w:rsidR="001329A2">
              <w:rPr>
                <w:rFonts w:ascii="Calibri" w:eastAsia="Times New Roman" w:hAnsi="Calibri" w:cs="Arial"/>
                <w:color w:val="576170"/>
                <w:sz w:val="20"/>
                <w:szCs w:val="20"/>
              </w:rPr>
              <w:t>.00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1F84AB2E" w14:textId="0DF92551">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3FA7B3D1" w14:textId="577434FC">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8D5A88">
              <w:rPr>
                <w:rFonts w:ascii="Calibri" w:eastAsia="Times New Roman" w:hAnsi="Calibri" w:cs="Arial"/>
                <w:color w:val="576170"/>
                <w:sz w:val="20"/>
                <w:szCs w:val="20"/>
              </w:rPr>
              <w:t>1,</w:t>
            </w:r>
            <w:r w:rsidR="00AE4D39">
              <w:rPr>
                <w:rFonts w:ascii="Calibri" w:eastAsia="Times New Roman" w:hAnsi="Calibri" w:cs="Arial"/>
                <w:color w:val="576170"/>
                <w:sz w:val="20"/>
                <w:szCs w:val="20"/>
              </w:rPr>
              <w:t>990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812C91" w:rsidP="008F16EC" w14:paraId="1FAA23EE" w14:textId="20218B94">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4951EC">
              <w:rPr>
                <w:rFonts w:ascii="Calibri" w:eastAsia="Times New Roman" w:hAnsi="Calibri" w:cs="Arial"/>
                <w:color w:val="576170"/>
                <w:sz w:val="20"/>
                <w:szCs w:val="20"/>
              </w:rPr>
              <w:t>1</w:t>
            </w:r>
            <w:r w:rsidR="00327D6F">
              <w:rPr>
                <w:rFonts w:ascii="Calibri" w:eastAsia="Times New Roman" w:hAnsi="Calibri" w:cs="Arial"/>
                <w:color w:val="576170"/>
                <w:sz w:val="20"/>
                <w:szCs w:val="20"/>
              </w:rPr>
              <w:t>,</w:t>
            </w:r>
            <w:r w:rsidR="004951EC">
              <w:rPr>
                <w:rFonts w:ascii="Calibri" w:eastAsia="Times New Roman" w:hAnsi="Calibri" w:cs="Arial"/>
                <w:color w:val="576170"/>
                <w:sz w:val="20"/>
                <w:szCs w:val="20"/>
              </w:rPr>
              <w:t>230</w:t>
            </w:r>
          </w:p>
        </w:tc>
      </w:tr>
      <w:bookmarkEnd w:id="20"/>
    </w:tbl>
    <w:p w:rsidR="00D854D8" w:rsidRPr="00A41763" w:rsidP="00A41763" w14:paraId="43B7366A" w14:textId="77777777"/>
    <w:p w:rsidR="00F056C3" w:rsidP="006A20C9" w14:paraId="66AF5147" w14:textId="77777777">
      <w:pPr>
        <w:pStyle w:val="Heading2"/>
      </w:pPr>
      <w:bookmarkStart w:id="21" w:name="_Toc16271335"/>
      <w:r>
        <w:t>A.</w:t>
      </w:r>
      <w:r w:rsidRPr="00A41763" w:rsidR="00A41763">
        <w:t xml:space="preserve">16. </w:t>
      </w:r>
      <w:r w:rsidRPr="00F056C3">
        <w:t>Collection, Tabulation, and Publication Plans</w:t>
      </w:r>
      <w:bookmarkEnd w:id="21"/>
      <w:r w:rsidRPr="00F056C3">
        <w:t xml:space="preserve"> </w:t>
      </w:r>
    </w:p>
    <w:p w:rsidR="00A41763" w:rsidRPr="00A41763" w:rsidP="00A41763" w14:paraId="6ECE09A6" w14:textId="77777777">
      <w:bookmarkStart w:id="22" w:name="_Hlk57385487"/>
      <w:r w:rsidRPr="00A41763">
        <w:rPr>
          <w:b/>
          <w:bCs/>
        </w:rPr>
        <w:t xml:space="preserve">For collections whose results will be published, outline the plans for tabulation and publication. </w:t>
      </w:r>
    </w:p>
    <w:bookmarkEnd w:id="22"/>
    <w:p w:rsidR="00A41763" w:rsidRPr="00D0645C" w:rsidP="00A41763" w14:paraId="715524FB" w14:textId="3C39100E">
      <w:r>
        <w:t xml:space="preserve">No publication of the data collected through this information collection is anticipated. </w:t>
      </w:r>
    </w:p>
    <w:p w:rsidR="00F056C3" w:rsidP="006A20C9" w14:paraId="307114C9" w14:textId="77777777">
      <w:pPr>
        <w:pStyle w:val="Heading2"/>
      </w:pPr>
      <w:bookmarkStart w:id="23" w:name="_Toc16271336"/>
      <w:r>
        <w:t>A.</w:t>
      </w:r>
      <w:r w:rsidRPr="00A41763" w:rsidR="00A41763">
        <w:t xml:space="preserve">17. </w:t>
      </w:r>
      <w:r w:rsidRPr="00F056C3">
        <w:t>OMB Number and Expiration Date</w:t>
      </w:r>
      <w:bookmarkEnd w:id="23"/>
      <w:r w:rsidRPr="00F056C3">
        <w:t xml:space="preserve"> </w:t>
      </w:r>
    </w:p>
    <w:p w:rsidR="00A41763" w:rsidRPr="00A41763" w:rsidP="00A41763" w14:paraId="7D373596" w14:textId="77777777">
      <w:bookmarkStart w:id="24" w:name="_Hlk57385506"/>
      <w:r w:rsidRPr="00A41763">
        <w:rPr>
          <w:b/>
          <w:bCs/>
        </w:rPr>
        <w:t xml:space="preserve">If seeking approval to not display the expiration date for OMB approval of the information collection, explain the reasons why display would be inappropriate. </w:t>
      </w:r>
    </w:p>
    <w:bookmarkEnd w:id="24"/>
    <w:p w:rsidR="00A41763" w:rsidRPr="00D0645C" w:rsidP="00A41763" w14:paraId="4A0FC223" w14:textId="0A5C2062">
      <w:r>
        <w:rPr>
          <w:noProof/>
        </w:rPr>
        <w:t>This is n</w:t>
      </w:r>
      <w:r w:rsidR="008933B4">
        <w:rPr>
          <w:noProof/>
        </w:rPr>
        <w:t>ot applicable</w:t>
      </w:r>
      <w:r>
        <w:rPr>
          <w:noProof/>
        </w:rPr>
        <w:t>, as</w:t>
      </w:r>
      <w:r w:rsidR="008933B4">
        <w:rPr>
          <w:noProof/>
        </w:rPr>
        <w:t xml:space="preserve"> such approval is not being sought.</w:t>
      </w:r>
    </w:p>
    <w:p w:rsidR="00F056C3" w:rsidP="006A20C9" w14:paraId="2939C81A" w14:textId="77777777">
      <w:pPr>
        <w:pStyle w:val="Heading2"/>
      </w:pPr>
      <w:bookmarkStart w:id="25" w:name="_Toc16271337"/>
      <w:r>
        <w:t>A.</w:t>
      </w:r>
      <w:r w:rsidRPr="00A41763" w:rsidR="00A41763">
        <w:t xml:space="preserve">18. </w:t>
      </w:r>
      <w:r w:rsidRPr="00F056C3">
        <w:t>Certification Statement</w:t>
      </w:r>
      <w:bookmarkEnd w:id="25"/>
      <w:r w:rsidRPr="00F056C3">
        <w:t xml:space="preserve"> </w:t>
      </w:r>
    </w:p>
    <w:p w:rsidR="00A41763" w:rsidRPr="00A41763" w:rsidP="00A41763" w14:paraId="28BE5168" w14:textId="77777777">
      <w:bookmarkStart w:id="26" w:name="_Hlk57385515"/>
      <w:r w:rsidRPr="00A41763">
        <w:rPr>
          <w:b/>
          <w:bCs/>
        </w:rPr>
        <w:t xml:space="preserve">Explain each exception to the certification statement identified in Item 19 of OMB Form 83-I. </w:t>
      </w:r>
    </w:p>
    <w:bookmarkEnd w:id="26"/>
    <w:p w:rsidR="00A41763" w:rsidRPr="00D0645C" w:rsidP="00A41763" w14:paraId="2845D2F5" w14:textId="796FB304">
      <w:r>
        <w:t xml:space="preserve">No exceptions are required for this information collection. </w:t>
      </w:r>
      <w:r w:rsidRPr="00D0645C">
        <w:t xml:space="preserve"> </w:t>
      </w: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054D5A02">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28700E">
          <w:t>Supporting Statement for Technology Partnerships Ombudsmen Reporting Requirements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521AADC6">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28700E">
          <w:t>Supporting Statement for Technology Partnerships Ombudsmen Reporting Requirements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998721854">
    <w:abstractNumId w:val="10"/>
  </w:num>
  <w:num w:numId="2" w16cid:durableId="186647918">
    <w:abstractNumId w:val="9"/>
  </w:num>
  <w:num w:numId="3" w16cid:durableId="858273920">
    <w:abstractNumId w:val="7"/>
  </w:num>
  <w:num w:numId="4" w16cid:durableId="942152734">
    <w:abstractNumId w:val="6"/>
  </w:num>
  <w:num w:numId="5" w16cid:durableId="1284268958">
    <w:abstractNumId w:val="5"/>
  </w:num>
  <w:num w:numId="6" w16cid:durableId="192810667">
    <w:abstractNumId w:val="4"/>
  </w:num>
  <w:num w:numId="7" w16cid:durableId="1992053200">
    <w:abstractNumId w:val="8"/>
  </w:num>
  <w:num w:numId="8" w16cid:durableId="1435126029">
    <w:abstractNumId w:val="3"/>
  </w:num>
  <w:num w:numId="9" w16cid:durableId="380061185">
    <w:abstractNumId w:val="2"/>
  </w:num>
  <w:num w:numId="10" w16cid:durableId="1769422228">
    <w:abstractNumId w:val="1"/>
  </w:num>
  <w:num w:numId="11" w16cid:durableId="1156191898">
    <w:abstractNumId w:val="0"/>
  </w:num>
  <w:num w:numId="12" w16cid:durableId="1274171399">
    <w:abstractNumId w:val="16"/>
  </w:num>
  <w:num w:numId="13" w16cid:durableId="496457222">
    <w:abstractNumId w:val="12"/>
  </w:num>
  <w:num w:numId="14" w16cid:durableId="1044670567">
    <w:abstractNumId w:val="13"/>
  </w:num>
  <w:num w:numId="15" w16cid:durableId="1733654608">
    <w:abstractNumId w:val="15"/>
  </w:num>
  <w:num w:numId="16" w16cid:durableId="181941623">
    <w:abstractNumId w:val="10"/>
  </w:num>
  <w:num w:numId="17" w16cid:durableId="1210729699">
    <w:abstractNumId w:val="10"/>
  </w:num>
  <w:num w:numId="18" w16cid:durableId="976035649">
    <w:abstractNumId w:val="14"/>
  </w:num>
  <w:num w:numId="19" w16cid:durableId="2138333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550004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2040740619">
    <w:abstractNumId w:val="10"/>
  </w:num>
  <w:num w:numId="22" w16cid:durableId="1807433677">
    <w:abstractNumId w:val="10"/>
  </w:num>
  <w:num w:numId="23" w16cid:durableId="769470331">
    <w:abstractNumId w:val="10"/>
  </w:num>
  <w:num w:numId="24" w16cid:durableId="1919247344">
    <w:abstractNumId w:val="10"/>
  </w:num>
  <w:num w:numId="25" w16cid:durableId="1428310672">
    <w:abstractNumId w:val="10"/>
  </w:num>
  <w:num w:numId="26" w16cid:durableId="1818911813">
    <w:abstractNumId w:val="17"/>
  </w:num>
  <w:num w:numId="27" w16cid:durableId="239290242">
    <w:abstractNumId w:val="10"/>
  </w:num>
  <w:num w:numId="28" w16cid:durableId="101806215">
    <w:abstractNumId w:val="17"/>
  </w:num>
  <w:num w:numId="29" w16cid:durableId="684793484">
    <w:abstractNumId w:val="17"/>
  </w:num>
  <w:num w:numId="30" w16cid:durableId="86997694">
    <w:abstractNumId w:val="17"/>
  </w:num>
  <w:num w:numId="31" w16cid:durableId="1750082940">
    <w:abstractNumId w:val="10"/>
  </w:num>
  <w:num w:numId="32" w16cid:durableId="1223954235">
    <w:abstractNumId w:val="10"/>
  </w:num>
  <w:num w:numId="33" w16cid:durableId="1661543791">
    <w:abstractNumId w:val="10"/>
  </w:num>
  <w:num w:numId="34" w16cid:durableId="43718281">
    <w:abstractNumId w:val="9"/>
  </w:num>
  <w:num w:numId="35" w16cid:durableId="345833947">
    <w:abstractNumId w:val="7"/>
  </w:num>
  <w:num w:numId="36" w16cid:durableId="713428727">
    <w:abstractNumId w:val="6"/>
  </w:num>
  <w:num w:numId="37" w16cid:durableId="1843204264">
    <w:abstractNumId w:val="5"/>
  </w:num>
  <w:num w:numId="38" w16cid:durableId="177736041">
    <w:abstractNumId w:val="12"/>
  </w:num>
  <w:num w:numId="39" w16cid:durableId="595792965">
    <w:abstractNumId w:val="17"/>
  </w:num>
  <w:num w:numId="40" w16cid:durableId="195196496">
    <w:abstractNumId w:val="17"/>
  </w:num>
  <w:num w:numId="41" w16cid:durableId="275719037">
    <w:abstractNumId w:val="17"/>
  </w:num>
  <w:num w:numId="42" w16cid:durableId="1370640193">
    <w:abstractNumId w:val="12"/>
  </w:num>
  <w:num w:numId="43" w16cid:durableId="1666400357">
    <w:abstractNumId w:val="12"/>
  </w:num>
  <w:num w:numId="44" w16cid:durableId="741951059">
    <w:abstractNumId w:val="12"/>
  </w:num>
  <w:num w:numId="45" w16cid:durableId="81993808">
    <w:abstractNumId w:val="12"/>
  </w:num>
  <w:num w:numId="46" w16cid:durableId="1947887257">
    <w:abstractNumId w:val="11"/>
  </w:num>
  <w:num w:numId="47" w16cid:durableId="68161404">
    <w:abstractNumId w:val="18"/>
  </w:num>
  <w:num w:numId="48" w16cid:durableId="96141930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Oparah, Alexus (CONTR)">
    <w15:presenceInfo w15:providerId="AD" w15:userId="S::alexus.oparah@hq.doe.gov::5f5b464f-6d1b-4028-bd94-3fe8f4166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3C8D"/>
    <w:rsid w:val="00004135"/>
    <w:rsid w:val="000041A1"/>
    <w:rsid w:val="000053BB"/>
    <w:rsid w:val="000119C5"/>
    <w:rsid w:val="00011B3F"/>
    <w:rsid w:val="00013373"/>
    <w:rsid w:val="00013A2C"/>
    <w:rsid w:val="00013CD3"/>
    <w:rsid w:val="000142E5"/>
    <w:rsid w:val="00015DA7"/>
    <w:rsid w:val="00023093"/>
    <w:rsid w:val="000248CE"/>
    <w:rsid w:val="00024E1E"/>
    <w:rsid w:val="00034A4B"/>
    <w:rsid w:val="00041909"/>
    <w:rsid w:val="000457E4"/>
    <w:rsid w:val="00046593"/>
    <w:rsid w:val="00047C08"/>
    <w:rsid w:val="0005401F"/>
    <w:rsid w:val="00055769"/>
    <w:rsid w:val="00056EC3"/>
    <w:rsid w:val="00062CFE"/>
    <w:rsid w:val="00070567"/>
    <w:rsid w:val="0007129A"/>
    <w:rsid w:val="00073BD5"/>
    <w:rsid w:val="000752A9"/>
    <w:rsid w:val="000831C4"/>
    <w:rsid w:val="000844CA"/>
    <w:rsid w:val="000A2402"/>
    <w:rsid w:val="000A68E1"/>
    <w:rsid w:val="000A6F86"/>
    <w:rsid w:val="000B3FBE"/>
    <w:rsid w:val="000B43BF"/>
    <w:rsid w:val="000C28E1"/>
    <w:rsid w:val="000C5311"/>
    <w:rsid w:val="000F040A"/>
    <w:rsid w:val="000F7623"/>
    <w:rsid w:val="001034E8"/>
    <w:rsid w:val="00112A69"/>
    <w:rsid w:val="0011541D"/>
    <w:rsid w:val="00124520"/>
    <w:rsid w:val="001329A2"/>
    <w:rsid w:val="00132F4A"/>
    <w:rsid w:val="00144760"/>
    <w:rsid w:val="0015418C"/>
    <w:rsid w:val="00154192"/>
    <w:rsid w:val="00160BC8"/>
    <w:rsid w:val="00167425"/>
    <w:rsid w:val="0016761F"/>
    <w:rsid w:val="001768FF"/>
    <w:rsid w:val="001807A3"/>
    <w:rsid w:val="001947D5"/>
    <w:rsid w:val="001A38FF"/>
    <w:rsid w:val="001A6E1E"/>
    <w:rsid w:val="001A6E9A"/>
    <w:rsid w:val="001B0E69"/>
    <w:rsid w:val="001B525F"/>
    <w:rsid w:val="001B6585"/>
    <w:rsid w:val="001C1F46"/>
    <w:rsid w:val="001C6B39"/>
    <w:rsid w:val="001D03A8"/>
    <w:rsid w:val="001D3E82"/>
    <w:rsid w:val="001D63EB"/>
    <w:rsid w:val="001D71AD"/>
    <w:rsid w:val="001E3723"/>
    <w:rsid w:val="001E5F31"/>
    <w:rsid w:val="001E64B9"/>
    <w:rsid w:val="001F3A8F"/>
    <w:rsid w:val="002008B4"/>
    <w:rsid w:val="00201F24"/>
    <w:rsid w:val="002127CE"/>
    <w:rsid w:val="00212F6A"/>
    <w:rsid w:val="002153B0"/>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82E66"/>
    <w:rsid w:val="0028370D"/>
    <w:rsid w:val="0028700E"/>
    <w:rsid w:val="00291E94"/>
    <w:rsid w:val="002A2C03"/>
    <w:rsid w:val="002B0FD2"/>
    <w:rsid w:val="002C378C"/>
    <w:rsid w:val="002E3FD5"/>
    <w:rsid w:val="002E4FAD"/>
    <w:rsid w:val="002E6F99"/>
    <w:rsid w:val="002E7A38"/>
    <w:rsid w:val="00306516"/>
    <w:rsid w:val="00323494"/>
    <w:rsid w:val="00327D6F"/>
    <w:rsid w:val="00333A27"/>
    <w:rsid w:val="003469CB"/>
    <w:rsid w:val="00350C8B"/>
    <w:rsid w:val="00351313"/>
    <w:rsid w:val="00351A73"/>
    <w:rsid w:val="00361DFA"/>
    <w:rsid w:val="00363331"/>
    <w:rsid w:val="00371E14"/>
    <w:rsid w:val="00373208"/>
    <w:rsid w:val="00383DB3"/>
    <w:rsid w:val="003854B2"/>
    <w:rsid w:val="00385AE6"/>
    <w:rsid w:val="003867D8"/>
    <w:rsid w:val="00387C8D"/>
    <w:rsid w:val="00392DD0"/>
    <w:rsid w:val="00393EA7"/>
    <w:rsid w:val="00396BCB"/>
    <w:rsid w:val="00397825"/>
    <w:rsid w:val="003A1073"/>
    <w:rsid w:val="003A10F3"/>
    <w:rsid w:val="003A3852"/>
    <w:rsid w:val="003A3906"/>
    <w:rsid w:val="003A7289"/>
    <w:rsid w:val="003B03A4"/>
    <w:rsid w:val="003C03EA"/>
    <w:rsid w:val="003C690C"/>
    <w:rsid w:val="003D4E6F"/>
    <w:rsid w:val="003E40FA"/>
    <w:rsid w:val="003F24ED"/>
    <w:rsid w:val="003F529E"/>
    <w:rsid w:val="00400F9F"/>
    <w:rsid w:val="004031F6"/>
    <w:rsid w:val="00406BC1"/>
    <w:rsid w:val="00407CCE"/>
    <w:rsid w:val="00411B65"/>
    <w:rsid w:val="004157CC"/>
    <w:rsid w:val="0042025A"/>
    <w:rsid w:val="00420A7D"/>
    <w:rsid w:val="00426481"/>
    <w:rsid w:val="00432966"/>
    <w:rsid w:val="00436F4D"/>
    <w:rsid w:val="0045608E"/>
    <w:rsid w:val="0045662F"/>
    <w:rsid w:val="00465E24"/>
    <w:rsid w:val="00466959"/>
    <w:rsid w:val="00476393"/>
    <w:rsid w:val="0047784B"/>
    <w:rsid w:val="004862B8"/>
    <w:rsid w:val="004946F0"/>
    <w:rsid w:val="004951EC"/>
    <w:rsid w:val="00497C2A"/>
    <w:rsid w:val="004B1075"/>
    <w:rsid w:val="004B4A66"/>
    <w:rsid w:val="004C277B"/>
    <w:rsid w:val="004D05FB"/>
    <w:rsid w:val="004D2581"/>
    <w:rsid w:val="004D29C7"/>
    <w:rsid w:val="004F7148"/>
    <w:rsid w:val="004F747D"/>
    <w:rsid w:val="00504119"/>
    <w:rsid w:val="005065CF"/>
    <w:rsid w:val="00506BB4"/>
    <w:rsid w:val="0050705F"/>
    <w:rsid w:val="005170D3"/>
    <w:rsid w:val="00517168"/>
    <w:rsid w:val="00522598"/>
    <w:rsid w:val="0052493A"/>
    <w:rsid w:val="00526AA2"/>
    <w:rsid w:val="0052783E"/>
    <w:rsid w:val="00535CAF"/>
    <w:rsid w:val="00536054"/>
    <w:rsid w:val="00536150"/>
    <w:rsid w:val="0053654B"/>
    <w:rsid w:val="00536CE1"/>
    <w:rsid w:val="00537A91"/>
    <w:rsid w:val="0054180D"/>
    <w:rsid w:val="00541CA1"/>
    <w:rsid w:val="00545C0F"/>
    <w:rsid w:val="00547B53"/>
    <w:rsid w:val="00550EA3"/>
    <w:rsid w:val="005515CD"/>
    <w:rsid w:val="00552212"/>
    <w:rsid w:val="00571D8F"/>
    <w:rsid w:val="0057367D"/>
    <w:rsid w:val="00585BE3"/>
    <w:rsid w:val="0059212D"/>
    <w:rsid w:val="0059637E"/>
    <w:rsid w:val="00597174"/>
    <w:rsid w:val="005B2B58"/>
    <w:rsid w:val="005C00FA"/>
    <w:rsid w:val="005C2D89"/>
    <w:rsid w:val="005C2E26"/>
    <w:rsid w:val="005C485B"/>
    <w:rsid w:val="005D39D7"/>
    <w:rsid w:val="005D5956"/>
    <w:rsid w:val="005D6F63"/>
    <w:rsid w:val="005F25C3"/>
    <w:rsid w:val="005F4848"/>
    <w:rsid w:val="0060676B"/>
    <w:rsid w:val="00616E46"/>
    <w:rsid w:val="0062008C"/>
    <w:rsid w:val="00620797"/>
    <w:rsid w:val="00626494"/>
    <w:rsid w:val="006324F7"/>
    <w:rsid w:val="0063760C"/>
    <w:rsid w:val="00641DE2"/>
    <w:rsid w:val="00643384"/>
    <w:rsid w:val="0065406F"/>
    <w:rsid w:val="00654845"/>
    <w:rsid w:val="00660C80"/>
    <w:rsid w:val="00663EC4"/>
    <w:rsid w:val="00676499"/>
    <w:rsid w:val="00677C5F"/>
    <w:rsid w:val="00685035"/>
    <w:rsid w:val="006A0BC7"/>
    <w:rsid w:val="006A20C9"/>
    <w:rsid w:val="006A2ABA"/>
    <w:rsid w:val="006C0062"/>
    <w:rsid w:val="006C097E"/>
    <w:rsid w:val="006C2DC3"/>
    <w:rsid w:val="006D0439"/>
    <w:rsid w:val="006D42EC"/>
    <w:rsid w:val="006E3105"/>
    <w:rsid w:val="006E6288"/>
    <w:rsid w:val="006E71EC"/>
    <w:rsid w:val="006F3C12"/>
    <w:rsid w:val="00704B7D"/>
    <w:rsid w:val="00711414"/>
    <w:rsid w:val="00714478"/>
    <w:rsid w:val="007244A5"/>
    <w:rsid w:val="00725453"/>
    <w:rsid w:val="00730DA0"/>
    <w:rsid w:val="00734568"/>
    <w:rsid w:val="00737591"/>
    <w:rsid w:val="007438F2"/>
    <w:rsid w:val="00755C3D"/>
    <w:rsid w:val="007576EF"/>
    <w:rsid w:val="00760677"/>
    <w:rsid w:val="00761C12"/>
    <w:rsid w:val="00764839"/>
    <w:rsid w:val="007658BA"/>
    <w:rsid w:val="00765A29"/>
    <w:rsid w:val="00776CF4"/>
    <w:rsid w:val="00777E63"/>
    <w:rsid w:val="00784F89"/>
    <w:rsid w:val="00786336"/>
    <w:rsid w:val="00787809"/>
    <w:rsid w:val="007951D6"/>
    <w:rsid w:val="007A0E7F"/>
    <w:rsid w:val="007A4378"/>
    <w:rsid w:val="007C5324"/>
    <w:rsid w:val="007C5CE9"/>
    <w:rsid w:val="007D2A7E"/>
    <w:rsid w:val="007D39CC"/>
    <w:rsid w:val="007D6AAF"/>
    <w:rsid w:val="007E29F8"/>
    <w:rsid w:val="007E5A11"/>
    <w:rsid w:val="007E73E6"/>
    <w:rsid w:val="007F1954"/>
    <w:rsid w:val="007F1A7B"/>
    <w:rsid w:val="007F21D7"/>
    <w:rsid w:val="007F774E"/>
    <w:rsid w:val="008057F8"/>
    <w:rsid w:val="00811729"/>
    <w:rsid w:val="00811910"/>
    <w:rsid w:val="00812C91"/>
    <w:rsid w:val="008213F9"/>
    <w:rsid w:val="0082320E"/>
    <w:rsid w:val="008307E1"/>
    <w:rsid w:val="00836D62"/>
    <w:rsid w:val="00844524"/>
    <w:rsid w:val="0085378F"/>
    <w:rsid w:val="00867160"/>
    <w:rsid w:val="008678D5"/>
    <w:rsid w:val="0087205B"/>
    <w:rsid w:val="00874FB8"/>
    <w:rsid w:val="00876D7F"/>
    <w:rsid w:val="008933B4"/>
    <w:rsid w:val="00895669"/>
    <w:rsid w:val="00897946"/>
    <w:rsid w:val="008A0DCB"/>
    <w:rsid w:val="008A3276"/>
    <w:rsid w:val="008A3447"/>
    <w:rsid w:val="008A7E5F"/>
    <w:rsid w:val="008C1F79"/>
    <w:rsid w:val="008C734C"/>
    <w:rsid w:val="008D5A88"/>
    <w:rsid w:val="008E4BF2"/>
    <w:rsid w:val="008F16EC"/>
    <w:rsid w:val="008F4CBD"/>
    <w:rsid w:val="009017AD"/>
    <w:rsid w:val="00901BED"/>
    <w:rsid w:val="00903A54"/>
    <w:rsid w:val="00905735"/>
    <w:rsid w:val="00911C9F"/>
    <w:rsid w:val="009131B9"/>
    <w:rsid w:val="0091409C"/>
    <w:rsid w:val="00916CC8"/>
    <w:rsid w:val="009174E5"/>
    <w:rsid w:val="00933D5D"/>
    <w:rsid w:val="00935805"/>
    <w:rsid w:val="0093678A"/>
    <w:rsid w:val="009368F3"/>
    <w:rsid w:val="0093703F"/>
    <w:rsid w:val="00947C42"/>
    <w:rsid w:val="00950489"/>
    <w:rsid w:val="00952448"/>
    <w:rsid w:val="00957DE9"/>
    <w:rsid w:val="00960424"/>
    <w:rsid w:val="009616F7"/>
    <w:rsid w:val="00965A44"/>
    <w:rsid w:val="00967D7C"/>
    <w:rsid w:val="0097299A"/>
    <w:rsid w:val="009757AD"/>
    <w:rsid w:val="00977C1B"/>
    <w:rsid w:val="00980B6A"/>
    <w:rsid w:val="009818F9"/>
    <w:rsid w:val="0098405F"/>
    <w:rsid w:val="0098618F"/>
    <w:rsid w:val="00987C32"/>
    <w:rsid w:val="00991646"/>
    <w:rsid w:val="0099448B"/>
    <w:rsid w:val="00997347"/>
    <w:rsid w:val="009A31C1"/>
    <w:rsid w:val="009B19CE"/>
    <w:rsid w:val="009C1358"/>
    <w:rsid w:val="009C202F"/>
    <w:rsid w:val="009C6904"/>
    <w:rsid w:val="009C77F7"/>
    <w:rsid w:val="009E48F1"/>
    <w:rsid w:val="009E5ABC"/>
    <w:rsid w:val="009E5B9C"/>
    <w:rsid w:val="009E75B6"/>
    <w:rsid w:val="009F4ED1"/>
    <w:rsid w:val="00A00D71"/>
    <w:rsid w:val="00A00EDF"/>
    <w:rsid w:val="00A258FB"/>
    <w:rsid w:val="00A26A17"/>
    <w:rsid w:val="00A26F88"/>
    <w:rsid w:val="00A30169"/>
    <w:rsid w:val="00A312A3"/>
    <w:rsid w:val="00A3283F"/>
    <w:rsid w:val="00A33D34"/>
    <w:rsid w:val="00A33D9F"/>
    <w:rsid w:val="00A37229"/>
    <w:rsid w:val="00A41763"/>
    <w:rsid w:val="00A4181C"/>
    <w:rsid w:val="00A418C9"/>
    <w:rsid w:val="00A53919"/>
    <w:rsid w:val="00A577E3"/>
    <w:rsid w:val="00A632EF"/>
    <w:rsid w:val="00A72AA8"/>
    <w:rsid w:val="00A74C9B"/>
    <w:rsid w:val="00A83294"/>
    <w:rsid w:val="00A83DE2"/>
    <w:rsid w:val="00A8650F"/>
    <w:rsid w:val="00A874E4"/>
    <w:rsid w:val="00A91874"/>
    <w:rsid w:val="00A9217A"/>
    <w:rsid w:val="00A929AD"/>
    <w:rsid w:val="00A93478"/>
    <w:rsid w:val="00A94393"/>
    <w:rsid w:val="00A97FE7"/>
    <w:rsid w:val="00AA32E6"/>
    <w:rsid w:val="00AA3D91"/>
    <w:rsid w:val="00AA3FD0"/>
    <w:rsid w:val="00AA46CA"/>
    <w:rsid w:val="00AA7EFA"/>
    <w:rsid w:val="00AB3033"/>
    <w:rsid w:val="00AB61B3"/>
    <w:rsid w:val="00AC323A"/>
    <w:rsid w:val="00AC69E8"/>
    <w:rsid w:val="00AD0F9B"/>
    <w:rsid w:val="00AD53D4"/>
    <w:rsid w:val="00AD6357"/>
    <w:rsid w:val="00AD7F81"/>
    <w:rsid w:val="00AE4CA9"/>
    <w:rsid w:val="00AE4D39"/>
    <w:rsid w:val="00AE6862"/>
    <w:rsid w:val="00AF367D"/>
    <w:rsid w:val="00AF45FD"/>
    <w:rsid w:val="00B0395F"/>
    <w:rsid w:val="00B2386E"/>
    <w:rsid w:val="00B2554B"/>
    <w:rsid w:val="00B35E2A"/>
    <w:rsid w:val="00B4020E"/>
    <w:rsid w:val="00B4263D"/>
    <w:rsid w:val="00B56F49"/>
    <w:rsid w:val="00B57C23"/>
    <w:rsid w:val="00B64AEB"/>
    <w:rsid w:val="00B7442A"/>
    <w:rsid w:val="00B8193E"/>
    <w:rsid w:val="00B97002"/>
    <w:rsid w:val="00BB2F70"/>
    <w:rsid w:val="00BB6CF4"/>
    <w:rsid w:val="00BB758C"/>
    <w:rsid w:val="00BC14C3"/>
    <w:rsid w:val="00BC1ABE"/>
    <w:rsid w:val="00BC515B"/>
    <w:rsid w:val="00BD2F20"/>
    <w:rsid w:val="00BD3FC9"/>
    <w:rsid w:val="00BD4F62"/>
    <w:rsid w:val="00BE4AFD"/>
    <w:rsid w:val="00BF10CB"/>
    <w:rsid w:val="00BF348B"/>
    <w:rsid w:val="00C00590"/>
    <w:rsid w:val="00C012C0"/>
    <w:rsid w:val="00C04647"/>
    <w:rsid w:val="00C058CF"/>
    <w:rsid w:val="00C11F3A"/>
    <w:rsid w:val="00C12551"/>
    <w:rsid w:val="00C211CD"/>
    <w:rsid w:val="00C25328"/>
    <w:rsid w:val="00C36D1F"/>
    <w:rsid w:val="00C3744D"/>
    <w:rsid w:val="00C4327E"/>
    <w:rsid w:val="00C43A84"/>
    <w:rsid w:val="00C455D3"/>
    <w:rsid w:val="00C5673C"/>
    <w:rsid w:val="00C64137"/>
    <w:rsid w:val="00C64861"/>
    <w:rsid w:val="00C658E4"/>
    <w:rsid w:val="00C711A2"/>
    <w:rsid w:val="00C7266E"/>
    <w:rsid w:val="00C76C66"/>
    <w:rsid w:val="00C82DF9"/>
    <w:rsid w:val="00C87190"/>
    <w:rsid w:val="00CA1564"/>
    <w:rsid w:val="00CA1F1D"/>
    <w:rsid w:val="00CA7C8A"/>
    <w:rsid w:val="00CB180D"/>
    <w:rsid w:val="00CB44E8"/>
    <w:rsid w:val="00CB7978"/>
    <w:rsid w:val="00CC1D12"/>
    <w:rsid w:val="00CD47CF"/>
    <w:rsid w:val="00CE42E9"/>
    <w:rsid w:val="00CF1572"/>
    <w:rsid w:val="00D001E4"/>
    <w:rsid w:val="00D00AA8"/>
    <w:rsid w:val="00D01BEA"/>
    <w:rsid w:val="00D02778"/>
    <w:rsid w:val="00D0645C"/>
    <w:rsid w:val="00D13E84"/>
    <w:rsid w:val="00D144A5"/>
    <w:rsid w:val="00D17918"/>
    <w:rsid w:val="00D300F4"/>
    <w:rsid w:val="00D3344B"/>
    <w:rsid w:val="00D37FB2"/>
    <w:rsid w:val="00D40175"/>
    <w:rsid w:val="00D44A16"/>
    <w:rsid w:val="00D50FB3"/>
    <w:rsid w:val="00D550BF"/>
    <w:rsid w:val="00D55243"/>
    <w:rsid w:val="00D61E68"/>
    <w:rsid w:val="00D62F90"/>
    <w:rsid w:val="00D63E74"/>
    <w:rsid w:val="00D67434"/>
    <w:rsid w:val="00D701F6"/>
    <w:rsid w:val="00D715C4"/>
    <w:rsid w:val="00D716B9"/>
    <w:rsid w:val="00D825A2"/>
    <w:rsid w:val="00D854D8"/>
    <w:rsid w:val="00D91781"/>
    <w:rsid w:val="00D928FD"/>
    <w:rsid w:val="00DB15AD"/>
    <w:rsid w:val="00DB6FBD"/>
    <w:rsid w:val="00DC6EFF"/>
    <w:rsid w:val="00DC79E3"/>
    <w:rsid w:val="00DD477D"/>
    <w:rsid w:val="00DD51E1"/>
    <w:rsid w:val="00DE2D54"/>
    <w:rsid w:val="00E00199"/>
    <w:rsid w:val="00E02BB0"/>
    <w:rsid w:val="00E03CE6"/>
    <w:rsid w:val="00E13716"/>
    <w:rsid w:val="00E266FF"/>
    <w:rsid w:val="00E27661"/>
    <w:rsid w:val="00E37A7D"/>
    <w:rsid w:val="00E47DB3"/>
    <w:rsid w:val="00E509A9"/>
    <w:rsid w:val="00E51F8B"/>
    <w:rsid w:val="00E5242A"/>
    <w:rsid w:val="00E53398"/>
    <w:rsid w:val="00E548B4"/>
    <w:rsid w:val="00E66AE2"/>
    <w:rsid w:val="00E6740C"/>
    <w:rsid w:val="00E70964"/>
    <w:rsid w:val="00E74DA4"/>
    <w:rsid w:val="00E81B89"/>
    <w:rsid w:val="00E9031C"/>
    <w:rsid w:val="00E91432"/>
    <w:rsid w:val="00E91B5A"/>
    <w:rsid w:val="00EC783D"/>
    <w:rsid w:val="00ED6E45"/>
    <w:rsid w:val="00ED7ABF"/>
    <w:rsid w:val="00EE2CAF"/>
    <w:rsid w:val="00EE43E4"/>
    <w:rsid w:val="00EF134B"/>
    <w:rsid w:val="00EF33FC"/>
    <w:rsid w:val="00EF3E50"/>
    <w:rsid w:val="00F001EA"/>
    <w:rsid w:val="00F056C3"/>
    <w:rsid w:val="00F16B90"/>
    <w:rsid w:val="00F27EB3"/>
    <w:rsid w:val="00F32995"/>
    <w:rsid w:val="00F34F19"/>
    <w:rsid w:val="00F44A21"/>
    <w:rsid w:val="00F46F2C"/>
    <w:rsid w:val="00F524C4"/>
    <w:rsid w:val="00F575F0"/>
    <w:rsid w:val="00F57C85"/>
    <w:rsid w:val="00F6008C"/>
    <w:rsid w:val="00F6664C"/>
    <w:rsid w:val="00F70C08"/>
    <w:rsid w:val="00F7297C"/>
    <w:rsid w:val="00F750E7"/>
    <w:rsid w:val="00F80AF1"/>
    <w:rsid w:val="00F8298C"/>
    <w:rsid w:val="00F90245"/>
    <w:rsid w:val="00F920D9"/>
    <w:rsid w:val="00F94781"/>
    <w:rsid w:val="00FA220B"/>
    <w:rsid w:val="00FA5388"/>
    <w:rsid w:val="00FB08E3"/>
    <w:rsid w:val="00FB6BF3"/>
    <w:rsid w:val="00FC1532"/>
    <w:rsid w:val="00FD397B"/>
    <w:rsid w:val="00FD4B01"/>
    <w:rsid w:val="00FD52F2"/>
    <w:rsid w:val="00FD7278"/>
    <w:rsid w:val="00FD7CDC"/>
    <w:rsid w:val="00FE2197"/>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A20C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6A20C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AA32E6"/>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28700E"/>
    <w:rPr>
      <w:sz w:val="16"/>
      <w:szCs w:val="16"/>
    </w:rPr>
  </w:style>
  <w:style w:type="paragraph" w:styleId="CommentText">
    <w:name w:val="annotation text"/>
    <w:basedOn w:val="Normal"/>
    <w:link w:val="CommentTextChar"/>
    <w:uiPriority w:val="99"/>
    <w:unhideWhenUsed/>
    <w:locked/>
    <w:rsid w:val="0028700E"/>
    <w:pPr>
      <w:spacing w:line="240" w:lineRule="auto"/>
    </w:pPr>
    <w:rPr>
      <w:sz w:val="20"/>
      <w:szCs w:val="20"/>
    </w:rPr>
  </w:style>
  <w:style w:type="character" w:customStyle="1" w:styleId="CommentTextChar">
    <w:name w:val="Comment Text Char"/>
    <w:basedOn w:val="DefaultParagraphFont"/>
    <w:link w:val="CommentText"/>
    <w:uiPriority w:val="99"/>
    <w:rsid w:val="0028700E"/>
    <w:rPr>
      <w:sz w:val="20"/>
      <w:szCs w:val="20"/>
    </w:rPr>
  </w:style>
  <w:style w:type="paragraph" w:styleId="CommentSubject">
    <w:name w:val="annotation subject"/>
    <w:basedOn w:val="CommentText"/>
    <w:next w:val="CommentText"/>
    <w:link w:val="CommentSubjectChar"/>
    <w:uiPriority w:val="99"/>
    <w:semiHidden/>
    <w:unhideWhenUsed/>
    <w:locked/>
    <w:rsid w:val="0028700E"/>
    <w:rPr>
      <w:b/>
      <w:bCs/>
    </w:rPr>
  </w:style>
  <w:style w:type="character" w:customStyle="1" w:styleId="CommentSubjectChar">
    <w:name w:val="Comment Subject Char"/>
    <w:basedOn w:val="CommentTextChar"/>
    <w:link w:val="CommentSubject"/>
    <w:uiPriority w:val="99"/>
    <w:semiHidden/>
    <w:rsid w:val="0028700E"/>
    <w:rPr>
      <w:b/>
      <w:bCs/>
      <w:sz w:val="20"/>
      <w:szCs w:val="20"/>
    </w:rPr>
  </w:style>
  <w:style w:type="character" w:styleId="FollowedHyperlink">
    <w:name w:val="FollowedHyperlink"/>
    <w:basedOn w:val="DefaultParagraphFont"/>
    <w:uiPriority w:val="99"/>
    <w:semiHidden/>
    <w:unhideWhenUsed/>
    <w:locked/>
    <w:rsid w:val="001C6B39"/>
    <w:rPr>
      <w:color w:val="5D9732" w:themeColor="followedHyperlink"/>
      <w:u w:val="single"/>
    </w:rPr>
  </w:style>
  <w:style w:type="paragraph" w:styleId="Revision">
    <w:name w:val="Revision"/>
    <w:hidden/>
    <w:uiPriority w:val="99"/>
    <w:semiHidden/>
    <w:rsid w:val="001E3723"/>
    <w:pPr>
      <w:spacing w:after="0"/>
    </w:pPr>
  </w:style>
  <w:style w:type="character" w:styleId="UnresolvedMention">
    <w:name w:val="Unresolved Mention"/>
    <w:basedOn w:val="DefaultParagraphFont"/>
    <w:uiPriority w:val="99"/>
    <w:semiHidden/>
    <w:unhideWhenUsed/>
    <w:rsid w:val="00CA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ROffice@hq.doe.gov" TargetMode="External" /><Relationship Id="rId11" Type="http://schemas.openxmlformats.org/officeDocument/2006/relationships/footer" Target="foot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23093"/>
    <w:rsid w:val="000457E4"/>
    <w:rsid w:val="0028370D"/>
    <w:rsid w:val="004154FC"/>
    <w:rsid w:val="004157CC"/>
    <w:rsid w:val="0042025A"/>
    <w:rsid w:val="00550EA3"/>
    <w:rsid w:val="0065501B"/>
    <w:rsid w:val="0085378F"/>
    <w:rsid w:val="0097548D"/>
    <w:rsid w:val="0098405F"/>
    <w:rsid w:val="009E75B6"/>
    <w:rsid w:val="00A2759C"/>
    <w:rsid w:val="00A8650F"/>
    <w:rsid w:val="00B3461A"/>
    <w:rsid w:val="00BF10CB"/>
    <w:rsid w:val="00C012C0"/>
    <w:rsid w:val="00D17918"/>
    <w:rsid w:val="00D44A16"/>
    <w:rsid w:val="00DB15AD"/>
    <w:rsid w:val="00EC4011"/>
    <w:rsid w:val="00EE0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Technology Partnerships Ombudsmen Reporting Requirements</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Technology Partnerships Ombudsmen Reporting Requirements</dc:title>
  <dc:subject>Improving the Quality and Scope of EIA Data</dc:subject>
  <dc:creator>Stroud, Lawrence</dc:creator>
  <cp:lastModifiedBy>Oparah, Alexus (CONTR)</cp:lastModifiedBy>
  <cp:revision>2</cp:revision>
  <cp:lastPrinted>2011-12-12T20:42:00Z</cp:lastPrinted>
  <dcterms:created xsi:type="dcterms:W3CDTF">2025-07-17T18:44:00Z</dcterms:created>
  <dcterms:modified xsi:type="dcterms:W3CDTF">2025-07-17T18:44:00Z</dcterms:modified>
</cp:coreProperties>
</file>