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P="00FE2197" w14:paraId="73C5BB6E"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p w:rsidR="00D928FD" w:rsidP="00D928FD" w14:paraId="03B45789"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388EDDE4"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0004448C">
            <w:rPr>
              <w:rFonts w:ascii="Times New Roman" w:hAnsi="Times New Roman" w:cs="Times New Roman"/>
              <w:color w:val="139CD8"/>
              <w:sz w:val="56"/>
              <w:szCs w:val="52"/>
            </w:rPr>
            <w:t xml:space="preserve">Science Undergraduate Laboratory Internship </w:t>
          </w:r>
          <w:r w:rsidR="00656EEC">
            <w:rPr>
              <w:rFonts w:ascii="Times New Roman" w:hAnsi="Times New Roman" w:cs="Times New Roman"/>
              <w:color w:val="139CD8"/>
              <w:sz w:val="56"/>
              <w:szCs w:val="52"/>
            </w:rPr>
            <w:t xml:space="preserve">(SULI) </w:t>
          </w:r>
          <w:r w:rsidR="0004448C">
            <w:rPr>
              <w:rFonts w:ascii="Times New Roman" w:hAnsi="Times New Roman" w:cs="Times New Roman"/>
              <w:color w:val="139CD8"/>
              <w:sz w:val="56"/>
              <w:szCs w:val="52"/>
            </w:rPr>
            <w:t>Long-term Follow-up Study</w:t>
          </w:r>
        </w:p>
      </w:sdtContent>
    </w:sdt>
    <w:p w:rsidR="0059212D" w:rsidRPr="00EE2CAF" w:rsidP="00EE2CAF" w14:paraId="5BE3335E" w14:textId="77777777">
      <w:pPr>
        <w:pStyle w:val="Heading1"/>
      </w:pPr>
      <w:bookmarkStart w:id="0" w:name="_Toc16271317"/>
      <w:r>
        <w:t>Part A: Justification</w:t>
      </w:r>
      <w:bookmarkEnd w:id="0"/>
    </w:p>
    <w:p w:rsidR="00A872EF" w:rsidP="00A872EF" w14:paraId="36367830" w14:textId="77777777">
      <w:pPr>
        <w:pStyle w:val="Left05Indent"/>
        <w:ind w:left="0"/>
        <w:rPr>
          <w:i/>
          <w:iCs/>
          <w:sz w:val="25"/>
          <w:szCs w:val="25"/>
        </w:rPr>
      </w:pPr>
      <w:r w:rsidRPr="00711414">
        <w:rPr>
          <w:rFonts w:ascii="Times New Roman" w:hAnsi="Times New Roman" w:cs="Times New Roman"/>
          <w:b/>
          <w:sz w:val="36"/>
          <w:szCs w:val="36"/>
        </w:rPr>
        <w:t>OMB No. 19</w:t>
      </w:r>
      <w:r>
        <w:rPr>
          <w:rFonts w:ascii="Times New Roman" w:hAnsi="Times New Roman" w:cs="Times New Roman"/>
          <w:b/>
          <w:sz w:val="36"/>
          <w:szCs w:val="36"/>
        </w:rPr>
        <w:t>10</w:t>
      </w:r>
      <w:r w:rsidRPr="00711414">
        <w:rPr>
          <w:rFonts w:ascii="Times New Roman" w:hAnsi="Times New Roman" w:cs="Times New Roman"/>
          <w:b/>
          <w:sz w:val="36"/>
          <w:szCs w:val="36"/>
        </w:rPr>
        <w:t>-</w:t>
      </w:r>
      <w:r>
        <w:rPr>
          <w:rFonts w:ascii="Times New Roman" w:hAnsi="Times New Roman" w:cs="Times New Roman"/>
          <w:b/>
          <w:sz w:val="36"/>
          <w:szCs w:val="36"/>
        </w:rPr>
        <w:t>X</w:t>
      </w:r>
      <w:r w:rsidRPr="00711414">
        <w:rPr>
          <w:rFonts w:ascii="Times New Roman" w:hAnsi="Times New Roman" w:cs="Times New Roman"/>
          <w:b/>
          <w:sz w:val="36"/>
          <w:szCs w:val="36"/>
        </w:rPr>
        <w:t>XXX</w:t>
      </w:r>
    </w:p>
    <w:p w:rsidR="404E4168" w:rsidP="5E9230AC" w14:paraId="62AD9783" w14:textId="77777777">
      <w:pPr>
        <w:pStyle w:val="Left05Indent"/>
        <w:ind w:left="0"/>
        <w:rPr>
          <w:i/>
          <w:iCs/>
          <w:sz w:val="25"/>
          <w:szCs w:val="25"/>
        </w:rPr>
      </w:pPr>
      <w:r w:rsidRPr="5E9230AC">
        <w:rPr>
          <w:i/>
          <w:iCs/>
          <w:sz w:val="25"/>
          <w:szCs w:val="25"/>
        </w:rPr>
        <w:t>Form DOE-F 413.42 / 413.43, Survey of Former SULI Program Participants and Applicants</w:t>
      </w:r>
    </w:p>
    <w:p w:rsidR="5E9230AC" w:rsidP="5E9230AC" w14:paraId="389A60C5" w14:textId="77777777">
      <w:pPr>
        <w:rPr>
          <w:rFonts w:ascii="Times New Roman" w:hAnsi="Times New Roman" w:cs="Times New Roman"/>
          <w:b/>
          <w:bCs/>
          <w:sz w:val="36"/>
          <w:szCs w:val="36"/>
        </w:rPr>
      </w:pPr>
    </w:p>
    <w:p w:rsidR="5E9230AC" w:rsidP="5E9230AC" w14:paraId="157F39CA" w14:textId="77777777">
      <w:pPr>
        <w:rPr>
          <w:rFonts w:ascii="Times New Roman" w:hAnsi="Times New Roman" w:cs="Times New Roman"/>
          <w:b/>
          <w:bCs/>
          <w:sz w:val="36"/>
          <w:szCs w:val="36"/>
        </w:rPr>
      </w:pPr>
    </w:p>
    <w:p w:rsidR="5E9230AC" w:rsidP="5E9230AC" w14:paraId="4CD8B427" w14:textId="77777777">
      <w:pPr>
        <w:rPr>
          <w:rFonts w:ascii="Times New Roman" w:hAnsi="Times New Roman" w:cs="Times New Roman"/>
          <w:b/>
          <w:bCs/>
          <w:sz w:val="36"/>
          <w:szCs w:val="36"/>
        </w:rPr>
      </w:pPr>
    </w:p>
    <w:p w:rsidR="5E9230AC" w:rsidP="5E9230AC" w14:paraId="308417BB" w14:textId="77777777">
      <w:pPr>
        <w:rPr>
          <w:rFonts w:ascii="Times New Roman" w:hAnsi="Times New Roman" w:cs="Times New Roman"/>
          <w:b/>
          <w:bCs/>
          <w:sz w:val="36"/>
          <w:szCs w:val="36"/>
        </w:rPr>
      </w:pPr>
    </w:p>
    <w:p w:rsidR="5E9230AC" w:rsidP="5E9230AC" w14:paraId="568F396C" w14:textId="77777777">
      <w:pPr>
        <w:rPr>
          <w:rFonts w:ascii="Times New Roman" w:hAnsi="Times New Roman" w:cs="Times New Roman"/>
          <w:b/>
          <w:bCs/>
          <w:sz w:val="36"/>
          <w:szCs w:val="36"/>
        </w:rPr>
      </w:pPr>
    </w:p>
    <w:p w:rsidR="5E9230AC" w:rsidP="5E9230AC" w14:paraId="4F9AD1EE" w14:textId="77777777">
      <w:pPr>
        <w:rPr>
          <w:rFonts w:ascii="Times New Roman" w:hAnsi="Times New Roman" w:cs="Times New Roman"/>
          <w:b/>
          <w:bCs/>
          <w:sz w:val="36"/>
          <w:szCs w:val="36"/>
        </w:rPr>
      </w:pPr>
    </w:p>
    <w:p w:rsidR="001F3A8F" w:rsidRPr="00711414" w:rsidP="00711414" w14:paraId="01746E4F" w14:textId="77777777">
      <w:pPr>
        <w:rPr>
          <w:i/>
          <w:sz w:val="28"/>
          <w:szCs w:val="28"/>
        </w:rPr>
      </w:pPr>
      <w:r>
        <w:rPr>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paraId="1C9AE112" w14:textId="77777777">
                            <w:pPr>
                              <w:rPr>
                                <w:color w:val="A6A6A6" w:themeColor="background1" w:themeShade="A6"/>
                                <w:sz w:val="36"/>
                              </w:rPr>
                            </w:pPr>
                            <w:r>
                              <w:rPr>
                                <w:color w:val="A6A6A6" w:themeColor="background1" w:themeShade="A6"/>
                                <w:sz w:val="36"/>
                              </w:rPr>
                              <w:t>July</w:t>
                            </w:r>
                            <w:r w:rsidR="002F1F62">
                              <w:rPr>
                                <w:color w:val="A6A6A6" w:themeColor="background1" w:themeShade="A6"/>
                                <w:sz w:val="36"/>
                              </w:rPr>
                              <w:t xml:space="preserve"> 202</w:t>
                            </w:r>
                            <w:r>
                              <w:rPr>
                                <w:color w:val="A6A6A6" w:themeColor="background1" w:themeShade="A6"/>
                                <w:sz w:val="36"/>
                              </w:rPr>
                              <w:t>5</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1EDF63BA" w14:textId="5B87F3CF">
                      <w:pPr>
                        <w:rPr>
                          <w:color w:val="A6A6A6" w:themeColor="background1" w:themeShade="A6"/>
                          <w:sz w:val="36"/>
                        </w:rPr>
                      </w:pPr>
                      <w:r>
                        <w:rPr>
                          <w:color w:val="A6A6A6" w:themeColor="background1" w:themeShade="A6"/>
                          <w:sz w:val="36"/>
                        </w:rPr>
                        <w:t>July</w:t>
                      </w:r>
                      <w:r w:rsidR="002F1F62">
                        <w:rPr>
                          <w:color w:val="A6A6A6" w:themeColor="background1" w:themeShade="A6"/>
                          <w:sz w:val="36"/>
                        </w:rPr>
                        <w:t xml:space="preserve"> 202</w:t>
                      </w:r>
                      <w:r>
                        <w:rPr>
                          <w:color w:val="A6A6A6" w:themeColor="background1" w:themeShade="A6"/>
                          <w:sz w:val="36"/>
                        </w:rPr>
                        <w:t>5</w:t>
                      </w:r>
                    </w:p>
                  </w:txbxContent>
                </v:textbox>
                <w10:wrap type="square"/>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7"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paraId="66757721"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8"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08611A46"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paraId="0DCB8BCA"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29"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0C0388CA" w14:textId="77777777">
                      <w:pPr>
                        <w:spacing w:before="40" w:after="0"/>
                      </w:pP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paraId="2870D6F6"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0BF3582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0"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5A8E833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284C1F42"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6AB86DD1" w14:textId="77777777">
      <w:pPr>
        <w:sectPr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EastAsia"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14:paraId="4059CFB5" w14:textId="77777777">
          <w:pPr>
            <w:pStyle w:val="TOCHeading"/>
          </w:pPr>
          <w:r>
            <w:t>Table of Contents</w:t>
          </w:r>
        </w:p>
        <w:p w:rsidR="00537A91" w14:paraId="50821D75" w14:textId="77777777">
          <w:pPr>
            <w:pStyle w:val="TOC1"/>
            <w:rPr>
              <w:rFonts w:eastAsiaTheme="minorEastAsia"/>
              <w:noProof/>
              <w:color w:val="auto"/>
            </w:rPr>
          </w:pPr>
          <w:r>
            <w:fldChar w:fldCharType="begin"/>
          </w:r>
          <w:r>
            <w:instrText xml:space="preserve"> TOC \o "1-3" \h \z \u </w:instrText>
          </w:r>
          <w:r>
            <w:fldChar w:fldCharType="separate"/>
          </w:r>
          <w:hyperlink w:anchor="_Toc16271317" w:history="1">
            <w:r w:rsidRPr="00D50FB3">
              <w:rPr>
                <w:rStyle w:val="Hyperlink"/>
                <w:noProof/>
              </w:rPr>
              <w:t>Part A: Justification</w:t>
            </w:r>
            <w:r>
              <w:rPr>
                <w:noProof/>
                <w:webHidden/>
              </w:rPr>
              <w:tab/>
            </w:r>
            <w:r>
              <w:rPr>
                <w:noProof/>
                <w:webHidden/>
              </w:rPr>
              <w:fldChar w:fldCharType="begin"/>
            </w:r>
            <w:r>
              <w:rPr>
                <w:noProof/>
                <w:webHidden/>
              </w:rPr>
              <w:instrText xml:space="preserve"> PAGEREF _Toc16271317 \h </w:instrText>
            </w:r>
            <w:r>
              <w:rPr>
                <w:noProof/>
                <w:webHidden/>
              </w:rPr>
              <w:fldChar w:fldCharType="separate"/>
            </w:r>
            <w:r w:rsidR="00FA60CB">
              <w:rPr>
                <w:noProof/>
                <w:webHidden/>
              </w:rPr>
              <w:t>i</w:t>
            </w:r>
            <w:r>
              <w:rPr>
                <w:noProof/>
                <w:webHidden/>
              </w:rPr>
              <w:fldChar w:fldCharType="end"/>
            </w:r>
          </w:hyperlink>
        </w:p>
        <w:p w:rsidR="00537A91" w14:paraId="2AB0EF04" w14:textId="77777777">
          <w:pPr>
            <w:pStyle w:val="TOC2"/>
            <w:rPr>
              <w:rFonts w:eastAsiaTheme="minorEastAsia"/>
              <w:noProof/>
              <w:color w:val="auto"/>
            </w:rPr>
          </w:pPr>
          <w:hyperlink w:anchor="_Toc16271318" w:history="1">
            <w:r w:rsidRPr="00D50FB3">
              <w:rPr>
                <w:rStyle w:val="Hyperlink"/>
                <w:noProof/>
              </w:rPr>
              <w:t>Introduction</w:t>
            </w:r>
            <w:r>
              <w:rPr>
                <w:noProof/>
                <w:webHidden/>
              </w:rPr>
              <w:tab/>
            </w:r>
            <w:r>
              <w:rPr>
                <w:noProof/>
                <w:webHidden/>
              </w:rPr>
              <w:fldChar w:fldCharType="begin"/>
            </w:r>
            <w:r>
              <w:rPr>
                <w:noProof/>
                <w:webHidden/>
              </w:rPr>
              <w:instrText xml:space="preserve"> PAGEREF _Toc16271318 \h </w:instrText>
            </w:r>
            <w:r>
              <w:rPr>
                <w:noProof/>
                <w:webHidden/>
              </w:rPr>
              <w:fldChar w:fldCharType="separate"/>
            </w:r>
            <w:r w:rsidR="00FA60CB">
              <w:rPr>
                <w:noProof/>
                <w:webHidden/>
              </w:rPr>
              <w:t>2</w:t>
            </w:r>
            <w:r>
              <w:rPr>
                <w:noProof/>
                <w:webHidden/>
              </w:rPr>
              <w:fldChar w:fldCharType="end"/>
            </w:r>
          </w:hyperlink>
        </w:p>
        <w:p w:rsidR="00537A91" w14:paraId="60CE3A4D" w14:textId="77777777">
          <w:pPr>
            <w:pStyle w:val="TOC2"/>
            <w:rPr>
              <w:rFonts w:eastAsiaTheme="minorEastAsia"/>
              <w:noProof/>
              <w:color w:val="auto"/>
            </w:rPr>
          </w:pPr>
          <w:hyperlink w:anchor="_Toc16271319" w:history="1">
            <w:r w:rsidRPr="00D50FB3">
              <w:rPr>
                <w:rStyle w:val="Hyperlink"/>
                <w:noProof/>
              </w:rPr>
              <w:t>A.1. Legal Justification</w:t>
            </w:r>
            <w:r>
              <w:rPr>
                <w:noProof/>
                <w:webHidden/>
              </w:rPr>
              <w:tab/>
            </w:r>
            <w:r>
              <w:rPr>
                <w:noProof/>
                <w:webHidden/>
              </w:rPr>
              <w:fldChar w:fldCharType="begin"/>
            </w:r>
            <w:r>
              <w:rPr>
                <w:noProof/>
                <w:webHidden/>
              </w:rPr>
              <w:instrText xml:space="preserve"> PAGEREF _Toc16271319 \h </w:instrText>
            </w:r>
            <w:r>
              <w:rPr>
                <w:noProof/>
                <w:webHidden/>
              </w:rPr>
              <w:fldChar w:fldCharType="separate"/>
            </w:r>
            <w:r w:rsidR="00FA60CB">
              <w:rPr>
                <w:noProof/>
                <w:webHidden/>
              </w:rPr>
              <w:t>2</w:t>
            </w:r>
            <w:r>
              <w:rPr>
                <w:noProof/>
                <w:webHidden/>
              </w:rPr>
              <w:fldChar w:fldCharType="end"/>
            </w:r>
          </w:hyperlink>
        </w:p>
        <w:p w:rsidR="00537A91" w14:paraId="629F919C" w14:textId="77777777">
          <w:pPr>
            <w:pStyle w:val="TOC2"/>
            <w:rPr>
              <w:rFonts w:eastAsiaTheme="minorEastAsia"/>
              <w:noProof/>
              <w:color w:val="auto"/>
            </w:rPr>
          </w:pPr>
          <w:hyperlink w:anchor="_Toc16271320" w:history="1">
            <w:r w:rsidRPr="00D50FB3">
              <w:rPr>
                <w:rStyle w:val="Hyperlink"/>
                <w:noProof/>
              </w:rPr>
              <w:t>A.2. Needs and Uses of Data</w:t>
            </w:r>
            <w:r>
              <w:rPr>
                <w:noProof/>
                <w:webHidden/>
              </w:rPr>
              <w:tab/>
            </w:r>
            <w:r>
              <w:rPr>
                <w:noProof/>
                <w:webHidden/>
              </w:rPr>
              <w:fldChar w:fldCharType="begin"/>
            </w:r>
            <w:r>
              <w:rPr>
                <w:noProof/>
                <w:webHidden/>
              </w:rPr>
              <w:instrText xml:space="preserve"> PAGEREF _Toc16271320 \h </w:instrText>
            </w:r>
            <w:r>
              <w:rPr>
                <w:noProof/>
                <w:webHidden/>
              </w:rPr>
              <w:fldChar w:fldCharType="separate"/>
            </w:r>
            <w:r w:rsidR="00FA60CB">
              <w:rPr>
                <w:noProof/>
                <w:webHidden/>
              </w:rPr>
              <w:t>2</w:t>
            </w:r>
            <w:r>
              <w:rPr>
                <w:noProof/>
                <w:webHidden/>
              </w:rPr>
              <w:fldChar w:fldCharType="end"/>
            </w:r>
          </w:hyperlink>
        </w:p>
        <w:p w:rsidR="00537A91" w14:paraId="1EA1EE42" w14:textId="77777777">
          <w:pPr>
            <w:pStyle w:val="TOC2"/>
            <w:rPr>
              <w:rFonts w:eastAsiaTheme="minorEastAsia"/>
              <w:noProof/>
              <w:color w:val="auto"/>
            </w:rPr>
          </w:pPr>
          <w:hyperlink w:anchor="_Toc16271321" w:history="1">
            <w:r w:rsidRPr="00D50FB3">
              <w:rPr>
                <w:rStyle w:val="Hyperlink"/>
                <w:noProof/>
              </w:rPr>
              <w:t>A.3. Use of Technology</w:t>
            </w:r>
            <w:r>
              <w:rPr>
                <w:noProof/>
                <w:webHidden/>
              </w:rPr>
              <w:tab/>
            </w:r>
            <w:r>
              <w:rPr>
                <w:noProof/>
                <w:webHidden/>
              </w:rPr>
              <w:fldChar w:fldCharType="begin"/>
            </w:r>
            <w:r>
              <w:rPr>
                <w:noProof/>
                <w:webHidden/>
              </w:rPr>
              <w:instrText xml:space="preserve"> PAGEREF _Toc16271321 \h </w:instrText>
            </w:r>
            <w:r>
              <w:rPr>
                <w:noProof/>
                <w:webHidden/>
              </w:rPr>
              <w:fldChar w:fldCharType="separate"/>
            </w:r>
            <w:r w:rsidR="00FA60CB">
              <w:rPr>
                <w:noProof/>
                <w:webHidden/>
              </w:rPr>
              <w:t>5</w:t>
            </w:r>
            <w:r>
              <w:rPr>
                <w:noProof/>
                <w:webHidden/>
              </w:rPr>
              <w:fldChar w:fldCharType="end"/>
            </w:r>
          </w:hyperlink>
        </w:p>
        <w:p w:rsidR="00537A91" w14:paraId="453E129F" w14:textId="77777777">
          <w:pPr>
            <w:pStyle w:val="TOC2"/>
            <w:rPr>
              <w:rFonts w:eastAsiaTheme="minorEastAsia"/>
              <w:noProof/>
              <w:color w:val="auto"/>
            </w:rPr>
          </w:pPr>
          <w:hyperlink w:anchor="_Toc16271322" w:history="1">
            <w:r w:rsidRPr="00D50FB3">
              <w:rPr>
                <w:rStyle w:val="Hyperlink"/>
                <w:noProof/>
              </w:rPr>
              <w:t>A.4. Efforts to Identify Duplication</w:t>
            </w:r>
            <w:r>
              <w:rPr>
                <w:noProof/>
                <w:webHidden/>
              </w:rPr>
              <w:tab/>
            </w:r>
            <w:r>
              <w:rPr>
                <w:noProof/>
                <w:webHidden/>
              </w:rPr>
              <w:fldChar w:fldCharType="begin"/>
            </w:r>
            <w:r>
              <w:rPr>
                <w:noProof/>
                <w:webHidden/>
              </w:rPr>
              <w:instrText xml:space="preserve"> PAGEREF _Toc16271322 \h </w:instrText>
            </w:r>
            <w:r>
              <w:rPr>
                <w:noProof/>
                <w:webHidden/>
              </w:rPr>
              <w:fldChar w:fldCharType="separate"/>
            </w:r>
            <w:r w:rsidR="00FA60CB">
              <w:rPr>
                <w:noProof/>
                <w:webHidden/>
              </w:rPr>
              <w:t>5</w:t>
            </w:r>
            <w:r>
              <w:rPr>
                <w:noProof/>
                <w:webHidden/>
              </w:rPr>
              <w:fldChar w:fldCharType="end"/>
            </w:r>
          </w:hyperlink>
        </w:p>
        <w:p w:rsidR="00537A91" w14:paraId="795D43E3" w14:textId="77777777">
          <w:pPr>
            <w:pStyle w:val="TOC2"/>
            <w:rPr>
              <w:rFonts w:eastAsiaTheme="minorEastAsia"/>
              <w:noProof/>
              <w:color w:val="auto"/>
            </w:rPr>
          </w:pPr>
          <w:hyperlink w:anchor="_Toc16271323" w:history="1">
            <w:r w:rsidRPr="00D50FB3">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_Toc16271323 \h </w:instrText>
            </w:r>
            <w:r>
              <w:rPr>
                <w:noProof/>
                <w:webHidden/>
              </w:rPr>
              <w:fldChar w:fldCharType="separate"/>
            </w:r>
            <w:r w:rsidR="00FA60CB">
              <w:rPr>
                <w:noProof/>
                <w:webHidden/>
              </w:rPr>
              <w:t>6</w:t>
            </w:r>
            <w:r>
              <w:rPr>
                <w:noProof/>
                <w:webHidden/>
              </w:rPr>
              <w:fldChar w:fldCharType="end"/>
            </w:r>
          </w:hyperlink>
        </w:p>
        <w:p w:rsidR="00537A91" w14:paraId="0A024B69" w14:textId="77777777">
          <w:pPr>
            <w:pStyle w:val="TOC2"/>
            <w:rPr>
              <w:rFonts w:eastAsiaTheme="minorEastAsia"/>
              <w:noProof/>
              <w:color w:val="auto"/>
            </w:rPr>
          </w:pPr>
          <w:hyperlink w:anchor="_Toc16271324" w:history="1">
            <w:r w:rsidRPr="00D50FB3">
              <w:rPr>
                <w:rStyle w:val="Hyperlink"/>
                <w:noProof/>
              </w:rPr>
              <w:t>A.6. Consequences of Less-Frequent Reporting</w:t>
            </w:r>
            <w:r>
              <w:rPr>
                <w:noProof/>
                <w:webHidden/>
              </w:rPr>
              <w:tab/>
            </w:r>
            <w:r>
              <w:rPr>
                <w:noProof/>
                <w:webHidden/>
              </w:rPr>
              <w:fldChar w:fldCharType="begin"/>
            </w:r>
            <w:r>
              <w:rPr>
                <w:noProof/>
                <w:webHidden/>
              </w:rPr>
              <w:instrText xml:space="preserve"> PAGEREF _Toc16271324 \h </w:instrText>
            </w:r>
            <w:r>
              <w:rPr>
                <w:noProof/>
                <w:webHidden/>
              </w:rPr>
              <w:fldChar w:fldCharType="separate"/>
            </w:r>
            <w:r w:rsidR="00FA60CB">
              <w:rPr>
                <w:noProof/>
                <w:webHidden/>
              </w:rPr>
              <w:t>7</w:t>
            </w:r>
            <w:r>
              <w:rPr>
                <w:noProof/>
                <w:webHidden/>
              </w:rPr>
              <w:fldChar w:fldCharType="end"/>
            </w:r>
          </w:hyperlink>
        </w:p>
        <w:p w:rsidR="00537A91" w14:paraId="1513BD02" w14:textId="77777777">
          <w:pPr>
            <w:pStyle w:val="TOC2"/>
            <w:rPr>
              <w:rFonts w:eastAsiaTheme="minorEastAsia"/>
              <w:noProof/>
              <w:color w:val="auto"/>
            </w:rPr>
          </w:pPr>
          <w:hyperlink w:anchor="_Toc16271325" w:history="1">
            <w:r w:rsidRPr="00D50FB3">
              <w:rPr>
                <w:rStyle w:val="Hyperlink"/>
                <w:noProof/>
              </w:rPr>
              <w:t>A.7. Compliance with 5 CFR 1320.5</w:t>
            </w:r>
            <w:r>
              <w:rPr>
                <w:noProof/>
                <w:webHidden/>
              </w:rPr>
              <w:tab/>
            </w:r>
            <w:r>
              <w:rPr>
                <w:noProof/>
                <w:webHidden/>
              </w:rPr>
              <w:fldChar w:fldCharType="begin"/>
            </w:r>
            <w:r>
              <w:rPr>
                <w:noProof/>
                <w:webHidden/>
              </w:rPr>
              <w:instrText xml:space="preserve"> PAGEREF _Toc16271325 \h </w:instrText>
            </w:r>
            <w:r>
              <w:rPr>
                <w:noProof/>
                <w:webHidden/>
              </w:rPr>
              <w:fldChar w:fldCharType="separate"/>
            </w:r>
            <w:r w:rsidR="00FA60CB">
              <w:rPr>
                <w:noProof/>
                <w:webHidden/>
              </w:rPr>
              <w:t>7</w:t>
            </w:r>
            <w:r>
              <w:rPr>
                <w:noProof/>
                <w:webHidden/>
              </w:rPr>
              <w:fldChar w:fldCharType="end"/>
            </w:r>
          </w:hyperlink>
        </w:p>
        <w:p w:rsidR="00537A91" w14:paraId="3146C29B" w14:textId="77777777">
          <w:pPr>
            <w:pStyle w:val="TOC2"/>
            <w:rPr>
              <w:rFonts w:eastAsiaTheme="minorEastAsia"/>
              <w:noProof/>
              <w:color w:val="auto"/>
            </w:rPr>
          </w:pPr>
          <w:hyperlink w:anchor="_Toc16271326" w:history="1">
            <w:r w:rsidRPr="00D50FB3">
              <w:rPr>
                <w:rStyle w:val="Hyperlink"/>
                <w:noProof/>
              </w:rPr>
              <w:t>A.8. Summary of Consultations Outside of the Agency</w:t>
            </w:r>
            <w:r>
              <w:rPr>
                <w:noProof/>
                <w:webHidden/>
              </w:rPr>
              <w:tab/>
            </w:r>
            <w:r>
              <w:rPr>
                <w:noProof/>
                <w:webHidden/>
              </w:rPr>
              <w:fldChar w:fldCharType="begin"/>
            </w:r>
            <w:r>
              <w:rPr>
                <w:noProof/>
                <w:webHidden/>
              </w:rPr>
              <w:instrText xml:space="preserve"> PAGEREF _Toc16271326 \h </w:instrText>
            </w:r>
            <w:r>
              <w:rPr>
                <w:noProof/>
                <w:webHidden/>
              </w:rPr>
              <w:fldChar w:fldCharType="separate"/>
            </w:r>
            <w:r w:rsidR="00FA60CB">
              <w:rPr>
                <w:noProof/>
                <w:webHidden/>
              </w:rPr>
              <w:t>8</w:t>
            </w:r>
            <w:r>
              <w:rPr>
                <w:noProof/>
                <w:webHidden/>
              </w:rPr>
              <w:fldChar w:fldCharType="end"/>
            </w:r>
          </w:hyperlink>
        </w:p>
        <w:p w:rsidR="00537A91" w14:paraId="02A475BA" w14:textId="77777777">
          <w:pPr>
            <w:pStyle w:val="TOC2"/>
            <w:rPr>
              <w:rFonts w:eastAsiaTheme="minorEastAsia"/>
              <w:noProof/>
              <w:color w:val="auto"/>
            </w:rPr>
          </w:pPr>
          <w:hyperlink w:anchor="_Toc16271327" w:history="1">
            <w:r w:rsidRPr="00D50FB3">
              <w:rPr>
                <w:rStyle w:val="Hyperlink"/>
                <w:noProof/>
              </w:rPr>
              <w:t>A.9. Payments or Gifts to Respondents</w:t>
            </w:r>
            <w:r>
              <w:rPr>
                <w:noProof/>
                <w:webHidden/>
              </w:rPr>
              <w:tab/>
            </w:r>
            <w:r>
              <w:rPr>
                <w:noProof/>
                <w:webHidden/>
              </w:rPr>
              <w:fldChar w:fldCharType="begin"/>
            </w:r>
            <w:r>
              <w:rPr>
                <w:noProof/>
                <w:webHidden/>
              </w:rPr>
              <w:instrText xml:space="preserve"> PAGEREF _Toc16271327 \h </w:instrText>
            </w:r>
            <w:r>
              <w:rPr>
                <w:noProof/>
                <w:webHidden/>
              </w:rPr>
              <w:fldChar w:fldCharType="separate"/>
            </w:r>
            <w:r w:rsidR="00FA60CB">
              <w:rPr>
                <w:noProof/>
                <w:webHidden/>
              </w:rPr>
              <w:t>9</w:t>
            </w:r>
            <w:r>
              <w:rPr>
                <w:noProof/>
                <w:webHidden/>
              </w:rPr>
              <w:fldChar w:fldCharType="end"/>
            </w:r>
          </w:hyperlink>
        </w:p>
        <w:p w:rsidR="00537A91" w14:paraId="7A4503A2" w14:textId="77777777">
          <w:pPr>
            <w:pStyle w:val="TOC2"/>
            <w:rPr>
              <w:rFonts w:eastAsiaTheme="minorEastAsia"/>
              <w:noProof/>
              <w:color w:val="auto"/>
            </w:rPr>
          </w:pPr>
          <w:hyperlink w:anchor="_Toc16271328" w:history="1">
            <w:r w:rsidRPr="00D50FB3">
              <w:rPr>
                <w:rStyle w:val="Hyperlink"/>
                <w:noProof/>
              </w:rPr>
              <w:t>A.10. Provisions for Protection of Information</w:t>
            </w:r>
            <w:r>
              <w:rPr>
                <w:noProof/>
                <w:webHidden/>
              </w:rPr>
              <w:tab/>
            </w:r>
            <w:r>
              <w:rPr>
                <w:noProof/>
                <w:webHidden/>
              </w:rPr>
              <w:fldChar w:fldCharType="begin"/>
            </w:r>
            <w:r>
              <w:rPr>
                <w:noProof/>
                <w:webHidden/>
              </w:rPr>
              <w:instrText xml:space="preserve"> PAGEREF _Toc16271328 \h </w:instrText>
            </w:r>
            <w:r>
              <w:rPr>
                <w:noProof/>
                <w:webHidden/>
              </w:rPr>
              <w:fldChar w:fldCharType="separate"/>
            </w:r>
            <w:r w:rsidR="00FA60CB">
              <w:rPr>
                <w:noProof/>
                <w:webHidden/>
              </w:rPr>
              <w:t>10</w:t>
            </w:r>
            <w:r>
              <w:rPr>
                <w:noProof/>
                <w:webHidden/>
              </w:rPr>
              <w:fldChar w:fldCharType="end"/>
            </w:r>
          </w:hyperlink>
        </w:p>
        <w:p w:rsidR="00537A91" w14:paraId="44A95E5B" w14:textId="77777777">
          <w:pPr>
            <w:pStyle w:val="TOC2"/>
            <w:rPr>
              <w:rFonts w:eastAsiaTheme="minorEastAsia"/>
              <w:noProof/>
              <w:color w:val="auto"/>
            </w:rPr>
          </w:pPr>
          <w:hyperlink w:anchor="_Toc16271329" w:history="1">
            <w:r w:rsidRPr="00D50FB3">
              <w:rPr>
                <w:rStyle w:val="Hyperlink"/>
                <w:noProof/>
              </w:rPr>
              <w:t>A.11. Justification for Sensitive Questions</w:t>
            </w:r>
            <w:r>
              <w:rPr>
                <w:noProof/>
                <w:webHidden/>
              </w:rPr>
              <w:tab/>
            </w:r>
            <w:r>
              <w:rPr>
                <w:noProof/>
                <w:webHidden/>
              </w:rPr>
              <w:fldChar w:fldCharType="begin"/>
            </w:r>
            <w:r>
              <w:rPr>
                <w:noProof/>
                <w:webHidden/>
              </w:rPr>
              <w:instrText xml:space="preserve"> PAGEREF _Toc16271329 \h </w:instrText>
            </w:r>
            <w:r>
              <w:rPr>
                <w:noProof/>
                <w:webHidden/>
              </w:rPr>
              <w:fldChar w:fldCharType="separate"/>
            </w:r>
            <w:r w:rsidR="00FA60CB">
              <w:rPr>
                <w:noProof/>
                <w:webHidden/>
              </w:rPr>
              <w:t>11</w:t>
            </w:r>
            <w:r>
              <w:rPr>
                <w:noProof/>
                <w:webHidden/>
              </w:rPr>
              <w:fldChar w:fldCharType="end"/>
            </w:r>
          </w:hyperlink>
        </w:p>
        <w:p w:rsidR="00537A91" w14:paraId="3095A73F" w14:textId="77777777">
          <w:pPr>
            <w:pStyle w:val="TOC2"/>
            <w:rPr>
              <w:rFonts w:eastAsiaTheme="minorEastAsia"/>
              <w:noProof/>
              <w:color w:val="auto"/>
            </w:rPr>
          </w:pPr>
          <w:hyperlink w:anchor="_Toc16271330" w:history="1">
            <w:r w:rsidRPr="00D50FB3">
              <w:rPr>
                <w:rStyle w:val="Hyperlink"/>
                <w:noProof/>
              </w:rPr>
              <w:t>A.12A. Estimate of Respondent Burden Hours</w:t>
            </w:r>
            <w:r>
              <w:rPr>
                <w:noProof/>
                <w:webHidden/>
              </w:rPr>
              <w:tab/>
            </w:r>
            <w:r>
              <w:rPr>
                <w:noProof/>
                <w:webHidden/>
              </w:rPr>
              <w:fldChar w:fldCharType="begin"/>
            </w:r>
            <w:r>
              <w:rPr>
                <w:noProof/>
                <w:webHidden/>
              </w:rPr>
              <w:instrText xml:space="preserve"> PAGEREF _Toc16271330 \h </w:instrText>
            </w:r>
            <w:r>
              <w:rPr>
                <w:noProof/>
                <w:webHidden/>
              </w:rPr>
              <w:fldChar w:fldCharType="separate"/>
            </w:r>
            <w:r w:rsidR="00FA60CB">
              <w:rPr>
                <w:noProof/>
                <w:webHidden/>
              </w:rPr>
              <w:t>11</w:t>
            </w:r>
            <w:r>
              <w:rPr>
                <w:noProof/>
                <w:webHidden/>
              </w:rPr>
              <w:fldChar w:fldCharType="end"/>
            </w:r>
          </w:hyperlink>
        </w:p>
        <w:p w:rsidR="00537A91" w14:paraId="783DDBB9" w14:textId="77777777">
          <w:pPr>
            <w:pStyle w:val="TOC2"/>
            <w:rPr>
              <w:rFonts w:eastAsiaTheme="minorEastAsia"/>
              <w:noProof/>
              <w:color w:val="auto"/>
            </w:rPr>
          </w:pPr>
          <w:hyperlink w:anchor="_Toc16271331" w:history="1">
            <w:r w:rsidRPr="00D50FB3">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_Toc16271331 \h </w:instrText>
            </w:r>
            <w:r>
              <w:rPr>
                <w:noProof/>
                <w:webHidden/>
              </w:rPr>
              <w:fldChar w:fldCharType="separate"/>
            </w:r>
            <w:r w:rsidR="00FA60CB">
              <w:rPr>
                <w:noProof/>
                <w:webHidden/>
              </w:rPr>
              <w:t>13</w:t>
            </w:r>
            <w:r>
              <w:rPr>
                <w:noProof/>
                <w:webHidden/>
              </w:rPr>
              <w:fldChar w:fldCharType="end"/>
            </w:r>
          </w:hyperlink>
        </w:p>
        <w:p w:rsidR="00537A91" w14:paraId="78233F1D" w14:textId="77777777">
          <w:pPr>
            <w:pStyle w:val="TOC2"/>
            <w:rPr>
              <w:rFonts w:eastAsiaTheme="minorEastAsia"/>
              <w:noProof/>
              <w:color w:val="auto"/>
            </w:rPr>
          </w:pPr>
          <w:hyperlink w:anchor="_Toc16271332" w:history="1">
            <w:r w:rsidRPr="00D50FB3">
              <w:rPr>
                <w:rStyle w:val="Hyperlink"/>
                <w:noProof/>
              </w:rPr>
              <w:t>A.13. Other Estimated Annual Cost to Respondents</w:t>
            </w:r>
            <w:r>
              <w:rPr>
                <w:noProof/>
                <w:webHidden/>
              </w:rPr>
              <w:tab/>
            </w:r>
            <w:r>
              <w:rPr>
                <w:noProof/>
                <w:webHidden/>
              </w:rPr>
              <w:fldChar w:fldCharType="begin"/>
            </w:r>
            <w:r>
              <w:rPr>
                <w:noProof/>
                <w:webHidden/>
              </w:rPr>
              <w:instrText xml:space="preserve"> PAGEREF _Toc16271332 \h </w:instrText>
            </w:r>
            <w:r>
              <w:rPr>
                <w:noProof/>
                <w:webHidden/>
              </w:rPr>
              <w:fldChar w:fldCharType="separate"/>
            </w:r>
            <w:r w:rsidR="00FA60CB">
              <w:rPr>
                <w:noProof/>
                <w:webHidden/>
              </w:rPr>
              <w:t>14</w:t>
            </w:r>
            <w:r>
              <w:rPr>
                <w:noProof/>
                <w:webHidden/>
              </w:rPr>
              <w:fldChar w:fldCharType="end"/>
            </w:r>
          </w:hyperlink>
        </w:p>
        <w:p w:rsidR="00537A91" w14:paraId="7B3945ED" w14:textId="77777777">
          <w:pPr>
            <w:pStyle w:val="TOC2"/>
            <w:rPr>
              <w:rFonts w:eastAsiaTheme="minorEastAsia"/>
              <w:noProof/>
              <w:color w:val="auto"/>
            </w:rPr>
          </w:pPr>
          <w:hyperlink w:anchor="_Toc16271333" w:history="1">
            <w:r w:rsidRPr="00D50FB3">
              <w:rPr>
                <w:rStyle w:val="Hyperlink"/>
                <w:noProof/>
              </w:rPr>
              <w:t>A.14. Annual Cost to the Federal Government</w:t>
            </w:r>
            <w:r>
              <w:rPr>
                <w:noProof/>
                <w:webHidden/>
              </w:rPr>
              <w:tab/>
            </w:r>
            <w:r>
              <w:rPr>
                <w:noProof/>
                <w:webHidden/>
              </w:rPr>
              <w:fldChar w:fldCharType="begin"/>
            </w:r>
            <w:r>
              <w:rPr>
                <w:noProof/>
                <w:webHidden/>
              </w:rPr>
              <w:instrText xml:space="preserve"> PAGEREF _Toc16271333 \h </w:instrText>
            </w:r>
            <w:r>
              <w:rPr>
                <w:noProof/>
                <w:webHidden/>
              </w:rPr>
              <w:fldChar w:fldCharType="separate"/>
            </w:r>
            <w:r w:rsidR="00FA60CB">
              <w:rPr>
                <w:noProof/>
                <w:webHidden/>
              </w:rPr>
              <w:t>14</w:t>
            </w:r>
            <w:r>
              <w:rPr>
                <w:noProof/>
                <w:webHidden/>
              </w:rPr>
              <w:fldChar w:fldCharType="end"/>
            </w:r>
          </w:hyperlink>
        </w:p>
        <w:p w:rsidR="00537A91" w14:paraId="5F3C81D1" w14:textId="77777777">
          <w:pPr>
            <w:pStyle w:val="TOC2"/>
            <w:rPr>
              <w:rFonts w:eastAsiaTheme="minorEastAsia"/>
              <w:noProof/>
              <w:color w:val="auto"/>
            </w:rPr>
          </w:pPr>
          <w:hyperlink w:anchor="_Toc16271334" w:history="1">
            <w:r w:rsidRPr="00D50FB3">
              <w:rPr>
                <w:rStyle w:val="Hyperlink"/>
                <w:noProof/>
              </w:rPr>
              <w:t>A.15. Reasons for Changes in Burden</w:t>
            </w:r>
            <w:r>
              <w:rPr>
                <w:noProof/>
                <w:webHidden/>
              </w:rPr>
              <w:tab/>
            </w:r>
            <w:r>
              <w:rPr>
                <w:noProof/>
                <w:webHidden/>
              </w:rPr>
              <w:fldChar w:fldCharType="begin"/>
            </w:r>
            <w:r>
              <w:rPr>
                <w:noProof/>
                <w:webHidden/>
              </w:rPr>
              <w:instrText xml:space="preserve"> PAGEREF _Toc16271334 \h </w:instrText>
            </w:r>
            <w:r>
              <w:rPr>
                <w:noProof/>
                <w:webHidden/>
              </w:rPr>
              <w:fldChar w:fldCharType="separate"/>
            </w:r>
            <w:r w:rsidR="00FA60CB">
              <w:rPr>
                <w:noProof/>
                <w:webHidden/>
              </w:rPr>
              <w:t>15</w:t>
            </w:r>
            <w:r>
              <w:rPr>
                <w:noProof/>
                <w:webHidden/>
              </w:rPr>
              <w:fldChar w:fldCharType="end"/>
            </w:r>
          </w:hyperlink>
        </w:p>
        <w:p w:rsidR="00537A91" w14:paraId="2F4D1E58" w14:textId="77777777">
          <w:pPr>
            <w:pStyle w:val="TOC2"/>
            <w:rPr>
              <w:rFonts w:eastAsiaTheme="minorEastAsia"/>
              <w:noProof/>
              <w:color w:val="auto"/>
            </w:rPr>
          </w:pPr>
          <w:hyperlink w:anchor="_Toc16271335" w:history="1">
            <w:r w:rsidRPr="00D50FB3">
              <w:rPr>
                <w:rStyle w:val="Hyperlink"/>
                <w:noProof/>
              </w:rPr>
              <w:t>A.16. Collection, Tabulation, and Publication Plans</w:t>
            </w:r>
            <w:r>
              <w:rPr>
                <w:noProof/>
                <w:webHidden/>
              </w:rPr>
              <w:tab/>
            </w:r>
            <w:r>
              <w:rPr>
                <w:noProof/>
                <w:webHidden/>
              </w:rPr>
              <w:fldChar w:fldCharType="begin"/>
            </w:r>
            <w:r>
              <w:rPr>
                <w:noProof/>
                <w:webHidden/>
              </w:rPr>
              <w:instrText xml:space="preserve"> PAGEREF _Toc16271335 \h </w:instrText>
            </w:r>
            <w:r>
              <w:rPr>
                <w:noProof/>
                <w:webHidden/>
              </w:rPr>
              <w:fldChar w:fldCharType="separate"/>
            </w:r>
            <w:r w:rsidR="00FA60CB">
              <w:rPr>
                <w:noProof/>
                <w:webHidden/>
              </w:rPr>
              <w:t>15</w:t>
            </w:r>
            <w:r>
              <w:rPr>
                <w:noProof/>
                <w:webHidden/>
              </w:rPr>
              <w:fldChar w:fldCharType="end"/>
            </w:r>
          </w:hyperlink>
        </w:p>
        <w:p w:rsidR="00537A91" w14:paraId="3C91F3A1" w14:textId="77777777">
          <w:pPr>
            <w:pStyle w:val="TOC2"/>
            <w:rPr>
              <w:rFonts w:eastAsiaTheme="minorEastAsia"/>
              <w:noProof/>
              <w:color w:val="auto"/>
            </w:rPr>
          </w:pPr>
          <w:hyperlink w:anchor="_Toc16271336" w:history="1">
            <w:r w:rsidRPr="00D50FB3">
              <w:rPr>
                <w:rStyle w:val="Hyperlink"/>
                <w:noProof/>
              </w:rPr>
              <w:t>A.17. OMB Number and Expiration Date</w:t>
            </w:r>
            <w:r>
              <w:rPr>
                <w:noProof/>
                <w:webHidden/>
              </w:rPr>
              <w:tab/>
            </w:r>
            <w:r>
              <w:rPr>
                <w:noProof/>
                <w:webHidden/>
              </w:rPr>
              <w:fldChar w:fldCharType="begin"/>
            </w:r>
            <w:r>
              <w:rPr>
                <w:noProof/>
                <w:webHidden/>
              </w:rPr>
              <w:instrText xml:space="preserve"> PAGEREF _Toc16271336 \h </w:instrText>
            </w:r>
            <w:r>
              <w:rPr>
                <w:noProof/>
                <w:webHidden/>
              </w:rPr>
              <w:fldChar w:fldCharType="separate"/>
            </w:r>
            <w:r w:rsidR="00FA60CB">
              <w:rPr>
                <w:noProof/>
                <w:webHidden/>
              </w:rPr>
              <w:t>17</w:t>
            </w:r>
            <w:r>
              <w:rPr>
                <w:noProof/>
                <w:webHidden/>
              </w:rPr>
              <w:fldChar w:fldCharType="end"/>
            </w:r>
          </w:hyperlink>
        </w:p>
        <w:p w:rsidR="00537A91" w14:paraId="463C4346" w14:textId="77777777">
          <w:pPr>
            <w:pStyle w:val="TOC2"/>
            <w:rPr>
              <w:rFonts w:eastAsiaTheme="minorEastAsia"/>
              <w:noProof/>
              <w:color w:val="auto"/>
            </w:rPr>
          </w:pPr>
          <w:hyperlink w:anchor="_Toc16271337" w:history="1">
            <w:r w:rsidRPr="00D50FB3">
              <w:rPr>
                <w:rStyle w:val="Hyperlink"/>
                <w:noProof/>
              </w:rPr>
              <w:t>A.18. Certification Statement</w:t>
            </w:r>
            <w:r>
              <w:rPr>
                <w:noProof/>
                <w:webHidden/>
              </w:rPr>
              <w:tab/>
            </w:r>
            <w:r>
              <w:rPr>
                <w:noProof/>
                <w:webHidden/>
              </w:rPr>
              <w:fldChar w:fldCharType="begin"/>
            </w:r>
            <w:r>
              <w:rPr>
                <w:noProof/>
                <w:webHidden/>
              </w:rPr>
              <w:instrText xml:space="preserve"> PAGEREF _Toc16271337 \h </w:instrText>
            </w:r>
            <w:r>
              <w:rPr>
                <w:noProof/>
                <w:webHidden/>
              </w:rPr>
              <w:fldChar w:fldCharType="separate"/>
            </w:r>
            <w:r w:rsidR="00FA60CB">
              <w:rPr>
                <w:noProof/>
                <w:webHidden/>
              </w:rPr>
              <w:t>17</w:t>
            </w:r>
            <w:r>
              <w:rPr>
                <w:noProof/>
                <w:webHidden/>
              </w:rPr>
              <w:fldChar w:fldCharType="end"/>
            </w:r>
          </w:hyperlink>
        </w:p>
        <w:p w:rsidR="0059212D" w14:paraId="10EDC1D4" w14:textId="77777777">
          <w:r>
            <w:rPr>
              <w:b/>
              <w:bCs/>
              <w:noProof/>
            </w:rPr>
            <w:fldChar w:fldCharType="end"/>
          </w:r>
        </w:p>
      </w:sdtContent>
    </w:sdt>
    <w:p w:rsidR="001F3A8F" w:rsidP="00D928FD" w14:paraId="0C319CFD" w14:textId="77777777"/>
    <w:p w:rsidR="00D928FD" w:rsidP="00D928FD" w14:paraId="66604783" w14:textId="77777777">
      <w:pPr>
        <w:sectPr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16A44FDF" w14:textId="77777777">
      <w:pPr>
        <w:spacing w:line="240" w:lineRule="auto"/>
      </w:pPr>
    </w:p>
    <w:p w:rsidR="00933D5D" w:rsidP="00933D5D" w14:paraId="3898EB57" w14:textId="77777777">
      <w:pPr>
        <w:tabs>
          <w:tab w:val="left" w:pos="7365"/>
        </w:tabs>
      </w:pPr>
      <w:r>
        <w:tab/>
      </w:r>
    </w:p>
    <w:p w:rsidR="00041909" w:rsidRPr="00933D5D" w:rsidP="00933D5D" w14:paraId="5D892D77" w14:textId="77777777">
      <w:pPr>
        <w:tabs>
          <w:tab w:val="left" w:pos="7365"/>
        </w:tabs>
        <w:sectPr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3C74CA" w14:paraId="72A2054B" w14:textId="77777777">
      <w:pPr>
        <w:pStyle w:val="Heading2"/>
      </w:pPr>
      <w:bookmarkStart w:id="1" w:name="_Toc16271318"/>
      <w:r>
        <w:t>Introdu</w:t>
      </w:r>
      <w:r w:rsidR="00844524">
        <w:t>ction</w:t>
      </w:r>
      <w:bookmarkEnd w:id="1"/>
    </w:p>
    <w:p w:rsidR="006D42EC" w:rsidRPr="006D42EC" w:rsidP="5600491A" w14:paraId="4CB210FF" w14:textId="77777777">
      <w:pPr>
        <w:rPr>
          <w:b/>
          <w:bCs/>
        </w:rPr>
      </w:pPr>
      <w:r w:rsidRPr="5600491A">
        <w:rPr>
          <w:b/>
          <w:bCs/>
        </w:rPr>
        <w:t>Provide a brief introduction of the Information Collection Request.  Include the purpose of this collection, note the publication of the 60-Day Federal Register Notice, and provide the list of forms within this collection.</w:t>
      </w:r>
    </w:p>
    <w:p w:rsidR="00A04C11" w:rsidP="00A04C11" w14:paraId="6642DF20" w14:textId="77777777">
      <w:r>
        <w:t>The Science Undergraduate Laboratory Internships (SULI) program is a federally-funded research internship that encourages undergraduate students and recent graduates to pursue science, technology, engineering, and mathematics (STEM) careers by providing research experiences at the Department of Energy (DOE) laboratories. Selected students participate as interns appointed at one of 17 participating DOE laboratories/facilities. They perform research under the guidance of laboratory staff scientists or engineers on projects supporting the DOE mission. The SULI program is sponsored and managed by the DOE Office of Science, Office of Workforce Development for Teachers and Scientists (WDTS) in collaboration with the DOE laboratories/facilities.</w:t>
      </w:r>
    </w:p>
    <w:p w:rsidR="00A04C11" w:rsidP="00A04C11" w14:paraId="2E76BC52" w14:textId="77777777">
      <w:r>
        <w:t xml:space="preserve">This study is a long-term follow-up evaluation of the SULI program conducted by Oak Ridge Institute for Science and Education (ORISE) on behalf of DOE/WTDS. The purpose of the study is to answer key questions about the long-term impact of SULI on participants and to ensure that the study’s rigor and the information it provides will be comparable to national peer programs or studies, such as those conducted by the National Science Foundation (NSF). </w:t>
      </w:r>
    </w:p>
    <w:p w:rsidR="00A41763" w:rsidP="00A04C11" w14:paraId="1C236CA2" w14:textId="77777777">
      <w:r>
        <w:t>Post-program surveys from SULI and other DOE WDTS-programs have consistently measured the immediate gains in knowledge and skills, as well as satisfaction with the experience. However, a well-designed longitudinal and long-term follow-up study of SULI cohorts through their career trajectory is needed to document long-term outcomes and valuable avenues for program development through continuous improvement.</w:t>
      </w:r>
    </w:p>
    <w:p w:rsidR="00C44599" w:rsidP="00C44599" w14:paraId="160B4A56" w14:textId="77777777">
      <w:r>
        <w:t>The collection instruments that will be used are DOE F 413.42 for alumni of the SULI program and DOE F 413.43 for the comparison cohort (non-participants in the SULI program), which are included as part of the Information Collection Request Package.</w:t>
      </w:r>
    </w:p>
    <w:p w:rsidR="008C734C" w:rsidP="003C74CA" w14:paraId="4A2F83A8" w14:textId="77777777">
      <w:pPr>
        <w:pStyle w:val="Heading2"/>
      </w:pPr>
      <w:bookmarkStart w:id="2" w:name="_Toc16271319"/>
      <w:r>
        <w:t>A.1. Legal Justification</w:t>
      </w:r>
      <w:bookmarkEnd w:id="2"/>
    </w:p>
    <w:p w:rsidR="00A41763" w:rsidRPr="00A41763" w:rsidP="2E6E1780" w14:paraId="1BDAA9A3" w14:textId="77777777">
      <w:pPr>
        <w:rPr>
          <w:b/>
          <w:bCs/>
        </w:rPr>
      </w:pPr>
      <w:r w:rsidRPr="2E6E1780">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5600491A" w:rsidP="3977CD1B" w14:paraId="2EAA9161" w14:textId="77777777">
      <w:pPr>
        <w:rPr>
          <w:rFonts w:eastAsiaTheme="minorEastAsia"/>
        </w:rPr>
      </w:pPr>
      <w:bookmarkStart w:id="3" w:name="_Toc16271320"/>
      <w:r w:rsidRPr="2E6E1780">
        <w:rPr>
          <w:rFonts w:eastAsiaTheme="minorEastAsia"/>
        </w:rPr>
        <w:t xml:space="preserve">This </w:t>
      </w:r>
      <w:r w:rsidRPr="2E6E1780" w:rsidR="3F05311D">
        <w:rPr>
          <w:rFonts w:eastAsiaTheme="minorEastAsia"/>
        </w:rPr>
        <w:t xml:space="preserve">evaluation </w:t>
      </w:r>
      <w:r w:rsidRPr="2E6E1780">
        <w:rPr>
          <w:rFonts w:eastAsiaTheme="minorEastAsia"/>
        </w:rPr>
        <w:t xml:space="preserve">study will </w:t>
      </w:r>
      <w:r w:rsidRPr="2E6E1780" w:rsidR="067784BC">
        <w:rPr>
          <w:rFonts w:eastAsiaTheme="minorEastAsia"/>
        </w:rPr>
        <w:t>answer questions concerning long-term impact on</w:t>
      </w:r>
      <w:r w:rsidRPr="2E6E1780" w:rsidR="5216894D">
        <w:rPr>
          <w:rFonts w:eastAsiaTheme="minorEastAsia"/>
        </w:rPr>
        <w:t xml:space="preserve"> SULI</w:t>
      </w:r>
      <w:r w:rsidRPr="2E6E1780" w:rsidR="067784BC">
        <w:rPr>
          <w:rFonts w:eastAsiaTheme="minorEastAsia"/>
        </w:rPr>
        <w:t xml:space="preserve"> </w:t>
      </w:r>
      <w:r w:rsidRPr="2E6E1780" w:rsidR="581FD518">
        <w:rPr>
          <w:rFonts w:eastAsiaTheme="minorEastAsia"/>
        </w:rPr>
        <w:t>participants</w:t>
      </w:r>
      <w:r w:rsidRPr="2E6E1780" w:rsidR="6BED33D2">
        <w:rPr>
          <w:rFonts w:eastAsiaTheme="minorEastAsia"/>
        </w:rPr>
        <w:t xml:space="preserve"> as </w:t>
      </w:r>
      <w:r w:rsidRPr="2E6E1780" w:rsidR="581FD518">
        <w:rPr>
          <w:rFonts w:eastAsiaTheme="minorEastAsia"/>
        </w:rPr>
        <w:t>compared</w:t>
      </w:r>
      <w:r w:rsidRPr="2E6E1780" w:rsidR="6BED33D2">
        <w:rPr>
          <w:rFonts w:eastAsiaTheme="minorEastAsia"/>
        </w:rPr>
        <w:t xml:space="preserve"> to </w:t>
      </w:r>
      <w:r w:rsidRPr="2E6E1780" w:rsidR="22446347">
        <w:rPr>
          <w:rFonts w:eastAsiaTheme="minorEastAsia"/>
        </w:rPr>
        <w:t xml:space="preserve">their </w:t>
      </w:r>
      <w:r w:rsidRPr="2E6E1780" w:rsidR="6BED33D2">
        <w:rPr>
          <w:rFonts w:eastAsiaTheme="minorEastAsia"/>
        </w:rPr>
        <w:t>peer</w:t>
      </w:r>
      <w:r w:rsidRPr="2E6E1780" w:rsidR="33DE50BB">
        <w:rPr>
          <w:rFonts w:eastAsiaTheme="minorEastAsia"/>
        </w:rPr>
        <w:t>s</w:t>
      </w:r>
      <w:r w:rsidRPr="2E6E1780" w:rsidR="658E0F60">
        <w:rPr>
          <w:rFonts w:eastAsiaTheme="minorEastAsia"/>
        </w:rPr>
        <w:t xml:space="preserve"> who did not participate in the SULI program.</w:t>
      </w:r>
      <w:r w:rsidRPr="2E6E1780" w:rsidR="48D87A74">
        <w:rPr>
          <w:rFonts w:eastAsiaTheme="minorEastAsia"/>
        </w:rPr>
        <w:t xml:space="preserve"> </w:t>
      </w:r>
      <w:r w:rsidRPr="2E6E1780" w:rsidR="7E6CE7E1">
        <w:rPr>
          <w:rFonts w:eastAsiaTheme="minorEastAsia"/>
        </w:rPr>
        <w:t xml:space="preserve">SULI is a mentoring program </w:t>
      </w:r>
      <w:r w:rsidRPr="2E6E1780" w:rsidR="063B7811">
        <w:rPr>
          <w:rFonts w:eastAsiaTheme="minorEastAsia"/>
        </w:rPr>
        <w:t xml:space="preserve">established </w:t>
      </w:r>
      <w:r w:rsidRPr="2E6E1780" w:rsidR="7E6CE7E1">
        <w:rPr>
          <w:rFonts w:eastAsiaTheme="minorEastAsia"/>
        </w:rPr>
        <w:t>pursuant to 42 U.S. Code</w:t>
      </w:r>
      <w:r w:rsidRPr="2E6E1780" w:rsidR="43F59595">
        <w:rPr>
          <w:rFonts w:eastAsiaTheme="minorEastAsia"/>
        </w:rPr>
        <w:t>,</w:t>
      </w:r>
      <w:r w:rsidRPr="2E6E1780" w:rsidR="7E6CE7E1">
        <w:rPr>
          <w:rFonts w:eastAsiaTheme="minorEastAsia"/>
        </w:rPr>
        <w:t xml:space="preserve"> </w:t>
      </w:r>
      <w:r w:rsidRPr="2E6E1780" w:rsidR="02C53FD9">
        <w:rPr>
          <w:rFonts w:eastAsiaTheme="minorEastAsia"/>
        </w:rPr>
        <w:t>S</w:t>
      </w:r>
      <w:r w:rsidRPr="2E6E1780" w:rsidR="7E6CE7E1">
        <w:rPr>
          <w:rFonts w:eastAsiaTheme="minorEastAsia"/>
        </w:rPr>
        <w:t>ubchapter XIII</w:t>
      </w:r>
      <w:r w:rsidRPr="2E6E1780" w:rsidR="70AE005B">
        <w:rPr>
          <w:rFonts w:eastAsiaTheme="minorEastAsia"/>
        </w:rPr>
        <w:t>, §7381</w:t>
      </w:r>
      <w:r w:rsidRPr="2E6E1780" w:rsidR="629DBE16">
        <w:rPr>
          <w:rFonts w:eastAsiaTheme="minorEastAsia"/>
        </w:rPr>
        <w:t xml:space="preserve">r, </w:t>
      </w:r>
      <w:r w:rsidRPr="2E6E1780" w:rsidR="1A671347">
        <w:rPr>
          <w:rFonts w:eastAsiaTheme="minorEastAsia"/>
        </w:rPr>
        <w:t>S</w:t>
      </w:r>
      <w:r w:rsidRPr="2E6E1780" w:rsidR="7DC1C2E3">
        <w:rPr>
          <w:rFonts w:eastAsiaTheme="minorEastAsia"/>
        </w:rPr>
        <w:t xml:space="preserve">ubsection </w:t>
      </w:r>
      <w:r w:rsidRPr="2E6E1780" w:rsidR="5BA54BF0">
        <w:rPr>
          <w:rFonts w:eastAsiaTheme="minorEastAsia"/>
        </w:rPr>
        <w:t>(a),</w:t>
      </w:r>
      <w:r w:rsidRPr="2E6E1780" w:rsidR="46C8683A">
        <w:rPr>
          <w:rFonts w:eastAsiaTheme="minorEastAsia"/>
        </w:rPr>
        <w:t xml:space="preserve"> (“</w:t>
      </w:r>
      <w:r w:rsidRPr="2E6E1780" w:rsidR="46C8683A">
        <w:rPr>
          <w:rFonts w:eastAsiaTheme="minorEastAsia"/>
          <w:color w:val="000000" w:themeColor="text1"/>
        </w:rPr>
        <w:t>Department of Energy Science Education Enhancement Act</w:t>
      </w:r>
      <w:r w:rsidRPr="2E6E1780" w:rsidR="1B512586">
        <w:rPr>
          <w:rFonts w:eastAsiaTheme="minorEastAsia"/>
          <w:color w:val="000000" w:themeColor="text1"/>
        </w:rPr>
        <w:t xml:space="preserve"> of 1991</w:t>
      </w:r>
      <w:r w:rsidRPr="2E6E1780" w:rsidR="46C8683A">
        <w:rPr>
          <w:rFonts w:eastAsiaTheme="minorEastAsia"/>
          <w:color w:val="000000" w:themeColor="text1"/>
        </w:rPr>
        <w:t>”</w:t>
      </w:r>
      <w:r w:rsidRPr="2E6E1780" w:rsidR="5E8329F6">
        <w:rPr>
          <w:rFonts w:eastAsiaTheme="minorEastAsia"/>
          <w:color w:val="000000" w:themeColor="text1"/>
        </w:rPr>
        <w:t xml:space="preserve"> - Public Law 101-510</w:t>
      </w:r>
      <w:r w:rsidRPr="2E6E1780" w:rsidR="46C8683A">
        <w:rPr>
          <w:rFonts w:eastAsiaTheme="minorEastAsia"/>
          <w:color w:val="000000" w:themeColor="text1"/>
        </w:rPr>
        <w:t>)</w:t>
      </w:r>
      <w:r w:rsidRPr="2E6E1780" w:rsidR="009728F6">
        <w:rPr>
          <w:rFonts w:eastAsiaTheme="minorEastAsia"/>
          <w:color w:val="000000" w:themeColor="text1"/>
        </w:rPr>
        <w:t xml:space="preserve">, </w:t>
      </w:r>
      <w:r w:rsidRPr="2E6E1780" w:rsidR="629DBE16">
        <w:rPr>
          <w:rFonts w:eastAsiaTheme="minorEastAsia"/>
        </w:rPr>
        <w:t xml:space="preserve">which </w:t>
      </w:r>
      <w:r w:rsidRPr="2E6E1780" w:rsidR="325695D8">
        <w:rPr>
          <w:rFonts w:eastAsiaTheme="minorEastAsia"/>
        </w:rPr>
        <w:t>requires the</w:t>
      </w:r>
      <w:r w:rsidRPr="2E6E1780" w:rsidR="7C488DC9">
        <w:rPr>
          <w:rFonts w:eastAsiaTheme="minorEastAsia"/>
        </w:rPr>
        <w:t xml:space="preserve"> creation</w:t>
      </w:r>
      <w:r w:rsidRPr="2E6E1780" w:rsidR="325695D8">
        <w:rPr>
          <w:rFonts w:eastAsiaTheme="minorEastAsia"/>
        </w:rPr>
        <w:t xml:space="preserve"> </w:t>
      </w:r>
      <w:r w:rsidRPr="2E6E1780" w:rsidR="5930F02F">
        <w:rPr>
          <w:rFonts w:eastAsiaTheme="minorEastAsia"/>
        </w:rPr>
        <w:t xml:space="preserve">of </w:t>
      </w:r>
      <w:r w:rsidRPr="2E6E1780" w:rsidR="2FD61AB2">
        <w:rPr>
          <w:rFonts w:eastAsiaTheme="minorEastAsia"/>
        </w:rPr>
        <w:t>program</w:t>
      </w:r>
      <w:r w:rsidRPr="2E6E1780" w:rsidR="5233685F">
        <w:rPr>
          <w:rFonts w:eastAsiaTheme="minorEastAsia"/>
        </w:rPr>
        <w:t>s</w:t>
      </w:r>
      <w:r w:rsidRPr="2E6E1780" w:rsidR="2FD61AB2">
        <w:rPr>
          <w:rFonts w:eastAsiaTheme="minorEastAsia"/>
        </w:rPr>
        <w:t xml:space="preserve"> to recruit and provide mentors for </w:t>
      </w:r>
      <w:r w:rsidRPr="2E6E1780" w:rsidR="1E5E9048">
        <w:rPr>
          <w:rFonts w:eastAsiaTheme="minorEastAsia"/>
        </w:rPr>
        <w:t>students</w:t>
      </w:r>
      <w:r w:rsidRPr="2E6E1780" w:rsidR="2FD61AB2">
        <w:rPr>
          <w:rFonts w:eastAsiaTheme="minorEastAsia"/>
        </w:rPr>
        <w:t xml:space="preserve"> who are interested in careers in science, engineering, and mathematics.</w:t>
      </w:r>
      <w:r w:rsidRPr="2E6E1780" w:rsidR="7E6CE7E1">
        <w:rPr>
          <w:rFonts w:eastAsiaTheme="minorEastAsia"/>
        </w:rPr>
        <w:t xml:space="preserve"> </w:t>
      </w:r>
      <w:r w:rsidRPr="2E6E1780" w:rsidR="7AA4E2C1">
        <w:rPr>
          <w:rFonts w:eastAsiaTheme="minorEastAsia"/>
        </w:rPr>
        <w:t>Th</w:t>
      </w:r>
      <w:r w:rsidRPr="2E6E1780" w:rsidR="00C87BBF">
        <w:rPr>
          <w:rFonts w:eastAsiaTheme="minorEastAsia"/>
        </w:rPr>
        <w:t>is</w:t>
      </w:r>
      <w:r w:rsidRPr="2E6E1780" w:rsidR="52CE9C31">
        <w:rPr>
          <w:rFonts w:eastAsiaTheme="minorEastAsia"/>
        </w:rPr>
        <w:t xml:space="preserve"> </w:t>
      </w:r>
      <w:r w:rsidRPr="2E6E1780" w:rsidR="7AA4E2C1">
        <w:rPr>
          <w:rFonts w:eastAsiaTheme="minorEastAsia"/>
        </w:rPr>
        <w:t>data collection</w:t>
      </w:r>
      <w:r w:rsidRPr="2E6E1780" w:rsidR="0B308A59">
        <w:rPr>
          <w:rFonts w:eastAsiaTheme="minorEastAsia"/>
        </w:rPr>
        <w:t xml:space="preserve"> and evaluation study</w:t>
      </w:r>
      <w:r w:rsidRPr="2E6E1780" w:rsidR="7AA4E2C1">
        <w:rPr>
          <w:rFonts w:eastAsiaTheme="minorEastAsia"/>
        </w:rPr>
        <w:t xml:space="preserve"> </w:t>
      </w:r>
      <w:r w:rsidRPr="2E6E1780" w:rsidR="466858B0">
        <w:rPr>
          <w:rFonts w:eastAsiaTheme="minorEastAsia"/>
        </w:rPr>
        <w:t xml:space="preserve">are </w:t>
      </w:r>
      <w:r w:rsidRPr="2E6E1780" w:rsidR="6E4FD60C">
        <w:rPr>
          <w:rFonts w:eastAsiaTheme="minorEastAsia"/>
        </w:rPr>
        <w:t xml:space="preserve">required </w:t>
      </w:r>
      <w:r w:rsidRPr="2E6E1780" w:rsidR="4F367AB9">
        <w:rPr>
          <w:rFonts w:eastAsiaTheme="minorEastAsia"/>
        </w:rPr>
        <w:t>under</w:t>
      </w:r>
      <w:r w:rsidRPr="2E6E1780" w:rsidR="6E4FD60C">
        <w:rPr>
          <w:rFonts w:eastAsiaTheme="minorEastAsia"/>
        </w:rPr>
        <w:t xml:space="preserve"> </w:t>
      </w:r>
      <w:r w:rsidRPr="2E6E1780" w:rsidR="3E502CE1">
        <w:rPr>
          <w:rFonts w:eastAsiaTheme="minorEastAsia"/>
        </w:rPr>
        <w:t xml:space="preserve">42 U.S. Code, Subchapter XIII, </w:t>
      </w:r>
      <w:r w:rsidRPr="2E6E1780" w:rsidR="1A21A3F6">
        <w:rPr>
          <w:rFonts w:eastAsiaTheme="minorEastAsia"/>
        </w:rPr>
        <w:t>§</w:t>
      </w:r>
      <w:r w:rsidRPr="2E6E1780" w:rsidR="7B7F5570">
        <w:rPr>
          <w:rFonts w:eastAsiaTheme="minorEastAsia"/>
        </w:rPr>
        <w:t>7381r</w:t>
      </w:r>
      <w:r w:rsidRPr="2E6E1780" w:rsidR="4771FB68">
        <w:rPr>
          <w:rFonts w:eastAsiaTheme="minorEastAsia"/>
        </w:rPr>
        <w:t>,</w:t>
      </w:r>
      <w:r w:rsidRPr="2E6E1780" w:rsidR="25D9930F">
        <w:rPr>
          <w:rFonts w:eastAsiaTheme="minorEastAsia"/>
        </w:rPr>
        <w:t xml:space="preserve"> Subsection</w:t>
      </w:r>
      <w:r w:rsidRPr="2E6E1780" w:rsidR="4771FB68">
        <w:rPr>
          <w:rFonts w:eastAsiaTheme="minorEastAsia"/>
        </w:rPr>
        <w:t xml:space="preserve"> (c), </w:t>
      </w:r>
      <w:r w:rsidRPr="2E6E1780" w:rsidR="626642E3">
        <w:rPr>
          <w:rFonts w:eastAsiaTheme="minorEastAsia"/>
        </w:rPr>
        <w:t xml:space="preserve">which mandates the use of metrics to evaluate the success of </w:t>
      </w:r>
      <w:r w:rsidRPr="2E6E1780" w:rsidR="51EFE182">
        <w:rPr>
          <w:rFonts w:eastAsiaTheme="minorEastAsia"/>
        </w:rPr>
        <w:t>programs established under Subsection (</w:t>
      </w:r>
      <w:r w:rsidRPr="2E6E1780" w:rsidR="7302D178">
        <w:rPr>
          <w:rFonts w:eastAsiaTheme="minorEastAsia"/>
        </w:rPr>
        <w:t>a</w:t>
      </w:r>
      <w:r w:rsidRPr="2E6E1780" w:rsidR="51EFE182">
        <w:rPr>
          <w:rFonts w:eastAsiaTheme="minorEastAsia"/>
        </w:rPr>
        <w:t>).</w:t>
      </w:r>
      <w:r w:rsidRPr="2E6E1780" w:rsidR="7B7F5570">
        <w:rPr>
          <w:rFonts w:eastAsiaTheme="minorEastAsia"/>
        </w:rPr>
        <w:t xml:space="preserve"> </w:t>
      </w:r>
    </w:p>
    <w:p w:rsidR="00DE0252" w:rsidRPr="00A41763" w:rsidP="00442D3F" w14:paraId="609814CC" w14:textId="77777777"/>
    <w:p w:rsidR="008C734C" w:rsidP="003C74CA" w14:paraId="4562B8CA" w14:textId="77777777">
      <w:pPr>
        <w:pStyle w:val="Heading2"/>
      </w:pPr>
      <w:r>
        <w:t>A.2. Needs and Uses of Data</w:t>
      </w:r>
      <w:bookmarkEnd w:id="3"/>
    </w:p>
    <w:p w:rsidR="00A41763" w:rsidRPr="00A41763" w:rsidP="00A41763" w14:paraId="7757FFB0"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954DC1" w:rsidRPr="00241AFC" w:rsidP="00241AFC" w14:paraId="05F8E8C5" w14:textId="77777777">
      <w:bookmarkStart w:id="4" w:name="_Hlk174608467"/>
      <w:r>
        <w:t>The information obtained from this data collection will be used to inform the WDTS program of outcomes for fo</w:t>
      </w:r>
      <w:bookmarkStart w:id="5" w:name="_Hlk174608478"/>
      <w:r>
        <w:t>rmer SULI partic</w:t>
      </w:r>
      <w:bookmarkEnd w:id="5"/>
      <w:r>
        <w:t xml:space="preserve">ipants. The practical utility of this data collection is that it will allow the </w:t>
      </w:r>
      <w:bookmarkEnd w:id="4"/>
      <w:r>
        <w:t>federal government to evaluate and improve the SULI program. The study is designed specifically to answer a set of evaluation questions that are intended to help investigators understand 1) key educational, career, and other outcomes for SULI participants and how these outcomes relate to participants’ preparation, personal background, and prior experiences, 2) how key outcomes may differ for SULI participants as compared to a sample of non-participants drawn from among SULI applicants, and 3) how key outcomes for SULI participants compare to a national benchmark of U.S. scientists and engineers drawn from the National Survey of College Graduates (NCSG).</w:t>
      </w:r>
      <w:r w:rsidR="003C74CA">
        <w:t xml:space="preserve"> Data will be collected via online survey using </w:t>
      </w:r>
      <w:r>
        <w:t xml:space="preserve">Novi survey platform, a commercial off-the-shelf survey tool. </w:t>
      </w:r>
      <w:r w:rsidR="608F3354">
        <w:t xml:space="preserve">Expectations and anecdotal evidence suggest that participants in research internship programs are more likely to complete science and engineering (S&amp;E) degrees, more likely to seek graduate education in S&amp;E, and ultimately work in S&amp;E occupations. However, these program benefits need to be confirmed, with appropriate comparison groups drawn from similar applicants that did not participate in SULI and/or other sources of national data on scientists and engineers that will allow SULI to place program outcomes in a broader context. Even more important, confirmation that these participants contribute to the DOE headquarters and national laboratory workforce or continue to engage in DOE-related research through their industry or academic employment in the years following their participation, will provide a new sense of urgency and excitement about SULI and other similar programs. It will also provide information needed by the program sponsor to conduct ongoing monitoring and improvement activities.     </w:t>
      </w:r>
    </w:p>
    <w:p w:rsidR="34FF09C8" w14:paraId="39067B59" w14:textId="77777777">
      <w:r>
        <w:t xml:space="preserve">Data collection is planned to commence in FY 2027 and will proceed in 3 waves. There are two different reasons for us to </w:t>
      </w:r>
      <w:r w:rsidR="00C44599">
        <w:t>reach</w:t>
      </w:r>
      <w:r>
        <w:t xml:space="preserve"> out to participants after initial contact: (1) to make first contact with individuals whose available contact </w:t>
      </w:r>
      <w:r w:rsidR="00C44599">
        <w:t>email addresses</w:t>
      </w:r>
      <w:r>
        <w:t xml:space="preserve"> failed; and (2) to solicit responses from individuals who received, but did not respond to, the initial invitation. We anticipate that certain cases will require more effort to contact and to </w:t>
      </w:r>
      <w:r w:rsidR="00C44599">
        <w:t>convince them</w:t>
      </w:r>
      <w:r>
        <w:t xml:space="preserve"> to respond: SULI non-participants; individuals without email addresses or with only a school/employer address at time of participation, etc. The study’s reliability depends on having a representative sample that includes a fair proportion of women and individuals from backgrounds underrepresented in STEM. We will focus our contact interventions by increasing effort to locate and incentive values.</w:t>
      </w:r>
    </w:p>
    <w:p w:rsidR="609D1C52" w14:paraId="48B6DE7F" w14:textId="77777777">
      <w:r>
        <w:t xml:space="preserve">First contact will be attempted through a rigorous contact protocol. The number of failed contacts will not be known until the pre-invitation notice goes out. Evaluators will gather “bounce back” email notifications, document which emails were unreachable, and then exhaust all available email addresses in an effort to reach the participant. If an individual cannot be reached via any of these addresses, we will provide their information to a contact tracing service in an attempt to retrieve a more recent email address. If this fails, we will contact them via phone and use a standard phone script to solicit their participation in the survey. Similarly, after the first wave, evaluators will attempt second and third email addresses for non-respondents. Exhausting all contact methods and giving each potential respondent at </w:t>
      </w:r>
      <w:r>
        <w:t xml:space="preserve">least two weeks to receive and respond to the invitation will comprise the first wave of survey administration. This approach will help us not only secure as many responses as possible, but eliminate a source of non-response bias, as we expect that there will be differences between those with </w:t>
      </w:r>
      <w:r w:rsidR="00C44599">
        <w:t>usable</w:t>
      </w:r>
      <w:r>
        <w:t xml:space="preserve"> email addresses and those without, such as their degree advancement at time of last contact.</w:t>
      </w:r>
    </w:p>
    <w:p w:rsidR="34FF09C8" w:rsidP="5600491A" w14:paraId="2A828DD2" w14:textId="77777777">
      <w:r>
        <w:t>Once the first wave is complete, we will shift our attention to soliciting responses from non-respondents (both SULI alumni and the comparison group of non-participants) in two additional waves. We will use two research-backed strategies: responsive design, which modifies data collection plan based on monitoring incoming data, and a “prevention” approach in which we attempt to convert non-respondents into respondents. Evaluators will carefully track which individuals have already completed the survey and those who have not.</w:t>
      </w:r>
    </w:p>
    <w:p w:rsidR="00C3131C" w:rsidRPr="00C3131C" w:rsidP="2E6E1780" w14:paraId="6D878967" w14:textId="77777777">
      <w:r>
        <w:t>Each Evaluation Question and its related sub</w:t>
      </w:r>
      <w:r w:rsidR="001B71E6">
        <w:t>-</w:t>
      </w:r>
      <w:r>
        <w:t xml:space="preserve">questions are summarized in Table </w:t>
      </w:r>
      <w:r w:rsidR="001B71E6">
        <w:t>A</w:t>
      </w:r>
      <w:r>
        <w:t>1.</w:t>
      </w:r>
    </w:p>
    <w:p w:rsidR="00A04C11" w:rsidP="272C75B6" w14:paraId="03AF25A3" w14:textId="77777777">
      <w:pPr>
        <w:pStyle w:val="Caption"/>
        <w:jc w:val="left"/>
      </w:pPr>
      <w:r>
        <w:t xml:space="preserve">                              </w:t>
      </w:r>
      <w:r w:rsidR="00DA4113">
        <w:t xml:space="preserve">Table </w:t>
      </w:r>
      <w:r>
        <w:t>A1.</w:t>
      </w:r>
      <w:r w:rsidR="00DA4113">
        <w:t xml:space="preserve"> Summary of Evaluation Questions</w:t>
      </w:r>
    </w:p>
    <w:p w:rsidR="00A04C11" w:rsidP="272C75B6" w14:paraId="7143A35F" w14:textId="77777777">
      <w:r>
        <w:rPr>
          <w:noProof/>
        </w:rPr>
        <w:drawing>
          <wp:inline distT="0" distB="0" distL="0" distR="0">
            <wp:extent cx="5943600" cy="5438774"/>
            <wp:effectExtent l="0" t="0" r="0" b="0"/>
            <wp:docPr id="1062153067" name="Picture 1062153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53067" nam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943600" cy="5438774"/>
                    </a:xfrm>
                    <a:prstGeom prst="rect">
                      <a:avLst/>
                    </a:prstGeom>
                  </pic:spPr>
                </pic:pic>
              </a:graphicData>
            </a:graphic>
          </wp:inline>
        </w:drawing>
      </w:r>
    </w:p>
    <w:p w:rsidR="008C734C" w:rsidP="003C74CA" w14:paraId="4ADF6674" w14:textId="77777777">
      <w:pPr>
        <w:pStyle w:val="Heading2"/>
      </w:pPr>
      <w:bookmarkStart w:id="6" w:name="_Toc16271321"/>
      <w:r>
        <w:t>A.</w:t>
      </w:r>
      <w:r w:rsidR="00A41763">
        <w:t xml:space="preserve">3. </w:t>
      </w:r>
      <w:r>
        <w:t>Use of Technology</w:t>
      </w:r>
      <w:bookmarkEnd w:id="6"/>
    </w:p>
    <w:p w:rsidR="00A41763" w:rsidRPr="00A41763" w:rsidP="00A41763" w14:paraId="776A3C31" w14:textId="77777777">
      <w:r w:rsidRPr="5600491A">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FB6CB1" w:rsidRPr="00FB6CB1" w:rsidP="00FB6CB1" w14:paraId="41940BA7" w14:textId="77777777">
      <w:r>
        <w:t xml:space="preserve">The </w:t>
      </w:r>
      <w:bookmarkStart w:id="7" w:name="_Hlk177637541"/>
      <w:r>
        <w:t>Novi survey platform, a commercial off-the-shelf survey tool</w:t>
      </w:r>
      <w:bookmarkEnd w:id="7"/>
      <w:r>
        <w:t>, will be used for survey data collection.</w:t>
      </w:r>
      <w:r w:rsidR="4E5C5F11">
        <w:t xml:space="preserve"> Although some hard-to-reach survey respondents may be contacted by phone in order to invite their participation, </w:t>
      </w:r>
      <w:r w:rsidR="5F1D1A29">
        <w:t>collection</w:t>
      </w:r>
      <w:r w:rsidR="49D045E1">
        <w:t xml:space="preserve"> of survey responses</w:t>
      </w:r>
      <w:r w:rsidR="5F1D1A29">
        <w:t xml:space="preserve"> will be 100% electronic.</w:t>
      </w:r>
      <w:r>
        <w:t xml:space="preserve"> </w:t>
      </w:r>
      <w:r w:rsidR="7642B33A">
        <w:t xml:space="preserve">All potential respondents who are invited to participate in the survey will be sent an email containing a link to the online survey, and </w:t>
      </w:r>
      <w:r w:rsidR="35AE7D03">
        <w:t xml:space="preserve">their responses must be entered using the online Novi webform. </w:t>
      </w:r>
      <w:r>
        <w:t>ORISE regularly uses this improved information technology platform to administer a variety of surveys to government agencies, universities, and research centers. Web-based instruments allow for rapid data collection and extensive use of skip patterns that require respondents to answer only questions that are pertinent to their specific situations. This provides an abbreviated survey for many respondents and minimizes the need for follow-up after the survey has been submitted. The self-administered Web-based technology for the survey also permits greater expediency with respect to data processing and analysis (e.g., a number of back-end processing steps, including coding and data entry). Data are transmitted and immediately stored electronically, rather than by mail. These efficiencies save time due to the speed of data transmission, as well as receipt in a format suitable for analysis.</w:t>
      </w:r>
    </w:p>
    <w:p w:rsidR="00FB6CB1" w:rsidP="00FB6CB1" w14:paraId="678FD637" w14:textId="77777777">
      <w:r>
        <w:t>Additionally, Novi allows the use of custom, individualized links that can match each survey response to known characteristics of the invitees. The use of such administrative data will assist in providing pre-internship information and in assessing any non-response. Two separate survey instruments will be used for the administration of the survey to SULI alumni and to the comparison group of non-participants, in order to cleanly separate record-keeping and tracking between these two groups.</w:t>
      </w:r>
    </w:p>
    <w:p w:rsidR="008C734C" w:rsidRPr="00A41763" w:rsidP="00FB6CB1" w14:paraId="1419DFF0" w14:textId="77777777">
      <w:r w:rsidRPr="002A554D">
        <w:rPr>
          <w:iCs/>
        </w:rPr>
        <w:t xml:space="preserve">This study will involve extensive tracking, storage, and accessibility of fundamental program and participation data. ORISE has engaged in extensive data tracking and data management for Department of Energy workforce development portfolio evaluations. </w:t>
      </w:r>
      <w:r>
        <w:rPr>
          <w:iCs/>
        </w:rPr>
        <w:t>The</w:t>
      </w:r>
      <w:r w:rsidRPr="002A554D">
        <w:rPr>
          <w:iCs/>
        </w:rPr>
        <w:t xml:space="preserve"> use of</w:t>
      </w:r>
      <w:r>
        <w:rPr>
          <w:iCs/>
        </w:rPr>
        <w:t xml:space="preserve"> the</w:t>
      </w:r>
      <w:r w:rsidRPr="002A554D">
        <w:rPr>
          <w:iCs/>
        </w:rPr>
        <w:t xml:space="preserve"> Novi </w:t>
      </w:r>
      <w:r>
        <w:rPr>
          <w:iCs/>
        </w:rPr>
        <w:t xml:space="preserve">platform will also </w:t>
      </w:r>
      <w:r w:rsidRPr="002A554D">
        <w:rPr>
          <w:iCs/>
        </w:rPr>
        <w:t xml:space="preserve">ensure that data collected are stored on ORISE’s secure, encrypted server, </w:t>
      </w:r>
      <w:r>
        <w:rPr>
          <w:iCs/>
        </w:rPr>
        <w:t>helping</w:t>
      </w:r>
      <w:r w:rsidRPr="002A554D">
        <w:rPr>
          <w:iCs/>
        </w:rPr>
        <w:t xml:space="preserve"> </w:t>
      </w:r>
      <w:r>
        <w:rPr>
          <w:iCs/>
        </w:rPr>
        <w:t xml:space="preserve">to </w:t>
      </w:r>
      <w:r w:rsidRPr="002A554D">
        <w:rPr>
          <w:iCs/>
        </w:rPr>
        <w:t>ensur</w:t>
      </w:r>
      <w:r>
        <w:rPr>
          <w:iCs/>
        </w:rPr>
        <w:t>e</w:t>
      </w:r>
      <w:r w:rsidRPr="002A554D">
        <w:rPr>
          <w:iCs/>
        </w:rPr>
        <w:t xml:space="preserve"> the protection of </w:t>
      </w:r>
      <w:r>
        <w:rPr>
          <w:iCs/>
        </w:rPr>
        <w:t>participant data</w:t>
      </w:r>
      <w:r w:rsidRPr="002A554D">
        <w:rPr>
          <w:iCs/>
        </w:rPr>
        <w:t>.</w:t>
      </w:r>
    </w:p>
    <w:p w:rsidR="008C734C" w:rsidP="003C74CA" w14:paraId="3FB0B981" w14:textId="77777777">
      <w:pPr>
        <w:pStyle w:val="Heading2"/>
      </w:pPr>
      <w:bookmarkStart w:id="8" w:name="_Toc16271322"/>
      <w:r>
        <w:t>A.</w:t>
      </w:r>
      <w:r w:rsidR="18310047">
        <w:t xml:space="preserve">4. </w:t>
      </w:r>
      <w:r>
        <w:t>Efforts to Identify Duplication</w:t>
      </w:r>
      <w:bookmarkEnd w:id="8"/>
    </w:p>
    <w:p w:rsidR="00A41763" w:rsidP="00A41763" w14:paraId="79C94FFE" w14:textId="77777777">
      <w:pPr>
        <w:rPr>
          <w:b/>
          <w:bCs/>
        </w:rPr>
      </w:pPr>
      <w:r w:rsidRPr="00A41763">
        <w:rPr>
          <w:b/>
          <w:bCs/>
        </w:rPr>
        <w:t xml:space="preserve">Describe efforts to identify duplication. </w:t>
      </w:r>
    </w:p>
    <w:p w:rsidR="00B97E93" w:rsidRPr="00A41763" w:rsidP="00A41763" w14:paraId="3B0EC413" w14:textId="77777777">
      <w:r w:rsidRPr="00130BAA">
        <w:t>As a part of participation in the SULI program, individuals were asked to complete pre- and post-appointment surveys</w:t>
      </w:r>
      <w:r>
        <w:t xml:space="preserve"> (Covered under OMB Control No. 1910-5202). </w:t>
      </w:r>
      <w:r w:rsidRPr="00130BAA">
        <w:t xml:space="preserve">These </w:t>
      </w:r>
      <w:r>
        <w:t xml:space="preserve">existing </w:t>
      </w:r>
      <w:r w:rsidRPr="00130BAA">
        <w:t>data are available through</w:t>
      </w:r>
      <w:r>
        <w:t xml:space="preserve"> the</w:t>
      </w:r>
      <w:r w:rsidRPr="00130BAA">
        <w:t xml:space="preserve"> </w:t>
      </w:r>
      <w:r>
        <w:t>WDTS data system and will be used as short-term measures of SULI participants’</w:t>
      </w:r>
      <w:r w:rsidRPr="00130BAA">
        <w:t xml:space="preserve"> overall impressions of the program, educational and career plans, hands-on research experiences, DOE knowledge and awareness, and research skills.</w:t>
      </w:r>
    </w:p>
    <w:p w:rsidR="00FB6CB1" w:rsidP="00FB6CB1" w14:paraId="4084F008" w14:textId="77777777">
      <w:r w:rsidRPr="00EC133B">
        <w:t xml:space="preserve">This information collection does not duplicate previous efforts. </w:t>
      </w:r>
      <w:r>
        <w:t xml:space="preserve">Existing </w:t>
      </w:r>
      <w:r w:rsidRPr="00EC133B">
        <w:t>data</w:t>
      </w:r>
      <w:r>
        <w:t xml:space="preserve"> maintained by WDTS</w:t>
      </w:r>
      <w:r w:rsidRPr="00EC133B">
        <w:t xml:space="preserve"> will provide baseline characteristics/covariates for both the SULI participants and the comparison group and will also provide updated contact information for any participants who have later entries in </w:t>
      </w:r>
      <w:r>
        <w:t>the WDTS</w:t>
      </w:r>
      <w:r w:rsidRPr="00EC133B">
        <w:t xml:space="preserve"> </w:t>
      </w:r>
      <w:r>
        <w:t xml:space="preserve">data </w:t>
      </w:r>
      <w:r w:rsidRPr="00EC133B">
        <w:t xml:space="preserve">system. This includes any variables that are thought to be related either to admission into the SULI program or to ultimate outcomes. These are particularly important when conducting comparative analyses. Including </w:t>
      </w:r>
      <w:r>
        <w:t>baseline</w:t>
      </w:r>
      <w:r w:rsidRPr="00EC133B">
        <w:t xml:space="preserve"> </w:t>
      </w:r>
      <w:r>
        <w:t>measures</w:t>
      </w:r>
      <w:r w:rsidRPr="00EC133B">
        <w:t xml:space="preserve"> will allow ORISE to isolate the effect of the program on the outcomes of interest. </w:t>
      </w:r>
      <w:r w:rsidRPr="00130BAA">
        <w:t xml:space="preserve">Based on the information provided to ORISE, the </w:t>
      </w:r>
      <w:r>
        <w:t>existing</w:t>
      </w:r>
      <w:r w:rsidRPr="00130BAA">
        <w:t xml:space="preserve"> data </w:t>
      </w:r>
      <w:r>
        <w:t xml:space="preserve">maintained by WTDS </w:t>
      </w:r>
      <w:r w:rsidRPr="00130BAA">
        <w:t>includes multiple items that assess demographic information, current educational enrollment, field of study, GPA, prior internship experience, and family connections to DOE laboratories.</w:t>
      </w:r>
    </w:p>
    <w:p w:rsidR="609D1C52" w:rsidP="58D19240" w14:paraId="46F948A9" w14:textId="77777777">
      <w:pPr>
        <w:rPr>
          <w:highlight w:val="yellow"/>
        </w:rPr>
      </w:pPr>
      <w:r>
        <w:t>The follow-up aspect of this study is completely new. To date, there has been no in-depth long-term evaluation of this program, and there are no existing data sources that contain measures of interest for this specific population of interest over the long term. This information collection therefore is not duplicative of previous research efforts. In designing the data collection activities, we have taken several steps to ensure that this effort does not duplicate ongoing data collection and that no existing data sets would address the study questions that are specific to former SULI participants. We have carefully reviewed existing data sets to determine whether any are sufficiently similar or could be modified to meet the need for information on long-term outcomes for participants in the SULI program, but none of these existing data sources can adequately meet the data collection needs of the long-term follow up study.</w:t>
      </w:r>
      <w:r w:rsidR="4C18C059">
        <w:t xml:space="preserve"> </w:t>
      </w:r>
      <w:r w:rsidR="76CEEFC1">
        <w:t xml:space="preserve">This is </w:t>
      </w:r>
      <w:r w:rsidR="488235CD">
        <w:t xml:space="preserve">primarily </w:t>
      </w:r>
      <w:r w:rsidR="76CEEFC1">
        <w:t>due to two factors: the need for metrics that can be compared across program alum</w:t>
      </w:r>
      <w:r w:rsidR="270334D8">
        <w:t>ni and non-alumni</w:t>
      </w:r>
      <w:r w:rsidR="3B04B540">
        <w:t xml:space="preserve">, and the length of time needed from program completion </w:t>
      </w:r>
      <w:r w:rsidR="3C9B6284">
        <w:t xml:space="preserve">to capture longer-term outcomes. </w:t>
      </w:r>
      <w:r w:rsidR="384AE15F">
        <w:t xml:space="preserve"> WDTS has n</w:t>
      </w:r>
      <w:r w:rsidR="2429C42B">
        <w:t>ot</w:t>
      </w:r>
      <w:r w:rsidR="384AE15F">
        <w:t xml:space="preserve"> collected </w:t>
      </w:r>
      <w:r w:rsidR="547F575C">
        <w:t xml:space="preserve">follow-up </w:t>
      </w:r>
      <w:r w:rsidR="384AE15F">
        <w:t xml:space="preserve">data from the planned comparison </w:t>
      </w:r>
      <w:r w:rsidR="240A3337">
        <w:t xml:space="preserve">group </w:t>
      </w:r>
      <w:r w:rsidR="2247D17A">
        <w:t>consist</w:t>
      </w:r>
      <w:r w:rsidR="6E25D188">
        <w:t>ing</w:t>
      </w:r>
      <w:r w:rsidR="2247D17A">
        <w:t xml:space="preserve"> </w:t>
      </w:r>
      <w:r w:rsidR="384AE15F">
        <w:t>of individ</w:t>
      </w:r>
      <w:r w:rsidR="5CFE3AED">
        <w:t xml:space="preserve">uals who </w:t>
      </w:r>
      <w:r w:rsidR="7F7C6256">
        <w:t xml:space="preserve">applied to the SULI program but did not participate. Obtaining data from these individuals </w:t>
      </w:r>
      <w:r w:rsidR="037830AD">
        <w:t xml:space="preserve">is necessary in order to </w:t>
      </w:r>
      <w:r w:rsidR="1DE4B9E3">
        <w:t>answer Evaluation Question 2, which asks what the longer-term career, ed</w:t>
      </w:r>
      <w:r w:rsidR="2021EEA1">
        <w:t>ucational and other impacts are on SULI participants compared to a similar sample of non-participants. Furthermore, althoug</w:t>
      </w:r>
      <w:r w:rsidR="7BF8F65E">
        <w:t xml:space="preserve">h WDTS has access to limited short-term </w:t>
      </w:r>
      <w:r w:rsidR="1706F412">
        <w:t xml:space="preserve">outcomes </w:t>
      </w:r>
      <w:r w:rsidR="7BF8F65E">
        <w:t xml:space="preserve">data on former SULI participants, these data are limited </w:t>
      </w:r>
      <w:r w:rsidR="5B3ED9AE">
        <w:t>to the time period immediately following their internship</w:t>
      </w:r>
      <w:r w:rsidR="188DF1C2">
        <w:t xml:space="preserve">, and thus are not sufficient for answering any of the </w:t>
      </w:r>
      <w:r w:rsidR="4981FBF9">
        <w:t>Evaluation Questions having to do with longer-term outcomes. The existing WDTS H</w:t>
      </w:r>
      <w:r w:rsidR="03966727">
        <w:t>ighlights package is limited in scope and was never intended to provide metrics that could be used to perform cross-group comparisons</w:t>
      </w:r>
      <w:r w:rsidR="1EB48606">
        <w:t xml:space="preserve">. </w:t>
      </w:r>
      <w:r w:rsidR="10D93F6E">
        <w:t xml:space="preserve">The Highlights data collection uses open-ended questions that are meant to provide qualitative and descriptive information to </w:t>
      </w:r>
      <w:r w:rsidR="05A5055D">
        <w:t>be used to provide “highlights” of former participants’ trajectory since participating in SULI.  This type of data is not sufficient to provide a basis for compari</w:t>
      </w:r>
      <w:r w:rsidR="6A9362EB">
        <w:t>son with the study’s comparison group</w:t>
      </w:r>
      <w:r w:rsidR="6E387EE0">
        <w:t xml:space="preserve">, </w:t>
      </w:r>
      <w:r w:rsidR="260B27C1">
        <w:t>n</w:t>
      </w:r>
      <w:r w:rsidR="6E387EE0">
        <w:t>or</w:t>
      </w:r>
      <w:r w:rsidR="3DA8C24C">
        <w:t xml:space="preserve"> is it precise enough to </w:t>
      </w:r>
      <w:r w:rsidR="71461A13">
        <w:t xml:space="preserve">examine </w:t>
      </w:r>
      <w:r w:rsidR="48738F0C">
        <w:t xml:space="preserve">potential correlations as specified in the SULI LFS Evaluation Questions. </w:t>
      </w:r>
      <w:r w:rsidR="1596A625">
        <w:t xml:space="preserve">The types of questions asked in the SULI LFS instruments are more specific (most are pre-defined response options with </w:t>
      </w:r>
      <w:r w:rsidR="67B694D4">
        <w:t>free-entry fields only if respondents wish to provide optional additional detail), for example, specific questions are a</w:t>
      </w:r>
      <w:r w:rsidR="6FDBD2A6">
        <w:t>sked about the type of employment, the primary tasks of employment, and the employer. Questions at this level of detail we</w:t>
      </w:r>
      <w:r w:rsidR="7EB0220F">
        <w:t>re not asked in the Highlights data collection</w:t>
      </w:r>
      <w:r w:rsidR="744E0E1B">
        <w:t xml:space="preserve">. Also, the </w:t>
      </w:r>
      <w:r w:rsidR="440AB47F">
        <w:t>Highlights</w:t>
      </w:r>
      <w:r w:rsidR="744E0E1B">
        <w:t xml:space="preserve"> collection d</w:t>
      </w:r>
      <w:r w:rsidR="688C4FB0">
        <w:t>oes</w:t>
      </w:r>
      <w:r w:rsidR="744E0E1B">
        <w:t xml:space="preserve"> not include non-SULI alumni, a group which is essential to being able to conduct the planned </w:t>
      </w:r>
      <w:r w:rsidR="42B9F4A7">
        <w:t>evaluation and group comparison.</w:t>
      </w:r>
      <w:r w:rsidR="744E0E1B">
        <w:t xml:space="preserve"> </w:t>
      </w:r>
      <w:r w:rsidR="7EB0220F">
        <w:t xml:space="preserve">Thus, we are seeking to conduct the SULI </w:t>
      </w:r>
      <w:r w:rsidR="32E7F9D2">
        <w:t xml:space="preserve">LFS </w:t>
      </w:r>
      <w:r w:rsidR="7EB0220F">
        <w:t>under a new collection</w:t>
      </w:r>
      <w:r w:rsidR="1A5D747D">
        <w:t>, which will seek to collect comparable, specific data from both groups (SULI alumni and non-alumni).</w:t>
      </w:r>
    </w:p>
    <w:p w:rsidR="008C734C" w:rsidRPr="00A41763" w:rsidP="00A41763" w14:paraId="6465487E" w14:textId="77777777">
      <w:r>
        <w:t>Through these efforts we will seek to ensure representativeness of our study sample without duplication of data collection.</w:t>
      </w:r>
    </w:p>
    <w:p w:rsidR="008C734C" w:rsidP="003C74CA" w14:paraId="1C9B0675" w14:textId="77777777">
      <w:pPr>
        <w:pStyle w:val="Heading2"/>
      </w:pPr>
      <w:bookmarkStart w:id="9" w:name="_Toc16271323"/>
      <w:r>
        <w:t>A.</w:t>
      </w:r>
      <w:r w:rsidRPr="00A41763" w:rsidR="00A41763">
        <w:t xml:space="preserve">5. </w:t>
      </w:r>
      <w:r w:rsidRPr="008C734C">
        <w:t>Provisions for Reducing Burden on Small Businesses</w:t>
      </w:r>
      <w:bookmarkEnd w:id="9"/>
      <w:r w:rsidRPr="008C734C">
        <w:t xml:space="preserve"> </w:t>
      </w:r>
    </w:p>
    <w:p w:rsidR="00A41763" w:rsidRPr="00A41763" w:rsidP="00A41763" w14:paraId="02537393" w14:textId="77777777">
      <w:r w:rsidRPr="00A41763">
        <w:rPr>
          <w:b/>
          <w:bCs/>
        </w:rPr>
        <w:t xml:space="preserve">If the collection of information impacts small businesses or other small entities, describe any methods used to minimize burden. </w:t>
      </w:r>
    </w:p>
    <w:p w:rsidR="008C734C" w:rsidRPr="00A41763" w:rsidP="00FB6CB1" w14:paraId="5685834D" w14:textId="77777777">
      <w:pPr>
        <w:spacing w:before="100" w:beforeAutospacing="1" w:after="100" w:afterAutospacing="1"/>
      </w:pPr>
      <w:r w:rsidRPr="00CF4520">
        <w:t>Respondents in this study will be members of the general public, specific subpopulations or specific professions, not business entities. No impact on small businesses or other small entities is anticipated.</w:t>
      </w:r>
    </w:p>
    <w:p w:rsidR="008C734C" w:rsidP="003C74CA" w14:paraId="5B0B03F4" w14:textId="77777777">
      <w:pPr>
        <w:pStyle w:val="Heading2"/>
      </w:pPr>
      <w:bookmarkStart w:id="10" w:name="_Toc16271324"/>
      <w:r>
        <w:t>A.</w:t>
      </w:r>
      <w:r w:rsidRPr="00A41763" w:rsidR="00A41763">
        <w:t xml:space="preserve">6. </w:t>
      </w:r>
      <w:r w:rsidRPr="008C734C">
        <w:t>Consequences of Less-Frequent Reporting</w:t>
      </w:r>
      <w:bookmarkEnd w:id="10"/>
    </w:p>
    <w:p w:rsidR="00A41763" w:rsidRPr="00A41763" w:rsidP="00A41763" w14:paraId="50A39675"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8C734C" w:rsidRPr="00A41763" w:rsidP="00A41763" w14:paraId="2ECFF925" w14:textId="77777777">
      <w:r>
        <w:t xml:space="preserve">The is a one-time data collection. </w:t>
      </w:r>
      <w:r w:rsidRPr="00CF4520">
        <w:t xml:space="preserve">Participants in this evaluation </w:t>
      </w:r>
      <w:r>
        <w:t>will be</w:t>
      </w:r>
      <w:r w:rsidRPr="00CF4520">
        <w:t xml:space="preserve"> surveyed once. While there are no legal obstacles to reduce burden, lack of information needed to evaluate</w:t>
      </w:r>
      <w:r>
        <w:t xml:space="preserve"> long-term outcome of participation in</w:t>
      </w:r>
      <w:r w:rsidRPr="00CF4520">
        <w:t xml:space="preserve"> the SULI program may impede the federal government’s efforts to improve th</w:t>
      </w:r>
      <w:r>
        <w:t>e SULI</w:t>
      </w:r>
      <w:r w:rsidRPr="00CF4520">
        <w:t xml:space="preserve"> program. Without the information collection requested for this evaluation study, it would be difficult to determine the value or impact of </w:t>
      </w:r>
      <w:r>
        <w:t>SULI</w:t>
      </w:r>
      <w:r w:rsidRPr="00CF4520">
        <w:t xml:space="preserve"> on</w:t>
      </w:r>
      <w:r>
        <w:t xml:space="preserve"> program</w:t>
      </w:r>
      <w:r w:rsidRPr="00CF4520">
        <w:t xml:space="preserve"> participants. Failure to collect these data could reduce effective use of DOE’s program resources to benefit the target population. Careful consideration has been given to how the intended audience should be surveyed for evaluation purposes. We believe the longitudinal evaluation design will provide sufficient data to evaluate the program effectively.</w:t>
      </w:r>
    </w:p>
    <w:p w:rsidR="008C734C" w:rsidP="003C74CA" w14:paraId="7B95D6D5" w14:textId="77777777">
      <w:pPr>
        <w:pStyle w:val="Heading2"/>
      </w:pPr>
      <w:bookmarkStart w:id="11" w:name="_Toc16271325"/>
      <w:r>
        <w:t>A.</w:t>
      </w:r>
      <w:r w:rsidRPr="00A41763" w:rsidR="00A41763">
        <w:t xml:space="preserve">7. </w:t>
      </w:r>
      <w:r w:rsidRPr="008C734C">
        <w:t>Compliance with 5 CFR 1320.5</w:t>
      </w:r>
      <w:bookmarkEnd w:id="11"/>
    </w:p>
    <w:p w:rsidR="00DB6FBD" w:rsidP="00A41763" w14:paraId="3E5F93C7"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DB6FBD" w:rsidP="00A41763" w14:paraId="73B5106F" w14:textId="77777777">
      <w:pPr>
        <w:rPr>
          <w:b/>
          <w:bCs/>
        </w:rPr>
      </w:pPr>
      <w:r w:rsidRPr="00A41763">
        <w:rPr>
          <w:b/>
          <w:bCs/>
        </w:rPr>
        <w:t xml:space="preserve">(a) requiring respondents to report information to the agency more often than quarterly; </w:t>
      </w:r>
    </w:p>
    <w:p w:rsidR="00FB6CB1" w:rsidRPr="00FB6CB1" w:rsidP="00A41763" w14:paraId="044455AF" w14:textId="77777777">
      <w:r w:rsidRPr="00FB6CB1">
        <w:t>Not applicable. This is a one-time data collection.</w:t>
      </w:r>
    </w:p>
    <w:p w:rsidR="00DB6FBD" w:rsidP="00A41763" w14:paraId="4C97C8A8" w14:textId="77777777">
      <w:pPr>
        <w:rPr>
          <w:b/>
          <w:bCs/>
        </w:rPr>
      </w:pPr>
      <w:r w:rsidRPr="00A41763">
        <w:rPr>
          <w:b/>
          <w:bCs/>
        </w:rPr>
        <w:t xml:space="preserve">(b) requiring respondents to prepare a written response to a collection of information in fewer than 30 days after receipt of it; </w:t>
      </w:r>
    </w:p>
    <w:p w:rsidR="00FB6CB1" w:rsidRPr="00FB6CB1" w:rsidP="00A41763" w14:paraId="75F9A3B4" w14:textId="77777777">
      <w:r w:rsidRPr="00FB6CB1">
        <w:t>Not applicable. Although timely completion of the survey will be encouraged, there is no specific requirement</w:t>
      </w:r>
      <w:r w:rsidR="005E08F9">
        <w:t xml:space="preserve"> for respondents</w:t>
      </w:r>
      <w:r w:rsidRPr="00FB6CB1">
        <w:t xml:space="preserve"> to re</w:t>
      </w:r>
      <w:r w:rsidR="005E08F9">
        <w:t>ply</w:t>
      </w:r>
      <w:r w:rsidRPr="00FB6CB1">
        <w:t xml:space="preserve"> in fewer than 30 days.</w:t>
      </w:r>
    </w:p>
    <w:p w:rsidR="00DB6FBD" w:rsidP="00A41763" w14:paraId="050A25F5" w14:textId="77777777">
      <w:pPr>
        <w:rPr>
          <w:b/>
          <w:bCs/>
        </w:rPr>
      </w:pPr>
      <w:r w:rsidRPr="00A41763">
        <w:rPr>
          <w:b/>
          <w:bCs/>
        </w:rPr>
        <w:t xml:space="preserve">(c) requiring respondents to submit more than an original and two copies of any document; </w:t>
      </w:r>
    </w:p>
    <w:p w:rsidR="00FB6CB1" w:rsidRPr="001A4A6C" w:rsidP="00A41763" w14:paraId="715EDB54" w14:textId="77777777">
      <w:r w:rsidRPr="001A4A6C">
        <w:t>Not applicable. This will be an online survey. Copies</w:t>
      </w:r>
      <w:r w:rsidR="005E08F9">
        <w:t xml:space="preserve"> of the survey</w:t>
      </w:r>
      <w:r w:rsidRPr="001A4A6C">
        <w:t xml:space="preserve"> will not be requested.</w:t>
      </w:r>
    </w:p>
    <w:p w:rsidR="00DB6FBD" w:rsidP="00A41763" w14:paraId="5F110F9D" w14:textId="77777777">
      <w:pPr>
        <w:rPr>
          <w:b/>
          <w:bCs/>
        </w:rPr>
      </w:pPr>
      <w:r w:rsidRPr="00A41763">
        <w:rPr>
          <w:b/>
          <w:bCs/>
        </w:rPr>
        <w:t xml:space="preserve">(d) requiring respondents to retain records, other than health, medical government contract, grant-in-aid, or tax records, for more than three years; </w:t>
      </w:r>
    </w:p>
    <w:p w:rsidR="001A4A6C" w:rsidRPr="001A4A6C" w:rsidP="00A41763" w14:paraId="2C90DBAB" w14:textId="77777777">
      <w:r w:rsidRPr="001A4A6C">
        <w:t>Not applicable. This will be an online survey. Th</w:t>
      </w:r>
      <w:r>
        <w:t>is</w:t>
      </w:r>
      <w:r w:rsidRPr="001A4A6C">
        <w:t xml:space="preserve"> data collection will not require respondents to retain any records for </w:t>
      </w:r>
      <w:r w:rsidR="005E08F9">
        <w:t>any duration of time</w:t>
      </w:r>
      <w:r w:rsidRPr="001A4A6C">
        <w:t>.</w:t>
      </w:r>
    </w:p>
    <w:p w:rsidR="001A4A6C" w:rsidP="00A41763" w14:paraId="4C47FC99" w14:textId="77777777">
      <w:pPr>
        <w:rPr>
          <w:b/>
          <w:bCs/>
        </w:rPr>
      </w:pPr>
      <w:r w:rsidRPr="00A41763">
        <w:rPr>
          <w:b/>
          <w:bCs/>
        </w:rPr>
        <w:t>(e) in connection with a statistical survey, that is not designed to product valid and reliable results that can be generalized to the universe of study;</w:t>
      </w:r>
    </w:p>
    <w:p w:rsidR="00DB6FBD" w:rsidRPr="001A4A6C" w:rsidP="00A41763" w14:paraId="00B24C62" w14:textId="77777777">
      <w:r w:rsidRPr="001A4A6C">
        <w:t>Not applicable. The data collection and analysis procedures are carefully designed to generate a representative sample (to the extent possible</w:t>
      </w:r>
      <w:r w:rsidR="005E08F9">
        <w:t xml:space="preserve"> given the limitations of the data</w:t>
      </w:r>
      <w:r w:rsidRPr="001A4A6C">
        <w:t>) and to produce results that are generalizable to the</w:t>
      </w:r>
      <w:r w:rsidR="005E08F9">
        <w:t xml:space="preserve"> target</w:t>
      </w:r>
      <w:r w:rsidRPr="001A4A6C">
        <w:t xml:space="preserve"> population of </w:t>
      </w:r>
      <w:r w:rsidR="005E08F9">
        <w:t xml:space="preserve">former </w:t>
      </w:r>
      <w:r w:rsidRPr="001A4A6C">
        <w:t>SULI participants</w:t>
      </w:r>
      <w:r>
        <w:t>.</w:t>
      </w:r>
    </w:p>
    <w:p w:rsidR="00DB6FBD" w:rsidP="00A41763" w14:paraId="5328F410" w14:textId="77777777">
      <w:pPr>
        <w:rPr>
          <w:b/>
          <w:bCs/>
        </w:rPr>
      </w:pPr>
      <w:r w:rsidRPr="00A41763">
        <w:rPr>
          <w:b/>
          <w:bCs/>
        </w:rPr>
        <w:t xml:space="preserve">(f) requiring the use of statistical data classification that has not been reviewed and approved by OMB; </w:t>
      </w:r>
    </w:p>
    <w:p w:rsidR="001A4A6C" w:rsidRPr="001A4A6C" w:rsidP="00A41763" w14:paraId="6527E6F3" w14:textId="77777777">
      <w:r>
        <w:t>All</w:t>
      </w:r>
      <w:r w:rsidR="00887DB2">
        <w:t xml:space="preserve"> demographic</w:t>
      </w:r>
      <w:r>
        <w:t xml:space="preserve"> </w:t>
      </w:r>
      <w:r w:rsidR="00887DB2">
        <w:t xml:space="preserve">data </w:t>
      </w:r>
      <w:r w:rsidR="005E08F9">
        <w:t>will be</w:t>
      </w:r>
      <w:r w:rsidR="00887DB2">
        <w:t xml:space="preserve"> collected using classifications that are approved by the OMB. ORISE A&amp;E will defer to OMB guidance on classifications for other data types that are collected in the survey.</w:t>
      </w:r>
    </w:p>
    <w:p w:rsidR="00DB6FBD" w:rsidP="00A41763" w14:paraId="46D3D51D"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Pr>
          <w:b/>
          <w:bCs/>
        </w:rPr>
        <w:t>or</w:t>
      </w:r>
    </w:p>
    <w:p w:rsidR="00887DB2" w:rsidRPr="00887DB2" w:rsidP="00A41763" w14:paraId="47A39566" w14:textId="77777777">
      <w:r w:rsidRPr="00FA54FB">
        <w:t>Information provided to survey participants regarding confidentiality is supported by statute. Only aggregate or otherwise de-identified data will be shared within the agency to the degree permitted by statute and applicable agency regulations.</w:t>
      </w:r>
    </w:p>
    <w:p w:rsidR="00A41763" w:rsidP="00A41763" w14:paraId="69A7380E" w14:textId="77777777">
      <w:pPr>
        <w:rPr>
          <w:b/>
          <w:bCs/>
        </w:rPr>
      </w:pPr>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887DB2" w:rsidRPr="00A41763" w:rsidP="00A41763" w14:paraId="4F1E4E4C" w14:textId="77777777">
      <w:r>
        <w:t>Not applicable. N</w:t>
      </w:r>
      <w:r w:rsidRPr="009E1AF8">
        <w:t>o proprietary information will be collected.</w:t>
      </w:r>
    </w:p>
    <w:p w:rsidR="008C734C" w:rsidRPr="00887DB2" w:rsidP="00A41763" w14:paraId="58AE91F3" w14:textId="77777777">
      <w:r w:rsidRPr="009E1AF8">
        <w:t>There are no special circumstances that would require evaluation to be conducted in a manner inconsistent with the guidelines in 5 CFR 1320.5.  This is a one-time data collection and does not require submission of any information that is not OMB-approved.  Consent procedures include obtaining broad consent for use of the data collected, and no proprietary information will be collected.</w:t>
      </w:r>
    </w:p>
    <w:p w:rsidR="008C734C" w:rsidP="003C74CA" w14:paraId="3C21F709" w14:textId="77777777">
      <w:pPr>
        <w:pStyle w:val="Heading2"/>
      </w:pPr>
      <w:bookmarkStart w:id="12" w:name="_Toc16271326"/>
      <w:r>
        <w:t>A.</w:t>
      </w:r>
      <w:r w:rsidRPr="00A41763" w:rsidR="00A41763">
        <w:t xml:space="preserve">8. </w:t>
      </w:r>
      <w:r w:rsidRPr="008C734C">
        <w:t>Summary of Consultations Outside of the Agency</w:t>
      </w:r>
      <w:bookmarkEnd w:id="12"/>
    </w:p>
    <w:p w:rsidR="00A41763" w:rsidRPr="00A41763" w:rsidP="00A41763" w14:paraId="7E0EF35A" w14:textId="77777777">
      <w:r w:rsidRPr="00A41763">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8C734C" w:rsidRPr="00B62982" w:rsidP="00A41763" w14:paraId="1E9AB0CB" w14:textId="4550563E">
      <w:pPr>
        <w:rPr>
          <w:color w:val="000000" w:themeColor="text1"/>
        </w:rPr>
      </w:pPr>
      <w:r w:rsidRPr="162EED0D">
        <w:rPr>
          <w:color w:val="000000" w:themeColor="text1"/>
        </w:rPr>
        <w:t xml:space="preserve">The 60-day Federal Register Notice was published on May 16, 2024 (Vol. </w:t>
      </w:r>
      <w:r>
        <w:t>89, No. 96, page 42865</w:t>
      </w:r>
      <w:r w:rsidRPr="162EED0D">
        <w:rPr>
          <w:color w:val="000000" w:themeColor="text1"/>
        </w:rPr>
        <w:t xml:space="preserve">) and the public comment period ended on July 15, 2024. No relevant comments were received. The Department </w:t>
      </w:r>
      <w:r w:rsidR="00D40658">
        <w:rPr>
          <w:color w:val="000000" w:themeColor="text1"/>
        </w:rPr>
        <w:t>has</w:t>
      </w:r>
      <w:r w:rsidRPr="162EED0D">
        <w:rPr>
          <w:color w:val="000000" w:themeColor="text1"/>
        </w:rPr>
        <w:t xml:space="preserve"> publish</w:t>
      </w:r>
      <w:r w:rsidR="00D40658">
        <w:rPr>
          <w:color w:val="000000" w:themeColor="text1"/>
        </w:rPr>
        <w:t>ed</w:t>
      </w:r>
      <w:r w:rsidRPr="162EED0D">
        <w:rPr>
          <w:color w:val="000000" w:themeColor="text1"/>
        </w:rPr>
        <w:t xml:space="preserve"> a notice in the Federal Register soliciting public comments to OMB for a period of 30 days</w:t>
      </w:r>
      <w:r w:rsidR="00D40658">
        <w:rPr>
          <w:color w:val="000000" w:themeColor="text1"/>
        </w:rPr>
        <w:t xml:space="preserve"> on June 25, 202</w:t>
      </w:r>
      <w:r w:rsidR="00DA3AE9">
        <w:rPr>
          <w:color w:val="000000" w:themeColor="text1"/>
        </w:rPr>
        <w:t xml:space="preserve">5 </w:t>
      </w:r>
      <w:r w:rsidR="00D40658">
        <w:rPr>
          <w:color w:val="000000" w:themeColor="text1"/>
        </w:rPr>
        <w:t>(Vol. 90, No. 120, page 27011)</w:t>
      </w:r>
      <w:r w:rsidRPr="162EED0D">
        <w:rPr>
          <w:color w:val="000000" w:themeColor="text1"/>
        </w:rPr>
        <w:t>. The data collection plan for this study was peer reviewed and approved by a panel of experts knowledgeable in long-term follow</w:t>
      </w:r>
      <w:r w:rsidRPr="162EED0D" w:rsidR="005E08F9">
        <w:rPr>
          <w:color w:val="000000" w:themeColor="text1"/>
        </w:rPr>
        <w:t>-</w:t>
      </w:r>
      <w:r w:rsidRPr="162EED0D">
        <w:rPr>
          <w:color w:val="000000" w:themeColor="text1"/>
        </w:rPr>
        <w:t xml:space="preserve">up study </w:t>
      </w:r>
      <w:r w:rsidRPr="162EED0D">
        <w:rPr>
          <w:color w:val="000000" w:themeColor="text1"/>
        </w:rPr>
        <w:t xml:space="preserve">design and data collection. The study will be conducted in accordance with input from the reviewers, legal counsel, guidance from the DOE/Institutional Review Board (IRB), and OMB. </w:t>
      </w:r>
    </w:p>
    <w:p w:rsidR="008C734C" w:rsidP="003C74CA" w14:paraId="2F7D2135" w14:textId="77777777">
      <w:pPr>
        <w:pStyle w:val="Heading2"/>
      </w:pPr>
      <w:bookmarkStart w:id="13" w:name="_Toc16271327"/>
      <w:r>
        <w:t>A.</w:t>
      </w:r>
      <w:r w:rsidRPr="00A41763" w:rsidR="00A41763">
        <w:t xml:space="preserve">9. </w:t>
      </w:r>
      <w:r w:rsidRPr="008C734C">
        <w:t>Payments or Gifts to Respondents</w:t>
      </w:r>
      <w:bookmarkEnd w:id="13"/>
      <w:r w:rsidRPr="008C734C">
        <w:t xml:space="preserve"> </w:t>
      </w:r>
    </w:p>
    <w:p w:rsidR="00A41763" w:rsidRPr="00A41763" w:rsidP="00A41763" w14:paraId="6E6FB057"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27581B" w:rsidP="00A41763" w14:paraId="4DCCDB63" w14:textId="77777777">
      <w:r w:rsidRPr="001C7604">
        <w:t>Incentives are a key tool for increasing response rates and will be especially important in the SULI context given that these are long-term follow-up surveys for participants who have not otherwise had ongoing contact with the program and non-participants who are otherwise not intrinsically motivated to assist. ORISE sought guidance from legal counsel and from the IRB to determine the specific details of the incentive structure. The incentive strategy will follow three different tracks for the first administration wave and for subsequent waves. Based on a review of incentive plans for federally funded surveys with similar data collection methodologies, WDTS and ORISE selected a plan that includes three different tracks for the first administration wave, with increasing incentive amounts for two of these tracks on the second and third waves. In the first administration wave, potential respondents will be randomly assigned into three tracks: 25% will be offered $30, 25% will be offered $20, and 50% of potential respondents will not be offered an incentive. On the second wave, potential respondents who were not previously offered an incentive will be offered $20, and those who were previously offered $20 will be offered $25. On the final administration wave, those who were offered $20 or $25 on the previous wave will be offered $30. The maximum total incentive a respondent can receive is $30. Table 2 provides a summary of the incentive plan for all 3 administration waves.</w:t>
      </w:r>
    </w:p>
    <w:p w:rsidR="001C7604" w:rsidRPr="0027581B" w:rsidP="001B71E6" w14:paraId="47094074" w14:textId="77777777">
      <w:pPr>
        <w:spacing w:after="0"/>
        <w:jc w:val="center"/>
        <w:rPr>
          <w:b/>
          <w:bCs/>
          <w:color w:val="0070C0"/>
          <w:sz w:val="28"/>
          <w:szCs w:val="28"/>
        </w:rPr>
      </w:pPr>
      <w:r w:rsidRPr="0027581B">
        <w:rPr>
          <w:b/>
          <w:bCs/>
          <w:color w:val="0070C0"/>
          <w:sz w:val="28"/>
          <w:szCs w:val="28"/>
        </w:rPr>
        <w:t xml:space="preserve">Table </w:t>
      </w:r>
      <w:r w:rsidRPr="0027581B" w:rsidR="001B71E6">
        <w:rPr>
          <w:b/>
          <w:bCs/>
          <w:color w:val="0070C0"/>
          <w:sz w:val="28"/>
          <w:szCs w:val="28"/>
        </w:rPr>
        <w:t>A2.</w:t>
      </w:r>
      <w:r w:rsidRPr="0027581B">
        <w:rPr>
          <w:b/>
          <w:bCs/>
          <w:color w:val="0070C0"/>
          <w:sz w:val="28"/>
          <w:szCs w:val="28"/>
        </w:rPr>
        <w:t xml:space="preserve"> Incentive Amounts by Administration Wave</w:t>
      </w:r>
    </w:p>
    <w:tbl>
      <w:tblPr>
        <w:tblStyle w:val="TableGrid2"/>
        <w:tblW w:w="5000" w:type="pct"/>
        <w:jc w:val="center"/>
        <w:tblLayout w:type="fixed"/>
        <w:tblLook w:val="04A0"/>
      </w:tblPr>
      <w:tblGrid>
        <w:gridCol w:w="3006"/>
        <w:gridCol w:w="3172"/>
        <w:gridCol w:w="3172"/>
      </w:tblGrid>
      <w:tr w14:paraId="79B7F8FE" w14:textId="77777777" w:rsidTr="00C3131C">
        <w:tblPrEx>
          <w:tblW w:w="5000" w:type="pct"/>
          <w:jc w:val="center"/>
          <w:tblLayout w:type="fixed"/>
          <w:tblLook w:val="04A0"/>
        </w:tblPrEx>
        <w:trPr>
          <w:jc w:val="center"/>
        </w:trPr>
        <w:tc>
          <w:tcPr>
            <w:tcW w:w="3006" w:type="dxa"/>
            <w:shd w:val="clear" w:color="auto" w:fill="00B0F0"/>
            <w:vAlign w:val="center"/>
          </w:tcPr>
          <w:p w:rsidR="001C7604" w:rsidRPr="001C7604" w:rsidP="001C7604" w14:paraId="48FA73AA" w14:textId="77777777">
            <w:pPr>
              <w:spacing w:line="240" w:lineRule="auto"/>
              <w:rPr>
                <w:rFonts w:asciiTheme="minorHAnsi" w:hAnsiTheme="minorHAnsi" w:cstheme="minorHAnsi"/>
                <w:b/>
                <w:bCs/>
                <w:sz w:val="22"/>
                <w:szCs w:val="22"/>
              </w:rPr>
            </w:pPr>
            <w:r w:rsidRPr="001C7604">
              <w:rPr>
                <w:rFonts w:asciiTheme="minorHAnsi" w:hAnsiTheme="minorHAnsi" w:cstheme="minorHAnsi"/>
                <w:b/>
                <w:bCs/>
                <w:sz w:val="22"/>
                <w:szCs w:val="22"/>
              </w:rPr>
              <w:t>Wave</w:t>
            </w:r>
          </w:p>
        </w:tc>
        <w:tc>
          <w:tcPr>
            <w:tcW w:w="3172" w:type="dxa"/>
            <w:shd w:val="clear" w:color="auto" w:fill="00B0F0"/>
            <w:vAlign w:val="center"/>
          </w:tcPr>
          <w:p w:rsidR="001C7604" w:rsidRPr="001C7604" w:rsidP="001C7604" w14:paraId="4B340C36" w14:textId="77777777">
            <w:pPr>
              <w:spacing w:line="240" w:lineRule="auto"/>
              <w:rPr>
                <w:rFonts w:asciiTheme="minorHAnsi" w:hAnsiTheme="minorHAnsi" w:cstheme="minorHAnsi"/>
                <w:b/>
                <w:bCs/>
                <w:sz w:val="22"/>
                <w:szCs w:val="22"/>
              </w:rPr>
            </w:pPr>
            <w:r w:rsidRPr="001C7604">
              <w:rPr>
                <w:rFonts w:asciiTheme="minorHAnsi" w:hAnsiTheme="minorHAnsi" w:cstheme="minorHAnsi"/>
                <w:b/>
                <w:bCs/>
                <w:sz w:val="22"/>
                <w:szCs w:val="22"/>
              </w:rPr>
              <w:t>Incentive Strategy for Alumni</w:t>
            </w:r>
          </w:p>
        </w:tc>
        <w:tc>
          <w:tcPr>
            <w:tcW w:w="3172" w:type="dxa"/>
            <w:shd w:val="clear" w:color="auto" w:fill="00B0F0"/>
            <w:vAlign w:val="center"/>
          </w:tcPr>
          <w:p w:rsidR="001C7604" w:rsidRPr="001C7604" w:rsidP="001C7604" w14:paraId="26C54A16" w14:textId="77777777">
            <w:pPr>
              <w:spacing w:line="240" w:lineRule="auto"/>
              <w:rPr>
                <w:rFonts w:asciiTheme="minorHAnsi" w:hAnsiTheme="minorHAnsi" w:cstheme="minorHAnsi"/>
                <w:b/>
                <w:bCs/>
                <w:sz w:val="22"/>
                <w:szCs w:val="22"/>
              </w:rPr>
            </w:pPr>
            <w:r w:rsidRPr="001C7604">
              <w:rPr>
                <w:rFonts w:asciiTheme="minorHAnsi" w:hAnsiTheme="minorHAnsi" w:cstheme="minorHAnsi"/>
                <w:b/>
                <w:bCs/>
                <w:sz w:val="22"/>
                <w:szCs w:val="22"/>
              </w:rPr>
              <w:t>Incentive Strategy for Non-Participants</w:t>
            </w:r>
          </w:p>
        </w:tc>
      </w:tr>
      <w:tr w14:paraId="520C28E7" w14:textId="77777777" w:rsidTr="001C7604">
        <w:tblPrEx>
          <w:tblW w:w="5000" w:type="pct"/>
          <w:jc w:val="center"/>
          <w:tblLayout w:type="fixed"/>
          <w:tblLook w:val="04A0"/>
        </w:tblPrEx>
        <w:trPr>
          <w:jc w:val="center"/>
        </w:trPr>
        <w:tc>
          <w:tcPr>
            <w:tcW w:w="3006" w:type="dxa"/>
          </w:tcPr>
          <w:p w:rsidR="001C7604" w:rsidRPr="001C7604" w:rsidP="001C7604" w14:paraId="21D821A9" w14:textId="77777777">
            <w:pPr>
              <w:spacing w:line="240" w:lineRule="auto"/>
              <w:rPr>
                <w:rFonts w:asciiTheme="minorHAnsi" w:hAnsiTheme="minorHAnsi" w:cstheme="minorHAnsi"/>
                <w:i/>
                <w:sz w:val="22"/>
                <w:szCs w:val="22"/>
              </w:rPr>
            </w:pPr>
            <w:r w:rsidRPr="001C7604">
              <w:rPr>
                <w:rFonts w:asciiTheme="minorHAnsi" w:hAnsiTheme="minorHAnsi" w:cstheme="minorHAnsi"/>
                <w:i/>
                <w:sz w:val="22"/>
                <w:szCs w:val="22"/>
              </w:rPr>
              <w:t>First Wave – Initial Email Invitation + 2 Reminders</w:t>
            </w:r>
          </w:p>
        </w:tc>
        <w:tc>
          <w:tcPr>
            <w:tcW w:w="3172" w:type="dxa"/>
          </w:tcPr>
          <w:p w:rsidR="001C7604" w:rsidRPr="001C7604" w:rsidP="001C7604" w14:paraId="7B900DC2" w14:textId="77777777">
            <w:pPr>
              <w:spacing w:line="240" w:lineRule="auto"/>
              <w:rPr>
                <w:rFonts w:asciiTheme="minorHAnsi" w:hAnsiTheme="minorHAnsi" w:cstheme="minorHAnsi"/>
                <w:sz w:val="22"/>
                <w:szCs w:val="22"/>
                <w:u w:val="single"/>
              </w:rPr>
            </w:pPr>
            <w:r w:rsidRPr="001C7604">
              <w:rPr>
                <w:rFonts w:asciiTheme="minorHAnsi" w:hAnsiTheme="minorHAnsi" w:cstheme="minorHAnsi"/>
                <w:sz w:val="22"/>
                <w:szCs w:val="22"/>
                <w:u w:val="single"/>
              </w:rPr>
              <w:t>Initial Email addresses</w:t>
            </w:r>
          </w:p>
          <w:p w:rsidR="001C7604" w:rsidRPr="001C7604" w:rsidP="001C7604" w14:paraId="606CC29C"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$30 (25%)</w:t>
            </w:r>
          </w:p>
          <w:p w:rsidR="001C7604" w:rsidRPr="001C7604" w:rsidP="001C7604" w14:paraId="4772D3AE"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$20 (25%)</w:t>
            </w:r>
          </w:p>
          <w:p w:rsidR="001C7604" w:rsidRPr="001C7604" w:rsidP="001C7604" w14:paraId="1B2FA177"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$0 (50%)</w:t>
            </w:r>
          </w:p>
        </w:tc>
        <w:tc>
          <w:tcPr>
            <w:tcW w:w="3172" w:type="dxa"/>
          </w:tcPr>
          <w:p w:rsidR="001C7604" w:rsidRPr="001C7604" w:rsidP="001C7604" w14:paraId="0D521140" w14:textId="77777777">
            <w:pPr>
              <w:spacing w:line="240" w:lineRule="auto"/>
              <w:rPr>
                <w:rFonts w:asciiTheme="minorHAnsi" w:hAnsiTheme="minorHAnsi" w:cstheme="minorHAnsi"/>
                <w:sz w:val="22"/>
                <w:szCs w:val="22"/>
                <w:u w:val="single"/>
              </w:rPr>
            </w:pPr>
            <w:r w:rsidRPr="001C7604">
              <w:rPr>
                <w:rFonts w:asciiTheme="minorHAnsi" w:hAnsiTheme="minorHAnsi" w:cstheme="minorHAnsi"/>
                <w:sz w:val="22"/>
                <w:szCs w:val="22"/>
                <w:u w:val="single"/>
              </w:rPr>
              <w:t>Initial Email addresses</w:t>
            </w:r>
          </w:p>
          <w:p w:rsidR="001C7604" w:rsidRPr="001C7604" w:rsidP="001C7604" w14:paraId="206C6E83"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$30 (25%)</w:t>
            </w:r>
          </w:p>
          <w:p w:rsidR="001C7604" w:rsidRPr="001C7604" w:rsidP="001C7604" w14:paraId="7AD85C25"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$20 (25%)</w:t>
            </w:r>
          </w:p>
          <w:p w:rsidR="001C7604" w:rsidRPr="001C7604" w:rsidP="001C7604" w14:paraId="5953FF5C"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 xml:space="preserve">$0 (50%) </w:t>
            </w:r>
          </w:p>
          <w:p w:rsidR="001C7604" w:rsidRPr="001C7604" w:rsidP="001C7604" w14:paraId="06785972" w14:textId="77777777">
            <w:pPr>
              <w:spacing w:line="240" w:lineRule="auto"/>
              <w:rPr>
                <w:rFonts w:asciiTheme="minorHAnsi" w:hAnsiTheme="minorHAnsi" w:cstheme="minorHAnsi"/>
                <w:sz w:val="22"/>
                <w:szCs w:val="22"/>
              </w:rPr>
            </w:pPr>
          </w:p>
        </w:tc>
      </w:tr>
      <w:tr w14:paraId="00F57DEF" w14:textId="77777777" w:rsidTr="001C7604">
        <w:tblPrEx>
          <w:tblW w:w="5000" w:type="pct"/>
          <w:jc w:val="center"/>
          <w:tblLayout w:type="fixed"/>
          <w:tblLook w:val="04A0"/>
        </w:tblPrEx>
        <w:trPr>
          <w:jc w:val="center"/>
        </w:trPr>
        <w:tc>
          <w:tcPr>
            <w:tcW w:w="3006" w:type="dxa"/>
          </w:tcPr>
          <w:p w:rsidR="001C7604" w:rsidRPr="001C7604" w:rsidP="001C7604" w14:paraId="378A127D" w14:textId="77777777">
            <w:pPr>
              <w:spacing w:line="240" w:lineRule="auto"/>
              <w:rPr>
                <w:rFonts w:asciiTheme="minorHAnsi" w:hAnsiTheme="minorHAnsi" w:cstheme="minorHAnsi"/>
                <w:i/>
                <w:sz w:val="22"/>
                <w:szCs w:val="22"/>
              </w:rPr>
            </w:pPr>
            <w:r w:rsidRPr="001C7604">
              <w:rPr>
                <w:rFonts w:asciiTheme="minorHAnsi" w:hAnsiTheme="minorHAnsi" w:cstheme="minorHAnsi"/>
                <w:i/>
                <w:sz w:val="22"/>
                <w:szCs w:val="22"/>
              </w:rPr>
              <w:t>Second Wave – Targeted Email Invitation + 2 Reminders</w:t>
            </w:r>
          </w:p>
        </w:tc>
        <w:tc>
          <w:tcPr>
            <w:tcW w:w="3172" w:type="dxa"/>
          </w:tcPr>
          <w:p w:rsidR="001C7604" w:rsidRPr="001C7604" w:rsidP="001C7604" w14:paraId="46F426D1"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$30 (25%*)</w:t>
            </w:r>
          </w:p>
          <w:p w:rsidR="001C7604" w:rsidRPr="001C7604" w:rsidP="001C7604" w14:paraId="1F81FEDD"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$25 (25%*)</w:t>
            </w:r>
          </w:p>
          <w:p w:rsidR="001C7604" w:rsidRPr="001C7604" w:rsidP="001C7604" w14:paraId="591B1D14"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 xml:space="preserve">$20 (50%*) </w:t>
            </w:r>
          </w:p>
        </w:tc>
        <w:tc>
          <w:tcPr>
            <w:tcW w:w="3172" w:type="dxa"/>
          </w:tcPr>
          <w:p w:rsidR="001C7604" w:rsidRPr="001C7604" w:rsidP="001C7604" w14:paraId="00377C55"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$30 (25%*)</w:t>
            </w:r>
          </w:p>
          <w:p w:rsidR="001C7604" w:rsidRPr="001C7604" w:rsidP="001C7604" w14:paraId="6BA98A37"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$25 (25%*)</w:t>
            </w:r>
          </w:p>
          <w:p w:rsidR="001C7604" w:rsidRPr="001C7604" w:rsidP="001C7604" w14:paraId="622848CE"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 xml:space="preserve">$20 (50%*) </w:t>
            </w:r>
          </w:p>
          <w:p w:rsidR="001C7604" w:rsidRPr="001C7604" w:rsidP="001C7604" w14:paraId="3E7DF38F" w14:textId="77777777">
            <w:pPr>
              <w:spacing w:line="240" w:lineRule="auto"/>
              <w:rPr>
                <w:rFonts w:asciiTheme="minorHAnsi" w:hAnsiTheme="minorHAnsi" w:cstheme="minorHAnsi"/>
                <w:sz w:val="22"/>
                <w:szCs w:val="22"/>
              </w:rPr>
            </w:pPr>
          </w:p>
        </w:tc>
      </w:tr>
      <w:tr w14:paraId="3A26061D" w14:textId="77777777" w:rsidTr="001C7604">
        <w:tblPrEx>
          <w:tblW w:w="5000" w:type="pct"/>
          <w:jc w:val="center"/>
          <w:tblLayout w:type="fixed"/>
          <w:tblLook w:val="04A0"/>
        </w:tblPrEx>
        <w:trPr>
          <w:jc w:val="center"/>
        </w:trPr>
        <w:tc>
          <w:tcPr>
            <w:tcW w:w="3006" w:type="dxa"/>
          </w:tcPr>
          <w:p w:rsidR="001C7604" w:rsidRPr="001C7604" w:rsidP="001C7604" w14:paraId="64ECEA27" w14:textId="77777777">
            <w:pPr>
              <w:spacing w:line="240" w:lineRule="auto"/>
              <w:rPr>
                <w:rFonts w:asciiTheme="minorHAnsi" w:hAnsiTheme="minorHAnsi" w:cstheme="minorHAnsi"/>
                <w:i/>
                <w:sz w:val="22"/>
                <w:szCs w:val="22"/>
              </w:rPr>
            </w:pPr>
            <w:r w:rsidRPr="001C7604">
              <w:rPr>
                <w:rFonts w:asciiTheme="minorHAnsi" w:hAnsiTheme="minorHAnsi" w:cstheme="minorHAnsi"/>
                <w:i/>
                <w:sz w:val="22"/>
                <w:szCs w:val="22"/>
              </w:rPr>
              <w:t>Final Wave – Targeted Phone Call + Email Invitation + 2 Reminders</w:t>
            </w:r>
          </w:p>
        </w:tc>
        <w:tc>
          <w:tcPr>
            <w:tcW w:w="3172" w:type="dxa"/>
          </w:tcPr>
          <w:p w:rsidR="001C7604" w:rsidRPr="001C7604" w:rsidP="001C7604" w14:paraId="6FDFBA13"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$30</w:t>
            </w:r>
          </w:p>
          <w:p w:rsidR="001C7604" w:rsidRPr="001C7604" w:rsidP="001C7604" w14:paraId="74F26362" w14:textId="77777777">
            <w:pPr>
              <w:spacing w:line="240" w:lineRule="auto"/>
              <w:rPr>
                <w:rFonts w:asciiTheme="minorHAnsi" w:hAnsiTheme="minorHAnsi" w:cstheme="minorHAnsi"/>
                <w:sz w:val="22"/>
                <w:szCs w:val="22"/>
                <w:u w:val="single"/>
              </w:rPr>
            </w:pPr>
            <w:r w:rsidRPr="001C7604">
              <w:rPr>
                <w:rFonts w:asciiTheme="minorHAnsi" w:hAnsiTheme="minorHAnsi" w:cstheme="minorHAnsi"/>
                <w:sz w:val="22"/>
                <w:szCs w:val="22"/>
              </w:rPr>
              <w:t xml:space="preserve"> </w:t>
            </w:r>
          </w:p>
        </w:tc>
        <w:tc>
          <w:tcPr>
            <w:tcW w:w="3172" w:type="dxa"/>
          </w:tcPr>
          <w:p w:rsidR="001C7604" w:rsidRPr="001C7604" w:rsidP="001C7604" w14:paraId="11DBA9CE"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$30</w:t>
            </w:r>
          </w:p>
          <w:p w:rsidR="001C7604" w:rsidRPr="001C7604" w:rsidP="001C7604" w14:paraId="330DF969" w14:textId="77777777">
            <w:pPr>
              <w:spacing w:line="240" w:lineRule="auto"/>
              <w:rPr>
                <w:rFonts w:asciiTheme="minorHAnsi" w:hAnsiTheme="minorHAnsi" w:cstheme="minorHAnsi"/>
                <w:sz w:val="22"/>
                <w:szCs w:val="22"/>
                <w:u w:val="single"/>
              </w:rPr>
            </w:pPr>
          </w:p>
        </w:tc>
      </w:tr>
    </w:tbl>
    <w:p w:rsidR="001C7604" w:rsidRPr="00BB07E1" w:rsidP="001C7604" w14:paraId="5FC55FA0" w14:textId="77777777">
      <w:r w:rsidRPr="00BB07E1">
        <w:t>*Approximate percentages</w:t>
      </w:r>
    </w:p>
    <w:p w:rsidR="001C7604" w:rsidRPr="001C7604" w:rsidP="00A41763" w14:paraId="31F255D7" w14:textId="77777777">
      <w:pPr>
        <w:rPr>
          <w:iCs/>
        </w:rPr>
      </w:pPr>
      <w:r w:rsidRPr="00BB07E1">
        <w:rPr>
          <w:iCs/>
        </w:rPr>
        <w:t xml:space="preserve">In the second and third administration waves, we will attempt to address non-response bias through our incentive strategy. We will assess non-response bias in demographic categories determined by previous analysis of the demographic composition of the study population, then selectively reach out to a stratified random sampling of non-respondents to encourage them to re-consider. Evaluators will select a balanced stratified random sample of remaining non-respondents in both the SULI alumni and the </w:t>
      </w:r>
      <w:r w:rsidRPr="00BB07E1">
        <w:rPr>
          <w:iCs/>
        </w:rPr>
        <w:t xml:space="preserve">comparison </w:t>
      </w:r>
      <w:r w:rsidRPr="00BB07E1" w:rsidR="00AA5922">
        <w:rPr>
          <w:iCs/>
        </w:rPr>
        <w:t>group</w:t>
      </w:r>
      <w:r w:rsidR="00AA5922">
        <w:rPr>
          <w:iCs/>
        </w:rPr>
        <w:t xml:space="preserve"> and</w:t>
      </w:r>
      <w:r w:rsidRPr="00BB07E1">
        <w:rPr>
          <w:iCs/>
        </w:rPr>
        <w:t xml:space="preserve"> contact them for the following wave of administration with increased incentive values and a modified invitation. The second wave will target approximately 2,000 non-respondents (1,000 SULI participants and 1,000 non-participants) in this way, and the third wave will target an additional 1,000 (500 SULI participants and 500 non-participants). Specific counts will depend on the number of non-respondents and the degree of non-response bias measured following the previous wave. Non-respondents who are in a track with increasing incentives and who are selected into the stratified random sample for the second wave will be contacted separately. </w:t>
      </w:r>
    </w:p>
    <w:p w:rsidR="008C734C" w:rsidP="003C74CA" w14:paraId="38D3F558" w14:textId="77777777">
      <w:pPr>
        <w:pStyle w:val="Heading2"/>
      </w:pPr>
      <w:bookmarkStart w:id="14" w:name="_Toc16271328"/>
      <w:r>
        <w:t>A.</w:t>
      </w:r>
      <w:r w:rsidRPr="00A41763" w:rsidR="00A41763">
        <w:t xml:space="preserve">10. </w:t>
      </w:r>
      <w:r w:rsidRPr="008C734C">
        <w:t>Provisions for Protection of Information</w:t>
      </w:r>
      <w:bookmarkEnd w:id="14"/>
      <w:r w:rsidRPr="008C734C">
        <w:t xml:space="preserve"> </w:t>
      </w:r>
    </w:p>
    <w:p w:rsidR="00A41763" w:rsidRPr="00A41763" w:rsidP="2E6E1780" w14:paraId="3677FB73" w14:textId="77777777">
      <w:pPr>
        <w:rPr>
          <w:b/>
          <w:bCs/>
        </w:rPr>
      </w:pPr>
      <w:r w:rsidRPr="2E6E1780">
        <w:rPr>
          <w:b/>
          <w:bCs/>
        </w:rPr>
        <w:t xml:space="preserve">Describe any assurance of confidentiality provided to respondents and the basis for the assurance in statute, regulation, or agency policy. </w:t>
      </w:r>
    </w:p>
    <w:p w:rsidR="0027581B" w:rsidRPr="001C7604" w:rsidP="58D19240" w14:paraId="33F63362" w14:textId="77777777">
      <w:pPr>
        <w:spacing w:after="0"/>
        <w:rPr>
          <w:rFonts w:eastAsiaTheme="minorEastAsia"/>
        </w:rPr>
      </w:pPr>
      <w:r w:rsidRPr="2E6E1780">
        <w:rPr>
          <w:rFonts w:eastAsiaTheme="minorEastAsia"/>
        </w:rPr>
        <w:t xml:space="preserve">This information is collected by ORISE on behalf of DOE WDTS, the </w:t>
      </w:r>
      <w:r w:rsidRPr="2E6E1780" w:rsidR="6A71DE5E">
        <w:rPr>
          <w:rFonts w:eastAsiaTheme="minorEastAsia"/>
        </w:rPr>
        <w:t>Privacy Act</w:t>
      </w:r>
      <w:r w:rsidRPr="2E6E1780" w:rsidR="2FC99653">
        <w:rPr>
          <w:rFonts w:eastAsiaTheme="minorEastAsia"/>
        </w:rPr>
        <w:t xml:space="preserve"> is applicable and the DOE System of Record is System 82. </w:t>
      </w:r>
      <w:r w:rsidRPr="2E6E1780" w:rsidR="6A71DE5E">
        <w:rPr>
          <w:rFonts w:eastAsiaTheme="minorEastAsia"/>
        </w:rPr>
        <w:t>Information will be collected in identifiable form and data can be retrieved by individually identifiable data elements. Individually identifiable data collected to facilitate the collection of response data (names, telephone numbers, e-mail addresses) will be kept by ORISE in a password protected file. ORISE will delete this file after the project is completed. Subcontractors sign a pledge not to release information.</w:t>
      </w:r>
    </w:p>
    <w:p w:rsidR="58D19240" w:rsidP="58D19240" w14:paraId="071E10D2" w14:textId="77777777">
      <w:pPr>
        <w:spacing w:after="0"/>
        <w:rPr>
          <w:rFonts w:eastAsiaTheme="minorEastAsia"/>
        </w:rPr>
      </w:pPr>
    </w:p>
    <w:p w:rsidR="0027581B" w:rsidRPr="001C7604" w:rsidP="0027581B" w14:paraId="2777F014" w14:textId="77777777">
      <w:r w:rsidRPr="58D19240">
        <w:rPr>
          <w:rFonts w:eastAsiaTheme="minorEastAsia"/>
        </w:rPr>
        <w:t>Survey data will be maintained in password protected files on ORISE’s secure servers. It will be accessible only to staff directly involved in the project. Upon project com</w:t>
      </w:r>
      <w:r>
        <w:t xml:space="preserve">pletion, the dataset containing de-identified survey responses will be maintained as a digital file and maintained indefinitely. This study will use ORISE’s comprehensive secure servers and systems for data collection and storage to ensure confidentiality and protection of all human data and PII/PHI. To meet requirements of the Federal Information Security Management Act (FISMA), ORISE maintains an Authority to Operate (ATO) from the U.S. Department of Energy. The ATO ensures that the ORISE General Support System (GSS) meets federal security requirements and will continue to do so throughout the system life cycle. This authorization enables ORISE to process U.S. Government information on its computer systems. The ORISE GSS is currently authorized to process up to, and including, FIPS-199 Moderate data. ORISE uses a NIST 800-53 (revision 4) Moderate baseline to ensure that security controls appropriate to the information security category are in place. Periodic self-assessments, peer reviews, independent assessments, and continuous monitoring are performed to </w:t>
      </w:r>
      <w:r w:rsidR="00B370B0">
        <w:t>ensure</w:t>
      </w:r>
      <w:r>
        <w:t xml:space="preserve"> controls are performing properly.</w:t>
      </w:r>
    </w:p>
    <w:p w:rsidR="0027581B" w:rsidRPr="001C7604" w:rsidP="0027581B" w14:paraId="3F41F40D" w14:textId="77777777">
      <w:r w:rsidRPr="001C7604">
        <w:t>Respondents</w:t>
      </w:r>
      <w:r>
        <w:t xml:space="preserve"> will</w:t>
      </w:r>
      <w:r w:rsidRPr="001C7604">
        <w:t xml:space="preserve"> receive information under each of the following rubrics prior to data collection:</w:t>
      </w:r>
    </w:p>
    <w:p w:rsidR="0027581B" w:rsidRPr="001C7604" w:rsidP="0027581B" w14:paraId="603C66D2" w14:textId="77777777">
      <w:pPr>
        <w:rPr>
          <w:i/>
          <w:iCs/>
        </w:rPr>
      </w:pPr>
      <w:r w:rsidRPr="001C7604">
        <w:rPr>
          <w:i/>
          <w:iCs/>
        </w:rPr>
        <w:t>PII Collection</w:t>
      </w:r>
    </w:p>
    <w:p w:rsidR="0027581B" w:rsidRPr="001C7604" w:rsidP="0027581B" w14:paraId="084166CD" w14:textId="77777777">
      <w:r w:rsidRPr="001C7604">
        <w:t>Your personal data will be used for research and evaluation purposes. The categories of personal data you are being asked to consent to ORISE’s collection and use are your name, address, email address, telephone number, demographic information, education and employment history, citizenship status, and disability status.</w:t>
      </w:r>
    </w:p>
    <w:p w:rsidR="0027581B" w:rsidRPr="001C7604" w:rsidP="0027581B" w14:paraId="50117826" w14:textId="77777777">
      <w:pPr>
        <w:rPr>
          <w:i/>
          <w:iCs/>
        </w:rPr>
      </w:pPr>
      <w:r w:rsidRPr="001C7604">
        <w:rPr>
          <w:i/>
          <w:iCs/>
        </w:rPr>
        <w:t>Confidentiality</w:t>
      </w:r>
    </w:p>
    <w:p w:rsidR="0027581B" w:rsidRPr="001C7604" w:rsidP="0027581B" w14:paraId="493B340E" w14:textId="77777777">
      <w:r w:rsidRPr="001C7604">
        <w:t xml:space="preserve">All information obtained in this study is strictly confidential. If you choose to provide contact information for future research studies or to learn more about SULI alumni opportunities, that information will be separated from your survey responses, stored separately, and shared with the Workforce Development for Teachers and Scientists (WTDS) program that manages SULI. </w:t>
      </w:r>
    </w:p>
    <w:p w:rsidR="0027581B" w:rsidRPr="001C7604" w:rsidP="0027581B" w14:paraId="7F48C64A" w14:textId="77777777">
      <w:pPr>
        <w:rPr>
          <w:i/>
          <w:iCs/>
        </w:rPr>
      </w:pPr>
      <w:r w:rsidRPr="001C7604">
        <w:rPr>
          <w:i/>
          <w:iCs/>
        </w:rPr>
        <w:t>Data Use</w:t>
      </w:r>
    </w:p>
    <w:p w:rsidR="0027581B" w:rsidRPr="001C7604" w:rsidP="0027581B" w14:paraId="25EBF07B" w14:textId="77777777">
      <w:r w:rsidRPr="001C7604">
        <w:t>Contact information will only be used for the purposes noted in the survey. The results of this research study may be used in reports, presentations, and publications, but the researchers will not identify you unless you are contacted and specifically provide additional permission for specific data to be released. In order to maintain confidentiality of your records, the investigators will keep the names of the subjects confidential. The information will be stored on a secure server and will be password protected. Only the researchers will have access to disaggregated, confidential information.</w:t>
      </w:r>
    </w:p>
    <w:p w:rsidR="0027581B" w:rsidRPr="001C7604" w:rsidP="0027581B" w14:paraId="6775723A" w14:textId="77777777">
      <w:pPr>
        <w:rPr>
          <w:i/>
          <w:iCs/>
        </w:rPr>
      </w:pPr>
      <w:r w:rsidRPr="001C7604">
        <w:rPr>
          <w:i/>
          <w:iCs/>
        </w:rPr>
        <w:t>Third-Party Accountability</w:t>
      </w:r>
    </w:p>
    <w:p w:rsidR="0027581B" w:rsidRPr="001C7604" w:rsidP="0027581B" w14:paraId="1FAC0938" w14:textId="77777777">
      <w:r w:rsidRPr="001C7604">
        <w:t>ORISE may share some of your personal data with third parties who collect, store, and process your personal data on behalf of ORISE and who are contractually obligated to keep your personal data confidential subject to appropriate protections to prevent it from unauthorized disclosure. If you choose to provide contact information for future use, that information will be separated from your survey responses, stored separately, and shared with the Workforce Development for Teachers and Scientists program that manages SULI.</w:t>
      </w:r>
    </w:p>
    <w:p w:rsidR="0027581B" w:rsidRPr="001C7604" w:rsidP="0027581B" w14:paraId="25EA5D45" w14:textId="77777777">
      <w:pPr>
        <w:rPr>
          <w:i/>
          <w:iCs/>
        </w:rPr>
      </w:pPr>
      <w:r w:rsidRPr="001C7604">
        <w:rPr>
          <w:i/>
          <w:iCs/>
        </w:rPr>
        <w:t>Data Security</w:t>
      </w:r>
    </w:p>
    <w:p w:rsidR="00F056C3" w:rsidRPr="0027581B" w:rsidP="00A41763" w14:paraId="2B08F530" w14:textId="77777777">
      <w:r w:rsidRPr="001C7604">
        <w:t>Your personal data will be stored on an encrypted secure server. Your personal data will be stored in accordance with the record retention requirements applicable to ORISE as a United States Department of Energy contractor, and any other applicable U.S. laws. You have the right to request access to, rectify, erase, and restrict the processing of your personal data. You also have the right to revoke this consent to use your personal data.</w:t>
      </w:r>
    </w:p>
    <w:p w:rsidR="00F056C3" w:rsidP="003C74CA" w14:paraId="11B2F31B" w14:textId="77777777">
      <w:pPr>
        <w:pStyle w:val="Heading2"/>
      </w:pPr>
      <w:bookmarkStart w:id="15" w:name="_Toc16271329"/>
      <w:r>
        <w:t>A.</w:t>
      </w:r>
      <w:r w:rsidRPr="00A41763" w:rsidR="00A41763">
        <w:t xml:space="preserve">11. </w:t>
      </w:r>
      <w:r w:rsidRPr="00F056C3">
        <w:t>Justification for Sensitive Questions</w:t>
      </w:r>
      <w:bookmarkEnd w:id="15"/>
      <w:r w:rsidRPr="00F056C3">
        <w:t xml:space="preserve"> </w:t>
      </w:r>
    </w:p>
    <w:p w:rsidR="00A41763" w:rsidRPr="00A41763" w:rsidP="00A41763" w14:paraId="1924FCEC"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004E34B1" w:rsidRPr="004E34B1" w:rsidP="00A41763" w14:paraId="3B07A05C" w14:textId="77777777">
      <w:r>
        <w:t>No sensitive questions are asked.</w:t>
      </w:r>
    </w:p>
    <w:p w:rsidR="00F056C3" w:rsidP="003C74CA" w14:paraId="2E9FACDC" w14:textId="77777777">
      <w:pPr>
        <w:pStyle w:val="Heading2"/>
      </w:pPr>
      <w:bookmarkStart w:id="16" w:name="_Toc16271330"/>
      <w:r>
        <w:t>A.</w:t>
      </w:r>
      <w:r w:rsidRPr="00A41763" w:rsidR="00A41763">
        <w:t>12</w:t>
      </w:r>
      <w:r w:rsidR="006F3C12">
        <w:t>A</w:t>
      </w:r>
      <w:r w:rsidRPr="00A41763" w:rsidR="00A41763">
        <w:t xml:space="preserve">. </w:t>
      </w:r>
      <w:r w:rsidRPr="00F056C3">
        <w:t>Estimate of Respondent Burden Hours</w:t>
      </w:r>
      <w:bookmarkEnd w:id="16"/>
      <w:r w:rsidRPr="00F056C3">
        <w:t xml:space="preserve"> </w:t>
      </w:r>
    </w:p>
    <w:p w:rsidR="00537A91" w:rsidP="001B71E6" w14:paraId="3EB739AE" w14:textId="77777777">
      <w:pPr>
        <w:pStyle w:val="Default"/>
        <w:rPr>
          <w:rFonts w:asciiTheme="minorHAnsi" w:hAnsiTheme="minorHAnsi" w:cstheme="minorHAnsi"/>
          <w:b/>
          <w:bCs/>
          <w:sz w:val="22"/>
          <w:szCs w:val="22"/>
        </w:rPr>
      </w:pPr>
      <w:r w:rsidRPr="001B71E6">
        <w:rPr>
          <w:rFonts w:asciiTheme="minorHAnsi" w:hAnsiTheme="minorHAnsi" w:cstheme="minorHAnsi"/>
          <w:b/>
          <w:bCs/>
          <w:sz w:val="22"/>
          <w:szCs w:val="22"/>
        </w:rPr>
        <w:t xml:space="preserve">Provide estimates of the hour burden of the collection of information. The statement should indicate the number of respondents, frequency of response, annual hour burden, and </w:t>
      </w:r>
      <w:r w:rsidRPr="001B71E6">
        <w:rPr>
          <w:rFonts w:asciiTheme="minorHAnsi" w:hAnsiTheme="minorHAnsi" w:cstheme="minorHAnsi"/>
          <w:b/>
          <w:bCs/>
          <w:sz w:val="22"/>
          <w:szCs w:val="22"/>
          <w:u w:val="single"/>
        </w:rPr>
        <w:t>an explanation of how the burden was estimated</w:t>
      </w:r>
      <w:r w:rsidRPr="001B71E6">
        <w:rPr>
          <w:rFonts w:asciiTheme="minorHAnsi" w:hAnsiTheme="minorHAnsi" w:cstheme="minorHAnsi"/>
          <w:b/>
          <w:bCs/>
          <w:sz w:val="22"/>
          <w:szCs w:val="22"/>
        </w:rPr>
        <w:t xml:space="preserve">. Unless directed to do so, DOE should not conduct special surveys to obtain information on which to base hour burden estimates. Consultation with a sample fewer than 10 potential respondents is desirable. </w:t>
      </w:r>
    </w:p>
    <w:p w:rsidR="001B71E6" w:rsidRPr="001B71E6" w:rsidP="001B71E6" w14:paraId="162CA62D" w14:textId="77777777">
      <w:pPr>
        <w:pStyle w:val="Default"/>
        <w:rPr>
          <w:rFonts w:asciiTheme="minorHAnsi" w:hAnsiTheme="minorHAnsi" w:cstheme="minorHAnsi"/>
          <w:sz w:val="22"/>
          <w:szCs w:val="22"/>
        </w:rPr>
      </w:pPr>
    </w:p>
    <w:p w:rsidR="001B71E6" w:rsidRPr="001B71E6" w:rsidP="001B71E6" w14:paraId="49EFB748" w14:textId="77777777">
      <w:pPr>
        <w:pStyle w:val="Default"/>
        <w:rPr>
          <w:i/>
          <w:iCs/>
        </w:rPr>
      </w:pPr>
    </w:p>
    <w:p w:rsidR="001B71E6" w:rsidRPr="00542252" w:rsidP="58D19240" w14:paraId="0C572212" w14:textId="77777777">
      <w:r>
        <w:t xml:space="preserve">The estimate for burden hours is based on a pilot test of the survey instrument by ORISE personnel. In the pilot test, the average time to complete the survey including time for reviewing instructions, gathering needed information, and completing the survey was 25-30 minutes. Based on these results, the estimated time range for actual respondents to complete the survey is 25-30 minutes. For the purposes of estimating burden hours, the upper limit of this range is </w:t>
      </w:r>
      <w:r w:rsidR="78CA1795">
        <w:t>assum</w:t>
      </w:r>
      <w:r>
        <w:t xml:space="preserve">ed. </w:t>
      </w:r>
      <w:r w:rsidR="3F0549E4">
        <w:t xml:space="preserve">Furthermore, we expect that </w:t>
      </w:r>
      <w:r w:rsidR="1009B5E7">
        <w:t>some</w:t>
      </w:r>
      <w:r w:rsidR="3F0549E4">
        <w:t xml:space="preserve"> potential respondents will </w:t>
      </w:r>
      <w:r w:rsidR="1FA0933F">
        <w:t>need to be</w:t>
      </w:r>
      <w:r w:rsidR="3F0549E4">
        <w:t xml:space="preserve"> contacted by telephone to attempt to solicit their participation </w:t>
      </w:r>
      <w:r w:rsidR="205A8153">
        <w:t>in the online survey. Th</w:t>
      </w:r>
      <w:r w:rsidR="62E525DD">
        <w:t>e</w:t>
      </w:r>
      <w:r w:rsidR="205A8153">
        <w:t xml:space="preserve"> phone script adds up to 5 </w:t>
      </w:r>
      <w:r w:rsidR="34478E02">
        <w:t xml:space="preserve">additional </w:t>
      </w:r>
      <w:r w:rsidR="205A8153">
        <w:t xml:space="preserve">minutes </w:t>
      </w:r>
      <w:r w:rsidR="1DDE5B37">
        <w:t>to the completion time</w:t>
      </w:r>
      <w:r w:rsidR="425BD329">
        <w:t xml:space="preserve">. Since it is not possible to predict </w:t>
      </w:r>
      <w:r w:rsidR="198149EC">
        <w:t xml:space="preserve">ahead of time </w:t>
      </w:r>
      <w:r w:rsidR="425BD329">
        <w:t>what proportion of survey respondents will need to be contact</w:t>
      </w:r>
      <w:r w:rsidR="286E1DCE">
        <w:t>ed</w:t>
      </w:r>
      <w:r w:rsidR="425BD329">
        <w:t xml:space="preserve"> by telephone, we assume that each </w:t>
      </w:r>
      <w:r w:rsidR="5797C064">
        <w:t xml:space="preserve">respondent </w:t>
      </w:r>
      <w:r w:rsidR="547EE62F">
        <w:t>will</w:t>
      </w:r>
      <w:r w:rsidR="2E6A3055">
        <w:t xml:space="preserve"> </w:t>
      </w:r>
      <w:r w:rsidR="5797C064">
        <w:t>be contact</w:t>
      </w:r>
      <w:r w:rsidR="75E9D310">
        <w:t>ed</w:t>
      </w:r>
      <w:r w:rsidR="5797C064">
        <w:t xml:space="preserve"> by phone</w:t>
      </w:r>
      <w:r w:rsidR="5BF758DC">
        <w:t xml:space="preserve"> to solicit their participation</w:t>
      </w:r>
      <w:r w:rsidR="5797C064">
        <w:t xml:space="preserve">, thus increasing the </w:t>
      </w:r>
      <w:r w:rsidR="5B1D195A">
        <w:t xml:space="preserve">average </w:t>
      </w:r>
      <w:r w:rsidR="5797C064">
        <w:t>time for completion to 35 minutes.</w:t>
      </w:r>
    </w:p>
    <w:p w:rsidR="4A1BFC7F" w:rsidP="3977CD1B" w14:paraId="05C2C903" w14:textId="77777777">
      <w:r>
        <w:t>Based on an analysis of a sample of SULI alumni conducted by ORISE, using only publicly available data, an anticipated 40% of respondents are in the “Life, Physical, and Social Scientist Technicians” category, 30% are in the “Computer and Mathematical Occupations” category, and 30% are in the “Architecture and Engineering Occupations” category. The breakdown of occupations for non-alumni is expected to be similar, based the fields of study of applicants to the SULI program.</w:t>
      </w:r>
    </w:p>
    <w:p w:rsidR="001B71E6" w:rsidP="58D19240" w14:paraId="1CA61B9C" w14:textId="77777777">
      <w:r>
        <w:t>The respondent universe is based on: (1) approx. 3000 SULI alumni, and (2) approx. 3,000 members of the comparison pool (non-participation SULI applicants). With an expected response rate of 40% in each group, an estimated 2,400 respondents are anticipated to participate in the survey. With an average completion time of 3</w:t>
      </w:r>
      <w:r w:rsidR="346885C2">
        <w:t>5</w:t>
      </w:r>
      <w:r>
        <w:t xml:space="preserve"> minutes, the annual respondent burden is estimated to be 1,</w:t>
      </w:r>
      <w:r w:rsidR="60AEF8AA">
        <w:t>4</w:t>
      </w:r>
      <w:r>
        <w:t xml:space="preserve">00 hours.  </w:t>
      </w:r>
    </w:p>
    <w:p w:rsidR="58D19240" w:rsidP="58D19240" w14:paraId="2B7DE6E5" w14:textId="77777777"/>
    <w:p w:rsidR="58D19240" w:rsidP="3977CD1B" w14:paraId="180FB403" w14:textId="77777777">
      <w:pPr>
        <w:spacing w:after="0"/>
        <w:jc w:val="center"/>
        <w:rPr>
          <w:b/>
          <w:bCs/>
          <w:color w:val="0070C0"/>
          <w:sz w:val="28"/>
          <w:szCs w:val="28"/>
        </w:rPr>
      </w:pPr>
      <w:r w:rsidRPr="3977CD1B">
        <w:rPr>
          <w:b/>
          <w:bCs/>
          <w:color w:val="0070C0"/>
          <w:sz w:val="28"/>
          <w:szCs w:val="28"/>
        </w:rPr>
        <w:t>Table A3. Estimate of Respondent Burden Hours</w:t>
      </w:r>
    </w:p>
    <w:tbl>
      <w:tblPr>
        <w:tblW w:w="10119" w:type="dxa"/>
        <w:tblLook w:val="04A0"/>
      </w:tblPr>
      <w:tblGrid>
        <w:gridCol w:w="1376"/>
        <w:gridCol w:w="1395"/>
        <w:gridCol w:w="1474"/>
        <w:gridCol w:w="1305"/>
        <w:gridCol w:w="1153"/>
        <w:gridCol w:w="1155"/>
        <w:gridCol w:w="1076"/>
        <w:gridCol w:w="1185"/>
      </w:tblGrid>
      <w:tr w14:paraId="6279E9BA" w14:textId="77777777" w:rsidTr="00A047DF">
        <w:tblPrEx>
          <w:tblW w:w="10119" w:type="dxa"/>
          <w:tblLook w:val="04A0"/>
        </w:tblPrEx>
        <w:trPr>
          <w:trHeight w:val="765"/>
        </w:trPr>
        <w:tc>
          <w:tcPr>
            <w:tcW w:w="1376" w:type="dxa"/>
            <w:tcBorders>
              <w:top w:val="nil"/>
              <w:left w:val="single" w:sz="4" w:space="0" w:color="auto"/>
              <w:bottom w:val="single" w:sz="4" w:space="0" w:color="auto"/>
              <w:right w:val="single" w:sz="4" w:space="0" w:color="auto"/>
            </w:tcBorders>
            <w:shd w:val="clear" w:color="auto" w:fill="00B0F0"/>
            <w:vAlign w:val="center"/>
            <w:hideMark/>
          </w:tcPr>
          <w:p w:rsidR="006F3C12" w:rsidRPr="006F3C12" w:rsidP="006F3C12" w14:paraId="2D79A23F"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Form Number/Title (and/or other Collection Instrument name)</w:t>
            </w:r>
          </w:p>
        </w:tc>
        <w:tc>
          <w:tcPr>
            <w:tcW w:w="1395" w:type="dxa"/>
            <w:tcBorders>
              <w:top w:val="nil"/>
              <w:left w:val="nil"/>
              <w:bottom w:val="single" w:sz="4" w:space="0" w:color="auto"/>
              <w:right w:val="single" w:sz="4" w:space="0" w:color="auto"/>
            </w:tcBorders>
            <w:shd w:val="clear" w:color="auto" w:fill="00B0F0"/>
            <w:vAlign w:val="center"/>
            <w:hideMark/>
          </w:tcPr>
          <w:p w:rsidR="006F3C12" w:rsidRPr="006F3C12" w:rsidP="006F3C12" w14:paraId="2E52057B"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474" w:type="dxa"/>
            <w:tcBorders>
              <w:top w:val="nil"/>
              <w:left w:val="nil"/>
              <w:bottom w:val="single" w:sz="4" w:space="0" w:color="auto"/>
              <w:right w:val="single" w:sz="4" w:space="0" w:color="auto"/>
            </w:tcBorders>
            <w:shd w:val="clear" w:color="auto" w:fill="00B0F0"/>
            <w:vAlign w:val="center"/>
          </w:tcPr>
          <w:p w:rsidR="1230569E" w:rsidP="58D19240" w14:paraId="1BA91B2C" w14:textId="77777777">
            <w:pPr>
              <w:spacing w:line="240" w:lineRule="auto"/>
              <w:jc w:val="center"/>
              <w:rPr>
                <w:rFonts w:ascii="Calibri" w:eastAsia="Times New Roman" w:hAnsi="Calibri" w:cs="Arial"/>
                <w:b/>
                <w:bCs/>
                <w:sz w:val="20"/>
                <w:szCs w:val="20"/>
              </w:rPr>
            </w:pPr>
            <w:r w:rsidRPr="58D19240">
              <w:rPr>
                <w:rFonts w:ascii="Calibri" w:eastAsia="Times New Roman" w:hAnsi="Calibri" w:cs="Arial"/>
                <w:b/>
                <w:bCs/>
                <w:sz w:val="20"/>
                <w:szCs w:val="20"/>
              </w:rPr>
              <w:t>Occupation</w:t>
            </w:r>
            <w:r w:rsidRPr="58D19240" w:rsidR="27385EC0">
              <w:rPr>
                <w:rFonts w:ascii="Calibri" w:eastAsia="Times New Roman" w:hAnsi="Calibri" w:cs="Arial"/>
                <w:b/>
                <w:bCs/>
                <w:sz w:val="20"/>
                <w:szCs w:val="20"/>
              </w:rPr>
              <w:t xml:space="preserve"> </w:t>
            </w:r>
            <w:r w:rsidRPr="58D19240">
              <w:rPr>
                <w:rFonts w:ascii="Calibri" w:eastAsia="Times New Roman" w:hAnsi="Calibri" w:cs="Arial"/>
                <w:b/>
                <w:bCs/>
                <w:sz w:val="20"/>
                <w:szCs w:val="20"/>
              </w:rPr>
              <w:t>Group</w:t>
            </w:r>
          </w:p>
        </w:tc>
        <w:tc>
          <w:tcPr>
            <w:tcW w:w="1305" w:type="dxa"/>
            <w:tcBorders>
              <w:top w:val="nil"/>
              <w:left w:val="nil"/>
              <w:bottom w:val="single" w:sz="4" w:space="0" w:color="auto"/>
              <w:right w:val="single" w:sz="4" w:space="0" w:color="auto"/>
            </w:tcBorders>
            <w:shd w:val="clear" w:color="auto" w:fill="00B0F0"/>
            <w:vAlign w:val="center"/>
            <w:hideMark/>
          </w:tcPr>
          <w:p w:rsidR="006F3C12" w:rsidRPr="006F3C12" w:rsidP="006F3C12" w14:paraId="41843882"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Number of Respondents</w:t>
            </w:r>
          </w:p>
        </w:tc>
        <w:tc>
          <w:tcPr>
            <w:tcW w:w="1153" w:type="dxa"/>
            <w:tcBorders>
              <w:top w:val="nil"/>
              <w:left w:val="nil"/>
              <w:bottom w:val="single" w:sz="4" w:space="0" w:color="auto"/>
              <w:right w:val="single" w:sz="4" w:space="0" w:color="auto"/>
            </w:tcBorders>
            <w:shd w:val="clear" w:color="auto" w:fill="00B0F0"/>
            <w:vAlign w:val="center"/>
            <w:hideMark/>
          </w:tcPr>
          <w:p w:rsidR="006F3C12" w:rsidRPr="006F3C12" w:rsidP="006F3C12" w14:paraId="08789EAF"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Number of Responses</w:t>
            </w:r>
          </w:p>
        </w:tc>
        <w:tc>
          <w:tcPr>
            <w:tcW w:w="1155" w:type="dxa"/>
            <w:tcBorders>
              <w:top w:val="nil"/>
              <w:left w:val="nil"/>
              <w:bottom w:val="single" w:sz="4" w:space="0" w:color="auto"/>
              <w:right w:val="single" w:sz="4" w:space="0" w:color="auto"/>
            </w:tcBorders>
            <w:shd w:val="clear" w:color="auto" w:fill="00B0F0"/>
            <w:vAlign w:val="center"/>
            <w:hideMark/>
          </w:tcPr>
          <w:p w:rsidR="006F3C12" w:rsidRPr="006F3C12" w:rsidP="006F3C12" w14:paraId="166C4FAE"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Burden Hours Per Response</w:t>
            </w:r>
            <w:r w:rsidR="00A047DF">
              <w:rPr>
                <w:rFonts w:ascii="Calibri" w:eastAsia="Times New Roman" w:hAnsi="Calibri" w:cs="Arial"/>
                <w:b/>
                <w:bCs/>
                <w:sz w:val="20"/>
                <w:szCs w:val="20"/>
              </w:rPr>
              <w:t xml:space="preserve"> </w:t>
            </w:r>
          </w:p>
        </w:tc>
        <w:tc>
          <w:tcPr>
            <w:tcW w:w="1076" w:type="dxa"/>
            <w:tcBorders>
              <w:top w:val="nil"/>
              <w:left w:val="nil"/>
              <w:bottom w:val="single" w:sz="4" w:space="0" w:color="auto"/>
              <w:right w:val="single" w:sz="4" w:space="0" w:color="auto"/>
            </w:tcBorders>
            <w:shd w:val="clear" w:color="auto" w:fill="00B0F0"/>
            <w:vAlign w:val="center"/>
            <w:hideMark/>
          </w:tcPr>
          <w:p w:rsidR="006F3C12" w:rsidRPr="006F3C12" w:rsidP="006F3C12" w14:paraId="54399137"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Burden Hours</w:t>
            </w:r>
          </w:p>
        </w:tc>
        <w:tc>
          <w:tcPr>
            <w:tcW w:w="1185" w:type="dxa"/>
            <w:tcBorders>
              <w:top w:val="single" w:sz="4" w:space="0" w:color="auto"/>
              <w:left w:val="nil"/>
              <w:bottom w:val="single" w:sz="4" w:space="0" w:color="auto"/>
              <w:right w:val="single" w:sz="4" w:space="0" w:color="auto"/>
            </w:tcBorders>
            <w:shd w:val="clear" w:color="auto" w:fill="00B0F0"/>
            <w:vAlign w:val="center"/>
            <w:hideMark/>
          </w:tcPr>
          <w:p w:rsidR="006F3C12" w:rsidRPr="006F3C12" w:rsidP="006F3C12" w14:paraId="3F84BE00"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Reporting Frequency</w:t>
            </w:r>
          </w:p>
        </w:tc>
      </w:tr>
      <w:tr w14:paraId="776F7790" w14:textId="77777777" w:rsidTr="00A047DF">
        <w:tblPrEx>
          <w:tblW w:w="10119" w:type="dxa"/>
          <w:tblLook w:val="04A0"/>
        </w:tblPrEx>
        <w:trPr>
          <w:trHeight w:val="720"/>
        </w:trPr>
        <w:tc>
          <w:tcPr>
            <w:tcW w:w="1376" w:type="dxa"/>
            <w:vMerge w:val="restart"/>
            <w:tcBorders>
              <w:top w:val="nil"/>
              <w:left w:val="single" w:sz="4" w:space="0" w:color="auto"/>
              <w:bottom w:val="single" w:sz="4" w:space="0" w:color="auto"/>
              <w:right w:val="single" w:sz="4" w:space="0" w:color="auto"/>
            </w:tcBorders>
            <w:shd w:val="clear" w:color="auto" w:fill="auto"/>
            <w:vAlign w:val="center"/>
            <w:hideMark/>
          </w:tcPr>
          <w:p w:rsidR="006F3C12" w:rsidRPr="006F3C12" w:rsidP="58D19240" w14:paraId="7A087BB4" w14:textId="77777777">
            <w:pPr>
              <w:spacing w:after="0" w:line="240" w:lineRule="auto"/>
              <w:jc w:val="center"/>
              <w:rPr>
                <w:rFonts w:ascii="Calibri" w:eastAsia="Times New Roman" w:hAnsi="Calibri" w:cs="Arial"/>
                <w:color w:val="000000"/>
                <w:sz w:val="20"/>
                <w:szCs w:val="20"/>
              </w:rPr>
            </w:pPr>
            <w:r w:rsidRPr="58D19240">
              <w:rPr>
                <w:rFonts w:ascii="Calibri" w:eastAsia="Times New Roman" w:hAnsi="Calibri" w:cs="Arial"/>
                <w:color w:val="000000" w:themeColor="text1"/>
                <w:sz w:val="20"/>
                <w:szCs w:val="20"/>
              </w:rPr>
              <w:t> </w:t>
            </w:r>
            <w:r w:rsidRPr="58D19240" w:rsidR="6FDF8C4D">
              <w:rPr>
                <w:rFonts w:ascii="Calibri" w:eastAsia="Times New Roman" w:hAnsi="Calibri" w:cs="Arial"/>
                <w:color w:val="000000" w:themeColor="text1"/>
                <w:sz w:val="20"/>
                <w:szCs w:val="20"/>
              </w:rPr>
              <w:t>Alumni Survey</w:t>
            </w:r>
          </w:p>
        </w:tc>
        <w:tc>
          <w:tcPr>
            <w:tcW w:w="13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F3C12" w:rsidRPr="006F3C12" w:rsidP="58D19240" w14:paraId="327EA140" w14:textId="77777777">
            <w:pPr>
              <w:spacing w:after="0" w:line="240" w:lineRule="auto"/>
              <w:jc w:val="center"/>
            </w:pPr>
            <w:r w:rsidRPr="58D19240">
              <w:rPr>
                <w:rFonts w:ascii="Calibri" w:eastAsia="Times New Roman" w:hAnsi="Calibri" w:cs="Arial"/>
                <w:color w:val="000000" w:themeColor="text1"/>
                <w:sz w:val="20"/>
                <w:szCs w:val="20"/>
              </w:rPr>
              <w:t>SULI Alumni</w:t>
            </w:r>
          </w:p>
        </w:tc>
        <w:tc>
          <w:tcPr>
            <w:tcW w:w="1474" w:type="dxa"/>
            <w:tcBorders>
              <w:top w:val="nil"/>
              <w:left w:val="single" w:sz="4" w:space="0" w:color="auto"/>
              <w:bottom w:val="single" w:sz="4" w:space="0" w:color="auto"/>
              <w:right w:val="single" w:sz="4" w:space="0" w:color="auto"/>
            </w:tcBorders>
            <w:shd w:val="clear" w:color="auto" w:fill="auto"/>
          </w:tcPr>
          <w:p w:rsidR="482BC8CB" w:rsidP="58D19240" w14:paraId="3EFCEDA4" w14:textId="77777777">
            <w:pPr>
              <w:spacing w:after="0" w:line="240" w:lineRule="auto"/>
              <w:rPr>
                <w:rFonts w:eastAsia="Times New Roman"/>
                <w:color w:val="000000" w:themeColor="text1"/>
                <w:sz w:val="20"/>
                <w:szCs w:val="20"/>
              </w:rPr>
            </w:pPr>
            <w:r w:rsidRPr="58D19240">
              <w:rPr>
                <w:rFonts w:eastAsia="Times New Roman"/>
                <w:color w:val="000000" w:themeColor="text1"/>
                <w:sz w:val="20"/>
                <w:szCs w:val="20"/>
              </w:rPr>
              <w:t>Science Graduates</w:t>
            </w:r>
          </w:p>
        </w:tc>
        <w:tc>
          <w:tcPr>
            <w:tcW w:w="1305" w:type="dxa"/>
            <w:tcBorders>
              <w:top w:val="nil"/>
              <w:left w:val="single" w:sz="4" w:space="0" w:color="auto"/>
              <w:bottom w:val="single" w:sz="4" w:space="0" w:color="auto"/>
              <w:right w:val="single" w:sz="4" w:space="0" w:color="auto"/>
            </w:tcBorders>
            <w:shd w:val="clear" w:color="auto" w:fill="auto"/>
            <w:noWrap/>
            <w:hideMark/>
          </w:tcPr>
          <w:p w:rsidR="006F3C12" w:rsidRPr="006F3C12" w:rsidP="00C368DB" w14:paraId="08357ACF" w14:textId="77777777">
            <w:pPr>
              <w:spacing w:after="0" w:line="240" w:lineRule="auto"/>
              <w:jc w:val="center"/>
              <w:rPr>
                <w:rFonts w:ascii="Calibri" w:eastAsia="Times New Roman" w:hAnsi="Calibri" w:cs="Arial"/>
                <w:color w:val="000000"/>
                <w:sz w:val="20"/>
                <w:szCs w:val="20"/>
              </w:rPr>
            </w:pPr>
            <w:r w:rsidRPr="58D19240">
              <w:rPr>
                <w:rFonts w:ascii="Calibri" w:eastAsia="Times New Roman" w:hAnsi="Calibri" w:cs="Arial"/>
                <w:color w:val="000000" w:themeColor="text1"/>
                <w:sz w:val="20"/>
                <w:szCs w:val="20"/>
              </w:rPr>
              <w:t>4</w:t>
            </w:r>
            <w:r w:rsidRPr="58D19240" w:rsidR="617A417C">
              <w:rPr>
                <w:rFonts w:ascii="Calibri" w:eastAsia="Times New Roman" w:hAnsi="Calibri" w:cs="Arial"/>
                <w:color w:val="000000" w:themeColor="text1"/>
                <w:sz w:val="20"/>
                <w:szCs w:val="20"/>
              </w:rPr>
              <w:t>80</w:t>
            </w:r>
          </w:p>
        </w:tc>
        <w:tc>
          <w:tcPr>
            <w:tcW w:w="1153" w:type="dxa"/>
            <w:tcBorders>
              <w:top w:val="nil"/>
              <w:left w:val="nil"/>
              <w:bottom w:val="single" w:sz="4" w:space="0" w:color="auto"/>
              <w:right w:val="single" w:sz="4" w:space="0" w:color="auto"/>
            </w:tcBorders>
            <w:shd w:val="clear" w:color="auto" w:fill="E2A5AC"/>
            <w:noWrap/>
            <w:hideMark/>
          </w:tcPr>
          <w:p w:rsidR="006F3C12" w:rsidRPr="006F3C12" w:rsidP="58D19240" w14:paraId="06B4FC98" w14:textId="77777777">
            <w:pPr>
              <w:spacing w:after="0" w:line="240" w:lineRule="auto"/>
              <w:jc w:val="center"/>
              <w:rPr>
                <w:rFonts w:ascii="Calibri" w:eastAsia="Times New Roman" w:hAnsi="Calibri" w:cs="Arial"/>
                <w:color w:val="000000" w:themeColor="text1"/>
                <w:sz w:val="20"/>
                <w:szCs w:val="20"/>
              </w:rPr>
            </w:pPr>
            <w:r w:rsidRPr="58D19240">
              <w:rPr>
                <w:rFonts w:ascii="Calibri" w:eastAsia="Times New Roman" w:hAnsi="Calibri" w:cs="Arial"/>
                <w:color w:val="000000" w:themeColor="text1"/>
                <w:sz w:val="20"/>
                <w:szCs w:val="20"/>
              </w:rPr>
              <w:t>480</w:t>
            </w:r>
          </w:p>
        </w:tc>
        <w:tc>
          <w:tcPr>
            <w:tcW w:w="1155" w:type="dxa"/>
            <w:tcBorders>
              <w:top w:val="nil"/>
              <w:left w:val="nil"/>
              <w:bottom w:val="single" w:sz="4" w:space="0" w:color="auto"/>
              <w:right w:val="single" w:sz="4" w:space="0" w:color="auto"/>
            </w:tcBorders>
            <w:shd w:val="clear" w:color="auto" w:fill="auto"/>
            <w:noWrap/>
            <w:hideMark/>
          </w:tcPr>
          <w:p w:rsidR="006F3C12" w:rsidRPr="006F3C12" w:rsidP="58D19240" w14:paraId="684AF8D5" w14:textId="7777777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themeColor="text1"/>
                <w:sz w:val="20"/>
                <w:szCs w:val="20"/>
              </w:rPr>
              <w:t>0.583</w:t>
            </w:r>
          </w:p>
        </w:tc>
        <w:tc>
          <w:tcPr>
            <w:tcW w:w="1076" w:type="dxa"/>
            <w:tcBorders>
              <w:top w:val="nil"/>
              <w:left w:val="nil"/>
              <w:bottom w:val="single" w:sz="4" w:space="0" w:color="auto"/>
              <w:right w:val="single" w:sz="4" w:space="0" w:color="auto"/>
            </w:tcBorders>
            <w:shd w:val="clear" w:color="auto" w:fill="E2A5AC"/>
            <w:noWrap/>
            <w:hideMark/>
          </w:tcPr>
          <w:p w:rsidR="006F3C12" w:rsidRPr="006F3C12" w:rsidP="00C368DB" w14:paraId="1F38E443" w14:textId="77777777">
            <w:pPr>
              <w:spacing w:after="0" w:line="240" w:lineRule="auto"/>
              <w:jc w:val="center"/>
              <w:rPr>
                <w:rFonts w:ascii="Calibri" w:eastAsia="Times New Roman" w:hAnsi="Calibri" w:cs="Arial"/>
                <w:color w:val="000000"/>
                <w:sz w:val="20"/>
                <w:szCs w:val="20"/>
              </w:rPr>
            </w:pPr>
            <w:r w:rsidRPr="58D19240">
              <w:rPr>
                <w:rFonts w:ascii="Calibri" w:eastAsia="Times New Roman" w:hAnsi="Calibri" w:cs="Arial"/>
                <w:color w:val="000000" w:themeColor="text1"/>
                <w:sz w:val="20"/>
                <w:szCs w:val="20"/>
              </w:rPr>
              <w:t>280</w:t>
            </w:r>
          </w:p>
        </w:tc>
        <w:tc>
          <w:tcPr>
            <w:tcW w:w="1185" w:type="dxa"/>
            <w:tcBorders>
              <w:top w:val="nil"/>
              <w:left w:val="nil"/>
              <w:bottom w:val="single" w:sz="4" w:space="0" w:color="auto"/>
              <w:right w:val="single" w:sz="4" w:space="0" w:color="auto"/>
            </w:tcBorders>
            <w:shd w:val="clear" w:color="auto" w:fill="auto"/>
            <w:noWrap/>
            <w:hideMark/>
          </w:tcPr>
          <w:p w:rsidR="006F3C12" w:rsidRPr="006F3C12" w:rsidP="3977CD1B" w14:paraId="6499B2DB" w14:textId="77777777">
            <w:pPr>
              <w:spacing w:after="0" w:line="240" w:lineRule="auto"/>
              <w:jc w:val="center"/>
              <w:rPr>
                <w:rFonts w:ascii="Calibri" w:eastAsia="Times New Roman" w:hAnsi="Calibri" w:cs="Arial"/>
                <w:color w:val="000000"/>
                <w:sz w:val="20"/>
                <w:szCs w:val="20"/>
              </w:rPr>
            </w:pPr>
            <w:r w:rsidRPr="3977CD1B">
              <w:rPr>
                <w:rFonts w:ascii="Calibri" w:eastAsia="Times New Roman" w:hAnsi="Calibri" w:cs="Arial"/>
                <w:color w:val="000000" w:themeColor="text1"/>
                <w:sz w:val="20"/>
                <w:szCs w:val="20"/>
              </w:rPr>
              <w:t>1</w:t>
            </w:r>
          </w:p>
        </w:tc>
      </w:tr>
      <w:tr w14:paraId="0E81AFEE" w14:textId="77777777" w:rsidTr="00A047DF">
        <w:tblPrEx>
          <w:tblW w:w="10119" w:type="dxa"/>
          <w:tblLook w:val="04A0"/>
        </w:tblPrEx>
        <w:trPr>
          <w:trHeight w:val="720"/>
        </w:trPr>
        <w:tc>
          <w:tcPr>
            <w:tcW w:w="1376" w:type="dxa"/>
            <w:vMerge/>
            <w:vAlign w:val="bottom"/>
            <w:hideMark/>
          </w:tcPr>
          <w:p w:rsidR="00A047DF" w:rsidP="00A047DF" w14:paraId="0A4AC0C2" w14:textId="77777777"/>
        </w:tc>
        <w:tc>
          <w:tcPr>
            <w:tcW w:w="1395" w:type="dxa"/>
            <w:vMerge/>
            <w:noWrap/>
            <w:vAlign w:val="bottom"/>
            <w:hideMark/>
          </w:tcPr>
          <w:p w:rsidR="00A047DF" w:rsidP="00A047DF" w14:paraId="70D18640" w14:textId="77777777"/>
        </w:tc>
        <w:tc>
          <w:tcPr>
            <w:tcW w:w="1474" w:type="dxa"/>
            <w:tcBorders>
              <w:top w:val="nil"/>
              <w:left w:val="single" w:sz="4" w:space="0" w:color="auto"/>
              <w:bottom w:val="single" w:sz="4" w:space="0" w:color="000000" w:themeColor="text1"/>
              <w:right w:val="single" w:sz="4" w:space="0" w:color="auto"/>
            </w:tcBorders>
            <w:shd w:val="clear" w:color="auto" w:fill="auto"/>
          </w:tcPr>
          <w:p w:rsidR="00A047DF" w:rsidP="00A047DF" w14:paraId="311832CC" w14:textId="77777777">
            <w:pPr>
              <w:spacing w:after="0" w:line="240" w:lineRule="auto"/>
              <w:rPr>
                <w:rFonts w:eastAsia="Times New Roman"/>
                <w:color w:val="000000" w:themeColor="text1"/>
                <w:sz w:val="20"/>
                <w:szCs w:val="20"/>
              </w:rPr>
            </w:pPr>
            <w:r w:rsidRPr="58D19240">
              <w:rPr>
                <w:rFonts w:eastAsia="Times New Roman"/>
                <w:color w:val="000000" w:themeColor="text1"/>
                <w:sz w:val="20"/>
                <w:szCs w:val="20"/>
              </w:rPr>
              <w:t>Engineering Graduates</w:t>
            </w:r>
          </w:p>
        </w:tc>
        <w:tc>
          <w:tcPr>
            <w:tcW w:w="1305" w:type="dxa"/>
            <w:tcBorders>
              <w:top w:val="nil"/>
              <w:left w:val="single" w:sz="4" w:space="0" w:color="auto"/>
              <w:bottom w:val="single" w:sz="4" w:space="0" w:color="000000" w:themeColor="text1"/>
              <w:right w:val="single" w:sz="4" w:space="0" w:color="auto"/>
            </w:tcBorders>
            <w:shd w:val="clear" w:color="auto" w:fill="auto"/>
            <w:noWrap/>
            <w:hideMark/>
          </w:tcPr>
          <w:p w:rsidR="00A047DF" w:rsidP="00A047DF" w14:paraId="0861852B" w14:textId="77777777">
            <w:pPr>
              <w:spacing w:line="240" w:lineRule="auto"/>
              <w:jc w:val="center"/>
              <w:rPr>
                <w:rFonts w:ascii="Calibri" w:eastAsia="Times New Roman" w:hAnsi="Calibri" w:cs="Arial"/>
                <w:color w:val="000000" w:themeColor="text1"/>
                <w:sz w:val="20"/>
                <w:szCs w:val="20"/>
              </w:rPr>
            </w:pPr>
            <w:r w:rsidRPr="58D19240">
              <w:rPr>
                <w:rFonts w:ascii="Calibri" w:eastAsia="Times New Roman" w:hAnsi="Calibri" w:cs="Arial"/>
                <w:color w:val="000000" w:themeColor="text1"/>
                <w:sz w:val="20"/>
                <w:szCs w:val="20"/>
              </w:rPr>
              <w:t>360</w:t>
            </w:r>
          </w:p>
        </w:tc>
        <w:tc>
          <w:tcPr>
            <w:tcW w:w="1153" w:type="dxa"/>
            <w:tcBorders>
              <w:top w:val="nil"/>
              <w:left w:val="nil"/>
              <w:bottom w:val="single" w:sz="4" w:space="0" w:color="000000" w:themeColor="text1"/>
              <w:right w:val="single" w:sz="4" w:space="0" w:color="auto"/>
            </w:tcBorders>
            <w:shd w:val="clear" w:color="auto" w:fill="E2A5AC"/>
            <w:noWrap/>
            <w:hideMark/>
          </w:tcPr>
          <w:p w:rsidR="00A047DF" w:rsidP="00A047DF" w14:paraId="203E79EC" w14:textId="77777777">
            <w:pPr>
              <w:spacing w:line="240" w:lineRule="auto"/>
              <w:jc w:val="center"/>
              <w:rPr>
                <w:rFonts w:ascii="Calibri" w:eastAsia="Times New Roman" w:hAnsi="Calibri" w:cs="Arial"/>
                <w:color w:val="000000" w:themeColor="text1"/>
                <w:sz w:val="20"/>
                <w:szCs w:val="20"/>
              </w:rPr>
            </w:pPr>
            <w:r w:rsidRPr="58D19240">
              <w:rPr>
                <w:rFonts w:ascii="Calibri" w:eastAsia="Times New Roman" w:hAnsi="Calibri" w:cs="Arial"/>
                <w:color w:val="000000" w:themeColor="text1"/>
                <w:sz w:val="20"/>
                <w:szCs w:val="20"/>
              </w:rPr>
              <w:t>360</w:t>
            </w:r>
          </w:p>
        </w:tc>
        <w:tc>
          <w:tcPr>
            <w:tcW w:w="1155" w:type="dxa"/>
            <w:tcBorders>
              <w:top w:val="nil"/>
              <w:left w:val="nil"/>
              <w:bottom w:val="single" w:sz="4" w:space="0" w:color="000000" w:themeColor="text1"/>
              <w:right w:val="single" w:sz="4" w:space="0" w:color="auto"/>
            </w:tcBorders>
            <w:shd w:val="clear" w:color="auto" w:fill="auto"/>
            <w:noWrap/>
            <w:hideMark/>
          </w:tcPr>
          <w:p w:rsidR="00A047DF" w:rsidP="00A047DF" w14:paraId="17D80829" w14:textId="77777777">
            <w:pPr>
              <w:spacing w:line="240" w:lineRule="auto"/>
              <w:jc w:val="center"/>
              <w:rPr>
                <w:rFonts w:ascii="Calibri" w:eastAsia="Times New Roman" w:hAnsi="Calibri" w:cs="Arial"/>
                <w:color w:val="000000" w:themeColor="text1"/>
                <w:sz w:val="20"/>
                <w:szCs w:val="20"/>
              </w:rPr>
            </w:pPr>
            <w:r>
              <w:rPr>
                <w:rFonts w:ascii="Calibri" w:eastAsia="Times New Roman" w:hAnsi="Calibri" w:cs="Arial"/>
                <w:color w:val="000000" w:themeColor="text1"/>
                <w:sz w:val="20"/>
                <w:szCs w:val="20"/>
              </w:rPr>
              <w:t>0.583</w:t>
            </w:r>
          </w:p>
        </w:tc>
        <w:tc>
          <w:tcPr>
            <w:tcW w:w="1076" w:type="dxa"/>
            <w:tcBorders>
              <w:top w:val="nil"/>
              <w:left w:val="nil"/>
              <w:bottom w:val="single" w:sz="4" w:space="0" w:color="000000" w:themeColor="text1"/>
              <w:right w:val="single" w:sz="4" w:space="0" w:color="auto"/>
            </w:tcBorders>
            <w:shd w:val="clear" w:color="auto" w:fill="E2A5AC"/>
            <w:noWrap/>
            <w:hideMark/>
          </w:tcPr>
          <w:p w:rsidR="00A047DF" w:rsidP="00A047DF" w14:paraId="55BDD3ED" w14:textId="77777777">
            <w:pPr>
              <w:spacing w:line="240" w:lineRule="auto"/>
              <w:jc w:val="center"/>
              <w:rPr>
                <w:rFonts w:ascii="Calibri" w:eastAsia="Times New Roman" w:hAnsi="Calibri" w:cs="Arial"/>
                <w:color w:val="000000" w:themeColor="text1"/>
                <w:sz w:val="20"/>
                <w:szCs w:val="20"/>
              </w:rPr>
            </w:pPr>
            <w:r w:rsidRPr="58D19240">
              <w:rPr>
                <w:rFonts w:ascii="Calibri" w:eastAsia="Times New Roman" w:hAnsi="Calibri" w:cs="Arial"/>
                <w:color w:val="000000" w:themeColor="text1"/>
                <w:sz w:val="20"/>
                <w:szCs w:val="20"/>
              </w:rPr>
              <w:t>210</w:t>
            </w:r>
          </w:p>
        </w:tc>
        <w:tc>
          <w:tcPr>
            <w:tcW w:w="1185" w:type="dxa"/>
            <w:tcBorders>
              <w:top w:val="nil"/>
              <w:left w:val="nil"/>
              <w:bottom w:val="single" w:sz="4" w:space="0" w:color="auto"/>
              <w:right w:val="single" w:sz="4" w:space="0" w:color="auto"/>
            </w:tcBorders>
            <w:shd w:val="clear" w:color="auto" w:fill="auto"/>
            <w:noWrap/>
            <w:hideMark/>
          </w:tcPr>
          <w:p w:rsidR="00A047DF" w:rsidP="00A047DF" w14:paraId="6E780C6D" w14:textId="77777777">
            <w:pPr>
              <w:spacing w:line="240" w:lineRule="auto"/>
              <w:jc w:val="center"/>
              <w:rPr>
                <w:rFonts w:ascii="Calibri" w:eastAsia="Times New Roman" w:hAnsi="Calibri" w:cs="Arial"/>
                <w:color w:val="000000" w:themeColor="text1"/>
                <w:sz w:val="20"/>
                <w:szCs w:val="20"/>
              </w:rPr>
            </w:pPr>
            <w:r w:rsidRPr="3977CD1B">
              <w:rPr>
                <w:rFonts w:ascii="Calibri" w:eastAsia="Times New Roman" w:hAnsi="Calibri" w:cs="Arial"/>
                <w:color w:val="000000" w:themeColor="text1"/>
                <w:sz w:val="20"/>
                <w:szCs w:val="20"/>
              </w:rPr>
              <w:t>1</w:t>
            </w:r>
          </w:p>
        </w:tc>
      </w:tr>
      <w:tr w14:paraId="7462856A" w14:textId="77777777" w:rsidTr="00A047DF">
        <w:tblPrEx>
          <w:tblW w:w="10119" w:type="dxa"/>
          <w:tblLook w:val="04A0"/>
        </w:tblPrEx>
        <w:trPr>
          <w:trHeight w:val="720"/>
        </w:trPr>
        <w:tc>
          <w:tcPr>
            <w:tcW w:w="1376" w:type="dxa"/>
            <w:vMerge/>
            <w:vAlign w:val="bottom"/>
            <w:hideMark/>
          </w:tcPr>
          <w:p w:rsidR="00A047DF" w:rsidP="00A047DF" w14:paraId="2046FA88" w14:textId="77777777"/>
        </w:tc>
        <w:tc>
          <w:tcPr>
            <w:tcW w:w="1395" w:type="dxa"/>
            <w:vMerge/>
            <w:noWrap/>
            <w:vAlign w:val="bottom"/>
            <w:hideMark/>
          </w:tcPr>
          <w:p w:rsidR="00A047DF" w:rsidP="00A047DF" w14:paraId="5E05E84E" w14:textId="77777777"/>
        </w:tc>
        <w:tc>
          <w:tcPr>
            <w:tcW w:w="1474" w:type="dxa"/>
            <w:tcBorders>
              <w:top w:val="nil"/>
              <w:left w:val="single" w:sz="4" w:space="0" w:color="000000" w:themeColor="text1"/>
              <w:bottom w:val="single" w:sz="4" w:space="0" w:color="000000" w:themeColor="text1"/>
              <w:right w:val="single" w:sz="4" w:space="0" w:color="000000" w:themeColor="text1"/>
            </w:tcBorders>
            <w:shd w:val="clear" w:color="auto" w:fill="auto"/>
          </w:tcPr>
          <w:p w:rsidR="00A047DF" w:rsidP="00A047DF" w14:paraId="23ADDB51" w14:textId="77777777">
            <w:pPr>
              <w:spacing w:after="0" w:line="240" w:lineRule="auto"/>
              <w:rPr>
                <w:rFonts w:eastAsia="Times New Roman"/>
                <w:color w:val="000000" w:themeColor="text1"/>
                <w:sz w:val="20"/>
                <w:szCs w:val="20"/>
              </w:rPr>
            </w:pPr>
            <w:r w:rsidRPr="3977CD1B">
              <w:rPr>
                <w:rFonts w:eastAsia="Times New Roman"/>
                <w:color w:val="000000" w:themeColor="text1"/>
                <w:sz w:val="20"/>
                <w:szCs w:val="20"/>
              </w:rPr>
              <w:t>Computer and Math Graduates</w:t>
            </w:r>
          </w:p>
        </w:tc>
        <w:tc>
          <w:tcPr>
            <w:tcW w:w="1305"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rsidR="00A047DF" w:rsidP="00A047DF" w14:paraId="5FC38A3D" w14:textId="77777777">
            <w:pPr>
              <w:spacing w:line="240" w:lineRule="auto"/>
              <w:jc w:val="center"/>
              <w:rPr>
                <w:rFonts w:ascii="Calibri" w:eastAsia="Times New Roman" w:hAnsi="Calibri" w:cs="Arial"/>
                <w:color w:val="000000" w:themeColor="text1"/>
                <w:sz w:val="20"/>
                <w:szCs w:val="20"/>
              </w:rPr>
            </w:pPr>
            <w:r w:rsidRPr="58D19240">
              <w:rPr>
                <w:rFonts w:ascii="Calibri" w:eastAsia="Times New Roman" w:hAnsi="Calibri" w:cs="Arial"/>
                <w:color w:val="000000" w:themeColor="text1"/>
                <w:sz w:val="20"/>
                <w:szCs w:val="20"/>
              </w:rPr>
              <w:t>360</w:t>
            </w:r>
          </w:p>
        </w:tc>
        <w:tc>
          <w:tcPr>
            <w:tcW w:w="1153" w:type="dxa"/>
            <w:tcBorders>
              <w:top w:val="nil"/>
              <w:left w:val="nil"/>
              <w:bottom w:val="single" w:sz="4" w:space="0" w:color="000000" w:themeColor="text1"/>
              <w:right w:val="single" w:sz="4" w:space="0" w:color="000000" w:themeColor="text1"/>
            </w:tcBorders>
            <w:shd w:val="clear" w:color="auto" w:fill="E2A5AC"/>
            <w:noWrap/>
            <w:hideMark/>
          </w:tcPr>
          <w:p w:rsidR="00A047DF" w:rsidP="00A047DF" w14:paraId="6B9B41DD" w14:textId="77777777">
            <w:pPr>
              <w:spacing w:line="240" w:lineRule="auto"/>
              <w:jc w:val="center"/>
              <w:rPr>
                <w:rFonts w:ascii="Calibri" w:eastAsia="Times New Roman" w:hAnsi="Calibri" w:cs="Arial"/>
                <w:color w:val="000000" w:themeColor="text1"/>
                <w:sz w:val="20"/>
                <w:szCs w:val="20"/>
              </w:rPr>
            </w:pPr>
            <w:r w:rsidRPr="58D19240">
              <w:rPr>
                <w:rFonts w:ascii="Calibri" w:eastAsia="Times New Roman" w:hAnsi="Calibri" w:cs="Arial"/>
                <w:color w:val="000000" w:themeColor="text1"/>
                <w:sz w:val="20"/>
                <w:szCs w:val="20"/>
              </w:rPr>
              <w:t>360</w:t>
            </w:r>
          </w:p>
        </w:tc>
        <w:tc>
          <w:tcPr>
            <w:tcW w:w="1155" w:type="dxa"/>
            <w:tcBorders>
              <w:top w:val="nil"/>
              <w:left w:val="nil"/>
              <w:bottom w:val="single" w:sz="4" w:space="0" w:color="000000" w:themeColor="text1"/>
              <w:right w:val="single" w:sz="4" w:space="0" w:color="000000" w:themeColor="text1"/>
            </w:tcBorders>
            <w:shd w:val="clear" w:color="auto" w:fill="auto"/>
            <w:noWrap/>
            <w:hideMark/>
          </w:tcPr>
          <w:p w:rsidR="00A047DF" w:rsidP="00A047DF" w14:paraId="3E3AB738" w14:textId="77777777">
            <w:pPr>
              <w:spacing w:line="240" w:lineRule="auto"/>
              <w:jc w:val="center"/>
              <w:rPr>
                <w:rFonts w:ascii="Calibri" w:eastAsia="Times New Roman" w:hAnsi="Calibri" w:cs="Arial"/>
                <w:color w:val="000000" w:themeColor="text1"/>
                <w:sz w:val="20"/>
                <w:szCs w:val="20"/>
              </w:rPr>
            </w:pPr>
            <w:r>
              <w:rPr>
                <w:rFonts w:ascii="Calibri" w:eastAsia="Times New Roman" w:hAnsi="Calibri" w:cs="Arial"/>
                <w:color w:val="000000" w:themeColor="text1"/>
                <w:sz w:val="20"/>
                <w:szCs w:val="20"/>
              </w:rPr>
              <w:t>0.583</w:t>
            </w:r>
          </w:p>
        </w:tc>
        <w:tc>
          <w:tcPr>
            <w:tcW w:w="1076" w:type="dxa"/>
            <w:tcBorders>
              <w:top w:val="nil"/>
              <w:left w:val="nil"/>
              <w:bottom w:val="single" w:sz="4" w:space="0" w:color="000000" w:themeColor="text1"/>
              <w:right w:val="single" w:sz="4" w:space="0" w:color="000000" w:themeColor="text1"/>
            </w:tcBorders>
            <w:shd w:val="clear" w:color="auto" w:fill="E2A5AC"/>
            <w:noWrap/>
            <w:hideMark/>
          </w:tcPr>
          <w:p w:rsidR="00A047DF" w:rsidP="00A047DF" w14:paraId="6D93A39A" w14:textId="77777777">
            <w:pPr>
              <w:spacing w:line="240" w:lineRule="auto"/>
              <w:jc w:val="center"/>
              <w:rPr>
                <w:rFonts w:ascii="Calibri" w:eastAsia="Times New Roman" w:hAnsi="Calibri" w:cs="Arial"/>
                <w:color w:val="000000" w:themeColor="text1"/>
                <w:sz w:val="20"/>
                <w:szCs w:val="20"/>
              </w:rPr>
            </w:pPr>
            <w:r w:rsidRPr="58D19240">
              <w:rPr>
                <w:rFonts w:ascii="Calibri" w:eastAsia="Times New Roman" w:hAnsi="Calibri" w:cs="Arial"/>
                <w:color w:val="000000" w:themeColor="text1"/>
                <w:sz w:val="20"/>
                <w:szCs w:val="20"/>
              </w:rPr>
              <w:t>210</w:t>
            </w:r>
          </w:p>
        </w:tc>
        <w:tc>
          <w:tcPr>
            <w:tcW w:w="1185" w:type="dxa"/>
            <w:tcBorders>
              <w:top w:val="nil"/>
              <w:left w:val="nil"/>
              <w:bottom w:val="single" w:sz="12" w:space="0" w:color="000000" w:themeColor="text1"/>
              <w:right w:val="single" w:sz="4" w:space="0" w:color="auto"/>
            </w:tcBorders>
            <w:shd w:val="clear" w:color="auto" w:fill="auto"/>
            <w:noWrap/>
            <w:hideMark/>
          </w:tcPr>
          <w:p w:rsidR="00A047DF" w:rsidP="00A047DF" w14:paraId="53F836FE" w14:textId="77777777">
            <w:pPr>
              <w:spacing w:line="240" w:lineRule="auto"/>
              <w:jc w:val="center"/>
              <w:rPr>
                <w:rFonts w:ascii="Calibri" w:eastAsia="Times New Roman" w:hAnsi="Calibri" w:cs="Arial"/>
                <w:color w:val="000000" w:themeColor="text1"/>
                <w:sz w:val="20"/>
                <w:szCs w:val="20"/>
              </w:rPr>
            </w:pPr>
            <w:r w:rsidRPr="3977CD1B">
              <w:rPr>
                <w:rFonts w:ascii="Calibri" w:eastAsia="Times New Roman" w:hAnsi="Calibri" w:cs="Arial"/>
                <w:color w:val="000000" w:themeColor="text1"/>
                <w:sz w:val="20"/>
                <w:szCs w:val="20"/>
              </w:rPr>
              <w:t>1</w:t>
            </w:r>
          </w:p>
        </w:tc>
      </w:tr>
      <w:tr w14:paraId="641DC5FF" w14:textId="77777777" w:rsidTr="00A047DF">
        <w:tblPrEx>
          <w:tblW w:w="10119" w:type="dxa"/>
          <w:tblLook w:val="04A0"/>
        </w:tblPrEx>
        <w:trPr>
          <w:trHeight w:val="720"/>
        </w:trPr>
        <w:tc>
          <w:tcPr>
            <w:tcW w:w="1376" w:type="dxa"/>
            <w:vMerge/>
            <w:vAlign w:val="center"/>
            <w:hideMark/>
          </w:tcPr>
          <w:p w:rsidR="00B23FD3" w14:paraId="02A516DE" w14:textId="77777777"/>
        </w:tc>
        <w:tc>
          <w:tcPr>
            <w:tcW w:w="1395" w:type="dxa"/>
            <w:vMerge/>
            <w:noWrap/>
            <w:vAlign w:val="center"/>
            <w:hideMark/>
          </w:tcPr>
          <w:p w:rsidR="00B23FD3" w14:paraId="126AF0BC" w14:textId="77777777"/>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A5AC"/>
          </w:tcPr>
          <w:p w:rsidR="7709E4E5" w:rsidP="3977CD1B" w14:paraId="2BA2049D" w14:textId="77777777">
            <w:pPr>
              <w:spacing w:line="240" w:lineRule="auto"/>
              <w:jc w:val="center"/>
              <w:rPr>
                <w:rFonts w:eastAsia="Times New Roman"/>
                <w:b/>
                <w:bCs/>
                <w:color w:val="000000" w:themeColor="text1"/>
                <w:sz w:val="20"/>
                <w:szCs w:val="20"/>
              </w:rPr>
            </w:pPr>
            <w:r w:rsidRPr="3977CD1B">
              <w:rPr>
                <w:rFonts w:eastAsia="Times New Roman"/>
                <w:b/>
                <w:bCs/>
                <w:color w:val="000000" w:themeColor="text1"/>
                <w:sz w:val="20"/>
                <w:szCs w:val="20"/>
              </w:rPr>
              <w:t>Alumni</w:t>
            </w:r>
            <w:r w:rsidRPr="3977CD1B" w:rsidR="08F312B8">
              <w:rPr>
                <w:rFonts w:eastAsia="Times New Roman"/>
                <w:b/>
                <w:bCs/>
                <w:color w:val="000000" w:themeColor="text1"/>
                <w:sz w:val="20"/>
                <w:szCs w:val="20"/>
              </w:rPr>
              <w:t xml:space="preserve"> Subtotal</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A5AC"/>
            <w:noWrap/>
            <w:hideMark/>
          </w:tcPr>
          <w:p w:rsidR="14BEBE6D" w:rsidP="58D19240" w14:paraId="0197BAE1" w14:textId="77777777">
            <w:pPr>
              <w:spacing w:line="240" w:lineRule="auto"/>
              <w:jc w:val="center"/>
              <w:rPr>
                <w:rFonts w:ascii="Calibri" w:eastAsia="Times New Roman" w:hAnsi="Calibri" w:cs="Arial"/>
                <w:b/>
                <w:bCs/>
                <w:color w:val="000000" w:themeColor="text1"/>
                <w:sz w:val="20"/>
                <w:szCs w:val="20"/>
              </w:rPr>
            </w:pPr>
            <w:r w:rsidRPr="58D19240">
              <w:rPr>
                <w:rFonts w:ascii="Calibri" w:eastAsia="Times New Roman" w:hAnsi="Calibri" w:cs="Arial"/>
                <w:b/>
                <w:bCs/>
                <w:color w:val="000000" w:themeColor="text1"/>
                <w:sz w:val="20"/>
                <w:szCs w:val="20"/>
              </w:rPr>
              <w:t>1,200</w:t>
            </w:r>
          </w:p>
        </w:tc>
        <w:tc>
          <w:tcPr>
            <w:tcW w:w="1153" w:type="dxa"/>
            <w:tcBorders>
              <w:top w:val="single" w:sz="4" w:space="0" w:color="000000" w:themeColor="text1"/>
              <w:left w:val="nil"/>
              <w:bottom w:val="single" w:sz="4" w:space="0" w:color="000000" w:themeColor="text1"/>
              <w:right w:val="single" w:sz="4" w:space="0" w:color="000000" w:themeColor="text1"/>
            </w:tcBorders>
            <w:shd w:val="clear" w:color="auto" w:fill="E2A5AC"/>
            <w:noWrap/>
            <w:hideMark/>
          </w:tcPr>
          <w:p w:rsidR="707A0F7B" w:rsidP="58D19240" w14:paraId="34E8F3ED" w14:textId="77777777">
            <w:pPr>
              <w:spacing w:line="240" w:lineRule="auto"/>
              <w:jc w:val="center"/>
              <w:rPr>
                <w:rFonts w:ascii="Calibri" w:eastAsia="Times New Roman" w:hAnsi="Calibri" w:cs="Arial"/>
                <w:b/>
                <w:bCs/>
                <w:color w:val="000000" w:themeColor="text1"/>
                <w:sz w:val="20"/>
                <w:szCs w:val="20"/>
              </w:rPr>
            </w:pPr>
            <w:r w:rsidRPr="58D19240">
              <w:rPr>
                <w:rFonts w:ascii="Calibri" w:eastAsia="Times New Roman" w:hAnsi="Calibri" w:cs="Arial"/>
                <w:b/>
                <w:bCs/>
                <w:color w:val="000000" w:themeColor="text1"/>
                <w:sz w:val="20"/>
                <w:szCs w:val="20"/>
              </w:rPr>
              <w:t>1,200</w:t>
            </w:r>
          </w:p>
        </w:tc>
        <w:tc>
          <w:tcPr>
            <w:tcW w:w="1155" w:type="dxa"/>
            <w:tcBorders>
              <w:top w:val="single" w:sz="4" w:space="0" w:color="000000" w:themeColor="text1"/>
              <w:left w:val="nil"/>
              <w:bottom w:val="single" w:sz="4" w:space="0" w:color="000000" w:themeColor="text1"/>
              <w:right w:val="single" w:sz="4" w:space="0" w:color="000000" w:themeColor="text1"/>
            </w:tcBorders>
            <w:shd w:val="clear" w:color="auto" w:fill="000000" w:themeFill="text1"/>
            <w:noWrap/>
            <w:hideMark/>
          </w:tcPr>
          <w:p w:rsidR="58D19240" w:rsidP="58D19240" w14:paraId="67E288B0" w14:textId="77777777">
            <w:pPr>
              <w:spacing w:line="240" w:lineRule="auto"/>
              <w:jc w:val="center"/>
              <w:rPr>
                <w:rFonts w:ascii="Calibri" w:eastAsia="Times New Roman" w:hAnsi="Calibri" w:cs="Arial"/>
                <w:b/>
                <w:bCs/>
                <w:color w:val="000000" w:themeColor="text1"/>
                <w:sz w:val="20"/>
                <w:szCs w:val="20"/>
              </w:rPr>
            </w:pPr>
          </w:p>
        </w:tc>
        <w:tc>
          <w:tcPr>
            <w:tcW w:w="1076" w:type="dxa"/>
            <w:tcBorders>
              <w:top w:val="single" w:sz="4" w:space="0" w:color="000000" w:themeColor="text1"/>
              <w:left w:val="nil"/>
              <w:bottom w:val="single" w:sz="4" w:space="0" w:color="000000" w:themeColor="text1"/>
              <w:right w:val="single" w:sz="4" w:space="0" w:color="000000" w:themeColor="text1"/>
            </w:tcBorders>
            <w:shd w:val="clear" w:color="auto" w:fill="E2A5AC"/>
            <w:noWrap/>
            <w:hideMark/>
          </w:tcPr>
          <w:p w:rsidR="093BAFD9" w:rsidP="58D19240" w14:paraId="78A2B91D" w14:textId="77777777">
            <w:pPr>
              <w:spacing w:line="240" w:lineRule="auto"/>
              <w:jc w:val="center"/>
              <w:rPr>
                <w:rFonts w:ascii="Calibri" w:eastAsia="Times New Roman" w:hAnsi="Calibri" w:cs="Arial"/>
                <w:b/>
                <w:bCs/>
                <w:color w:val="000000" w:themeColor="text1"/>
                <w:sz w:val="20"/>
                <w:szCs w:val="20"/>
              </w:rPr>
            </w:pPr>
            <w:r w:rsidRPr="58D19240">
              <w:rPr>
                <w:rFonts w:ascii="Calibri" w:eastAsia="Times New Roman" w:hAnsi="Calibri" w:cs="Arial"/>
                <w:b/>
                <w:bCs/>
                <w:color w:val="000000" w:themeColor="text1"/>
                <w:sz w:val="20"/>
                <w:szCs w:val="20"/>
              </w:rPr>
              <w:t>700</w:t>
            </w:r>
          </w:p>
        </w:tc>
        <w:tc>
          <w:tcPr>
            <w:tcW w:w="1185" w:type="dxa"/>
            <w:tcBorders>
              <w:top w:val="single" w:sz="12" w:space="0" w:color="000000" w:themeColor="text1"/>
              <w:left w:val="nil"/>
              <w:bottom w:val="single" w:sz="12" w:space="0" w:color="000000" w:themeColor="text1"/>
              <w:right w:val="single" w:sz="4" w:space="0" w:color="auto"/>
            </w:tcBorders>
            <w:shd w:val="clear" w:color="auto" w:fill="000000" w:themeFill="text1"/>
            <w:noWrap/>
            <w:hideMark/>
          </w:tcPr>
          <w:p w:rsidR="58D19240" w:rsidP="3977CD1B" w14:paraId="15A488B8" w14:textId="77777777">
            <w:pPr>
              <w:spacing w:line="240" w:lineRule="auto"/>
              <w:jc w:val="center"/>
              <w:rPr>
                <w:rFonts w:ascii="Calibri" w:eastAsia="Times New Roman" w:hAnsi="Calibri" w:cs="Arial"/>
                <w:color w:val="000000" w:themeColor="text1"/>
                <w:sz w:val="20"/>
                <w:szCs w:val="20"/>
              </w:rPr>
            </w:pPr>
          </w:p>
        </w:tc>
      </w:tr>
      <w:tr w14:paraId="707388F1" w14:textId="77777777" w:rsidTr="00A047DF">
        <w:tblPrEx>
          <w:tblW w:w="10119" w:type="dxa"/>
          <w:tblLook w:val="04A0"/>
        </w:tblPrEx>
        <w:trPr>
          <w:trHeight w:val="720"/>
        </w:trPr>
        <w:tc>
          <w:tcPr>
            <w:tcW w:w="1376" w:type="dxa"/>
            <w:vMerge w:val="restart"/>
            <w:tcBorders>
              <w:top w:val="nil"/>
              <w:left w:val="single" w:sz="4" w:space="0" w:color="auto"/>
              <w:bottom w:val="single" w:sz="4" w:space="0" w:color="auto"/>
              <w:right w:val="single" w:sz="4" w:space="0" w:color="auto"/>
            </w:tcBorders>
            <w:shd w:val="clear" w:color="auto" w:fill="auto"/>
            <w:vAlign w:val="center"/>
            <w:hideMark/>
          </w:tcPr>
          <w:p w:rsidR="00A047DF" w:rsidP="00A047DF" w14:paraId="6541A898" w14:textId="77777777">
            <w:pPr>
              <w:spacing w:after="0" w:line="240" w:lineRule="auto"/>
              <w:jc w:val="center"/>
              <w:rPr>
                <w:rFonts w:ascii="Calibri" w:eastAsia="Times New Roman" w:hAnsi="Calibri" w:cs="Arial"/>
                <w:color w:val="000000" w:themeColor="text1"/>
                <w:sz w:val="20"/>
                <w:szCs w:val="20"/>
              </w:rPr>
            </w:pPr>
            <w:r w:rsidRPr="58D19240">
              <w:rPr>
                <w:rFonts w:ascii="Calibri" w:eastAsia="Times New Roman" w:hAnsi="Calibri" w:cs="Arial"/>
                <w:color w:val="000000" w:themeColor="text1"/>
                <w:sz w:val="20"/>
                <w:szCs w:val="20"/>
              </w:rPr>
              <w:t> Non-Alumni Survey</w:t>
            </w:r>
          </w:p>
        </w:tc>
        <w:tc>
          <w:tcPr>
            <w:tcW w:w="1395" w:type="dxa"/>
            <w:vMerge w:val="restart"/>
            <w:tcBorders>
              <w:top w:val="nil"/>
              <w:left w:val="single" w:sz="4" w:space="0" w:color="auto"/>
              <w:bottom w:val="single" w:sz="4" w:space="0" w:color="auto"/>
              <w:right w:val="single" w:sz="4" w:space="0" w:color="000000" w:themeColor="text1"/>
            </w:tcBorders>
            <w:shd w:val="clear" w:color="auto" w:fill="auto"/>
            <w:noWrap/>
            <w:vAlign w:val="center"/>
            <w:hideMark/>
          </w:tcPr>
          <w:p w:rsidR="00A047DF" w:rsidP="00A047DF" w14:paraId="22EDAAB5" w14:textId="77777777">
            <w:pPr>
              <w:spacing w:after="0" w:line="240" w:lineRule="auto"/>
              <w:jc w:val="center"/>
              <w:rPr>
                <w:rFonts w:ascii="Calibri" w:eastAsia="Times New Roman" w:hAnsi="Calibri" w:cs="Arial"/>
                <w:color w:val="000000" w:themeColor="text1"/>
                <w:sz w:val="20"/>
                <w:szCs w:val="20"/>
              </w:rPr>
            </w:pPr>
            <w:r w:rsidRPr="58D19240">
              <w:rPr>
                <w:rFonts w:ascii="Calibri" w:eastAsia="Times New Roman" w:hAnsi="Calibri" w:cs="Arial"/>
                <w:color w:val="000000" w:themeColor="text1"/>
                <w:sz w:val="20"/>
                <w:szCs w:val="20"/>
              </w:rPr>
              <w:t>Comparison Group (Non-Alumni)</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7DF" w:rsidP="00A047DF" w14:paraId="12BAB347" w14:textId="77777777">
            <w:pPr>
              <w:spacing w:after="0" w:line="240" w:lineRule="auto"/>
              <w:rPr>
                <w:rFonts w:eastAsia="Times New Roman"/>
                <w:color w:val="000000" w:themeColor="text1"/>
                <w:sz w:val="20"/>
                <w:szCs w:val="20"/>
              </w:rPr>
            </w:pPr>
            <w:r w:rsidRPr="58D19240">
              <w:rPr>
                <w:rFonts w:eastAsia="Times New Roman"/>
                <w:color w:val="000000" w:themeColor="text1"/>
                <w:sz w:val="20"/>
                <w:szCs w:val="20"/>
              </w:rPr>
              <w:t>Science Graduates</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rsidR="00A047DF" w:rsidP="00A047DF" w14:paraId="1F7C7640" w14:textId="77777777">
            <w:pPr>
              <w:spacing w:after="0" w:line="240" w:lineRule="auto"/>
              <w:jc w:val="center"/>
              <w:rPr>
                <w:rFonts w:ascii="Calibri" w:eastAsia="Times New Roman" w:hAnsi="Calibri" w:cs="Arial"/>
                <w:color w:val="000000" w:themeColor="text1"/>
                <w:sz w:val="20"/>
                <w:szCs w:val="20"/>
              </w:rPr>
            </w:pPr>
            <w:r w:rsidRPr="58D19240">
              <w:rPr>
                <w:rFonts w:ascii="Calibri" w:eastAsia="Times New Roman" w:hAnsi="Calibri" w:cs="Arial"/>
                <w:color w:val="000000" w:themeColor="text1"/>
                <w:sz w:val="20"/>
                <w:szCs w:val="20"/>
              </w:rPr>
              <w:t>480</w:t>
            </w:r>
          </w:p>
        </w:tc>
        <w:tc>
          <w:tcPr>
            <w:tcW w:w="1153" w:type="dxa"/>
            <w:tcBorders>
              <w:top w:val="single" w:sz="4" w:space="0" w:color="000000" w:themeColor="text1"/>
              <w:left w:val="nil"/>
              <w:bottom w:val="single" w:sz="4" w:space="0" w:color="000000" w:themeColor="text1"/>
              <w:right w:val="single" w:sz="4" w:space="0" w:color="000000" w:themeColor="text1"/>
            </w:tcBorders>
            <w:shd w:val="clear" w:color="auto" w:fill="E2A5AC"/>
            <w:noWrap/>
            <w:hideMark/>
          </w:tcPr>
          <w:p w:rsidR="00A047DF" w:rsidP="00A047DF" w14:paraId="04D1255C" w14:textId="77777777">
            <w:pPr>
              <w:spacing w:after="0" w:line="240" w:lineRule="auto"/>
              <w:jc w:val="center"/>
              <w:rPr>
                <w:rFonts w:ascii="Calibri" w:eastAsia="Times New Roman" w:hAnsi="Calibri" w:cs="Arial"/>
                <w:color w:val="000000" w:themeColor="text1"/>
                <w:sz w:val="20"/>
                <w:szCs w:val="20"/>
              </w:rPr>
            </w:pPr>
            <w:r w:rsidRPr="58D19240">
              <w:rPr>
                <w:rFonts w:ascii="Calibri" w:eastAsia="Times New Roman" w:hAnsi="Calibri" w:cs="Arial"/>
                <w:color w:val="000000" w:themeColor="text1"/>
                <w:sz w:val="20"/>
                <w:szCs w:val="20"/>
              </w:rPr>
              <w:t>480</w:t>
            </w:r>
          </w:p>
        </w:tc>
        <w:tc>
          <w:tcPr>
            <w:tcW w:w="1155" w:type="dxa"/>
            <w:tcBorders>
              <w:top w:val="single" w:sz="4" w:space="0" w:color="000000" w:themeColor="text1"/>
              <w:left w:val="nil"/>
              <w:bottom w:val="single" w:sz="4" w:space="0" w:color="000000" w:themeColor="text1"/>
              <w:right w:val="single" w:sz="4" w:space="0" w:color="000000" w:themeColor="text1"/>
            </w:tcBorders>
            <w:shd w:val="clear" w:color="auto" w:fill="auto"/>
            <w:noWrap/>
            <w:hideMark/>
          </w:tcPr>
          <w:p w:rsidR="00A047DF" w:rsidP="00A047DF" w14:paraId="6692DF0F" w14:textId="77777777">
            <w:pPr>
              <w:spacing w:after="0" w:line="240" w:lineRule="auto"/>
              <w:jc w:val="center"/>
              <w:rPr>
                <w:rFonts w:ascii="Calibri" w:eastAsia="Times New Roman" w:hAnsi="Calibri" w:cs="Arial"/>
                <w:color w:val="000000" w:themeColor="text1"/>
                <w:sz w:val="20"/>
                <w:szCs w:val="20"/>
              </w:rPr>
            </w:pPr>
            <w:r>
              <w:rPr>
                <w:rFonts w:ascii="Calibri" w:eastAsia="Times New Roman" w:hAnsi="Calibri" w:cs="Arial"/>
                <w:color w:val="000000" w:themeColor="text1"/>
                <w:sz w:val="20"/>
                <w:szCs w:val="20"/>
              </w:rPr>
              <w:t>0.583</w:t>
            </w:r>
          </w:p>
        </w:tc>
        <w:tc>
          <w:tcPr>
            <w:tcW w:w="1076" w:type="dxa"/>
            <w:tcBorders>
              <w:top w:val="single" w:sz="4" w:space="0" w:color="000000" w:themeColor="text1"/>
              <w:left w:val="nil"/>
              <w:bottom w:val="single" w:sz="4" w:space="0" w:color="000000" w:themeColor="text1"/>
              <w:right w:val="single" w:sz="4" w:space="0" w:color="000000" w:themeColor="text1"/>
            </w:tcBorders>
            <w:shd w:val="clear" w:color="auto" w:fill="E2A5AC"/>
            <w:noWrap/>
            <w:hideMark/>
          </w:tcPr>
          <w:p w:rsidR="00A047DF" w:rsidP="00A047DF" w14:paraId="2B843BD6" w14:textId="77777777">
            <w:pPr>
              <w:spacing w:after="0" w:line="240" w:lineRule="auto"/>
              <w:jc w:val="center"/>
              <w:rPr>
                <w:rFonts w:ascii="Calibri" w:eastAsia="Times New Roman" w:hAnsi="Calibri" w:cs="Arial"/>
                <w:color w:val="000000" w:themeColor="text1"/>
                <w:sz w:val="20"/>
                <w:szCs w:val="20"/>
              </w:rPr>
            </w:pPr>
            <w:r w:rsidRPr="58D19240">
              <w:rPr>
                <w:rFonts w:ascii="Calibri" w:eastAsia="Times New Roman" w:hAnsi="Calibri" w:cs="Arial"/>
                <w:color w:val="000000" w:themeColor="text1"/>
                <w:sz w:val="20"/>
                <w:szCs w:val="20"/>
              </w:rPr>
              <w:t>280</w:t>
            </w:r>
          </w:p>
        </w:tc>
        <w:tc>
          <w:tcPr>
            <w:tcW w:w="1185" w:type="dxa"/>
            <w:tcBorders>
              <w:top w:val="single" w:sz="12" w:space="0" w:color="000000" w:themeColor="text1"/>
              <w:left w:val="nil"/>
              <w:bottom w:val="single" w:sz="4" w:space="0" w:color="auto"/>
              <w:right w:val="single" w:sz="4" w:space="0" w:color="auto"/>
            </w:tcBorders>
            <w:shd w:val="clear" w:color="auto" w:fill="auto"/>
            <w:noWrap/>
            <w:hideMark/>
          </w:tcPr>
          <w:p w:rsidR="00A047DF" w:rsidP="00A047DF" w14:paraId="0AF83E1D" w14:textId="77777777">
            <w:pPr>
              <w:spacing w:after="0" w:line="240" w:lineRule="auto"/>
              <w:jc w:val="center"/>
              <w:rPr>
                <w:rFonts w:ascii="Calibri" w:eastAsia="Times New Roman" w:hAnsi="Calibri" w:cs="Arial"/>
                <w:color w:val="000000" w:themeColor="text1"/>
                <w:sz w:val="20"/>
                <w:szCs w:val="20"/>
              </w:rPr>
            </w:pPr>
            <w:r w:rsidRPr="3977CD1B">
              <w:rPr>
                <w:rFonts w:ascii="Calibri" w:eastAsia="Times New Roman" w:hAnsi="Calibri" w:cs="Arial"/>
                <w:color w:val="000000" w:themeColor="text1"/>
                <w:sz w:val="20"/>
                <w:szCs w:val="20"/>
              </w:rPr>
              <w:t>1</w:t>
            </w:r>
          </w:p>
        </w:tc>
      </w:tr>
      <w:tr w14:paraId="00CB6F8B" w14:textId="77777777" w:rsidTr="00A047DF">
        <w:tblPrEx>
          <w:tblW w:w="10119" w:type="dxa"/>
          <w:tblLook w:val="04A0"/>
        </w:tblPrEx>
        <w:trPr>
          <w:trHeight w:val="720"/>
        </w:trPr>
        <w:tc>
          <w:tcPr>
            <w:tcW w:w="1376" w:type="dxa"/>
            <w:vMerge/>
            <w:vAlign w:val="bottom"/>
            <w:hideMark/>
          </w:tcPr>
          <w:p w:rsidR="00A047DF" w:rsidP="00A047DF" w14:paraId="1B597E6A" w14:textId="77777777"/>
        </w:tc>
        <w:tc>
          <w:tcPr>
            <w:tcW w:w="1395" w:type="dxa"/>
            <w:vMerge/>
            <w:noWrap/>
            <w:vAlign w:val="center"/>
            <w:hideMark/>
          </w:tcPr>
          <w:p w:rsidR="00A047DF" w:rsidP="00A047DF" w14:paraId="53535B88" w14:textId="77777777"/>
        </w:tc>
        <w:tc>
          <w:tcPr>
            <w:tcW w:w="1474" w:type="dxa"/>
            <w:tcBorders>
              <w:top w:val="nil"/>
              <w:left w:val="single" w:sz="4" w:space="0" w:color="000000" w:themeColor="text1"/>
              <w:bottom w:val="single" w:sz="4" w:space="0" w:color="000000" w:themeColor="text1"/>
              <w:right w:val="single" w:sz="4" w:space="0" w:color="000000" w:themeColor="text1"/>
            </w:tcBorders>
            <w:shd w:val="clear" w:color="auto" w:fill="auto"/>
          </w:tcPr>
          <w:p w:rsidR="00A047DF" w:rsidP="00A047DF" w14:paraId="3FEB64FF" w14:textId="77777777">
            <w:pPr>
              <w:spacing w:after="0" w:line="240" w:lineRule="auto"/>
              <w:rPr>
                <w:rFonts w:eastAsia="Times New Roman"/>
                <w:color w:val="000000" w:themeColor="text1"/>
                <w:sz w:val="20"/>
                <w:szCs w:val="20"/>
              </w:rPr>
            </w:pPr>
            <w:r w:rsidRPr="58D19240">
              <w:rPr>
                <w:rFonts w:eastAsia="Times New Roman"/>
                <w:color w:val="000000" w:themeColor="text1"/>
                <w:sz w:val="20"/>
                <w:szCs w:val="20"/>
              </w:rPr>
              <w:t>Engineering Graduates</w:t>
            </w:r>
          </w:p>
        </w:tc>
        <w:tc>
          <w:tcPr>
            <w:tcW w:w="1305"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rsidR="00A047DF" w:rsidP="00A047DF" w14:paraId="448E5664" w14:textId="77777777">
            <w:pPr>
              <w:spacing w:line="240" w:lineRule="auto"/>
              <w:jc w:val="center"/>
              <w:rPr>
                <w:rFonts w:ascii="Calibri" w:eastAsia="Times New Roman" w:hAnsi="Calibri" w:cs="Arial"/>
                <w:color w:val="000000" w:themeColor="text1"/>
                <w:sz w:val="20"/>
                <w:szCs w:val="20"/>
              </w:rPr>
            </w:pPr>
            <w:r w:rsidRPr="58D19240">
              <w:rPr>
                <w:rFonts w:ascii="Calibri" w:eastAsia="Times New Roman" w:hAnsi="Calibri" w:cs="Arial"/>
                <w:color w:val="000000" w:themeColor="text1"/>
                <w:sz w:val="20"/>
                <w:szCs w:val="20"/>
              </w:rPr>
              <w:t>360</w:t>
            </w:r>
          </w:p>
        </w:tc>
        <w:tc>
          <w:tcPr>
            <w:tcW w:w="1153" w:type="dxa"/>
            <w:tcBorders>
              <w:top w:val="nil"/>
              <w:left w:val="nil"/>
              <w:bottom w:val="single" w:sz="4" w:space="0" w:color="000000" w:themeColor="text1"/>
              <w:right w:val="single" w:sz="4" w:space="0" w:color="000000" w:themeColor="text1"/>
            </w:tcBorders>
            <w:shd w:val="clear" w:color="auto" w:fill="E2A5AC"/>
            <w:noWrap/>
            <w:hideMark/>
          </w:tcPr>
          <w:p w:rsidR="00A047DF" w:rsidP="00A047DF" w14:paraId="2395064F" w14:textId="77777777">
            <w:pPr>
              <w:spacing w:line="240" w:lineRule="auto"/>
              <w:jc w:val="center"/>
              <w:rPr>
                <w:rFonts w:ascii="Calibri" w:eastAsia="Times New Roman" w:hAnsi="Calibri" w:cs="Arial"/>
                <w:color w:val="000000" w:themeColor="text1"/>
                <w:sz w:val="20"/>
                <w:szCs w:val="20"/>
              </w:rPr>
            </w:pPr>
            <w:r w:rsidRPr="58D19240">
              <w:rPr>
                <w:rFonts w:ascii="Calibri" w:eastAsia="Times New Roman" w:hAnsi="Calibri" w:cs="Arial"/>
                <w:color w:val="000000" w:themeColor="text1"/>
                <w:sz w:val="20"/>
                <w:szCs w:val="20"/>
              </w:rPr>
              <w:t>360</w:t>
            </w:r>
          </w:p>
        </w:tc>
        <w:tc>
          <w:tcPr>
            <w:tcW w:w="1155" w:type="dxa"/>
            <w:tcBorders>
              <w:top w:val="nil"/>
              <w:left w:val="nil"/>
              <w:bottom w:val="single" w:sz="4" w:space="0" w:color="000000" w:themeColor="text1"/>
              <w:right w:val="single" w:sz="4" w:space="0" w:color="000000" w:themeColor="text1"/>
            </w:tcBorders>
            <w:shd w:val="clear" w:color="auto" w:fill="auto"/>
            <w:noWrap/>
            <w:hideMark/>
          </w:tcPr>
          <w:p w:rsidR="00A047DF" w:rsidP="00A047DF" w14:paraId="271FBF38" w14:textId="77777777">
            <w:pPr>
              <w:spacing w:line="240" w:lineRule="auto"/>
              <w:jc w:val="center"/>
              <w:rPr>
                <w:rFonts w:ascii="Calibri" w:eastAsia="Times New Roman" w:hAnsi="Calibri" w:cs="Arial"/>
                <w:color w:val="000000" w:themeColor="text1"/>
                <w:sz w:val="20"/>
                <w:szCs w:val="20"/>
              </w:rPr>
            </w:pPr>
            <w:r>
              <w:rPr>
                <w:rFonts w:ascii="Calibri" w:eastAsia="Times New Roman" w:hAnsi="Calibri" w:cs="Arial"/>
                <w:color w:val="000000" w:themeColor="text1"/>
                <w:sz w:val="20"/>
                <w:szCs w:val="20"/>
              </w:rPr>
              <w:t>0.583</w:t>
            </w:r>
          </w:p>
        </w:tc>
        <w:tc>
          <w:tcPr>
            <w:tcW w:w="1076" w:type="dxa"/>
            <w:tcBorders>
              <w:top w:val="nil"/>
              <w:left w:val="nil"/>
              <w:bottom w:val="single" w:sz="4" w:space="0" w:color="000000" w:themeColor="text1"/>
              <w:right w:val="single" w:sz="4" w:space="0" w:color="000000" w:themeColor="text1"/>
            </w:tcBorders>
            <w:shd w:val="clear" w:color="auto" w:fill="E2A5AC"/>
            <w:noWrap/>
            <w:hideMark/>
          </w:tcPr>
          <w:p w:rsidR="00A047DF" w:rsidP="00A047DF" w14:paraId="07F79BDE" w14:textId="77777777">
            <w:pPr>
              <w:spacing w:line="240" w:lineRule="auto"/>
              <w:jc w:val="center"/>
              <w:rPr>
                <w:rFonts w:ascii="Calibri" w:eastAsia="Times New Roman" w:hAnsi="Calibri" w:cs="Arial"/>
                <w:color w:val="000000" w:themeColor="text1"/>
                <w:sz w:val="20"/>
                <w:szCs w:val="20"/>
              </w:rPr>
            </w:pPr>
            <w:r w:rsidRPr="58D19240">
              <w:rPr>
                <w:rFonts w:ascii="Calibri" w:eastAsia="Times New Roman" w:hAnsi="Calibri" w:cs="Arial"/>
                <w:color w:val="000000" w:themeColor="text1"/>
                <w:sz w:val="20"/>
                <w:szCs w:val="20"/>
              </w:rPr>
              <w:t>210</w:t>
            </w:r>
          </w:p>
        </w:tc>
        <w:tc>
          <w:tcPr>
            <w:tcW w:w="1185" w:type="dxa"/>
            <w:tcBorders>
              <w:top w:val="nil"/>
              <w:left w:val="nil"/>
              <w:bottom w:val="single" w:sz="4" w:space="0" w:color="auto"/>
              <w:right w:val="single" w:sz="4" w:space="0" w:color="auto"/>
            </w:tcBorders>
            <w:shd w:val="clear" w:color="auto" w:fill="auto"/>
            <w:noWrap/>
            <w:hideMark/>
          </w:tcPr>
          <w:p w:rsidR="00A047DF" w:rsidP="00A047DF" w14:paraId="412342EE" w14:textId="77777777">
            <w:pPr>
              <w:spacing w:line="240" w:lineRule="auto"/>
              <w:jc w:val="center"/>
              <w:rPr>
                <w:rFonts w:ascii="Calibri" w:eastAsia="Times New Roman" w:hAnsi="Calibri" w:cs="Arial"/>
                <w:color w:val="000000" w:themeColor="text1"/>
                <w:sz w:val="20"/>
                <w:szCs w:val="20"/>
              </w:rPr>
            </w:pPr>
            <w:r w:rsidRPr="3977CD1B">
              <w:rPr>
                <w:rFonts w:ascii="Calibri" w:eastAsia="Times New Roman" w:hAnsi="Calibri" w:cs="Arial"/>
                <w:color w:val="000000" w:themeColor="text1"/>
                <w:sz w:val="20"/>
                <w:szCs w:val="20"/>
              </w:rPr>
              <w:t>1</w:t>
            </w:r>
          </w:p>
        </w:tc>
      </w:tr>
      <w:tr w14:paraId="1F96AD74" w14:textId="77777777" w:rsidTr="00A047DF">
        <w:tblPrEx>
          <w:tblW w:w="10119" w:type="dxa"/>
          <w:tblLook w:val="04A0"/>
        </w:tblPrEx>
        <w:trPr>
          <w:trHeight w:val="720"/>
        </w:trPr>
        <w:tc>
          <w:tcPr>
            <w:tcW w:w="1376" w:type="dxa"/>
            <w:vMerge/>
            <w:vAlign w:val="bottom"/>
            <w:hideMark/>
          </w:tcPr>
          <w:p w:rsidR="00A047DF" w:rsidP="00A047DF" w14:paraId="1782DB20" w14:textId="77777777"/>
        </w:tc>
        <w:tc>
          <w:tcPr>
            <w:tcW w:w="1395" w:type="dxa"/>
            <w:vMerge/>
            <w:noWrap/>
            <w:vAlign w:val="center"/>
            <w:hideMark/>
          </w:tcPr>
          <w:p w:rsidR="00A047DF" w:rsidP="00A047DF" w14:paraId="121D13E0" w14:textId="77777777"/>
        </w:tc>
        <w:tc>
          <w:tcPr>
            <w:tcW w:w="1474" w:type="dxa"/>
            <w:tcBorders>
              <w:top w:val="nil"/>
              <w:left w:val="single" w:sz="4" w:space="0" w:color="000000" w:themeColor="text1"/>
              <w:bottom w:val="single" w:sz="4" w:space="0" w:color="000000" w:themeColor="text1"/>
              <w:right w:val="single" w:sz="4" w:space="0" w:color="000000" w:themeColor="text1"/>
            </w:tcBorders>
            <w:shd w:val="clear" w:color="auto" w:fill="auto"/>
          </w:tcPr>
          <w:p w:rsidR="00A047DF" w:rsidP="00A047DF" w14:paraId="00902EAA" w14:textId="77777777">
            <w:pPr>
              <w:spacing w:after="0" w:line="240" w:lineRule="auto"/>
              <w:rPr>
                <w:rFonts w:eastAsia="Times New Roman"/>
                <w:color w:val="000000" w:themeColor="text1"/>
                <w:sz w:val="20"/>
                <w:szCs w:val="20"/>
              </w:rPr>
            </w:pPr>
            <w:r w:rsidRPr="3977CD1B">
              <w:rPr>
                <w:rFonts w:eastAsia="Times New Roman"/>
                <w:color w:val="000000" w:themeColor="text1"/>
                <w:sz w:val="20"/>
                <w:szCs w:val="20"/>
              </w:rPr>
              <w:t>Computer and Math Graduates</w:t>
            </w:r>
          </w:p>
        </w:tc>
        <w:tc>
          <w:tcPr>
            <w:tcW w:w="1305"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rsidR="00A047DF" w:rsidP="00A047DF" w14:paraId="365AE705" w14:textId="77777777">
            <w:pPr>
              <w:spacing w:line="240" w:lineRule="auto"/>
              <w:jc w:val="center"/>
              <w:rPr>
                <w:rFonts w:ascii="Calibri" w:eastAsia="Times New Roman" w:hAnsi="Calibri" w:cs="Arial"/>
                <w:color w:val="000000" w:themeColor="text1"/>
                <w:sz w:val="20"/>
                <w:szCs w:val="20"/>
              </w:rPr>
            </w:pPr>
            <w:r w:rsidRPr="58D19240">
              <w:rPr>
                <w:rFonts w:ascii="Calibri" w:eastAsia="Times New Roman" w:hAnsi="Calibri" w:cs="Arial"/>
                <w:color w:val="000000" w:themeColor="text1"/>
                <w:sz w:val="20"/>
                <w:szCs w:val="20"/>
              </w:rPr>
              <w:t>360</w:t>
            </w:r>
          </w:p>
        </w:tc>
        <w:tc>
          <w:tcPr>
            <w:tcW w:w="1153" w:type="dxa"/>
            <w:tcBorders>
              <w:top w:val="nil"/>
              <w:left w:val="nil"/>
              <w:bottom w:val="single" w:sz="4" w:space="0" w:color="000000" w:themeColor="text1"/>
              <w:right w:val="single" w:sz="4" w:space="0" w:color="000000" w:themeColor="text1"/>
            </w:tcBorders>
            <w:shd w:val="clear" w:color="auto" w:fill="E2A5AC"/>
            <w:noWrap/>
            <w:hideMark/>
          </w:tcPr>
          <w:p w:rsidR="00A047DF" w:rsidP="00A047DF" w14:paraId="585D6FF0" w14:textId="77777777">
            <w:pPr>
              <w:spacing w:line="240" w:lineRule="auto"/>
              <w:jc w:val="center"/>
              <w:rPr>
                <w:rFonts w:ascii="Calibri" w:eastAsia="Times New Roman" w:hAnsi="Calibri" w:cs="Arial"/>
                <w:color w:val="000000" w:themeColor="text1"/>
                <w:sz w:val="20"/>
                <w:szCs w:val="20"/>
              </w:rPr>
            </w:pPr>
            <w:r w:rsidRPr="58D19240">
              <w:rPr>
                <w:rFonts w:ascii="Calibri" w:eastAsia="Times New Roman" w:hAnsi="Calibri" w:cs="Arial"/>
                <w:color w:val="000000" w:themeColor="text1"/>
                <w:sz w:val="20"/>
                <w:szCs w:val="20"/>
              </w:rPr>
              <w:t>360</w:t>
            </w:r>
          </w:p>
        </w:tc>
        <w:tc>
          <w:tcPr>
            <w:tcW w:w="1155" w:type="dxa"/>
            <w:tcBorders>
              <w:top w:val="nil"/>
              <w:left w:val="nil"/>
              <w:bottom w:val="single" w:sz="4" w:space="0" w:color="000000" w:themeColor="text1"/>
              <w:right w:val="single" w:sz="4" w:space="0" w:color="000000" w:themeColor="text1"/>
            </w:tcBorders>
            <w:shd w:val="clear" w:color="auto" w:fill="auto"/>
            <w:noWrap/>
            <w:hideMark/>
          </w:tcPr>
          <w:p w:rsidR="00A047DF" w:rsidP="00A047DF" w14:paraId="139C31F7" w14:textId="77777777">
            <w:pPr>
              <w:spacing w:line="240" w:lineRule="auto"/>
              <w:jc w:val="center"/>
              <w:rPr>
                <w:rFonts w:ascii="Calibri" w:eastAsia="Times New Roman" w:hAnsi="Calibri" w:cs="Arial"/>
                <w:color w:val="000000" w:themeColor="text1"/>
                <w:sz w:val="20"/>
                <w:szCs w:val="20"/>
              </w:rPr>
            </w:pPr>
            <w:r>
              <w:rPr>
                <w:rFonts w:ascii="Calibri" w:eastAsia="Times New Roman" w:hAnsi="Calibri" w:cs="Arial"/>
                <w:color w:val="000000" w:themeColor="text1"/>
                <w:sz w:val="20"/>
                <w:szCs w:val="20"/>
              </w:rPr>
              <w:t>0.583</w:t>
            </w:r>
          </w:p>
        </w:tc>
        <w:tc>
          <w:tcPr>
            <w:tcW w:w="1076" w:type="dxa"/>
            <w:tcBorders>
              <w:top w:val="nil"/>
              <w:left w:val="nil"/>
              <w:bottom w:val="single" w:sz="4" w:space="0" w:color="000000" w:themeColor="text1"/>
              <w:right w:val="single" w:sz="4" w:space="0" w:color="000000" w:themeColor="text1"/>
            </w:tcBorders>
            <w:shd w:val="clear" w:color="auto" w:fill="E2A5AC"/>
            <w:noWrap/>
            <w:hideMark/>
          </w:tcPr>
          <w:p w:rsidR="00A047DF" w:rsidP="00A047DF" w14:paraId="6A359A28" w14:textId="77777777">
            <w:pPr>
              <w:spacing w:line="240" w:lineRule="auto"/>
              <w:jc w:val="center"/>
              <w:rPr>
                <w:rFonts w:ascii="Calibri" w:eastAsia="Times New Roman" w:hAnsi="Calibri" w:cs="Arial"/>
                <w:color w:val="000000" w:themeColor="text1"/>
                <w:sz w:val="20"/>
                <w:szCs w:val="20"/>
              </w:rPr>
            </w:pPr>
            <w:r w:rsidRPr="58D19240">
              <w:rPr>
                <w:rFonts w:ascii="Calibri" w:eastAsia="Times New Roman" w:hAnsi="Calibri" w:cs="Arial"/>
                <w:color w:val="000000" w:themeColor="text1"/>
                <w:sz w:val="20"/>
                <w:szCs w:val="20"/>
              </w:rPr>
              <w:t>210</w:t>
            </w:r>
          </w:p>
        </w:tc>
        <w:tc>
          <w:tcPr>
            <w:tcW w:w="1185" w:type="dxa"/>
            <w:tcBorders>
              <w:top w:val="nil"/>
              <w:left w:val="nil"/>
              <w:bottom w:val="single" w:sz="4" w:space="0" w:color="000000" w:themeColor="text1"/>
              <w:right w:val="single" w:sz="4" w:space="0" w:color="auto"/>
            </w:tcBorders>
            <w:shd w:val="clear" w:color="auto" w:fill="auto"/>
            <w:noWrap/>
            <w:hideMark/>
          </w:tcPr>
          <w:p w:rsidR="00A047DF" w:rsidP="00A047DF" w14:paraId="2567F109" w14:textId="77777777">
            <w:pPr>
              <w:spacing w:line="240" w:lineRule="auto"/>
              <w:jc w:val="center"/>
              <w:rPr>
                <w:rFonts w:ascii="Calibri" w:eastAsia="Times New Roman" w:hAnsi="Calibri" w:cs="Arial"/>
                <w:color w:val="000000" w:themeColor="text1"/>
                <w:sz w:val="20"/>
                <w:szCs w:val="20"/>
              </w:rPr>
            </w:pPr>
            <w:r w:rsidRPr="3977CD1B">
              <w:rPr>
                <w:rFonts w:ascii="Calibri" w:eastAsia="Times New Roman" w:hAnsi="Calibri" w:cs="Arial"/>
                <w:color w:val="000000" w:themeColor="text1"/>
                <w:sz w:val="20"/>
                <w:szCs w:val="20"/>
              </w:rPr>
              <w:t>1</w:t>
            </w:r>
          </w:p>
        </w:tc>
      </w:tr>
      <w:tr w14:paraId="4E34E01F" w14:textId="77777777" w:rsidTr="00A047DF">
        <w:tblPrEx>
          <w:tblW w:w="10119" w:type="dxa"/>
          <w:tblLook w:val="04A0"/>
        </w:tblPrEx>
        <w:trPr>
          <w:trHeight w:val="720"/>
        </w:trPr>
        <w:tc>
          <w:tcPr>
            <w:tcW w:w="1376" w:type="dxa"/>
            <w:vMerge/>
            <w:vAlign w:val="center"/>
            <w:hideMark/>
          </w:tcPr>
          <w:p w:rsidR="00B23FD3" w14:paraId="7289040B" w14:textId="77777777"/>
        </w:tc>
        <w:tc>
          <w:tcPr>
            <w:tcW w:w="1395" w:type="dxa"/>
            <w:vMerge/>
            <w:noWrap/>
            <w:vAlign w:val="center"/>
            <w:hideMark/>
          </w:tcPr>
          <w:p w:rsidR="00B23FD3" w14:paraId="0D6D1016" w14:textId="77777777"/>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A5AC"/>
          </w:tcPr>
          <w:p w:rsidR="7F512416" w:rsidP="3977CD1B" w14:paraId="2C0ED9A9" w14:textId="77777777">
            <w:pPr>
              <w:spacing w:line="240" w:lineRule="auto"/>
              <w:jc w:val="center"/>
              <w:rPr>
                <w:rFonts w:eastAsia="Times New Roman"/>
                <w:b/>
                <w:bCs/>
                <w:color w:val="000000" w:themeColor="text1"/>
                <w:sz w:val="20"/>
                <w:szCs w:val="20"/>
              </w:rPr>
            </w:pPr>
            <w:r w:rsidRPr="3977CD1B">
              <w:rPr>
                <w:rFonts w:eastAsia="Times New Roman"/>
                <w:b/>
                <w:bCs/>
                <w:color w:val="000000" w:themeColor="text1"/>
                <w:sz w:val="20"/>
                <w:szCs w:val="20"/>
              </w:rPr>
              <w:t>Non-</w:t>
            </w:r>
            <w:r w:rsidRPr="3977CD1B" w:rsidR="0E2C14FC">
              <w:rPr>
                <w:rFonts w:eastAsia="Times New Roman"/>
                <w:b/>
                <w:bCs/>
                <w:color w:val="000000" w:themeColor="text1"/>
                <w:sz w:val="20"/>
                <w:szCs w:val="20"/>
              </w:rPr>
              <w:t>Alumni</w:t>
            </w:r>
            <w:r w:rsidRPr="3977CD1B" w:rsidR="63D266F9">
              <w:rPr>
                <w:rFonts w:eastAsia="Times New Roman"/>
                <w:b/>
                <w:bCs/>
                <w:color w:val="000000" w:themeColor="text1"/>
                <w:sz w:val="20"/>
                <w:szCs w:val="20"/>
              </w:rPr>
              <w:t xml:space="preserve"> Subtotal</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A5AC"/>
            <w:noWrap/>
            <w:hideMark/>
          </w:tcPr>
          <w:p w:rsidR="58D19240" w:rsidP="58D19240" w14:paraId="50C0EEAD" w14:textId="77777777">
            <w:pPr>
              <w:spacing w:line="240" w:lineRule="auto"/>
              <w:jc w:val="center"/>
              <w:rPr>
                <w:rFonts w:ascii="Calibri" w:eastAsia="Times New Roman" w:hAnsi="Calibri" w:cs="Arial"/>
                <w:b/>
                <w:bCs/>
                <w:color w:val="000000" w:themeColor="text1"/>
                <w:sz w:val="20"/>
                <w:szCs w:val="20"/>
              </w:rPr>
            </w:pPr>
            <w:r w:rsidRPr="58D19240">
              <w:rPr>
                <w:rFonts w:ascii="Calibri" w:eastAsia="Times New Roman" w:hAnsi="Calibri" w:cs="Arial"/>
                <w:b/>
                <w:bCs/>
                <w:color w:val="000000" w:themeColor="text1"/>
                <w:sz w:val="20"/>
                <w:szCs w:val="20"/>
              </w:rPr>
              <w:t>1,200</w:t>
            </w:r>
          </w:p>
        </w:tc>
        <w:tc>
          <w:tcPr>
            <w:tcW w:w="1153" w:type="dxa"/>
            <w:tcBorders>
              <w:top w:val="single" w:sz="4" w:space="0" w:color="000000" w:themeColor="text1"/>
              <w:left w:val="nil"/>
              <w:bottom w:val="single" w:sz="4" w:space="0" w:color="000000" w:themeColor="text1"/>
              <w:right w:val="single" w:sz="4" w:space="0" w:color="000000" w:themeColor="text1"/>
            </w:tcBorders>
            <w:shd w:val="clear" w:color="auto" w:fill="E2A5AC"/>
            <w:noWrap/>
            <w:hideMark/>
          </w:tcPr>
          <w:p w:rsidR="2378AE3B" w:rsidP="58D19240" w14:paraId="14914B3A" w14:textId="77777777">
            <w:pPr>
              <w:spacing w:line="240" w:lineRule="auto"/>
              <w:jc w:val="center"/>
              <w:rPr>
                <w:rFonts w:ascii="Calibri" w:eastAsia="Times New Roman" w:hAnsi="Calibri" w:cs="Arial"/>
                <w:b/>
                <w:bCs/>
                <w:color w:val="000000" w:themeColor="text1"/>
                <w:sz w:val="20"/>
                <w:szCs w:val="20"/>
              </w:rPr>
            </w:pPr>
            <w:r w:rsidRPr="58D19240">
              <w:rPr>
                <w:rFonts w:ascii="Calibri" w:eastAsia="Times New Roman" w:hAnsi="Calibri" w:cs="Arial"/>
                <w:b/>
                <w:bCs/>
                <w:color w:val="000000" w:themeColor="text1"/>
                <w:sz w:val="20"/>
                <w:szCs w:val="20"/>
              </w:rPr>
              <w:t>1,200</w:t>
            </w:r>
          </w:p>
        </w:tc>
        <w:tc>
          <w:tcPr>
            <w:tcW w:w="1155" w:type="dxa"/>
            <w:tcBorders>
              <w:top w:val="single" w:sz="4" w:space="0" w:color="000000" w:themeColor="text1"/>
              <w:left w:val="nil"/>
              <w:bottom w:val="single" w:sz="4" w:space="0" w:color="000000" w:themeColor="text1"/>
              <w:right w:val="single" w:sz="4" w:space="0" w:color="000000" w:themeColor="text1"/>
            </w:tcBorders>
            <w:shd w:val="clear" w:color="auto" w:fill="000000" w:themeFill="text1"/>
            <w:noWrap/>
            <w:hideMark/>
          </w:tcPr>
          <w:p w:rsidR="58D19240" w:rsidP="58D19240" w14:paraId="24FFA486" w14:textId="77777777">
            <w:pPr>
              <w:spacing w:line="240" w:lineRule="auto"/>
              <w:jc w:val="center"/>
              <w:rPr>
                <w:rFonts w:ascii="Calibri" w:eastAsia="Times New Roman" w:hAnsi="Calibri" w:cs="Arial"/>
                <w:b/>
                <w:bCs/>
                <w:color w:val="000000" w:themeColor="text1"/>
                <w:sz w:val="20"/>
                <w:szCs w:val="20"/>
              </w:rPr>
            </w:pPr>
          </w:p>
        </w:tc>
        <w:tc>
          <w:tcPr>
            <w:tcW w:w="1076" w:type="dxa"/>
            <w:tcBorders>
              <w:top w:val="single" w:sz="4" w:space="0" w:color="000000" w:themeColor="text1"/>
              <w:left w:val="nil"/>
              <w:bottom w:val="single" w:sz="4" w:space="0" w:color="000000" w:themeColor="text1"/>
              <w:right w:val="single" w:sz="4" w:space="0" w:color="000000" w:themeColor="text1"/>
            </w:tcBorders>
            <w:shd w:val="clear" w:color="auto" w:fill="E2A5AC"/>
            <w:noWrap/>
            <w:hideMark/>
          </w:tcPr>
          <w:p w:rsidR="58D19240" w:rsidP="58D19240" w14:paraId="7E5761D9" w14:textId="77777777">
            <w:pPr>
              <w:spacing w:line="240" w:lineRule="auto"/>
              <w:jc w:val="center"/>
              <w:rPr>
                <w:rFonts w:ascii="Calibri" w:eastAsia="Times New Roman" w:hAnsi="Calibri" w:cs="Arial"/>
                <w:b/>
                <w:bCs/>
                <w:color w:val="000000" w:themeColor="text1"/>
                <w:sz w:val="20"/>
                <w:szCs w:val="20"/>
              </w:rPr>
            </w:pPr>
            <w:r w:rsidRPr="58D19240">
              <w:rPr>
                <w:rFonts w:ascii="Calibri" w:eastAsia="Times New Roman" w:hAnsi="Calibri" w:cs="Arial"/>
                <w:b/>
                <w:bCs/>
                <w:color w:val="000000" w:themeColor="text1"/>
                <w:sz w:val="20"/>
                <w:szCs w:val="20"/>
              </w:rPr>
              <w:t>700</w:t>
            </w:r>
          </w:p>
        </w:tc>
        <w:tc>
          <w:tcPr>
            <w:tcW w:w="1185" w:type="dxa"/>
            <w:tcBorders>
              <w:top w:val="single" w:sz="4" w:space="0" w:color="000000" w:themeColor="text1"/>
              <w:left w:val="nil"/>
              <w:bottom w:val="single" w:sz="4" w:space="0" w:color="000000" w:themeColor="text1"/>
              <w:right w:val="single" w:sz="4" w:space="0" w:color="000000" w:themeColor="text1"/>
            </w:tcBorders>
            <w:shd w:val="clear" w:color="auto" w:fill="000000" w:themeFill="text1"/>
            <w:noWrap/>
            <w:vAlign w:val="bottom"/>
            <w:hideMark/>
          </w:tcPr>
          <w:p w:rsidR="58D19240" w:rsidP="58D19240" w14:paraId="7951B25F" w14:textId="77777777">
            <w:pPr>
              <w:spacing w:line="240" w:lineRule="auto"/>
              <w:rPr>
                <w:rFonts w:ascii="Calibri" w:eastAsia="Times New Roman" w:hAnsi="Calibri" w:cs="Arial"/>
                <w:color w:val="000000" w:themeColor="text1"/>
                <w:sz w:val="20"/>
                <w:szCs w:val="20"/>
              </w:rPr>
            </w:pPr>
          </w:p>
        </w:tc>
      </w:tr>
      <w:tr w14:paraId="6FAAE256" w14:textId="77777777" w:rsidTr="00A047DF">
        <w:tblPrEx>
          <w:tblW w:w="10119" w:type="dxa"/>
          <w:tblLook w:val="04A0"/>
        </w:tblPrEx>
        <w:trPr>
          <w:trHeight w:val="720"/>
        </w:trPr>
        <w:tc>
          <w:tcPr>
            <w:tcW w:w="4245" w:type="dxa"/>
            <w:gridSpan w:val="3"/>
            <w:tcBorders>
              <w:top w:val="nil"/>
              <w:left w:val="single" w:sz="4" w:space="0" w:color="auto"/>
              <w:bottom w:val="single" w:sz="4" w:space="0" w:color="auto"/>
              <w:right w:val="single" w:sz="4" w:space="0" w:color="auto"/>
            </w:tcBorders>
            <w:shd w:val="clear" w:color="auto" w:fill="auto"/>
            <w:vAlign w:val="center"/>
            <w:hideMark/>
          </w:tcPr>
          <w:p w:rsidR="3AF4D52C" w:rsidP="58D19240" w14:paraId="5D86D79B" w14:textId="77777777">
            <w:pPr>
              <w:spacing w:after="0" w:line="240" w:lineRule="auto"/>
              <w:jc w:val="center"/>
              <w:rPr>
                <w:rFonts w:ascii="Calibri" w:eastAsia="Times New Roman" w:hAnsi="Calibri" w:cs="Arial"/>
                <w:b/>
                <w:bCs/>
                <w:color w:val="000000" w:themeColor="text1"/>
                <w:sz w:val="20"/>
                <w:szCs w:val="20"/>
              </w:rPr>
            </w:pPr>
            <w:r w:rsidRPr="58D19240">
              <w:rPr>
                <w:rFonts w:ascii="Calibri" w:eastAsia="Times New Roman" w:hAnsi="Calibri" w:cs="Arial"/>
                <w:b/>
                <w:bCs/>
                <w:color w:val="000000" w:themeColor="text1"/>
                <w:sz w:val="20"/>
                <w:szCs w:val="20"/>
              </w:rPr>
              <w:t>TOTAL</w:t>
            </w:r>
            <w:r w:rsidRPr="58D19240" w:rsidR="0F05AB47">
              <w:rPr>
                <w:rFonts w:ascii="Calibri" w:eastAsia="Times New Roman" w:hAnsi="Calibri" w:cs="Arial"/>
                <w:b/>
                <w:bCs/>
                <w:color w:val="000000" w:themeColor="text1"/>
                <w:sz w:val="20"/>
                <w:szCs w:val="20"/>
              </w:rPr>
              <w:t xml:space="preserve"> (Alumni + Non-Alumni)</w:t>
            </w:r>
          </w:p>
        </w:tc>
        <w:tc>
          <w:tcPr>
            <w:tcW w:w="1305" w:type="dxa"/>
            <w:tcBorders>
              <w:top w:val="single" w:sz="4" w:space="0" w:color="000000" w:themeColor="text1"/>
              <w:left w:val="single" w:sz="4" w:space="0" w:color="auto"/>
              <w:bottom w:val="single" w:sz="4" w:space="0" w:color="auto"/>
              <w:right w:val="single" w:sz="4" w:space="0" w:color="auto"/>
            </w:tcBorders>
            <w:shd w:val="clear" w:color="auto" w:fill="E2A5AC"/>
            <w:noWrap/>
            <w:vAlign w:val="center"/>
            <w:hideMark/>
          </w:tcPr>
          <w:p w:rsidR="006F3C12" w:rsidRPr="006F3C12" w:rsidP="00C368DB" w14:paraId="190A470D" w14:textId="77777777">
            <w:pPr>
              <w:spacing w:after="0" w:line="240" w:lineRule="auto"/>
              <w:jc w:val="center"/>
              <w:rPr>
                <w:rFonts w:ascii="Calibri" w:eastAsia="Times New Roman" w:hAnsi="Calibri" w:cs="Arial"/>
                <w:b/>
                <w:bCs/>
                <w:color w:val="000000"/>
                <w:sz w:val="20"/>
                <w:szCs w:val="20"/>
              </w:rPr>
            </w:pPr>
            <w:r>
              <w:rPr>
                <w:rFonts w:ascii="Calibri" w:eastAsia="Times New Roman" w:hAnsi="Calibri" w:cs="Arial"/>
                <w:b/>
                <w:bCs/>
                <w:color w:val="000000"/>
                <w:sz w:val="20"/>
                <w:szCs w:val="20"/>
              </w:rPr>
              <w:t>2,400</w:t>
            </w:r>
          </w:p>
        </w:tc>
        <w:tc>
          <w:tcPr>
            <w:tcW w:w="1153" w:type="dxa"/>
            <w:tcBorders>
              <w:top w:val="single" w:sz="4" w:space="0" w:color="000000" w:themeColor="text1"/>
              <w:left w:val="nil"/>
              <w:bottom w:val="single" w:sz="4" w:space="0" w:color="auto"/>
              <w:right w:val="single" w:sz="4" w:space="0" w:color="auto"/>
            </w:tcBorders>
            <w:shd w:val="clear" w:color="auto" w:fill="E2A5AC"/>
            <w:noWrap/>
            <w:vAlign w:val="center"/>
            <w:hideMark/>
          </w:tcPr>
          <w:p w:rsidR="006F3C12" w:rsidRPr="006F3C12" w:rsidP="00C368DB" w14:paraId="3A548D39" w14:textId="77777777">
            <w:pPr>
              <w:spacing w:after="0" w:line="240" w:lineRule="auto"/>
              <w:jc w:val="center"/>
              <w:rPr>
                <w:rFonts w:ascii="Calibri" w:eastAsia="Times New Roman" w:hAnsi="Calibri" w:cs="Arial"/>
                <w:b/>
                <w:bCs/>
                <w:color w:val="000000"/>
                <w:sz w:val="20"/>
                <w:szCs w:val="20"/>
              </w:rPr>
            </w:pPr>
            <w:r>
              <w:rPr>
                <w:rFonts w:ascii="Calibri" w:eastAsia="Times New Roman" w:hAnsi="Calibri" w:cs="Arial"/>
                <w:b/>
                <w:bCs/>
                <w:color w:val="000000"/>
                <w:sz w:val="20"/>
                <w:szCs w:val="20"/>
              </w:rPr>
              <w:t>2,400</w:t>
            </w:r>
          </w:p>
        </w:tc>
        <w:tc>
          <w:tcPr>
            <w:tcW w:w="1155" w:type="dxa"/>
            <w:tcBorders>
              <w:top w:val="single" w:sz="4" w:space="0" w:color="000000" w:themeColor="text1"/>
              <w:left w:val="nil"/>
              <w:bottom w:val="single" w:sz="4" w:space="0" w:color="auto"/>
              <w:right w:val="single" w:sz="4" w:space="0" w:color="auto"/>
            </w:tcBorders>
            <w:shd w:val="clear" w:color="auto" w:fill="000000" w:themeFill="text1"/>
            <w:noWrap/>
            <w:vAlign w:val="center"/>
            <w:hideMark/>
          </w:tcPr>
          <w:p w:rsidR="006F3C12" w:rsidRPr="006F3C12" w:rsidP="3977CD1B" w14:paraId="58BA92D5" w14:textId="77777777">
            <w:pPr>
              <w:spacing w:after="0" w:line="240" w:lineRule="auto"/>
              <w:jc w:val="center"/>
              <w:rPr>
                <w:rFonts w:ascii="Calibri" w:eastAsia="Times New Roman" w:hAnsi="Calibri" w:cs="Arial"/>
                <w:b/>
                <w:bCs/>
                <w:color w:val="000000"/>
                <w:sz w:val="20"/>
                <w:szCs w:val="20"/>
              </w:rPr>
            </w:pPr>
            <w:r w:rsidRPr="3977CD1B">
              <w:rPr>
                <w:rFonts w:ascii="Calibri" w:eastAsia="Times New Roman" w:hAnsi="Calibri" w:cs="Arial"/>
                <w:b/>
                <w:bCs/>
                <w:color w:val="000000" w:themeColor="text1"/>
                <w:sz w:val="20"/>
                <w:szCs w:val="20"/>
              </w:rPr>
              <w:t> </w:t>
            </w:r>
          </w:p>
        </w:tc>
        <w:tc>
          <w:tcPr>
            <w:tcW w:w="1076" w:type="dxa"/>
            <w:tcBorders>
              <w:top w:val="single" w:sz="4" w:space="0" w:color="000000" w:themeColor="text1"/>
              <w:left w:val="nil"/>
              <w:bottom w:val="single" w:sz="4" w:space="0" w:color="auto"/>
              <w:right w:val="single" w:sz="4" w:space="0" w:color="auto"/>
            </w:tcBorders>
            <w:shd w:val="clear" w:color="auto" w:fill="E2A5AC"/>
            <w:noWrap/>
            <w:vAlign w:val="center"/>
            <w:hideMark/>
          </w:tcPr>
          <w:p w:rsidR="006F3C12" w:rsidRPr="006F3C12" w:rsidP="00C368DB" w14:paraId="089FC807" w14:textId="77777777">
            <w:pPr>
              <w:spacing w:after="0" w:line="240" w:lineRule="auto"/>
              <w:jc w:val="center"/>
              <w:rPr>
                <w:rFonts w:ascii="Calibri" w:eastAsia="Times New Roman" w:hAnsi="Calibri" w:cs="Arial"/>
                <w:b/>
                <w:bCs/>
                <w:color w:val="000000"/>
                <w:sz w:val="20"/>
                <w:szCs w:val="20"/>
              </w:rPr>
            </w:pPr>
            <w:r w:rsidRPr="58D19240">
              <w:rPr>
                <w:rFonts w:ascii="Calibri" w:eastAsia="Times New Roman" w:hAnsi="Calibri" w:cs="Arial"/>
                <w:b/>
                <w:bCs/>
                <w:color w:val="000000" w:themeColor="text1"/>
                <w:sz w:val="20"/>
                <w:szCs w:val="20"/>
              </w:rPr>
              <w:t>1,</w:t>
            </w:r>
            <w:r w:rsidRPr="58D19240" w:rsidR="433CD02B">
              <w:rPr>
                <w:rFonts w:ascii="Calibri" w:eastAsia="Times New Roman" w:hAnsi="Calibri" w:cs="Arial"/>
                <w:b/>
                <w:bCs/>
                <w:color w:val="000000" w:themeColor="text1"/>
                <w:sz w:val="20"/>
                <w:szCs w:val="20"/>
              </w:rPr>
              <w:t>4</w:t>
            </w:r>
            <w:r w:rsidRPr="58D19240">
              <w:rPr>
                <w:rFonts w:ascii="Calibri" w:eastAsia="Times New Roman" w:hAnsi="Calibri" w:cs="Arial"/>
                <w:b/>
                <w:bCs/>
                <w:color w:val="000000" w:themeColor="text1"/>
                <w:sz w:val="20"/>
                <w:szCs w:val="20"/>
              </w:rPr>
              <w:t>00</w:t>
            </w:r>
          </w:p>
        </w:tc>
        <w:tc>
          <w:tcPr>
            <w:tcW w:w="1185" w:type="dxa"/>
            <w:tcBorders>
              <w:top w:val="single" w:sz="4" w:space="0" w:color="000000" w:themeColor="text1"/>
              <w:left w:val="nil"/>
              <w:bottom w:val="single" w:sz="4" w:space="0" w:color="auto"/>
              <w:right w:val="single" w:sz="4" w:space="0" w:color="auto"/>
            </w:tcBorders>
            <w:shd w:val="clear" w:color="auto" w:fill="000000" w:themeFill="text1"/>
            <w:noWrap/>
            <w:vAlign w:val="bottom"/>
            <w:hideMark/>
          </w:tcPr>
          <w:p w:rsidR="006F3C12" w:rsidRPr="006F3C12" w:rsidP="006F3C12" w14:paraId="74C9756E" w14:textId="77777777">
            <w:pPr>
              <w:spacing w:after="0" w:line="240" w:lineRule="auto"/>
              <w:rPr>
                <w:rFonts w:ascii="Calibri" w:eastAsia="Times New Roman" w:hAnsi="Calibri" w:cs="Arial"/>
                <w:b/>
                <w:bCs/>
                <w:color w:val="000000"/>
                <w:sz w:val="20"/>
                <w:szCs w:val="20"/>
              </w:rPr>
            </w:pPr>
          </w:p>
        </w:tc>
      </w:tr>
    </w:tbl>
    <w:p w:rsidR="006F3C12" w:rsidP="003C74CA" w14:paraId="09B9F44F" w14:textId="77777777">
      <w:pPr>
        <w:pStyle w:val="Heading2"/>
      </w:pPr>
      <w:bookmarkStart w:id="17" w:name="_Toc16271331"/>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7"/>
      <w:r w:rsidRPr="00F056C3">
        <w:t xml:space="preserve"> </w:t>
      </w:r>
    </w:p>
    <w:p w:rsidR="000B43BF" w:rsidRPr="001B71E6" w:rsidP="000B43BF" w14:paraId="3DDE1FF0" w14:textId="77777777">
      <w:pPr>
        <w:pStyle w:val="Default"/>
        <w:rPr>
          <w:rFonts w:asciiTheme="minorHAnsi" w:hAnsiTheme="minorHAnsi" w:cstheme="minorHAnsi"/>
          <w:b/>
          <w:bCs/>
          <w:sz w:val="22"/>
          <w:szCs w:val="22"/>
        </w:rPr>
      </w:pPr>
      <w:r w:rsidRPr="001B71E6">
        <w:rPr>
          <w:rFonts w:asciiTheme="minorHAnsi" w:hAnsiTheme="minorHAnsi" w:cstheme="minorHAnsi"/>
          <w:b/>
          <w:bCs/>
          <w:sz w:val="22"/>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RPr="001B71E6" w:rsidP="000B43BF" w14:paraId="0D7C1E98" w14:textId="77777777">
      <w:pPr>
        <w:pStyle w:val="Default"/>
        <w:rPr>
          <w:rFonts w:asciiTheme="minorHAnsi" w:hAnsiTheme="minorHAnsi" w:cstheme="minorHAnsi"/>
          <w:b/>
          <w:bCs/>
          <w:sz w:val="22"/>
          <w:szCs w:val="22"/>
        </w:rPr>
      </w:pPr>
    </w:p>
    <w:p w:rsidR="00BB255E" w:rsidRPr="001B71E6" w:rsidP="002E4FAD" w14:paraId="6DAE6FFA" w14:textId="77777777">
      <w:pPr>
        <w:pStyle w:val="Default"/>
        <w:rPr>
          <w:rFonts w:asciiTheme="minorHAnsi" w:hAnsiTheme="minorHAnsi" w:cstheme="minorHAnsi"/>
          <w:i/>
          <w:iCs/>
          <w:sz w:val="22"/>
          <w:szCs w:val="22"/>
        </w:rPr>
      </w:pPr>
    </w:p>
    <w:p w:rsidR="00BB255E" w:rsidP="58D19240" w14:paraId="580AC3F4" w14:textId="77777777">
      <w:r>
        <w:t>Respondents (SULI alumni and members of the comparison group) will respond as individuals, and the cost to them is the opportunity cost if they were to undertake paid work for the time that they spend responding to surveys. Therefore, the cost estimate for these groups is based on the Bureau of Labor Statistics’ May 2023 National Occupational Employment and Wage Estimates national wage averages</w:t>
      </w:r>
      <w:r w:rsidR="54B6372B">
        <w:t>.</w:t>
      </w:r>
      <w:r w:rsidR="002BE3FC">
        <w:t xml:space="preserve"> </w:t>
      </w:r>
      <w:r>
        <w:t>Based on an analysis of a sample of SULI alumni conducted by ORISE</w:t>
      </w:r>
      <w:r w:rsidR="002BE3FC">
        <w:t xml:space="preserve">, </w:t>
      </w:r>
      <w:r>
        <w:t>us</w:t>
      </w:r>
      <w:r w:rsidR="002BE3FC">
        <w:t>ing</w:t>
      </w:r>
      <w:r>
        <w:t xml:space="preserve"> only publicly available data, an anticipated 40% of respondents are in the “Life, Physical, and Social Scientist Technicians” category (mean hourly wage: $42.24), 30% are in the “Computer and Mathematical Occupations” category (mean hourly wage: $54.39), and 30% are in the “Architecture and Engineering Occupations” category (mean hourly wage: $47.64). </w:t>
      </w:r>
      <w:r w:rsidR="40D41521">
        <w:t>The breakdown of occupations for non-alumni is expected to be similar</w:t>
      </w:r>
      <w:r w:rsidR="35DF517C">
        <w:t>,</w:t>
      </w:r>
      <w:r w:rsidR="40D41521">
        <w:t xml:space="preserve"> based the fields of study of </w:t>
      </w:r>
      <w:r w:rsidR="7B838484">
        <w:t xml:space="preserve">applicants to the SULI program. </w:t>
      </w:r>
    </w:p>
    <w:p w:rsidR="00BB255E" w:rsidP="58D19240" w14:paraId="300C447A" w14:textId="77777777">
      <w:r>
        <w:t>A multiplier of 1.4 is factored into the</w:t>
      </w:r>
      <w:r w:rsidR="57FB070B">
        <w:t xml:space="preserve"> cost </w:t>
      </w:r>
      <w:r>
        <w:t>estimate</w:t>
      </w:r>
      <w:r w:rsidR="57FB070B">
        <w:t>,</w:t>
      </w:r>
      <w:r>
        <w:t xml:space="preserve"> </w:t>
      </w:r>
      <w:r w:rsidR="57FB070B">
        <w:t xml:space="preserve">as </w:t>
      </w:r>
      <w:r>
        <w:t xml:space="preserve">preliminary evidence indicates that </w:t>
      </w:r>
      <w:r w:rsidR="57FB070B">
        <w:t>most</w:t>
      </w:r>
      <w:r>
        <w:t xml:space="preserve"> respondents </w:t>
      </w:r>
      <w:r w:rsidR="57FB070B">
        <w:t>are</w:t>
      </w:r>
      <w:r>
        <w:t xml:space="preserve"> in non-government employment.</w:t>
      </w:r>
      <w:r w:rsidR="66CB230F">
        <w:t xml:space="preserve"> </w:t>
      </w:r>
      <w:r w:rsidR="37829F31">
        <w:t>Thus, t</w:t>
      </w:r>
      <w:r w:rsidR="66CB230F">
        <w:t xml:space="preserve">he fully burdened hourly wage for respondents in the “Life, Physical, and Social Scientist Technicians” category is 1.4 x </w:t>
      </w:r>
      <w:r w:rsidR="2F798184">
        <w:t>$</w:t>
      </w:r>
      <w:r w:rsidR="66CB230F">
        <w:t>42.</w:t>
      </w:r>
      <w:r w:rsidR="6189AA5E">
        <w:t>24</w:t>
      </w:r>
      <w:r w:rsidR="33B66FAA">
        <w:t xml:space="preserve"> = </w:t>
      </w:r>
      <w:r w:rsidR="218A413F">
        <w:t>$</w:t>
      </w:r>
      <w:r w:rsidR="33B66FAA">
        <w:t>59.14. The fully burdened hourly wage of respondents in the “Computer and Mathematical Occupations” category</w:t>
      </w:r>
      <w:r w:rsidR="66CB230F">
        <w:t xml:space="preserve"> </w:t>
      </w:r>
      <w:r w:rsidR="21506BA3">
        <w:t>is $54.39 x 1.4 = $</w:t>
      </w:r>
      <w:r w:rsidR="093636A7">
        <w:t>76</w:t>
      </w:r>
      <w:r w:rsidR="21506BA3">
        <w:t>.</w:t>
      </w:r>
      <w:r w:rsidR="652DD997">
        <w:t>15</w:t>
      </w:r>
      <w:r w:rsidR="0002BBCF">
        <w:t>; and the</w:t>
      </w:r>
      <w:r w:rsidR="21506BA3">
        <w:t xml:space="preserve"> fully burdened </w:t>
      </w:r>
      <w:r w:rsidR="58215212">
        <w:t xml:space="preserve">hourly wage of respondents in the “Architecture and Engineering Occupations” category is 1.4 x $47.64 </w:t>
      </w:r>
      <w:r w:rsidR="1C080AD5">
        <w:t>= $66.70.</w:t>
      </w:r>
      <w:r w:rsidR="58215212">
        <w:t xml:space="preserve"> </w:t>
      </w:r>
      <w:r w:rsidR="39DC021B">
        <w:t>The total annual burden hours for each of these groups, toge</w:t>
      </w:r>
      <w:r w:rsidR="6EB5BB96">
        <w:t>ther with the fully burdened hourly wage</w:t>
      </w:r>
      <w:r w:rsidR="439E3B51">
        <w:t xml:space="preserve"> </w:t>
      </w:r>
      <w:r w:rsidR="6EB5BB96">
        <w:t xml:space="preserve">and </w:t>
      </w:r>
      <w:r w:rsidR="7A92AEC9">
        <w:t>the total</w:t>
      </w:r>
      <w:r w:rsidR="6EB5BB96">
        <w:t xml:space="preserve"> respondent costs</w:t>
      </w:r>
      <w:r w:rsidR="4E6BDA87">
        <w:t xml:space="preserve"> for each group</w:t>
      </w:r>
      <w:r w:rsidR="39DC021B">
        <w:t xml:space="preserve"> </w:t>
      </w:r>
      <w:r w:rsidR="2AA41A4B">
        <w:t>are</w:t>
      </w:r>
      <w:r w:rsidR="39DC021B">
        <w:t xml:space="preserve"> shown in Table A4</w:t>
      </w:r>
      <w:r w:rsidR="3F66ECAB">
        <w:t xml:space="preserve">. </w:t>
      </w:r>
      <w:r w:rsidR="58215212">
        <w:t xml:space="preserve"> </w:t>
      </w:r>
      <w:r w:rsidR="04753588">
        <w:t>The</w:t>
      </w:r>
      <w:r w:rsidR="35EA923B">
        <w:t xml:space="preserve"> annualized response burden cost for the survey is estimated to be $</w:t>
      </w:r>
      <w:r w:rsidR="4A71E9F3">
        <w:t>93</w:t>
      </w:r>
      <w:r w:rsidR="35EA923B">
        <w:t>,</w:t>
      </w:r>
      <w:r w:rsidR="46D3473D">
        <w:t>115</w:t>
      </w:r>
      <w:r w:rsidR="35EA923B">
        <w:t>.</w:t>
      </w:r>
      <w:r w:rsidR="0AB52DB6">
        <w:t>4</w:t>
      </w:r>
      <w:r w:rsidR="35EA923B">
        <w:t xml:space="preserve">0.  </w:t>
      </w:r>
    </w:p>
    <w:tbl>
      <w:tblPr>
        <w:tblW w:w="0" w:type="auto"/>
        <w:tblLook w:val="04A0"/>
      </w:tblPr>
      <w:tblGrid>
        <w:gridCol w:w="1786"/>
        <w:gridCol w:w="1959"/>
        <w:gridCol w:w="1686"/>
        <w:gridCol w:w="1984"/>
        <w:gridCol w:w="1945"/>
      </w:tblGrid>
      <w:tr w14:paraId="18915114" w14:textId="77777777" w:rsidTr="3977CD1B">
        <w:tblPrEx>
          <w:tblW w:w="0" w:type="auto"/>
          <w:tblLook w:val="04A0"/>
        </w:tblPrEx>
        <w:trPr>
          <w:trHeight w:val="360"/>
        </w:trPr>
        <w:tc>
          <w:tcPr>
            <w:tcW w:w="9465" w:type="dxa"/>
            <w:gridSpan w:val="5"/>
            <w:tcBorders>
              <w:top w:val="nil"/>
              <w:left w:val="nil"/>
              <w:bottom w:val="single" w:sz="4" w:space="0" w:color="auto"/>
              <w:right w:val="nil"/>
            </w:tcBorders>
            <w:shd w:val="clear" w:color="auto" w:fill="auto"/>
          </w:tcPr>
          <w:p w:rsidR="4F4E6B5F" w:rsidP="3977CD1B" w14:paraId="61ABD82E" w14:textId="77777777">
            <w:pPr>
              <w:spacing w:after="0"/>
              <w:jc w:val="center"/>
              <w:rPr>
                <w:b/>
                <w:bCs/>
                <w:color w:val="0070C0"/>
                <w:sz w:val="28"/>
                <w:szCs w:val="28"/>
              </w:rPr>
            </w:pPr>
            <w:r w:rsidRPr="3977CD1B">
              <w:rPr>
                <w:b/>
                <w:bCs/>
                <w:color w:val="0070C0"/>
                <w:sz w:val="28"/>
                <w:szCs w:val="28"/>
              </w:rPr>
              <w:t>Table A4. Estimated Annual Cost to Respondent</w:t>
            </w:r>
          </w:p>
        </w:tc>
      </w:tr>
      <w:tr w14:paraId="7446A2B1" w14:textId="77777777" w:rsidTr="3977CD1B">
        <w:tblPrEx>
          <w:tblW w:w="0" w:type="auto"/>
          <w:tblLook w:val="04A0"/>
        </w:tblPrEx>
        <w:trPr>
          <w:trHeight w:val="765"/>
        </w:trPr>
        <w:tc>
          <w:tcPr>
            <w:tcW w:w="1800" w:type="dxa"/>
            <w:tcBorders>
              <w:top w:val="nil"/>
              <w:left w:val="nil"/>
              <w:bottom w:val="single" w:sz="4" w:space="0" w:color="auto"/>
              <w:right w:val="single" w:sz="4" w:space="0" w:color="auto"/>
            </w:tcBorders>
            <w:shd w:val="clear" w:color="auto" w:fill="00B0F0"/>
            <w:vAlign w:val="center"/>
          </w:tcPr>
          <w:p w:rsidR="4F4E6B5F" w:rsidP="4F4E6B5F" w14:paraId="19E0231E" w14:textId="77777777">
            <w:pPr>
              <w:spacing w:after="0" w:line="240" w:lineRule="auto"/>
              <w:jc w:val="center"/>
              <w:rPr>
                <w:rFonts w:ascii="Calibri" w:eastAsia="Times New Roman" w:hAnsi="Calibri" w:cs="Arial"/>
                <w:b/>
                <w:bCs/>
                <w:sz w:val="20"/>
                <w:szCs w:val="20"/>
              </w:rPr>
            </w:pPr>
            <w:r w:rsidRPr="4F4E6B5F">
              <w:rPr>
                <w:rFonts w:ascii="Calibri" w:eastAsia="Times New Roman" w:hAnsi="Calibri" w:cs="Arial"/>
                <w:b/>
                <w:bCs/>
                <w:sz w:val="20"/>
                <w:szCs w:val="20"/>
              </w:rPr>
              <w:t>Type of Respondents</w:t>
            </w:r>
          </w:p>
        </w:tc>
        <w:tc>
          <w:tcPr>
            <w:tcW w:w="1980" w:type="dxa"/>
            <w:tcBorders>
              <w:top w:val="nil"/>
              <w:left w:val="nil"/>
              <w:bottom w:val="single" w:sz="4" w:space="0" w:color="auto"/>
              <w:right w:val="single" w:sz="4" w:space="0" w:color="auto"/>
            </w:tcBorders>
            <w:shd w:val="clear" w:color="auto" w:fill="00B0F0"/>
            <w:vAlign w:val="center"/>
          </w:tcPr>
          <w:p w:rsidR="4F4E6B5F" w:rsidP="4F4E6B5F" w14:paraId="46AFE7E0" w14:textId="77777777">
            <w:pPr>
              <w:spacing w:line="240" w:lineRule="auto"/>
              <w:jc w:val="center"/>
              <w:rPr>
                <w:rFonts w:ascii="Calibri" w:eastAsia="Times New Roman" w:hAnsi="Calibri" w:cs="Arial"/>
                <w:b/>
                <w:bCs/>
                <w:sz w:val="20"/>
                <w:szCs w:val="20"/>
              </w:rPr>
            </w:pPr>
            <w:r w:rsidRPr="4F4E6B5F">
              <w:rPr>
                <w:rFonts w:ascii="Calibri" w:eastAsia="Times New Roman" w:hAnsi="Calibri" w:cs="Arial"/>
                <w:b/>
                <w:bCs/>
                <w:sz w:val="20"/>
                <w:szCs w:val="20"/>
              </w:rPr>
              <w:t>Occupation Group</w:t>
            </w:r>
          </w:p>
        </w:tc>
        <w:tc>
          <w:tcPr>
            <w:tcW w:w="1710" w:type="dxa"/>
            <w:tcBorders>
              <w:top w:val="nil"/>
              <w:left w:val="nil"/>
              <w:bottom w:val="single" w:sz="4" w:space="0" w:color="auto"/>
              <w:right w:val="single" w:sz="4" w:space="0" w:color="auto"/>
            </w:tcBorders>
            <w:shd w:val="clear" w:color="auto" w:fill="00B0F0"/>
            <w:vAlign w:val="center"/>
          </w:tcPr>
          <w:p w:rsidR="50774004" w:rsidP="4F4E6B5F" w14:paraId="655F5C22" w14:textId="77777777">
            <w:pPr>
              <w:spacing w:after="0" w:line="240" w:lineRule="auto"/>
              <w:jc w:val="center"/>
            </w:pPr>
            <w:r w:rsidRPr="4F4E6B5F">
              <w:rPr>
                <w:rFonts w:ascii="Calibri" w:eastAsia="Times New Roman" w:hAnsi="Calibri" w:cs="Arial"/>
                <w:b/>
                <w:bCs/>
                <w:sz w:val="20"/>
                <w:szCs w:val="20"/>
              </w:rPr>
              <w:t>Annual Burden Hours</w:t>
            </w:r>
          </w:p>
        </w:tc>
        <w:tc>
          <w:tcPr>
            <w:tcW w:w="2010" w:type="dxa"/>
            <w:tcBorders>
              <w:top w:val="nil"/>
              <w:left w:val="nil"/>
              <w:bottom w:val="single" w:sz="4" w:space="0" w:color="auto"/>
              <w:right w:val="single" w:sz="4" w:space="0" w:color="auto"/>
            </w:tcBorders>
            <w:shd w:val="clear" w:color="auto" w:fill="00B0F0"/>
            <w:vAlign w:val="center"/>
          </w:tcPr>
          <w:p w:rsidR="60DF2401" w:rsidP="4F4E6B5F" w14:paraId="165E6370" w14:textId="77777777">
            <w:pPr>
              <w:spacing w:after="0" w:line="240" w:lineRule="auto"/>
              <w:jc w:val="center"/>
            </w:pPr>
            <w:r w:rsidRPr="4F4E6B5F">
              <w:rPr>
                <w:rFonts w:ascii="Calibri" w:eastAsia="Times New Roman" w:hAnsi="Calibri" w:cs="Arial"/>
                <w:b/>
                <w:bCs/>
                <w:sz w:val="20"/>
                <w:szCs w:val="20"/>
              </w:rPr>
              <w:t>Fully Burdened Hourly Wage Rate</w:t>
            </w:r>
          </w:p>
        </w:tc>
        <w:tc>
          <w:tcPr>
            <w:tcW w:w="1965" w:type="dxa"/>
            <w:tcBorders>
              <w:top w:val="nil"/>
              <w:left w:val="nil"/>
              <w:bottom w:val="single" w:sz="4" w:space="0" w:color="auto"/>
              <w:right w:val="single" w:sz="4" w:space="0" w:color="auto"/>
            </w:tcBorders>
            <w:shd w:val="clear" w:color="auto" w:fill="00B0F0"/>
            <w:vAlign w:val="center"/>
          </w:tcPr>
          <w:p w:rsidR="60DF2401" w:rsidP="4F4E6B5F" w14:paraId="3E19866C" w14:textId="77777777">
            <w:pPr>
              <w:spacing w:after="0" w:line="240" w:lineRule="auto"/>
              <w:jc w:val="center"/>
            </w:pPr>
            <w:r w:rsidRPr="4F4E6B5F">
              <w:rPr>
                <w:rFonts w:ascii="Calibri" w:eastAsia="Times New Roman" w:hAnsi="Calibri" w:cs="Arial"/>
                <w:b/>
                <w:bCs/>
                <w:sz w:val="20"/>
                <w:szCs w:val="20"/>
              </w:rPr>
              <w:t>Total Respondent Costs</w:t>
            </w:r>
          </w:p>
        </w:tc>
      </w:tr>
      <w:tr w14:paraId="038EDDD5" w14:textId="77777777" w:rsidTr="3977CD1B">
        <w:tblPrEx>
          <w:tblW w:w="0" w:type="auto"/>
          <w:tblLook w:val="04A0"/>
        </w:tblPrEx>
        <w:trPr>
          <w:trHeight w:val="566"/>
        </w:trPr>
        <w:tc>
          <w:tcPr>
            <w:tcW w:w="1800" w:type="dxa"/>
            <w:vMerge w:val="restart"/>
            <w:tcBorders>
              <w:top w:val="nil"/>
              <w:left w:val="single" w:sz="4" w:space="0" w:color="auto"/>
              <w:bottom w:val="single" w:sz="4" w:space="0" w:color="auto"/>
              <w:right w:val="single" w:sz="4" w:space="0" w:color="auto"/>
            </w:tcBorders>
            <w:shd w:val="clear" w:color="auto" w:fill="auto"/>
            <w:vAlign w:val="center"/>
          </w:tcPr>
          <w:p w:rsidR="4F4E6B5F" w:rsidP="4F4E6B5F" w14:paraId="54DC48C0" w14:textId="77777777">
            <w:pPr>
              <w:spacing w:after="0" w:line="240" w:lineRule="auto"/>
              <w:jc w:val="center"/>
            </w:pPr>
            <w:r w:rsidRPr="4F4E6B5F">
              <w:rPr>
                <w:rFonts w:ascii="Calibri" w:eastAsia="Times New Roman" w:hAnsi="Calibri" w:cs="Arial"/>
                <w:color w:val="000000" w:themeColor="text1"/>
                <w:sz w:val="20"/>
                <w:szCs w:val="20"/>
              </w:rPr>
              <w:t>SULI Alumni</w:t>
            </w:r>
          </w:p>
        </w:tc>
        <w:tc>
          <w:tcPr>
            <w:tcW w:w="1980" w:type="dxa"/>
            <w:tcBorders>
              <w:top w:val="nil"/>
              <w:left w:val="single" w:sz="4" w:space="0" w:color="auto"/>
              <w:bottom w:val="single" w:sz="4" w:space="0" w:color="auto"/>
              <w:right w:val="single" w:sz="4" w:space="0" w:color="auto"/>
            </w:tcBorders>
            <w:shd w:val="clear" w:color="auto" w:fill="auto"/>
          </w:tcPr>
          <w:p w:rsidR="4F4E6B5F" w:rsidP="4F4E6B5F" w14:paraId="21DFCFAF" w14:textId="77777777">
            <w:pPr>
              <w:spacing w:after="0" w:line="240" w:lineRule="auto"/>
              <w:rPr>
                <w:rFonts w:eastAsia="Times New Roman"/>
                <w:color w:val="000000" w:themeColor="text1"/>
                <w:sz w:val="20"/>
                <w:szCs w:val="20"/>
              </w:rPr>
            </w:pPr>
            <w:r w:rsidRPr="4F4E6B5F">
              <w:rPr>
                <w:rFonts w:eastAsia="Times New Roman"/>
                <w:color w:val="000000" w:themeColor="text1"/>
                <w:sz w:val="20"/>
                <w:szCs w:val="20"/>
              </w:rPr>
              <w:t>Science Graduates</w:t>
            </w:r>
          </w:p>
        </w:tc>
        <w:tc>
          <w:tcPr>
            <w:tcW w:w="1710" w:type="dxa"/>
            <w:tcBorders>
              <w:top w:val="nil"/>
              <w:left w:val="single" w:sz="4" w:space="0" w:color="auto"/>
              <w:bottom w:val="single" w:sz="4" w:space="0" w:color="auto"/>
              <w:right w:val="single" w:sz="4" w:space="0" w:color="auto"/>
            </w:tcBorders>
            <w:shd w:val="clear" w:color="auto" w:fill="auto"/>
          </w:tcPr>
          <w:p w:rsidR="75C362F9" w:rsidP="4F4E6B5F" w14:paraId="222F2F90" w14:textId="77777777">
            <w:pPr>
              <w:spacing w:after="0" w:line="240" w:lineRule="auto"/>
              <w:jc w:val="center"/>
            </w:pPr>
            <w:r w:rsidRPr="4F4E6B5F">
              <w:rPr>
                <w:rFonts w:ascii="Calibri" w:eastAsia="Times New Roman" w:hAnsi="Calibri" w:cs="Arial"/>
                <w:color w:val="000000" w:themeColor="text1"/>
                <w:sz w:val="20"/>
                <w:szCs w:val="20"/>
              </w:rPr>
              <w:t>280</w:t>
            </w:r>
          </w:p>
        </w:tc>
        <w:tc>
          <w:tcPr>
            <w:tcW w:w="2010" w:type="dxa"/>
            <w:tcBorders>
              <w:top w:val="nil"/>
              <w:left w:val="nil"/>
              <w:bottom w:val="single" w:sz="4" w:space="0" w:color="auto"/>
              <w:right w:val="single" w:sz="4" w:space="0" w:color="auto"/>
            </w:tcBorders>
            <w:shd w:val="clear" w:color="auto" w:fill="auto"/>
          </w:tcPr>
          <w:p w:rsidR="73419142" w:rsidP="4F4E6B5F" w14:paraId="074069A1" w14:textId="77777777">
            <w:pPr>
              <w:spacing w:after="0" w:line="240" w:lineRule="auto"/>
              <w:jc w:val="center"/>
              <w:rPr>
                <w:rFonts w:eastAsia="Times New Roman"/>
                <w:color w:val="000000" w:themeColor="text1"/>
                <w:sz w:val="20"/>
                <w:szCs w:val="20"/>
              </w:rPr>
            </w:pPr>
            <w:r w:rsidRPr="4F4E6B5F">
              <w:rPr>
                <w:rFonts w:eastAsia="Times New Roman"/>
                <w:color w:val="000000" w:themeColor="text1"/>
                <w:sz w:val="20"/>
                <w:szCs w:val="20"/>
              </w:rPr>
              <w:t>$59.14</w:t>
            </w:r>
          </w:p>
        </w:tc>
        <w:tc>
          <w:tcPr>
            <w:tcW w:w="1965" w:type="dxa"/>
            <w:tcBorders>
              <w:top w:val="nil"/>
              <w:left w:val="nil"/>
              <w:bottom w:val="single" w:sz="4" w:space="0" w:color="auto"/>
              <w:right w:val="single" w:sz="4" w:space="0" w:color="auto"/>
            </w:tcBorders>
            <w:shd w:val="clear" w:color="auto" w:fill="E2A5AC"/>
          </w:tcPr>
          <w:p w:rsidR="4F4E6B5F" w:rsidP="4F4E6B5F" w14:paraId="4D20EF73" w14:textId="77777777">
            <w:pPr>
              <w:spacing w:after="0" w:line="240" w:lineRule="auto"/>
              <w:jc w:val="center"/>
              <w:rPr>
                <w:rFonts w:eastAsia="Times New Roman"/>
                <w:color w:val="000000" w:themeColor="text1"/>
                <w:sz w:val="20"/>
                <w:szCs w:val="20"/>
              </w:rPr>
            </w:pPr>
            <w:r w:rsidRPr="4F4E6B5F">
              <w:rPr>
                <w:rFonts w:eastAsia="Times New Roman"/>
                <w:color w:val="000000" w:themeColor="text1"/>
                <w:sz w:val="20"/>
                <w:szCs w:val="20"/>
              </w:rPr>
              <w:t>$</w:t>
            </w:r>
            <w:r w:rsidRPr="4F4E6B5F" w:rsidR="433833E3">
              <w:rPr>
                <w:rFonts w:eastAsia="Times New Roman"/>
                <w:color w:val="000000" w:themeColor="text1"/>
                <w:sz w:val="20"/>
                <w:szCs w:val="20"/>
              </w:rPr>
              <w:t>16,5</w:t>
            </w:r>
            <w:r w:rsidRPr="4F4E6B5F" w:rsidR="5FBF2DBE">
              <w:rPr>
                <w:rFonts w:eastAsia="Times New Roman"/>
                <w:color w:val="000000" w:themeColor="text1"/>
                <w:sz w:val="20"/>
                <w:szCs w:val="20"/>
              </w:rPr>
              <w:t>59</w:t>
            </w:r>
            <w:r w:rsidRPr="4F4E6B5F" w:rsidR="433833E3">
              <w:rPr>
                <w:rFonts w:eastAsia="Times New Roman"/>
                <w:color w:val="000000" w:themeColor="text1"/>
                <w:sz w:val="20"/>
                <w:szCs w:val="20"/>
              </w:rPr>
              <w:t>.</w:t>
            </w:r>
            <w:r w:rsidRPr="4F4E6B5F" w:rsidR="49C38CF0">
              <w:rPr>
                <w:rFonts w:eastAsia="Times New Roman"/>
                <w:color w:val="000000" w:themeColor="text1"/>
                <w:sz w:val="20"/>
                <w:szCs w:val="20"/>
              </w:rPr>
              <w:t>2</w:t>
            </w:r>
            <w:r w:rsidRPr="4F4E6B5F" w:rsidR="433833E3">
              <w:rPr>
                <w:rFonts w:eastAsia="Times New Roman"/>
                <w:color w:val="000000" w:themeColor="text1"/>
                <w:sz w:val="20"/>
                <w:szCs w:val="20"/>
              </w:rPr>
              <w:t>0</w:t>
            </w:r>
          </w:p>
        </w:tc>
      </w:tr>
      <w:tr w14:paraId="28320996" w14:textId="77777777" w:rsidTr="3977CD1B">
        <w:tblPrEx>
          <w:tblW w:w="0" w:type="auto"/>
          <w:tblLook w:val="04A0"/>
        </w:tblPrEx>
        <w:trPr>
          <w:trHeight w:val="566"/>
        </w:trPr>
        <w:tc>
          <w:tcPr>
            <w:tcW w:w="1800" w:type="dxa"/>
            <w:vMerge/>
          </w:tcPr>
          <w:p w:rsidR="00B23FD3" w14:paraId="1AE0D9B2" w14:textId="77777777"/>
        </w:tc>
        <w:tc>
          <w:tcPr>
            <w:tcW w:w="1980" w:type="dxa"/>
            <w:tcBorders>
              <w:top w:val="nil"/>
              <w:left w:val="single" w:sz="4" w:space="0" w:color="auto"/>
              <w:bottom w:val="single" w:sz="4" w:space="0" w:color="000000" w:themeColor="text1"/>
              <w:right w:val="single" w:sz="4" w:space="0" w:color="auto"/>
            </w:tcBorders>
            <w:shd w:val="clear" w:color="auto" w:fill="auto"/>
          </w:tcPr>
          <w:p w:rsidR="4F4E6B5F" w:rsidP="4F4E6B5F" w14:paraId="3F0C46AC" w14:textId="77777777">
            <w:pPr>
              <w:spacing w:after="0" w:line="240" w:lineRule="auto"/>
              <w:rPr>
                <w:rFonts w:eastAsia="Times New Roman"/>
                <w:color w:val="000000" w:themeColor="text1"/>
                <w:sz w:val="20"/>
                <w:szCs w:val="20"/>
              </w:rPr>
            </w:pPr>
            <w:r w:rsidRPr="3977CD1B">
              <w:rPr>
                <w:rFonts w:eastAsia="Times New Roman"/>
                <w:color w:val="000000" w:themeColor="text1"/>
                <w:sz w:val="20"/>
                <w:szCs w:val="20"/>
              </w:rPr>
              <w:t xml:space="preserve">Engineering </w:t>
            </w:r>
            <w:r w:rsidRPr="3977CD1B" w:rsidR="5FAC3B85">
              <w:rPr>
                <w:rFonts w:eastAsia="Times New Roman"/>
                <w:color w:val="000000" w:themeColor="text1"/>
                <w:sz w:val="20"/>
                <w:szCs w:val="20"/>
              </w:rPr>
              <w:t>Graduates</w:t>
            </w:r>
          </w:p>
        </w:tc>
        <w:tc>
          <w:tcPr>
            <w:tcW w:w="1710" w:type="dxa"/>
            <w:tcBorders>
              <w:top w:val="nil"/>
              <w:left w:val="single" w:sz="4" w:space="0" w:color="auto"/>
              <w:bottom w:val="single" w:sz="4" w:space="0" w:color="000000" w:themeColor="text1"/>
              <w:right w:val="single" w:sz="4" w:space="0" w:color="auto"/>
            </w:tcBorders>
            <w:shd w:val="clear" w:color="auto" w:fill="auto"/>
          </w:tcPr>
          <w:p w:rsidR="64FF7F14" w:rsidP="4F4E6B5F" w14:paraId="5500197D" w14:textId="77777777">
            <w:pPr>
              <w:spacing w:line="240" w:lineRule="auto"/>
              <w:jc w:val="center"/>
              <w:rPr>
                <w:rFonts w:ascii="Calibri" w:eastAsia="Times New Roman" w:hAnsi="Calibri" w:cs="Arial"/>
                <w:color w:val="000000" w:themeColor="text1"/>
                <w:sz w:val="20"/>
                <w:szCs w:val="20"/>
              </w:rPr>
            </w:pPr>
            <w:r w:rsidRPr="3977CD1B">
              <w:rPr>
                <w:rFonts w:ascii="Calibri" w:eastAsia="Times New Roman" w:hAnsi="Calibri" w:cs="Arial"/>
                <w:color w:val="000000" w:themeColor="text1"/>
                <w:sz w:val="20"/>
                <w:szCs w:val="20"/>
              </w:rPr>
              <w:t>210</w:t>
            </w:r>
          </w:p>
        </w:tc>
        <w:tc>
          <w:tcPr>
            <w:tcW w:w="2010" w:type="dxa"/>
            <w:tcBorders>
              <w:top w:val="nil"/>
              <w:left w:val="nil"/>
              <w:bottom w:val="single" w:sz="4" w:space="0" w:color="000000" w:themeColor="text1"/>
              <w:right w:val="single" w:sz="4" w:space="0" w:color="auto"/>
            </w:tcBorders>
            <w:shd w:val="clear" w:color="auto" w:fill="auto"/>
          </w:tcPr>
          <w:p w:rsidR="3D7B6625" w:rsidP="4F4E6B5F" w14:paraId="7FDEA48D" w14:textId="77777777">
            <w:pPr>
              <w:spacing w:after="0" w:line="240" w:lineRule="auto"/>
              <w:jc w:val="center"/>
              <w:rPr>
                <w:rFonts w:eastAsia="Times New Roman"/>
                <w:color w:val="000000" w:themeColor="text1"/>
                <w:sz w:val="20"/>
                <w:szCs w:val="20"/>
              </w:rPr>
            </w:pPr>
            <w:r w:rsidRPr="4F4E6B5F">
              <w:rPr>
                <w:rFonts w:eastAsia="Times New Roman"/>
                <w:color w:val="000000" w:themeColor="text1"/>
                <w:sz w:val="20"/>
                <w:szCs w:val="20"/>
              </w:rPr>
              <w:t>$66.70</w:t>
            </w:r>
          </w:p>
        </w:tc>
        <w:tc>
          <w:tcPr>
            <w:tcW w:w="1965" w:type="dxa"/>
            <w:tcBorders>
              <w:top w:val="nil"/>
              <w:left w:val="nil"/>
              <w:bottom w:val="single" w:sz="4" w:space="0" w:color="000000" w:themeColor="text1"/>
              <w:right w:val="single" w:sz="4" w:space="0" w:color="auto"/>
            </w:tcBorders>
            <w:shd w:val="clear" w:color="auto" w:fill="E2A5AC"/>
          </w:tcPr>
          <w:p w:rsidR="4F4E6B5F" w:rsidP="4F4E6B5F" w14:paraId="1B5BB4C1" w14:textId="77777777">
            <w:pPr>
              <w:spacing w:after="0" w:line="240" w:lineRule="auto"/>
              <w:jc w:val="center"/>
              <w:rPr>
                <w:rFonts w:eastAsia="Times New Roman"/>
                <w:color w:val="000000" w:themeColor="text1"/>
                <w:sz w:val="20"/>
                <w:szCs w:val="20"/>
              </w:rPr>
            </w:pPr>
            <w:r w:rsidRPr="4F4E6B5F">
              <w:rPr>
                <w:rFonts w:eastAsia="Times New Roman"/>
                <w:color w:val="000000" w:themeColor="text1"/>
                <w:sz w:val="20"/>
                <w:szCs w:val="20"/>
              </w:rPr>
              <w:t>$</w:t>
            </w:r>
            <w:r w:rsidRPr="4F4E6B5F" w:rsidR="58B9B0DF">
              <w:rPr>
                <w:rFonts w:eastAsia="Times New Roman"/>
                <w:color w:val="000000" w:themeColor="text1"/>
                <w:sz w:val="20"/>
                <w:szCs w:val="20"/>
              </w:rPr>
              <w:t>14,007.00</w:t>
            </w:r>
          </w:p>
        </w:tc>
      </w:tr>
      <w:tr w14:paraId="638F1E59" w14:textId="77777777" w:rsidTr="3977CD1B">
        <w:tblPrEx>
          <w:tblW w:w="0" w:type="auto"/>
          <w:tblLook w:val="04A0"/>
        </w:tblPrEx>
        <w:trPr>
          <w:trHeight w:val="566"/>
        </w:trPr>
        <w:tc>
          <w:tcPr>
            <w:tcW w:w="1800" w:type="dxa"/>
            <w:vMerge/>
          </w:tcPr>
          <w:p w:rsidR="00B23FD3" w14:paraId="22A67F2F" w14:textId="77777777"/>
        </w:tc>
        <w:tc>
          <w:tcPr>
            <w:tcW w:w="1980" w:type="dxa"/>
            <w:tcBorders>
              <w:top w:val="nil"/>
              <w:left w:val="single" w:sz="4" w:space="0" w:color="000000" w:themeColor="text1"/>
              <w:bottom w:val="single" w:sz="4" w:space="0" w:color="000000" w:themeColor="text1"/>
              <w:right w:val="single" w:sz="4" w:space="0" w:color="000000" w:themeColor="text1"/>
            </w:tcBorders>
            <w:shd w:val="clear" w:color="auto" w:fill="auto"/>
          </w:tcPr>
          <w:p w:rsidR="078993F7" w:rsidP="4F4E6B5F" w14:paraId="6869F0AF" w14:textId="77777777">
            <w:pPr>
              <w:spacing w:after="0" w:line="240" w:lineRule="auto"/>
              <w:rPr>
                <w:rFonts w:eastAsia="Times New Roman"/>
                <w:color w:val="000000" w:themeColor="text1"/>
                <w:sz w:val="20"/>
                <w:szCs w:val="20"/>
              </w:rPr>
            </w:pPr>
            <w:r w:rsidRPr="3977CD1B">
              <w:rPr>
                <w:rFonts w:eastAsia="Times New Roman"/>
                <w:color w:val="000000" w:themeColor="text1"/>
                <w:sz w:val="20"/>
                <w:szCs w:val="20"/>
              </w:rPr>
              <w:t>Computer and Math Graduates</w:t>
            </w:r>
          </w:p>
        </w:tc>
        <w:tc>
          <w:tcPr>
            <w:tcW w:w="1710" w:type="dxa"/>
            <w:tcBorders>
              <w:top w:val="nil"/>
              <w:left w:val="single" w:sz="4" w:space="0" w:color="000000" w:themeColor="text1"/>
              <w:bottom w:val="single" w:sz="4" w:space="0" w:color="000000" w:themeColor="text1"/>
              <w:right w:val="single" w:sz="4" w:space="0" w:color="000000" w:themeColor="text1"/>
            </w:tcBorders>
            <w:shd w:val="clear" w:color="auto" w:fill="auto"/>
          </w:tcPr>
          <w:p w:rsidR="3EB07D46" w:rsidP="4F4E6B5F" w14:paraId="434355C5" w14:textId="77777777">
            <w:pPr>
              <w:spacing w:line="240" w:lineRule="auto"/>
              <w:jc w:val="center"/>
              <w:rPr>
                <w:rFonts w:ascii="Calibri" w:eastAsia="Times New Roman" w:hAnsi="Calibri" w:cs="Arial"/>
                <w:color w:val="000000" w:themeColor="text1"/>
                <w:sz w:val="20"/>
                <w:szCs w:val="20"/>
              </w:rPr>
            </w:pPr>
            <w:r w:rsidRPr="4F4E6B5F">
              <w:rPr>
                <w:rFonts w:ascii="Calibri" w:eastAsia="Times New Roman" w:hAnsi="Calibri" w:cs="Arial"/>
                <w:color w:val="000000" w:themeColor="text1"/>
                <w:sz w:val="20"/>
                <w:szCs w:val="20"/>
              </w:rPr>
              <w:t>210</w:t>
            </w:r>
          </w:p>
        </w:tc>
        <w:tc>
          <w:tcPr>
            <w:tcW w:w="2010" w:type="dxa"/>
            <w:tcBorders>
              <w:top w:val="nil"/>
              <w:left w:val="nil"/>
              <w:bottom w:val="single" w:sz="4" w:space="0" w:color="000000" w:themeColor="text1"/>
              <w:right w:val="single" w:sz="4" w:space="0" w:color="000000" w:themeColor="text1"/>
            </w:tcBorders>
            <w:shd w:val="clear" w:color="auto" w:fill="auto"/>
          </w:tcPr>
          <w:p w:rsidR="6AB72CF8" w:rsidP="4F4E6B5F" w14:paraId="093E4B80" w14:textId="77777777">
            <w:pPr>
              <w:spacing w:after="0" w:line="240" w:lineRule="auto"/>
              <w:jc w:val="center"/>
              <w:rPr>
                <w:rFonts w:eastAsia="Times New Roman"/>
                <w:color w:val="000000" w:themeColor="text1"/>
                <w:sz w:val="20"/>
                <w:szCs w:val="20"/>
              </w:rPr>
            </w:pPr>
            <w:r w:rsidRPr="4F4E6B5F">
              <w:rPr>
                <w:rFonts w:eastAsia="Times New Roman"/>
                <w:color w:val="000000" w:themeColor="text1"/>
                <w:sz w:val="20"/>
                <w:szCs w:val="20"/>
              </w:rPr>
              <w:t>$76.15</w:t>
            </w:r>
          </w:p>
        </w:tc>
        <w:tc>
          <w:tcPr>
            <w:tcW w:w="1965" w:type="dxa"/>
            <w:tcBorders>
              <w:top w:val="nil"/>
              <w:left w:val="nil"/>
              <w:bottom w:val="single" w:sz="4" w:space="0" w:color="000000" w:themeColor="text1"/>
              <w:right w:val="single" w:sz="4" w:space="0" w:color="000000" w:themeColor="text1"/>
            </w:tcBorders>
            <w:shd w:val="clear" w:color="auto" w:fill="E2A5AC"/>
          </w:tcPr>
          <w:p w:rsidR="4F4E6B5F" w:rsidP="4F4E6B5F" w14:paraId="35E31450" w14:textId="77777777">
            <w:pPr>
              <w:spacing w:after="0" w:line="240" w:lineRule="auto"/>
              <w:jc w:val="center"/>
              <w:rPr>
                <w:rFonts w:eastAsia="Times New Roman"/>
                <w:color w:val="000000" w:themeColor="text1"/>
                <w:sz w:val="20"/>
                <w:szCs w:val="20"/>
              </w:rPr>
            </w:pPr>
            <w:r w:rsidRPr="4F4E6B5F">
              <w:rPr>
                <w:rFonts w:eastAsia="Times New Roman"/>
                <w:color w:val="000000" w:themeColor="text1"/>
                <w:sz w:val="20"/>
                <w:szCs w:val="20"/>
              </w:rPr>
              <w:t>$</w:t>
            </w:r>
            <w:r w:rsidRPr="4F4E6B5F" w:rsidR="0FC67C2F">
              <w:rPr>
                <w:rFonts w:eastAsia="Times New Roman"/>
                <w:color w:val="000000" w:themeColor="text1"/>
                <w:sz w:val="20"/>
                <w:szCs w:val="20"/>
              </w:rPr>
              <w:t>15,991.50</w:t>
            </w:r>
          </w:p>
        </w:tc>
      </w:tr>
      <w:tr w14:paraId="5665DFE8" w14:textId="77777777" w:rsidTr="3977CD1B">
        <w:tblPrEx>
          <w:tblW w:w="0" w:type="auto"/>
          <w:tblLook w:val="04A0"/>
        </w:tblPrEx>
        <w:trPr>
          <w:trHeight w:val="566"/>
        </w:trPr>
        <w:tc>
          <w:tcPr>
            <w:tcW w:w="1800" w:type="dxa"/>
            <w:vMerge/>
          </w:tcPr>
          <w:p w:rsidR="00B23FD3" w14:paraId="048C1BA5" w14:textId="77777777"/>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A5AC"/>
          </w:tcPr>
          <w:p w:rsidR="4F4E6B5F" w:rsidP="3977CD1B" w14:paraId="0E0D3E38" w14:textId="77777777">
            <w:pPr>
              <w:spacing w:after="0" w:line="240" w:lineRule="auto"/>
              <w:contextualSpacing/>
              <w:jc w:val="center"/>
              <w:rPr>
                <w:rFonts w:eastAsia="Times New Roman"/>
                <w:b/>
                <w:bCs/>
                <w:color w:val="000000" w:themeColor="text1"/>
                <w:sz w:val="20"/>
                <w:szCs w:val="20"/>
              </w:rPr>
            </w:pPr>
            <w:r w:rsidRPr="3977CD1B">
              <w:rPr>
                <w:rFonts w:eastAsia="Times New Roman"/>
                <w:b/>
                <w:bCs/>
                <w:color w:val="000000" w:themeColor="text1"/>
                <w:sz w:val="20"/>
                <w:szCs w:val="20"/>
              </w:rPr>
              <w:t>Alumni Subtotal</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A5AC"/>
            <w:vAlign w:val="bottom"/>
          </w:tcPr>
          <w:p w:rsidR="5A401336" w:rsidP="4F4E6B5F" w14:paraId="2D18A371" w14:textId="77777777">
            <w:pPr>
              <w:spacing w:line="240" w:lineRule="auto"/>
              <w:jc w:val="center"/>
              <w:rPr>
                <w:rFonts w:ascii="Calibri" w:eastAsia="Times New Roman" w:hAnsi="Calibri" w:cs="Arial"/>
                <w:b/>
                <w:bCs/>
                <w:color w:val="000000" w:themeColor="text1"/>
                <w:sz w:val="20"/>
                <w:szCs w:val="20"/>
              </w:rPr>
            </w:pPr>
            <w:r w:rsidRPr="4F4E6B5F">
              <w:rPr>
                <w:rFonts w:ascii="Calibri" w:eastAsia="Times New Roman" w:hAnsi="Calibri" w:cs="Arial"/>
                <w:b/>
                <w:bCs/>
                <w:color w:val="000000" w:themeColor="text1"/>
                <w:sz w:val="20"/>
                <w:szCs w:val="20"/>
              </w:rPr>
              <w:t>700</w:t>
            </w:r>
          </w:p>
        </w:tc>
        <w:tc>
          <w:tcPr>
            <w:tcW w:w="2010" w:type="dxa"/>
            <w:tcBorders>
              <w:top w:val="single" w:sz="4" w:space="0" w:color="000000" w:themeColor="text1"/>
              <w:left w:val="nil"/>
              <w:bottom w:val="single" w:sz="4" w:space="0" w:color="000000" w:themeColor="text1"/>
              <w:right w:val="single" w:sz="4" w:space="0" w:color="000000" w:themeColor="text1"/>
            </w:tcBorders>
            <w:shd w:val="clear" w:color="auto" w:fill="000000" w:themeFill="text1"/>
            <w:vAlign w:val="bottom"/>
          </w:tcPr>
          <w:p w:rsidR="4F4E6B5F" w:rsidP="4F4E6B5F" w14:paraId="2542E943" w14:textId="77777777">
            <w:pPr>
              <w:spacing w:line="240" w:lineRule="auto"/>
              <w:jc w:val="center"/>
              <w:rPr>
                <w:rFonts w:ascii="Calibri" w:eastAsia="Times New Roman" w:hAnsi="Calibri" w:cs="Arial"/>
                <w:b/>
                <w:bCs/>
                <w:color w:val="000000" w:themeColor="text1"/>
                <w:sz w:val="20"/>
                <w:szCs w:val="20"/>
              </w:rPr>
            </w:pPr>
          </w:p>
        </w:tc>
        <w:tc>
          <w:tcPr>
            <w:tcW w:w="1965" w:type="dxa"/>
            <w:tcBorders>
              <w:top w:val="single" w:sz="4" w:space="0" w:color="000000" w:themeColor="text1"/>
              <w:left w:val="nil"/>
              <w:bottom w:val="single" w:sz="4" w:space="0" w:color="000000" w:themeColor="text1"/>
              <w:right w:val="single" w:sz="4" w:space="0" w:color="000000" w:themeColor="text1"/>
            </w:tcBorders>
            <w:shd w:val="clear" w:color="auto" w:fill="E2A5AC"/>
          </w:tcPr>
          <w:p w:rsidR="2BCAB6E6" w:rsidP="4F4E6B5F" w14:paraId="12FB868F" w14:textId="77777777">
            <w:pPr>
              <w:spacing w:line="240" w:lineRule="auto"/>
              <w:jc w:val="center"/>
              <w:rPr>
                <w:rFonts w:ascii="Calibri" w:eastAsia="Times New Roman" w:hAnsi="Calibri" w:cs="Arial"/>
                <w:b/>
                <w:bCs/>
                <w:color w:val="000000" w:themeColor="text1"/>
                <w:sz w:val="20"/>
                <w:szCs w:val="20"/>
              </w:rPr>
            </w:pPr>
            <w:r w:rsidRPr="4F4E6B5F">
              <w:rPr>
                <w:rFonts w:ascii="Calibri" w:eastAsia="Times New Roman" w:hAnsi="Calibri" w:cs="Arial"/>
                <w:b/>
                <w:bCs/>
                <w:color w:val="000000" w:themeColor="text1"/>
                <w:sz w:val="20"/>
                <w:szCs w:val="20"/>
              </w:rPr>
              <w:t>$46,5</w:t>
            </w:r>
            <w:r w:rsidRPr="4F4E6B5F" w:rsidR="4BC4DA01">
              <w:rPr>
                <w:rFonts w:ascii="Calibri" w:eastAsia="Times New Roman" w:hAnsi="Calibri" w:cs="Arial"/>
                <w:b/>
                <w:bCs/>
                <w:color w:val="000000" w:themeColor="text1"/>
                <w:sz w:val="20"/>
                <w:szCs w:val="20"/>
              </w:rPr>
              <w:t>57.70</w:t>
            </w:r>
          </w:p>
        </w:tc>
      </w:tr>
      <w:tr w14:paraId="39C5DBBE" w14:textId="77777777" w:rsidTr="3977CD1B">
        <w:tblPrEx>
          <w:tblW w:w="0" w:type="auto"/>
          <w:tblLook w:val="04A0"/>
        </w:tblPrEx>
        <w:trPr>
          <w:trHeight w:val="566"/>
        </w:trPr>
        <w:tc>
          <w:tcPr>
            <w:tcW w:w="1800" w:type="dxa"/>
            <w:vMerge w:val="restart"/>
            <w:tcBorders>
              <w:top w:val="nil"/>
              <w:left w:val="single" w:sz="4" w:space="0" w:color="auto"/>
              <w:bottom w:val="single" w:sz="4" w:space="0" w:color="auto"/>
              <w:right w:val="single" w:sz="4" w:space="0" w:color="000000" w:themeColor="text1"/>
            </w:tcBorders>
            <w:shd w:val="clear" w:color="auto" w:fill="auto"/>
            <w:vAlign w:val="center"/>
          </w:tcPr>
          <w:p w:rsidR="4F4E6B5F" w:rsidP="4F4E6B5F" w14:paraId="1D4BBDD2" w14:textId="77777777">
            <w:pPr>
              <w:spacing w:after="0" w:line="240" w:lineRule="auto"/>
              <w:jc w:val="center"/>
              <w:rPr>
                <w:rFonts w:ascii="Calibri" w:eastAsia="Times New Roman" w:hAnsi="Calibri" w:cs="Arial"/>
                <w:color w:val="000000" w:themeColor="text1"/>
                <w:sz w:val="20"/>
                <w:szCs w:val="20"/>
              </w:rPr>
            </w:pPr>
            <w:r w:rsidRPr="4F4E6B5F">
              <w:rPr>
                <w:rFonts w:ascii="Calibri" w:eastAsia="Times New Roman" w:hAnsi="Calibri" w:cs="Arial"/>
                <w:color w:val="000000" w:themeColor="text1"/>
                <w:sz w:val="20"/>
                <w:szCs w:val="20"/>
              </w:rPr>
              <w:t>Comparison Group (Non-Alumni)</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4F4E6B5F" w:rsidP="4F4E6B5F" w14:paraId="7DBDE266" w14:textId="77777777">
            <w:pPr>
              <w:spacing w:after="0" w:line="240" w:lineRule="auto"/>
              <w:rPr>
                <w:rFonts w:eastAsia="Times New Roman"/>
                <w:color w:val="000000" w:themeColor="text1"/>
                <w:sz w:val="20"/>
                <w:szCs w:val="20"/>
              </w:rPr>
            </w:pPr>
            <w:r w:rsidRPr="4F4E6B5F">
              <w:rPr>
                <w:rFonts w:eastAsia="Times New Roman"/>
                <w:color w:val="000000" w:themeColor="text1"/>
                <w:sz w:val="20"/>
                <w:szCs w:val="20"/>
              </w:rPr>
              <w:t>Science Graduates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6A5B99C4" w:rsidP="4F4E6B5F" w14:paraId="78A35D56" w14:textId="77777777">
            <w:pPr>
              <w:spacing w:after="0" w:line="240" w:lineRule="auto"/>
              <w:jc w:val="center"/>
              <w:rPr>
                <w:rFonts w:ascii="Calibri" w:eastAsia="Times New Roman" w:hAnsi="Calibri" w:cs="Arial"/>
                <w:color w:val="000000" w:themeColor="text1"/>
                <w:sz w:val="20"/>
                <w:szCs w:val="20"/>
              </w:rPr>
            </w:pPr>
            <w:r w:rsidRPr="4F4E6B5F">
              <w:rPr>
                <w:rFonts w:ascii="Calibri" w:eastAsia="Times New Roman" w:hAnsi="Calibri" w:cs="Arial"/>
                <w:color w:val="000000" w:themeColor="text1"/>
                <w:sz w:val="20"/>
                <w:szCs w:val="20"/>
              </w:rPr>
              <w:t>280</w:t>
            </w:r>
          </w:p>
        </w:tc>
        <w:tc>
          <w:tcPr>
            <w:tcW w:w="2010" w:type="dxa"/>
            <w:tcBorders>
              <w:top w:val="single" w:sz="4" w:space="0" w:color="000000" w:themeColor="text1"/>
              <w:left w:val="nil"/>
              <w:bottom w:val="single" w:sz="4" w:space="0" w:color="000000" w:themeColor="text1"/>
              <w:right w:val="single" w:sz="4" w:space="0" w:color="000000" w:themeColor="text1"/>
            </w:tcBorders>
            <w:shd w:val="clear" w:color="auto" w:fill="auto"/>
          </w:tcPr>
          <w:p w:rsidR="4F4E6B5F" w:rsidP="4F4E6B5F" w14:paraId="2E4096DE" w14:textId="77777777">
            <w:pPr>
              <w:spacing w:after="0" w:line="240" w:lineRule="auto"/>
              <w:jc w:val="center"/>
              <w:rPr>
                <w:rFonts w:eastAsia="Times New Roman"/>
                <w:color w:val="000000" w:themeColor="text1"/>
                <w:sz w:val="20"/>
                <w:szCs w:val="20"/>
              </w:rPr>
            </w:pPr>
            <w:r w:rsidRPr="4F4E6B5F">
              <w:rPr>
                <w:rFonts w:eastAsia="Times New Roman"/>
                <w:color w:val="000000" w:themeColor="text1"/>
                <w:sz w:val="20"/>
                <w:szCs w:val="20"/>
              </w:rPr>
              <w:t>$59.14</w:t>
            </w:r>
          </w:p>
        </w:tc>
        <w:tc>
          <w:tcPr>
            <w:tcW w:w="1965" w:type="dxa"/>
            <w:tcBorders>
              <w:top w:val="single" w:sz="4" w:space="0" w:color="000000" w:themeColor="text1"/>
              <w:left w:val="nil"/>
              <w:bottom w:val="single" w:sz="4" w:space="0" w:color="000000" w:themeColor="text1"/>
              <w:right w:val="single" w:sz="4" w:space="0" w:color="000000" w:themeColor="text1"/>
            </w:tcBorders>
            <w:shd w:val="clear" w:color="auto" w:fill="E2A5AC"/>
          </w:tcPr>
          <w:p w:rsidR="4F4E6B5F" w:rsidP="4F4E6B5F" w14:paraId="7EE88867" w14:textId="77777777">
            <w:pPr>
              <w:spacing w:after="0" w:line="240" w:lineRule="auto"/>
              <w:jc w:val="center"/>
              <w:rPr>
                <w:rFonts w:eastAsia="Times New Roman"/>
                <w:color w:val="000000" w:themeColor="text1"/>
                <w:sz w:val="20"/>
                <w:szCs w:val="20"/>
              </w:rPr>
            </w:pPr>
            <w:r w:rsidRPr="4F4E6B5F">
              <w:rPr>
                <w:rFonts w:eastAsia="Times New Roman"/>
                <w:color w:val="000000" w:themeColor="text1"/>
                <w:sz w:val="20"/>
                <w:szCs w:val="20"/>
              </w:rPr>
              <w:t>$16,559.20</w:t>
            </w:r>
          </w:p>
        </w:tc>
      </w:tr>
      <w:tr w14:paraId="40121F61" w14:textId="77777777" w:rsidTr="3977CD1B">
        <w:tblPrEx>
          <w:tblW w:w="0" w:type="auto"/>
          <w:tblLook w:val="04A0"/>
        </w:tblPrEx>
        <w:trPr>
          <w:trHeight w:val="566"/>
        </w:trPr>
        <w:tc>
          <w:tcPr>
            <w:tcW w:w="1800" w:type="dxa"/>
            <w:vMerge/>
          </w:tcPr>
          <w:p w:rsidR="00B23FD3" w14:paraId="768BD978" w14:textId="77777777"/>
        </w:tc>
        <w:tc>
          <w:tcPr>
            <w:tcW w:w="1980" w:type="dxa"/>
            <w:tcBorders>
              <w:top w:val="nil"/>
              <w:left w:val="single" w:sz="4" w:space="0" w:color="000000" w:themeColor="text1"/>
              <w:bottom w:val="single" w:sz="4" w:space="0" w:color="000000" w:themeColor="text1"/>
              <w:right w:val="single" w:sz="4" w:space="0" w:color="000000" w:themeColor="text1"/>
            </w:tcBorders>
            <w:shd w:val="clear" w:color="auto" w:fill="auto"/>
          </w:tcPr>
          <w:p w:rsidR="4F4E6B5F" w:rsidP="4F4E6B5F" w14:paraId="6E22BB70" w14:textId="77777777">
            <w:pPr>
              <w:spacing w:after="0" w:line="240" w:lineRule="auto"/>
              <w:rPr>
                <w:rFonts w:eastAsia="Times New Roman"/>
                <w:color w:val="000000" w:themeColor="text1"/>
                <w:sz w:val="20"/>
                <w:szCs w:val="20"/>
              </w:rPr>
            </w:pPr>
            <w:r w:rsidRPr="4F4E6B5F">
              <w:rPr>
                <w:rFonts w:eastAsia="Times New Roman"/>
                <w:color w:val="000000" w:themeColor="text1"/>
                <w:sz w:val="20"/>
                <w:szCs w:val="20"/>
              </w:rPr>
              <w:t>Engineering Graduates</w:t>
            </w:r>
          </w:p>
        </w:tc>
        <w:tc>
          <w:tcPr>
            <w:tcW w:w="1710" w:type="dxa"/>
            <w:tcBorders>
              <w:top w:val="nil"/>
              <w:left w:val="single" w:sz="4" w:space="0" w:color="000000" w:themeColor="text1"/>
              <w:bottom w:val="single" w:sz="4" w:space="0" w:color="000000" w:themeColor="text1"/>
              <w:right w:val="single" w:sz="4" w:space="0" w:color="000000" w:themeColor="text1"/>
            </w:tcBorders>
            <w:shd w:val="clear" w:color="auto" w:fill="auto"/>
          </w:tcPr>
          <w:p w:rsidR="1B379AD0" w:rsidP="4F4E6B5F" w14:paraId="457DB8CA" w14:textId="77777777">
            <w:pPr>
              <w:spacing w:line="240" w:lineRule="auto"/>
              <w:jc w:val="center"/>
              <w:rPr>
                <w:rFonts w:ascii="Calibri" w:eastAsia="Times New Roman" w:hAnsi="Calibri" w:cs="Arial"/>
                <w:color w:val="000000" w:themeColor="text1"/>
                <w:sz w:val="20"/>
                <w:szCs w:val="20"/>
              </w:rPr>
            </w:pPr>
            <w:r w:rsidRPr="4F4E6B5F">
              <w:rPr>
                <w:rFonts w:ascii="Calibri" w:eastAsia="Times New Roman" w:hAnsi="Calibri" w:cs="Arial"/>
                <w:color w:val="000000" w:themeColor="text1"/>
                <w:sz w:val="20"/>
                <w:szCs w:val="20"/>
              </w:rPr>
              <w:t>210</w:t>
            </w:r>
          </w:p>
        </w:tc>
        <w:tc>
          <w:tcPr>
            <w:tcW w:w="2010" w:type="dxa"/>
            <w:tcBorders>
              <w:top w:val="nil"/>
              <w:left w:val="nil"/>
              <w:bottom w:val="single" w:sz="4" w:space="0" w:color="000000" w:themeColor="text1"/>
              <w:right w:val="single" w:sz="4" w:space="0" w:color="000000" w:themeColor="text1"/>
            </w:tcBorders>
            <w:shd w:val="clear" w:color="auto" w:fill="auto"/>
          </w:tcPr>
          <w:p w:rsidR="4F4E6B5F" w:rsidP="4F4E6B5F" w14:paraId="0326F607" w14:textId="77777777">
            <w:pPr>
              <w:spacing w:after="0" w:line="240" w:lineRule="auto"/>
              <w:jc w:val="center"/>
              <w:rPr>
                <w:rFonts w:eastAsia="Times New Roman"/>
                <w:color w:val="000000" w:themeColor="text1"/>
                <w:sz w:val="20"/>
                <w:szCs w:val="20"/>
              </w:rPr>
            </w:pPr>
            <w:r w:rsidRPr="4F4E6B5F">
              <w:rPr>
                <w:rFonts w:eastAsia="Times New Roman"/>
                <w:color w:val="000000" w:themeColor="text1"/>
                <w:sz w:val="20"/>
                <w:szCs w:val="20"/>
              </w:rPr>
              <w:t>$66.70</w:t>
            </w:r>
          </w:p>
        </w:tc>
        <w:tc>
          <w:tcPr>
            <w:tcW w:w="1965" w:type="dxa"/>
            <w:tcBorders>
              <w:top w:val="nil"/>
              <w:left w:val="nil"/>
              <w:bottom w:val="single" w:sz="4" w:space="0" w:color="000000" w:themeColor="text1"/>
              <w:right w:val="single" w:sz="4" w:space="0" w:color="000000" w:themeColor="text1"/>
            </w:tcBorders>
            <w:shd w:val="clear" w:color="auto" w:fill="E2A5AC"/>
          </w:tcPr>
          <w:p w:rsidR="4F4E6B5F" w:rsidP="4F4E6B5F" w14:paraId="08B91974" w14:textId="77777777">
            <w:pPr>
              <w:spacing w:after="0" w:line="240" w:lineRule="auto"/>
              <w:jc w:val="center"/>
              <w:rPr>
                <w:rFonts w:eastAsia="Times New Roman"/>
                <w:color w:val="000000" w:themeColor="text1"/>
                <w:sz w:val="20"/>
                <w:szCs w:val="20"/>
              </w:rPr>
            </w:pPr>
            <w:r w:rsidRPr="4F4E6B5F">
              <w:rPr>
                <w:rFonts w:eastAsia="Times New Roman"/>
                <w:color w:val="000000" w:themeColor="text1"/>
                <w:sz w:val="20"/>
                <w:szCs w:val="20"/>
              </w:rPr>
              <w:t>$14,007.00</w:t>
            </w:r>
          </w:p>
        </w:tc>
      </w:tr>
      <w:tr w14:paraId="25401DA9" w14:textId="77777777" w:rsidTr="3977CD1B">
        <w:tblPrEx>
          <w:tblW w:w="0" w:type="auto"/>
          <w:tblLook w:val="04A0"/>
        </w:tblPrEx>
        <w:trPr>
          <w:trHeight w:val="566"/>
        </w:trPr>
        <w:tc>
          <w:tcPr>
            <w:tcW w:w="1800" w:type="dxa"/>
            <w:vMerge/>
          </w:tcPr>
          <w:p w:rsidR="00B23FD3" w14:paraId="124AAB77" w14:textId="77777777"/>
        </w:tc>
        <w:tc>
          <w:tcPr>
            <w:tcW w:w="1980" w:type="dxa"/>
            <w:tcBorders>
              <w:top w:val="nil"/>
              <w:left w:val="single" w:sz="4" w:space="0" w:color="000000" w:themeColor="text1"/>
              <w:bottom w:val="single" w:sz="4" w:space="0" w:color="000000" w:themeColor="text1"/>
              <w:right w:val="single" w:sz="4" w:space="0" w:color="000000" w:themeColor="text1"/>
            </w:tcBorders>
            <w:shd w:val="clear" w:color="auto" w:fill="auto"/>
          </w:tcPr>
          <w:p w:rsidR="078993F7" w:rsidP="4F4E6B5F" w14:paraId="55A0B99D" w14:textId="77777777">
            <w:pPr>
              <w:spacing w:after="0" w:line="240" w:lineRule="auto"/>
              <w:rPr>
                <w:rFonts w:eastAsia="Times New Roman"/>
                <w:color w:val="000000" w:themeColor="text1"/>
                <w:sz w:val="20"/>
                <w:szCs w:val="20"/>
              </w:rPr>
            </w:pPr>
            <w:r w:rsidRPr="3977CD1B">
              <w:rPr>
                <w:rFonts w:eastAsia="Times New Roman"/>
                <w:color w:val="000000" w:themeColor="text1"/>
                <w:sz w:val="20"/>
                <w:szCs w:val="20"/>
              </w:rPr>
              <w:t>Computer and Math Graduates</w:t>
            </w:r>
          </w:p>
        </w:tc>
        <w:tc>
          <w:tcPr>
            <w:tcW w:w="1710" w:type="dxa"/>
            <w:tcBorders>
              <w:top w:val="nil"/>
              <w:left w:val="single" w:sz="4" w:space="0" w:color="000000" w:themeColor="text1"/>
              <w:bottom w:val="single" w:sz="4" w:space="0" w:color="000000" w:themeColor="text1"/>
              <w:right w:val="single" w:sz="4" w:space="0" w:color="000000" w:themeColor="text1"/>
            </w:tcBorders>
            <w:shd w:val="clear" w:color="auto" w:fill="auto"/>
          </w:tcPr>
          <w:p w:rsidR="1C996CD6" w:rsidP="4F4E6B5F" w14:paraId="11FD9D85" w14:textId="77777777">
            <w:pPr>
              <w:spacing w:line="240" w:lineRule="auto"/>
              <w:jc w:val="center"/>
              <w:rPr>
                <w:rFonts w:ascii="Calibri" w:eastAsia="Times New Roman" w:hAnsi="Calibri" w:cs="Arial"/>
                <w:color w:val="000000" w:themeColor="text1"/>
                <w:sz w:val="20"/>
                <w:szCs w:val="20"/>
              </w:rPr>
            </w:pPr>
            <w:r w:rsidRPr="4F4E6B5F">
              <w:rPr>
                <w:rFonts w:ascii="Calibri" w:eastAsia="Times New Roman" w:hAnsi="Calibri" w:cs="Arial"/>
                <w:color w:val="000000" w:themeColor="text1"/>
                <w:sz w:val="20"/>
                <w:szCs w:val="20"/>
              </w:rPr>
              <w:t>210</w:t>
            </w:r>
          </w:p>
        </w:tc>
        <w:tc>
          <w:tcPr>
            <w:tcW w:w="2010" w:type="dxa"/>
            <w:tcBorders>
              <w:top w:val="nil"/>
              <w:left w:val="nil"/>
              <w:bottom w:val="single" w:sz="4" w:space="0" w:color="000000" w:themeColor="text1"/>
              <w:right w:val="single" w:sz="4" w:space="0" w:color="000000" w:themeColor="text1"/>
            </w:tcBorders>
            <w:shd w:val="clear" w:color="auto" w:fill="auto"/>
          </w:tcPr>
          <w:p w:rsidR="4F4E6B5F" w:rsidP="4F4E6B5F" w14:paraId="4990B6DB" w14:textId="77777777">
            <w:pPr>
              <w:spacing w:after="0" w:line="240" w:lineRule="auto"/>
              <w:jc w:val="center"/>
              <w:rPr>
                <w:rFonts w:eastAsia="Times New Roman"/>
                <w:color w:val="000000" w:themeColor="text1"/>
                <w:sz w:val="20"/>
                <w:szCs w:val="20"/>
              </w:rPr>
            </w:pPr>
            <w:r w:rsidRPr="4F4E6B5F">
              <w:rPr>
                <w:rFonts w:eastAsia="Times New Roman"/>
                <w:color w:val="000000" w:themeColor="text1"/>
                <w:sz w:val="20"/>
                <w:szCs w:val="20"/>
              </w:rPr>
              <w:t>$76.15</w:t>
            </w:r>
          </w:p>
        </w:tc>
        <w:tc>
          <w:tcPr>
            <w:tcW w:w="1965" w:type="dxa"/>
            <w:tcBorders>
              <w:top w:val="nil"/>
              <w:left w:val="nil"/>
              <w:bottom w:val="single" w:sz="4" w:space="0" w:color="000000" w:themeColor="text1"/>
              <w:right w:val="single" w:sz="4" w:space="0" w:color="000000" w:themeColor="text1"/>
            </w:tcBorders>
            <w:shd w:val="clear" w:color="auto" w:fill="E2A5AC"/>
          </w:tcPr>
          <w:p w:rsidR="4F4E6B5F" w:rsidP="4F4E6B5F" w14:paraId="4FC3CA99" w14:textId="77777777">
            <w:pPr>
              <w:spacing w:after="0" w:line="240" w:lineRule="auto"/>
              <w:jc w:val="center"/>
              <w:rPr>
                <w:rFonts w:eastAsia="Times New Roman"/>
                <w:color w:val="000000" w:themeColor="text1"/>
                <w:sz w:val="20"/>
                <w:szCs w:val="20"/>
              </w:rPr>
            </w:pPr>
            <w:r w:rsidRPr="4F4E6B5F">
              <w:rPr>
                <w:rFonts w:eastAsia="Times New Roman"/>
                <w:color w:val="000000" w:themeColor="text1"/>
                <w:sz w:val="20"/>
                <w:szCs w:val="20"/>
              </w:rPr>
              <w:t>$15,991.50</w:t>
            </w:r>
          </w:p>
        </w:tc>
      </w:tr>
      <w:tr w14:paraId="0A20FB8C" w14:textId="77777777" w:rsidTr="3977CD1B">
        <w:tblPrEx>
          <w:tblW w:w="0" w:type="auto"/>
          <w:tblLook w:val="04A0"/>
        </w:tblPrEx>
        <w:trPr>
          <w:trHeight w:val="566"/>
        </w:trPr>
        <w:tc>
          <w:tcPr>
            <w:tcW w:w="1800" w:type="dxa"/>
            <w:vMerge/>
          </w:tcPr>
          <w:p w:rsidR="00B23FD3" w14:paraId="27BE9A36" w14:textId="77777777"/>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A5AC"/>
          </w:tcPr>
          <w:p w:rsidR="4F4E6B5F" w:rsidP="3977CD1B" w14:paraId="562EDDD6" w14:textId="77777777">
            <w:pPr>
              <w:spacing w:after="0" w:line="240" w:lineRule="auto"/>
              <w:contextualSpacing/>
              <w:jc w:val="center"/>
              <w:rPr>
                <w:rFonts w:eastAsia="Times New Roman"/>
                <w:b/>
                <w:bCs/>
                <w:color w:val="000000" w:themeColor="text1"/>
                <w:sz w:val="20"/>
                <w:szCs w:val="20"/>
              </w:rPr>
            </w:pPr>
            <w:r w:rsidRPr="3977CD1B">
              <w:rPr>
                <w:rFonts w:eastAsia="Times New Roman"/>
                <w:b/>
                <w:bCs/>
                <w:color w:val="000000" w:themeColor="text1"/>
                <w:sz w:val="20"/>
                <w:szCs w:val="20"/>
              </w:rPr>
              <w:t>Non-Alumni</w:t>
            </w:r>
            <w:r w:rsidRPr="3977CD1B" w:rsidR="14C90DBA">
              <w:rPr>
                <w:rFonts w:eastAsia="Times New Roman"/>
                <w:b/>
                <w:bCs/>
                <w:color w:val="000000" w:themeColor="text1"/>
                <w:sz w:val="20"/>
                <w:szCs w:val="20"/>
              </w:rPr>
              <w:t xml:space="preserve"> Subtotal</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A5AC"/>
          </w:tcPr>
          <w:p w:rsidR="18190C9A" w:rsidP="3977CD1B" w14:paraId="5F013AE0" w14:textId="77777777">
            <w:pPr>
              <w:spacing w:after="0" w:line="240" w:lineRule="auto"/>
              <w:jc w:val="center"/>
              <w:rPr>
                <w:rFonts w:ascii="Calibri" w:eastAsia="Times New Roman" w:hAnsi="Calibri" w:cs="Arial"/>
                <w:b/>
                <w:bCs/>
                <w:color w:val="000000" w:themeColor="text1"/>
                <w:sz w:val="20"/>
                <w:szCs w:val="20"/>
              </w:rPr>
            </w:pPr>
            <w:r w:rsidRPr="3977CD1B">
              <w:rPr>
                <w:rFonts w:ascii="Calibri" w:eastAsia="Times New Roman" w:hAnsi="Calibri" w:cs="Arial"/>
                <w:b/>
                <w:bCs/>
                <w:color w:val="000000" w:themeColor="text1"/>
                <w:sz w:val="20"/>
                <w:szCs w:val="20"/>
              </w:rPr>
              <w:t>700</w:t>
            </w:r>
          </w:p>
        </w:tc>
        <w:tc>
          <w:tcPr>
            <w:tcW w:w="2010" w:type="dxa"/>
            <w:tcBorders>
              <w:top w:val="single" w:sz="4" w:space="0" w:color="000000" w:themeColor="text1"/>
              <w:left w:val="nil"/>
              <w:bottom w:val="single" w:sz="4" w:space="0" w:color="000000" w:themeColor="text1"/>
              <w:right w:val="single" w:sz="4" w:space="0" w:color="000000" w:themeColor="text1"/>
            </w:tcBorders>
            <w:shd w:val="clear" w:color="auto" w:fill="000000" w:themeFill="text1"/>
          </w:tcPr>
          <w:p w:rsidR="4F4E6B5F" w:rsidP="4F4E6B5F" w14:paraId="4D3C7EF0" w14:textId="77777777">
            <w:pPr>
              <w:spacing w:line="240" w:lineRule="auto"/>
              <w:jc w:val="center"/>
              <w:rPr>
                <w:rFonts w:ascii="Calibri" w:eastAsia="Times New Roman" w:hAnsi="Calibri" w:cs="Arial"/>
                <w:b/>
                <w:bCs/>
                <w:color w:val="000000" w:themeColor="text1"/>
                <w:sz w:val="20"/>
                <w:szCs w:val="20"/>
              </w:rPr>
            </w:pPr>
          </w:p>
        </w:tc>
        <w:tc>
          <w:tcPr>
            <w:tcW w:w="1965" w:type="dxa"/>
            <w:tcBorders>
              <w:top w:val="single" w:sz="4" w:space="0" w:color="000000" w:themeColor="text1"/>
              <w:left w:val="nil"/>
              <w:bottom w:val="single" w:sz="4" w:space="0" w:color="000000" w:themeColor="text1"/>
              <w:right w:val="single" w:sz="4" w:space="0" w:color="000000" w:themeColor="text1"/>
            </w:tcBorders>
            <w:shd w:val="clear" w:color="auto" w:fill="E2A5AC"/>
          </w:tcPr>
          <w:p w:rsidR="512779E4" w:rsidP="4F4E6B5F" w14:paraId="24DE95AE" w14:textId="77777777">
            <w:pPr>
              <w:spacing w:line="240" w:lineRule="auto"/>
              <w:jc w:val="center"/>
              <w:rPr>
                <w:rFonts w:ascii="Calibri" w:eastAsia="Times New Roman" w:hAnsi="Calibri" w:cs="Arial"/>
                <w:b/>
                <w:bCs/>
                <w:color w:val="000000" w:themeColor="text1"/>
                <w:sz w:val="20"/>
                <w:szCs w:val="20"/>
              </w:rPr>
            </w:pPr>
            <w:r w:rsidRPr="4F4E6B5F">
              <w:rPr>
                <w:rFonts w:ascii="Calibri" w:eastAsia="Times New Roman" w:hAnsi="Calibri" w:cs="Arial"/>
                <w:b/>
                <w:bCs/>
                <w:color w:val="000000" w:themeColor="text1"/>
                <w:sz w:val="20"/>
                <w:szCs w:val="20"/>
              </w:rPr>
              <w:t>$46,557.70</w:t>
            </w:r>
          </w:p>
        </w:tc>
      </w:tr>
      <w:tr w14:paraId="0372F527" w14:textId="77777777" w:rsidTr="3977CD1B">
        <w:tblPrEx>
          <w:tblW w:w="0" w:type="auto"/>
          <w:tblLook w:val="04A0"/>
        </w:tblPrEx>
        <w:trPr>
          <w:trHeight w:val="566"/>
        </w:trPr>
        <w:tc>
          <w:tcPr>
            <w:tcW w:w="3780" w:type="dxa"/>
            <w:gridSpan w:val="2"/>
            <w:tcBorders>
              <w:top w:val="nil"/>
              <w:left w:val="single" w:sz="4" w:space="0" w:color="auto"/>
              <w:bottom w:val="single" w:sz="4" w:space="0" w:color="auto"/>
              <w:right w:val="single" w:sz="4" w:space="0" w:color="auto"/>
            </w:tcBorders>
            <w:shd w:val="clear" w:color="auto" w:fill="auto"/>
            <w:vAlign w:val="center"/>
          </w:tcPr>
          <w:p w:rsidR="512779E4" w:rsidP="4F4E6B5F" w14:paraId="2E5EDA57" w14:textId="77777777">
            <w:pPr>
              <w:spacing w:after="0" w:line="240" w:lineRule="auto"/>
              <w:jc w:val="center"/>
              <w:rPr>
                <w:rFonts w:ascii="Calibri" w:eastAsia="Times New Roman" w:hAnsi="Calibri" w:cs="Arial"/>
                <w:b/>
                <w:bCs/>
                <w:color w:val="000000" w:themeColor="text1"/>
                <w:sz w:val="20"/>
                <w:szCs w:val="20"/>
              </w:rPr>
            </w:pPr>
            <w:r w:rsidRPr="4F4E6B5F">
              <w:rPr>
                <w:rFonts w:ascii="Calibri" w:eastAsia="Times New Roman" w:hAnsi="Calibri" w:cs="Arial"/>
                <w:b/>
                <w:bCs/>
                <w:color w:val="000000" w:themeColor="text1"/>
                <w:sz w:val="20"/>
                <w:szCs w:val="20"/>
              </w:rPr>
              <w:t>TOTAL (Alumni + Non-Alumni)</w:t>
            </w:r>
          </w:p>
        </w:tc>
        <w:tc>
          <w:tcPr>
            <w:tcW w:w="1710" w:type="dxa"/>
            <w:tcBorders>
              <w:top w:val="single" w:sz="4" w:space="0" w:color="000000" w:themeColor="text1"/>
              <w:left w:val="single" w:sz="4" w:space="0" w:color="auto"/>
              <w:bottom w:val="single" w:sz="4" w:space="0" w:color="auto"/>
              <w:right w:val="single" w:sz="4" w:space="0" w:color="auto"/>
            </w:tcBorders>
            <w:shd w:val="clear" w:color="auto" w:fill="E2A5AC"/>
            <w:vAlign w:val="center"/>
          </w:tcPr>
          <w:p w:rsidR="2F11FFC7" w:rsidP="4F4E6B5F" w14:paraId="07EB0317" w14:textId="77777777">
            <w:pPr>
              <w:spacing w:after="0" w:line="240" w:lineRule="auto"/>
              <w:jc w:val="center"/>
              <w:rPr>
                <w:rFonts w:ascii="Calibri" w:eastAsia="Times New Roman" w:hAnsi="Calibri" w:cs="Arial"/>
                <w:b/>
                <w:bCs/>
                <w:color w:val="000000" w:themeColor="text1"/>
                <w:sz w:val="20"/>
                <w:szCs w:val="20"/>
              </w:rPr>
            </w:pPr>
            <w:r w:rsidRPr="4F4E6B5F">
              <w:rPr>
                <w:rFonts w:ascii="Calibri" w:eastAsia="Times New Roman" w:hAnsi="Calibri" w:cs="Arial"/>
                <w:b/>
                <w:bCs/>
                <w:color w:val="000000" w:themeColor="text1"/>
                <w:sz w:val="20"/>
                <w:szCs w:val="20"/>
              </w:rPr>
              <w:t>1</w:t>
            </w:r>
            <w:r w:rsidRPr="4F4E6B5F" w:rsidR="4F4E6B5F">
              <w:rPr>
                <w:rFonts w:ascii="Calibri" w:eastAsia="Times New Roman" w:hAnsi="Calibri" w:cs="Arial"/>
                <w:b/>
                <w:bCs/>
                <w:color w:val="000000" w:themeColor="text1"/>
                <w:sz w:val="20"/>
                <w:szCs w:val="20"/>
              </w:rPr>
              <w:t>,400</w:t>
            </w:r>
          </w:p>
        </w:tc>
        <w:tc>
          <w:tcPr>
            <w:tcW w:w="2010" w:type="dxa"/>
            <w:tcBorders>
              <w:top w:val="single" w:sz="4" w:space="0" w:color="000000" w:themeColor="text1"/>
              <w:left w:val="nil"/>
              <w:bottom w:val="single" w:sz="4" w:space="0" w:color="auto"/>
              <w:right w:val="single" w:sz="4" w:space="0" w:color="auto"/>
            </w:tcBorders>
            <w:shd w:val="clear" w:color="auto" w:fill="000000" w:themeFill="text1"/>
            <w:vAlign w:val="center"/>
          </w:tcPr>
          <w:p w:rsidR="4F4E6B5F" w:rsidP="3977CD1B" w14:paraId="5DE247C5" w14:textId="77777777">
            <w:pPr>
              <w:spacing w:after="0" w:line="240" w:lineRule="auto"/>
              <w:jc w:val="center"/>
              <w:rPr>
                <w:rFonts w:ascii="Calibri" w:eastAsia="Times New Roman" w:hAnsi="Calibri" w:cs="Arial"/>
                <w:b/>
                <w:bCs/>
                <w:color w:val="000000" w:themeColor="text1"/>
                <w:sz w:val="20"/>
                <w:szCs w:val="20"/>
              </w:rPr>
            </w:pPr>
            <w:r w:rsidRPr="3977CD1B">
              <w:rPr>
                <w:rFonts w:ascii="Calibri" w:eastAsia="Times New Roman" w:hAnsi="Calibri" w:cs="Arial"/>
                <w:b/>
                <w:bCs/>
                <w:color w:val="000000" w:themeColor="text1"/>
                <w:sz w:val="20"/>
                <w:szCs w:val="20"/>
              </w:rPr>
              <w:t> </w:t>
            </w:r>
          </w:p>
        </w:tc>
        <w:tc>
          <w:tcPr>
            <w:tcW w:w="1965" w:type="dxa"/>
            <w:tcBorders>
              <w:top w:val="single" w:sz="4" w:space="0" w:color="000000" w:themeColor="text1"/>
              <w:left w:val="nil"/>
              <w:bottom w:val="single" w:sz="4" w:space="0" w:color="auto"/>
              <w:right w:val="single" w:sz="4" w:space="0" w:color="auto"/>
            </w:tcBorders>
            <w:shd w:val="clear" w:color="auto" w:fill="E2A5AC"/>
            <w:vAlign w:val="center"/>
          </w:tcPr>
          <w:p w:rsidR="39B03036" w:rsidP="4F4E6B5F" w14:paraId="4CE8362B" w14:textId="77777777">
            <w:pPr>
              <w:spacing w:after="0" w:line="240" w:lineRule="auto"/>
              <w:jc w:val="center"/>
              <w:rPr>
                <w:rFonts w:ascii="Calibri" w:eastAsia="Times New Roman" w:hAnsi="Calibri" w:cs="Arial"/>
                <w:b/>
                <w:bCs/>
                <w:color w:val="000000" w:themeColor="text1"/>
                <w:sz w:val="20"/>
                <w:szCs w:val="20"/>
              </w:rPr>
            </w:pPr>
            <w:r w:rsidRPr="4F4E6B5F">
              <w:rPr>
                <w:rFonts w:ascii="Calibri" w:eastAsia="Times New Roman" w:hAnsi="Calibri" w:cs="Arial"/>
                <w:b/>
                <w:bCs/>
                <w:color w:val="000000" w:themeColor="text1"/>
                <w:sz w:val="20"/>
                <w:szCs w:val="20"/>
              </w:rPr>
              <w:t>$93,1</w:t>
            </w:r>
            <w:r w:rsidRPr="4F4E6B5F" w:rsidR="4D8B6D7B">
              <w:rPr>
                <w:rFonts w:ascii="Calibri" w:eastAsia="Times New Roman" w:hAnsi="Calibri" w:cs="Arial"/>
                <w:b/>
                <w:bCs/>
                <w:color w:val="000000" w:themeColor="text1"/>
                <w:sz w:val="20"/>
                <w:szCs w:val="20"/>
              </w:rPr>
              <w:t>15.40</w:t>
            </w:r>
          </w:p>
        </w:tc>
      </w:tr>
    </w:tbl>
    <w:p w:rsidR="00F056C3" w:rsidRPr="00667DDA" w:rsidP="00A41763" w14:paraId="6C33915D" w14:textId="77777777">
      <w:pPr>
        <w:rPr>
          <w:i/>
          <w:iCs/>
        </w:rPr>
      </w:pPr>
      <w:r w:rsidRPr="00667DDA">
        <w:rPr>
          <w:i/>
          <w:iCs/>
        </w:rPr>
        <w:t>*Subtotals rounded to nearest dollar may result in a displayed total of $93,116, although the exact calculated total is $93,115.40.</w:t>
      </w:r>
      <w:r>
        <w:rPr>
          <w:i/>
          <w:iCs/>
        </w:rPr>
        <w:t>*</w:t>
      </w:r>
    </w:p>
    <w:p w:rsidR="00F056C3" w:rsidP="003C74CA" w14:paraId="115C7F78" w14:textId="77777777">
      <w:pPr>
        <w:pStyle w:val="Heading2"/>
      </w:pPr>
      <w:bookmarkStart w:id="18" w:name="_Toc16271332"/>
      <w:r>
        <w:t>A.</w:t>
      </w:r>
      <w:r w:rsidRPr="00A41763" w:rsidR="00A41763">
        <w:t xml:space="preserve">13. </w:t>
      </w:r>
      <w:r w:rsidR="006F3C12">
        <w:t xml:space="preserve">Other Estimated </w:t>
      </w:r>
      <w:r w:rsidRPr="00F056C3">
        <w:t xml:space="preserve">Annual Cost to </w:t>
      </w:r>
      <w:r w:rsidR="00FE2197">
        <w:t>Respondents</w:t>
      </w:r>
      <w:bookmarkEnd w:id="18"/>
    </w:p>
    <w:p w:rsidR="00A41763" w:rsidRPr="00A41763" w:rsidP="00A41763" w14:paraId="2492DA9D" w14:textId="77777777">
      <w:r w:rsidRPr="00A41763">
        <w:rPr>
          <w:b/>
          <w:bCs/>
        </w:rPr>
        <w:t xml:space="preserve">Provide an estimate for the total annual cost burden to respondents or recordkeepers resulting from the collection of information. </w:t>
      </w:r>
    </w:p>
    <w:p w:rsidR="00BA2AE1" w:rsidRPr="00BA2AE1" w:rsidP="00BA2AE1" w14:paraId="30D97F7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cstheme="minorHAnsi"/>
        </w:rPr>
      </w:pPr>
      <w:r w:rsidRPr="00FB5F63">
        <w:rPr>
          <w:rFonts w:cstheme="minorHAnsi"/>
        </w:rPr>
        <w:t>No</w:t>
      </w:r>
      <w:r w:rsidR="00627851">
        <w:rPr>
          <w:rFonts w:cstheme="minorHAnsi"/>
        </w:rPr>
        <w:t>t applicable</w:t>
      </w:r>
      <w:r w:rsidRPr="00FB5F63">
        <w:rPr>
          <w:rFonts w:cstheme="minorHAnsi"/>
        </w:rPr>
        <w:t>.</w:t>
      </w:r>
      <w:r w:rsidR="00627851">
        <w:rPr>
          <w:rFonts w:cstheme="minorHAnsi"/>
        </w:rPr>
        <w:t xml:space="preserve"> </w:t>
      </w:r>
      <w:r w:rsidRPr="00627851" w:rsidR="00627851">
        <w:rPr>
          <w:rFonts w:cstheme="minorHAnsi"/>
        </w:rPr>
        <w:t>Th</w:t>
      </w:r>
      <w:r w:rsidR="00627851">
        <w:rPr>
          <w:rFonts w:cstheme="minorHAnsi"/>
        </w:rPr>
        <w:t>is</w:t>
      </w:r>
      <w:r w:rsidRPr="00627851" w:rsidR="00627851">
        <w:rPr>
          <w:rFonts w:cstheme="minorHAnsi"/>
        </w:rPr>
        <w:t xml:space="preserve"> information collection do</w:t>
      </w:r>
      <w:r w:rsidR="00627851">
        <w:rPr>
          <w:rFonts w:cstheme="minorHAnsi"/>
        </w:rPr>
        <w:t>es</w:t>
      </w:r>
      <w:r w:rsidRPr="00627851" w:rsidR="00627851">
        <w:rPr>
          <w:rFonts w:cstheme="minorHAnsi"/>
        </w:rPr>
        <w:t xml:space="preserve"> not place any capital cost</w:t>
      </w:r>
      <w:r w:rsidR="00627851">
        <w:rPr>
          <w:rFonts w:cstheme="minorHAnsi"/>
        </w:rPr>
        <w:t>s</w:t>
      </w:r>
      <w:r w:rsidRPr="00627851" w:rsidR="00627851">
        <w:rPr>
          <w:rFonts w:cstheme="minorHAnsi"/>
        </w:rPr>
        <w:t xml:space="preserve"> or cost</w:t>
      </w:r>
      <w:r w:rsidR="00627851">
        <w:rPr>
          <w:rFonts w:cstheme="minorHAnsi"/>
        </w:rPr>
        <w:t>s</w:t>
      </w:r>
      <w:r w:rsidRPr="00627851" w:rsidR="00627851">
        <w:rPr>
          <w:rFonts w:cstheme="minorHAnsi"/>
        </w:rPr>
        <w:t xml:space="preserve"> of maintaining capital </w:t>
      </w:r>
      <w:r w:rsidR="00627851">
        <w:rPr>
          <w:rFonts w:cstheme="minorHAnsi"/>
        </w:rPr>
        <w:t>equipment</w:t>
      </w:r>
      <w:r w:rsidRPr="00627851" w:rsidR="00627851">
        <w:rPr>
          <w:rFonts w:cstheme="minorHAnsi"/>
        </w:rPr>
        <w:t xml:space="preserve"> on respondents</w:t>
      </w:r>
      <w:r w:rsidR="00627851">
        <w:rPr>
          <w:rFonts w:cstheme="minorHAnsi"/>
        </w:rPr>
        <w:t xml:space="preserve"> or recordkeepers</w:t>
      </w:r>
      <w:r w:rsidRPr="00627851" w:rsidR="00627851">
        <w:rPr>
          <w:rFonts w:cstheme="minorHAnsi"/>
        </w:rPr>
        <w:t>.</w:t>
      </w:r>
    </w:p>
    <w:p w:rsidR="00F056C3" w:rsidP="003C74CA" w14:paraId="22FBEE8B" w14:textId="77777777">
      <w:pPr>
        <w:pStyle w:val="Heading2"/>
      </w:pPr>
      <w:bookmarkStart w:id="19" w:name="_Toc16271333"/>
      <w:r>
        <w:t>A.</w:t>
      </w:r>
      <w:r w:rsidRPr="00A41763" w:rsidR="00A41763">
        <w:t xml:space="preserve">14. </w:t>
      </w:r>
      <w:r w:rsidR="00FE2197">
        <w:t>Annual Cost to the Federal Government</w:t>
      </w:r>
      <w:bookmarkEnd w:id="19"/>
      <w:r w:rsidRPr="00F056C3">
        <w:t xml:space="preserve"> </w:t>
      </w:r>
    </w:p>
    <w:p w:rsidR="00A41763" w:rsidRPr="00A41763" w:rsidP="00A41763" w14:paraId="35FB1D11" w14:textId="77777777">
      <w:bookmarkStart w:id="20" w:name="_Hlk57385461"/>
      <w:r w:rsidRPr="00A41763">
        <w:rPr>
          <w:b/>
          <w:bCs/>
        </w:rPr>
        <w:t xml:space="preserve">Provide estimates of annualized cost to the Federal government. </w:t>
      </w:r>
    </w:p>
    <w:bookmarkEnd w:id="20"/>
    <w:p w:rsidR="00BA2AE1" w:rsidP="00BA2AE1" w14:paraId="7D96F575" w14:textId="77777777">
      <w:pPr>
        <w:rPr>
          <w:iCs/>
        </w:rPr>
      </w:pPr>
      <w:r w:rsidRPr="00C267F6">
        <w:rPr>
          <w:iCs/>
        </w:rPr>
        <w:t>There are no equipment or overhead costs. Contractors are being used to support this data collection. The cost to the federal government will be the cost of the contract with ORISE.</w:t>
      </w:r>
    </w:p>
    <w:p w:rsidR="00BA2AE1" w:rsidP="00BA2AE1" w14:paraId="23537301" w14:textId="77777777">
      <w:pPr>
        <w:rPr>
          <w:iCs/>
        </w:rPr>
      </w:pPr>
      <w:r w:rsidRPr="00E3538E">
        <w:rPr>
          <w:iCs/>
        </w:rPr>
        <w:t xml:space="preserve">The estimated </w:t>
      </w:r>
      <w:r>
        <w:rPr>
          <w:iCs/>
        </w:rPr>
        <w:t>contractual</w:t>
      </w:r>
      <w:r w:rsidRPr="00E3538E">
        <w:rPr>
          <w:iCs/>
        </w:rPr>
        <w:t xml:space="preserve"> cost to the federal government for the proposed information collection activities is</w:t>
      </w:r>
      <w:r>
        <w:rPr>
          <w:iCs/>
        </w:rPr>
        <w:t xml:space="preserve"> $770,000. The duration of the study from start of data collection to close-out is expected to be 2 years; thus</w:t>
      </w:r>
      <w:r w:rsidR="00281CAC">
        <w:rPr>
          <w:iCs/>
        </w:rPr>
        <w:t>,</w:t>
      </w:r>
      <w:r>
        <w:rPr>
          <w:iCs/>
        </w:rPr>
        <w:t xml:space="preserve"> the estimated annualized cost to the federal government is $385,000.</w:t>
      </w:r>
    </w:p>
    <w:p w:rsidR="00C34AB1" w:rsidP="00C34AB1" w14:paraId="536FBD9C" w14:textId="77777777">
      <w:pPr>
        <w:spacing w:after="0"/>
        <w:jc w:val="center"/>
        <w:rPr>
          <w:iCs/>
        </w:rPr>
      </w:pPr>
      <w:r>
        <w:rPr>
          <w:rFonts w:ascii="Calibri" w:eastAsia="Times New Roman" w:hAnsi="Calibri" w:cs="Arial"/>
          <w:b/>
          <w:bCs/>
          <w:color w:val="0070C0"/>
          <w:sz w:val="28"/>
          <w:szCs w:val="28"/>
        </w:rPr>
        <w:t>Table A5</w:t>
      </w:r>
      <w:r w:rsidRPr="006F3C12">
        <w:rPr>
          <w:rFonts w:ascii="Calibri" w:eastAsia="Times New Roman" w:hAnsi="Calibri" w:cs="Arial"/>
          <w:b/>
          <w:bCs/>
          <w:color w:val="0070C0"/>
          <w:sz w:val="28"/>
          <w:szCs w:val="28"/>
        </w:rPr>
        <w:t xml:space="preserve">. Estimated </w:t>
      </w:r>
      <w:r>
        <w:rPr>
          <w:rFonts w:ascii="Calibri" w:eastAsia="Times New Roman" w:hAnsi="Calibri" w:cs="Arial"/>
          <w:b/>
          <w:bCs/>
          <w:color w:val="0070C0"/>
          <w:sz w:val="28"/>
          <w:szCs w:val="28"/>
        </w:rPr>
        <w:t>Annualized Burden Cost</w:t>
      </w:r>
    </w:p>
    <w:tbl>
      <w:tblPr>
        <w:tblW w:w="9170" w:type="dxa"/>
        <w:tblInd w:w="118" w:type="dxa"/>
        <w:tblLook w:val="04A0"/>
      </w:tblPr>
      <w:tblGrid>
        <w:gridCol w:w="3230"/>
        <w:gridCol w:w="2700"/>
        <w:gridCol w:w="3240"/>
      </w:tblGrid>
      <w:tr w14:paraId="47D03862" w14:textId="77777777" w:rsidTr="00C3131C">
        <w:tblPrEx>
          <w:tblW w:w="9170" w:type="dxa"/>
          <w:tblInd w:w="118" w:type="dxa"/>
          <w:tblLook w:val="04A0"/>
        </w:tblPrEx>
        <w:trPr>
          <w:trHeight w:val="808"/>
        </w:trPr>
        <w:tc>
          <w:tcPr>
            <w:tcW w:w="3230" w:type="dxa"/>
            <w:tcBorders>
              <w:top w:val="single" w:sz="8" w:space="0" w:color="auto"/>
              <w:left w:val="single" w:sz="8" w:space="0" w:color="auto"/>
              <w:bottom w:val="single" w:sz="8" w:space="0" w:color="auto"/>
              <w:right w:val="single" w:sz="8" w:space="0" w:color="auto"/>
            </w:tcBorders>
            <w:shd w:val="clear" w:color="auto" w:fill="00B0F0"/>
            <w:vAlign w:val="center"/>
            <w:hideMark/>
          </w:tcPr>
          <w:p w:rsidR="00C34AB1" w:rsidRPr="00281CAC" w:rsidP="00C3131C" w14:paraId="00C9F81F" w14:textId="77777777">
            <w:pPr>
              <w:spacing w:after="0"/>
              <w:jc w:val="center"/>
              <w:rPr>
                <w:rFonts w:cstheme="minorHAnsi"/>
                <w:b/>
                <w:bCs/>
                <w:color w:val="000000"/>
              </w:rPr>
            </w:pPr>
            <w:r w:rsidRPr="00281CAC">
              <w:rPr>
                <w:rFonts w:cstheme="minorHAnsi"/>
                <w:b/>
                <w:bCs/>
                <w:color w:val="000000"/>
              </w:rPr>
              <w:t>SULI LFS Tasks</w:t>
            </w:r>
          </w:p>
        </w:tc>
        <w:tc>
          <w:tcPr>
            <w:tcW w:w="2700" w:type="dxa"/>
            <w:tcBorders>
              <w:top w:val="single" w:sz="8" w:space="0" w:color="auto"/>
              <w:left w:val="nil"/>
              <w:bottom w:val="single" w:sz="8" w:space="0" w:color="auto"/>
              <w:right w:val="single" w:sz="8" w:space="0" w:color="auto"/>
            </w:tcBorders>
            <w:shd w:val="clear" w:color="auto" w:fill="00B0F0"/>
            <w:vAlign w:val="center"/>
            <w:hideMark/>
          </w:tcPr>
          <w:p w:rsidR="00C34AB1" w:rsidRPr="00281CAC" w:rsidP="00C3131C" w14:paraId="5F4066B2" w14:textId="77777777">
            <w:pPr>
              <w:spacing w:after="0"/>
              <w:jc w:val="center"/>
              <w:rPr>
                <w:rFonts w:cstheme="minorHAnsi"/>
                <w:b/>
                <w:bCs/>
                <w:color w:val="000000"/>
              </w:rPr>
            </w:pPr>
            <w:r w:rsidRPr="00281CAC">
              <w:rPr>
                <w:rFonts w:cstheme="minorHAnsi"/>
                <w:b/>
                <w:bCs/>
                <w:color w:val="000000"/>
              </w:rPr>
              <w:t>Burdened Labor Cost</w:t>
            </w:r>
          </w:p>
        </w:tc>
        <w:tc>
          <w:tcPr>
            <w:tcW w:w="3240" w:type="dxa"/>
            <w:tcBorders>
              <w:top w:val="single" w:sz="8" w:space="0" w:color="auto"/>
              <w:left w:val="nil"/>
              <w:bottom w:val="single" w:sz="8" w:space="0" w:color="auto"/>
              <w:right w:val="single" w:sz="8" w:space="0" w:color="auto"/>
            </w:tcBorders>
            <w:shd w:val="clear" w:color="auto" w:fill="00B0F0"/>
            <w:vAlign w:val="center"/>
            <w:hideMark/>
          </w:tcPr>
          <w:p w:rsidR="00C34AB1" w:rsidRPr="00281CAC" w:rsidP="00C3131C" w14:paraId="44B0A5AA" w14:textId="77777777">
            <w:pPr>
              <w:spacing w:after="0"/>
              <w:jc w:val="center"/>
              <w:rPr>
                <w:rFonts w:cstheme="minorHAnsi"/>
                <w:b/>
                <w:bCs/>
                <w:color w:val="000000"/>
              </w:rPr>
            </w:pPr>
            <w:r w:rsidRPr="00281CAC">
              <w:rPr>
                <w:rFonts w:cstheme="minorHAnsi"/>
                <w:b/>
                <w:bCs/>
                <w:color w:val="000000"/>
              </w:rPr>
              <w:t>Burdened Other Direct Costs</w:t>
            </w:r>
          </w:p>
        </w:tc>
      </w:tr>
      <w:tr w14:paraId="0C2CBD8A" w14:textId="77777777" w:rsidTr="00AF590C">
        <w:tblPrEx>
          <w:tblW w:w="9170" w:type="dxa"/>
          <w:tblInd w:w="118" w:type="dxa"/>
          <w:tblLook w:val="04A0"/>
        </w:tblPrEx>
        <w:trPr>
          <w:trHeight w:val="670"/>
        </w:trPr>
        <w:tc>
          <w:tcPr>
            <w:tcW w:w="3230" w:type="dxa"/>
            <w:tcBorders>
              <w:top w:val="nil"/>
              <w:left w:val="single" w:sz="8" w:space="0" w:color="auto"/>
              <w:bottom w:val="single" w:sz="8" w:space="0" w:color="auto"/>
              <w:right w:val="single" w:sz="8" w:space="0" w:color="auto"/>
            </w:tcBorders>
            <w:shd w:val="clear" w:color="auto" w:fill="auto"/>
            <w:vAlign w:val="bottom"/>
            <w:hideMark/>
          </w:tcPr>
          <w:p w:rsidR="00C34AB1" w:rsidRPr="00281CAC" w:rsidP="00281CAC" w14:paraId="1A0FE856" w14:textId="77777777">
            <w:pPr>
              <w:spacing w:after="0"/>
              <w:rPr>
                <w:rFonts w:cstheme="minorHAnsi"/>
                <w:color w:val="000000"/>
              </w:rPr>
            </w:pPr>
            <w:r w:rsidRPr="00281CAC">
              <w:rPr>
                <w:rFonts w:cstheme="minorHAnsi"/>
                <w:color w:val="000000"/>
              </w:rPr>
              <w:t>Project Setup, WDTS Review &amp; Regulatory Compliance</w:t>
            </w:r>
          </w:p>
        </w:tc>
        <w:tc>
          <w:tcPr>
            <w:tcW w:w="2700" w:type="dxa"/>
            <w:tcBorders>
              <w:top w:val="nil"/>
              <w:left w:val="nil"/>
              <w:bottom w:val="single" w:sz="8" w:space="0" w:color="auto"/>
              <w:right w:val="single" w:sz="8" w:space="0" w:color="auto"/>
            </w:tcBorders>
            <w:shd w:val="clear" w:color="auto" w:fill="auto"/>
            <w:vAlign w:val="bottom"/>
            <w:hideMark/>
          </w:tcPr>
          <w:p w:rsidR="00C34AB1" w:rsidRPr="00281CAC" w:rsidP="00C3131C" w14:paraId="6F50F1D2" w14:textId="77777777">
            <w:pPr>
              <w:spacing w:after="0"/>
              <w:jc w:val="center"/>
              <w:rPr>
                <w:rFonts w:cstheme="minorHAnsi"/>
                <w:color w:val="000000"/>
              </w:rPr>
            </w:pPr>
            <w:r w:rsidRPr="00281CAC">
              <w:rPr>
                <w:rFonts w:cstheme="minorHAnsi"/>
                <w:color w:val="000000"/>
              </w:rPr>
              <w:t xml:space="preserve">$85,000 </w:t>
            </w:r>
          </w:p>
        </w:tc>
        <w:tc>
          <w:tcPr>
            <w:tcW w:w="3240" w:type="dxa"/>
            <w:tcBorders>
              <w:top w:val="nil"/>
              <w:left w:val="nil"/>
              <w:bottom w:val="single" w:sz="8" w:space="0" w:color="auto"/>
              <w:right w:val="single" w:sz="8" w:space="0" w:color="auto"/>
            </w:tcBorders>
            <w:shd w:val="clear" w:color="auto" w:fill="auto"/>
            <w:vAlign w:val="bottom"/>
            <w:hideMark/>
          </w:tcPr>
          <w:p w:rsidR="00C34AB1" w:rsidRPr="00281CAC" w:rsidP="00C3131C" w14:paraId="0F5A098A" w14:textId="77777777">
            <w:pPr>
              <w:spacing w:after="0"/>
              <w:jc w:val="center"/>
              <w:rPr>
                <w:rFonts w:cstheme="minorHAnsi"/>
                <w:i/>
                <w:iCs/>
                <w:color w:val="000000"/>
              </w:rPr>
            </w:pPr>
            <w:r w:rsidRPr="00281CAC">
              <w:rPr>
                <w:rFonts w:cstheme="minorHAnsi"/>
                <w:i/>
                <w:iCs/>
                <w:color w:val="000000"/>
              </w:rPr>
              <w:t>none</w:t>
            </w:r>
          </w:p>
        </w:tc>
      </w:tr>
      <w:tr w14:paraId="359286F9" w14:textId="77777777" w:rsidTr="00AF590C">
        <w:tblPrEx>
          <w:tblW w:w="9170" w:type="dxa"/>
          <w:tblInd w:w="118" w:type="dxa"/>
          <w:tblLook w:val="04A0"/>
        </w:tblPrEx>
        <w:trPr>
          <w:trHeight w:val="260"/>
        </w:trPr>
        <w:tc>
          <w:tcPr>
            <w:tcW w:w="3230" w:type="dxa"/>
            <w:tcBorders>
              <w:top w:val="nil"/>
              <w:left w:val="single" w:sz="8" w:space="0" w:color="auto"/>
              <w:bottom w:val="single" w:sz="8" w:space="0" w:color="auto"/>
              <w:right w:val="single" w:sz="8" w:space="0" w:color="auto"/>
            </w:tcBorders>
            <w:shd w:val="clear" w:color="auto" w:fill="auto"/>
            <w:vAlign w:val="bottom"/>
            <w:hideMark/>
          </w:tcPr>
          <w:p w:rsidR="00C34AB1" w:rsidRPr="00281CAC" w:rsidP="00281CAC" w14:paraId="2B7018C6" w14:textId="77777777">
            <w:pPr>
              <w:spacing w:after="0"/>
              <w:rPr>
                <w:rFonts w:cstheme="minorHAnsi"/>
                <w:color w:val="000000"/>
              </w:rPr>
            </w:pPr>
            <w:r w:rsidRPr="00281CAC">
              <w:rPr>
                <w:rFonts w:cstheme="minorHAnsi"/>
                <w:color w:val="000000"/>
              </w:rPr>
              <w:t>Preparation for Study</w:t>
            </w:r>
          </w:p>
        </w:tc>
        <w:tc>
          <w:tcPr>
            <w:tcW w:w="2700" w:type="dxa"/>
            <w:tcBorders>
              <w:top w:val="nil"/>
              <w:left w:val="nil"/>
              <w:bottom w:val="single" w:sz="8" w:space="0" w:color="auto"/>
              <w:right w:val="single" w:sz="8" w:space="0" w:color="auto"/>
            </w:tcBorders>
            <w:shd w:val="clear" w:color="auto" w:fill="auto"/>
            <w:vAlign w:val="bottom"/>
            <w:hideMark/>
          </w:tcPr>
          <w:p w:rsidR="00C34AB1" w:rsidRPr="00281CAC" w:rsidP="00C3131C" w14:paraId="06731BE8" w14:textId="77777777">
            <w:pPr>
              <w:spacing w:after="0"/>
              <w:jc w:val="center"/>
              <w:rPr>
                <w:rFonts w:cstheme="minorHAnsi"/>
                <w:color w:val="000000"/>
              </w:rPr>
            </w:pPr>
            <w:r w:rsidRPr="00281CAC">
              <w:rPr>
                <w:rFonts w:cstheme="minorHAnsi"/>
                <w:color w:val="000000"/>
              </w:rPr>
              <w:t>$16</w:t>
            </w:r>
            <w:r w:rsidR="009A2036">
              <w:rPr>
                <w:rFonts w:cstheme="minorHAnsi"/>
                <w:color w:val="000000"/>
              </w:rPr>
              <w:t>0</w:t>
            </w:r>
            <w:r w:rsidRPr="00281CAC">
              <w:rPr>
                <w:rFonts w:cstheme="minorHAnsi"/>
                <w:color w:val="000000"/>
              </w:rPr>
              <w:t xml:space="preserve">,000 </w:t>
            </w:r>
          </w:p>
        </w:tc>
        <w:tc>
          <w:tcPr>
            <w:tcW w:w="3240" w:type="dxa"/>
            <w:tcBorders>
              <w:top w:val="nil"/>
              <w:left w:val="nil"/>
              <w:bottom w:val="single" w:sz="8" w:space="0" w:color="auto"/>
              <w:right w:val="single" w:sz="8" w:space="0" w:color="auto"/>
            </w:tcBorders>
            <w:shd w:val="clear" w:color="auto" w:fill="auto"/>
            <w:vAlign w:val="bottom"/>
            <w:hideMark/>
          </w:tcPr>
          <w:p w:rsidR="00C34AB1" w:rsidRPr="00281CAC" w:rsidP="00C3131C" w14:paraId="09023AB2" w14:textId="77777777">
            <w:pPr>
              <w:spacing w:after="0"/>
              <w:jc w:val="center"/>
              <w:rPr>
                <w:rFonts w:cstheme="minorHAnsi"/>
                <w:color w:val="000000"/>
              </w:rPr>
            </w:pPr>
            <w:r w:rsidRPr="00281CAC">
              <w:rPr>
                <w:rFonts w:cstheme="minorHAnsi"/>
                <w:color w:val="000000"/>
              </w:rPr>
              <w:t>$</w:t>
            </w:r>
            <w:r w:rsidR="009A2036">
              <w:rPr>
                <w:rFonts w:cstheme="minorHAnsi"/>
                <w:color w:val="000000"/>
              </w:rPr>
              <w:t>15</w:t>
            </w:r>
            <w:r w:rsidRPr="00281CAC">
              <w:rPr>
                <w:rFonts w:cstheme="minorHAnsi"/>
                <w:color w:val="000000"/>
              </w:rPr>
              <w:t xml:space="preserve">,000.00 </w:t>
            </w:r>
          </w:p>
        </w:tc>
      </w:tr>
      <w:tr w14:paraId="31F9DAAC" w14:textId="77777777" w:rsidTr="00AF590C">
        <w:tblPrEx>
          <w:tblW w:w="9170" w:type="dxa"/>
          <w:tblInd w:w="118" w:type="dxa"/>
          <w:tblLook w:val="04A0"/>
        </w:tblPrEx>
        <w:trPr>
          <w:trHeight w:val="260"/>
        </w:trPr>
        <w:tc>
          <w:tcPr>
            <w:tcW w:w="3230" w:type="dxa"/>
            <w:tcBorders>
              <w:top w:val="nil"/>
              <w:left w:val="single" w:sz="8" w:space="0" w:color="auto"/>
              <w:bottom w:val="single" w:sz="8" w:space="0" w:color="auto"/>
              <w:right w:val="single" w:sz="8" w:space="0" w:color="auto"/>
            </w:tcBorders>
            <w:shd w:val="clear" w:color="auto" w:fill="auto"/>
            <w:vAlign w:val="bottom"/>
            <w:hideMark/>
          </w:tcPr>
          <w:p w:rsidR="00C34AB1" w:rsidRPr="00281CAC" w:rsidP="00281CAC" w14:paraId="5150BCCC" w14:textId="77777777">
            <w:pPr>
              <w:spacing w:after="0"/>
              <w:rPr>
                <w:rFonts w:cstheme="minorHAnsi"/>
                <w:color w:val="000000"/>
              </w:rPr>
            </w:pPr>
            <w:r w:rsidRPr="00281CAC">
              <w:rPr>
                <w:rFonts w:cstheme="minorHAnsi"/>
                <w:color w:val="000000"/>
              </w:rPr>
              <w:t>Survey Administration and Data Collection Waves</w:t>
            </w:r>
          </w:p>
        </w:tc>
        <w:tc>
          <w:tcPr>
            <w:tcW w:w="2700" w:type="dxa"/>
            <w:tcBorders>
              <w:top w:val="nil"/>
              <w:left w:val="nil"/>
              <w:bottom w:val="single" w:sz="8" w:space="0" w:color="auto"/>
              <w:right w:val="single" w:sz="8" w:space="0" w:color="auto"/>
            </w:tcBorders>
            <w:shd w:val="clear" w:color="auto" w:fill="auto"/>
            <w:vAlign w:val="bottom"/>
            <w:hideMark/>
          </w:tcPr>
          <w:p w:rsidR="00C34AB1" w:rsidRPr="00281CAC" w:rsidP="00C3131C" w14:paraId="2167BCBF" w14:textId="77777777">
            <w:pPr>
              <w:spacing w:after="0"/>
              <w:jc w:val="center"/>
              <w:rPr>
                <w:rFonts w:cstheme="minorHAnsi"/>
                <w:color w:val="000000"/>
              </w:rPr>
            </w:pPr>
            <w:r w:rsidRPr="00281CAC">
              <w:rPr>
                <w:rFonts w:cstheme="minorHAnsi"/>
                <w:color w:val="000000"/>
              </w:rPr>
              <w:t xml:space="preserve">$95,000 </w:t>
            </w:r>
          </w:p>
        </w:tc>
        <w:tc>
          <w:tcPr>
            <w:tcW w:w="3240" w:type="dxa"/>
            <w:tcBorders>
              <w:top w:val="nil"/>
              <w:left w:val="nil"/>
              <w:bottom w:val="single" w:sz="8" w:space="0" w:color="auto"/>
              <w:right w:val="single" w:sz="8" w:space="0" w:color="auto"/>
            </w:tcBorders>
            <w:shd w:val="clear" w:color="auto" w:fill="auto"/>
            <w:vAlign w:val="bottom"/>
            <w:hideMark/>
          </w:tcPr>
          <w:p w:rsidR="00C34AB1" w:rsidRPr="00281CAC" w:rsidP="00C3131C" w14:paraId="23C0AEAD" w14:textId="77777777">
            <w:pPr>
              <w:spacing w:after="0"/>
              <w:jc w:val="center"/>
              <w:rPr>
                <w:rFonts w:cstheme="minorHAnsi"/>
                <w:color w:val="000000"/>
              </w:rPr>
            </w:pPr>
            <w:r w:rsidRPr="00281CAC">
              <w:rPr>
                <w:rFonts w:cstheme="minorHAnsi"/>
                <w:color w:val="000000"/>
              </w:rPr>
              <w:t>$</w:t>
            </w:r>
            <w:r w:rsidR="00571792">
              <w:rPr>
                <w:rFonts w:cstheme="minorHAnsi"/>
                <w:color w:val="000000"/>
              </w:rPr>
              <w:t>38</w:t>
            </w:r>
            <w:r w:rsidRPr="00281CAC">
              <w:rPr>
                <w:rFonts w:cstheme="minorHAnsi"/>
                <w:color w:val="000000"/>
              </w:rPr>
              <w:t xml:space="preserve">,000.00 </w:t>
            </w:r>
          </w:p>
        </w:tc>
      </w:tr>
      <w:tr w14:paraId="2ED878DD" w14:textId="77777777" w:rsidTr="00AF590C">
        <w:tblPrEx>
          <w:tblW w:w="9170" w:type="dxa"/>
          <w:tblInd w:w="118" w:type="dxa"/>
          <w:tblLook w:val="04A0"/>
        </w:tblPrEx>
        <w:trPr>
          <w:trHeight w:val="260"/>
        </w:trPr>
        <w:tc>
          <w:tcPr>
            <w:tcW w:w="3230" w:type="dxa"/>
            <w:tcBorders>
              <w:top w:val="nil"/>
              <w:left w:val="single" w:sz="8" w:space="0" w:color="auto"/>
              <w:bottom w:val="single" w:sz="8" w:space="0" w:color="auto"/>
              <w:right w:val="single" w:sz="8" w:space="0" w:color="auto"/>
            </w:tcBorders>
            <w:shd w:val="clear" w:color="auto" w:fill="auto"/>
            <w:vAlign w:val="bottom"/>
            <w:hideMark/>
          </w:tcPr>
          <w:p w:rsidR="00C34AB1" w:rsidRPr="00281CAC" w:rsidP="00281CAC" w14:paraId="5946B852" w14:textId="77777777">
            <w:pPr>
              <w:spacing w:after="0"/>
              <w:rPr>
                <w:rFonts w:cstheme="minorHAnsi"/>
                <w:color w:val="000000"/>
              </w:rPr>
            </w:pPr>
            <w:r w:rsidRPr="00281CAC">
              <w:rPr>
                <w:rFonts w:cstheme="minorHAnsi"/>
                <w:color w:val="000000"/>
              </w:rPr>
              <w:t>Data Cleaning and Analysis</w:t>
            </w:r>
          </w:p>
        </w:tc>
        <w:tc>
          <w:tcPr>
            <w:tcW w:w="2700" w:type="dxa"/>
            <w:tcBorders>
              <w:top w:val="nil"/>
              <w:left w:val="nil"/>
              <w:bottom w:val="single" w:sz="8" w:space="0" w:color="auto"/>
              <w:right w:val="single" w:sz="8" w:space="0" w:color="auto"/>
            </w:tcBorders>
            <w:shd w:val="clear" w:color="auto" w:fill="auto"/>
            <w:vAlign w:val="bottom"/>
            <w:hideMark/>
          </w:tcPr>
          <w:p w:rsidR="00C34AB1" w:rsidRPr="00281CAC" w:rsidP="00C3131C" w14:paraId="091A18B4" w14:textId="77777777">
            <w:pPr>
              <w:spacing w:after="0"/>
              <w:jc w:val="center"/>
              <w:rPr>
                <w:rFonts w:cstheme="minorHAnsi"/>
                <w:color w:val="000000"/>
              </w:rPr>
            </w:pPr>
            <w:r w:rsidRPr="00281CAC">
              <w:rPr>
                <w:rFonts w:cstheme="minorHAnsi"/>
                <w:color w:val="000000"/>
              </w:rPr>
              <w:t>$15</w:t>
            </w:r>
            <w:r w:rsidR="009A2036">
              <w:rPr>
                <w:rFonts w:cstheme="minorHAnsi"/>
                <w:color w:val="000000"/>
              </w:rPr>
              <w:t>0</w:t>
            </w:r>
            <w:r w:rsidRPr="00281CAC">
              <w:rPr>
                <w:rFonts w:cstheme="minorHAnsi"/>
                <w:color w:val="000000"/>
              </w:rPr>
              <w:t xml:space="preserve">,000 </w:t>
            </w:r>
          </w:p>
        </w:tc>
        <w:tc>
          <w:tcPr>
            <w:tcW w:w="3240" w:type="dxa"/>
            <w:tcBorders>
              <w:top w:val="nil"/>
              <w:left w:val="nil"/>
              <w:bottom w:val="single" w:sz="8" w:space="0" w:color="auto"/>
              <w:right w:val="single" w:sz="8" w:space="0" w:color="auto"/>
            </w:tcBorders>
            <w:shd w:val="clear" w:color="auto" w:fill="auto"/>
            <w:vAlign w:val="bottom"/>
            <w:hideMark/>
          </w:tcPr>
          <w:p w:rsidR="00C34AB1" w:rsidRPr="00281CAC" w:rsidP="00C3131C" w14:paraId="49326EFB" w14:textId="77777777">
            <w:pPr>
              <w:spacing w:after="0"/>
              <w:jc w:val="center"/>
              <w:rPr>
                <w:rFonts w:cstheme="minorHAnsi"/>
                <w:i/>
                <w:iCs/>
                <w:color w:val="000000"/>
              </w:rPr>
            </w:pPr>
            <w:r w:rsidRPr="00281CAC">
              <w:rPr>
                <w:rFonts w:cstheme="minorHAnsi"/>
                <w:i/>
                <w:iCs/>
                <w:color w:val="000000"/>
              </w:rPr>
              <w:t>none</w:t>
            </w:r>
          </w:p>
        </w:tc>
      </w:tr>
      <w:tr w14:paraId="3DE7A70C" w14:textId="77777777" w:rsidTr="00AF590C">
        <w:tblPrEx>
          <w:tblW w:w="9170" w:type="dxa"/>
          <w:tblInd w:w="118" w:type="dxa"/>
          <w:tblLook w:val="04A0"/>
        </w:tblPrEx>
        <w:trPr>
          <w:trHeight w:val="260"/>
        </w:trPr>
        <w:tc>
          <w:tcPr>
            <w:tcW w:w="3230" w:type="dxa"/>
            <w:tcBorders>
              <w:top w:val="nil"/>
              <w:left w:val="single" w:sz="8" w:space="0" w:color="auto"/>
              <w:bottom w:val="single" w:sz="8" w:space="0" w:color="auto"/>
              <w:right w:val="single" w:sz="8" w:space="0" w:color="auto"/>
            </w:tcBorders>
            <w:shd w:val="clear" w:color="auto" w:fill="auto"/>
            <w:vAlign w:val="bottom"/>
            <w:hideMark/>
          </w:tcPr>
          <w:p w:rsidR="00C34AB1" w:rsidRPr="00281CAC" w:rsidP="00281CAC" w14:paraId="41A17C6B" w14:textId="77777777">
            <w:pPr>
              <w:spacing w:after="0"/>
              <w:rPr>
                <w:rFonts w:cstheme="minorHAnsi"/>
                <w:color w:val="000000"/>
              </w:rPr>
            </w:pPr>
            <w:r w:rsidRPr="00281CAC">
              <w:rPr>
                <w:rFonts w:cstheme="minorHAnsi"/>
                <w:color w:val="000000"/>
              </w:rPr>
              <w:t>Reporting</w:t>
            </w:r>
          </w:p>
        </w:tc>
        <w:tc>
          <w:tcPr>
            <w:tcW w:w="2700" w:type="dxa"/>
            <w:tcBorders>
              <w:top w:val="nil"/>
              <w:left w:val="nil"/>
              <w:bottom w:val="single" w:sz="8" w:space="0" w:color="auto"/>
              <w:right w:val="single" w:sz="8" w:space="0" w:color="auto"/>
            </w:tcBorders>
            <w:shd w:val="clear" w:color="auto" w:fill="auto"/>
            <w:vAlign w:val="bottom"/>
            <w:hideMark/>
          </w:tcPr>
          <w:p w:rsidR="00C34AB1" w:rsidRPr="00281CAC" w:rsidP="00C3131C" w14:paraId="6B2EEF4F" w14:textId="77777777">
            <w:pPr>
              <w:spacing w:after="0"/>
              <w:jc w:val="center"/>
              <w:rPr>
                <w:rFonts w:cstheme="minorHAnsi"/>
                <w:color w:val="000000"/>
              </w:rPr>
            </w:pPr>
            <w:r w:rsidRPr="00281CAC">
              <w:rPr>
                <w:rFonts w:cstheme="minorHAnsi"/>
                <w:color w:val="000000"/>
              </w:rPr>
              <w:t xml:space="preserve">$110,000 </w:t>
            </w:r>
          </w:p>
        </w:tc>
        <w:tc>
          <w:tcPr>
            <w:tcW w:w="3240" w:type="dxa"/>
            <w:tcBorders>
              <w:top w:val="nil"/>
              <w:left w:val="nil"/>
              <w:bottom w:val="single" w:sz="8" w:space="0" w:color="auto"/>
              <w:right w:val="single" w:sz="8" w:space="0" w:color="auto"/>
            </w:tcBorders>
            <w:shd w:val="clear" w:color="auto" w:fill="auto"/>
            <w:vAlign w:val="bottom"/>
            <w:hideMark/>
          </w:tcPr>
          <w:p w:rsidR="00C34AB1" w:rsidRPr="00281CAC" w:rsidP="00C3131C" w14:paraId="029F8CC2" w14:textId="77777777">
            <w:pPr>
              <w:spacing w:after="0"/>
              <w:jc w:val="center"/>
              <w:rPr>
                <w:rFonts w:cstheme="minorHAnsi"/>
                <w:color w:val="000000"/>
              </w:rPr>
            </w:pPr>
            <w:r w:rsidRPr="00281CAC">
              <w:rPr>
                <w:rFonts w:cstheme="minorHAnsi"/>
                <w:color w:val="000000"/>
              </w:rPr>
              <w:t>$</w:t>
            </w:r>
            <w:r w:rsidR="00571792">
              <w:rPr>
                <w:rFonts w:cstheme="minorHAnsi"/>
                <w:color w:val="000000"/>
              </w:rPr>
              <w:t>27</w:t>
            </w:r>
            <w:r w:rsidRPr="00281CAC">
              <w:rPr>
                <w:rFonts w:cstheme="minorHAnsi"/>
                <w:color w:val="000000"/>
              </w:rPr>
              <w:t xml:space="preserve">,000.00 </w:t>
            </w:r>
          </w:p>
        </w:tc>
      </w:tr>
      <w:tr w14:paraId="7642E46C" w14:textId="77777777" w:rsidTr="00AF590C">
        <w:tblPrEx>
          <w:tblW w:w="9170" w:type="dxa"/>
          <w:tblInd w:w="118" w:type="dxa"/>
          <w:tblLook w:val="04A0"/>
        </w:tblPrEx>
        <w:trPr>
          <w:trHeight w:val="260"/>
        </w:trPr>
        <w:tc>
          <w:tcPr>
            <w:tcW w:w="3230" w:type="dxa"/>
            <w:tcBorders>
              <w:top w:val="nil"/>
              <w:left w:val="single" w:sz="8" w:space="0" w:color="auto"/>
              <w:bottom w:val="single" w:sz="8" w:space="0" w:color="auto"/>
              <w:right w:val="single" w:sz="8" w:space="0" w:color="auto"/>
            </w:tcBorders>
            <w:shd w:val="clear" w:color="auto" w:fill="auto"/>
            <w:vAlign w:val="bottom"/>
            <w:hideMark/>
          </w:tcPr>
          <w:p w:rsidR="00C34AB1" w:rsidRPr="00281CAC" w:rsidP="00281CAC" w14:paraId="7B005684" w14:textId="77777777">
            <w:pPr>
              <w:spacing w:after="0"/>
              <w:rPr>
                <w:rFonts w:cstheme="minorHAnsi"/>
                <w:color w:val="000000"/>
              </w:rPr>
            </w:pPr>
            <w:r w:rsidRPr="00281CAC">
              <w:rPr>
                <w:rFonts w:cstheme="minorHAnsi"/>
                <w:color w:val="000000"/>
              </w:rPr>
              <w:t>Dissemination and Closeout</w:t>
            </w:r>
          </w:p>
        </w:tc>
        <w:tc>
          <w:tcPr>
            <w:tcW w:w="2700" w:type="dxa"/>
            <w:tcBorders>
              <w:top w:val="nil"/>
              <w:left w:val="nil"/>
              <w:bottom w:val="single" w:sz="8" w:space="0" w:color="auto"/>
              <w:right w:val="single" w:sz="8" w:space="0" w:color="auto"/>
            </w:tcBorders>
            <w:shd w:val="clear" w:color="auto" w:fill="auto"/>
            <w:vAlign w:val="bottom"/>
            <w:hideMark/>
          </w:tcPr>
          <w:p w:rsidR="00C34AB1" w:rsidRPr="00281CAC" w:rsidP="00C3131C" w14:paraId="57041105" w14:textId="77777777">
            <w:pPr>
              <w:spacing w:after="0"/>
              <w:jc w:val="center"/>
              <w:rPr>
                <w:rFonts w:cstheme="minorHAnsi"/>
                <w:color w:val="000000"/>
              </w:rPr>
            </w:pPr>
            <w:r w:rsidRPr="00281CAC">
              <w:rPr>
                <w:rFonts w:cstheme="minorHAnsi"/>
                <w:color w:val="000000"/>
              </w:rPr>
              <w:t>$9</w:t>
            </w:r>
            <w:r w:rsidR="009A2036">
              <w:rPr>
                <w:rFonts w:cstheme="minorHAnsi"/>
                <w:color w:val="000000"/>
              </w:rPr>
              <w:t>0</w:t>
            </w:r>
            <w:r w:rsidRPr="00281CAC">
              <w:rPr>
                <w:rFonts w:cstheme="minorHAnsi"/>
                <w:color w:val="000000"/>
              </w:rPr>
              <w:t xml:space="preserve">,000 </w:t>
            </w:r>
          </w:p>
        </w:tc>
        <w:tc>
          <w:tcPr>
            <w:tcW w:w="3240" w:type="dxa"/>
            <w:tcBorders>
              <w:top w:val="nil"/>
              <w:left w:val="nil"/>
              <w:bottom w:val="single" w:sz="8" w:space="0" w:color="auto"/>
              <w:right w:val="single" w:sz="8" w:space="0" w:color="auto"/>
            </w:tcBorders>
            <w:shd w:val="clear" w:color="auto" w:fill="auto"/>
            <w:vAlign w:val="bottom"/>
            <w:hideMark/>
          </w:tcPr>
          <w:p w:rsidR="00C34AB1" w:rsidRPr="00281CAC" w:rsidP="00C3131C" w14:paraId="520DCB73" w14:textId="77777777">
            <w:pPr>
              <w:spacing w:after="0"/>
              <w:jc w:val="center"/>
              <w:rPr>
                <w:rFonts w:cstheme="minorHAnsi"/>
                <w:i/>
                <w:iCs/>
                <w:color w:val="000000"/>
              </w:rPr>
            </w:pPr>
            <w:r w:rsidRPr="00281CAC">
              <w:rPr>
                <w:rFonts w:cstheme="minorHAnsi"/>
                <w:i/>
                <w:iCs/>
                <w:color w:val="000000"/>
              </w:rPr>
              <w:t>none</w:t>
            </w:r>
          </w:p>
        </w:tc>
      </w:tr>
      <w:tr w14:paraId="280A4250" w14:textId="77777777" w:rsidTr="00AF590C">
        <w:tblPrEx>
          <w:tblW w:w="9170" w:type="dxa"/>
          <w:tblInd w:w="118" w:type="dxa"/>
          <w:tblLook w:val="04A0"/>
        </w:tblPrEx>
        <w:trPr>
          <w:trHeight w:val="260"/>
        </w:trPr>
        <w:tc>
          <w:tcPr>
            <w:tcW w:w="3230" w:type="dxa"/>
            <w:tcBorders>
              <w:top w:val="nil"/>
              <w:left w:val="single" w:sz="8" w:space="0" w:color="auto"/>
              <w:bottom w:val="single" w:sz="8" w:space="0" w:color="auto"/>
              <w:right w:val="single" w:sz="8" w:space="0" w:color="auto"/>
            </w:tcBorders>
            <w:shd w:val="clear" w:color="auto" w:fill="auto"/>
            <w:vAlign w:val="bottom"/>
            <w:hideMark/>
          </w:tcPr>
          <w:p w:rsidR="00C34AB1" w:rsidRPr="00281CAC" w:rsidP="00C3131C" w14:paraId="7F4207C7" w14:textId="77777777">
            <w:pPr>
              <w:spacing w:after="0"/>
              <w:jc w:val="right"/>
              <w:rPr>
                <w:rFonts w:cstheme="minorHAnsi"/>
                <w:color w:val="000000"/>
              </w:rPr>
            </w:pPr>
            <w:r w:rsidRPr="00281CAC">
              <w:rPr>
                <w:rFonts w:cstheme="minorHAnsi"/>
                <w:color w:val="000000"/>
              </w:rPr>
              <w:t>Subtotal</w:t>
            </w:r>
          </w:p>
        </w:tc>
        <w:tc>
          <w:tcPr>
            <w:tcW w:w="2700" w:type="dxa"/>
            <w:tcBorders>
              <w:top w:val="nil"/>
              <w:left w:val="nil"/>
              <w:bottom w:val="single" w:sz="8" w:space="0" w:color="auto"/>
              <w:right w:val="single" w:sz="8" w:space="0" w:color="auto"/>
            </w:tcBorders>
            <w:shd w:val="clear" w:color="auto" w:fill="auto"/>
            <w:vAlign w:val="bottom"/>
            <w:hideMark/>
          </w:tcPr>
          <w:p w:rsidR="00C34AB1" w:rsidRPr="00281CAC" w:rsidP="00C3131C" w14:paraId="233169EF" w14:textId="77777777">
            <w:pPr>
              <w:spacing w:after="0"/>
              <w:jc w:val="center"/>
              <w:rPr>
                <w:rFonts w:cstheme="minorHAnsi"/>
                <w:color w:val="000000"/>
              </w:rPr>
            </w:pPr>
            <w:r w:rsidRPr="00281CAC">
              <w:rPr>
                <w:rFonts w:cstheme="minorHAnsi"/>
                <w:color w:val="000000"/>
              </w:rPr>
              <w:t>$</w:t>
            </w:r>
            <w:r w:rsidR="009A2036">
              <w:rPr>
                <w:rFonts w:cstheme="minorHAnsi"/>
                <w:color w:val="000000"/>
              </w:rPr>
              <w:t>690</w:t>
            </w:r>
            <w:r w:rsidRPr="00281CAC">
              <w:rPr>
                <w:rFonts w:cstheme="minorHAnsi"/>
                <w:color w:val="000000"/>
              </w:rPr>
              <w:t xml:space="preserve">,000 </w:t>
            </w:r>
          </w:p>
        </w:tc>
        <w:tc>
          <w:tcPr>
            <w:tcW w:w="3240" w:type="dxa"/>
            <w:tcBorders>
              <w:top w:val="nil"/>
              <w:left w:val="nil"/>
              <w:bottom w:val="single" w:sz="8" w:space="0" w:color="auto"/>
              <w:right w:val="single" w:sz="8" w:space="0" w:color="auto"/>
            </w:tcBorders>
            <w:shd w:val="clear" w:color="auto" w:fill="auto"/>
            <w:vAlign w:val="bottom"/>
            <w:hideMark/>
          </w:tcPr>
          <w:p w:rsidR="00C34AB1" w:rsidRPr="00281CAC" w:rsidP="00C3131C" w14:paraId="39B9CD6B" w14:textId="77777777">
            <w:pPr>
              <w:spacing w:after="0"/>
              <w:jc w:val="center"/>
              <w:rPr>
                <w:rFonts w:cstheme="minorHAnsi"/>
                <w:color w:val="000000"/>
              </w:rPr>
            </w:pPr>
            <w:r w:rsidRPr="00281CAC">
              <w:rPr>
                <w:rFonts w:cstheme="minorHAnsi"/>
                <w:color w:val="000000"/>
              </w:rPr>
              <w:t xml:space="preserve">$80,000.00 </w:t>
            </w:r>
          </w:p>
        </w:tc>
      </w:tr>
      <w:tr w14:paraId="76FB016A" w14:textId="77777777" w:rsidTr="00C3131C">
        <w:tblPrEx>
          <w:tblW w:w="9170" w:type="dxa"/>
          <w:tblInd w:w="118" w:type="dxa"/>
          <w:tblLook w:val="04A0"/>
        </w:tblPrEx>
        <w:trPr>
          <w:trHeight w:val="260"/>
        </w:trPr>
        <w:tc>
          <w:tcPr>
            <w:tcW w:w="5930" w:type="dxa"/>
            <w:gridSpan w:val="2"/>
            <w:tcBorders>
              <w:top w:val="single" w:sz="8" w:space="0" w:color="auto"/>
              <w:left w:val="single" w:sz="8" w:space="0" w:color="auto"/>
              <w:bottom w:val="single" w:sz="8" w:space="0" w:color="auto"/>
              <w:right w:val="single" w:sz="8" w:space="0" w:color="000000"/>
            </w:tcBorders>
            <w:shd w:val="clear" w:color="auto" w:fill="E2A5AC"/>
            <w:vAlign w:val="bottom"/>
            <w:hideMark/>
          </w:tcPr>
          <w:p w:rsidR="00C34AB1" w:rsidRPr="00281CAC" w:rsidP="00703768" w14:paraId="2C9EB2A2" w14:textId="77777777">
            <w:pPr>
              <w:spacing w:after="0"/>
              <w:jc w:val="right"/>
              <w:rPr>
                <w:rFonts w:cstheme="minorHAnsi"/>
                <w:b/>
                <w:bCs/>
                <w:color w:val="000000"/>
              </w:rPr>
            </w:pPr>
            <w:r w:rsidRPr="00281CAC">
              <w:rPr>
                <w:rFonts w:cstheme="minorHAnsi"/>
                <w:b/>
                <w:bCs/>
                <w:color w:val="000000"/>
                <w:szCs w:val="20"/>
              </w:rPr>
              <w:t>Labor + ODC: T</w:t>
            </w:r>
            <w:r w:rsidR="00703768">
              <w:rPr>
                <w:rFonts w:cstheme="minorHAnsi"/>
                <w:b/>
                <w:bCs/>
                <w:color w:val="000000"/>
                <w:szCs w:val="20"/>
              </w:rPr>
              <w:t>OTAL</w:t>
            </w:r>
          </w:p>
        </w:tc>
        <w:tc>
          <w:tcPr>
            <w:tcW w:w="3240" w:type="dxa"/>
            <w:tcBorders>
              <w:top w:val="nil"/>
              <w:left w:val="nil"/>
              <w:bottom w:val="single" w:sz="8" w:space="0" w:color="auto"/>
              <w:right w:val="single" w:sz="8" w:space="0" w:color="auto"/>
            </w:tcBorders>
            <w:shd w:val="clear" w:color="auto" w:fill="E2A5AC"/>
            <w:vAlign w:val="bottom"/>
            <w:hideMark/>
          </w:tcPr>
          <w:p w:rsidR="00C34AB1" w:rsidRPr="00703768" w:rsidP="00C3131C" w14:paraId="5F37B3D6" w14:textId="77777777">
            <w:pPr>
              <w:spacing w:after="0"/>
              <w:jc w:val="center"/>
              <w:rPr>
                <w:rFonts w:cstheme="minorHAnsi"/>
                <w:b/>
                <w:bCs/>
                <w:color w:val="000000"/>
              </w:rPr>
            </w:pPr>
            <w:r w:rsidRPr="00703768">
              <w:rPr>
                <w:rFonts w:cstheme="minorHAnsi"/>
                <w:b/>
                <w:bCs/>
                <w:color w:val="000000"/>
              </w:rPr>
              <w:t xml:space="preserve">$770,000.00 </w:t>
            </w:r>
          </w:p>
        </w:tc>
      </w:tr>
    </w:tbl>
    <w:p w:rsidR="00BA2AE1" w:rsidP="00D854D8" w14:paraId="16723632" w14:textId="77777777">
      <w:pPr>
        <w:rPr>
          <w:i/>
          <w:iCs/>
        </w:rPr>
      </w:pPr>
    </w:p>
    <w:p w:rsidR="006D42EC" w:rsidP="003C74CA" w14:paraId="3695EB37" w14:textId="77777777">
      <w:pPr>
        <w:pStyle w:val="Heading2"/>
      </w:pPr>
      <w:bookmarkStart w:id="21" w:name="_Toc16271334"/>
      <w:r>
        <w:t>A.</w:t>
      </w:r>
      <w:r w:rsidRPr="00A41763" w:rsidR="00A41763">
        <w:t xml:space="preserve">15. </w:t>
      </w:r>
      <w:r>
        <w:t>Reasons for Changes in Burden</w:t>
      </w:r>
      <w:bookmarkEnd w:id="21"/>
    </w:p>
    <w:p w:rsidR="00A41763" w:rsidRPr="00A41763" w:rsidP="00A41763" w14:paraId="306D68A9" w14:textId="77777777">
      <w:bookmarkStart w:id="22" w:name="_Hlk57385469"/>
      <w:r w:rsidRPr="00A41763">
        <w:rPr>
          <w:b/>
          <w:bCs/>
        </w:rPr>
        <w:t xml:space="preserve">Explain the reasons for any program changes or adjustments reported in Items 13 (or 14) of OMB Form 83-I. </w:t>
      </w:r>
    </w:p>
    <w:bookmarkEnd w:id="22"/>
    <w:p w:rsidR="00D854D8" w:rsidRPr="00A41763" w:rsidP="162EED0D" w14:paraId="7054E067" w14:textId="77777777">
      <w:r w:rsidRPr="162EED0D">
        <w:rPr>
          <w:color w:val="000000" w:themeColor="text1"/>
        </w:rPr>
        <w:t xml:space="preserve">Not applicable. </w:t>
      </w:r>
      <w:r w:rsidRPr="162EED0D" w:rsidR="00C34AB1">
        <w:rPr>
          <w:color w:val="000000" w:themeColor="text1"/>
        </w:rPr>
        <w:t xml:space="preserve">There are no program changes. </w:t>
      </w:r>
      <w:r w:rsidRPr="162EED0D" w:rsidR="00C74AA7">
        <w:rPr>
          <w:color w:val="000000" w:themeColor="text1"/>
        </w:rPr>
        <w:t>This is a first-time data collection</w:t>
      </w:r>
      <w:r w:rsidRPr="162EED0D" w:rsidR="00C34AB1">
        <w:rPr>
          <w:color w:val="000000" w:themeColor="text1"/>
        </w:rPr>
        <w:t xml:space="preserve">. </w:t>
      </w:r>
      <w:r w:rsidRPr="162EED0D" w:rsidR="00C016C7">
        <w:rPr>
          <w:color w:val="000000" w:themeColor="text1"/>
        </w:rPr>
        <w:t>There is no pre-existing data collection program for this study.</w:t>
      </w:r>
    </w:p>
    <w:p w:rsidR="00F056C3" w:rsidP="003C74CA" w14:paraId="0331B46D" w14:textId="77777777">
      <w:pPr>
        <w:pStyle w:val="Heading2"/>
      </w:pPr>
      <w:bookmarkStart w:id="23" w:name="_Toc16271335"/>
      <w:r>
        <w:t>A.</w:t>
      </w:r>
      <w:r w:rsidRPr="00A41763" w:rsidR="00A41763">
        <w:t xml:space="preserve">16. </w:t>
      </w:r>
      <w:r w:rsidRPr="00F056C3">
        <w:t>Collection, Tabulation, and Publication Plans</w:t>
      </w:r>
      <w:bookmarkEnd w:id="23"/>
      <w:r w:rsidRPr="00F056C3">
        <w:t xml:space="preserve"> </w:t>
      </w:r>
    </w:p>
    <w:p w:rsidR="00A41763" w:rsidRPr="00A41763" w:rsidP="00A41763" w14:paraId="24E36761" w14:textId="77777777">
      <w:bookmarkStart w:id="24" w:name="_Hlk57385487"/>
      <w:r w:rsidRPr="00A41763">
        <w:rPr>
          <w:b/>
          <w:bCs/>
        </w:rPr>
        <w:t xml:space="preserve">For collections whose results will be published, outline the plans for tabulation and publication. </w:t>
      </w:r>
    </w:p>
    <w:bookmarkEnd w:id="24"/>
    <w:p w:rsidR="00C34AB1" w:rsidP="00C34AB1" w14:paraId="4301CD68" w14:textId="77777777">
      <w:r>
        <w:t>A series of additional analyses will be carried out to respond to each of the evaluation questions provided in the Summary of Evaluation Questions (</w:t>
      </w:r>
      <w:r w:rsidR="00281CAC">
        <w:t xml:space="preserve">see </w:t>
      </w:r>
      <w:r>
        <w:t xml:space="preserve">Table A1). In each case, we will select techniques appropriate to the characteristics of the data, as currently known, and to the overall quasi-experimental research design that will depend on propensity score estimation. Some methodological and technical decisions can only be made once data collection is completed and the full the data are in hand, based on the patterns and distributions in the dataset. In designing the study, we considered and consulted key literature in STEM workforce development, combined with our own deep experience in conducting LFS studies and our suite of findings from those studies, to identify the variables that would be important to understanding and interpreting outcomes. Each analysis technique depends on a set of key assumptions about data distributions, and we will test those assumptions once data are available and before deciding how to proceed. </w:t>
      </w:r>
    </w:p>
    <w:p w:rsidR="00C34AB1" w:rsidP="00C34AB1" w14:paraId="3731DF1B" w14:textId="77777777">
      <w:r>
        <w:t xml:space="preserve">Open-ended (qualitative) questions included in the survey will be analyzed to provide additional insight and provide context for interpreting the quantitative survey data. Qualitative data analysis will be guided by grounded theory as we will use the method of constant comparison to generate themes from the data. We will review responses to each open-ended question and generate a coding scheme based upon </w:t>
      </w:r>
      <w:r w:rsidR="003E0707">
        <w:t>identified themes</w:t>
      </w:r>
      <w:r>
        <w:t>. The coding schemes will include nodes (top-level themes) and sub-nodes (sub-themes) as applicable. Once a coding scheme has been applied to an open-ended question, nodes and sub</w:t>
      </w:r>
      <w:r w:rsidR="003E0707">
        <w:t>-</w:t>
      </w:r>
      <w:r>
        <w:t xml:space="preserve">nodes will be tallied to identify the most prevalent themes among responses. Frequencies of themes will be calculated for the total respondent population and then further explored using the analytical framework of intersectionality to explore sub-groups of the SULI alumni based upon various gender, ethnic, and racial identities. </w:t>
      </w:r>
    </w:p>
    <w:p w:rsidR="00C34AB1" w:rsidRPr="00C34AB1" w:rsidP="00C34AB1" w14:paraId="0F48DDDC" w14:textId="77777777">
      <w:r>
        <w:t>WDTS's application and pre/post survey systems are incredibly robust, so the data collected on the survey will be limited to outcomes data that we need to collect for the study, and a very small number of additional stable variables that will be important for the analysis but were not collected at time of application.</w:t>
      </w:r>
    </w:p>
    <w:p w:rsidR="00C34AB1" w:rsidP="00C34AB1" w14:paraId="79740C99" w14:textId="77777777">
      <w:r>
        <w:t xml:space="preserve">Propensity score estimation variables are those variables, available for both the SULI participant alumni and the comparison group, that will be used to calculate propensity scores and to then carry those scores through all analyses to properly weight or balance the comparison group. Outcome variables are the variables we are interested in </w:t>
      </w:r>
      <w:r w:rsidR="003E0707">
        <w:t>exploring and</w:t>
      </w:r>
      <w:r>
        <w:t xml:space="preserve"> align to outcomes on the SULI logic model. These include key educational, career, and other outcomes. Predictor variables are characteristics of the individual that can affect the outcome, such as preparation or personal background. Moderators are variables, like confounders, that can also affect the outcome by playing a "moderating" role that changes the relationship between the independent and dependent variables; for instance, the quality of mentoring reported by the participant at the end of their SULI experience could certainly moderate their eventual outcomes, all other factors being equal. </w:t>
      </w:r>
    </w:p>
    <w:p w:rsidR="00C34AB1" w:rsidRPr="00C34AB1" w:rsidP="00C34AB1" w14:paraId="741434F4" w14:textId="77777777">
      <w:r>
        <w:t>Some variables, such as the quality of mentoring reported during a SULI appointment, are only applicable to participants, and not to the comparison group; these variables can therefore only be used in analyses focused on the participants without comparison or benchmarking, i.e., Evaluation Question 1. In single group analyses, like those associated with Evaluation Question 1, we will examine the outcomes of the SULI alumni group and how those depend on the independent (predictor) and moderator variables. Two-group analyses, like those associated with Evaluation Question 2 and 3, will involve comparing the outcomes of the SULI alumni group to the comparison group or to the national benchmark sample in order to understand and attempt to quantify the effect of SULI.</w:t>
      </w:r>
    </w:p>
    <w:p w:rsidR="00C34AB1" w:rsidP="00C34AB1" w14:paraId="464059B8" w14:textId="77777777">
      <w:r>
        <w:t xml:space="preserve">Throughout these analyses, there will be some cases in which we segment analyses by key demographic variables. For instance, we will cross-tabulate outcomes by </w:t>
      </w:r>
      <w:r w:rsidR="003E0707">
        <w:t>sex</w:t>
      </w:r>
      <w:r>
        <w:t xml:space="preserve"> and race/ethnicity, and apply statistical tests to examine significance of any differences between these groups. In other cases, however, we propose to use multivariable regression models that can account for multiple variables and for the intersectional dynamics likely to affect outcomes. Such models will allow us to characterize the magnitude of the influence that predictor variables have on outcomes. </w:t>
      </w:r>
    </w:p>
    <w:p w:rsidR="00C34AB1" w:rsidRPr="00C34AB1" w:rsidP="00C34AB1" w14:paraId="2DBEC308" w14:textId="77777777">
      <w:r>
        <w:t>When assessing continuous/quantitative outcomes we plan to apply linear regression; for binary categorical outcomes we plan to apply logistic regression; and then for categorical outcomes, we plan to apply multinomial logistic regression. In many cases, we will layer in additional techniques, such as stepwise variable selection and propensity score estimation. A main goal of the study will be to carry out rigorous analyses with best practices in mind, and to then present findings with clear, cogent explanations that provide key insights and interpretations to a variety of stakeholder audiences without requiring high levels of statistical knowledge.</w:t>
      </w:r>
    </w:p>
    <w:p w:rsidR="00C34AB1" w:rsidP="3977CD1B" w14:paraId="0A4CE5EC" w14:textId="77777777">
      <w:r>
        <w:t>For a more detailed description of analytical techniques to be applied, see Supporting Statement B.</w:t>
      </w:r>
    </w:p>
    <w:p w:rsidR="008A75F8" w:rsidP="00C34AB1" w14:paraId="431D444F" w14:textId="77777777">
      <w:r>
        <w:t xml:space="preserve">The estimated timeline for data analysis and reporting activities is shown in Table </w:t>
      </w:r>
      <w:r w:rsidR="00C177D7">
        <w:t>A</w:t>
      </w:r>
      <w:r>
        <w:t>6. Preparation of the codebook and the statistical analysis plan will overlap with data collection but is expected to be concluded by 3 weeks after data collection is complete. Analysis activities are expected to take approximately 27 weeks (6 months).</w:t>
      </w:r>
      <w:r w:rsidR="00954E15">
        <w:t xml:space="preserve"> Results in the form of written reports, presentations, briefings and recommendations will be shared with WDTS and SULI in support of the SULI program. WDTS </w:t>
      </w:r>
      <w:r w:rsidR="005938B9">
        <w:t>reserves</w:t>
      </w:r>
      <w:r w:rsidR="00954E15">
        <w:t xml:space="preserve"> the option to request additional deliverables in the form of conference papers, abstracts, or posters that are suitable for publication in scholarly journals or presentation at scientific conferences. These </w:t>
      </w:r>
      <w:r w:rsidR="00954E15">
        <w:t>activities are optional</w:t>
      </w:r>
      <w:r w:rsidR="00594CA3">
        <w:t xml:space="preserve">; </w:t>
      </w:r>
      <w:r w:rsidR="00954E15">
        <w:t xml:space="preserve">a final determination on such </w:t>
      </w:r>
      <w:r w:rsidR="00594CA3">
        <w:t>activities</w:t>
      </w:r>
      <w:r w:rsidR="00954E15">
        <w:t xml:space="preserve"> will be made in consultation </w:t>
      </w:r>
      <w:r w:rsidR="00594CA3">
        <w:t>between</w:t>
      </w:r>
      <w:r w:rsidR="00954E15">
        <w:t xml:space="preserve"> ORISE</w:t>
      </w:r>
      <w:r w:rsidR="00594CA3">
        <w:t xml:space="preserve"> and WDT</w:t>
      </w:r>
      <w:r w:rsidR="005938B9">
        <w:t>S during the reporting phase</w:t>
      </w:r>
      <w:r w:rsidR="00594CA3">
        <w:t>.</w:t>
      </w:r>
    </w:p>
    <w:p w:rsidR="008A75F8" w:rsidP="00C34AB1" w14:paraId="54D25FAB" w14:textId="77777777"/>
    <w:p w:rsidR="00C177D7" w:rsidRPr="00C177D7" w:rsidP="00656EEC" w14:paraId="25ACFC36" w14:textId="77777777">
      <w:pPr>
        <w:spacing w:after="0"/>
        <w:rPr>
          <w:iCs/>
        </w:rPr>
      </w:pPr>
      <w:r>
        <w:rPr>
          <w:rFonts w:ascii="Calibri" w:eastAsia="Times New Roman" w:hAnsi="Calibri" w:cs="Arial"/>
          <w:b/>
          <w:bCs/>
          <w:color w:val="0070C0"/>
          <w:sz w:val="28"/>
          <w:szCs w:val="28"/>
        </w:rPr>
        <w:t xml:space="preserve">  Table A6</w:t>
      </w:r>
      <w:r w:rsidRPr="006F3C12">
        <w:rPr>
          <w:rFonts w:ascii="Calibri" w:eastAsia="Times New Roman" w:hAnsi="Calibri" w:cs="Arial"/>
          <w:b/>
          <w:bCs/>
          <w:color w:val="0070C0"/>
          <w:sz w:val="28"/>
          <w:szCs w:val="28"/>
        </w:rPr>
        <w:t xml:space="preserve">. </w:t>
      </w:r>
      <w:r w:rsidRPr="00C177D7">
        <w:rPr>
          <w:rFonts w:ascii="Calibri" w:eastAsia="Times New Roman" w:hAnsi="Calibri" w:cs="Arial"/>
          <w:b/>
          <w:bCs/>
          <w:color w:val="0070C0"/>
          <w:sz w:val="28"/>
          <w:szCs w:val="28"/>
        </w:rPr>
        <w:t>Estimated Timeline for Data Analysis and Reporting Activities</w:t>
      </w:r>
    </w:p>
    <w:tbl>
      <w:tblPr>
        <w:tblW w:w="8560" w:type="dxa"/>
        <w:tblLook w:val="04A0"/>
      </w:tblPr>
      <w:tblGrid>
        <w:gridCol w:w="7100"/>
        <w:gridCol w:w="1460"/>
      </w:tblGrid>
      <w:tr w14:paraId="1DF53A74" w14:textId="77777777" w:rsidTr="0004448C">
        <w:tblPrEx>
          <w:tblW w:w="8560" w:type="dxa"/>
          <w:tblLook w:val="04A0"/>
        </w:tblPrEx>
        <w:trPr>
          <w:trHeight w:val="590"/>
        </w:trPr>
        <w:tc>
          <w:tcPr>
            <w:tcW w:w="7100" w:type="dxa"/>
            <w:tcBorders>
              <w:top w:val="single" w:sz="8" w:space="0" w:color="auto"/>
              <w:left w:val="single" w:sz="8" w:space="0" w:color="auto"/>
              <w:bottom w:val="single" w:sz="8" w:space="0" w:color="auto"/>
              <w:right w:val="single" w:sz="8" w:space="0" w:color="auto"/>
            </w:tcBorders>
            <w:shd w:val="clear" w:color="auto" w:fill="00B0F0"/>
            <w:noWrap/>
            <w:vAlign w:val="center"/>
            <w:hideMark/>
          </w:tcPr>
          <w:p w:rsidR="00703768" w:rsidRPr="00703768" w:rsidP="00703768" w14:paraId="78547C54" w14:textId="77777777">
            <w:pPr>
              <w:spacing w:after="0" w:line="240" w:lineRule="auto"/>
              <w:rPr>
                <w:rFonts w:ascii="Calibri" w:eastAsia="Times New Roman" w:hAnsi="Calibri" w:cs="Calibri"/>
                <w:b/>
                <w:bCs/>
                <w:color w:val="000000"/>
              </w:rPr>
            </w:pPr>
            <w:bookmarkStart w:id="25" w:name="RANGE!B3"/>
            <w:bookmarkStart w:id="26" w:name="_Hlk173329041" w:colFirst="1" w:colLast="1"/>
            <w:r w:rsidRPr="00703768">
              <w:rPr>
                <w:rFonts w:ascii="Calibri" w:eastAsia="Times New Roman" w:hAnsi="Calibri" w:cs="Calibri"/>
                <w:b/>
                <w:bCs/>
                <w:color w:val="000000"/>
              </w:rPr>
              <w:t>Activity</w:t>
            </w:r>
            <w:bookmarkEnd w:id="25"/>
          </w:p>
        </w:tc>
        <w:tc>
          <w:tcPr>
            <w:tcW w:w="1460" w:type="dxa"/>
            <w:tcBorders>
              <w:top w:val="single" w:sz="8" w:space="0" w:color="auto"/>
              <w:left w:val="nil"/>
              <w:bottom w:val="single" w:sz="8" w:space="0" w:color="auto"/>
              <w:right w:val="single" w:sz="8" w:space="0" w:color="auto"/>
            </w:tcBorders>
            <w:shd w:val="clear" w:color="auto" w:fill="00B0F0"/>
            <w:vAlign w:val="center"/>
            <w:hideMark/>
          </w:tcPr>
          <w:p w:rsidR="00703768" w:rsidRPr="00703768" w:rsidP="00703768" w14:paraId="5C32A51D" w14:textId="77777777">
            <w:pPr>
              <w:spacing w:after="0" w:line="240" w:lineRule="auto"/>
              <w:jc w:val="center"/>
              <w:rPr>
                <w:rFonts w:ascii="Calibri" w:eastAsia="Times New Roman" w:hAnsi="Calibri" w:cs="Calibri"/>
                <w:b/>
                <w:bCs/>
                <w:color w:val="000000"/>
              </w:rPr>
            </w:pPr>
            <w:r w:rsidRPr="00703768">
              <w:rPr>
                <w:rFonts w:ascii="Calibri" w:eastAsia="Times New Roman" w:hAnsi="Calibri" w:cs="Calibri"/>
                <w:b/>
                <w:bCs/>
                <w:color w:val="000000"/>
              </w:rPr>
              <w:t>Approximate Duration</w:t>
            </w:r>
          </w:p>
        </w:tc>
      </w:tr>
      <w:tr w14:paraId="0F8A6AEE" w14:textId="77777777" w:rsidTr="0004448C">
        <w:tblPrEx>
          <w:tblW w:w="8560" w:type="dxa"/>
          <w:tblLook w:val="04A0"/>
        </w:tblPrEx>
        <w:trPr>
          <w:trHeight w:val="300"/>
        </w:trPr>
        <w:tc>
          <w:tcPr>
            <w:tcW w:w="7100" w:type="dxa"/>
            <w:tcBorders>
              <w:top w:val="nil"/>
              <w:left w:val="single" w:sz="8" w:space="0" w:color="auto"/>
              <w:bottom w:val="single" w:sz="8" w:space="0" w:color="auto"/>
              <w:right w:val="single" w:sz="8" w:space="0" w:color="auto"/>
            </w:tcBorders>
            <w:shd w:val="clear" w:color="auto" w:fill="auto"/>
            <w:noWrap/>
            <w:vAlign w:val="center"/>
            <w:hideMark/>
          </w:tcPr>
          <w:p w:rsidR="00703768" w:rsidRPr="00703768" w:rsidP="00703768" w14:paraId="63D043B6" w14:textId="77777777">
            <w:pPr>
              <w:spacing w:after="0" w:line="240" w:lineRule="auto"/>
              <w:rPr>
                <w:rFonts w:ascii="Calibri" w:eastAsia="Times New Roman" w:hAnsi="Calibri" w:cs="Calibri"/>
                <w:color w:val="000000"/>
              </w:rPr>
            </w:pPr>
            <w:r w:rsidRPr="00703768">
              <w:rPr>
                <w:rFonts w:ascii="Calibri" w:eastAsia="Times New Roman" w:hAnsi="Calibri" w:cs="Calibri"/>
                <w:color w:val="000000"/>
              </w:rPr>
              <w:t xml:space="preserve">Prepare codebook and data </w:t>
            </w:r>
            <w:r w:rsidR="00971659">
              <w:rPr>
                <w:rFonts w:ascii="Calibri" w:eastAsia="Times New Roman" w:hAnsi="Calibri" w:cs="Calibri"/>
                <w:color w:val="000000"/>
              </w:rPr>
              <w:t>analysis</w:t>
            </w:r>
            <w:r w:rsidRPr="00703768">
              <w:rPr>
                <w:rFonts w:ascii="Calibri" w:eastAsia="Times New Roman" w:hAnsi="Calibri" w:cs="Calibri"/>
                <w:color w:val="000000"/>
              </w:rPr>
              <w:t xml:space="preserve"> plan; create statistical code and review</w:t>
            </w:r>
          </w:p>
        </w:tc>
        <w:tc>
          <w:tcPr>
            <w:tcW w:w="1460" w:type="dxa"/>
            <w:tcBorders>
              <w:top w:val="nil"/>
              <w:left w:val="nil"/>
              <w:bottom w:val="single" w:sz="8" w:space="0" w:color="auto"/>
              <w:right w:val="single" w:sz="8" w:space="0" w:color="auto"/>
            </w:tcBorders>
            <w:shd w:val="clear" w:color="auto" w:fill="E2A5AC"/>
            <w:noWrap/>
            <w:vAlign w:val="center"/>
            <w:hideMark/>
          </w:tcPr>
          <w:p w:rsidR="00703768" w:rsidRPr="00703768" w:rsidP="00703768" w14:paraId="47C29993" w14:textId="77777777">
            <w:pPr>
              <w:spacing w:after="0" w:line="240" w:lineRule="auto"/>
              <w:jc w:val="center"/>
              <w:rPr>
                <w:rFonts w:ascii="Calibri" w:eastAsia="Times New Roman" w:hAnsi="Calibri" w:cs="Calibri"/>
                <w:color w:val="000000"/>
              </w:rPr>
            </w:pPr>
            <w:r w:rsidRPr="00703768">
              <w:rPr>
                <w:rFonts w:ascii="Calibri" w:eastAsia="Times New Roman" w:hAnsi="Calibri" w:cs="Calibri"/>
                <w:color w:val="000000"/>
              </w:rPr>
              <w:t>3 weeks</w:t>
            </w:r>
          </w:p>
        </w:tc>
      </w:tr>
      <w:tr w14:paraId="3B58AC32" w14:textId="77777777" w:rsidTr="0004448C">
        <w:tblPrEx>
          <w:tblW w:w="8560" w:type="dxa"/>
          <w:tblLook w:val="04A0"/>
        </w:tblPrEx>
        <w:trPr>
          <w:trHeight w:val="300"/>
        </w:trPr>
        <w:tc>
          <w:tcPr>
            <w:tcW w:w="7100" w:type="dxa"/>
            <w:tcBorders>
              <w:top w:val="nil"/>
              <w:left w:val="single" w:sz="8" w:space="0" w:color="auto"/>
              <w:bottom w:val="single" w:sz="8" w:space="0" w:color="auto"/>
              <w:right w:val="single" w:sz="8" w:space="0" w:color="auto"/>
            </w:tcBorders>
            <w:shd w:val="clear" w:color="auto" w:fill="auto"/>
            <w:noWrap/>
            <w:vAlign w:val="center"/>
            <w:hideMark/>
          </w:tcPr>
          <w:p w:rsidR="00703768" w:rsidRPr="00703768" w:rsidP="00703768" w14:paraId="4C34EDB9" w14:textId="77777777">
            <w:pPr>
              <w:spacing w:after="0" w:line="240" w:lineRule="auto"/>
              <w:rPr>
                <w:rFonts w:ascii="Calibri" w:eastAsia="Times New Roman" w:hAnsi="Calibri" w:cs="Calibri"/>
                <w:color w:val="000000"/>
              </w:rPr>
            </w:pPr>
            <w:r w:rsidRPr="00703768">
              <w:rPr>
                <w:rFonts w:ascii="Calibri" w:eastAsia="Times New Roman" w:hAnsi="Calibri" w:cs="Calibri"/>
                <w:color w:val="000000"/>
              </w:rPr>
              <w:t>Merge and align final survey data</w:t>
            </w:r>
          </w:p>
        </w:tc>
        <w:tc>
          <w:tcPr>
            <w:tcW w:w="1460" w:type="dxa"/>
            <w:tcBorders>
              <w:top w:val="nil"/>
              <w:left w:val="nil"/>
              <w:bottom w:val="single" w:sz="8" w:space="0" w:color="auto"/>
              <w:right w:val="single" w:sz="8" w:space="0" w:color="auto"/>
            </w:tcBorders>
            <w:shd w:val="clear" w:color="auto" w:fill="E2A5AC"/>
            <w:noWrap/>
            <w:vAlign w:val="center"/>
            <w:hideMark/>
          </w:tcPr>
          <w:p w:rsidR="00703768" w:rsidRPr="00703768" w:rsidP="00703768" w14:paraId="2590B411" w14:textId="77777777">
            <w:pPr>
              <w:spacing w:after="0" w:line="240" w:lineRule="auto"/>
              <w:jc w:val="center"/>
              <w:rPr>
                <w:rFonts w:ascii="Calibri" w:eastAsia="Times New Roman" w:hAnsi="Calibri" w:cs="Calibri"/>
                <w:color w:val="000000"/>
              </w:rPr>
            </w:pPr>
            <w:r w:rsidRPr="00703768">
              <w:rPr>
                <w:rFonts w:ascii="Calibri" w:eastAsia="Times New Roman" w:hAnsi="Calibri" w:cs="Calibri"/>
                <w:color w:val="000000"/>
              </w:rPr>
              <w:t>1 week</w:t>
            </w:r>
          </w:p>
        </w:tc>
      </w:tr>
      <w:tr w14:paraId="6D639CFA" w14:textId="77777777" w:rsidTr="0004448C">
        <w:tblPrEx>
          <w:tblW w:w="8560" w:type="dxa"/>
          <w:tblLook w:val="04A0"/>
        </w:tblPrEx>
        <w:trPr>
          <w:trHeight w:val="300"/>
        </w:trPr>
        <w:tc>
          <w:tcPr>
            <w:tcW w:w="7100" w:type="dxa"/>
            <w:tcBorders>
              <w:top w:val="nil"/>
              <w:left w:val="single" w:sz="8" w:space="0" w:color="auto"/>
              <w:bottom w:val="single" w:sz="8" w:space="0" w:color="auto"/>
              <w:right w:val="single" w:sz="8" w:space="0" w:color="auto"/>
            </w:tcBorders>
            <w:shd w:val="clear" w:color="auto" w:fill="auto"/>
            <w:noWrap/>
            <w:vAlign w:val="center"/>
            <w:hideMark/>
          </w:tcPr>
          <w:p w:rsidR="00703768" w:rsidRPr="00703768" w:rsidP="00703768" w14:paraId="53D2C099" w14:textId="77777777">
            <w:pPr>
              <w:spacing w:after="0" w:line="240" w:lineRule="auto"/>
              <w:rPr>
                <w:rFonts w:ascii="Calibri" w:eastAsia="Times New Roman" w:hAnsi="Calibri" w:cs="Calibri"/>
                <w:color w:val="000000"/>
              </w:rPr>
            </w:pPr>
            <w:r w:rsidRPr="00703768">
              <w:rPr>
                <w:rFonts w:ascii="Calibri" w:eastAsia="Times New Roman" w:hAnsi="Calibri" w:cs="Calibri"/>
                <w:color w:val="000000"/>
              </w:rPr>
              <w:t>Conduct cleaning and finalize dataset</w:t>
            </w:r>
          </w:p>
        </w:tc>
        <w:tc>
          <w:tcPr>
            <w:tcW w:w="1460" w:type="dxa"/>
            <w:tcBorders>
              <w:top w:val="nil"/>
              <w:left w:val="nil"/>
              <w:bottom w:val="single" w:sz="8" w:space="0" w:color="auto"/>
              <w:right w:val="single" w:sz="8" w:space="0" w:color="auto"/>
            </w:tcBorders>
            <w:shd w:val="clear" w:color="auto" w:fill="E2A5AC"/>
            <w:noWrap/>
            <w:vAlign w:val="center"/>
            <w:hideMark/>
          </w:tcPr>
          <w:p w:rsidR="00703768" w:rsidRPr="00703768" w:rsidP="00703768" w14:paraId="57337D88" w14:textId="77777777">
            <w:pPr>
              <w:spacing w:after="0" w:line="240" w:lineRule="auto"/>
              <w:jc w:val="center"/>
              <w:rPr>
                <w:rFonts w:ascii="Calibri" w:eastAsia="Times New Roman" w:hAnsi="Calibri" w:cs="Calibri"/>
                <w:color w:val="000000"/>
              </w:rPr>
            </w:pPr>
            <w:r w:rsidRPr="00703768">
              <w:rPr>
                <w:rFonts w:ascii="Calibri" w:eastAsia="Times New Roman" w:hAnsi="Calibri" w:cs="Calibri"/>
                <w:color w:val="000000"/>
              </w:rPr>
              <w:t>3 weeks</w:t>
            </w:r>
          </w:p>
        </w:tc>
      </w:tr>
      <w:tr w14:paraId="65762508" w14:textId="77777777" w:rsidTr="0004448C">
        <w:tblPrEx>
          <w:tblW w:w="8560" w:type="dxa"/>
          <w:tblLook w:val="04A0"/>
        </w:tblPrEx>
        <w:trPr>
          <w:trHeight w:val="300"/>
        </w:trPr>
        <w:tc>
          <w:tcPr>
            <w:tcW w:w="7100" w:type="dxa"/>
            <w:tcBorders>
              <w:top w:val="nil"/>
              <w:left w:val="single" w:sz="8" w:space="0" w:color="auto"/>
              <w:bottom w:val="single" w:sz="8" w:space="0" w:color="auto"/>
              <w:right w:val="single" w:sz="8" w:space="0" w:color="auto"/>
            </w:tcBorders>
            <w:shd w:val="clear" w:color="auto" w:fill="auto"/>
            <w:noWrap/>
            <w:vAlign w:val="center"/>
            <w:hideMark/>
          </w:tcPr>
          <w:p w:rsidR="00703768" w:rsidRPr="00703768" w:rsidP="00703768" w14:paraId="218A031B" w14:textId="77777777">
            <w:pPr>
              <w:spacing w:after="0" w:line="240" w:lineRule="auto"/>
              <w:rPr>
                <w:rFonts w:ascii="Calibri" w:eastAsia="Times New Roman" w:hAnsi="Calibri" w:cs="Calibri"/>
                <w:color w:val="000000"/>
              </w:rPr>
            </w:pPr>
            <w:r w:rsidRPr="00703768">
              <w:rPr>
                <w:rFonts w:ascii="Calibri" w:eastAsia="Times New Roman" w:hAnsi="Calibri" w:cs="Calibri"/>
                <w:color w:val="000000"/>
              </w:rPr>
              <w:t>Carry out non-response bias analysis</w:t>
            </w:r>
          </w:p>
        </w:tc>
        <w:tc>
          <w:tcPr>
            <w:tcW w:w="1460" w:type="dxa"/>
            <w:tcBorders>
              <w:top w:val="nil"/>
              <w:left w:val="nil"/>
              <w:bottom w:val="single" w:sz="8" w:space="0" w:color="auto"/>
              <w:right w:val="single" w:sz="8" w:space="0" w:color="auto"/>
            </w:tcBorders>
            <w:shd w:val="clear" w:color="auto" w:fill="E2A5AC"/>
            <w:noWrap/>
            <w:vAlign w:val="center"/>
            <w:hideMark/>
          </w:tcPr>
          <w:p w:rsidR="00703768" w:rsidRPr="00703768" w:rsidP="00703768" w14:paraId="46A5E605" w14:textId="77777777">
            <w:pPr>
              <w:spacing w:after="0" w:line="240" w:lineRule="auto"/>
              <w:jc w:val="center"/>
              <w:rPr>
                <w:rFonts w:ascii="Calibri" w:eastAsia="Times New Roman" w:hAnsi="Calibri" w:cs="Calibri"/>
                <w:color w:val="000000"/>
              </w:rPr>
            </w:pPr>
            <w:r w:rsidRPr="00703768">
              <w:rPr>
                <w:rFonts w:ascii="Calibri" w:eastAsia="Times New Roman" w:hAnsi="Calibri" w:cs="Calibri"/>
                <w:color w:val="000000"/>
              </w:rPr>
              <w:t>2 weeks</w:t>
            </w:r>
          </w:p>
        </w:tc>
      </w:tr>
      <w:tr w14:paraId="3C804AC9" w14:textId="77777777" w:rsidTr="0004448C">
        <w:tblPrEx>
          <w:tblW w:w="8560" w:type="dxa"/>
          <w:tblLook w:val="04A0"/>
        </w:tblPrEx>
        <w:trPr>
          <w:trHeight w:val="300"/>
        </w:trPr>
        <w:tc>
          <w:tcPr>
            <w:tcW w:w="7100" w:type="dxa"/>
            <w:tcBorders>
              <w:top w:val="nil"/>
              <w:left w:val="single" w:sz="8" w:space="0" w:color="auto"/>
              <w:bottom w:val="single" w:sz="8" w:space="0" w:color="auto"/>
              <w:right w:val="single" w:sz="8" w:space="0" w:color="auto"/>
            </w:tcBorders>
            <w:shd w:val="clear" w:color="auto" w:fill="auto"/>
            <w:noWrap/>
            <w:vAlign w:val="center"/>
            <w:hideMark/>
          </w:tcPr>
          <w:p w:rsidR="00703768" w:rsidRPr="00703768" w:rsidP="00703768" w14:paraId="00778E3C" w14:textId="77777777">
            <w:pPr>
              <w:spacing w:after="0" w:line="240" w:lineRule="auto"/>
              <w:rPr>
                <w:rFonts w:ascii="Calibri" w:eastAsia="Times New Roman" w:hAnsi="Calibri" w:cs="Calibri"/>
                <w:color w:val="000000"/>
              </w:rPr>
            </w:pPr>
            <w:r w:rsidRPr="00703768">
              <w:rPr>
                <w:rFonts w:ascii="Calibri" w:eastAsia="Times New Roman" w:hAnsi="Calibri" w:cs="Calibri"/>
                <w:color w:val="000000"/>
              </w:rPr>
              <w:t>Complete analysis of demographics/background</w:t>
            </w:r>
            <w:r w:rsidR="0004448C">
              <w:rPr>
                <w:rFonts w:ascii="Calibri" w:eastAsia="Times New Roman" w:hAnsi="Calibri" w:cs="Calibri"/>
                <w:color w:val="000000"/>
              </w:rPr>
              <w:t xml:space="preserve"> variables</w:t>
            </w:r>
          </w:p>
        </w:tc>
        <w:tc>
          <w:tcPr>
            <w:tcW w:w="1460" w:type="dxa"/>
            <w:tcBorders>
              <w:top w:val="nil"/>
              <w:left w:val="nil"/>
              <w:bottom w:val="single" w:sz="8" w:space="0" w:color="auto"/>
              <w:right w:val="single" w:sz="8" w:space="0" w:color="auto"/>
            </w:tcBorders>
            <w:shd w:val="clear" w:color="auto" w:fill="E2A5AC"/>
            <w:noWrap/>
            <w:vAlign w:val="center"/>
            <w:hideMark/>
          </w:tcPr>
          <w:p w:rsidR="00703768" w:rsidRPr="00703768" w:rsidP="00703768" w14:paraId="05983D9C" w14:textId="77777777">
            <w:pPr>
              <w:spacing w:after="0" w:line="240" w:lineRule="auto"/>
              <w:jc w:val="center"/>
              <w:rPr>
                <w:rFonts w:ascii="Calibri" w:eastAsia="Times New Roman" w:hAnsi="Calibri" w:cs="Calibri"/>
                <w:color w:val="000000"/>
              </w:rPr>
            </w:pPr>
            <w:r w:rsidRPr="00703768">
              <w:rPr>
                <w:rFonts w:ascii="Calibri" w:eastAsia="Times New Roman" w:hAnsi="Calibri" w:cs="Calibri"/>
                <w:color w:val="000000"/>
              </w:rPr>
              <w:t>3 weeks</w:t>
            </w:r>
          </w:p>
        </w:tc>
      </w:tr>
      <w:tr w14:paraId="535C1FCE" w14:textId="77777777" w:rsidTr="0004448C">
        <w:tblPrEx>
          <w:tblW w:w="8560" w:type="dxa"/>
          <w:tblLook w:val="04A0"/>
        </w:tblPrEx>
        <w:trPr>
          <w:trHeight w:val="300"/>
        </w:trPr>
        <w:tc>
          <w:tcPr>
            <w:tcW w:w="7100" w:type="dxa"/>
            <w:tcBorders>
              <w:top w:val="nil"/>
              <w:left w:val="single" w:sz="8" w:space="0" w:color="auto"/>
              <w:bottom w:val="single" w:sz="8" w:space="0" w:color="auto"/>
              <w:right w:val="single" w:sz="8" w:space="0" w:color="auto"/>
            </w:tcBorders>
            <w:shd w:val="clear" w:color="auto" w:fill="auto"/>
            <w:noWrap/>
            <w:vAlign w:val="center"/>
            <w:hideMark/>
          </w:tcPr>
          <w:p w:rsidR="00703768" w:rsidRPr="00703768" w:rsidP="00703768" w14:paraId="20C1E070" w14:textId="77777777">
            <w:pPr>
              <w:spacing w:after="0" w:line="240" w:lineRule="auto"/>
              <w:rPr>
                <w:rFonts w:ascii="Calibri" w:eastAsia="Times New Roman" w:hAnsi="Calibri" w:cs="Calibri"/>
                <w:color w:val="000000"/>
              </w:rPr>
            </w:pPr>
            <w:r w:rsidRPr="00703768">
              <w:rPr>
                <w:rFonts w:ascii="Calibri" w:eastAsia="Times New Roman" w:hAnsi="Calibri" w:cs="Calibri"/>
                <w:color w:val="000000"/>
              </w:rPr>
              <w:t>Analyze qualitative data</w:t>
            </w:r>
          </w:p>
        </w:tc>
        <w:tc>
          <w:tcPr>
            <w:tcW w:w="1460" w:type="dxa"/>
            <w:tcBorders>
              <w:top w:val="nil"/>
              <w:left w:val="nil"/>
              <w:bottom w:val="single" w:sz="8" w:space="0" w:color="auto"/>
              <w:right w:val="single" w:sz="8" w:space="0" w:color="auto"/>
            </w:tcBorders>
            <w:shd w:val="clear" w:color="auto" w:fill="E2A5AC"/>
            <w:noWrap/>
            <w:vAlign w:val="center"/>
            <w:hideMark/>
          </w:tcPr>
          <w:p w:rsidR="00703768" w:rsidRPr="00703768" w:rsidP="00703768" w14:paraId="48CBF3FD" w14:textId="77777777">
            <w:pPr>
              <w:spacing w:after="0" w:line="240" w:lineRule="auto"/>
              <w:jc w:val="center"/>
              <w:rPr>
                <w:rFonts w:ascii="Calibri" w:eastAsia="Times New Roman" w:hAnsi="Calibri" w:cs="Calibri"/>
                <w:color w:val="000000"/>
              </w:rPr>
            </w:pPr>
            <w:r w:rsidRPr="00703768">
              <w:rPr>
                <w:rFonts w:ascii="Calibri" w:eastAsia="Times New Roman" w:hAnsi="Calibri" w:cs="Calibri"/>
                <w:color w:val="000000"/>
              </w:rPr>
              <w:t>4 weeks</w:t>
            </w:r>
          </w:p>
        </w:tc>
      </w:tr>
      <w:tr w14:paraId="5A637A54" w14:textId="77777777" w:rsidTr="0004448C">
        <w:tblPrEx>
          <w:tblW w:w="8560" w:type="dxa"/>
          <w:tblLook w:val="04A0"/>
        </w:tblPrEx>
        <w:trPr>
          <w:trHeight w:val="300"/>
        </w:trPr>
        <w:tc>
          <w:tcPr>
            <w:tcW w:w="7100" w:type="dxa"/>
            <w:tcBorders>
              <w:top w:val="nil"/>
              <w:left w:val="single" w:sz="8" w:space="0" w:color="auto"/>
              <w:bottom w:val="single" w:sz="8" w:space="0" w:color="auto"/>
              <w:right w:val="single" w:sz="8" w:space="0" w:color="auto"/>
            </w:tcBorders>
            <w:shd w:val="clear" w:color="auto" w:fill="auto"/>
            <w:noWrap/>
            <w:vAlign w:val="center"/>
            <w:hideMark/>
          </w:tcPr>
          <w:p w:rsidR="00703768" w:rsidRPr="00703768" w:rsidP="00703768" w14:paraId="103CF516" w14:textId="77777777">
            <w:pPr>
              <w:spacing w:after="0" w:line="240" w:lineRule="auto"/>
              <w:rPr>
                <w:rFonts w:ascii="Calibri" w:eastAsia="Times New Roman" w:hAnsi="Calibri" w:cs="Calibri"/>
                <w:color w:val="000000"/>
              </w:rPr>
            </w:pPr>
            <w:r w:rsidRPr="00703768">
              <w:rPr>
                <w:rFonts w:ascii="Calibri" w:eastAsia="Times New Roman" w:hAnsi="Calibri" w:cs="Calibri"/>
                <w:color w:val="000000"/>
              </w:rPr>
              <w:t>Pull needed data and cross-tabs</w:t>
            </w:r>
            <w:r w:rsidR="0004448C">
              <w:rPr>
                <w:rFonts w:ascii="Calibri" w:eastAsia="Times New Roman" w:hAnsi="Calibri" w:cs="Calibri"/>
                <w:color w:val="000000"/>
              </w:rPr>
              <w:t xml:space="preserve"> from NSCG</w:t>
            </w:r>
          </w:p>
        </w:tc>
        <w:tc>
          <w:tcPr>
            <w:tcW w:w="1460" w:type="dxa"/>
            <w:tcBorders>
              <w:top w:val="nil"/>
              <w:left w:val="nil"/>
              <w:bottom w:val="single" w:sz="8" w:space="0" w:color="auto"/>
              <w:right w:val="single" w:sz="8" w:space="0" w:color="auto"/>
            </w:tcBorders>
            <w:shd w:val="clear" w:color="auto" w:fill="E2A5AC"/>
            <w:noWrap/>
            <w:vAlign w:val="center"/>
            <w:hideMark/>
          </w:tcPr>
          <w:p w:rsidR="00703768" w:rsidRPr="00703768" w:rsidP="00703768" w14:paraId="0D92F8E7" w14:textId="77777777">
            <w:pPr>
              <w:spacing w:after="0" w:line="240" w:lineRule="auto"/>
              <w:jc w:val="center"/>
              <w:rPr>
                <w:rFonts w:ascii="Calibri" w:eastAsia="Times New Roman" w:hAnsi="Calibri" w:cs="Calibri"/>
                <w:color w:val="000000"/>
              </w:rPr>
            </w:pPr>
            <w:r w:rsidRPr="00703768">
              <w:rPr>
                <w:rFonts w:ascii="Calibri" w:eastAsia="Times New Roman" w:hAnsi="Calibri" w:cs="Calibri"/>
                <w:color w:val="000000"/>
              </w:rPr>
              <w:t>2 weeks</w:t>
            </w:r>
          </w:p>
        </w:tc>
      </w:tr>
      <w:tr w14:paraId="48130066" w14:textId="77777777" w:rsidTr="0004448C">
        <w:tblPrEx>
          <w:tblW w:w="8560" w:type="dxa"/>
          <w:tblLook w:val="04A0"/>
        </w:tblPrEx>
        <w:trPr>
          <w:trHeight w:val="300"/>
        </w:trPr>
        <w:tc>
          <w:tcPr>
            <w:tcW w:w="7100" w:type="dxa"/>
            <w:tcBorders>
              <w:top w:val="nil"/>
              <w:left w:val="single" w:sz="8" w:space="0" w:color="auto"/>
              <w:bottom w:val="single" w:sz="8" w:space="0" w:color="auto"/>
              <w:right w:val="single" w:sz="8" w:space="0" w:color="auto"/>
            </w:tcBorders>
            <w:shd w:val="clear" w:color="auto" w:fill="auto"/>
            <w:noWrap/>
            <w:vAlign w:val="center"/>
            <w:hideMark/>
          </w:tcPr>
          <w:p w:rsidR="00703768" w:rsidRPr="00703768" w:rsidP="00703768" w14:paraId="3558BC23" w14:textId="77777777">
            <w:pPr>
              <w:spacing w:after="0" w:line="240" w:lineRule="auto"/>
              <w:rPr>
                <w:rFonts w:ascii="Calibri" w:eastAsia="Times New Roman" w:hAnsi="Calibri" w:cs="Calibri"/>
                <w:color w:val="000000"/>
              </w:rPr>
            </w:pPr>
            <w:r w:rsidRPr="00703768">
              <w:rPr>
                <w:rFonts w:ascii="Calibri" w:eastAsia="Times New Roman" w:hAnsi="Calibri" w:cs="Calibri"/>
                <w:color w:val="000000"/>
              </w:rPr>
              <w:t>Conduct all analysis, Evaluation Questions 1 - 3</w:t>
            </w:r>
          </w:p>
        </w:tc>
        <w:tc>
          <w:tcPr>
            <w:tcW w:w="1460" w:type="dxa"/>
            <w:tcBorders>
              <w:top w:val="nil"/>
              <w:left w:val="nil"/>
              <w:bottom w:val="single" w:sz="8" w:space="0" w:color="auto"/>
              <w:right w:val="single" w:sz="8" w:space="0" w:color="auto"/>
            </w:tcBorders>
            <w:shd w:val="clear" w:color="auto" w:fill="E2A5AC"/>
            <w:noWrap/>
            <w:vAlign w:val="center"/>
            <w:hideMark/>
          </w:tcPr>
          <w:p w:rsidR="00703768" w:rsidRPr="00703768" w:rsidP="00703768" w14:paraId="28365977" w14:textId="77777777">
            <w:pPr>
              <w:spacing w:after="0" w:line="240" w:lineRule="auto"/>
              <w:jc w:val="center"/>
              <w:rPr>
                <w:rFonts w:ascii="Calibri" w:eastAsia="Times New Roman" w:hAnsi="Calibri" w:cs="Calibri"/>
                <w:color w:val="000000"/>
              </w:rPr>
            </w:pPr>
            <w:r w:rsidRPr="00703768">
              <w:rPr>
                <w:rFonts w:ascii="Calibri" w:eastAsia="Times New Roman" w:hAnsi="Calibri" w:cs="Calibri"/>
                <w:color w:val="000000"/>
              </w:rPr>
              <w:t>5 weeks</w:t>
            </w:r>
          </w:p>
        </w:tc>
      </w:tr>
      <w:tr w14:paraId="2AF50605" w14:textId="77777777" w:rsidTr="0004448C">
        <w:tblPrEx>
          <w:tblW w:w="8560" w:type="dxa"/>
          <w:tblLook w:val="04A0"/>
        </w:tblPrEx>
        <w:trPr>
          <w:trHeight w:val="300"/>
        </w:trPr>
        <w:tc>
          <w:tcPr>
            <w:tcW w:w="7100" w:type="dxa"/>
            <w:tcBorders>
              <w:top w:val="nil"/>
              <w:left w:val="single" w:sz="8" w:space="0" w:color="auto"/>
              <w:bottom w:val="single" w:sz="8" w:space="0" w:color="auto"/>
              <w:right w:val="single" w:sz="8" w:space="0" w:color="auto"/>
            </w:tcBorders>
            <w:shd w:val="clear" w:color="auto" w:fill="auto"/>
            <w:noWrap/>
            <w:vAlign w:val="center"/>
            <w:hideMark/>
          </w:tcPr>
          <w:p w:rsidR="00703768" w:rsidRPr="00703768" w:rsidP="00703768" w14:paraId="1C031E8D" w14:textId="77777777">
            <w:pPr>
              <w:spacing w:after="0" w:line="240" w:lineRule="auto"/>
              <w:rPr>
                <w:rFonts w:ascii="Calibri" w:eastAsia="Times New Roman" w:hAnsi="Calibri" w:cs="Calibri"/>
                <w:color w:val="000000"/>
              </w:rPr>
            </w:pPr>
            <w:r w:rsidRPr="00703768">
              <w:rPr>
                <w:rFonts w:ascii="Calibri" w:eastAsia="Times New Roman" w:hAnsi="Calibri" w:cs="Calibri"/>
                <w:color w:val="000000"/>
              </w:rPr>
              <w:t>Populate report shell</w:t>
            </w:r>
          </w:p>
        </w:tc>
        <w:tc>
          <w:tcPr>
            <w:tcW w:w="1460" w:type="dxa"/>
            <w:tcBorders>
              <w:top w:val="nil"/>
              <w:left w:val="nil"/>
              <w:bottom w:val="single" w:sz="8" w:space="0" w:color="auto"/>
              <w:right w:val="single" w:sz="8" w:space="0" w:color="auto"/>
            </w:tcBorders>
            <w:shd w:val="clear" w:color="auto" w:fill="E2A5AC"/>
            <w:noWrap/>
            <w:vAlign w:val="center"/>
            <w:hideMark/>
          </w:tcPr>
          <w:p w:rsidR="00703768" w:rsidRPr="00703768" w:rsidP="00703768" w14:paraId="3EB7C45D" w14:textId="77777777">
            <w:pPr>
              <w:spacing w:after="0" w:line="240" w:lineRule="auto"/>
              <w:jc w:val="center"/>
              <w:rPr>
                <w:rFonts w:ascii="Calibri" w:eastAsia="Times New Roman" w:hAnsi="Calibri" w:cs="Calibri"/>
                <w:color w:val="000000"/>
              </w:rPr>
            </w:pPr>
            <w:r w:rsidRPr="00703768">
              <w:rPr>
                <w:rFonts w:ascii="Calibri" w:eastAsia="Times New Roman" w:hAnsi="Calibri" w:cs="Calibri"/>
                <w:color w:val="000000"/>
              </w:rPr>
              <w:t>2 weeks</w:t>
            </w:r>
          </w:p>
        </w:tc>
      </w:tr>
      <w:tr w14:paraId="0F5E4670" w14:textId="77777777" w:rsidTr="0004448C">
        <w:tblPrEx>
          <w:tblW w:w="8560" w:type="dxa"/>
          <w:tblLook w:val="04A0"/>
        </w:tblPrEx>
        <w:trPr>
          <w:trHeight w:val="300"/>
        </w:trPr>
        <w:tc>
          <w:tcPr>
            <w:tcW w:w="7100" w:type="dxa"/>
            <w:tcBorders>
              <w:top w:val="nil"/>
              <w:left w:val="single" w:sz="8" w:space="0" w:color="auto"/>
              <w:bottom w:val="single" w:sz="8" w:space="0" w:color="auto"/>
              <w:right w:val="single" w:sz="8" w:space="0" w:color="auto"/>
            </w:tcBorders>
            <w:shd w:val="clear" w:color="auto" w:fill="auto"/>
            <w:noWrap/>
            <w:vAlign w:val="center"/>
            <w:hideMark/>
          </w:tcPr>
          <w:p w:rsidR="00703768" w:rsidRPr="00703768" w:rsidP="00703768" w14:paraId="14F4A651" w14:textId="77777777">
            <w:pPr>
              <w:spacing w:after="0" w:line="240" w:lineRule="auto"/>
              <w:rPr>
                <w:rFonts w:ascii="Calibri" w:eastAsia="Times New Roman" w:hAnsi="Calibri" w:cs="Calibri"/>
                <w:color w:val="000000"/>
              </w:rPr>
            </w:pPr>
            <w:r w:rsidRPr="00703768">
              <w:rPr>
                <w:rFonts w:ascii="Calibri" w:eastAsia="Times New Roman" w:hAnsi="Calibri" w:cs="Calibri"/>
                <w:color w:val="000000"/>
              </w:rPr>
              <w:t>Finalize report draft</w:t>
            </w:r>
          </w:p>
        </w:tc>
        <w:tc>
          <w:tcPr>
            <w:tcW w:w="1460" w:type="dxa"/>
            <w:tcBorders>
              <w:top w:val="nil"/>
              <w:left w:val="nil"/>
              <w:bottom w:val="single" w:sz="8" w:space="0" w:color="auto"/>
              <w:right w:val="single" w:sz="8" w:space="0" w:color="auto"/>
            </w:tcBorders>
            <w:shd w:val="clear" w:color="auto" w:fill="E2A5AC"/>
            <w:noWrap/>
            <w:vAlign w:val="center"/>
            <w:hideMark/>
          </w:tcPr>
          <w:p w:rsidR="00703768" w:rsidRPr="00703768" w:rsidP="00703768" w14:paraId="089D2342" w14:textId="77777777">
            <w:pPr>
              <w:spacing w:after="0" w:line="240" w:lineRule="auto"/>
              <w:jc w:val="center"/>
              <w:rPr>
                <w:rFonts w:ascii="Calibri" w:eastAsia="Times New Roman" w:hAnsi="Calibri" w:cs="Calibri"/>
                <w:color w:val="000000"/>
              </w:rPr>
            </w:pPr>
            <w:r w:rsidRPr="00703768">
              <w:rPr>
                <w:rFonts w:ascii="Calibri" w:eastAsia="Times New Roman" w:hAnsi="Calibri" w:cs="Calibri"/>
                <w:color w:val="000000"/>
              </w:rPr>
              <w:t>2 weeks</w:t>
            </w:r>
          </w:p>
        </w:tc>
      </w:tr>
      <w:tr w14:paraId="0905DE2C" w14:textId="77777777" w:rsidTr="0004448C">
        <w:tblPrEx>
          <w:tblW w:w="8560" w:type="dxa"/>
          <w:tblLook w:val="04A0"/>
        </w:tblPrEx>
        <w:trPr>
          <w:trHeight w:val="300"/>
        </w:trPr>
        <w:tc>
          <w:tcPr>
            <w:tcW w:w="7100" w:type="dxa"/>
            <w:tcBorders>
              <w:top w:val="nil"/>
              <w:left w:val="single" w:sz="8" w:space="0" w:color="auto"/>
              <w:bottom w:val="single" w:sz="8" w:space="0" w:color="auto"/>
              <w:right w:val="single" w:sz="8" w:space="0" w:color="auto"/>
            </w:tcBorders>
            <w:shd w:val="clear" w:color="auto" w:fill="E2A5AC"/>
            <w:noWrap/>
            <w:vAlign w:val="center"/>
            <w:hideMark/>
          </w:tcPr>
          <w:p w:rsidR="00703768" w:rsidRPr="00703768" w:rsidP="00703768" w14:paraId="2EC0F7A7" w14:textId="77777777">
            <w:pPr>
              <w:spacing w:after="0" w:line="240" w:lineRule="auto"/>
              <w:jc w:val="right"/>
              <w:rPr>
                <w:rFonts w:ascii="Calibri" w:eastAsia="Times New Roman" w:hAnsi="Calibri" w:cs="Calibri"/>
                <w:b/>
                <w:bCs/>
                <w:color w:val="000000"/>
              </w:rPr>
            </w:pPr>
            <w:r w:rsidRPr="00703768">
              <w:rPr>
                <w:rFonts w:ascii="Calibri" w:eastAsia="Times New Roman" w:hAnsi="Calibri" w:cs="Calibri"/>
                <w:b/>
                <w:bCs/>
                <w:color w:val="000000"/>
              </w:rPr>
              <w:t>T</w:t>
            </w:r>
            <w:r>
              <w:rPr>
                <w:rFonts w:ascii="Calibri" w:eastAsia="Times New Roman" w:hAnsi="Calibri" w:cs="Calibri"/>
                <w:b/>
                <w:bCs/>
                <w:color w:val="000000"/>
              </w:rPr>
              <w:t>OTAL</w:t>
            </w:r>
          </w:p>
        </w:tc>
        <w:tc>
          <w:tcPr>
            <w:tcW w:w="1460" w:type="dxa"/>
            <w:tcBorders>
              <w:top w:val="nil"/>
              <w:left w:val="nil"/>
              <w:bottom w:val="single" w:sz="8" w:space="0" w:color="auto"/>
              <w:right w:val="single" w:sz="8" w:space="0" w:color="auto"/>
            </w:tcBorders>
            <w:shd w:val="clear" w:color="auto" w:fill="E2A5AC"/>
            <w:noWrap/>
            <w:vAlign w:val="center"/>
            <w:hideMark/>
          </w:tcPr>
          <w:p w:rsidR="00703768" w:rsidRPr="00703768" w:rsidP="00703768" w14:paraId="3BE987A7" w14:textId="77777777">
            <w:pPr>
              <w:spacing w:after="0" w:line="240" w:lineRule="auto"/>
              <w:jc w:val="center"/>
              <w:rPr>
                <w:rFonts w:ascii="Calibri" w:eastAsia="Times New Roman" w:hAnsi="Calibri" w:cs="Calibri"/>
                <w:b/>
                <w:bCs/>
                <w:color w:val="000000"/>
              </w:rPr>
            </w:pPr>
            <w:r w:rsidRPr="00703768">
              <w:rPr>
                <w:rFonts w:ascii="Calibri" w:eastAsia="Times New Roman" w:hAnsi="Calibri" w:cs="Calibri"/>
                <w:b/>
                <w:bCs/>
                <w:color w:val="000000"/>
              </w:rPr>
              <w:t>27 weeks</w:t>
            </w:r>
          </w:p>
        </w:tc>
      </w:tr>
      <w:bookmarkEnd w:id="26"/>
    </w:tbl>
    <w:p w:rsidR="00F056C3" w:rsidRPr="00A41763" w:rsidP="00A41763" w14:paraId="412902EB" w14:textId="77777777"/>
    <w:p w:rsidR="00F056C3" w:rsidP="003C74CA" w14:paraId="5D61CF68" w14:textId="77777777">
      <w:pPr>
        <w:pStyle w:val="Heading2"/>
      </w:pPr>
      <w:bookmarkStart w:id="27" w:name="_Toc16271336"/>
      <w:r>
        <w:t>A.</w:t>
      </w:r>
      <w:r w:rsidRPr="00A41763" w:rsidR="00A41763">
        <w:t xml:space="preserve">17. </w:t>
      </w:r>
      <w:r w:rsidRPr="00F056C3">
        <w:t>OMB Number and Expiration Date</w:t>
      </w:r>
      <w:bookmarkEnd w:id="27"/>
      <w:r w:rsidRPr="00F056C3">
        <w:t xml:space="preserve"> </w:t>
      </w:r>
    </w:p>
    <w:p w:rsidR="00A41763" w:rsidRPr="00A41763" w:rsidP="00A41763" w14:paraId="0C5EA10D" w14:textId="77777777">
      <w:bookmarkStart w:id="28" w:name="_Hlk57385506"/>
      <w:r w:rsidRPr="00A41763">
        <w:rPr>
          <w:b/>
          <w:bCs/>
        </w:rPr>
        <w:t xml:space="preserve">If seeking approval to not display the expiration date for OMB approval of the information collection, explain the reasons why display would be inappropriate. </w:t>
      </w:r>
    </w:p>
    <w:bookmarkEnd w:id="28"/>
    <w:p w:rsidR="00F056C3" w:rsidRPr="00594CA3" w:rsidP="00594CA3" w14:paraId="25552227" w14:textId="77777777">
      <w:pPr>
        <w:pStyle w:val="BodyText"/>
      </w:pPr>
      <w:r>
        <w:rPr>
          <w:rFonts w:cstheme="minorHAnsi"/>
          <w:color w:val="000000"/>
        </w:rPr>
        <w:t>WDTS</w:t>
      </w:r>
      <w:r w:rsidRPr="00FB5F63">
        <w:rPr>
          <w:rFonts w:cstheme="minorHAnsi"/>
          <w:color w:val="000000"/>
        </w:rPr>
        <w:t xml:space="preserve"> does not request exemption from display of the OMB expiration date. </w:t>
      </w:r>
      <w:r w:rsidRPr="005D0488" w:rsidR="00627851">
        <w:t xml:space="preserve">All data collection instruments will </w:t>
      </w:r>
      <w:r w:rsidR="00627851">
        <w:t>display</w:t>
      </w:r>
      <w:r w:rsidRPr="005D0488" w:rsidR="00627851">
        <w:t xml:space="preserve"> the OMB expiration date. </w:t>
      </w:r>
    </w:p>
    <w:p w:rsidR="00F056C3" w:rsidP="003C74CA" w14:paraId="4E0BEF02" w14:textId="77777777">
      <w:pPr>
        <w:pStyle w:val="Heading2"/>
      </w:pPr>
      <w:bookmarkStart w:id="29" w:name="_Toc16271337"/>
      <w:r>
        <w:t>A.</w:t>
      </w:r>
      <w:r w:rsidRPr="00A41763" w:rsidR="00A41763">
        <w:t xml:space="preserve">18. </w:t>
      </w:r>
      <w:r w:rsidRPr="00F056C3">
        <w:t>Certification Statement</w:t>
      </w:r>
      <w:bookmarkEnd w:id="29"/>
      <w:r w:rsidRPr="00F056C3">
        <w:t xml:space="preserve"> </w:t>
      </w:r>
    </w:p>
    <w:p w:rsidR="00A41763" w:rsidRPr="00A41763" w:rsidP="00A41763" w14:paraId="3ADD0C73" w14:textId="77777777">
      <w:bookmarkStart w:id="30" w:name="_Hlk57385515"/>
      <w:r w:rsidRPr="00A41763">
        <w:rPr>
          <w:b/>
          <w:bCs/>
        </w:rPr>
        <w:t xml:space="preserve">Explain each exception to the certification statement identified in Item 19 of OMB Form 83-I. </w:t>
      </w:r>
    </w:p>
    <w:bookmarkEnd w:id="30"/>
    <w:p w:rsidR="00A41763" w:rsidRPr="00A41763" w:rsidP="00A41763" w14:paraId="4D3360C2" w14:textId="77777777">
      <w:r>
        <w:t>Not applicable.</w:t>
      </w:r>
      <w:r w:rsidRPr="00656EEC" w:rsidR="00656EEC">
        <w:t xml:space="preserve"> No exceptions to the certification statement are requested or required.</w:t>
      </w:r>
      <w:r w:rsidRPr="00A41763">
        <w:rPr>
          <w:i/>
          <w:iCs/>
        </w:rPr>
        <w:t xml:space="preserve"> </w:t>
      </w:r>
    </w:p>
    <w:sectPr w:rsidSect="00933D5D">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56EEC" w14:paraId="7EA123E4" w14:textId="77777777">
    <w:pPr>
      <w:pStyle w:val="Footer"/>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656EEC">
          <w:t>Supporting Statement for Science Undergraduate Laboratory Internship (SULI) Long-term Follow-up Study</w:t>
        </w:r>
      </w:sdtContent>
    </w:sdt>
    <w:r w:rsidR="00E45FC8">
      <w:t xml:space="preserve">                    </w:t>
    </w:r>
    <w:r>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656EEC" w14:paraId="7D470F21" w14:textId="77777777">
    <w:pPr>
      <w:pStyle w:val="Footer"/>
    </w:pPr>
    <w:sdt>
      <w:sdtPr>
        <w:id w:val="272451101"/>
        <w:docPartObj>
          <w:docPartGallery w:val="Page Numbers (Bottom of Page)"/>
          <w:docPartUnique/>
        </w:docPartObj>
      </w:sdtPr>
      <w:sdtContent>
        <w:r w:rsidRPr="00CB180D" w:rsidR="002F1F62">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rsidR="002F1F62">
              <w:t>Improving the Quality and Scope of EIA Data</w:t>
            </w:r>
          </w:sdtContent>
        </w:sdt>
        <w:r w:rsidRPr="00CB180D" w:rsidR="002F1F62">
          <w:tab/>
        </w:r>
      </w:sdtContent>
    </w:sdt>
    <w:r w:rsidRPr="00760677" w:rsidR="002F1F62">
      <w:t xml:space="preserve"> </w:t>
    </w:r>
    <w:r w:rsidR="002F1F62">
      <w:fldChar w:fldCharType="begin"/>
    </w:r>
    <w:r w:rsidR="002F1F62">
      <w:instrText xml:space="preserve"> PAGE   \* MERGEFORMAT </w:instrText>
    </w:r>
    <w:r w:rsidR="002F1F62">
      <w:fldChar w:fldCharType="separate"/>
    </w:r>
    <w:r w:rsidR="002F1F62">
      <w:rPr>
        <w:noProof/>
      </w:rPr>
      <w:t>i</w:t>
    </w:r>
    <w:r w:rsidR="002F1F62">
      <w:rPr>
        <w:noProof/>
      </w:rPr>
      <w:fldChar w:fldCharType="end"/>
    </w:r>
  </w:p>
  <w:p w:rsidR="008F16EC" w:rsidP="00656EEC" w14:paraId="2A1C6FE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656EEC" w14:paraId="6ABF1373" w14:textId="77777777">
    <w:pPr>
      <w:pStyle w:val="Footer"/>
    </w:pPr>
    <w:sdt>
      <w:sdtPr>
        <w:id w:val="-22715443"/>
        <w:docPartObj>
          <w:docPartGallery w:val="Page Numbers (Bottom of Page)"/>
          <w:docPartUnique/>
        </w:docPartObj>
      </w:sdtPr>
      <w:sdtContent>
        <w:r w:rsidRPr="00CB180D" w:rsidR="002F1F62">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rsidR="002F1F62">
              <w:t>Improving the Quality and Scope of EIA Data</w:t>
            </w:r>
          </w:sdtContent>
        </w:sdt>
        <w:r w:rsidRPr="00CB180D" w:rsidR="002F1F62">
          <w:tab/>
        </w:r>
      </w:sdtContent>
    </w:sdt>
    <w:r w:rsidRPr="00760677" w:rsidR="002F1F62">
      <w:t xml:space="preserve"> </w:t>
    </w:r>
    <w:r w:rsidR="002F1F62">
      <w:fldChar w:fldCharType="begin"/>
    </w:r>
    <w:r w:rsidR="002F1F62">
      <w:instrText xml:space="preserve"> PAGE   \* MERGEFORMAT </w:instrText>
    </w:r>
    <w:r w:rsidR="002F1F62">
      <w:fldChar w:fldCharType="separate"/>
    </w:r>
    <w:r w:rsidR="002F1F62">
      <w:rPr>
        <w:noProof/>
      </w:rPr>
      <w:t>ii</w:t>
    </w:r>
    <w:r w:rsidR="002F1F62">
      <w:rPr>
        <w:noProof/>
      </w:rPr>
      <w:fldChar w:fldCharType="end"/>
    </w:r>
  </w:p>
  <w:p w:rsidR="008F16EC" w:rsidP="00656EEC" w14:paraId="3F5A1E5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56EEC" w14:paraId="6AA4ADBA" w14:textId="77777777">
    <w:pPr>
      <w:pStyle w:val="Footer"/>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656EEC">
          <w:t>Supporting Statement for Science Undergraduate Laboratory Internship (SULI) Long-term Follow-up Study</w:t>
        </w:r>
      </w:sdtContent>
    </w:sdt>
    <w:r>
      <w:t xml:space="preserve"> </w:t>
    </w:r>
    <w:r w:rsidR="00656EEC">
      <w:t xml:space="preserve">                </w:t>
    </w:r>
    <w:r>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4C4DF48C"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43404327"/>
    <w:multiLevelType w:val="hybridMultilevel"/>
    <w:tmpl w:val="51A0C800"/>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9">
    <w:nsid w:val="70AD5C85"/>
    <w:multiLevelType w:val="hybridMultilevel"/>
    <w:tmpl w:val="E5C8C64E"/>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BD268D4"/>
    <w:multiLevelType w:val="multilevel"/>
    <w:tmpl w:val="0409001F"/>
    <w:styleLink w:val="Style1"/>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7342010">
    <w:abstractNumId w:val="3"/>
  </w:num>
  <w:num w:numId="2" w16cid:durableId="1199003533">
    <w:abstractNumId w:val="6"/>
  </w:num>
  <w:num w:numId="3" w16cid:durableId="871040176">
    <w:abstractNumId w:val="5"/>
  </w:num>
  <w:num w:numId="4" w16cid:durableId="601844236">
    <w:abstractNumId w:val="4"/>
  </w:num>
  <w:num w:numId="5" w16cid:durableId="1244796483">
    <w:abstractNumId w:val="2"/>
  </w:num>
  <w:num w:numId="6" w16cid:durableId="2130660469">
    <w:abstractNumId w:val="1"/>
  </w:num>
  <w:num w:numId="7" w16cid:durableId="1791894495">
    <w:abstractNumId w:val="0"/>
  </w:num>
  <w:num w:numId="8" w16cid:durableId="551887880">
    <w:abstractNumId w:val="8"/>
  </w:num>
  <w:num w:numId="9" w16cid:durableId="1083456212">
    <w:abstractNumId w:val="10"/>
  </w:num>
  <w:num w:numId="10" w16cid:durableId="1826512783">
    <w:abstractNumId w:val="7"/>
  </w:num>
  <w:num w:numId="11" w16cid:durableId="1390066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2BBCF"/>
    <w:rsid w:val="00034A4B"/>
    <w:rsid w:val="00041909"/>
    <w:rsid w:val="0004448C"/>
    <w:rsid w:val="000457E4"/>
    <w:rsid w:val="00046593"/>
    <w:rsid w:val="00047C08"/>
    <w:rsid w:val="0005401F"/>
    <w:rsid w:val="00055769"/>
    <w:rsid w:val="00056EC3"/>
    <w:rsid w:val="00062CFE"/>
    <w:rsid w:val="0007129A"/>
    <w:rsid w:val="000724D0"/>
    <w:rsid w:val="000831C4"/>
    <w:rsid w:val="000844CA"/>
    <w:rsid w:val="000853F9"/>
    <w:rsid w:val="000A6F86"/>
    <w:rsid w:val="000B3FBE"/>
    <w:rsid w:val="000B43BF"/>
    <w:rsid w:val="000C28E1"/>
    <w:rsid w:val="000C5311"/>
    <w:rsid w:val="000F00D6"/>
    <w:rsid w:val="000F040A"/>
    <w:rsid w:val="000F7623"/>
    <w:rsid w:val="001034E8"/>
    <w:rsid w:val="00112A69"/>
    <w:rsid w:val="0011541D"/>
    <w:rsid w:val="00130BAA"/>
    <w:rsid w:val="00132F4A"/>
    <w:rsid w:val="00140E19"/>
    <w:rsid w:val="00144760"/>
    <w:rsid w:val="00145FD6"/>
    <w:rsid w:val="00154192"/>
    <w:rsid w:val="001600A7"/>
    <w:rsid w:val="00160BC8"/>
    <w:rsid w:val="00167425"/>
    <w:rsid w:val="001807A3"/>
    <w:rsid w:val="00182853"/>
    <w:rsid w:val="001947D5"/>
    <w:rsid w:val="001A4A6C"/>
    <w:rsid w:val="001A6444"/>
    <w:rsid w:val="001A6E1E"/>
    <w:rsid w:val="001A6E9A"/>
    <w:rsid w:val="001B0E69"/>
    <w:rsid w:val="001B6585"/>
    <w:rsid w:val="001B71E6"/>
    <w:rsid w:val="001C13E1"/>
    <w:rsid w:val="001C7604"/>
    <w:rsid w:val="001D03A8"/>
    <w:rsid w:val="001E3BDD"/>
    <w:rsid w:val="001F3A8F"/>
    <w:rsid w:val="001F612E"/>
    <w:rsid w:val="00200866"/>
    <w:rsid w:val="002008B4"/>
    <w:rsid w:val="00201F24"/>
    <w:rsid w:val="002127CE"/>
    <w:rsid w:val="00215411"/>
    <w:rsid w:val="00215842"/>
    <w:rsid w:val="00215FE7"/>
    <w:rsid w:val="002207DF"/>
    <w:rsid w:val="00221AC2"/>
    <w:rsid w:val="00227E4B"/>
    <w:rsid w:val="0023015A"/>
    <w:rsid w:val="0023708A"/>
    <w:rsid w:val="00241AFC"/>
    <w:rsid w:val="002447B0"/>
    <w:rsid w:val="0025022D"/>
    <w:rsid w:val="002530BB"/>
    <w:rsid w:val="002556F3"/>
    <w:rsid w:val="00260EDF"/>
    <w:rsid w:val="00264148"/>
    <w:rsid w:val="00264E27"/>
    <w:rsid w:val="002722D9"/>
    <w:rsid w:val="00274179"/>
    <w:rsid w:val="0027581B"/>
    <w:rsid w:val="00281CAC"/>
    <w:rsid w:val="002846F4"/>
    <w:rsid w:val="002A554D"/>
    <w:rsid w:val="002A6A2A"/>
    <w:rsid w:val="002B0FD2"/>
    <w:rsid w:val="002BE3FC"/>
    <w:rsid w:val="002C378C"/>
    <w:rsid w:val="002E3FD5"/>
    <w:rsid w:val="002E4FAD"/>
    <w:rsid w:val="002E7A38"/>
    <w:rsid w:val="002F1F62"/>
    <w:rsid w:val="00306516"/>
    <w:rsid w:val="00345C87"/>
    <w:rsid w:val="003469CB"/>
    <w:rsid w:val="00350C8B"/>
    <w:rsid w:val="00351313"/>
    <w:rsid w:val="00351A73"/>
    <w:rsid w:val="00363331"/>
    <w:rsid w:val="00371E14"/>
    <w:rsid w:val="00373208"/>
    <w:rsid w:val="00383DB3"/>
    <w:rsid w:val="003854B2"/>
    <w:rsid w:val="00385AE6"/>
    <w:rsid w:val="00387C8D"/>
    <w:rsid w:val="0039130A"/>
    <w:rsid w:val="00392DD0"/>
    <w:rsid w:val="00393EA7"/>
    <w:rsid w:val="00396BCB"/>
    <w:rsid w:val="00397825"/>
    <w:rsid w:val="003A1073"/>
    <w:rsid w:val="003A10F3"/>
    <w:rsid w:val="003A3906"/>
    <w:rsid w:val="003A68BE"/>
    <w:rsid w:val="003B03A4"/>
    <w:rsid w:val="003C03EA"/>
    <w:rsid w:val="003C690C"/>
    <w:rsid w:val="003C74CA"/>
    <w:rsid w:val="003E0707"/>
    <w:rsid w:val="003E40FA"/>
    <w:rsid w:val="003E6D18"/>
    <w:rsid w:val="003F24ED"/>
    <w:rsid w:val="003F529E"/>
    <w:rsid w:val="003F594F"/>
    <w:rsid w:val="00407CCE"/>
    <w:rsid w:val="00423289"/>
    <w:rsid w:val="00426481"/>
    <w:rsid w:val="00432966"/>
    <w:rsid w:val="00435CD3"/>
    <w:rsid w:val="00435DF9"/>
    <w:rsid w:val="00442D3F"/>
    <w:rsid w:val="0045608E"/>
    <w:rsid w:val="0045662F"/>
    <w:rsid w:val="00466959"/>
    <w:rsid w:val="0047784B"/>
    <w:rsid w:val="004844EC"/>
    <w:rsid w:val="0049215B"/>
    <w:rsid w:val="00493232"/>
    <w:rsid w:val="004946F0"/>
    <w:rsid w:val="00497C2A"/>
    <w:rsid w:val="004B1075"/>
    <w:rsid w:val="004C277B"/>
    <w:rsid w:val="004D05FB"/>
    <w:rsid w:val="004D29C7"/>
    <w:rsid w:val="004D91E1"/>
    <w:rsid w:val="004E34B1"/>
    <w:rsid w:val="004E3E6B"/>
    <w:rsid w:val="004E774A"/>
    <w:rsid w:val="00504119"/>
    <w:rsid w:val="005065CF"/>
    <w:rsid w:val="00506BB4"/>
    <w:rsid w:val="0050705F"/>
    <w:rsid w:val="00511484"/>
    <w:rsid w:val="00516BB0"/>
    <w:rsid w:val="005170D3"/>
    <w:rsid w:val="00517986"/>
    <w:rsid w:val="0052493A"/>
    <w:rsid w:val="00526AA2"/>
    <w:rsid w:val="0052783E"/>
    <w:rsid w:val="00534EBC"/>
    <w:rsid w:val="00535337"/>
    <w:rsid w:val="00535CAF"/>
    <w:rsid w:val="00536054"/>
    <w:rsid w:val="0053654B"/>
    <w:rsid w:val="00536CE1"/>
    <w:rsid w:val="00537A91"/>
    <w:rsid w:val="0054180D"/>
    <w:rsid w:val="00542252"/>
    <w:rsid w:val="00545C0F"/>
    <w:rsid w:val="00547B53"/>
    <w:rsid w:val="005515C8"/>
    <w:rsid w:val="005515CD"/>
    <w:rsid w:val="00551B9F"/>
    <w:rsid w:val="00563037"/>
    <w:rsid w:val="0056631C"/>
    <w:rsid w:val="00571792"/>
    <w:rsid w:val="00571D8F"/>
    <w:rsid w:val="0057367D"/>
    <w:rsid w:val="00585BE3"/>
    <w:rsid w:val="0059212D"/>
    <w:rsid w:val="005938B9"/>
    <w:rsid w:val="00594959"/>
    <w:rsid w:val="00594CA3"/>
    <w:rsid w:val="005A512E"/>
    <w:rsid w:val="005B1947"/>
    <w:rsid w:val="005B2B58"/>
    <w:rsid w:val="005C00FA"/>
    <w:rsid w:val="005C2BF8"/>
    <w:rsid w:val="005C2D89"/>
    <w:rsid w:val="005C485B"/>
    <w:rsid w:val="005D0488"/>
    <w:rsid w:val="005D39D7"/>
    <w:rsid w:val="005D3D14"/>
    <w:rsid w:val="005D5956"/>
    <w:rsid w:val="005D6F63"/>
    <w:rsid w:val="005DD388"/>
    <w:rsid w:val="005E08F9"/>
    <w:rsid w:val="005F46B1"/>
    <w:rsid w:val="005F4848"/>
    <w:rsid w:val="005F6A59"/>
    <w:rsid w:val="00603E8A"/>
    <w:rsid w:val="00616E46"/>
    <w:rsid w:val="0062008C"/>
    <w:rsid w:val="00620797"/>
    <w:rsid w:val="00626494"/>
    <w:rsid w:val="0062663F"/>
    <w:rsid w:val="00627851"/>
    <w:rsid w:val="00637CCA"/>
    <w:rsid w:val="00641DE2"/>
    <w:rsid w:val="00643384"/>
    <w:rsid w:val="0065406F"/>
    <w:rsid w:val="0065443E"/>
    <w:rsid w:val="00656EEC"/>
    <w:rsid w:val="00657371"/>
    <w:rsid w:val="00663EC4"/>
    <w:rsid w:val="00667DDA"/>
    <w:rsid w:val="00677C5F"/>
    <w:rsid w:val="006A0BC7"/>
    <w:rsid w:val="006A2B1F"/>
    <w:rsid w:val="006B6F8F"/>
    <w:rsid w:val="006C0062"/>
    <w:rsid w:val="006C097E"/>
    <w:rsid w:val="006C20B9"/>
    <w:rsid w:val="006C2DC3"/>
    <w:rsid w:val="006C6C05"/>
    <w:rsid w:val="006D0439"/>
    <w:rsid w:val="006D42EC"/>
    <w:rsid w:val="006D6B78"/>
    <w:rsid w:val="006F3C12"/>
    <w:rsid w:val="006F5390"/>
    <w:rsid w:val="00703768"/>
    <w:rsid w:val="00704B7D"/>
    <w:rsid w:val="00711414"/>
    <w:rsid w:val="00712963"/>
    <w:rsid w:val="00714478"/>
    <w:rsid w:val="00725453"/>
    <w:rsid w:val="00730DA0"/>
    <w:rsid w:val="007336F9"/>
    <w:rsid w:val="00737591"/>
    <w:rsid w:val="00742A15"/>
    <w:rsid w:val="007438F2"/>
    <w:rsid w:val="0075093B"/>
    <w:rsid w:val="00755C3D"/>
    <w:rsid w:val="00756DF3"/>
    <w:rsid w:val="007576EF"/>
    <w:rsid w:val="00760677"/>
    <w:rsid w:val="00761C12"/>
    <w:rsid w:val="007658BA"/>
    <w:rsid w:val="00776CF4"/>
    <w:rsid w:val="00777E63"/>
    <w:rsid w:val="00784F89"/>
    <w:rsid w:val="00786336"/>
    <w:rsid w:val="007951D6"/>
    <w:rsid w:val="007A0E7F"/>
    <w:rsid w:val="007A4378"/>
    <w:rsid w:val="007A5FA2"/>
    <w:rsid w:val="007C5CE9"/>
    <w:rsid w:val="007D06C8"/>
    <w:rsid w:val="007D39CC"/>
    <w:rsid w:val="007D6AAF"/>
    <w:rsid w:val="007E29F8"/>
    <w:rsid w:val="007E5A11"/>
    <w:rsid w:val="007E73E6"/>
    <w:rsid w:val="007F1954"/>
    <w:rsid w:val="007F21D7"/>
    <w:rsid w:val="008057F8"/>
    <w:rsid w:val="00811910"/>
    <w:rsid w:val="00812C91"/>
    <w:rsid w:val="008213F9"/>
    <w:rsid w:val="00824A3D"/>
    <w:rsid w:val="008307E1"/>
    <w:rsid w:val="00835F52"/>
    <w:rsid w:val="0083696A"/>
    <w:rsid w:val="00836D62"/>
    <w:rsid w:val="00844524"/>
    <w:rsid w:val="00852DDD"/>
    <w:rsid w:val="00857D29"/>
    <w:rsid w:val="00867160"/>
    <w:rsid w:val="0087205B"/>
    <w:rsid w:val="00874FB8"/>
    <w:rsid w:val="00875233"/>
    <w:rsid w:val="00887DB2"/>
    <w:rsid w:val="00895669"/>
    <w:rsid w:val="00897946"/>
    <w:rsid w:val="008A3276"/>
    <w:rsid w:val="008A3447"/>
    <w:rsid w:val="008A421F"/>
    <w:rsid w:val="008A75F8"/>
    <w:rsid w:val="008A7E5F"/>
    <w:rsid w:val="008B529E"/>
    <w:rsid w:val="008C3818"/>
    <w:rsid w:val="008C734C"/>
    <w:rsid w:val="008E47B5"/>
    <w:rsid w:val="008E4BF2"/>
    <w:rsid w:val="008E6CE5"/>
    <w:rsid w:val="008F16EC"/>
    <w:rsid w:val="008F4CBD"/>
    <w:rsid w:val="009017AD"/>
    <w:rsid w:val="00901BED"/>
    <w:rsid w:val="00905735"/>
    <w:rsid w:val="009131B9"/>
    <w:rsid w:val="0091409C"/>
    <w:rsid w:val="00927D85"/>
    <w:rsid w:val="0092F8C0"/>
    <w:rsid w:val="00933D5D"/>
    <w:rsid w:val="00935805"/>
    <w:rsid w:val="00936695"/>
    <w:rsid w:val="009368F3"/>
    <w:rsid w:val="00947C42"/>
    <w:rsid w:val="00950489"/>
    <w:rsid w:val="0095198C"/>
    <w:rsid w:val="00954DC1"/>
    <w:rsid w:val="00954E15"/>
    <w:rsid w:val="00957DE9"/>
    <w:rsid w:val="009616F7"/>
    <w:rsid w:val="00965A44"/>
    <w:rsid w:val="00967D7C"/>
    <w:rsid w:val="00971659"/>
    <w:rsid w:val="009728F6"/>
    <w:rsid w:val="0097299A"/>
    <w:rsid w:val="0097548D"/>
    <w:rsid w:val="009757AD"/>
    <w:rsid w:val="00980B6A"/>
    <w:rsid w:val="009818F9"/>
    <w:rsid w:val="0098618F"/>
    <w:rsid w:val="00987C32"/>
    <w:rsid w:val="00991646"/>
    <w:rsid w:val="0099448B"/>
    <w:rsid w:val="00997347"/>
    <w:rsid w:val="009A2036"/>
    <w:rsid w:val="009A31C1"/>
    <w:rsid w:val="009B19CE"/>
    <w:rsid w:val="009C202F"/>
    <w:rsid w:val="009C2D61"/>
    <w:rsid w:val="009C77F7"/>
    <w:rsid w:val="009D0107"/>
    <w:rsid w:val="009E1AF8"/>
    <w:rsid w:val="009E48F1"/>
    <w:rsid w:val="009E5ABC"/>
    <w:rsid w:val="009E5B9C"/>
    <w:rsid w:val="009E6ABA"/>
    <w:rsid w:val="009E75B6"/>
    <w:rsid w:val="009F4ED1"/>
    <w:rsid w:val="00A00D71"/>
    <w:rsid w:val="00A00EDF"/>
    <w:rsid w:val="00A047DF"/>
    <w:rsid w:val="00A04C11"/>
    <w:rsid w:val="00A06003"/>
    <w:rsid w:val="00A26A17"/>
    <w:rsid w:val="00A30169"/>
    <w:rsid w:val="00A312A3"/>
    <w:rsid w:val="00A33D9F"/>
    <w:rsid w:val="00A37229"/>
    <w:rsid w:val="00A41763"/>
    <w:rsid w:val="00A418C9"/>
    <w:rsid w:val="00A7275F"/>
    <w:rsid w:val="00A72AA8"/>
    <w:rsid w:val="00A74C9B"/>
    <w:rsid w:val="00A86D5B"/>
    <w:rsid w:val="00A872EF"/>
    <w:rsid w:val="00A874E4"/>
    <w:rsid w:val="00A93478"/>
    <w:rsid w:val="00A97FE7"/>
    <w:rsid w:val="00AA3D91"/>
    <w:rsid w:val="00AA3FD0"/>
    <w:rsid w:val="00AA46CA"/>
    <w:rsid w:val="00AA5922"/>
    <w:rsid w:val="00AA7EFA"/>
    <w:rsid w:val="00AB61B3"/>
    <w:rsid w:val="00AC323A"/>
    <w:rsid w:val="00AC69E8"/>
    <w:rsid w:val="00AD1F62"/>
    <w:rsid w:val="00AD6357"/>
    <w:rsid w:val="00AD7F81"/>
    <w:rsid w:val="00AE4CA9"/>
    <w:rsid w:val="00AE6862"/>
    <w:rsid w:val="00AF0B74"/>
    <w:rsid w:val="00AF367D"/>
    <w:rsid w:val="00AF45FD"/>
    <w:rsid w:val="00AF590C"/>
    <w:rsid w:val="00B14851"/>
    <w:rsid w:val="00B21851"/>
    <w:rsid w:val="00B2386E"/>
    <w:rsid w:val="00B23FD3"/>
    <w:rsid w:val="00B311BF"/>
    <w:rsid w:val="00B31AF2"/>
    <w:rsid w:val="00B32C3A"/>
    <w:rsid w:val="00B35E2A"/>
    <w:rsid w:val="00B370B0"/>
    <w:rsid w:val="00B404C0"/>
    <w:rsid w:val="00B4263D"/>
    <w:rsid w:val="00B466C2"/>
    <w:rsid w:val="00B56F49"/>
    <w:rsid w:val="00B62982"/>
    <w:rsid w:val="00B7442A"/>
    <w:rsid w:val="00B97002"/>
    <w:rsid w:val="00B97E93"/>
    <w:rsid w:val="00BA2AE1"/>
    <w:rsid w:val="00BB07E1"/>
    <w:rsid w:val="00BB255E"/>
    <w:rsid w:val="00BB2F70"/>
    <w:rsid w:val="00BB6CF4"/>
    <w:rsid w:val="00BC14C3"/>
    <w:rsid w:val="00BC1ABE"/>
    <w:rsid w:val="00BD2F20"/>
    <w:rsid w:val="00BD4F62"/>
    <w:rsid w:val="00BD57CE"/>
    <w:rsid w:val="00BE4AFD"/>
    <w:rsid w:val="00BE57B9"/>
    <w:rsid w:val="00BF348B"/>
    <w:rsid w:val="00C00590"/>
    <w:rsid w:val="00C016C7"/>
    <w:rsid w:val="00C04647"/>
    <w:rsid w:val="00C046C6"/>
    <w:rsid w:val="00C058CF"/>
    <w:rsid w:val="00C12551"/>
    <w:rsid w:val="00C13A8E"/>
    <w:rsid w:val="00C177D7"/>
    <w:rsid w:val="00C20871"/>
    <w:rsid w:val="00C211CD"/>
    <w:rsid w:val="00C21CF1"/>
    <w:rsid w:val="00C23C0B"/>
    <w:rsid w:val="00C24415"/>
    <w:rsid w:val="00C25328"/>
    <w:rsid w:val="00C267F6"/>
    <w:rsid w:val="00C30015"/>
    <w:rsid w:val="00C3131C"/>
    <w:rsid w:val="00C34AB1"/>
    <w:rsid w:val="00C368DB"/>
    <w:rsid w:val="00C3744D"/>
    <w:rsid w:val="00C43348"/>
    <w:rsid w:val="00C43A84"/>
    <w:rsid w:val="00C44599"/>
    <w:rsid w:val="00C457D2"/>
    <w:rsid w:val="00C53239"/>
    <w:rsid w:val="00C64137"/>
    <w:rsid w:val="00C658E4"/>
    <w:rsid w:val="00C711A2"/>
    <w:rsid w:val="00C7266E"/>
    <w:rsid w:val="00C74AA7"/>
    <w:rsid w:val="00C76C66"/>
    <w:rsid w:val="00C82DF9"/>
    <w:rsid w:val="00C87190"/>
    <w:rsid w:val="00C87BBF"/>
    <w:rsid w:val="00C90955"/>
    <w:rsid w:val="00CA1564"/>
    <w:rsid w:val="00CA7C8A"/>
    <w:rsid w:val="00CB180D"/>
    <w:rsid w:val="00CB2B5B"/>
    <w:rsid w:val="00CB44E8"/>
    <w:rsid w:val="00CB7978"/>
    <w:rsid w:val="00CC08A7"/>
    <w:rsid w:val="00CC1D12"/>
    <w:rsid w:val="00CD351E"/>
    <w:rsid w:val="00CE3847"/>
    <w:rsid w:val="00CE42E9"/>
    <w:rsid w:val="00CF4520"/>
    <w:rsid w:val="00D001E4"/>
    <w:rsid w:val="00D00AA8"/>
    <w:rsid w:val="00D00B60"/>
    <w:rsid w:val="00D01BEA"/>
    <w:rsid w:val="00D02778"/>
    <w:rsid w:val="00D0F4B7"/>
    <w:rsid w:val="00D13E84"/>
    <w:rsid w:val="00D140FD"/>
    <w:rsid w:val="00D17918"/>
    <w:rsid w:val="00D223E2"/>
    <w:rsid w:val="00D300F4"/>
    <w:rsid w:val="00D3344B"/>
    <w:rsid w:val="00D40175"/>
    <w:rsid w:val="00D40658"/>
    <w:rsid w:val="00D50FB3"/>
    <w:rsid w:val="00D54190"/>
    <w:rsid w:val="00D55243"/>
    <w:rsid w:val="00D564E0"/>
    <w:rsid w:val="00D62F90"/>
    <w:rsid w:val="00D63E74"/>
    <w:rsid w:val="00D701F6"/>
    <w:rsid w:val="00D715C4"/>
    <w:rsid w:val="00D854D8"/>
    <w:rsid w:val="00D915E7"/>
    <w:rsid w:val="00D928FD"/>
    <w:rsid w:val="00DA0A50"/>
    <w:rsid w:val="00DA3AE9"/>
    <w:rsid w:val="00DA4113"/>
    <w:rsid w:val="00DA6FA0"/>
    <w:rsid w:val="00DA707B"/>
    <w:rsid w:val="00DA72C4"/>
    <w:rsid w:val="00DB20A3"/>
    <w:rsid w:val="00DB6FBD"/>
    <w:rsid w:val="00DC1358"/>
    <w:rsid w:val="00DC79E3"/>
    <w:rsid w:val="00DD10FE"/>
    <w:rsid w:val="00DD51E1"/>
    <w:rsid w:val="00DE0252"/>
    <w:rsid w:val="00DE2D54"/>
    <w:rsid w:val="00E02BB0"/>
    <w:rsid w:val="00E03CE6"/>
    <w:rsid w:val="00E13716"/>
    <w:rsid w:val="00E266FF"/>
    <w:rsid w:val="00E27661"/>
    <w:rsid w:val="00E3538E"/>
    <w:rsid w:val="00E436D7"/>
    <w:rsid w:val="00E45FC8"/>
    <w:rsid w:val="00E47DB3"/>
    <w:rsid w:val="00E509A9"/>
    <w:rsid w:val="00E51F8B"/>
    <w:rsid w:val="00E5242A"/>
    <w:rsid w:val="00E53398"/>
    <w:rsid w:val="00E66AE2"/>
    <w:rsid w:val="00E70964"/>
    <w:rsid w:val="00E74DA4"/>
    <w:rsid w:val="00E81B89"/>
    <w:rsid w:val="00E91432"/>
    <w:rsid w:val="00E91B5A"/>
    <w:rsid w:val="00EC133B"/>
    <w:rsid w:val="00ED6E45"/>
    <w:rsid w:val="00EE2CAF"/>
    <w:rsid w:val="00EE43E4"/>
    <w:rsid w:val="00EE6C05"/>
    <w:rsid w:val="00EF3E50"/>
    <w:rsid w:val="00F001EA"/>
    <w:rsid w:val="00F04B45"/>
    <w:rsid w:val="00F056C3"/>
    <w:rsid w:val="00F1109F"/>
    <w:rsid w:val="00F16B90"/>
    <w:rsid w:val="00F17A8E"/>
    <w:rsid w:val="00F34F19"/>
    <w:rsid w:val="00F35983"/>
    <w:rsid w:val="00F42614"/>
    <w:rsid w:val="00F44A21"/>
    <w:rsid w:val="00F575F0"/>
    <w:rsid w:val="00F65566"/>
    <w:rsid w:val="00F6664C"/>
    <w:rsid w:val="00F67165"/>
    <w:rsid w:val="00F750E7"/>
    <w:rsid w:val="00F80AF1"/>
    <w:rsid w:val="00F8298C"/>
    <w:rsid w:val="00F90245"/>
    <w:rsid w:val="00F904A2"/>
    <w:rsid w:val="00F920D9"/>
    <w:rsid w:val="00F94781"/>
    <w:rsid w:val="00FA5388"/>
    <w:rsid w:val="00FA54FB"/>
    <w:rsid w:val="00FA5D54"/>
    <w:rsid w:val="00FA60CB"/>
    <w:rsid w:val="00FB08E3"/>
    <w:rsid w:val="00FB5F63"/>
    <w:rsid w:val="00FB6BF3"/>
    <w:rsid w:val="00FB6CB1"/>
    <w:rsid w:val="00FC5373"/>
    <w:rsid w:val="00FD397B"/>
    <w:rsid w:val="00FD4B01"/>
    <w:rsid w:val="00FD52F2"/>
    <w:rsid w:val="00FD7CDC"/>
    <w:rsid w:val="00FE2197"/>
    <w:rsid w:val="00FE58E0"/>
    <w:rsid w:val="00FE74D0"/>
    <w:rsid w:val="00FF0E7D"/>
    <w:rsid w:val="01A52462"/>
    <w:rsid w:val="01C971FE"/>
    <w:rsid w:val="01CCFDD3"/>
    <w:rsid w:val="01DA0CD7"/>
    <w:rsid w:val="01F6A3B7"/>
    <w:rsid w:val="01FEA624"/>
    <w:rsid w:val="021DB83D"/>
    <w:rsid w:val="022DF811"/>
    <w:rsid w:val="023AC59D"/>
    <w:rsid w:val="02BE9837"/>
    <w:rsid w:val="02C53FD9"/>
    <w:rsid w:val="037830AD"/>
    <w:rsid w:val="038D3310"/>
    <w:rsid w:val="03966727"/>
    <w:rsid w:val="03BCB258"/>
    <w:rsid w:val="03F039FF"/>
    <w:rsid w:val="046E8F2D"/>
    <w:rsid w:val="0473C5BF"/>
    <w:rsid w:val="04753588"/>
    <w:rsid w:val="04E1D6FD"/>
    <w:rsid w:val="0571E240"/>
    <w:rsid w:val="05854262"/>
    <w:rsid w:val="05891BEB"/>
    <w:rsid w:val="05938398"/>
    <w:rsid w:val="05A5055D"/>
    <w:rsid w:val="05BE7F4F"/>
    <w:rsid w:val="063B7811"/>
    <w:rsid w:val="064EDF8A"/>
    <w:rsid w:val="067784BC"/>
    <w:rsid w:val="06A602D0"/>
    <w:rsid w:val="06E50A8C"/>
    <w:rsid w:val="06F58356"/>
    <w:rsid w:val="06F8F7E0"/>
    <w:rsid w:val="07055378"/>
    <w:rsid w:val="070D8E89"/>
    <w:rsid w:val="0719ED2B"/>
    <w:rsid w:val="074761D2"/>
    <w:rsid w:val="078993F7"/>
    <w:rsid w:val="07AEB85A"/>
    <w:rsid w:val="07C9B5F6"/>
    <w:rsid w:val="07FCC6B0"/>
    <w:rsid w:val="08342D61"/>
    <w:rsid w:val="085190BE"/>
    <w:rsid w:val="089FD766"/>
    <w:rsid w:val="08F312B8"/>
    <w:rsid w:val="093636A7"/>
    <w:rsid w:val="093BAFD9"/>
    <w:rsid w:val="096DB616"/>
    <w:rsid w:val="09BA45F1"/>
    <w:rsid w:val="09E051E4"/>
    <w:rsid w:val="0A1A1656"/>
    <w:rsid w:val="0A43B13A"/>
    <w:rsid w:val="0A54331D"/>
    <w:rsid w:val="0A617A6B"/>
    <w:rsid w:val="0A630805"/>
    <w:rsid w:val="0AB2DCF8"/>
    <w:rsid w:val="0AB52DB6"/>
    <w:rsid w:val="0AC413D8"/>
    <w:rsid w:val="0AE4E86D"/>
    <w:rsid w:val="0B308A59"/>
    <w:rsid w:val="0B3481FD"/>
    <w:rsid w:val="0B5A7317"/>
    <w:rsid w:val="0B7BE581"/>
    <w:rsid w:val="0B8CBFFA"/>
    <w:rsid w:val="0B942824"/>
    <w:rsid w:val="0B9FFEC8"/>
    <w:rsid w:val="0BF8814D"/>
    <w:rsid w:val="0BFE1D01"/>
    <w:rsid w:val="0C24034D"/>
    <w:rsid w:val="0C627C90"/>
    <w:rsid w:val="0CFC47CD"/>
    <w:rsid w:val="0D33E2D6"/>
    <w:rsid w:val="0D3D1226"/>
    <w:rsid w:val="0D3D3E46"/>
    <w:rsid w:val="0D45FC93"/>
    <w:rsid w:val="0DB13E5A"/>
    <w:rsid w:val="0DBE0AFE"/>
    <w:rsid w:val="0DC8A0DA"/>
    <w:rsid w:val="0E23A216"/>
    <w:rsid w:val="0E2C14FC"/>
    <w:rsid w:val="0E2C5038"/>
    <w:rsid w:val="0E46C774"/>
    <w:rsid w:val="0ECBAB23"/>
    <w:rsid w:val="0F05AB47"/>
    <w:rsid w:val="0F2C9533"/>
    <w:rsid w:val="0F6F9B8D"/>
    <w:rsid w:val="0F884D24"/>
    <w:rsid w:val="0F900E60"/>
    <w:rsid w:val="0FB12C81"/>
    <w:rsid w:val="0FC67C2F"/>
    <w:rsid w:val="1009B5E7"/>
    <w:rsid w:val="10D93F6E"/>
    <w:rsid w:val="10E4961C"/>
    <w:rsid w:val="10F29A0D"/>
    <w:rsid w:val="116A03F3"/>
    <w:rsid w:val="11D26F8E"/>
    <w:rsid w:val="1214AB84"/>
    <w:rsid w:val="1230569E"/>
    <w:rsid w:val="12985CAC"/>
    <w:rsid w:val="12BDC38B"/>
    <w:rsid w:val="12F4F677"/>
    <w:rsid w:val="132399EA"/>
    <w:rsid w:val="13682702"/>
    <w:rsid w:val="140DAB01"/>
    <w:rsid w:val="144C8748"/>
    <w:rsid w:val="14B2EE99"/>
    <w:rsid w:val="14BEBE6D"/>
    <w:rsid w:val="14C90DBA"/>
    <w:rsid w:val="14D2C12B"/>
    <w:rsid w:val="150E1764"/>
    <w:rsid w:val="1596A625"/>
    <w:rsid w:val="15A63D4B"/>
    <w:rsid w:val="15A7DBAF"/>
    <w:rsid w:val="15C0DC3D"/>
    <w:rsid w:val="15CA35AA"/>
    <w:rsid w:val="162EED0D"/>
    <w:rsid w:val="1706F412"/>
    <w:rsid w:val="177187F1"/>
    <w:rsid w:val="177948BB"/>
    <w:rsid w:val="17A1968D"/>
    <w:rsid w:val="1804FF67"/>
    <w:rsid w:val="18190C9A"/>
    <w:rsid w:val="1827659B"/>
    <w:rsid w:val="18310047"/>
    <w:rsid w:val="18605AF9"/>
    <w:rsid w:val="188DF1C2"/>
    <w:rsid w:val="18A9D6F5"/>
    <w:rsid w:val="18D7559B"/>
    <w:rsid w:val="1921F783"/>
    <w:rsid w:val="1923C894"/>
    <w:rsid w:val="192941F7"/>
    <w:rsid w:val="19302AAF"/>
    <w:rsid w:val="193F73FE"/>
    <w:rsid w:val="1949E820"/>
    <w:rsid w:val="1964A897"/>
    <w:rsid w:val="19793B9E"/>
    <w:rsid w:val="198149EC"/>
    <w:rsid w:val="19D4194F"/>
    <w:rsid w:val="19D579E3"/>
    <w:rsid w:val="1A21A3F6"/>
    <w:rsid w:val="1A5D747D"/>
    <w:rsid w:val="1A671347"/>
    <w:rsid w:val="1A834530"/>
    <w:rsid w:val="1A86B161"/>
    <w:rsid w:val="1AD2E83C"/>
    <w:rsid w:val="1AEA9EE1"/>
    <w:rsid w:val="1AF1C764"/>
    <w:rsid w:val="1B379AD0"/>
    <w:rsid w:val="1B38DFB0"/>
    <w:rsid w:val="1B45760B"/>
    <w:rsid w:val="1B512586"/>
    <w:rsid w:val="1B710493"/>
    <w:rsid w:val="1B83D862"/>
    <w:rsid w:val="1BAC988F"/>
    <w:rsid w:val="1C080AD5"/>
    <w:rsid w:val="1C18F2E8"/>
    <w:rsid w:val="1C39CFFD"/>
    <w:rsid w:val="1C996CD6"/>
    <w:rsid w:val="1C9F7A0C"/>
    <w:rsid w:val="1CC6BBBC"/>
    <w:rsid w:val="1D5226E7"/>
    <w:rsid w:val="1DB974AA"/>
    <w:rsid w:val="1DD77D2B"/>
    <w:rsid w:val="1DDE5B37"/>
    <w:rsid w:val="1DE4B9E3"/>
    <w:rsid w:val="1E5E9048"/>
    <w:rsid w:val="1E8988A9"/>
    <w:rsid w:val="1E9E2343"/>
    <w:rsid w:val="1EA00CEF"/>
    <w:rsid w:val="1EB48606"/>
    <w:rsid w:val="1ECA6A50"/>
    <w:rsid w:val="1EFFDC06"/>
    <w:rsid w:val="1FA0933F"/>
    <w:rsid w:val="1FAF2788"/>
    <w:rsid w:val="200C6BF2"/>
    <w:rsid w:val="2021EEA1"/>
    <w:rsid w:val="205A8153"/>
    <w:rsid w:val="213038A9"/>
    <w:rsid w:val="2134AACC"/>
    <w:rsid w:val="2148ED49"/>
    <w:rsid w:val="21506BA3"/>
    <w:rsid w:val="2154DC8B"/>
    <w:rsid w:val="218A413F"/>
    <w:rsid w:val="21D7A8AB"/>
    <w:rsid w:val="21FD7415"/>
    <w:rsid w:val="22446347"/>
    <w:rsid w:val="2247D17A"/>
    <w:rsid w:val="22ACC516"/>
    <w:rsid w:val="22D66C63"/>
    <w:rsid w:val="2303037D"/>
    <w:rsid w:val="23185444"/>
    <w:rsid w:val="23550D84"/>
    <w:rsid w:val="2378AE3B"/>
    <w:rsid w:val="237BDA3A"/>
    <w:rsid w:val="23CCEC76"/>
    <w:rsid w:val="240A3337"/>
    <w:rsid w:val="241F8027"/>
    <w:rsid w:val="2429C42B"/>
    <w:rsid w:val="2482A65E"/>
    <w:rsid w:val="24ACBD11"/>
    <w:rsid w:val="24E2E006"/>
    <w:rsid w:val="250A4880"/>
    <w:rsid w:val="256394F0"/>
    <w:rsid w:val="25950BC8"/>
    <w:rsid w:val="25D9930F"/>
    <w:rsid w:val="25EF4B50"/>
    <w:rsid w:val="260B27C1"/>
    <w:rsid w:val="261163A3"/>
    <w:rsid w:val="2649E8B6"/>
    <w:rsid w:val="270334D8"/>
    <w:rsid w:val="272C75B6"/>
    <w:rsid w:val="27331D42"/>
    <w:rsid w:val="27385EC0"/>
    <w:rsid w:val="276223A8"/>
    <w:rsid w:val="276E5960"/>
    <w:rsid w:val="27A10943"/>
    <w:rsid w:val="27A833B3"/>
    <w:rsid w:val="27C12DD5"/>
    <w:rsid w:val="283B639E"/>
    <w:rsid w:val="286E1DCE"/>
    <w:rsid w:val="28D36368"/>
    <w:rsid w:val="29E74E69"/>
    <w:rsid w:val="29EFC025"/>
    <w:rsid w:val="29F110E6"/>
    <w:rsid w:val="29F1A416"/>
    <w:rsid w:val="2AA41A4B"/>
    <w:rsid w:val="2AA932A3"/>
    <w:rsid w:val="2B1035F8"/>
    <w:rsid w:val="2B4FAFA7"/>
    <w:rsid w:val="2BA6A43B"/>
    <w:rsid w:val="2BCAB6E6"/>
    <w:rsid w:val="2BF39A45"/>
    <w:rsid w:val="2C51C41D"/>
    <w:rsid w:val="2C861B07"/>
    <w:rsid w:val="2CA98DA1"/>
    <w:rsid w:val="2CDDB784"/>
    <w:rsid w:val="2CDE4FE2"/>
    <w:rsid w:val="2D434293"/>
    <w:rsid w:val="2D9A8ECB"/>
    <w:rsid w:val="2D9C8C0D"/>
    <w:rsid w:val="2D9F656D"/>
    <w:rsid w:val="2E64453D"/>
    <w:rsid w:val="2E6A3055"/>
    <w:rsid w:val="2E6E1780"/>
    <w:rsid w:val="2E786517"/>
    <w:rsid w:val="2EB0EEC2"/>
    <w:rsid w:val="2ED1DA96"/>
    <w:rsid w:val="2F11FFC7"/>
    <w:rsid w:val="2F27C5E9"/>
    <w:rsid w:val="2F3494FE"/>
    <w:rsid w:val="2F798184"/>
    <w:rsid w:val="2FB92C2F"/>
    <w:rsid w:val="2FC99653"/>
    <w:rsid w:val="2FD61AB2"/>
    <w:rsid w:val="2FECA7E1"/>
    <w:rsid w:val="3013D38F"/>
    <w:rsid w:val="303B0D09"/>
    <w:rsid w:val="308EC0B4"/>
    <w:rsid w:val="30A10F0E"/>
    <w:rsid w:val="314C61EA"/>
    <w:rsid w:val="317A26A9"/>
    <w:rsid w:val="31830214"/>
    <w:rsid w:val="31832568"/>
    <w:rsid w:val="31FCD0DE"/>
    <w:rsid w:val="320E61B2"/>
    <w:rsid w:val="325695D8"/>
    <w:rsid w:val="329EE3DD"/>
    <w:rsid w:val="32E7F9D2"/>
    <w:rsid w:val="32FCF4EE"/>
    <w:rsid w:val="333E6648"/>
    <w:rsid w:val="334F747C"/>
    <w:rsid w:val="336F9A7B"/>
    <w:rsid w:val="338CE8D5"/>
    <w:rsid w:val="33B66FAA"/>
    <w:rsid w:val="33DE50BB"/>
    <w:rsid w:val="342E0F22"/>
    <w:rsid w:val="34478E02"/>
    <w:rsid w:val="346885C2"/>
    <w:rsid w:val="3493AB63"/>
    <w:rsid w:val="349EF983"/>
    <w:rsid w:val="34F3E540"/>
    <w:rsid w:val="34FF09C8"/>
    <w:rsid w:val="3522B358"/>
    <w:rsid w:val="35AE7D03"/>
    <w:rsid w:val="35DF517C"/>
    <w:rsid w:val="35EA923B"/>
    <w:rsid w:val="370A05E5"/>
    <w:rsid w:val="372124A2"/>
    <w:rsid w:val="37336155"/>
    <w:rsid w:val="375CE769"/>
    <w:rsid w:val="37829F31"/>
    <w:rsid w:val="379F737B"/>
    <w:rsid w:val="3834334D"/>
    <w:rsid w:val="384AE15F"/>
    <w:rsid w:val="38DFD409"/>
    <w:rsid w:val="391A9DCF"/>
    <w:rsid w:val="395C14AD"/>
    <w:rsid w:val="3977CD1B"/>
    <w:rsid w:val="39B03036"/>
    <w:rsid w:val="39DA031A"/>
    <w:rsid w:val="39DC021B"/>
    <w:rsid w:val="39F688AD"/>
    <w:rsid w:val="39FF5D76"/>
    <w:rsid w:val="3A08B2CB"/>
    <w:rsid w:val="3A538991"/>
    <w:rsid w:val="3A6451A2"/>
    <w:rsid w:val="3A67B6B7"/>
    <w:rsid w:val="3AE67141"/>
    <w:rsid w:val="3AF4D52C"/>
    <w:rsid w:val="3AFB46EA"/>
    <w:rsid w:val="3B04B540"/>
    <w:rsid w:val="3BBA49B0"/>
    <w:rsid w:val="3C8E8F19"/>
    <w:rsid w:val="3C9B6284"/>
    <w:rsid w:val="3CC54BD7"/>
    <w:rsid w:val="3D08B3B1"/>
    <w:rsid w:val="3D7B6625"/>
    <w:rsid w:val="3DA8C24C"/>
    <w:rsid w:val="3DBEFDC0"/>
    <w:rsid w:val="3E2D2D5C"/>
    <w:rsid w:val="3E502CE1"/>
    <w:rsid w:val="3E5517A1"/>
    <w:rsid w:val="3E796AAF"/>
    <w:rsid w:val="3E7CC652"/>
    <w:rsid w:val="3EB07D46"/>
    <w:rsid w:val="3EF2188E"/>
    <w:rsid w:val="3F05311D"/>
    <w:rsid w:val="3F0549E4"/>
    <w:rsid w:val="3F5724D7"/>
    <w:rsid w:val="3F62AE41"/>
    <w:rsid w:val="3F65D5D2"/>
    <w:rsid w:val="3F66ECAB"/>
    <w:rsid w:val="3F909A31"/>
    <w:rsid w:val="3FAB9CCF"/>
    <w:rsid w:val="3FF022E4"/>
    <w:rsid w:val="3FF0BAFA"/>
    <w:rsid w:val="40488E97"/>
    <w:rsid w:val="404E3A1C"/>
    <w:rsid w:val="404E4168"/>
    <w:rsid w:val="405BCBC2"/>
    <w:rsid w:val="407BB654"/>
    <w:rsid w:val="409A72CE"/>
    <w:rsid w:val="40CFF3F8"/>
    <w:rsid w:val="40D41521"/>
    <w:rsid w:val="411F3CD6"/>
    <w:rsid w:val="413BF9A8"/>
    <w:rsid w:val="415EEED7"/>
    <w:rsid w:val="4219FE34"/>
    <w:rsid w:val="424968B1"/>
    <w:rsid w:val="4255E4D6"/>
    <w:rsid w:val="425BD329"/>
    <w:rsid w:val="427A629C"/>
    <w:rsid w:val="4293C747"/>
    <w:rsid w:val="42A4FEF5"/>
    <w:rsid w:val="42B9F4A7"/>
    <w:rsid w:val="4330614D"/>
    <w:rsid w:val="433833E3"/>
    <w:rsid w:val="433CD02B"/>
    <w:rsid w:val="43413AF9"/>
    <w:rsid w:val="4348E769"/>
    <w:rsid w:val="43840845"/>
    <w:rsid w:val="43844997"/>
    <w:rsid w:val="439E3B51"/>
    <w:rsid w:val="43DE05E7"/>
    <w:rsid w:val="43F59595"/>
    <w:rsid w:val="43F5B55D"/>
    <w:rsid w:val="43F8945C"/>
    <w:rsid w:val="440AB47F"/>
    <w:rsid w:val="440AF474"/>
    <w:rsid w:val="4499A0DB"/>
    <w:rsid w:val="450BC7AA"/>
    <w:rsid w:val="452E407D"/>
    <w:rsid w:val="4560F71E"/>
    <w:rsid w:val="45712D00"/>
    <w:rsid w:val="457B54F0"/>
    <w:rsid w:val="458FDCEB"/>
    <w:rsid w:val="45FBE28D"/>
    <w:rsid w:val="461FE729"/>
    <w:rsid w:val="465CC213"/>
    <w:rsid w:val="466858B0"/>
    <w:rsid w:val="4677D928"/>
    <w:rsid w:val="46C8683A"/>
    <w:rsid w:val="46D3473D"/>
    <w:rsid w:val="46ED668C"/>
    <w:rsid w:val="46F32923"/>
    <w:rsid w:val="472A2BCB"/>
    <w:rsid w:val="4771FB68"/>
    <w:rsid w:val="47868FEB"/>
    <w:rsid w:val="4795D321"/>
    <w:rsid w:val="479EE3C5"/>
    <w:rsid w:val="47CA2587"/>
    <w:rsid w:val="47DE9ACC"/>
    <w:rsid w:val="482BC8CB"/>
    <w:rsid w:val="4869D228"/>
    <w:rsid w:val="48738F0C"/>
    <w:rsid w:val="488235CD"/>
    <w:rsid w:val="488677EA"/>
    <w:rsid w:val="48D87A74"/>
    <w:rsid w:val="4981FBF9"/>
    <w:rsid w:val="49A9CD38"/>
    <w:rsid w:val="49C38CF0"/>
    <w:rsid w:val="49C48297"/>
    <w:rsid w:val="49D045E1"/>
    <w:rsid w:val="49E1CB19"/>
    <w:rsid w:val="49F186E5"/>
    <w:rsid w:val="4A15CDA2"/>
    <w:rsid w:val="4A1BFC7F"/>
    <w:rsid w:val="4A71E9F3"/>
    <w:rsid w:val="4A8E275E"/>
    <w:rsid w:val="4AB721B8"/>
    <w:rsid w:val="4AD71C19"/>
    <w:rsid w:val="4AEF6455"/>
    <w:rsid w:val="4B09EB4C"/>
    <w:rsid w:val="4B0A22B5"/>
    <w:rsid w:val="4B0C8C7D"/>
    <w:rsid w:val="4B9ABC9D"/>
    <w:rsid w:val="4BADE9F1"/>
    <w:rsid w:val="4BC4DA01"/>
    <w:rsid w:val="4BD0D766"/>
    <w:rsid w:val="4BD67CB7"/>
    <w:rsid w:val="4BFF284C"/>
    <w:rsid w:val="4C18C059"/>
    <w:rsid w:val="4C55FA37"/>
    <w:rsid w:val="4C69F649"/>
    <w:rsid w:val="4C703119"/>
    <w:rsid w:val="4CC69D1E"/>
    <w:rsid w:val="4CD72C54"/>
    <w:rsid w:val="4D8B6D7B"/>
    <w:rsid w:val="4DD95A6F"/>
    <w:rsid w:val="4DE2CCCF"/>
    <w:rsid w:val="4E15C3CF"/>
    <w:rsid w:val="4E2DEBF3"/>
    <w:rsid w:val="4E3534D8"/>
    <w:rsid w:val="4E4E7549"/>
    <w:rsid w:val="4E58355E"/>
    <w:rsid w:val="4E5C5F11"/>
    <w:rsid w:val="4E6BDA87"/>
    <w:rsid w:val="4ED596F6"/>
    <w:rsid w:val="4EDFD65F"/>
    <w:rsid w:val="4F367AB9"/>
    <w:rsid w:val="4F422AC3"/>
    <w:rsid w:val="4F4E6B5F"/>
    <w:rsid w:val="4FFC7AC0"/>
    <w:rsid w:val="503D2C3C"/>
    <w:rsid w:val="50774004"/>
    <w:rsid w:val="510C0D4E"/>
    <w:rsid w:val="510C423C"/>
    <w:rsid w:val="512220B2"/>
    <w:rsid w:val="512779E4"/>
    <w:rsid w:val="5128065C"/>
    <w:rsid w:val="51967050"/>
    <w:rsid w:val="51EFE182"/>
    <w:rsid w:val="5216894D"/>
    <w:rsid w:val="5233685F"/>
    <w:rsid w:val="526BC54D"/>
    <w:rsid w:val="5291028A"/>
    <w:rsid w:val="52CE9C31"/>
    <w:rsid w:val="52D87B5B"/>
    <w:rsid w:val="5307659C"/>
    <w:rsid w:val="534184F5"/>
    <w:rsid w:val="53846448"/>
    <w:rsid w:val="54096BEE"/>
    <w:rsid w:val="5475E559"/>
    <w:rsid w:val="547EE62F"/>
    <w:rsid w:val="547F575C"/>
    <w:rsid w:val="54B6372B"/>
    <w:rsid w:val="54E8B438"/>
    <w:rsid w:val="54FF9DCE"/>
    <w:rsid w:val="550EA75B"/>
    <w:rsid w:val="552A9129"/>
    <w:rsid w:val="55481D96"/>
    <w:rsid w:val="555D0E80"/>
    <w:rsid w:val="5570C6A7"/>
    <w:rsid w:val="55CC3F11"/>
    <w:rsid w:val="55F7F10E"/>
    <w:rsid w:val="5600491A"/>
    <w:rsid w:val="56334412"/>
    <w:rsid w:val="563861F5"/>
    <w:rsid w:val="5645E366"/>
    <w:rsid w:val="56C1D51E"/>
    <w:rsid w:val="56D78D03"/>
    <w:rsid w:val="56F1FECC"/>
    <w:rsid w:val="56FAC6E9"/>
    <w:rsid w:val="570DDDCC"/>
    <w:rsid w:val="5735589F"/>
    <w:rsid w:val="57472DC0"/>
    <w:rsid w:val="574D503A"/>
    <w:rsid w:val="5797C064"/>
    <w:rsid w:val="57AB9075"/>
    <w:rsid w:val="57AD4CAD"/>
    <w:rsid w:val="57AF59C0"/>
    <w:rsid w:val="57C8E734"/>
    <w:rsid w:val="57CA83B0"/>
    <w:rsid w:val="57FB070B"/>
    <w:rsid w:val="581FD518"/>
    <w:rsid w:val="58215212"/>
    <w:rsid w:val="582F0B01"/>
    <w:rsid w:val="58342C55"/>
    <w:rsid w:val="58AB2AAE"/>
    <w:rsid w:val="58B7AACA"/>
    <w:rsid w:val="58B9B0DF"/>
    <w:rsid w:val="58BEDC95"/>
    <w:rsid w:val="58D19240"/>
    <w:rsid w:val="5930F02F"/>
    <w:rsid w:val="59835A4B"/>
    <w:rsid w:val="599907DF"/>
    <w:rsid w:val="59BFE5AB"/>
    <w:rsid w:val="59CBE17C"/>
    <w:rsid w:val="59CCA73F"/>
    <w:rsid w:val="59D398E2"/>
    <w:rsid w:val="59D3EF1D"/>
    <w:rsid w:val="5A0EBD1C"/>
    <w:rsid w:val="5A0FE5D2"/>
    <w:rsid w:val="5A401336"/>
    <w:rsid w:val="5A4D95D1"/>
    <w:rsid w:val="5A78E75A"/>
    <w:rsid w:val="5A79B5F9"/>
    <w:rsid w:val="5A7E913F"/>
    <w:rsid w:val="5A878A35"/>
    <w:rsid w:val="5A9E373B"/>
    <w:rsid w:val="5ABC298C"/>
    <w:rsid w:val="5AD06B69"/>
    <w:rsid w:val="5AFD87BB"/>
    <w:rsid w:val="5B0454C7"/>
    <w:rsid w:val="5B1D195A"/>
    <w:rsid w:val="5B3ED9AE"/>
    <w:rsid w:val="5B4A38E9"/>
    <w:rsid w:val="5BA54BF0"/>
    <w:rsid w:val="5BBBC5E3"/>
    <w:rsid w:val="5BBD53B4"/>
    <w:rsid w:val="5BCF325C"/>
    <w:rsid w:val="5BF758DC"/>
    <w:rsid w:val="5CB4DCFC"/>
    <w:rsid w:val="5CCE4C0C"/>
    <w:rsid w:val="5CFE3AED"/>
    <w:rsid w:val="5D69476F"/>
    <w:rsid w:val="5D7C6D3A"/>
    <w:rsid w:val="5E121642"/>
    <w:rsid w:val="5E797F08"/>
    <w:rsid w:val="5E8329F6"/>
    <w:rsid w:val="5E9230AC"/>
    <w:rsid w:val="5F013898"/>
    <w:rsid w:val="5F1D1A29"/>
    <w:rsid w:val="5F2921FE"/>
    <w:rsid w:val="5F32FA15"/>
    <w:rsid w:val="5F4CAC2B"/>
    <w:rsid w:val="5F68C865"/>
    <w:rsid w:val="5FA5BB4D"/>
    <w:rsid w:val="5FAC3B85"/>
    <w:rsid w:val="5FBE0D24"/>
    <w:rsid w:val="5FBF2DBE"/>
    <w:rsid w:val="6044EEF8"/>
    <w:rsid w:val="604A01E3"/>
    <w:rsid w:val="605C992E"/>
    <w:rsid w:val="6071754F"/>
    <w:rsid w:val="607DA0F3"/>
    <w:rsid w:val="608F3354"/>
    <w:rsid w:val="609D1C52"/>
    <w:rsid w:val="60AEF8AA"/>
    <w:rsid w:val="60B2DB4A"/>
    <w:rsid w:val="60DF2401"/>
    <w:rsid w:val="60E6C835"/>
    <w:rsid w:val="60F43FD3"/>
    <w:rsid w:val="60FE44DA"/>
    <w:rsid w:val="610F7D93"/>
    <w:rsid w:val="61151381"/>
    <w:rsid w:val="61222AFB"/>
    <w:rsid w:val="613B460C"/>
    <w:rsid w:val="617A417C"/>
    <w:rsid w:val="6189AA5E"/>
    <w:rsid w:val="61E500C8"/>
    <w:rsid w:val="626642E3"/>
    <w:rsid w:val="62871EF3"/>
    <w:rsid w:val="629DBE16"/>
    <w:rsid w:val="62AED9DE"/>
    <w:rsid w:val="62DB1759"/>
    <w:rsid w:val="62E525DD"/>
    <w:rsid w:val="633E8177"/>
    <w:rsid w:val="6373E805"/>
    <w:rsid w:val="6398A03D"/>
    <w:rsid w:val="639E95E0"/>
    <w:rsid w:val="63D266F9"/>
    <w:rsid w:val="64131196"/>
    <w:rsid w:val="6449A56F"/>
    <w:rsid w:val="64E6A5F6"/>
    <w:rsid w:val="64FF7F14"/>
    <w:rsid w:val="652DD997"/>
    <w:rsid w:val="658E0F60"/>
    <w:rsid w:val="65CAFE27"/>
    <w:rsid w:val="66A80159"/>
    <w:rsid w:val="66B4965C"/>
    <w:rsid w:val="66CB230F"/>
    <w:rsid w:val="6708AC5F"/>
    <w:rsid w:val="678FDACD"/>
    <w:rsid w:val="67B694D4"/>
    <w:rsid w:val="6859E5C5"/>
    <w:rsid w:val="688C4FB0"/>
    <w:rsid w:val="68DD0980"/>
    <w:rsid w:val="68E2937B"/>
    <w:rsid w:val="69A5D2A6"/>
    <w:rsid w:val="69B56064"/>
    <w:rsid w:val="69BBA3D8"/>
    <w:rsid w:val="69D21539"/>
    <w:rsid w:val="69DACB43"/>
    <w:rsid w:val="69DCE669"/>
    <w:rsid w:val="6A2F8EC0"/>
    <w:rsid w:val="6A5B99C4"/>
    <w:rsid w:val="6A71DE5E"/>
    <w:rsid w:val="6A9362EB"/>
    <w:rsid w:val="6AB72CF8"/>
    <w:rsid w:val="6B1973C3"/>
    <w:rsid w:val="6BED33D2"/>
    <w:rsid w:val="6BF7FA5F"/>
    <w:rsid w:val="6C123366"/>
    <w:rsid w:val="6C3D6436"/>
    <w:rsid w:val="6C3D73E9"/>
    <w:rsid w:val="6C7B4193"/>
    <w:rsid w:val="6C8625C8"/>
    <w:rsid w:val="6C88A756"/>
    <w:rsid w:val="6C8C0D1B"/>
    <w:rsid w:val="6C98FBDE"/>
    <w:rsid w:val="6C992B90"/>
    <w:rsid w:val="6D09B19B"/>
    <w:rsid w:val="6DBCE569"/>
    <w:rsid w:val="6DEEF3A8"/>
    <w:rsid w:val="6E25D188"/>
    <w:rsid w:val="6E387EE0"/>
    <w:rsid w:val="6E4FD60C"/>
    <w:rsid w:val="6E7861EF"/>
    <w:rsid w:val="6EB5BB96"/>
    <w:rsid w:val="6EBB8FC0"/>
    <w:rsid w:val="6F1CAD3E"/>
    <w:rsid w:val="6F4E0579"/>
    <w:rsid w:val="6F5A124C"/>
    <w:rsid w:val="6F63EB49"/>
    <w:rsid w:val="6F77375C"/>
    <w:rsid w:val="6F797D04"/>
    <w:rsid w:val="6FA07B83"/>
    <w:rsid w:val="6FD26B5C"/>
    <w:rsid w:val="6FDBD2A6"/>
    <w:rsid w:val="6FDF8C4D"/>
    <w:rsid w:val="6FE1EB91"/>
    <w:rsid w:val="70440EEE"/>
    <w:rsid w:val="7073B10B"/>
    <w:rsid w:val="707A0F7B"/>
    <w:rsid w:val="70A63417"/>
    <w:rsid w:val="70AE005B"/>
    <w:rsid w:val="70F1903D"/>
    <w:rsid w:val="70F1CC2A"/>
    <w:rsid w:val="71439D8D"/>
    <w:rsid w:val="71461A13"/>
    <w:rsid w:val="714D8F66"/>
    <w:rsid w:val="71BFD0C9"/>
    <w:rsid w:val="720CA06B"/>
    <w:rsid w:val="7296C456"/>
    <w:rsid w:val="7299C49E"/>
    <w:rsid w:val="72A517A1"/>
    <w:rsid w:val="72C7C0EB"/>
    <w:rsid w:val="7302D178"/>
    <w:rsid w:val="73419142"/>
    <w:rsid w:val="735A6602"/>
    <w:rsid w:val="73861027"/>
    <w:rsid w:val="73BE8F1F"/>
    <w:rsid w:val="73EFC7E5"/>
    <w:rsid w:val="744E0E1B"/>
    <w:rsid w:val="74E6052E"/>
    <w:rsid w:val="74F1B22F"/>
    <w:rsid w:val="75025101"/>
    <w:rsid w:val="75B97B22"/>
    <w:rsid w:val="75C362F9"/>
    <w:rsid w:val="75E9D310"/>
    <w:rsid w:val="763D89E7"/>
    <w:rsid w:val="7642B33A"/>
    <w:rsid w:val="7697BD00"/>
    <w:rsid w:val="76B37651"/>
    <w:rsid w:val="76CD71FB"/>
    <w:rsid w:val="76CEEFC1"/>
    <w:rsid w:val="7704BE32"/>
    <w:rsid w:val="7709E4E5"/>
    <w:rsid w:val="77CFC86D"/>
    <w:rsid w:val="7811472E"/>
    <w:rsid w:val="781235C7"/>
    <w:rsid w:val="788C20C4"/>
    <w:rsid w:val="78A18E2E"/>
    <w:rsid w:val="78C85DD1"/>
    <w:rsid w:val="78CA1795"/>
    <w:rsid w:val="796EA4CE"/>
    <w:rsid w:val="7970C6A9"/>
    <w:rsid w:val="79B88104"/>
    <w:rsid w:val="7A537BC6"/>
    <w:rsid w:val="7A60119D"/>
    <w:rsid w:val="7A725A4C"/>
    <w:rsid w:val="7A92AEC9"/>
    <w:rsid w:val="7AA4E2C1"/>
    <w:rsid w:val="7B7F5570"/>
    <w:rsid w:val="7B838484"/>
    <w:rsid w:val="7BDA7192"/>
    <w:rsid w:val="7BF8F65E"/>
    <w:rsid w:val="7C006BA8"/>
    <w:rsid w:val="7C488DC9"/>
    <w:rsid w:val="7CD8AAB6"/>
    <w:rsid w:val="7D236BAC"/>
    <w:rsid w:val="7D5EC064"/>
    <w:rsid w:val="7D9A73F8"/>
    <w:rsid w:val="7DAA3169"/>
    <w:rsid w:val="7DC1C2E3"/>
    <w:rsid w:val="7DEAEC79"/>
    <w:rsid w:val="7DF6BC2D"/>
    <w:rsid w:val="7E11C135"/>
    <w:rsid w:val="7E51FA6E"/>
    <w:rsid w:val="7E6CE7E1"/>
    <w:rsid w:val="7E898793"/>
    <w:rsid w:val="7EA405C8"/>
    <w:rsid w:val="7EB0220F"/>
    <w:rsid w:val="7ED7BF82"/>
    <w:rsid w:val="7EDBF09E"/>
    <w:rsid w:val="7F1E0983"/>
    <w:rsid w:val="7F512416"/>
    <w:rsid w:val="7F7C6256"/>
    <w:rsid w:val="7F88CEEC"/>
    <w:rsid w:val="7F8E0E4B"/>
    <w:rsid w:val="7F9C6DAB"/>
    <w:rsid w:val="7FE45E18"/>
    <w:rsid w:val="7FEB55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98E6CD"/>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3C74CA"/>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3C74CA"/>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1B71E6"/>
    <w:pPr>
      <w:keepNext/>
      <w:spacing w:before="140" w:after="80" w:line="240" w:lineRule="auto"/>
      <w:jc w:val="center"/>
    </w:pPr>
    <w:rPr>
      <w:rFonts w:eastAsia="Times New Roman" w:cstheme="minorHAnsi"/>
      <w:b/>
      <w:bCs/>
      <w:color w:val="0070C0"/>
      <w:sz w:val="28"/>
      <w:szCs w:val="2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656EEC"/>
    <w:pPr>
      <w:tabs>
        <w:tab w:val="center" w:pos="2160"/>
        <w:tab w:val="left" w:pos="9360"/>
      </w:tabs>
      <w:spacing w:after="0" w:line="240" w:lineRule="auto"/>
      <w:ind w:left="3600" w:hanging="3960"/>
    </w:pPr>
    <w:rPr>
      <w:sz w:val="16"/>
    </w:rPr>
  </w:style>
  <w:style w:type="character" w:customStyle="1" w:styleId="FooterChar">
    <w:name w:val="Footer Char"/>
    <w:basedOn w:val="DefaultParagraphFont"/>
    <w:link w:val="Footer"/>
    <w:uiPriority w:val="99"/>
    <w:rsid w:val="00656EEC"/>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locked/>
    <w:rsid w:val="00A04C11"/>
    <w:rPr>
      <w:sz w:val="16"/>
      <w:szCs w:val="16"/>
    </w:rPr>
  </w:style>
  <w:style w:type="paragraph" w:styleId="CommentText">
    <w:name w:val="annotation text"/>
    <w:basedOn w:val="Normal"/>
    <w:link w:val="CommentTextChar"/>
    <w:locked/>
    <w:rsid w:val="00A04C1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04C11"/>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DA4113"/>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A4113"/>
    <w:pPr>
      <w:numPr>
        <w:numId w:val="9"/>
      </w:numPr>
    </w:pPr>
  </w:style>
  <w:style w:type="paragraph" w:styleId="CommentSubject">
    <w:name w:val="annotation subject"/>
    <w:basedOn w:val="CommentText"/>
    <w:next w:val="CommentText"/>
    <w:link w:val="CommentSubjectChar"/>
    <w:uiPriority w:val="99"/>
    <w:semiHidden/>
    <w:unhideWhenUsed/>
    <w:locked/>
    <w:rsid w:val="00DA411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A4113"/>
    <w:rPr>
      <w:rFonts w:ascii="Times New Roman" w:eastAsia="Times New Roman" w:hAnsi="Times New Roman" w:cs="Times New Roman"/>
      <w:b/>
      <w:bCs/>
      <w:sz w:val="20"/>
      <w:szCs w:val="20"/>
    </w:rPr>
  </w:style>
  <w:style w:type="table" w:customStyle="1" w:styleId="TableGrid2">
    <w:name w:val="Table Grid2"/>
    <w:basedOn w:val="TableNormal"/>
    <w:next w:val="TableGrid"/>
    <w:uiPriority w:val="59"/>
    <w:rsid w:val="001C760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351E"/>
    <w:pPr>
      <w:spacing w:after="0"/>
    </w:pPr>
  </w:style>
  <w:style w:type="character" w:styleId="UnresolvedMention">
    <w:name w:val="Unresolved Mention"/>
    <w:basedOn w:val="DefaultParagraphFont"/>
    <w:uiPriority w:val="99"/>
    <w:semiHidden/>
    <w:unhideWhenUsed/>
    <w:rsid w:val="006F5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image" Target="media/image1.png" /><Relationship Id="rId14" Type="http://schemas.openxmlformats.org/officeDocument/2006/relationships/footer" Target="footer4.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239C1"/>
    <w:rsid w:val="00037B16"/>
    <w:rsid w:val="000457E4"/>
    <w:rsid w:val="000823C6"/>
    <w:rsid w:val="000E6689"/>
    <w:rsid w:val="0012169B"/>
    <w:rsid w:val="001D13A7"/>
    <w:rsid w:val="003874D6"/>
    <w:rsid w:val="00423289"/>
    <w:rsid w:val="004823D5"/>
    <w:rsid w:val="004E774A"/>
    <w:rsid w:val="00517986"/>
    <w:rsid w:val="00594959"/>
    <w:rsid w:val="005C2BF8"/>
    <w:rsid w:val="00603E8A"/>
    <w:rsid w:val="0065501B"/>
    <w:rsid w:val="0081463F"/>
    <w:rsid w:val="008707B0"/>
    <w:rsid w:val="008B45A0"/>
    <w:rsid w:val="008E47B5"/>
    <w:rsid w:val="0097548D"/>
    <w:rsid w:val="009C3C2F"/>
    <w:rsid w:val="009C7719"/>
    <w:rsid w:val="009E75B6"/>
    <w:rsid w:val="00A70DE4"/>
    <w:rsid w:val="00B73ED3"/>
    <w:rsid w:val="00B94D5D"/>
    <w:rsid w:val="00C85ACA"/>
    <w:rsid w:val="00D17918"/>
    <w:rsid w:val="00D915E7"/>
    <w:rsid w:val="00DA707B"/>
    <w:rsid w:val="00DB20A3"/>
    <w:rsid w:val="00E81FFC"/>
    <w:rsid w:val="00FA2C99"/>
    <w:rsid w:val="00FC4E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81632a5-26a1-432c-b9c8-4042a6493079" xsi:nil="true"/>
    <lcf76f155ced4ddcb4097134ff3c332f xmlns="48481ada-65cb-41c0-b415-b5691797f678">
      <Terms xmlns="http://schemas.microsoft.com/office/infopath/2007/PartnerControls"/>
    </lcf76f155ced4ddcb4097134ff3c332f>
    <Distributionto_x003a_ xmlns="48481ada-65cb-41c0-b415-b5691797f678">1</Distributionto_x003a_>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BFEA2255337F49B6221A8A0BB37149" ma:contentTypeVersion="17" ma:contentTypeDescription="Create a new document." ma:contentTypeScope="" ma:versionID="cf8f7a9d7b648db71a6544aea81aec29">
  <xsd:schema xmlns:xsd="http://www.w3.org/2001/XMLSchema" xmlns:xs="http://www.w3.org/2001/XMLSchema" xmlns:p="http://schemas.microsoft.com/office/2006/metadata/properties" xmlns:ns2="48481ada-65cb-41c0-b415-b5691797f678" xmlns:ns3="681632a5-26a1-432c-b9c8-4042a6493079" targetNamespace="http://schemas.microsoft.com/office/2006/metadata/properties" ma:root="true" ma:fieldsID="a5e5bca533eba7a3fe9792336b4b2e5a" ns2:_="" ns3:_="">
    <xsd:import namespace="48481ada-65cb-41c0-b415-b5691797f678"/>
    <xsd:import namespace="681632a5-26a1-432c-b9c8-4042a64930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istributionto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81ada-65cb-41c0-b415-b5691797f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abcefd-7191-4d78-9d18-d223e822eda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istributionto_x003a_" ma:index="24" nillable="true" ma:displayName="Distribution to:" ma:default="1" ma:format="Dropdown" ma:internalName="Distributionto_x003a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632a5-26a1-432c-b9c8-4042a64930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1940fbf-361e-449b-a009-c99ecbbc6506}" ma:internalName="TaxCatchAll" ma:showField="CatchAllData" ma:web="681632a5-26a1-432c-b9c8-4042a6493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66FFCA-9B81-4785-96ED-CF096DF60EA5}">
  <ds:schemaRefs>
    <ds:schemaRef ds:uri="http://schemas.microsoft.com/office/2006/metadata/properties"/>
    <ds:schemaRef ds:uri="http://schemas.microsoft.com/office/infopath/2007/PartnerControls"/>
    <ds:schemaRef ds:uri="681632a5-26a1-432c-b9c8-4042a6493079"/>
    <ds:schemaRef ds:uri="48481ada-65cb-41c0-b415-b5691797f678"/>
  </ds:schemaRefs>
</ds:datastoreItem>
</file>

<file path=customXml/itemProps3.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4.xml><?xml version="1.0" encoding="utf-8"?>
<ds:datastoreItem xmlns:ds="http://schemas.openxmlformats.org/officeDocument/2006/customXml" ds:itemID="{10D4A996-9465-4D2B-9F62-E29531096486}">
  <ds:schemaRefs>
    <ds:schemaRef ds:uri="http://schemas.microsoft.com/sharepoint/v3/contenttype/forms"/>
  </ds:schemaRefs>
</ds:datastoreItem>
</file>

<file path=customXml/itemProps5.xml><?xml version="1.0" encoding="utf-8"?>
<ds:datastoreItem xmlns:ds="http://schemas.openxmlformats.org/officeDocument/2006/customXml" ds:itemID="{790C5160-3D87-470B-AA08-747D46C6E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81ada-65cb-41c0-b415-b5691797f678"/>
    <ds:schemaRef ds:uri="681632a5-26a1-432c-b9c8-4042a6493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7072</Words>
  <Characters>40315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Supporting Statement for Science Undergraduate Laboratory Internship (SULI) Long-term Follow-up Study</vt:lpstr>
    </vt:vector>
  </TitlesOfParts>
  <Company/>
  <LinksUpToDate>false</LinksUpToDate>
  <CharactersWithSpaces>47293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Science Undergraduate Laboratory Internship (SULI) Long-term Follow-up Study</dc:title>
  <dc:subject>Improving the Quality and Scope of EIA Data</dc:subject>
  <dc:creator>Stroud, Lawrence</dc:creator>
  <cp:lastModifiedBy>Oparah, Alexus (CONTR)</cp:lastModifiedBy>
  <cp:revision>3</cp:revision>
  <cp:lastPrinted>2011-12-12T20:42:00Z</cp:lastPrinted>
  <dcterms:created xsi:type="dcterms:W3CDTF">2025-07-09T19:42:00Z</dcterms:created>
  <dcterms:modified xsi:type="dcterms:W3CDTF">2025-07-09T19:44:00Z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0x010100F2BFEA2255337F49B6221A8A0BB37149</vt:lpwstr>
  </property>
  <property fmtid="{D5CDD505-2E9C-101B-9397-08002B2CF9AE}" pid="3" name="DOE_LifecycleState">
    <vt:lpwstr>1;#Draft|44aca65a-a2b8-4064-ac99-6d3b27b9c145</vt:lpwstr>
  </property>
  <property fmtid="{D5CDD505-2E9C-101B-9397-08002B2CF9AE}" pid="4" name="DOE_OwningOrg">
    <vt:lpwstr>3;#Deputy CIO for Enterprise Policy, Portfolio Management, and Governance|51403432-c5a0-4592-a980-fb9060c28c16</vt:lpwstr>
  </property>
  <property fmtid="{D5CDD505-2E9C-101B-9397-08002B2CF9AE}" pid="5" name="DOE_ProjectStatus">
    <vt:lpwstr>2;#Open|f87294c0-5917-49a1-8b9f-b6ecaae62a21</vt:lpwstr>
  </property>
  <property fmtid="{D5CDD505-2E9C-101B-9397-08002B2CF9AE}" pid="6" name="DOE_RecordsDispositionSchedule">
    <vt:lpwstr>5;#Technology management administrative records MODIFIED (GRS 3_1_001)|26f2434b-601c-4546-9d3c-939d49d8f687</vt:lpwstr>
  </property>
  <property fmtid="{D5CDD505-2E9C-101B-9397-08002B2CF9AE}" pid="7" name="lcf76f155ced4ddcb4097134ff3c332f">
    <vt:lpwstr/>
  </property>
  <property fmtid="{D5CDD505-2E9C-101B-9397-08002B2CF9AE}" pid="8" name="MediaServiceImageTags">
    <vt:lpwstr/>
  </property>
</Properties>
</file>