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517A8" w:rsidP="10B81F39" w14:paraId="1E853A05" w14:textId="6E7ABBAC">
      <w:r w:rsidRPr="10B81F39">
        <w:t>§ 60.7 Notification and record keeping.</w:t>
      </w:r>
    </w:p>
    <w:p w:rsidR="00B517A8" w:rsidP="7DCCD7A6" w14:paraId="7FD019B8" w14:textId="4C660F45">
      <w:pPr>
        <w:spacing w:before="240" w:after="240"/>
        <w:ind w:left="180"/>
      </w:pPr>
      <w:r w:rsidRPr="7DCCD7A6">
        <w:rPr>
          <w:rFonts w:ascii="Aptos" w:eastAsia="Aptos" w:hAnsi="Aptos" w:cs="Aptos"/>
        </w:rPr>
        <w:t>(a) Any owner or operator subject to the provisions of this part shall furnish the Administrator written notification or, if acceptable to both the Administrator and the owner or operator of a source, electronic notification, as follows:</w:t>
      </w:r>
    </w:p>
    <w:p w:rsidR="00B517A8" w:rsidP="7DCCD7A6" w14:paraId="6B7BA8D1" w14:textId="40B0D8DD">
      <w:pPr>
        <w:spacing w:before="240" w:after="240"/>
        <w:ind w:left="360"/>
      </w:pPr>
      <w:r w:rsidRPr="7DCCD7A6">
        <w:rPr>
          <w:rFonts w:ascii="Aptos" w:eastAsia="Aptos" w:hAnsi="Aptos" w:cs="Aptos"/>
        </w:rPr>
        <w:t xml:space="preserve">(1) A notification of the date construction (or reconstruction as defined under </w:t>
      </w:r>
      <w:hyperlink r:id="rId8">
        <w:r w:rsidRPr="7DCCD7A6">
          <w:rPr>
            <w:rStyle w:val="Hyperlink"/>
            <w:rFonts w:ascii="Aptos" w:eastAsia="Aptos" w:hAnsi="Aptos" w:cs="Aptos"/>
          </w:rPr>
          <w:t>§ 60.15</w:t>
        </w:r>
      </w:hyperlink>
      <w:r w:rsidRPr="7DCCD7A6">
        <w:rPr>
          <w:rFonts w:ascii="Aptos" w:eastAsia="Aptos" w:hAnsi="Aptos" w:cs="Aptos"/>
        </w:rPr>
        <w:t>) of an affected facility is commenced postmarked no later than 30 days after such date. This requirement shall not apply in the case of mass-produced facilities which are purchased in completed form.</w:t>
      </w:r>
    </w:p>
    <w:p w:rsidR="00B517A8" w:rsidP="7DCCD7A6" w14:paraId="09A67392" w14:textId="3AB590FD">
      <w:pPr>
        <w:spacing w:before="240" w:after="240"/>
        <w:ind w:left="360"/>
      </w:pPr>
      <w:r w:rsidRPr="7DCCD7A6">
        <w:rPr>
          <w:rFonts w:ascii="Aptos" w:eastAsia="Aptos" w:hAnsi="Aptos" w:cs="Aptos"/>
        </w:rPr>
        <w:t>(2) [Reserved]</w:t>
      </w:r>
    </w:p>
    <w:p w:rsidR="00B517A8" w:rsidP="7DCCD7A6" w14:paraId="68FD6C08" w14:textId="121B32FE">
      <w:pPr>
        <w:spacing w:before="240" w:after="240"/>
        <w:ind w:left="360"/>
      </w:pPr>
      <w:r w:rsidRPr="7DCCD7A6">
        <w:rPr>
          <w:rFonts w:ascii="Aptos" w:eastAsia="Aptos" w:hAnsi="Aptos" w:cs="Aptos"/>
        </w:rPr>
        <w:t>(3) A notification of the actual date of initial startup of an affected facility postmarked within 15 days after such date.</w:t>
      </w:r>
    </w:p>
    <w:p w:rsidR="00B517A8" w:rsidP="7DCCD7A6" w14:paraId="064F7ECE" w14:textId="49BCD9D3">
      <w:pPr>
        <w:spacing w:before="240" w:after="240"/>
        <w:ind w:left="360"/>
      </w:pPr>
      <w:r w:rsidRPr="7DCCD7A6">
        <w:rPr>
          <w:rFonts w:ascii="Aptos" w:eastAsia="Aptos" w:hAnsi="Aptos" w:cs="Aptos"/>
        </w:rPr>
        <w:t xml:space="preserve">(4) A notification of any physical or operational change to an existing facility which may increase the emission rate of any air pollutant to which a standard applies, unless that change is specifically exempted under an applicable subpart or in </w:t>
      </w:r>
      <w:hyperlink r:id="rId9" w:anchor="p-60.14(e)">
        <w:r w:rsidRPr="7DCCD7A6">
          <w:rPr>
            <w:rStyle w:val="Hyperlink"/>
            <w:rFonts w:ascii="Aptos" w:eastAsia="Aptos" w:hAnsi="Aptos" w:cs="Aptos"/>
          </w:rPr>
          <w:t>§ 60.14(e)</w:t>
        </w:r>
      </w:hyperlink>
      <w:r w:rsidRPr="7DCCD7A6">
        <w:rPr>
          <w:rFonts w:ascii="Aptos" w:eastAsia="Aptos" w:hAnsi="Aptos" w:cs="Aptos"/>
        </w:rPr>
        <w:t>.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R="00B517A8" w:rsidP="7DCCD7A6" w14:paraId="3061A7FD" w14:textId="54B834D3">
      <w:pPr>
        <w:spacing w:before="240" w:after="240"/>
        <w:ind w:left="360"/>
      </w:pPr>
      <w:r w:rsidRPr="7DCCD7A6">
        <w:rPr>
          <w:rFonts w:ascii="Aptos" w:eastAsia="Aptos" w:hAnsi="Aptos" w:cs="Aptos"/>
        </w:rPr>
        <w:t xml:space="preserve">(5) A notification of the date upon which demonstration of the continuous monitoring system performance commences in accordance with </w:t>
      </w:r>
      <w:hyperlink r:id="rId10" w:anchor="p-60.13(c)">
        <w:r w:rsidRPr="7DCCD7A6">
          <w:rPr>
            <w:rStyle w:val="Hyperlink"/>
            <w:rFonts w:ascii="Aptos" w:eastAsia="Aptos" w:hAnsi="Aptos" w:cs="Aptos"/>
          </w:rPr>
          <w:t>§ 60.13(c)</w:t>
        </w:r>
      </w:hyperlink>
      <w:r w:rsidRPr="7DCCD7A6">
        <w:rPr>
          <w:rFonts w:ascii="Aptos" w:eastAsia="Aptos" w:hAnsi="Aptos" w:cs="Aptos"/>
        </w:rPr>
        <w:t>. Notification shall be postmarked not less than 30 days prior to such date.</w:t>
      </w:r>
    </w:p>
    <w:p w:rsidR="00B517A8" w:rsidP="7DCCD7A6" w14:paraId="7037CCB0" w14:textId="023152D9">
      <w:pPr>
        <w:spacing w:before="240" w:after="240"/>
        <w:ind w:left="360"/>
      </w:pPr>
      <w:r w:rsidRPr="7DCCD7A6">
        <w:rPr>
          <w:rFonts w:ascii="Aptos" w:eastAsia="Aptos" w:hAnsi="Aptos" w:cs="Aptos"/>
        </w:rPr>
        <w:t xml:space="preserve">(6) A notification of the anticipated date for conducting the opacity observations required by </w:t>
      </w:r>
      <w:hyperlink r:id="rId11" w:anchor="p-60.11(e)(1)">
        <w:r w:rsidRPr="7DCCD7A6">
          <w:rPr>
            <w:rStyle w:val="Hyperlink"/>
            <w:rFonts w:ascii="Aptos" w:eastAsia="Aptos" w:hAnsi="Aptos" w:cs="Aptos"/>
          </w:rPr>
          <w:t>§ 60.11(e)(1) of this part</w:t>
        </w:r>
      </w:hyperlink>
      <w:r w:rsidRPr="7DCCD7A6">
        <w:rPr>
          <w:rFonts w:ascii="Aptos" w:eastAsia="Aptos" w:hAnsi="Aptos" w:cs="Aptos"/>
        </w:rPr>
        <w:t>. The notification shall also include, if appropriate, a request for the Administrator to provide a visible emissions reader during a performance test. The notification shall be postmarked not less than 30 days prior to such date.</w:t>
      </w:r>
    </w:p>
    <w:p w:rsidR="00B517A8" w:rsidP="7DCCD7A6" w14:paraId="3D2C468C" w14:textId="1B77C183">
      <w:pPr>
        <w:spacing w:before="240" w:after="240"/>
        <w:ind w:left="360"/>
      </w:pPr>
      <w:r w:rsidRPr="7DCCD7A6">
        <w:rPr>
          <w:rFonts w:ascii="Aptos" w:eastAsia="Aptos" w:hAnsi="Aptos" w:cs="Aptos"/>
        </w:rPr>
        <w:t xml:space="preserve">(7) A notification that continuous opacity monitoring system data results will be used to determine compliance with the applicable opacity standard during a performance test required by </w:t>
      </w:r>
      <w:hyperlink r:id="rId12">
        <w:r w:rsidRPr="7DCCD7A6">
          <w:rPr>
            <w:rStyle w:val="Hyperlink"/>
            <w:rFonts w:ascii="Aptos" w:eastAsia="Aptos" w:hAnsi="Aptos" w:cs="Aptos"/>
          </w:rPr>
          <w:t>§ 60.8</w:t>
        </w:r>
      </w:hyperlink>
      <w:r w:rsidRPr="7DCCD7A6">
        <w:rPr>
          <w:rFonts w:ascii="Aptos" w:eastAsia="Aptos" w:hAnsi="Aptos" w:cs="Aptos"/>
        </w:rPr>
        <w:t xml:space="preserve"> in lieu of Method 9 observation data as allowed by </w:t>
      </w:r>
      <w:hyperlink r:id="rId11" w:anchor="p-60.11(e)(5)">
        <w:r w:rsidRPr="7DCCD7A6">
          <w:rPr>
            <w:rStyle w:val="Hyperlink"/>
            <w:rFonts w:ascii="Aptos" w:eastAsia="Aptos" w:hAnsi="Aptos" w:cs="Aptos"/>
          </w:rPr>
          <w:t>§ 60.11(e)(5) of this part</w:t>
        </w:r>
      </w:hyperlink>
      <w:r w:rsidRPr="7DCCD7A6">
        <w:rPr>
          <w:rFonts w:ascii="Aptos" w:eastAsia="Aptos" w:hAnsi="Aptos" w:cs="Aptos"/>
        </w:rPr>
        <w:t>. This notification shall be postmarked not less than 30 days prior to the date of the performance test.</w:t>
      </w:r>
    </w:p>
    <w:p w:rsidR="00B517A8" w:rsidP="7DCCD7A6" w14:paraId="16ED4C44" w14:textId="4E110DE2">
      <w:pPr>
        <w:spacing w:before="240" w:after="240"/>
        <w:ind w:left="180"/>
      </w:pPr>
      <w:r w:rsidRPr="7DCCD7A6">
        <w:rPr>
          <w:rFonts w:ascii="Aptos" w:eastAsia="Aptos" w:hAnsi="Aptos" w:cs="Aptos"/>
        </w:rPr>
        <w:t>(b)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00B517A8" w:rsidP="7DCCD7A6" w14:paraId="6BE0412F" w14:textId="43591411">
      <w:pPr>
        <w:spacing w:before="240" w:after="240"/>
        <w:ind w:left="180"/>
      </w:pPr>
      <w:r w:rsidRPr="7DCCD7A6">
        <w:rPr>
          <w:rFonts w:ascii="Aptos" w:eastAsia="Aptos" w:hAnsi="Aptos" w:cs="Aptos"/>
        </w:rPr>
        <w:t xml:space="preserve">(c) Each owner or operator required to install a continuous monitoring device shall submit excess emissions and monitoring systems performance report (excess emissions are defined in applicable subparts) and-or summary report form (see </w:t>
      </w:r>
      <w:hyperlink r:id="rId13" w:anchor="p-60.7(d)">
        <w:r w:rsidRPr="7DCCD7A6">
          <w:rPr>
            <w:rStyle w:val="Hyperlink"/>
            <w:rFonts w:ascii="Aptos" w:eastAsia="Aptos" w:hAnsi="Aptos" w:cs="Aptos"/>
          </w:rPr>
          <w:t>paragraph (d)</w:t>
        </w:r>
      </w:hyperlink>
      <w:r w:rsidRPr="7DCCD7A6">
        <w:rPr>
          <w:rFonts w:ascii="Aptos" w:eastAsia="Aptos" w:hAnsi="Aptos" w:cs="Aptos"/>
        </w:rPr>
        <w:t xml:space="preserve"> of this section) to the Administrator semiannually, except when: more frequent reporting is specifically required by an applicable subpart; or the Administrator, on a case-by-case basis, determines that more frequent reporting is necessary to accurately assess the compliance status of the source. All reports shall be postmarked by the 30th day following the end of each six-month period. Written reports of excess emissions shall include the following information:</w:t>
      </w:r>
    </w:p>
    <w:p w:rsidR="00B517A8" w:rsidP="7DCCD7A6" w14:paraId="18C8025A" w14:textId="628CCA8D">
      <w:pPr>
        <w:spacing w:before="240" w:after="240"/>
        <w:ind w:left="360"/>
      </w:pPr>
      <w:r w:rsidRPr="7DCCD7A6">
        <w:rPr>
          <w:rFonts w:ascii="Aptos" w:eastAsia="Aptos" w:hAnsi="Aptos" w:cs="Aptos"/>
        </w:rPr>
        <w:t xml:space="preserve">(1) The magnitude of excess emissions computed in accordance with </w:t>
      </w:r>
      <w:hyperlink r:id="rId10" w:anchor="p-60.13(h)">
        <w:r w:rsidRPr="7DCCD7A6">
          <w:rPr>
            <w:rStyle w:val="Hyperlink"/>
            <w:rFonts w:ascii="Aptos" w:eastAsia="Aptos" w:hAnsi="Aptos" w:cs="Aptos"/>
          </w:rPr>
          <w:t>§ 60.13(h)</w:t>
        </w:r>
      </w:hyperlink>
      <w:r w:rsidRPr="7DCCD7A6">
        <w:rPr>
          <w:rFonts w:ascii="Aptos" w:eastAsia="Aptos" w:hAnsi="Aptos" w:cs="Aptos"/>
        </w:rPr>
        <w:t>, any conversion factor(s) used, and the date and time of commencement and completion of each time period of excess emissions. The process operating time during the reporting period.</w:t>
      </w:r>
    </w:p>
    <w:p w:rsidR="00B517A8" w:rsidP="7DCCD7A6" w14:paraId="08B43B8B" w14:textId="0DEA5EF4">
      <w:pPr>
        <w:spacing w:before="240" w:after="240"/>
        <w:ind w:left="360"/>
      </w:pPr>
      <w:r w:rsidRPr="7DCCD7A6">
        <w:rPr>
          <w:rFonts w:ascii="Aptos" w:eastAsia="Aptos" w:hAnsi="Aptos" w:cs="Aptos"/>
        </w:rPr>
        <w:t>(2) Specific identification of each period of excess emissions that occurs during startups, shutdowns, and malfunctions of the affected facility. The nature and cause of any malfunction (if known), the corrective action taken or preventative measures adopted.</w:t>
      </w:r>
    </w:p>
    <w:p w:rsidR="00B517A8" w:rsidP="7DCCD7A6" w14:paraId="2E112842" w14:textId="3D68F12C">
      <w:pPr>
        <w:spacing w:before="240" w:after="240"/>
        <w:ind w:left="360"/>
      </w:pPr>
      <w:r w:rsidRPr="7DCCD7A6">
        <w:rPr>
          <w:rFonts w:ascii="Aptos" w:eastAsia="Aptos" w:hAnsi="Aptos" w:cs="Aptos"/>
        </w:rPr>
        <w:t>(3) The date and time identifying each period during which the continuous monitoring system was inoperative except for zero and span checks and the nature of the system repairs or adjustments.</w:t>
      </w:r>
    </w:p>
    <w:p w:rsidR="00B517A8" w:rsidP="7DCCD7A6" w14:paraId="4B2C6CBE" w14:textId="13961D2A">
      <w:pPr>
        <w:spacing w:before="240" w:after="240"/>
        <w:ind w:left="360"/>
      </w:pPr>
      <w:r w:rsidRPr="7DCCD7A6">
        <w:rPr>
          <w:rFonts w:ascii="Aptos" w:eastAsia="Aptos" w:hAnsi="Aptos" w:cs="Aptos"/>
        </w:rPr>
        <w:t>(4) When no excess emissions have occurred or the continuous monitoring system(s) have not been inoperative, repaired, or adjusted, such information shall be stated in the report.</w:t>
      </w:r>
    </w:p>
    <w:p w:rsidR="00B517A8" w:rsidP="7DCCD7A6" w14:paraId="2C400A6E" w14:textId="4A859044">
      <w:pPr>
        <w:spacing w:before="240" w:after="240"/>
        <w:ind w:left="180"/>
      </w:pPr>
      <w:r w:rsidRPr="7DCCD7A6">
        <w:rPr>
          <w:rFonts w:ascii="Aptos" w:eastAsia="Aptos" w:hAnsi="Aptos" w:cs="Aptos"/>
        </w:rPr>
        <w:t>(d) The summary report form shall contain the information and be in the format shown in figure 1 unless otherwise specified by the Administrator. One summary report form shall be submitted for each pollutant monitored at each affected facility.</w:t>
      </w:r>
    </w:p>
    <w:p w:rsidR="00B517A8" w:rsidP="7DCCD7A6" w14:paraId="39712C3F" w14:textId="3F050A7F">
      <w:pPr>
        <w:spacing w:before="240" w:after="240"/>
        <w:ind w:left="360"/>
      </w:pPr>
      <w:r w:rsidRPr="7DCCD7A6">
        <w:rPr>
          <w:rFonts w:ascii="Aptos" w:eastAsia="Aptos" w:hAnsi="Aptos" w:cs="Aptos"/>
        </w:rPr>
        <w:t xml:space="preserve">(1) If the total duration of excess emissions for the reporting period is less than 1 percent of the total operating time for the reporting period and CMS downtime for the reporting period is less than 5 percent of the total operating time for the reporting </w:t>
      </w:r>
      <w:r w:rsidRPr="7DCCD7A6">
        <w:rPr>
          <w:rFonts w:ascii="Aptos" w:eastAsia="Aptos" w:hAnsi="Aptos" w:cs="Aptos"/>
        </w:rPr>
        <w:t xml:space="preserve">period, only the summary report form shall be submitted and the excess emission report described in </w:t>
      </w:r>
      <w:hyperlink r:id="rId13" w:anchor="p-60.7(c)">
        <w:r w:rsidRPr="7DCCD7A6">
          <w:rPr>
            <w:rStyle w:val="Hyperlink"/>
            <w:rFonts w:ascii="Aptos" w:eastAsia="Aptos" w:hAnsi="Aptos" w:cs="Aptos"/>
          </w:rPr>
          <w:t>§ 60.7(c)</w:t>
        </w:r>
      </w:hyperlink>
      <w:r w:rsidRPr="7DCCD7A6">
        <w:rPr>
          <w:rFonts w:ascii="Aptos" w:eastAsia="Aptos" w:hAnsi="Aptos" w:cs="Aptos"/>
        </w:rPr>
        <w:t xml:space="preserve"> need not be submitted unless requested by the Administrator.</w:t>
      </w:r>
    </w:p>
    <w:p w:rsidR="00B517A8" w:rsidP="7DCCD7A6" w14:paraId="43F83A8C" w14:textId="1E16774A">
      <w:pPr>
        <w:spacing w:before="240" w:after="240"/>
        <w:ind w:left="360"/>
      </w:pPr>
      <w:r w:rsidRPr="7DCCD7A6">
        <w:rPr>
          <w:rFonts w:ascii="Aptos" w:eastAsia="Aptos" w:hAnsi="Aptos" w:cs="Aptos"/>
        </w:rPr>
        <w:t xml:space="preserve">(2) If the total duration of excess emissions for the reporting period is 1 percent or greater of the total operating time for the reporting period or the total CMS downtime for the reporting period is 5 percent or greater of the total operating time for the reporting period, the summary report form and the excess emission report described in </w:t>
      </w:r>
      <w:hyperlink r:id="rId13" w:anchor="p-60.7(c)">
        <w:r w:rsidRPr="7DCCD7A6">
          <w:rPr>
            <w:rStyle w:val="Hyperlink"/>
            <w:rFonts w:ascii="Aptos" w:eastAsia="Aptos" w:hAnsi="Aptos" w:cs="Aptos"/>
          </w:rPr>
          <w:t>§ 60.7(c)</w:t>
        </w:r>
      </w:hyperlink>
      <w:r w:rsidRPr="7DCCD7A6">
        <w:rPr>
          <w:rFonts w:ascii="Aptos" w:eastAsia="Aptos" w:hAnsi="Aptos" w:cs="Aptos"/>
        </w:rPr>
        <w:t xml:space="preserve"> shall both be submitted.</w:t>
      </w:r>
    </w:p>
    <w:p w:rsidR="00B517A8" w:rsidP="7DCCD7A6" w14:paraId="1BB604B6" w14:textId="154969AC">
      <w:pPr>
        <w:spacing w:before="240" w:after="240"/>
      </w:pPr>
      <w:r w:rsidRPr="7DCCD7A6">
        <w:rPr>
          <w:rFonts w:ascii="Aptos" w:eastAsia="Aptos" w:hAnsi="Aptos" w:cs="Aptos"/>
        </w:rPr>
        <w:t xml:space="preserve">Figure 1—Summary Report—Gaseous and Opacity Excess Emission and Monitoring System Performance </w:t>
      </w:r>
    </w:p>
    <w:p w:rsidR="00B517A8" w:rsidP="7DCCD7A6" w14:paraId="2E574B26" w14:textId="0D177C1D">
      <w:pPr>
        <w:spacing w:before="240" w:after="240"/>
      </w:pPr>
      <w:r w:rsidRPr="7DCCD7A6">
        <w:rPr>
          <w:rFonts w:ascii="Aptos" w:eastAsia="Aptos" w:hAnsi="Aptos" w:cs="Aptos"/>
        </w:rPr>
        <w:t>Pollutant (Circle One—SO</w:t>
      </w:r>
      <w:r w:rsidRPr="7DCCD7A6">
        <w:rPr>
          <w:rFonts w:ascii="Aptos" w:eastAsia="Aptos" w:hAnsi="Aptos" w:cs="Aptos"/>
          <w:vertAlign w:val="subscript"/>
        </w:rPr>
        <w:t>2</w:t>
      </w:r>
      <w:r w:rsidRPr="7DCCD7A6">
        <w:rPr>
          <w:rFonts w:ascii="Aptos" w:eastAsia="Aptos" w:hAnsi="Aptos" w:cs="Aptos"/>
        </w:rPr>
        <w:t>/NO</w:t>
      </w:r>
      <w:r w:rsidRPr="7DCCD7A6">
        <w:rPr>
          <w:rFonts w:ascii="Aptos" w:eastAsia="Aptos" w:hAnsi="Aptos" w:cs="Aptos"/>
          <w:vertAlign w:val="subscript"/>
        </w:rPr>
        <w:t>X</w:t>
      </w:r>
      <w:r w:rsidRPr="7DCCD7A6">
        <w:rPr>
          <w:rFonts w:ascii="Aptos" w:eastAsia="Aptos" w:hAnsi="Aptos" w:cs="Aptos"/>
        </w:rPr>
        <w:t>/TRS/H</w:t>
      </w:r>
      <w:r w:rsidRPr="7DCCD7A6">
        <w:rPr>
          <w:rFonts w:ascii="Aptos" w:eastAsia="Aptos" w:hAnsi="Aptos" w:cs="Aptos"/>
          <w:vertAlign w:val="subscript"/>
        </w:rPr>
        <w:t>2</w:t>
      </w:r>
      <w:r w:rsidRPr="7DCCD7A6">
        <w:rPr>
          <w:rFonts w:ascii="Aptos" w:eastAsia="Aptos" w:hAnsi="Aptos" w:cs="Aptos"/>
        </w:rPr>
        <w:t xml:space="preserve">S/CO/Opacity) </w:t>
      </w:r>
    </w:p>
    <w:p w:rsidR="00B517A8" w:rsidP="7DCCD7A6" w14:paraId="635A0996" w14:textId="787B8C6C">
      <w:pPr>
        <w:spacing w:before="240" w:after="240"/>
      </w:pPr>
      <w:r w:rsidRPr="7DCCD7A6">
        <w:rPr>
          <w:rFonts w:ascii="Aptos" w:eastAsia="Aptos" w:hAnsi="Aptos" w:cs="Aptos"/>
        </w:rPr>
        <w:t xml:space="preserve">Reporting period dates: From ____________________ to ____________________ </w:t>
      </w:r>
    </w:p>
    <w:p w:rsidR="00B517A8" w:rsidP="7DCCD7A6" w14:paraId="15D3C04D" w14:textId="4ED86A21">
      <w:pPr>
        <w:spacing w:before="240" w:after="240"/>
      </w:pPr>
      <w:r w:rsidRPr="7DCCD7A6">
        <w:rPr>
          <w:rFonts w:ascii="Aptos" w:eastAsia="Aptos" w:hAnsi="Aptos" w:cs="Aptos"/>
        </w:rPr>
        <w:t xml:space="preserve">Company: </w:t>
      </w:r>
    </w:p>
    <w:p w:rsidR="00B517A8" w:rsidP="7DCCD7A6" w14:paraId="2BAD1C49" w14:textId="2EFCB4A0">
      <w:pPr>
        <w:spacing w:before="240" w:after="240"/>
      </w:pPr>
      <w:r w:rsidRPr="7DCCD7A6">
        <w:rPr>
          <w:rFonts w:ascii="Aptos" w:eastAsia="Aptos" w:hAnsi="Aptos" w:cs="Aptos"/>
        </w:rPr>
        <w:t xml:space="preserve">Emission Limitation </w:t>
      </w:r>
    </w:p>
    <w:p w:rsidR="00B517A8" w:rsidP="7DCCD7A6" w14:paraId="35C16C6A" w14:textId="6F921C41">
      <w:pPr>
        <w:spacing w:before="240" w:after="240"/>
      </w:pPr>
      <w:r w:rsidRPr="7DCCD7A6">
        <w:rPr>
          <w:rFonts w:ascii="Aptos" w:eastAsia="Aptos" w:hAnsi="Aptos" w:cs="Aptos"/>
        </w:rPr>
        <w:t xml:space="preserve">Address: </w:t>
      </w:r>
    </w:p>
    <w:p w:rsidR="00B517A8" w:rsidP="7DCCD7A6" w14:paraId="336514F7" w14:textId="11FEC5E2">
      <w:pPr>
        <w:spacing w:before="240" w:after="240"/>
      </w:pPr>
      <w:r w:rsidRPr="7DCCD7A6">
        <w:rPr>
          <w:rFonts w:ascii="Aptos" w:eastAsia="Aptos" w:hAnsi="Aptos" w:cs="Aptos"/>
        </w:rPr>
        <w:t xml:space="preserve">Monitor Manufacturer and Model No. </w:t>
      </w:r>
    </w:p>
    <w:p w:rsidR="00B517A8" w:rsidP="7DCCD7A6" w14:paraId="402BAE37" w14:textId="66FD45B2">
      <w:pPr>
        <w:spacing w:before="240" w:after="240"/>
      </w:pPr>
      <w:r w:rsidRPr="7DCCD7A6">
        <w:rPr>
          <w:rFonts w:ascii="Aptos" w:eastAsia="Aptos" w:hAnsi="Aptos" w:cs="Aptos"/>
        </w:rPr>
        <w:t xml:space="preserve">Date of Latest CMS Certification or Audit </w:t>
      </w:r>
    </w:p>
    <w:p w:rsidR="00B517A8" w:rsidP="7DCCD7A6" w14:paraId="454C6C21" w14:textId="0611A787">
      <w:pPr>
        <w:spacing w:before="240" w:after="240"/>
      </w:pPr>
      <w:r w:rsidRPr="7DCCD7A6">
        <w:rPr>
          <w:rFonts w:ascii="Aptos" w:eastAsia="Aptos" w:hAnsi="Aptos" w:cs="Aptos"/>
        </w:rPr>
        <w:t xml:space="preserve">Process Unit(s) Description: </w:t>
      </w:r>
    </w:p>
    <w:p w:rsidR="00B517A8" w:rsidP="7DCCD7A6" w14:paraId="700FADEF" w14:textId="4894D7D6">
      <w:pPr>
        <w:spacing w:before="240" w:after="240"/>
      </w:pPr>
      <w:r w:rsidRPr="7DCCD7A6">
        <w:rPr>
          <w:rFonts w:ascii="Aptos" w:eastAsia="Aptos" w:hAnsi="Aptos" w:cs="Aptos"/>
        </w:rPr>
        <w:t>Total source operating time in reporting period</w:t>
      </w:r>
      <w:r w:rsidRPr="7DCCD7A6">
        <w:rPr>
          <w:rFonts w:ascii="Aptos" w:eastAsia="Aptos" w:hAnsi="Aptos" w:cs="Aptos"/>
          <w:vertAlign w:val="superscript"/>
        </w:rPr>
        <w:t>1</w:t>
      </w:r>
      <w:r w:rsidRPr="7DCCD7A6">
        <w:rPr>
          <w:rFonts w:ascii="Aptos" w:eastAsia="Aptos" w:hAnsi="Aptos" w:cs="Aptos"/>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tblPr>
      <w:tblGrid>
        <w:gridCol w:w="4697"/>
        <w:gridCol w:w="356"/>
        <w:gridCol w:w="3950"/>
        <w:gridCol w:w="357"/>
      </w:tblGrid>
      <w:tr w14:paraId="2DB7F99C" w14:textId="77777777" w:rsidTr="7DCCD7A6">
        <w:tblPrEx>
          <w:tblW w:w="0" w:type="auto"/>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4697" w:type="dxa"/>
            <w:shd w:val="clear" w:color="auto" w:fill="ECECEC"/>
            <w:vAlign w:val="center"/>
          </w:tcPr>
          <w:p w:rsidR="7DCCD7A6" w:rsidP="7DCCD7A6" w14:paraId="28C31FB8" w14:textId="41711FC2">
            <w:pPr>
              <w:jc w:val="center"/>
            </w:pPr>
            <w:r w:rsidRPr="7DCCD7A6">
              <w:rPr>
                <w:b/>
                <w:bCs/>
              </w:rPr>
              <w:t>Emission data summary</w:t>
            </w:r>
            <w:r w:rsidRPr="7DCCD7A6">
              <w:rPr>
                <w:b/>
                <w:bCs/>
                <w:vertAlign w:val="superscript"/>
              </w:rPr>
              <w:t>1</w:t>
            </w:r>
            <w:r w:rsidRPr="7DCCD7A6">
              <w:rPr>
                <w:b/>
                <w:bCs/>
              </w:rPr>
              <w:t xml:space="preserve"> </w:t>
            </w:r>
          </w:p>
        </w:tc>
        <w:tc>
          <w:tcPr>
            <w:tcW w:w="356" w:type="dxa"/>
            <w:shd w:val="clear" w:color="auto" w:fill="ECECEC"/>
            <w:vAlign w:val="center"/>
          </w:tcPr>
          <w:p w:rsidR="7DCCD7A6" w14:paraId="18ACC151" w14:textId="62DDA3B1"/>
        </w:tc>
        <w:tc>
          <w:tcPr>
            <w:tcW w:w="3950" w:type="dxa"/>
            <w:shd w:val="clear" w:color="auto" w:fill="ECECEC"/>
            <w:vAlign w:val="center"/>
          </w:tcPr>
          <w:p w:rsidR="7DCCD7A6" w:rsidP="7DCCD7A6" w14:paraId="146F1432" w14:textId="3583DD47">
            <w:pPr>
              <w:jc w:val="center"/>
            </w:pPr>
            <w:r w:rsidRPr="7DCCD7A6">
              <w:rPr>
                <w:b/>
                <w:bCs/>
              </w:rPr>
              <w:t>CMS performance summary</w:t>
            </w:r>
            <w:r w:rsidRPr="7DCCD7A6">
              <w:rPr>
                <w:b/>
                <w:bCs/>
                <w:vertAlign w:val="superscript"/>
              </w:rPr>
              <w:t>1</w:t>
            </w:r>
            <w:r w:rsidRPr="7DCCD7A6">
              <w:rPr>
                <w:b/>
                <w:bCs/>
              </w:rPr>
              <w:t xml:space="preserve"> </w:t>
            </w:r>
          </w:p>
        </w:tc>
        <w:tc>
          <w:tcPr>
            <w:tcW w:w="357" w:type="dxa"/>
            <w:shd w:val="clear" w:color="auto" w:fill="ECECEC"/>
            <w:vAlign w:val="center"/>
          </w:tcPr>
          <w:p w:rsidR="7DCCD7A6" w14:paraId="352E2680" w14:textId="3BDCC9A8"/>
        </w:tc>
      </w:tr>
      <w:tr w14:paraId="385DDD0A" w14:textId="77777777" w:rsidTr="7DCCD7A6">
        <w:tblPrEx>
          <w:tblW w:w="0" w:type="auto"/>
          <w:tblLayout w:type="fixed"/>
          <w:tblLook w:val="06A0"/>
        </w:tblPrEx>
        <w:trPr>
          <w:trHeight w:val="300"/>
        </w:trPr>
        <w:tc>
          <w:tcPr>
            <w:tcW w:w="4697" w:type="dxa"/>
            <w:vAlign w:val="center"/>
          </w:tcPr>
          <w:p w:rsidR="7DCCD7A6" w:rsidP="7DCCD7A6" w14:paraId="01C7E75B" w14:textId="66BE1676">
            <w:r>
              <w:t>1. Duration of excess emissions in reporting period due to:</w:t>
            </w:r>
          </w:p>
        </w:tc>
        <w:tc>
          <w:tcPr>
            <w:tcW w:w="356" w:type="dxa"/>
            <w:vAlign w:val="center"/>
          </w:tcPr>
          <w:p w:rsidR="7DCCD7A6" w14:paraId="2B1B654D" w14:textId="4FCAF209"/>
        </w:tc>
        <w:tc>
          <w:tcPr>
            <w:tcW w:w="3950" w:type="dxa"/>
            <w:vAlign w:val="center"/>
          </w:tcPr>
          <w:p w:rsidR="7DCCD7A6" w:rsidP="7DCCD7A6" w14:paraId="39CB7553" w14:textId="222EACFB">
            <w:r>
              <w:t>1. CMS downtime in reporting period due to:</w:t>
            </w:r>
          </w:p>
        </w:tc>
        <w:tc>
          <w:tcPr>
            <w:tcW w:w="357" w:type="dxa"/>
            <w:vAlign w:val="center"/>
          </w:tcPr>
          <w:p w:rsidR="7DCCD7A6" w14:paraId="7C7A9DB0" w14:textId="51540FD1"/>
        </w:tc>
      </w:tr>
      <w:tr w14:paraId="01A24029" w14:textId="77777777" w:rsidTr="7DCCD7A6">
        <w:tblPrEx>
          <w:tblW w:w="0" w:type="auto"/>
          <w:tblLayout w:type="fixed"/>
          <w:tblLook w:val="06A0"/>
        </w:tblPrEx>
        <w:trPr>
          <w:trHeight w:val="300"/>
        </w:trPr>
        <w:tc>
          <w:tcPr>
            <w:tcW w:w="4697" w:type="dxa"/>
            <w:vAlign w:val="center"/>
          </w:tcPr>
          <w:p w:rsidR="7DCCD7A6" w:rsidP="7DCCD7A6" w14:paraId="1F2AB9A7" w14:textId="4B55DAA6">
            <w:r>
              <w:t>a. Startup/shutdown</w:t>
            </w:r>
          </w:p>
        </w:tc>
        <w:tc>
          <w:tcPr>
            <w:tcW w:w="356" w:type="dxa"/>
            <w:vAlign w:val="center"/>
          </w:tcPr>
          <w:p w:rsidR="7DCCD7A6" w14:paraId="5C011D0D" w14:textId="58F81961"/>
        </w:tc>
        <w:tc>
          <w:tcPr>
            <w:tcW w:w="3950" w:type="dxa"/>
            <w:vAlign w:val="center"/>
          </w:tcPr>
          <w:p w:rsidR="7DCCD7A6" w:rsidP="7DCCD7A6" w14:paraId="6AE3E37C" w14:textId="3BE06381">
            <w:r>
              <w:t>a. Monitor equipment malfunctions</w:t>
            </w:r>
          </w:p>
        </w:tc>
        <w:tc>
          <w:tcPr>
            <w:tcW w:w="357" w:type="dxa"/>
            <w:vAlign w:val="center"/>
          </w:tcPr>
          <w:p w:rsidR="7DCCD7A6" w14:paraId="330F6D72" w14:textId="1CC377BF"/>
        </w:tc>
      </w:tr>
      <w:tr w14:paraId="681701A4" w14:textId="77777777" w:rsidTr="7DCCD7A6">
        <w:tblPrEx>
          <w:tblW w:w="0" w:type="auto"/>
          <w:tblLayout w:type="fixed"/>
          <w:tblLook w:val="06A0"/>
        </w:tblPrEx>
        <w:trPr>
          <w:trHeight w:val="300"/>
        </w:trPr>
        <w:tc>
          <w:tcPr>
            <w:tcW w:w="4697" w:type="dxa"/>
            <w:vAlign w:val="center"/>
          </w:tcPr>
          <w:p w:rsidR="7DCCD7A6" w:rsidP="7DCCD7A6" w14:paraId="2B3A6C4D" w14:textId="63FF94FC">
            <w:r>
              <w:t>b. Control equipment problems</w:t>
            </w:r>
          </w:p>
        </w:tc>
        <w:tc>
          <w:tcPr>
            <w:tcW w:w="356" w:type="dxa"/>
            <w:vAlign w:val="center"/>
          </w:tcPr>
          <w:p w:rsidR="7DCCD7A6" w14:paraId="7373BA55" w14:textId="05488DE8"/>
        </w:tc>
        <w:tc>
          <w:tcPr>
            <w:tcW w:w="3950" w:type="dxa"/>
            <w:vAlign w:val="center"/>
          </w:tcPr>
          <w:p w:rsidR="7DCCD7A6" w:rsidP="7DCCD7A6" w14:paraId="4E2DC46C" w14:textId="55478987">
            <w:r>
              <w:t>b. Non-Monitor equipment malfunctions</w:t>
            </w:r>
          </w:p>
        </w:tc>
        <w:tc>
          <w:tcPr>
            <w:tcW w:w="357" w:type="dxa"/>
            <w:vAlign w:val="center"/>
          </w:tcPr>
          <w:p w:rsidR="7DCCD7A6" w14:paraId="735F49FE" w14:textId="751A303E"/>
        </w:tc>
      </w:tr>
      <w:tr w14:paraId="37D8C9BD" w14:textId="77777777" w:rsidTr="7DCCD7A6">
        <w:tblPrEx>
          <w:tblW w:w="0" w:type="auto"/>
          <w:tblLayout w:type="fixed"/>
          <w:tblLook w:val="06A0"/>
        </w:tblPrEx>
        <w:trPr>
          <w:trHeight w:val="300"/>
        </w:trPr>
        <w:tc>
          <w:tcPr>
            <w:tcW w:w="4697" w:type="dxa"/>
            <w:vAlign w:val="center"/>
          </w:tcPr>
          <w:p w:rsidR="7DCCD7A6" w:rsidP="7DCCD7A6" w14:paraId="5BCACA96" w14:textId="5207CDBE">
            <w:r>
              <w:t>c. Process problems</w:t>
            </w:r>
          </w:p>
        </w:tc>
        <w:tc>
          <w:tcPr>
            <w:tcW w:w="356" w:type="dxa"/>
            <w:vAlign w:val="center"/>
          </w:tcPr>
          <w:p w:rsidR="7DCCD7A6" w14:paraId="5F938935" w14:textId="2FAEB145"/>
        </w:tc>
        <w:tc>
          <w:tcPr>
            <w:tcW w:w="3950" w:type="dxa"/>
            <w:vAlign w:val="center"/>
          </w:tcPr>
          <w:p w:rsidR="7DCCD7A6" w:rsidP="7DCCD7A6" w14:paraId="2D2B07D8" w14:textId="6DE74868">
            <w:r>
              <w:t>c. Quality assurance calibration</w:t>
            </w:r>
          </w:p>
        </w:tc>
        <w:tc>
          <w:tcPr>
            <w:tcW w:w="357" w:type="dxa"/>
            <w:vAlign w:val="center"/>
          </w:tcPr>
          <w:p w:rsidR="7DCCD7A6" w14:paraId="6B847E3E" w14:textId="7CAFA878"/>
        </w:tc>
      </w:tr>
      <w:tr w14:paraId="5BBC5F09" w14:textId="77777777" w:rsidTr="7DCCD7A6">
        <w:tblPrEx>
          <w:tblW w:w="0" w:type="auto"/>
          <w:tblLayout w:type="fixed"/>
          <w:tblLook w:val="06A0"/>
        </w:tblPrEx>
        <w:trPr>
          <w:trHeight w:val="300"/>
        </w:trPr>
        <w:tc>
          <w:tcPr>
            <w:tcW w:w="4697" w:type="dxa"/>
            <w:vAlign w:val="center"/>
          </w:tcPr>
          <w:p w:rsidR="7DCCD7A6" w:rsidP="7DCCD7A6" w14:paraId="0F93B6BB" w14:textId="7B8E603D">
            <w:r>
              <w:t>d. Other known causes</w:t>
            </w:r>
          </w:p>
        </w:tc>
        <w:tc>
          <w:tcPr>
            <w:tcW w:w="356" w:type="dxa"/>
            <w:vAlign w:val="center"/>
          </w:tcPr>
          <w:p w:rsidR="7DCCD7A6" w14:paraId="0D588546" w14:textId="1F227A81"/>
        </w:tc>
        <w:tc>
          <w:tcPr>
            <w:tcW w:w="3950" w:type="dxa"/>
            <w:vAlign w:val="center"/>
          </w:tcPr>
          <w:p w:rsidR="7DCCD7A6" w:rsidP="7DCCD7A6" w14:paraId="5B4F6EB4" w14:textId="59A80D62">
            <w:r>
              <w:t>d. Other known causes</w:t>
            </w:r>
          </w:p>
        </w:tc>
        <w:tc>
          <w:tcPr>
            <w:tcW w:w="357" w:type="dxa"/>
            <w:vAlign w:val="center"/>
          </w:tcPr>
          <w:p w:rsidR="7DCCD7A6" w14:paraId="06DCC538" w14:textId="11DB5A07"/>
        </w:tc>
      </w:tr>
      <w:tr w14:paraId="41A70B5C" w14:textId="77777777" w:rsidTr="7DCCD7A6">
        <w:tblPrEx>
          <w:tblW w:w="0" w:type="auto"/>
          <w:tblLayout w:type="fixed"/>
          <w:tblLook w:val="06A0"/>
        </w:tblPrEx>
        <w:trPr>
          <w:trHeight w:val="300"/>
        </w:trPr>
        <w:tc>
          <w:tcPr>
            <w:tcW w:w="4697" w:type="dxa"/>
            <w:vAlign w:val="center"/>
          </w:tcPr>
          <w:p w:rsidR="7DCCD7A6" w:rsidP="7DCCD7A6" w14:paraId="384E76C3" w14:textId="11217A7C">
            <w:r>
              <w:t>e. Unknown causes</w:t>
            </w:r>
          </w:p>
        </w:tc>
        <w:tc>
          <w:tcPr>
            <w:tcW w:w="356" w:type="dxa"/>
            <w:vAlign w:val="center"/>
          </w:tcPr>
          <w:p w:rsidR="7DCCD7A6" w14:paraId="62C46536" w14:textId="6DE3CF4E"/>
        </w:tc>
        <w:tc>
          <w:tcPr>
            <w:tcW w:w="3950" w:type="dxa"/>
            <w:vAlign w:val="center"/>
          </w:tcPr>
          <w:p w:rsidR="7DCCD7A6" w:rsidP="7DCCD7A6" w14:paraId="18FFE99E" w14:textId="2B5A4E73">
            <w:r>
              <w:t>e. Unknown causes</w:t>
            </w:r>
          </w:p>
        </w:tc>
        <w:tc>
          <w:tcPr>
            <w:tcW w:w="357" w:type="dxa"/>
            <w:vAlign w:val="center"/>
          </w:tcPr>
          <w:p w:rsidR="7DCCD7A6" w14:paraId="27CE60A9" w14:textId="1D0DF03D"/>
        </w:tc>
      </w:tr>
      <w:tr w14:paraId="77A6C59A" w14:textId="77777777" w:rsidTr="7DCCD7A6">
        <w:tblPrEx>
          <w:tblW w:w="0" w:type="auto"/>
          <w:tblLayout w:type="fixed"/>
          <w:tblLook w:val="06A0"/>
        </w:tblPrEx>
        <w:trPr>
          <w:trHeight w:val="300"/>
        </w:trPr>
        <w:tc>
          <w:tcPr>
            <w:tcW w:w="4697" w:type="dxa"/>
            <w:vAlign w:val="center"/>
          </w:tcPr>
          <w:p w:rsidR="7DCCD7A6" w:rsidP="7DCCD7A6" w14:paraId="60E16F84" w14:textId="3DE3808C">
            <w:r>
              <w:t>2. Total duration of excess emission</w:t>
            </w:r>
          </w:p>
        </w:tc>
        <w:tc>
          <w:tcPr>
            <w:tcW w:w="356" w:type="dxa"/>
            <w:vAlign w:val="center"/>
          </w:tcPr>
          <w:p w:rsidR="7DCCD7A6" w14:paraId="5A6048C1" w14:textId="0E102977"/>
        </w:tc>
        <w:tc>
          <w:tcPr>
            <w:tcW w:w="3950" w:type="dxa"/>
            <w:vAlign w:val="center"/>
          </w:tcPr>
          <w:p w:rsidR="7DCCD7A6" w:rsidP="7DCCD7A6" w14:paraId="049DE46D" w14:textId="7B8466D9">
            <w:r>
              <w:t>2. Total CMS Downtime</w:t>
            </w:r>
          </w:p>
        </w:tc>
        <w:tc>
          <w:tcPr>
            <w:tcW w:w="357" w:type="dxa"/>
            <w:vAlign w:val="center"/>
          </w:tcPr>
          <w:p w:rsidR="7DCCD7A6" w14:paraId="6858FD51" w14:textId="237D01D9"/>
        </w:tc>
      </w:tr>
      <w:tr w14:paraId="4586E701" w14:textId="77777777" w:rsidTr="7DCCD7A6">
        <w:tblPrEx>
          <w:tblW w:w="0" w:type="auto"/>
          <w:tblLayout w:type="fixed"/>
          <w:tblLook w:val="06A0"/>
        </w:tblPrEx>
        <w:trPr>
          <w:trHeight w:val="300"/>
        </w:trPr>
        <w:tc>
          <w:tcPr>
            <w:tcW w:w="4697" w:type="dxa"/>
            <w:vAlign w:val="center"/>
          </w:tcPr>
          <w:p w:rsidR="7DCCD7A6" w:rsidP="7DCCD7A6" w14:paraId="4BDB9DC8" w14:textId="060B3509">
            <w:r>
              <w:t>3. Total duration of excess emissions × (100) [Total source operating time]</w:t>
            </w:r>
          </w:p>
        </w:tc>
        <w:tc>
          <w:tcPr>
            <w:tcW w:w="356" w:type="dxa"/>
            <w:vAlign w:val="center"/>
          </w:tcPr>
          <w:p w:rsidR="7DCCD7A6" w:rsidP="7DCCD7A6" w14:paraId="340AB7CD" w14:textId="68A9A7D7">
            <w:r>
              <w:t>%</w:t>
            </w:r>
            <w:r w:rsidRPr="7DCCD7A6">
              <w:rPr>
                <w:vertAlign w:val="superscript"/>
              </w:rPr>
              <w:t>2</w:t>
            </w:r>
            <w:r>
              <w:t xml:space="preserve"> </w:t>
            </w:r>
          </w:p>
        </w:tc>
        <w:tc>
          <w:tcPr>
            <w:tcW w:w="3950" w:type="dxa"/>
            <w:vAlign w:val="center"/>
          </w:tcPr>
          <w:p w:rsidR="7DCCD7A6" w:rsidP="7DCCD7A6" w14:paraId="02D03F00" w14:textId="53A18234">
            <w:r>
              <w:t>3. [Total CMS Downtime] × (100) [Total source operating time]</w:t>
            </w:r>
          </w:p>
        </w:tc>
        <w:tc>
          <w:tcPr>
            <w:tcW w:w="357" w:type="dxa"/>
            <w:vAlign w:val="center"/>
          </w:tcPr>
          <w:p w:rsidR="7DCCD7A6" w:rsidP="7DCCD7A6" w14:paraId="05F13BE5" w14:textId="09132DA9">
            <w:r>
              <w:t>%</w:t>
            </w:r>
            <w:r w:rsidRPr="7DCCD7A6">
              <w:rPr>
                <w:vertAlign w:val="superscript"/>
              </w:rPr>
              <w:t>2</w:t>
            </w:r>
            <w:r>
              <w:t xml:space="preserve"> </w:t>
            </w:r>
          </w:p>
        </w:tc>
      </w:tr>
      <w:tr w14:paraId="5A2A8DD0" w14:textId="77777777" w:rsidTr="7DCCD7A6">
        <w:tblPrEx>
          <w:tblW w:w="0" w:type="auto"/>
          <w:tblLayout w:type="fixed"/>
          <w:tblLook w:val="06A0"/>
        </w:tblPrEx>
        <w:trPr>
          <w:trHeight w:val="300"/>
        </w:trPr>
        <w:tc>
          <w:tcPr>
            <w:tcW w:w="9360" w:type="dxa"/>
            <w:gridSpan w:val="4"/>
            <w:vAlign w:val="center"/>
          </w:tcPr>
          <w:p w:rsidR="7DCCD7A6" w:rsidP="7DCCD7A6" w14:paraId="2314C9CB" w14:textId="73387C87">
            <w:r w:rsidRPr="7DCCD7A6">
              <w:rPr>
                <w:vertAlign w:val="superscript"/>
              </w:rPr>
              <w:t>1</w:t>
            </w:r>
            <w:r>
              <w:t xml:space="preserve"> For opacity, record all times in minutes. For gases, record all times in hours. </w:t>
            </w:r>
          </w:p>
        </w:tc>
      </w:tr>
      <w:tr w14:paraId="5ED18483" w14:textId="77777777" w:rsidTr="7DCCD7A6">
        <w:tblPrEx>
          <w:tblW w:w="0" w:type="auto"/>
          <w:tblLayout w:type="fixed"/>
          <w:tblLook w:val="06A0"/>
        </w:tblPrEx>
        <w:trPr>
          <w:trHeight w:val="300"/>
        </w:trPr>
        <w:tc>
          <w:tcPr>
            <w:tcW w:w="9360" w:type="dxa"/>
            <w:gridSpan w:val="4"/>
            <w:vAlign w:val="center"/>
          </w:tcPr>
          <w:p w:rsidR="7DCCD7A6" w:rsidP="7DCCD7A6" w14:paraId="542C2011" w14:textId="5E0901AB">
            <w:r w:rsidRPr="7DCCD7A6">
              <w:rPr>
                <w:vertAlign w:val="superscript"/>
              </w:rPr>
              <w:t>2</w:t>
            </w:r>
            <w:r>
              <w:t xml:space="preserve"> For the reporting period: If the total duration of excess emissions is 1 percent or greater of the total operating time or the total CMS downtime is 5 percent or greater of the total operating time, both the summary report form and the excess emission report described in </w:t>
            </w:r>
            <w:hyperlink r:id="rId13" w:anchor="p-60.7(c)">
              <w:r w:rsidRPr="7DCCD7A6">
                <w:rPr>
                  <w:rStyle w:val="Hyperlink"/>
                </w:rPr>
                <w:t>§ 60.7(c)</w:t>
              </w:r>
            </w:hyperlink>
            <w:r>
              <w:t xml:space="preserve"> shall be submitted.</w:t>
            </w:r>
          </w:p>
        </w:tc>
      </w:tr>
    </w:tbl>
    <w:p w:rsidR="00B517A8" w:rsidP="7DCCD7A6" w14:paraId="0CDBE43B" w14:textId="7830C10C">
      <w:pPr>
        <w:spacing w:before="240" w:after="240"/>
      </w:pPr>
      <w:r w:rsidRPr="7DCCD7A6">
        <w:rPr>
          <w:rFonts w:ascii="Aptos" w:eastAsia="Aptos" w:hAnsi="Aptos" w:cs="Aptos"/>
        </w:rPr>
        <w:t>On a separate page, describe any changes since last quarter in CMS, process or controls. I certify that the information contained in this report is true, accurate, and complete.</w:t>
      </w:r>
    </w:p>
    <w:p w:rsidR="00B517A8" w:rsidP="7DCCD7A6" w14:paraId="594F08D3" w14:textId="12418A72">
      <w:pPr>
        <w:spacing w:before="240" w:after="240"/>
      </w:pPr>
      <w:r w:rsidRPr="7DCCD7A6">
        <w:rPr>
          <w:rFonts w:ascii="Aptos" w:eastAsia="Aptos" w:hAnsi="Aptos" w:cs="Aptos"/>
        </w:rPr>
        <w:t xml:space="preserve">Name </w:t>
      </w:r>
    </w:p>
    <w:p w:rsidR="00B517A8" w:rsidP="7DCCD7A6" w14:paraId="74D2A835" w14:textId="022C37CB">
      <w:pPr>
        <w:spacing w:before="240" w:after="240"/>
      </w:pPr>
      <w:r w:rsidRPr="7DCCD7A6">
        <w:rPr>
          <w:rFonts w:ascii="Aptos" w:eastAsia="Aptos" w:hAnsi="Aptos" w:cs="Aptos"/>
        </w:rPr>
        <w:t xml:space="preserve">Signature </w:t>
      </w:r>
    </w:p>
    <w:p w:rsidR="00B517A8" w:rsidP="7DCCD7A6" w14:paraId="5A42F69C" w14:textId="01B2FCCB">
      <w:pPr>
        <w:spacing w:before="240" w:after="240"/>
      </w:pPr>
      <w:r w:rsidRPr="7DCCD7A6">
        <w:rPr>
          <w:rFonts w:ascii="Aptos" w:eastAsia="Aptos" w:hAnsi="Aptos" w:cs="Aptos"/>
        </w:rPr>
        <w:t xml:space="preserve">Title </w:t>
      </w:r>
    </w:p>
    <w:p w:rsidR="00B517A8" w:rsidP="7DCCD7A6" w14:paraId="3A80C785" w14:textId="044B73F8">
      <w:pPr>
        <w:spacing w:before="240" w:after="240"/>
      </w:pPr>
      <w:r w:rsidRPr="7DCCD7A6">
        <w:rPr>
          <w:rFonts w:ascii="Aptos" w:eastAsia="Aptos" w:hAnsi="Aptos" w:cs="Aptos"/>
        </w:rPr>
        <w:t>Date</w:t>
      </w:r>
    </w:p>
    <w:p w:rsidR="00B517A8" w:rsidP="10B81F39" w14:paraId="530DE68E" w14:textId="514C664A">
      <w:r w:rsidRPr="10B81F39">
        <w:t>§ 60.8 Performance tests.</w:t>
      </w:r>
    </w:p>
    <w:p w:rsidR="00B517A8" w:rsidP="7DCCD7A6" w14:paraId="0AB9FD3B" w14:textId="6E577B10">
      <w:pPr>
        <w:spacing w:before="240" w:after="240"/>
        <w:ind w:left="180"/>
      </w:pPr>
      <w:r w:rsidRPr="7DCCD7A6">
        <w:rPr>
          <w:rFonts w:ascii="Aptos" w:eastAsia="Aptos" w:hAnsi="Aptos" w:cs="Aptos"/>
        </w:rPr>
        <w:t xml:space="preserve">(a) Except as specified in </w:t>
      </w:r>
      <w:hyperlink r:id="rId12" w:anchor="p-60.8(a)(1)">
        <w:r w:rsidRPr="7DCCD7A6">
          <w:rPr>
            <w:rStyle w:val="Hyperlink"/>
            <w:rFonts w:ascii="Aptos" w:eastAsia="Aptos" w:hAnsi="Aptos" w:cs="Aptos"/>
          </w:rPr>
          <w:t>paragraphs (a)(1)</w:t>
        </w:r>
      </w:hyperlink>
      <w:r w:rsidRPr="7DCCD7A6">
        <w:rPr>
          <w:rFonts w:ascii="Aptos" w:eastAsia="Aptos" w:hAnsi="Aptos" w:cs="Aptos"/>
        </w:rPr>
        <w:t>,</w:t>
      </w:r>
      <w:hyperlink r:id="rId12" w:anchor="p-60.8(a)(2)">
        <w:r w:rsidRPr="7DCCD7A6">
          <w:rPr>
            <w:rStyle w:val="Hyperlink"/>
            <w:rFonts w:ascii="Aptos" w:eastAsia="Aptos" w:hAnsi="Aptos" w:cs="Aptos"/>
          </w:rPr>
          <w:t>(a)(2)</w:t>
        </w:r>
      </w:hyperlink>
      <w:r w:rsidRPr="7DCCD7A6">
        <w:rPr>
          <w:rFonts w:ascii="Aptos" w:eastAsia="Aptos" w:hAnsi="Aptos" w:cs="Aptos"/>
        </w:rPr>
        <w:t xml:space="preserve">, </w:t>
      </w:r>
      <w:hyperlink r:id="rId12" w:anchor="p-60.8(a)(3)">
        <w:r w:rsidRPr="7DCCD7A6">
          <w:rPr>
            <w:rStyle w:val="Hyperlink"/>
            <w:rFonts w:ascii="Aptos" w:eastAsia="Aptos" w:hAnsi="Aptos" w:cs="Aptos"/>
          </w:rPr>
          <w:t>(a)(3)</w:t>
        </w:r>
      </w:hyperlink>
      <w:r w:rsidRPr="7DCCD7A6">
        <w:rPr>
          <w:rFonts w:ascii="Aptos" w:eastAsia="Aptos" w:hAnsi="Aptos" w:cs="Aptos"/>
        </w:rPr>
        <w:t xml:space="preserve">, and </w:t>
      </w:r>
      <w:hyperlink r:id="rId12" w:anchor="p-60.8(a)(4)">
        <w:r w:rsidRPr="7DCCD7A6">
          <w:rPr>
            <w:rStyle w:val="Hyperlink"/>
            <w:rFonts w:ascii="Aptos" w:eastAsia="Aptos" w:hAnsi="Aptos" w:cs="Aptos"/>
          </w:rPr>
          <w:t>(a)(4)</w:t>
        </w:r>
      </w:hyperlink>
      <w:r w:rsidRPr="7DCCD7A6">
        <w:rPr>
          <w:rFonts w:ascii="Aptos" w:eastAsia="Aptos" w:hAnsi="Aptos" w:cs="Aptos"/>
        </w:rP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w:t>
      </w:r>
    </w:p>
    <w:p w:rsidR="00B517A8" w:rsidP="7DCCD7A6" w14:paraId="2978C6EB" w14:textId="3F3D3DDE">
      <w:pPr>
        <w:spacing w:before="240" w:after="240"/>
        <w:ind w:left="360"/>
      </w:pPr>
      <w:r w:rsidRPr="7DCCD7A6">
        <w:rPr>
          <w:rFonts w:ascii="Aptos" w:eastAsia="Aptos" w:hAnsi="Aptos" w:cs="Aptos"/>
        </w:rPr>
        <w:t>(1)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w:t>
      </w:r>
    </w:p>
    <w:p w:rsidR="00B517A8" w:rsidP="7DCCD7A6" w14:paraId="7643EF7E" w14:textId="498E4C6B">
      <w:pPr>
        <w:spacing w:before="240" w:after="240"/>
        <w:ind w:left="360"/>
      </w:pPr>
      <w:r w:rsidRPr="7DCCD7A6">
        <w:rPr>
          <w:rFonts w:ascii="Aptos" w:eastAsia="Aptos" w:hAnsi="Aptos" w:cs="Aptos"/>
        </w:rPr>
        <w:t xml:space="preserve">(2) The owner or operator shall provide to the Administrator a written description of the force majeure event and a rationale for attributing the delay in testing beyond the regulatory deadline to the force majeure; describe the measures taken or to be taken to </w:t>
      </w:r>
      <w:r w:rsidRPr="7DCCD7A6">
        <w:rPr>
          <w:rFonts w:ascii="Aptos" w:eastAsia="Aptos" w:hAnsi="Aptos" w:cs="Aptos"/>
        </w:rPr>
        <w:t>minimize the delay; and identify a date by which the owner or operator proposes to conduct the performance test. The performance test shall be conducted as soon as practicable after the force majeure occurs.</w:t>
      </w:r>
    </w:p>
    <w:p w:rsidR="00B517A8" w:rsidP="7DCCD7A6" w14:paraId="253F836A" w14:textId="4638320C">
      <w:pPr>
        <w:spacing w:before="240" w:after="240"/>
        <w:ind w:left="360"/>
      </w:pPr>
      <w:r w:rsidRPr="7DCCD7A6">
        <w:rPr>
          <w:rFonts w:ascii="Aptos" w:eastAsia="Aptos" w:hAnsi="Aptos" w:cs="Aptos"/>
        </w:rPr>
        <w:t>(3)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00B517A8" w:rsidP="7DCCD7A6" w14:paraId="40AB5186" w14:textId="572DDB28">
      <w:pPr>
        <w:spacing w:before="240" w:after="240"/>
        <w:ind w:left="360"/>
      </w:pPr>
      <w:r w:rsidRPr="7DCCD7A6">
        <w:rPr>
          <w:rFonts w:ascii="Aptos" w:eastAsia="Aptos" w:hAnsi="Aptos" w:cs="Aptos"/>
        </w:rPr>
        <w:t xml:space="preserve">(4) Until an extension of the performance test deadline has been approved by the Administrator under </w:t>
      </w:r>
      <w:hyperlink r:id="rId12" w:anchor="p-60.8(a)(1)">
        <w:r w:rsidRPr="7DCCD7A6">
          <w:rPr>
            <w:rStyle w:val="Hyperlink"/>
            <w:rFonts w:ascii="Aptos" w:eastAsia="Aptos" w:hAnsi="Aptos" w:cs="Aptos"/>
          </w:rPr>
          <w:t>paragraphs (a)(1)</w:t>
        </w:r>
      </w:hyperlink>
      <w:r w:rsidRPr="7DCCD7A6">
        <w:rPr>
          <w:rFonts w:ascii="Aptos" w:eastAsia="Aptos" w:hAnsi="Aptos" w:cs="Aptos"/>
        </w:rPr>
        <w:t xml:space="preserve">, </w:t>
      </w:r>
      <w:hyperlink r:id="rId12" w:anchor="p-60.8(a)(2)">
        <w:r w:rsidRPr="7DCCD7A6">
          <w:rPr>
            <w:rStyle w:val="Hyperlink"/>
            <w:rFonts w:ascii="Aptos" w:eastAsia="Aptos" w:hAnsi="Aptos" w:cs="Aptos"/>
          </w:rPr>
          <w:t>(2)</w:t>
        </w:r>
      </w:hyperlink>
      <w:r w:rsidRPr="7DCCD7A6">
        <w:rPr>
          <w:rFonts w:ascii="Aptos" w:eastAsia="Aptos" w:hAnsi="Aptos" w:cs="Aptos"/>
        </w:rPr>
        <w:t xml:space="preserve">, and </w:t>
      </w:r>
      <w:hyperlink r:id="rId12" w:anchor="p-60.8(a)(3)">
        <w:r w:rsidRPr="7DCCD7A6">
          <w:rPr>
            <w:rStyle w:val="Hyperlink"/>
            <w:rFonts w:ascii="Aptos" w:eastAsia="Aptos" w:hAnsi="Aptos" w:cs="Aptos"/>
          </w:rPr>
          <w:t>(3)</w:t>
        </w:r>
      </w:hyperlink>
      <w:r w:rsidRPr="7DCCD7A6">
        <w:rPr>
          <w:rFonts w:ascii="Aptos" w:eastAsia="Aptos" w:hAnsi="Aptos" w:cs="Aptos"/>
        </w:rPr>
        <w:t xml:space="preserve"> of this section, the owner or operator of the affected facility remains strictly subject to the requirements of this part.</w:t>
      </w:r>
    </w:p>
    <w:p w:rsidR="00B517A8" w:rsidP="7DCCD7A6" w14:paraId="3DE447E2" w14:textId="640BE905">
      <w:pPr>
        <w:spacing w:before="240" w:after="240"/>
      </w:pPr>
      <w:r w:rsidRPr="6E9DD5EB">
        <w:rPr>
          <w:rFonts w:ascii="Aptos" w:eastAsia="Aptos" w:hAnsi="Aptos" w:cs="Aptos"/>
        </w:rPr>
        <w:t>(d) The owner or operator of an affected facility shall provide the Administrator at least 30 days prior notice of any performance test, except as specified under other subparts, to afford the Administrator the opportunity to have an observer present. If after 30 days notice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p w:rsidR="3FBDD555" w:rsidP="10B81F39" w14:paraId="17B74A1B" w14:textId="370FF8FB">
      <w:r w:rsidRPr="10B81F39">
        <w:t>§ 60.495 Reporting and recordkeeping requirements.</w:t>
      </w:r>
    </w:p>
    <w:p w:rsidR="3FBDD555" w:rsidP="6E9DD5EB" w14:paraId="4DF1FC24" w14:textId="3CBC4AF9">
      <w:pPr>
        <w:spacing w:before="240" w:after="240"/>
        <w:ind w:left="180"/>
      </w:pPr>
      <w:r w:rsidRPr="6E9DD5EB">
        <w:rPr>
          <w:rFonts w:ascii="Aptos" w:eastAsia="Aptos" w:hAnsi="Aptos" w:cs="Aptos"/>
        </w:rPr>
        <w:t xml:space="preserve">(a) The owner or operator of an affected facility shall include the following data in the initial compliance report required under </w:t>
      </w:r>
      <w:hyperlink r:id="rId12" w:anchor="p-60.8(a)">
        <w:r w:rsidRPr="6E9DD5EB">
          <w:rPr>
            <w:rStyle w:val="Hyperlink"/>
            <w:rFonts w:ascii="Aptos" w:eastAsia="Aptos" w:hAnsi="Aptos" w:cs="Aptos"/>
          </w:rPr>
          <w:t>§ 60.8(a)</w:t>
        </w:r>
      </w:hyperlink>
      <w:r w:rsidRPr="6E9DD5EB">
        <w:rPr>
          <w:rFonts w:ascii="Aptos" w:eastAsia="Aptos" w:hAnsi="Aptos" w:cs="Aptos"/>
        </w:rPr>
        <w:t>.</w:t>
      </w:r>
    </w:p>
    <w:p w:rsidR="3FBDD555" w:rsidP="6E9DD5EB" w14:paraId="5234793B" w14:textId="3FE233CC">
      <w:pPr>
        <w:spacing w:before="240" w:after="240"/>
        <w:ind w:left="360"/>
      </w:pPr>
      <w:r w:rsidRPr="6E9DD5EB">
        <w:rPr>
          <w:rFonts w:ascii="Aptos" w:eastAsia="Aptos" w:hAnsi="Aptos" w:cs="Aptos"/>
        </w:rPr>
        <w:t xml:space="preserve">(1) Where only coatings which individually have a VOC content equal to or less than the limits specified under </w:t>
      </w:r>
      <w:hyperlink r:id="rId14">
        <w:r w:rsidRPr="6E9DD5EB">
          <w:rPr>
            <w:rStyle w:val="Hyperlink"/>
            <w:rFonts w:ascii="Aptos" w:eastAsia="Aptos" w:hAnsi="Aptos" w:cs="Aptos"/>
          </w:rPr>
          <w:t>§ 60.492</w:t>
        </w:r>
      </w:hyperlink>
      <w:r w:rsidRPr="6E9DD5EB">
        <w:rPr>
          <w:rFonts w:ascii="Aptos" w:eastAsia="Aptos" w:hAnsi="Aptos" w:cs="Aptos"/>
        </w:rPr>
        <w:t xml:space="preserve"> are used, and no VOC is added to the coating during the application or distribution process, the owner or operator shall provide a list of the coatings used for each affected facility and the VOC content of each coating calculated from data determined using Method 24 or supplied by the manufacturers of the coatings.</w:t>
      </w:r>
    </w:p>
    <w:p w:rsidR="3FBDD555" w:rsidP="6E9DD5EB" w14:paraId="033357C4" w14:textId="050CE1C2">
      <w:pPr>
        <w:spacing w:before="240" w:after="240"/>
        <w:ind w:left="360"/>
      </w:pPr>
      <w:r w:rsidRPr="6E9DD5EB">
        <w:rPr>
          <w:rFonts w:ascii="Aptos" w:eastAsia="Aptos" w:hAnsi="Aptos" w:cs="Aptos"/>
        </w:rPr>
        <w:t xml:space="preserve">(2) Where one or more coatings which individually have a VOC content greater than the limits specified under </w:t>
      </w:r>
      <w:hyperlink r:id="rId14">
        <w:r w:rsidRPr="6E9DD5EB">
          <w:rPr>
            <w:rStyle w:val="Hyperlink"/>
            <w:rFonts w:ascii="Aptos" w:eastAsia="Aptos" w:hAnsi="Aptos" w:cs="Aptos"/>
          </w:rPr>
          <w:t>§ 60.492</w:t>
        </w:r>
      </w:hyperlink>
      <w:r w:rsidRPr="6E9DD5EB">
        <w:rPr>
          <w:rFonts w:ascii="Aptos" w:eastAsia="Aptos" w:hAnsi="Aptos" w:cs="Aptos"/>
        </w:rPr>
        <w:t xml:space="preserve"> are used or where VOC are added or used in the coating process, the owner or operator shall report for each affected facility the volume-weighted average of the total mass of VOC per volume of coating solids.</w:t>
      </w:r>
    </w:p>
    <w:p w:rsidR="3FBDD555" w:rsidP="6E9DD5EB" w14:paraId="443183A9" w14:textId="28333622">
      <w:pPr>
        <w:spacing w:before="240" w:after="240"/>
        <w:ind w:left="360"/>
      </w:pPr>
      <w:r w:rsidRPr="6E9DD5EB">
        <w:rPr>
          <w:rFonts w:ascii="Aptos" w:eastAsia="Aptos" w:hAnsi="Aptos" w:cs="Aptos"/>
        </w:rPr>
        <w:t xml:space="preserve">(3) Where compliance is achieved through the use of incineration, the owner or operator shall include in the initial performance test required under </w:t>
      </w:r>
      <w:hyperlink r:id="rId12" w:anchor="p-60.8(a)">
        <w:r w:rsidRPr="6E9DD5EB">
          <w:rPr>
            <w:rStyle w:val="Hyperlink"/>
            <w:rFonts w:ascii="Aptos" w:eastAsia="Aptos" w:hAnsi="Aptos" w:cs="Aptos"/>
          </w:rPr>
          <w:t>§ 60.8(a)</w:t>
        </w:r>
      </w:hyperlink>
      <w:r w:rsidRPr="6E9DD5EB">
        <w:rPr>
          <w:rFonts w:ascii="Aptos" w:eastAsia="Aptos" w:hAnsi="Aptos" w:cs="Aptos"/>
        </w:rPr>
        <w:t xml:space="preserve"> the combustion temperature (or the gas temperature upstream and downstream of the catalyst bed), the total mass of VOC per volume of coating solids before and after the incinerator, capture efficiency, and the destruction efficiency of the incinerator used to attain compliance with the applicable emission limit specified under </w:t>
      </w:r>
      <w:hyperlink r:id="rId14">
        <w:r w:rsidRPr="6E9DD5EB">
          <w:rPr>
            <w:rStyle w:val="Hyperlink"/>
            <w:rFonts w:ascii="Aptos" w:eastAsia="Aptos" w:hAnsi="Aptos" w:cs="Aptos"/>
          </w:rPr>
          <w:t>§ 60.492</w:t>
        </w:r>
      </w:hyperlink>
      <w:r w:rsidRPr="6E9DD5EB">
        <w:rPr>
          <w:rFonts w:ascii="Aptos" w:eastAsia="Aptos" w:hAnsi="Aptos" w:cs="Aptos"/>
        </w:rPr>
        <w:t>. The owner or operator shall also include a description of the method used to establish the amount of VOC captured by the capture system and sent to the control device.</w:t>
      </w:r>
    </w:p>
    <w:p w:rsidR="3FBDD555" w:rsidP="6E9DD5EB" w14:paraId="32D41C2C" w14:textId="339A554A">
      <w:pPr>
        <w:spacing w:before="240" w:after="240"/>
        <w:ind w:left="180"/>
      </w:pPr>
      <w:r w:rsidRPr="6E9DD5EB">
        <w:rPr>
          <w:rFonts w:ascii="Aptos" w:eastAsia="Aptos" w:hAnsi="Aptos" w:cs="Aptos"/>
        </w:rPr>
        <w:t xml:space="preserve">(b) Following the initial performance test, each owner or operator shall identify, record, and submit quarterly reports to the Administrator of each instance in which the volume-weighted average of the total mass of VOC per volume of coating solids, after the control device, if capture devices and control systems are used, is greater than the limit specified under </w:t>
      </w:r>
      <w:hyperlink r:id="rId14">
        <w:r w:rsidRPr="6E9DD5EB">
          <w:rPr>
            <w:rStyle w:val="Hyperlink"/>
            <w:rFonts w:ascii="Aptos" w:eastAsia="Aptos" w:hAnsi="Aptos" w:cs="Aptos"/>
          </w:rPr>
          <w:t>§ 60.492</w:t>
        </w:r>
      </w:hyperlink>
      <w:r w:rsidRPr="6E9DD5EB">
        <w:rPr>
          <w:rFonts w:ascii="Aptos" w:eastAsia="Aptos" w:hAnsi="Aptos" w:cs="Aptos"/>
        </w:rPr>
        <w:t>. If no such instances occur during a particular quarter, a report stating this shall be submitted to the Administrator semiannually.</w:t>
      </w:r>
    </w:p>
    <w:p w:rsidR="3FBDD555" w:rsidP="6E9DD5EB" w14:paraId="5996F9C9" w14:textId="24B3F8EA">
      <w:pPr>
        <w:spacing w:before="240" w:after="240"/>
        <w:ind w:left="180"/>
      </w:pPr>
      <w:r w:rsidRPr="6E9DD5EB">
        <w:rPr>
          <w:rFonts w:ascii="Aptos" w:eastAsia="Aptos" w:hAnsi="Aptos" w:cs="Aptos"/>
        </w:rPr>
        <w:t xml:space="preserve">(c) Following the initial performance test, the owner or operator of an affected facility shall identify, record, and submit at the frequency specified in </w:t>
      </w:r>
      <w:hyperlink r:id="rId13" w:anchor="p-60.7(c)">
        <w:r w:rsidRPr="6E9DD5EB">
          <w:rPr>
            <w:rStyle w:val="Hyperlink"/>
            <w:rFonts w:ascii="Aptos" w:eastAsia="Aptos" w:hAnsi="Aptos" w:cs="Aptos"/>
          </w:rPr>
          <w:t>§ 60.7(c)</w:t>
        </w:r>
      </w:hyperlink>
      <w:r w:rsidRPr="6E9DD5EB">
        <w:rPr>
          <w:rFonts w:ascii="Aptos" w:eastAsia="Aptos" w:hAnsi="Aptos" w:cs="Aptos"/>
        </w:rPr>
        <w:t xml:space="preserve"> the following:</w:t>
      </w:r>
    </w:p>
    <w:p w:rsidR="3FBDD555" w:rsidP="6E9DD5EB" w14:paraId="173CB0ED" w14:textId="6279862B">
      <w:pPr>
        <w:spacing w:before="240" w:after="240"/>
        <w:ind w:left="360"/>
      </w:pPr>
      <w:r w:rsidRPr="6E9DD5EB">
        <w:rPr>
          <w:rFonts w:ascii="Aptos" w:eastAsia="Aptos" w:hAnsi="Aptos" w:cs="Aptos"/>
        </w:rPr>
        <w:t xml:space="preserve">(1) Where compliance with </w:t>
      </w:r>
      <w:hyperlink r:id="rId14">
        <w:r w:rsidRPr="6E9DD5EB">
          <w:rPr>
            <w:rStyle w:val="Hyperlink"/>
            <w:rFonts w:ascii="Aptos" w:eastAsia="Aptos" w:hAnsi="Aptos" w:cs="Aptos"/>
          </w:rPr>
          <w:t>§ 60.492</w:t>
        </w:r>
      </w:hyperlink>
      <w:r w:rsidRPr="6E9DD5EB">
        <w:rPr>
          <w:rFonts w:ascii="Aptos" w:eastAsia="Aptos" w:hAnsi="Aptos" w:cs="Aptos"/>
        </w:rPr>
        <w:t xml:space="preserve"> is achieved through the use of thermal incineration, each 3-hour period when cans are processed, during which the average temperature of the device was more than 28 °C below the average temperature of the device during the most recent performance test at which destruction efficiency was determined as specified under </w:t>
      </w:r>
      <w:hyperlink r:id="rId15">
        <w:r w:rsidRPr="6E9DD5EB">
          <w:rPr>
            <w:rStyle w:val="Hyperlink"/>
            <w:rFonts w:ascii="Aptos" w:eastAsia="Aptos" w:hAnsi="Aptos" w:cs="Aptos"/>
          </w:rPr>
          <w:t>§ 60.493</w:t>
        </w:r>
      </w:hyperlink>
      <w:r w:rsidRPr="6E9DD5EB">
        <w:rPr>
          <w:rFonts w:ascii="Aptos" w:eastAsia="Aptos" w:hAnsi="Aptos" w:cs="Aptos"/>
        </w:rPr>
        <w:t>.</w:t>
      </w:r>
    </w:p>
    <w:p w:rsidR="3FBDD555" w:rsidP="6E9DD5EB" w14:paraId="6CDE3033" w14:textId="2D88ED25">
      <w:pPr>
        <w:spacing w:before="240" w:after="240"/>
        <w:ind w:left="360"/>
      </w:pPr>
      <w:r w:rsidRPr="6E9DD5EB">
        <w:rPr>
          <w:rFonts w:ascii="Aptos" w:eastAsia="Aptos" w:hAnsi="Aptos" w:cs="Aptos"/>
        </w:rPr>
        <w:t xml:space="preserve">(2) Where compliance with </w:t>
      </w:r>
      <w:hyperlink r:id="rId14">
        <w:r w:rsidRPr="6E9DD5EB">
          <w:rPr>
            <w:rStyle w:val="Hyperlink"/>
            <w:rFonts w:ascii="Aptos" w:eastAsia="Aptos" w:hAnsi="Aptos" w:cs="Aptos"/>
          </w:rPr>
          <w:t>§ 60.492</w:t>
        </w:r>
      </w:hyperlink>
      <w:r w:rsidRPr="6E9DD5EB">
        <w:rPr>
          <w:rFonts w:ascii="Aptos" w:eastAsia="Aptos" w:hAnsi="Aptos" w:cs="Aptos"/>
        </w:rPr>
        <w:t xml:space="preserve"> is achieved through the use of catalytic incineration, each 3-hour period when cans are being processed, during which the average temperature of the device immediately before the catalyst bed is more than 28 °C below the average temperature of the device immediately before the catalyst bed during the most recent performance test at which destruction efficiency was determined as specified under </w:t>
      </w:r>
      <w:hyperlink r:id="rId15">
        <w:r w:rsidRPr="6E9DD5EB">
          <w:rPr>
            <w:rStyle w:val="Hyperlink"/>
            <w:rFonts w:ascii="Aptos" w:eastAsia="Aptos" w:hAnsi="Aptos" w:cs="Aptos"/>
          </w:rPr>
          <w:t>§ 60.493</w:t>
        </w:r>
      </w:hyperlink>
      <w:r w:rsidRPr="6E9DD5EB">
        <w:rPr>
          <w:rFonts w:ascii="Aptos" w:eastAsia="Aptos" w:hAnsi="Aptos" w:cs="Aptos"/>
        </w:rPr>
        <w:t xml:space="preserve"> and all 3-hour periods, when cans are being processed, during which the average temperature difference across the catalyst bed is less than 80 percent of the average temperature difference across the catalyst bed during the most recent performance test at which destruction efficiency was determined as specified under </w:t>
      </w:r>
      <w:hyperlink r:id="rId16">
        <w:r w:rsidRPr="6E9DD5EB">
          <w:rPr>
            <w:rStyle w:val="Hyperlink"/>
            <w:rFonts w:ascii="Aptos" w:eastAsia="Aptos" w:hAnsi="Aptos" w:cs="Aptos"/>
          </w:rPr>
          <w:t>§ 60.494</w:t>
        </w:r>
      </w:hyperlink>
      <w:r w:rsidRPr="6E9DD5EB">
        <w:rPr>
          <w:rFonts w:ascii="Aptos" w:eastAsia="Aptos" w:hAnsi="Aptos" w:cs="Aptos"/>
        </w:rPr>
        <w:t>.</w:t>
      </w:r>
    </w:p>
    <w:p w:rsidR="3FBDD555" w:rsidP="6E9DD5EB" w14:paraId="673BD814" w14:textId="2224504B">
      <w:pPr>
        <w:spacing w:before="240" w:after="240"/>
        <w:ind w:left="360"/>
      </w:pPr>
      <w:r w:rsidRPr="6E9DD5EB">
        <w:rPr>
          <w:rFonts w:ascii="Aptos" w:eastAsia="Aptos" w:hAnsi="Aptos" w:cs="Aptos"/>
        </w:rPr>
        <w:t xml:space="preserve">(3) For thermal and catalytic incinerators, if no such periods as described in </w:t>
      </w:r>
      <w:hyperlink r:id="rId17" w:anchor="p-60.495(c)(1)">
        <w:r w:rsidRPr="6E9DD5EB">
          <w:rPr>
            <w:rStyle w:val="Hyperlink"/>
            <w:rFonts w:ascii="Aptos" w:eastAsia="Aptos" w:hAnsi="Aptos" w:cs="Aptos"/>
          </w:rPr>
          <w:t>paragraphs (c)(1)</w:t>
        </w:r>
      </w:hyperlink>
      <w:r w:rsidRPr="6E9DD5EB">
        <w:rPr>
          <w:rFonts w:ascii="Aptos" w:eastAsia="Aptos" w:hAnsi="Aptos" w:cs="Aptos"/>
        </w:rPr>
        <w:t xml:space="preserve"> and </w:t>
      </w:r>
      <w:hyperlink r:id="rId17" w:anchor="p-60.495(c)(2)">
        <w:r w:rsidRPr="6E9DD5EB">
          <w:rPr>
            <w:rStyle w:val="Hyperlink"/>
            <w:rFonts w:ascii="Aptos" w:eastAsia="Aptos" w:hAnsi="Aptos" w:cs="Aptos"/>
          </w:rPr>
          <w:t>(c)(2)</w:t>
        </w:r>
      </w:hyperlink>
      <w:r w:rsidRPr="6E9DD5EB">
        <w:rPr>
          <w:rFonts w:ascii="Aptos" w:eastAsia="Aptos" w:hAnsi="Aptos" w:cs="Aptos"/>
        </w:rPr>
        <w:t xml:space="preserve"> of this section occur, the owner or operator shall state this in the report.</w:t>
      </w:r>
    </w:p>
    <w:p w:rsidR="3FBDD555" w:rsidP="10B81F39" w14:paraId="6B4BF099" w14:textId="353FF488">
      <w:r w:rsidRPr="10B81F39">
        <w:t>§ 63.10 Recordkeeping and reporting requirements.</w:t>
      </w:r>
    </w:p>
    <w:p w:rsidR="3FBDD555" w:rsidP="6E9DD5EB" w14:paraId="025C3C98" w14:textId="3D433FEF">
      <w:pPr>
        <w:spacing w:before="240" w:after="240"/>
        <w:ind w:left="180"/>
      </w:pPr>
      <w:r w:rsidRPr="6E9DD5EB">
        <w:rPr>
          <w:rFonts w:ascii="Aptos" w:eastAsia="Aptos" w:hAnsi="Aptos" w:cs="Aptos"/>
        </w:rPr>
        <w:t xml:space="preserve">(a) </w:t>
      </w:r>
      <w:r w:rsidRPr="6E9DD5EB">
        <w:rPr>
          <w:rFonts w:ascii="Aptos" w:eastAsia="Aptos" w:hAnsi="Aptos" w:cs="Aptos"/>
          <w:b/>
          <w:bCs/>
          <w:i/>
          <w:iCs/>
        </w:rPr>
        <w:t>Applicability and general information.</w:t>
      </w:r>
      <w:r w:rsidRPr="6E9DD5EB">
        <w:rPr>
          <w:rFonts w:ascii="Aptos" w:eastAsia="Aptos" w:hAnsi="Aptos" w:cs="Aptos"/>
        </w:rPr>
        <w:t xml:space="preserve"> </w:t>
      </w:r>
    </w:p>
    <w:p w:rsidR="3FBDD555" w:rsidP="6E9DD5EB" w14:paraId="65CB37CC" w14:textId="240D2BEE">
      <w:pPr>
        <w:spacing w:before="240" w:after="240"/>
        <w:ind w:left="360"/>
      </w:pPr>
      <w:r w:rsidRPr="6E9DD5EB">
        <w:rPr>
          <w:rFonts w:ascii="Aptos" w:eastAsia="Aptos" w:hAnsi="Aptos" w:cs="Aptos"/>
        </w:rPr>
        <w:t xml:space="preserve">(1) The applicability of this section is set out in </w:t>
      </w:r>
      <w:hyperlink r:id="rId18" w:anchor="p-63.1(a)(4)">
        <w:r w:rsidRPr="6E9DD5EB">
          <w:rPr>
            <w:rStyle w:val="Hyperlink"/>
            <w:rFonts w:ascii="Aptos" w:eastAsia="Aptos" w:hAnsi="Aptos" w:cs="Aptos"/>
          </w:rPr>
          <w:t>§ 63.1(a)(4)</w:t>
        </w:r>
      </w:hyperlink>
      <w:r w:rsidRPr="6E9DD5EB">
        <w:rPr>
          <w:rFonts w:ascii="Aptos" w:eastAsia="Aptos" w:hAnsi="Aptos" w:cs="Aptos"/>
        </w:rPr>
        <w:t>.</w:t>
      </w:r>
    </w:p>
    <w:p w:rsidR="3FBDD555" w:rsidP="6E9DD5EB" w14:paraId="4EA2BC6E" w14:textId="05C7E0DE">
      <w:pPr>
        <w:spacing w:before="240" w:after="240"/>
        <w:ind w:left="360"/>
      </w:pPr>
      <w:r w:rsidRPr="6E9DD5EB">
        <w:rPr>
          <w:rFonts w:ascii="Aptos" w:eastAsia="Aptos" w:hAnsi="Aptos" w:cs="Aptos"/>
        </w:rPr>
        <w:t xml:space="preserve">(2) For affected sources that have been granted an extension of compliance under </w:t>
      </w:r>
      <w:hyperlink r:id="rId19">
        <w:r w:rsidRPr="6E9DD5EB">
          <w:rPr>
            <w:rStyle w:val="Hyperlink"/>
            <w:rFonts w:ascii="Aptos" w:eastAsia="Aptos" w:hAnsi="Aptos" w:cs="Aptos"/>
          </w:rPr>
          <w:t>subpart D of this part</w:t>
        </w:r>
      </w:hyperlink>
      <w:r w:rsidRPr="6E9DD5EB">
        <w:rPr>
          <w:rFonts w:ascii="Aptos" w:eastAsia="Aptos" w:hAnsi="Aptos" w:cs="Aptos"/>
        </w:rPr>
        <w:t>, the requirements of this section do not apply to those sources while they are operating under such compliance extensions.</w:t>
      </w:r>
    </w:p>
    <w:p w:rsidR="3FBDD555" w:rsidP="6E9DD5EB" w14:paraId="31E4C1B0" w14:textId="0D7E69A7">
      <w:pPr>
        <w:spacing w:before="240" w:after="240"/>
        <w:ind w:left="360"/>
      </w:pPr>
      <w:r w:rsidRPr="6E9DD5EB">
        <w:rPr>
          <w:rFonts w:ascii="Aptos" w:eastAsia="Aptos" w:hAnsi="Aptos" w:cs="Aptos"/>
        </w:rPr>
        <w:t>(3) If any State requires a report that contains all the information required in a report listed in this section, an owner or operator may send the Administrator a copy of the report sent to the State to satisfy the requirements of this section for that report.</w:t>
      </w:r>
    </w:p>
    <w:p w:rsidR="3FBDD555" w:rsidP="6E9DD5EB" w14:paraId="2DDA3470" w14:textId="5CD7F941">
      <w:pPr>
        <w:spacing w:before="240" w:after="240"/>
        <w:ind w:left="360"/>
      </w:pPr>
      <w:r w:rsidRPr="6E9DD5EB">
        <w:rPr>
          <w:rFonts w:ascii="Aptos" w:eastAsia="Aptos" w:hAnsi="Aptos" w:cs="Aptos"/>
        </w:rPr>
        <w:t xml:space="preserve">(4) </w:t>
      </w:r>
    </w:p>
    <w:p w:rsidR="3FBDD555" w:rsidP="6E9DD5EB" w14:paraId="3C6763BC" w14:textId="5E6A75DD">
      <w:pPr>
        <w:spacing w:before="240" w:after="240"/>
        <w:ind w:left="540"/>
      </w:pPr>
      <w:r w:rsidRPr="6E9DD5EB">
        <w:rPr>
          <w:rFonts w:ascii="Aptos" w:eastAsia="Aptos" w:hAnsi="Aptos" w:cs="Aptos"/>
        </w:rPr>
        <w:t xml:space="preserve">(i)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w:t>
      </w:r>
      <w:hyperlink r:id="rId20">
        <w:r w:rsidRPr="6E9DD5EB">
          <w:rPr>
            <w:rStyle w:val="Hyperlink"/>
            <w:rFonts w:ascii="Aptos" w:eastAsia="Aptos" w:hAnsi="Aptos" w:cs="Aptos"/>
          </w:rPr>
          <w:t>§ 63.13</w:t>
        </w:r>
      </w:hyperlink>
      <w:r w:rsidRPr="6E9DD5EB">
        <w:rPr>
          <w:rFonts w:ascii="Aptos" w:eastAsia="Aptos" w:hAnsi="Aptos" w:cs="Aptos"/>
        </w:rPr>
        <w:t>).</w:t>
      </w:r>
    </w:p>
    <w:p w:rsidR="3FBDD555" w:rsidP="6E9DD5EB" w14:paraId="51F74EBF" w14:textId="1E9F1049">
      <w:pPr>
        <w:spacing w:before="240" w:after="240"/>
        <w:ind w:left="540"/>
      </w:pPr>
      <w:r w:rsidRPr="6E9DD5EB">
        <w:rPr>
          <w:rFonts w:ascii="Aptos" w:eastAsia="Aptos" w:hAnsi="Aptos" w:cs="Aptos"/>
        </w:rPr>
        <w:t xml:space="preserve">(ii)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Regional Office of the EPA, as specified in </w:t>
      </w:r>
      <w:hyperlink r:id="rId21" w:anchor="p-63.10(a)(4)(i)">
        <w:r w:rsidRPr="6E9DD5EB">
          <w:rPr>
            <w:rStyle w:val="Hyperlink"/>
            <w:rFonts w:ascii="Aptos" w:eastAsia="Aptos" w:hAnsi="Aptos" w:cs="Aptos"/>
          </w:rPr>
          <w:t>paragraph (a)(4)(i)</w:t>
        </w:r>
      </w:hyperlink>
      <w:r w:rsidRPr="6E9DD5EB">
        <w:rPr>
          <w:rFonts w:ascii="Aptos" w:eastAsia="Aptos" w:hAnsi="Aptos" w:cs="Aptos"/>
        </w:rPr>
        <w:t xml:space="preserve"> of this section. The Regional Office may waive this requirement for any reports at its discretion.</w:t>
      </w:r>
    </w:p>
    <w:p w:rsidR="3FBDD555" w:rsidP="6E9DD5EB" w14:paraId="3ACDCC3A" w14:textId="45A69D18">
      <w:pPr>
        <w:spacing w:before="240" w:after="240"/>
        <w:ind w:left="360"/>
      </w:pPr>
      <w:r w:rsidRPr="6E9DD5EB">
        <w:rPr>
          <w:rFonts w:ascii="Aptos" w:eastAsia="Aptos" w:hAnsi="Aptos" w:cs="Aptos"/>
        </w:rPr>
        <w:t xml:space="preserve">(5) If an owner or operator of an affected source in a State with delegated authority is required to submit periodic reports under this part to the State, and if the State has an established timeline for the submission of periodic reports that is consistent with the reporting frequency(ies)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w:t>
      </w:r>
      <w:r w:rsidRPr="6E9DD5EB">
        <w:rPr>
          <w:rFonts w:ascii="Aptos" w:eastAsia="Aptos" w:hAnsi="Aptos" w:cs="Aptos"/>
        </w:rPr>
        <w:t xml:space="preserve">allowance in the previous sentence applies in each State beginning 1 year after the affected source's compliance date for that standard. Procedures governing the implementation of this provision are specified in </w:t>
      </w:r>
      <w:hyperlink r:id="rId22" w:anchor="p-63.9(i)">
        <w:r w:rsidRPr="6E9DD5EB">
          <w:rPr>
            <w:rStyle w:val="Hyperlink"/>
            <w:rFonts w:ascii="Aptos" w:eastAsia="Aptos" w:hAnsi="Aptos" w:cs="Aptos"/>
          </w:rPr>
          <w:t>§ 63.9(i)</w:t>
        </w:r>
      </w:hyperlink>
      <w:r w:rsidRPr="6E9DD5EB">
        <w:rPr>
          <w:rFonts w:ascii="Aptos" w:eastAsia="Aptos" w:hAnsi="Aptos" w:cs="Aptos"/>
        </w:rPr>
        <w:t>.</w:t>
      </w:r>
    </w:p>
    <w:p w:rsidR="3FBDD555" w:rsidP="6E9DD5EB" w14:paraId="766A1203" w14:textId="6B083D47">
      <w:pPr>
        <w:spacing w:before="240" w:after="240"/>
        <w:ind w:left="360"/>
      </w:pPr>
      <w:r w:rsidRPr="6E9DD5EB">
        <w:rPr>
          <w:rFonts w:ascii="Aptos" w:eastAsia="Aptos" w:hAnsi="Aptos" w:cs="Aptos"/>
        </w:rPr>
        <w:t xml:space="preserve">(6)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w:t>
      </w:r>
      <w:hyperlink r:id="rId22" w:anchor="p-63.9(i)">
        <w:r w:rsidRPr="6E9DD5EB">
          <w:rPr>
            <w:rStyle w:val="Hyperlink"/>
            <w:rFonts w:ascii="Aptos" w:eastAsia="Aptos" w:hAnsi="Aptos" w:cs="Aptos"/>
          </w:rPr>
          <w:t>§ 63.9(i)</w:t>
        </w:r>
      </w:hyperlink>
      <w:r w:rsidRPr="6E9DD5EB">
        <w:rPr>
          <w:rFonts w:ascii="Aptos" w:eastAsia="Aptos" w:hAnsi="Aptos" w:cs="Aptos"/>
        </w:rPr>
        <w:t>.</w:t>
      </w:r>
    </w:p>
    <w:p w:rsidR="3FBDD555" w:rsidP="6E9DD5EB" w14:paraId="3E88E67E" w14:textId="0C8B48B8">
      <w:pPr>
        <w:spacing w:before="240" w:after="240"/>
        <w:ind w:left="360"/>
      </w:pPr>
      <w:r w:rsidRPr="6E9DD5EB">
        <w:rPr>
          <w:rFonts w:ascii="Aptos" w:eastAsia="Aptos" w:hAnsi="Aptos" w:cs="Aptos"/>
        </w:rPr>
        <w:t xml:space="preserve">(7) If an owner or operator supervises one or more stationary sources affected by standards established pursuant to section 112 of the Act (as amended November 15, 1990) and standards set under part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be in compliance with the relevant section 112 standard, or 1 year after the stationary source is required to be in compliance with the applicable part 60 or part 61 standard, whichever is latest. Procedures governing the implementation of this provision are specified in </w:t>
      </w:r>
      <w:hyperlink r:id="rId22" w:anchor="p-63.9(i)">
        <w:r w:rsidRPr="6E9DD5EB">
          <w:rPr>
            <w:rStyle w:val="Hyperlink"/>
            <w:rFonts w:ascii="Aptos" w:eastAsia="Aptos" w:hAnsi="Aptos" w:cs="Aptos"/>
          </w:rPr>
          <w:t>§ 63.9(i)</w:t>
        </w:r>
      </w:hyperlink>
      <w:r w:rsidRPr="6E9DD5EB">
        <w:rPr>
          <w:rFonts w:ascii="Aptos" w:eastAsia="Aptos" w:hAnsi="Aptos" w:cs="Aptos"/>
        </w:rPr>
        <w:t>.</w:t>
      </w:r>
    </w:p>
    <w:p w:rsidR="3FBDD555" w:rsidP="6E9DD5EB" w14:paraId="701FA9D2" w14:textId="172F6DAF">
      <w:pPr>
        <w:spacing w:before="240" w:after="240"/>
        <w:ind w:left="180"/>
      </w:pPr>
      <w:r w:rsidRPr="6E9DD5EB">
        <w:rPr>
          <w:rFonts w:ascii="Aptos" w:eastAsia="Aptos" w:hAnsi="Aptos" w:cs="Aptos"/>
        </w:rPr>
        <w:t xml:space="preserve">(b) </w:t>
      </w:r>
      <w:r w:rsidRPr="6E9DD5EB">
        <w:rPr>
          <w:rFonts w:ascii="Aptos" w:eastAsia="Aptos" w:hAnsi="Aptos" w:cs="Aptos"/>
          <w:b/>
          <w:bCs/>
          <w:i/>
          <w:iCs/>
        </w:rPr>
        <w:t>General recordkeeping requirements.</w:t>
      </w:r>
      <w:r w:rsidRPr="6E9DD5EB">
        <w:rPr>
          <w:rFonts w:ascii="Aptos" w:eastAsia="Aptos" w:hAnsi="Aptos" w:cs="Aptos"/>
        </w:rPr>
        <w:t xml:space="preserve"> </w:t>
      </w:r>
    </w:p>
    <w:p w:rsidR="3FBDD555" w:rsidP="6E9DD5EB" w14:paraId="6103D698" w14:textId="022DFD94">
      <w:pPr>
        <w:spacing w:before="240" w:after="240"/>
        <w:ind w:left="360"/>
      </w:pPr>
      <w:r w:rsidRPr="6E9DD5EB">
        <w:rPr>
          <w:rFonts w:ascii="Aptos" w:eastAsia="Aptos" w:hAnsi="Aptos" w:cs="Aptos"/>
        </w:rPr>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3FBDD555" w:rsidP="6E9DD5EB" w14:paraId="1958243A" w14:textId="56A2AD02">
      <w:pPr>
        <w:spacing w:before="240" w:after="240"/>
        <w:ind w:left="360"/>
      </w:pPr>
      <w:r w:rsidRPr="6E9DD5EB">
        <w:rPr>
          <w:rFonts w:ascii="Aptos" w:eastAsia="Aptos" w:hAnsi="Aptos" w:cs="Aptos"/>
        </w:rPr>
        <w:t>(2) The owner or operator of an affected source subject to the provisions of this part shall maintain relevant records for such source of—</w:t>
      </w:r>
    </w:p>
    <w:p w:rsidR="3FBDD555" w:rsidP="6E9DD5EB" w14:paraId="33C388E6" w14:textId="20755DA0">
      <w:pPr>
        <w:spacing w:before="240" w:after="240"/>
        <w:ind w:left="540"/>
      </w:pPr>
      <w:r w:rsidRPr="6E9DD5EB">
        <w:rPr>
          <w:rFonts w:ascii="Aptos" w:eastAsia="Aptos" w:hAnsi="Aptos" w:cs="Aptos"/>
        </w:rPr>
        <w:t>(i) The occurrence and duration of each startup or shutdown when the startup or shutdown causes the source to exceed any applicable emission limitation in the relevant emission standards;</w:t>
      </w:r>
    </w:p>
    <w:p w:rsidR="3FBDD555" w:rsidP="6E9DD5EB" w14:paraId="305532BF" w14:textId="0DAFF6CD">
      <w:pPr>
        <w:spacing w:before="240" w:after="240"/>
        <w:ind w:left="540"/>
      </w:pPr>
      <w:r w:rsidRPr="6E9DD5EB">
        <w:rPr>
          <w:rFonts w:ascii="Aptos" w:eastAsia="Aptos" w:hAnsi="Aptos" w:cs="Aptos"/>
        </w:rPr>
        <w:t>(ii) The occurrence and duration of each malfunction of operation (i.e., process equipment) or the required air pollution control and monitoring equipment;</w:t>
      </w:r>
    </w:p>
    <w:p w:rsidR="3FBDD555" w:rsidP="6E9DD5EB" w14:paraId="5C67FE05" w14:textId="5406700C">
      <w:pPr>
        <w:spacing w:before="240" w:after="240"/>
        <w:ind w:left="540"/>
      </w:pPr>
      <w:r w:rsidRPr="6E9DD5EB">
        <w:rPr>
          <w:rFonts w:ascii="Aptos" w:eastAsia="Aptos" w:hAnsi="Aptos" w:cs="Aptos"/>
        </w:rPr>
        <w:t>(iii) All required maintenance performed on the air pollution control and monitoring equipment;</w:t>
      </w:r>
    </w:p>
    <w:p w:rsidR="3FBDD555" w:rsidP="6E9DD5EB" w14:paraId="761AC856" w14:textId="5CFA5D02">
      <w:pPr>
        <w:spacing w:before="240" w:after="240"/>
        <w:ind w:left="540"/>
      </w:pPr>
      <w:r w:rsidRPr="6E9DD5EB">
        <w:rPr>
          <w:rFonts w:ascii="Aptos" w:eastAsia="Aptos" w:hAnsi="Aptos" w:cs="Aptos"/>
        </w:rPr>
        <w:t xml:space="preserve">(iv) </w:t>
      </w:r>
    </w:p>
    <w:p w:rsidR="3FBDD555" w:rsidP="6E9DD5EB" w14:paraId="1E71D086" w14:textId="2BC5D978">
      <w:pPr>
        <w:spacing w:before="240" w:after="240"/>
        <w:ind w:left="720"/>
      </w:pPr>
      <w:r w:rsidRPr="6E9DD5EB">
        <w:rPr>
          <w:rFonts w:ascii="Aptos" w:eastAsia="Aptos" w:hAnsi="Aptos" w:cs="Aptos"/>
        </w:rPr>
        <w:t xml:space="preserve">(A)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23" w:anchor="p-63.6(e)(3)">
        <w:r w:rsidRPr="6E9DD5EB">
          <w:rPr>
            <w:rStyle w:val="Hyperlink"/>
            <w:rFonts w:ascii="Aptos" w:eastAsia="Aptos" w:hAnsi="Aptos" w:cs="Aptos"/>
          </w:rPr>
          <w:t>§ 63.6(e)(3)</w:t>
        </w:r>
      </w:hyperlink>
      <w:r w:rsidRPr="6E9DD5EB">
        <w:rPr>
          <w:rFonts w:ascii="Aptos" w:eastAsia="Aptos" w:hAnsi="Aptos" w:cs="Aptos"/>
        </w:rPr>
        <w:t>); or</w:t>
      </w:r>
    </w:p>
    <w:p w:rsidR="3FBDD555" w:rsidP="6E9DD5EB" w14:paraId="1047C542" w14:textId="319564DF">
      <w:pPr>
        <w:spacing w:before="240" w:after="240"/>
        <w:ind w:left="720"/>
      </w:pPr>
      <w:r w:rsidRPr="6E9DD5EB">
        <w:rPr>
          <w:rFonts w:ascii="Aptos" w:eastAsia="Aptos" w:hAnsi="Aptos" w:cs="Aptos"/>
        </w:rPr>
        <w:t xml:space="preserve">(B)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23" w:anchor="p-63.6(e)(3)">
        <w:r w:rsidRPr="6E9DD5EB">
          <w:rPr>
            <w:rStyle w:val="Hyperlink"/>
            <w:rFonts w:ascii="Aptos" w:eastAsia="Aptos" w:hAnsi="Aptos" w:cs="Aptos"/>
          </w:rPr>
          <w:t>§ 63.6(e)(3)</w:t>
        </w:r>
      </w:hyperlink>
      <w:r w:rsidRPr="6E9DD5EB">
        <w:rPr>
          <w:rFonts w:ascii="Aptos" w:eastAsia="Aptos" w:hAnsi="Aptos" w:cs="Aptos"/>
        </w:rPr>
        <w:t>);</w:t>
      </w:r>
    </w:p>
    <w:p w:rsidR="3FBDD555" w:rsidP="6E9DD5EB" w14:paraId="551A5755" w14:textId="234F5FCB">
      <w:pPr>
        <w:spacing w:before="240" w:after="240"/>
        <w:ind w:left="540"/>
      </w:pPr>
      <w:r w:rsidRPr="6E9DD5EB">
        <w:rPr>
          <w:rFonts w:ascii="Aptos" w:eastAsia="Aptos" w:hAnsi="Aptos" w:cs="Aptos"/>
        </w:rPr>
        <w:t xml:space="preserve">(v) All information necessary, including actions taken, to demonstrate conformance with the affected source's startup, shutdown, and malfunction plan (see </w:t>
      </w:r>
      <w:hyperlink r:id="rId23" w:anchor="p-63.6(e)(3)">
        <w:r w:rsidRPr="6E9DD5EB">
          <w:rPr>
            <w:rStyle w:val="Hyperlink"/>
            <w:rFonts w:ascii="Aptos" w:eastAsia="Aptos" w:hAnsi="Aptos" w:cs="Aptos"/>
          </w:rPr>
          <w:t>§ 63.6(e)(3)</w:t>
        </w:r>
      </w:hyperlink>
      <w:r w:rsidRPr="6E9DD5EB">
        <w:rPr>
          <w:rFonts w:ascii="Aptos" w:eastAsia="Aptos" w:hAnsi="Aptos" w:cs="Aptos"/>
        </w:rP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p>
    <w:p w:rsidR="3FBDD555" w:rsidP="6E9DD5EB" w14:paraId="37837072" w14:textId="64A82338">
      <w:pPr>
        <w:spacing w:before="240" w:after="240"/>
        <w:ind w:left="540"/>
      </w:pPr>
      <w:r w:rsidRPr="6E9DD5EB">
        <w:rPr>
          <w:rFonts w:ascii="Aptos" w:eastAsia="Aptos" w:hAnsi="Aptos" w:cs="Aptos"/>
        </w:rPr>
        <w:t>(vi) Each period during which a CMS is malfunctioning or inoperative (including out-of-control periods);</w:t>
      </w:r>
    </w:p>
    <w:p w:rsidR="3FBDD555" w:rsidP="6E9DD5EB" w14:paraId="0A6EF774" w14:textId="4868B687">
      <w:pPr>
        <w:spacing w:before="240" w:after="240"/>
        <w:ind w:left="540"/>
      </w:pPr>
      <w:r w:rsidRPr="6E9DD5EB">
        <w:rPr>
          <w:rFonts w:ascii="Aptos" w:eastAsia="Aptos" w:hAnsi="Aptos" w:cs="Aptos"/>
        </w:rPr>
        <w:t xml:space="preserve">(vii) All required measurements needed to demonstrate compliance with a relevant standard (including, but not limited to, 15-minute averages of CMS data, raw </w:t>
      </w:r>
      <w:r w:rsidRPr="6E9DD5EB">
        <w:rPr>
          <w:rFonts w:ascii="Aptos" w:eastAsia="Aptos" w:hAnsi="Aptos" w:cs="Aptos"/>
        </w:rPr>
        <w:t>performance testing measurements, and raw performance evaluation measurements, that support data that the source is required to report);</w:t>
      </w:r>
    </w:p>
    <w:p w:rsidR="3FBDD555" w:rsidP="6E9DD5EB" w14:paraId="65DECC1F" w14:textId="723D29E8">
      <w:pPr>
        <w:spacing w:before="240" w:after="240"/>
        <w:ind w:left="720"/>
      </w:pPr>
      <w:r w:rsidRPr="6E9DD5EB">
        <w:rPr>
          <w:rFonts w:ascii="Aptos" w:eastAsia="Aptos" w:hAnsi="Aptos" w:cs="Aptos"/>
        </w:rPr>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w:t>
      </w:r>
      <w:hyperlink r:id="rId21" w:anchor="p-63.10(b)(2)(vii)">
        <w:r w:rsidRPr="6E9DD5EB">
          <w:rPr>
            <w:rStyle w:val="Hyperlink"/>
            <w:rFonts w:ascii="Aptos" w:eastAsia="Aptos" w:hAnsi="Aptos" w:cs="Aptos"/>
          </w:rPr>
          <w:t>paragraph (b)(2)(vii)</w:t>
        </w:r>
      </w:hyperlink>
      <w:r w:rsidRPr="6E9DD5EB">
        <w:rPr>
          <w:rFonts w:ascii="Aptos" w:eastAsia="Aptos" w:hAnsi="Aptos" w:cs="Aptos"/>
        </w:rPr>
        <w:t xml:space="preserve">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3FBDD555" w:rsidP="6E9DD5EB" w14:paraId="76C018A9" w14:textId="6127DEFE">
      <w:pPr>
        <w:spacing w:before="240" w:after="240"/>
        <w:ind w:left="720"/>
      </w:pPr>
      <w:r w:rsidRPr="6E9DD5EB">
        <w:rPr>
          <w:rFonts w:ascii="Aptos" w:eastAsia="Aptos" w:hAnsi="Aptos" w:cs="Aptos"/>
        </w:rPr>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21" w:anchor="p-63.10(b)(2)(vii)">
        <w:r w:rsidRPr="6E9DD5EB">
          <w:rPr>
            <w:rStyle w:val="Hyperlink"/>
            <w:rFonts w:ascii="Aptos" w:eastAsia="Aptos" w:hAnsi="Aptos" w:cs="Aptos"/>
          </w:rPr>
          <w:t>paragraph (b)(2)(vii)</w:t>
        </w:r>
      </w:hyperlink>
      <w:r w:rsidRPr="6E9DD5EB">
        <w:rPr>
          <w:rFonts w:ascii="Aptos" w:eastAsia="Aptos" w:hAnsi="Aptos" w:cs="Aptos"/>
        </w:rPr>
        <w:t xml:space="preserve">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3FBDD555" w:rsidP="6E9DD5EB" w14:paraId="72F4634D" w14:textId="3831475B">
      <w:pPr>
        <w:spacing w:before="240" w:after="240"/>
        <w:ind w:left="720"/>
      </w:pPr>
      <w:r w:rsidRPr="6E9DD5EB">
        <w:rPr>
          <w:rFonts w:ascii="Aptos" w:eastAsia="Aptos" w:hAnsi="Aptos" w:cs="Aptos"/>
        </w:rPr>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3FBDD555" w:rsidP="6E9DD5EB" w14:paraId="7019D453" w14:textId="75245C9C">
      <w:pPr>
        <w:spacing w:before="240" w:after="240"/>
        <w:ind w:left="540"/>
      </w:pPr>
      <w:r w:rsidRPr="6E9DD5EB">
        <w:rPr>
          <w:rFonts w:ascii="Aptos" w:eastAsia="Aptos" w:hAnsi="Aptos" w:cs="Aptos"/>
        </w:rPr>
        <w:t>(viii) All results of performance tests, CMS performance evaluations, and opacity and visible emission observations;</w:t>
      </w:r>
    </w:p>
    <w:p w:rsidR="3FBDD555" w:rsidP="6E9DD5EB" w14:paraId="01CC2E27" w14:textId="6067BACF">
      <w:pPr>
        <w:spacing w:before="240" w:after="240"/>
        <w:ind w:left="540"/>
      </w:pPr>
      <w:r w:rsidRPr="6E9DD5EB">
        <w:rPr>
          <w:rFonts w:ascii="Aptos" w:eastAsia="Aptos" w:hAnsi="Aptos" w:cs="Aptos"/>
        </w:rPr>
        <w:t>(ix) All measurements as may be necessary to determine the conditions of performance tests and performance evaluations;</w:t>
      </w:r>
    </w:p>
    <w:p w:rsidR="3FBDD555" w:rsidP="6E9DD5EB" w14:paraId="6191231A" w14:textId="536734DD">
      <w:pPr>
        <w:spacing w:before="240" w:after="240"/>
        <w:ind w:left="540"/>
      </w:pPr>
      <w:r w:rsidRPr="6E9DD5EB">
        <w:rPr>
          <w:rFonts w:ascii="Aptos" w:eastAsia="Aptos" w:hAnsi="Aptos" w:cs="Aptos"/>
        </w:rPr>
        <w:t>(x) All CMS calibration checks;</w:t>
      </w:r>
    </w:p>
    <w:p w:rsidR="3FBDD555" w:rsidP="6E9DD5EB" w14:paraId="778FD961" w14:textId="5DD2A129">
      <w:pPr>
        <w:spacing w:before="240" w:after="240"/>
        <w:ind w:left="540"/>
      </w:pPr>
      <w:r w:rsidRPr="6E9DD5EB">
        <w:rPr>
          <w:rFonts w:ascii="Aptos" w:eastAsia="Aptos" w:hAnsi="Aptos" w:cs="Aptos"/>
        </w:rPr>
        <w:t>(xi) All adjustments and maintenance performed on CMS;</w:t>
      </w:r>
    </w:p>
    <w:p w:rsidR="3FBDD555" w:rsidP="6E9DD5EB" w14:paraId="020575CF" w14:textId="3F283351">
      <w:pPr>
        <w:spacing w:before="240" w:after="240"/>
        <w:ind w:left="540"/>
      </w:pPr>
      <w:r w:rsidRPr="6E9DD5EB">
        <w:rPr>
          <w:rFonts w:ascii="Aptos" w:eastAsia="Aptos" w:hAnsi="Aptos" w:cs="Aptos"/>
        </w:rPr>
        <w:t xml:space="preserve">(xii) Any information demonstrating whether a source is meeting the requirements for a waiver of recordkeeping or reporting requirements under this part, if the source has been granted a waiver under </w:t>
      </w:r>
      <w:hyperlink r:id="rId21" w:anchor="p-63.10(f)">
        <w:r w:rsidRPr="6E9DD5EB">
          <w:rPr>
            <w:rStyle w:val="Hyperlink"/>
            <w:rFonts w:ascii="Aptos" w:eastAsia="Aptos" w:hAnsi="Aptos" w:cs="Aptos"/>
          </w:rPr>
          <w:t>paragraph (f)</w:t>
        </w:r>
      </w:hyperlink>
      <w:r w:rsidRPr="6E9DD5EB">
        <w:rPr>
          <w:rFonts w:ascii="Aptos" w:eastAsia="Aptos" w:hAnsi="Aptos" w:cs="Aptos"/>
        </w:rPr>
        <w:t xml:space="preserve"> of this section;</w:t>
      </w:r>
    </w:p>
    <w:p w:rsidR="3FBDD555" w:rsidP="6E9DD5EB" w14:paraId="27A84E81" w14:textId="11233610">
      <w:pPr>
        <w:spacing w:before="240" w:after="240"/>
        <w:ind w:left="540"/>
      </w:pPr>
      <w:r w:rsidRPr="6E9DD5EB">
        <w:rPr>
          <w:rFonts w:ascii="Aptos" w:eastAsia="Aptos" w:hAnsi="Aptos" w:cs="Aptos"/>
        </w:rPr>
        <w:t xml:space="preserve">(xiii) All emission levels relative to the criterion for obtaining permission to use an alternative to the relative accuracy test, if the source has been granted such permission under </w:t>
      </w:r>
      <w:hyperlink r:id="rId24" w:anchor="p-63.8(f)(6)">
        <w:r w:rsidRPr="6E9DD5EB">
          <w:rPr>
            <w:rStyle w:val="Hyperlink"/>
            <w:rFonts w:ascii="Aptos" w:eastAsia="Aptos" w:hAnsi="Aptos" w:cs="Aptos"/>
          </w:rPr>
          <w:t>§ 63.8(f)(6)</w:t>
        </w:r>
      </w:hyperlink>
      <w:r w:rsidRPr="6E9DD5EB">
        <w:rPr>
          <w:rFonts w:ascii="Aptos" w:eastAsia="Aptos" w:hAnsi="Aptos" w:cs="Aptos"/>
        </w:rPr>
        <w:t>; and</w:t>
      </w:r>
    </w:p>
    <w:p w:rsidR="3FBDD555" w:rsidP="6E9DD5EB" w14:paraId="321641FB" w14:textId="1C29A229">
      <w:pPr>
        <w:spacing w:before="240" w:after="240"/>
        <w:ind w:left="540"/>
      </w:pPr>
      <w:r w:rsidRPr="6E9DD5EB">
        <w:rPr>
          <w:rFonts w:ascii="Aptos" w:eastAsia="Aptos" w:hAnsi="Aptos" w:cs="Aptos"/>
        </w:rPr>
        <w:t xml:space="preserve">(xiv) All documentation supporting initial notifications and notifications of compliance status under </w:t>
      </w:r>
      <w:hyperlink r:id="rId22">
        <w:r w:rsidRPr="6E9DD5EB">
          <w:rPr>
            <w:rStyle w:val="Hyperlink"/>
            <w:rFonts w:ascii="Aptos" w:eastAsia="Aptos" w:hAnsi="Aptos" w:cs="Aptos"/>
          </w:rPr>
          <w:t>§ 63.9</w:t>
        </w:r>
      </w:hyperlink>
      <w:r w:rsidRPr="6E9DD5EB">
        <w:rPr>
          <w:rFonts w:ascii="Aptos" w:eastAsia="Aptos" w:hAnsi="Aptos" w:cs="Aptos"/>
        </w:rPr>
        <w:t>.</w:t>
      </w:r>
    </w:p>
    <w:p w:rsidR="3FBDD555" w:rsidP="6E9DD5EB" w14:paraId="1AE0A1D1" w14:textId="4101D17A">
      <w:pPr>
        <w:spacing w:before="240" w:after="240"/>
        <w:ind w:left="360"/>
      </w:pPr>
      <w:r w:rsidRPr="6E9DD5EB">
        <w:rPr>
          <w:rFonts w:ascii="Aptos" w:eastAsia="Aptos" w:hAnsi="Aptos" w:cs="Aptos"/>
        </w:rPr>
        <w:t>(3)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sidRPr="6E9DD5EB">
        <w:rPr>
          <w:rFonts w:ascii="Aptos" w:eastAsia="Aptos" w:hAnsi="Aptos" w:cs="Aptos"/>
          <w:i/>
          <w:iCs/>
        </w:rPr>
        <w:t>e.g.,</w:t>
      </w:r>
      <w:r w:rsidRPr="6E9DD5EB">
        <w:rPr>
          <w:rFonts w:ascii="Aptos" w:eastAsia="Aptos" w:hAnsi="Aptos" w:cs="Aptos"/>
        </w:rPr>
        <w:t xml:space="preserve"> because the source is an area source). The analysis (or other information) must be sufficiently detailed to allow the Administrator to make an applicability finding for the source with regard to the relevant standard or other requirement. If applicable, the analysis must be performed in accordance with requirements established in relevant </w:t>
      </w:r>
      <w:hyperlink r:id="rId25">
        <w:r w:rsidRPr="6E9DD5EB">
          <w:rPr>
            <w:rStyle w:val="Hyperlink"/>
            <w:rFonts w:ascii="Aptos" w:eastAsia="Aptos" w:hAnsi="Aptos" w:cs="Aptos"/>
          </w:rPr>
          <w:t>subparts of this part</w:t>
        </w:r>
      </w:hyperlink>
      <w:r w:rsidRPr="6E9DD5EB">
        <w:rPr>
          <w:rFonts w:ascii="Aptos" w:eastAsia="Aptos" w:hAnsi="Aptos" w:cs="Aptos"/>
        </w:rP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18" w:anchor="p-63.1(b)(3)">
        <w:r w:rsidRPr="6E9DD5EB">
          <w:rPr>
            <w:rStyle w:val="Hyperlink"/>
            <w:rFonts w:ascii="Aptos" w:eastAsia="Aptos" w:hAnsi="Aptos" w:cs="Aptos"/>
          </w:rPr>
          <w:t>§ 63.1(b)(3)</w:t>
        </w:r>
      </w:hyperlink>
      <w:r w:rsidRPr="6E9DD5EB">
        <w:rPr>
          <w:rFonts w:ascii="Aptos" w:eastAsia="Aptos" w:hAnsi="Aptos" w:cs="Aptos"/>
        </w:rPr>
        <w:t xml:space="preserve"> and to record the results of that determination under this </w:t>
      </w:r>
      <w:hyperlink r:id="rId21" w:anchor="p-63.10(b)(3)">
        <w:r w:rsidRPr="6E9DD5EB">
          <w:rPr>
            <w:rStyle w:val="Hyperlink"/>
            <w:rFonts w:ascii="Aptos" w:eastAsia="Aptos" w:hAnsi="Aptos" w:cs="Aptos"/>
          </w:rPr>
          <w:t>paragraph (b)(3)</w:t>
        </w:r>
      </w:hyperlink>
      <w:r w:rsidRPr="6E9DD5EB">
        <w:rPr>
          <w:rFonts w:ascii="Aptos" w:eastAsia="Aptos" w:hAnsi="Aptos" w:cs="Aptos"/>
        </w:rPr>
        <w:t xml:space="preserve"> of this section shall not by themselves create an obligation for the owner or operator to obtain a title V permit.</w:t>
      </w:r>
    </w:p>
    <w:p w:rsidR="3FBDD555" w:rsidP="6E9DD5EB" w14:paraId="0255FA55" w14:textId="5861B3E5">
      <w:pPr>
        <w:spacing w:before="240" w:after="240"/>
        <w:ind w:left="180"/>
      </w:pPr>
      <w:r w:rsidRPr="6E9DD5EB">
        <w:rPr>
          <w:rFonts w:ascii="Aptos" w:eastAsia="Aptos" w:hAnsi="Aptos" w:cs="Aptos"/>
        </w:rPr>
        <w:t xml:space="preserve">(c) </w:t>
      </w:r>
      <w:r w:rsidRPr="6E9DD5EB">
        <w:rPr>
          <w:rFonts w:ascii="Aptos" w:eastAsia="Aptos" w:hAnsi="Aptos" w:cs="Aptos"/>
          <w:b/>
          <w:bCs/>
          <w:i/>
          <w:iCs/>
        </w:rPr>
        <w:t>Additional recordkeeping requirements for sources with continuous monitoring systems.</w:t>
      </w:r>
      <w:r w:rsidRPr="6E9DD5EB">
        <w:rPr>
          <w:rFonts w:ascii="Aptos" w:eastAsia="Aptos" w:hAnsi="Aptos" w:cs="Aptos"/>
        </w:rPr>
        <w:t xml:space="preserve"> In addition to complying with the requirements specified in </w:t>
      </w:r>
      <w:hyperlink r:id="rId21" w:anchor="p-63.10(b)(1)">
        <w:r w:rsidRPr="6E9DD5EB">
          <w:rPr>
            <w:rStyle w:val="Hyperlink"/>
            <w:rFonts w:ascii="Aptos" w:eastAsia="Aptos" w:hAnsi="Aptos" w:cs="Aptos"/>
          </w:rPr>
          <w:t>paragraphs (b)(1)</w:t>
        </w:r>
      </w:hyperlink>
      <w:r w:rsidRPr="6E9DD5EB">
        <w:rPr>
          <w:rFonts w:ascii="Aptos" w:eastAsia="Aptos" w:hAnsi="Aptos" w:cs="Aptos"/>
        </w:rPr>
        <w:t xml:space="preserve"> and </w:t>
      </w:r>
      <w:hyperlink r:id="rId21" w:anchor="p-63.10(b)(2)">
        <w:r w:rsidRPr="6E9DD5EB">
          <w:rPr>
            <w:rStyle w:val="Hyperlink"/>
            <w:rFonts w:ascii="Aptos" w:eastAsia="Aptos" w:hAnsi="Aptos" w:cs="Aptos"/>
          </w:rPr>
          <w:t>(b)(2)</w:t>
        </w:r>
      </w:hyperlink>
      <w:r w:rsidRPr="6E9DD5EB">
        <w:rPr>
          <w:rFonts w:ascii="Aptos" w:eastAsia="Aptos" w:hAnsi="Aptos" w:cs="Aptos"/>
        </w:rPr>
        <w:t xml:space="preserve"> of this section, the owner or operator of an affected source required to install a CMS by a relevant standard shall maintain records for such source of—</w:t>
      </w:r>
    </w:p>
    <w:p w:rsidR="3FBDD555" w:rsidP="6E9DD5EB" w14:paraId="6040A727" w14:textId="02208343">
      <w:pPr>
        <w:spacing w:before="240" w:after="240"/>
        <w:ind w:left="360"/>
      </w:pPr>
      <w:r w:rsidRPr="6E9DD5EB">
        <w:rPr>
          <w:rFonts w:ascii="Aptos" w:eastAsia="Aptos" w:hAnsi="Aptos" w:cs="Aptos"/>
        </w:rPr>
        <w:t>(1) All required CMS measurements (including monitoring data recorded during unavoidable CMS breakdowns and out-of-control periods);</w:t>
      </w:r>
    </w:p>
    <w:p w:rsidR="3FBDD555" w:rsidP="6E9DD5EB" w14:paraId="29B5DD46" w14:textId="49DA927C">
      <w:pPr>
        <w:spacing w:before="240" w:after="240"/>
        <w:ind w:left="360"/>
      </w:pPr>
      <w:r w:rsidRPr="6E9DD5EB">
        <w:rPr>
          <w:rFonts w:ascii="Aptos" w:eastAsia="Aptos" w:hAnsi="Aptos" w:cs="Aptos"/>
        </w:rPr>
        <w:t>(2)-(4) [Reserved]</w:t>
      </w:r>
    </w:p>
    <w:p w:rsidR="3FBDD555" w:rsidP="6E9DD5EB" w14:paraId="7BC00024" w14:textId="079DA54B">
      <w:pPr>
        <w:spacing w:before="240" w:after="240"/>
        <w:ind w:left="360"/>
      </w:pPr>
      <w:r w:rsidRPr="6E9DD5EB">
        <w:rPr>
          <w:rFonts w:ascii="Aptos" w:eastAsia="Aptos" w:hAnsi="Aptos" w:cs="Aptos"/>
        </w:rPr>
        <w:t>(5) The date and time identifying each period during which the CMS was inoperative except for zero (low-level) and high-level checks;</w:t>
      </w:r>
    </w:p>
    <w:p w:rsidR="3FBDD555" w:rsidP="6E9DD5EB" w14:paraId="088F321B" w14:textId="47356AF2">
      <w:pPr>
        <w:spacing w:before="240" w:after="240"/>
        <w:ind w:left="360"/>
      </w:pPr>
      <w:r w:rsidRPr="6E9DD5EB">
        <w:rPr>
          <w:rFonts w:ascii="Aptos" w:eastAsia="Aptos" w:hAnsi="Aptos" w:cs="Aptos"/>
        </w:rPr>
        <w:t xml:space="preserve">(6) The date and time identifying each period during which the CMS was out of control, as defined in </w:t>
      </w:r>
      <w:hyperlink r:id="rId24" w:anchor="p-63.8(c)(7)">
        <w:r w:rsidRPr="6E9DD5EB">
          <w:rPr>
            <w:rStyle w:val="Hyperlink"/>
            <w:rFonts w:ascii="Aptos" w:eastAsia="Aptos" w:hAnsi="Aptos" w:cs="Aptos"/>
          </w:rPr>
          <w:t>§ 63.8(c)(7)</w:t>
        </w:r>
      </w:hyperlink>
      <w:r w:rsidRPr="6E9DD5EB">
        <w:rPr>
          <w:rFonts w:ascii="Aptos" w:eastAsia="Aptos" w:hAnsi="Aptos" w:cs="Aptos"/>
        </w:rPr>
        <w:t>;</w:t>
      </w:r>
    </w:p>
    <w:p w:rsidR="3FBDD555" w:rsidP="6E9DD5EB" w14:paraId="6F82D6BD" w14:textId="22D1CC05">
      <w:pPr>
        <w:spacing w:before="240" w:after="240"/>
        <w:ind w:left="360"/>
      </w:pPr>
      <w:r w:rsidRPr="6E9DD5EB">
        <w:rPr>
          <w:rFonts w:ascii="Aptos" w:eastAsia="Aptos" w:hAnsi="Aptos" w:cs="Aptos"/>
        </w:rPr>
        <w:t>(7) The specific identification (i.e., the date and time of commencement and completion) of each period of excess emissions and parameter monitoring exceedances, as defined in the relevant standard(s), that occurs during startups, shutdowns, and malfunctions of the affected source;</w:t>
      </w:r>
    </w:p>
    <w:p w:rsidR="3FBDD555" w:rsidP="6E9DD5EB" w14:paraId="2FCE88EF" w14:textId="798B937B">
      <w:pPr>
        <w:spacing w:before="240" w:after="240"/>
        <w:ind w:left="360"/>
      </w:pPr>
      <w:r w:rsidRPr="6E9DD5EB">
        <w:rPr>
          <w:rFonts w:ascii="Aptos" w:eastAsia="Aptos" w:hAnsi="Aptos" w:cs="Aptos"/>
        </w:rPr>
        <w:t>(8)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w:t>
      </w:r>
    </w:p>
    <w:p w:rsidR="3FBDD555" w:rsidP="6E9DD5EB" w14:paraId="210CA211" w14:textId="454FD45E">
      <w:pPr>
        <w:spacing w:before="240" w:after="240"/>
        <w:ind w:left="360"/>
      </w:pPr>
      <w:r w:rsidRPr="6E9DD5EB">
        <w:rPr>
          <w:rFonts w:ascii="Aptos" w:eastAsia="Aptos" w:hAnsi="Aptos" w:cs="Aptos"/>
        </w:rPr>
        <w:t>(9) [Reserved]</w:t>
      </w:r>
    </w:p>
    <w:p w:rsidR="3FBDD555" w:rsidP="6E9DD5EB" w14:paraId="7F438C3D" w14:textId="3584D2C2">
      <w:pPr>
        <w:spacing w:before="240" w:after="240"/>
        <w:ind w:left="360"/>
      </w:pPr>
      <w:r w:rsidRPr="6E9DD5EB">
        <w:rPr>
          <w:rFonts w:ascii="Aptos" w:eastAsia="Aptos" w:hAnsi="Aptos" w:cs="Aptos"/>
        </w:rPr>
        <w:t>(10) The nature and cause of any malfunction (if known);</w:t>
      </w:r>
    </w:p>
    <w:p w:rsidR="3FBDD555" w:rsidP="6E9DD5EB" w14:paraId="2CBC491A" w14:textId="5F3652B1">
      <w:pPr>
        <w:spacing w:before="240" w:after="240"/>
        <w:ind w:left="360"/>
      </w:pPr>
      <w:r w:rsidRPr="6E9DD5EB">
        <w:rPr>
          <w:rFonts w:ascii="Aptos" w:eastAsia="Aptos" w:hAnsi="Aptos" w:cs="Aptos"/>
        </w:rPr>
        <w:t>(11) The corrective action taken or preventive measures adopted;</w:t>
      </w:r>
    </w:p>
    <w:p w:rsidR="3FBDD555" w:rsidP="6E9DD5EB" w14:paraId="6473FC89" w14:textId="5FD09A33">
      <w:pPr>
        <w:spacing w:before="240" w:after="240"/>
        <w:ind w:left="360"/>
      </w:pPr>
      <w:r w:rsidRPr="6E9DD5EB">
        <w:rPr>
          <w:rFonts w:ascii="Aptos" w:eastAsia="Aptos" w:hAnsi="Aptos" w:cs="Aptos"/>
        </w:rPr>
        <w:t>(12) The nature of the repairs or adjustments to the CMS that was inoperative or out of control;</w:t>
      </w:r>
    </w:p>
    <w:p w:rsidR="3FBDD555" w:rsidP="6E9DD5EB" w14:paraId="1DF51F9B" w14:textId="1591D34C">
      <w:pPr>
        <w:spacing w:before="240" w:after="240"/>
        <w:ind w:left="360"/>
      </w:pPr>
      <w:r w:rsidRPr="6E9DD5EB">
        <w:rPr>
          <w:rFonts w:ascii="Aptos" w:eastAsia="Aptos" w:hAnsi="Aptos" w:cs="Aptos"/>
        </w:rPr>
        <w:t>(13) The total process operating time during the reporting period; and</w:t>
      </w:r>
    </w:p>
    <w:p w:rsidR="3FBDD555" w:rsidP="6E9DD5EB" w14:paraId="5B3C7CD9" w14:textId="5C494599">
      <w:pPr>
        <w:spacing w:before="240" w:after="240"/>
        <w:ind w:left="360"/>
      </w:pPr>
      <w:r w:rsidRPr="6E9DD5EB">
        <w:rPr>
          <w:rFonts w:ascii="Aptos" w:eastAsia="Aptos" w:hAnsi="Aptos" w:cs="Aptos"/>
        </w:rPr>
        <w:t xml:space="preserve">(14) All procedures that are part of a quality control program developed and implemented for CMS under </w:t>
      </w:r>
      <w:hyperlink r:id="rId24" w:anchor="p-63.8(d)">
        <w:r w:rsidRPr="6E9DD5EB">
          <w:rPr>
            <w:rStyle w:val="Hyperlink"/>
            <w:rFonts w:ascii="Aptos" w:eastAsia="Aptos" w:hAnsi="Aptos" w:cs="Aptos"/>
          </w:rPr>
          <w:t>§ 63.8(d)</w:t>
        </w:r>
      </w:hyperlink>
      <w:r w:rsidRPr="6E9DD5EB">
        <w:rPr>
          <w:rFonts w:ascii="Aptos" w:eastAsia="Aptos" w:hAnsi="Aptos" w:cs="Aptos"/>
        </w:rPr>
        <w:t>.</w:t>
      </w:r>
    </w:p>
    <w:p w:rsidR="3FBDD555" w:rsidP="6E9DD5EB" w14:paraId="34C5686B" w14:textId="4FEE22BA">
      <w:pPr>
        <w:spacing w:before="240" w:after="240"/>
        <w:ind w:left="360"/>
      </w:pPr>
      <w:r w:rsidRPr="6E9DD5EB">
        <w:rPr>
          <w:rFonts w:ascii="Aptos" w:eastAsia="Aptos" w:hAnsi="Aptos" w:cs="Aptos"/>
        </w:rPr>
        <w:t xml:space="preserve">(15) In order to satisfy the requirements of </w:t>
      </w:r>
      <w:hyperlink r:id="rId21" w:anchor="p-63.10(c)(10)">
        <w:r w:rsidRPr="6E9DD5EB">
          <w:rPr>
            <w:rStyle w:val="Hyperlink"/>
            <w:rFonts w:ascii="Aptos" w:eastAsia="Aptos" w:hAnsi="Aptos" w:cs="Aptos"/>
          </w:rPr>
          <w:t>paragraphs (c)(10)</w:t>
        </w:r>
      </w:hyperlink>
      <w:r w:rsidRPr="6E9DD5EB">
        <w:rPr>
          <w:rFonts w:ascii="Aptos" w:eastAsia="Aptos" w:hAnsi="Aptos" w:cs="Aptos"/>
        </w:rPr>
        <w:t xml:space="preserve"> through </w:t>
      </w:r>
      <w:hyperlink r:id="rId21" w:anchor="p-63.10(c)(12)">
        <w:r w:rsidRPr="6E9DD5EB">
          <w:rPr>
            <w:rStyle w:val="Hyperlink"/>
            <w:rFonts w:ascii="Aptos" w:eastAsia="Aptos" w:hAnsi="Aptos" w:cs="Aptos"/>
          </w:rPr>
          <w:t>(c)(12)</w:t>
        </w:r>
      </w:hyperlink>
      <w:r w:rsidRPr="6E9DD5EB">
        <w:rPr>
          <w:rFonts w:ascii="Aptos" w:eastAsia="Aptos" w:hAnsi="Aptos" w:cs="Aptos"/>
        </w:rPr>
        <w:t xml:space="preserve"> of this section and to avoid duplicative recordkeeping efforts, the owner or operator may use </w:t>
      </w:r>
      <w:r w:rsidRPr="6E9DD5EB">
        <w:rPr>
          <w:rFonts w:ascii="Aptos" w:eastAsia="Aptos" w:hAnsi="Aptos" w:cs="Aptos"/>
        </w:rPr>
        <w:t xml:space="preserve">the affected source's startup, shutdown, and malfunction plan or records kept to satisfy the recordkeeping requirements of the startup, shutdown, and malfunction plan specified in </w:t>
      </w:r>
      <w:hyperlink r:id="rId23" w:anchor="p-63.6(e)">
        <w:r w:rsidRPr="6E9DD5EB">
          <w:rPr>
            <w:rStyle w:val="Hyperlink"/>
            <w:rFonts w:ascii="Aptos" w:eastAsia="Aptos" w:hAnsi="Aptos" w:cs="Aptos"/>
          </w:rPr>
          <w:t>§ 63.6(e)</w:t>
        </w:r>
      </w:hyperlink>
      <w:r w:rsidRPr="6E9DD5EB">
        <w:rPr>
          <w:rFonts w:ascii="Aptos" w:eastAsia="Aptos" w:hAnsi="Aptos" w:cs="Aptos"/>
        </w:rPr>
        <w:t>, provided that such plan and records adequately address the requirements of paragraphs (c)(10) through (c)(12).</w:t>
      </w:r>
    </w:p>
    <w:p w:rsidR="3FBDD555" w:rsidP="6E9DD5EB" w14:paraId="28259373" w14:textId="74D4E38C">
      <w:pPr>
        <w:spacing w:before="240" w:after="240"/>
        <w:ind w:left="180"/>
      </w:pPr>
      <w:r w:rsidRPr="6E9DD5EB">
        <w:rPr>
          <w:rFonts w:ascii="Aptos" w:eastAsia="Aptos" w:hAnsi="Aptos" w:cs="Aptos"/>
        </w:rPr>
        <w:t xml:space="preserve">(d) </w:t>
      </w:r>
      <w:r w:rsidRPr="6E9DD5EB">
        <w:rPr>
          <w:rFonts w:ascii="Aptos" w:eastAsia="Aptos" w:hAnsi="Aptos" w:cs="Aptos"/>
          <w:b/>
          <w:bCs/>
          <w:i/>
          <w:iCs/>
        </w:rPr>
        <w:t>General reporting requirements.</w:t>
      </w:r>
      <w:r w:rsidRPr="6E9DD5EB">
        <w:rPr>
          <w:rFonts w:ascii="Aptos" w:eastAsia="Aptos" w:hAnsi="Aptos" w:cs="Aptos"/>
        </w:rPr>
        <w:t xml:space="preserve"> </w:t>
      </w:r>
    </w:p>
    <w:p w:rsidR="3FBDD555" w:rsidP="6E9DD5EB" w14:paraId="220189F6" w14:textId="27797A64">
      <w:pPr>
        <w:spacing w:before="240" w:after="240"/>
        <w:ind w:left="360"/>
      </w:pPr>
      <w:r w:rsidRPr="6E9DD5EB">
        <w:rPr>
          <w:rFonts w:ascii="Aptos" w:eastAsia="Aptos" w:hAnsi="Aptos" w:cs="Aptos"/>
        </w:rPr>
        <w:t xml:space="preserve">(1) Notwithstanding the requirements in this paragraph or </w:t>
      </w:r>
      <w:hyperlink r:id="rId21" w:anchor="p-63.10(e)">
        <w:r w:rsidRPr="6E9DD5EB">
          <w:rPr>
            <w:rStyle w:val="Hyperlink"/>
            <w:rFonts w:ascii="Aptos" w:eastAsia="Aptos" w:hAnsi="Aptos" w:cs="Aptos"/>
          </w:rPr>
          <w:t>paragraph (e)</w:t>
        </w:r>
      </w:hyperlink>
      <w:r w:rsidRPr="6E9DD5EB">
        <w:rPr>
          <w:rFonts w:ascii="Aptos" w:eastAsia="Aptos" w:hAnsi="Aptos" w:cs="Aptos"/>
        </w:rPr>
        <w:t xml:space="preserve"> of this section, and except as provided in </w:t>
      </w:r>
      <w:hyperlink r:id="rId26">
        <w:r w:rsidRPr="6E9DD5EB">
          <w:rPr>
            <w:rStyle w:val="Hyperlink"/>
            <w:rFonts w:ascii="Aptos" w:eastAsia="Aptos" w:hAnsi="Aptos" w:cs="Aptos"/>
          </w:rPr>
          <w:t>§ 63.16</w:t>
        </w:r>
      </w:hyperlink>
      <w:r w:rsidRPr="6E9DD5EB">
        <w:rPr>
          <w:rFonts w:ascii="Aptos" w:eastAsia="Aptos" w:hAnsi="Aptos" w:cs="Aptos"/>
        </w:rPr>
        <w:t>, the owner or operator of an affected source subject to reporting requirements under this part shall submit reports to the Administrator in accordance with the reporting requirements in the relevant standard(s).</w:t>
      </w:r>
    </w:p>
    <w:p w:rsidR="3FBDD555" w:rsidP="6E9DD5EB" w14:paraId="012E4594" w14:textId="56A1A33C">
      <w:pPr>
        <w:spacing w:before="240" w:after="240"/>
        <w:ind w:left="360"/>
      </w:pPr>
      <w:r w:rsidRPr="6E9DD5EB">
        <w:rPr>
          <w:rFonts w:ascii="Aptos" w:eastAsia="Aptos" w:hAnsi="Aptos" w:cs="Aptos"/>
        </w:rPr>
        <w:t xml:space="preserve">(2) </w:t>
      </w:r>
      <w:r w:rsidRPr="6E9DD5EB">
        <w:rPr>
          <w:rFonts w:ascii="Aptos" w:eastAsia="Aptos" w:hAnsi="Aptos" w:cs="Aptos"/>
          <w:b/>
          <w:bCs/>
          <w:i/>
          <w:iCs/>
        </w:rPr>
        <w:t>Reporting results of performance tests.</w:t>
      </w:r>
      <w:r w:rsidRPr="6E9DD5EB">
        <w:rPr>
          <w:rFonts w:ascii="Aptos" w:eastAsia="Aptos" w:hAnsi="Aptos" w:cs="Aptos"/>
        </w:rPr>
        <w:t xml:space="preserve"> Before a title V permit has been issued to the owner or operator of an affected source, the owner or operator shall report the results of any performance test under </w:t>
      </w:r>
      <w:hyperlink r:id="rId27">
        <w:r w:rsidRPr="6E9DD5EB">
          <w:rPr>
            <w:rStyle w:val="Hyperlink"/>
            <w:rFonts w:ascii="Aptos" w:eastAsia="Aptos" w:hAnsi="Aptos" w:cs="Aptos"/>
          </w:rPr>
          <w:t>§ 63.7</w:t>
        </w:r>
      </w:hyperlink>
      <w:r w:rsidRPr="6E9DD5EB">
        <w:rPr>
          <w:rFonts w:ascii="Aptos" w:eastAsia="Aptos" w:hAnsi="Aptos" w:cs="Aptos"/>
        </w:rP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22" w:anchor="p-63.9(h)">
        <w:r w:rsidRPr="6E9DD5EB">
          <w:rPr>
            <w:rStyle w:val="Hyperlink"/>
            <w:rFonts w:ascii="Aptos" w:eastAsia="Aptos" w:hAnsi="Aptos" w:cs="Aptos"/>
          </w:rPr>
          <w:t>§ 63.9(h)</w:t>
        </w:r>
      </w:hyperlink>
      <w:r w:rsidRPr="6E9DD5EB">
        <w:rPr>
          <w:rFonts w:ascii="Aptos" w:eastAsia="Aptos" w:hAnsi="Aptos" w:cs="Aptos"/>
        </w:rPr>
        <w:t>.</w:t>
      </w:r>
    </w:p>
    <w:p w:rsidR="3FBDD555" w:rsidP="6E9DD5EB" w14:paraId="2093132D" w14:textId="0B47098A">
      <w:pPr>
        <w:spacing w:before="240" w:after="240"/>
        <w:ind w:left="360"/>
      </w:pPr>
      <w:r w:rsidRPr="6E9DD5EB">
        <w:rPr>
          <w:rFonts w:ascii="Aptos" w:eastAsia="Aptos" w:hAnsi="Aptos" w:cs="Aptos"/>
        </w:rPr>
        <w:t xml:space="preserve">(3) </w:t>
      </w:r>
      <w:r w:rsidRPr="6E9DD5EB">
        <w:rPr>
          <w:rFonts w:ascii="Aptos" w:eastAsia="Aptos" w:hAnsi="Aptos" w:cs="Aptos"/>
          <w:b/>
          <w:bCs/>
          <w:i/>
          <w:iCs/>
        </w:rPr>
        <w:t>Reporting results of opacity or visible emission observations.</w:t>
      </w:r>
      <w:r w:rsidRPr="6E9DD5EB">
        <w:rPr>
          <w:rFonts w:ascii="Aptos" w:eastAsia="Aptos" w:hAnsi="Aptos" w:cs="Aptos"/>
        </w:rPr>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27">
        <w:r w:rsidRPr="6E9DD5EB">
          <w:rPr>
            <w:rStyle w:val="Hyperlink"/>
            <w:rFonts w:ascii="Aptos" w:eastAsia="Aptos" w:hAnsi="Aptos" w:cs="Aptos"/>
          </w:rPr>
          <w:t>§ 63.7</w:t>
        </w:r>
      </w:hyperlink>
      <w:r w:rsidRPr="6E9DD5EB">
        <w:rPr>
          <w:rFonts w:ascii="Aptos" w:eastAsia="Aptos" w:hAnsi="Aptos" w:cs="Aptos"/>
        </w:rPr>
        <w:t xml:space="preserve">. If no performance test is required, or if visibility or other conditions prevent the opacity or visible emission observations from being conducted concurrently with the performance test required under </w:t>
      </w:r>
      <w:hyperlink r:id="rId27">
        <w:r w:rsidRPr="6E9DD5EB">
          <w:rPr>
            <w:rStyle w:val="Hyperlink"/>
            <w:rFonts w:ascii="Aptos" w:eastAsia="Aptos" w:hAnsi="Aptos" w:cs="Aptos"/>
          </w:rPr>
          <w:t>§ 63.7</w:t>
        </w:r>
      </w:hyperlink>
      <w:r w:rsidRPr="6E9DD5EB">
        <w:rPr>
          <w:rFonts w:ascii="Aptos" w:eastAsia="Aptos" w:hAnsi="Aptos" w:cs="Aptos"/>
        </w:rPr>
        <w:t>, the owner or operator shall report the opacity or visible emission results before the close of business on the 30th day following the completion of the opacity or visible emission observations.</w:t>
      </w:r>
    </w:p>
    <w:p w:rsidR="3FBDD555" w:rsidP="6E9DD5EB" w14:paraId="5039D697" w14:textId="4DCD22A9">
      <w:pPr>
        <w:spacing w:before="240" w:after="240"/>
        <w:ind w:left="360"/>
      </w:pPr>
      <w:r w:rsidRPr="6E9DD5EB">
        <w:rPr>
          <w:rFonts w:ascii="Aptos" w:eastAsia="Aptos" w:hAnsi="Aptos" w:cs="Aptos"/>
        </w:rPr>
        <w:t xml:space="preserve">(4) </w:t>
      </w:r>
      <w:r w:rsidRPr="6E9DD5EB">
        <w:rPr>
          <w:rFonts w:ascii="Aptos" w:eastAsia="Aptos" w:hAnsi="Aptos" w:cs="Aptos"/>
          <w:b/>
          <w:bCs/>
          <w:i/>
          <w:iCs/>
        </w:rPr>
        <w:t>Progress reports.</w:t>
      </w:r>
      <w:r w:rsidRPr="6E9DD5EB">
        <w:rPr>
          <w:rFonts w:ascii="Aptos" w:eastAsia="Aptos" w:hAnsi="Aptos" w:cs="Aptos"/>
        </w:rPr>
        <w:t xml:space="preserve"> The owner or operator of an affected source who is required to submit progress reports as a condition of receiving an extension of compliance under </w:t>
      </w:r>
      <w:hyperlink r:id="rId23" w:anchor="p-63.6(i)">
        <w:r w:rsidRPr="6E9DD5EB">
          <w:rPr>
            <w:rStyle w:val="Hyperlink"/>
            <w:rFonts w:ascii="Aptos" w:eastAsia="Aptos" w:hAnsi="Aptos" w:cs="Aptos"/>
          </w:rPr>
          <w:t>§ 63.6(i)</w:t>
        </w:r>
      </w:hyperlink>
      <w:r w:rsidRPr="6E9DD5EB">
        <w:rPr>
          <w:rFonts w:ascii="Aptos" w:eastAsia="Aptos" w:hAnsi="Aptos" w:cs="Aptos"/>
        </w:rPr>
        <w:t xml:space="preserve"> shall submit such reports to the Administrator (or the State with an approved permit program) by the dates specified in the written extension of compliance.</w:t>
      </w:r>
    </w:p>
    <w:p w:rsidR="3FBDD555" w:rsidP="6E9DD5EB" w14:paraId="4E22F0C8" w14:textId="42336A8A">
      <w:pPr>
        <w:spacing w:before="240" w:after="240"/>
        <w:ind w:left="360"/>
      </w:pPr>
      <w:r w:rsidRPr="6E9DD5EB">
        <w:rPr>
          <w:rFonts w:ascii="Aptos" w:eastAsia="Aptos" w:hAnsi="Aptos" w:cs="Aptos"/>
        </w:rPr>
        <w:t xml:space="preserve">(5) </w:t>
      </w:r>
    </w:p>
    <w:p w:rsidR="3FBDD555" w:rsidP="6E9DD5EB" w14:paraId="77C89DFA" w14:textId="5C238C7E">
      <w:pPr>
        <w:spacing w:before="240" w:after="240"/>
        <w:ind w:left="540"/>
      </w:pPr>
      <w:r w:rsidRPr="6E9DD5EB">
        <w:rPr>
          <w:rFonts w:ascii="Aptos" w:eastAsia="Aptos" w:hAnsi="Aptos" w:cs="Aptos"/>
        </w:rPr>
        <w:t xml:space="preserve">(i) </w:t>
      </w:r>
      <w:r w:rsidRPr="6E9DD5EB">
        <w:rPr>
          <w:rFonts w:ascii="Aptos" w:eastAsia="Aptos" w:hAnsi="Aptos" w:cs="Aptos"/>
          <w:b/>
          <w:bCs/>
          <w:i/>
          <w:iCs/>
        </w:rPr>
        <w:t>Periodic startup, shutdown, and malfunction reports.</w:t>
      </w:r>
      <w:r w:rsidRPr="6E9DD5EB">
        <w:rPr>
          <w:rFonts w:ascii="Aptos" w:eastAsia="Aptos" w:hAnsi="Aptos" w:cs="Aptos"/>
        </w:rPr>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23" w:anchor="p-63.6(e)(3)">
        <w:r w:rsidRPr="6E9DD5EB">
          <w:rPr>
            <w:rStyle w:val="Hyperlink"/>
            <w:rFonts w:ascii="Aptos" w:eastAsia="Aptos" w:hAnsi="Aptos" w:cs="Aptos"/>
          </w:rPr>
          <w:t>§ 63.6(e)(3)</w:t>
        </w:r>
      </w:hyperlink>
      <w:r w:rsidRPr="6E9DD5EB">
        <w:rPr>
          <w:rFonts w:ascii="Aptos" w:eastAsia="Aptos" w:hAnsi="Aptos" w:cs="Aptos"/>
        </w:rPr>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period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21" w:anchor="p-63.10(e)">
        <w:r w:rsidRPr="6E9DD5EB">
          <w:rPr>
            <w:rStyle w:val="Hyperlink"/>
            <w:rFonts w:ascii="Aptos" w:eastAsia="Aptos" w:hAnsi="Aptos" w:cs="Aptos"/>
          </w:rPr>
          <w:t>paragraph (e)</w:t>
        </w:r>
      </w:hyperlink>
      <w:r w:rsidRPr="6E9DD5EB">
        <w:rPr>
          <w:rFonts w:ascii="Aptos" w:eastAsia="Aptos" w:hAnsi="Aptos" w:cs="Aptos"/>
        </w:rPr>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21" w:anchor="p-63.10(e)(3)">
        <w:r w:rsidRPr="6E9DD5EB">
          <w:rPr>
            <w:rStyle w:val="Hyperlink"/>
            <w:rFonts w:ascii="Aptos" w:eastAsia="Aptos" w:hAnsi="Aptos" w:cs="Aptos"/>
          </w:rPr>
          <w:t>paragraph (e)(3)</w:t>
        </w:r>
      </w:hyperlink>
      <w:r w:rsidRPr="6E9DD5EB">
        <w:rPr>
          <w:rFonts w:ascii="Aptos" w:eastAsia="Aptos" w:hAnsi="Aptos" w:cs="Aptos"/>
        </w:rPr>
        <w:t xml:space="preserve"> of this section.</w:t>
      </w:r>
    </w:p>
    <w:p w:rsidR="3FBDD555" w:rsidP="6E9DD5EB" w14:paraId="27060778" w14:textId="31213F01">
      <w:pPr>
        <w:spacing w:before="240" w:after="240"/>
        <w:ind w:left="540"/>
      </w:pPr>
      <w:r w:rsidRPr="6E9DD5EB">
        <w:rPr>
          <w:rFonts w:ascii="Aptos" w:eastAsia="Aptos" w:hAnsi="Aptos" w:cs="Aptos"/>
        </w:rPr>
        <w:t xml:space="preserve">(ii) </w:t>
      </w:r>
      <w:r w:rsidRPr="6E9DD5EB">
        <w:rPr>
          <w:rFonts w:ascii="Aptos" w:eastAsia="Aptos" w:hAnsi="Aptos" w:cs="Aptos"/>
          <w:b/>
          <w:bCs/>
          <w:i/>
          <w:iCs/>
        </w:rPr>
        <w:t>Immediate startup, shutdown, and malfunction reports.</w:t>
      </w:r>
      <w:r w:rsidRPr="6E9DD5EB">
        <w:rPr>
          <w:rFonts w:ascii="Aptos" w:eastAsia="Aptos" w:hAnsi="Aptos" w:cs="Aptos"/>
        </w:rPr>
        <w:t xml:space="preserve"> Notwithstanding the allowance to reduce the frequency of reporting for periodic startup, shutdown, and malfunction reports under </w:t>
      </w:r>
      <w:hyperlink r:id="rId21" w:anchor="p-63.10(d)(5)(i)">
        <w:r w:rsidRPr="6E9DD5EB">
          <w:rPr>
            <w:rStyle w:val="Hyperlink"/>
            <w:rFonts w:ascii="Aptos" w:eastAsia="Aptos" w:hAnsi="Aptos" w:cs="Aptos"/>
          </w:rPr>
          <w:t>paragraph (d)(5)(i)</w:t>
        </w:r>
      </w:hyperlink>
      <w:r w:rsidRPr="6E9DD5EB">
        <w:rPr>
          <w:rFonts w:ascii="Aptos" w:eastAsia="Aptos" w:hAnsi="Aptos" w:cs="Aptos"/>
        </w:rPr>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21" w:anchor="p-63.10(d)(5)(ii)">
        <w:r w:rsidRPr="6E9DD5EB">
          <w:rPr>
            <w:rStyle w:val="Hyperlink"/>
            <w:rFonts w:ascii="Aptos" w:eastAsia="Aptos" w:hAnsi="Aptos" w:cs="Aptos"/>
          </w:rPr>
          <w:t>paragraph (d)(5)(ii)</w:t>
        </w:r>
      </w:hyperlink>
      <w:r w:rsidRPr="6E9DD5EB">
        <w:rPr>
          <w:rFonts w:ascii="Aptos" w:eastAsia="Aptos" w:hAnsi="Aptos" w:cs="Aptos"/>
        </w:rPr>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23" w:anchor="p-63.6(e)(1)(i)">
        <w:r w:rsidRPr="6E9DD5EB">
          <w:rPr>
            <w:rStyle w:val="Hyperlink"/>
            <w:rFonts w:ascii="Aptos" w:eastAsia="Aptos" w:hAnsi="Aptos" w:cs="Aptos"/>
          </w:rPr>
          <w:t>§ 63.6(e)(1)(i)</w:t>
        </w:r>
      </w:hyperlink>
      <w:r w:rsidRPr="6E9DD5EB">
        <w:rPr>
          <w:rFonts w:ascii="Aptos" w:eastAsia="Aptos" w:hAnsi="Aptos" w:cs="Aptos"/>
        </w:rPr>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21" w:anchor="p-63.10(d)(5)(ii)">
        <w:r w:rsidRPr="6E9DD5EB">
          <w:rPr>
            <w:rStyle w:val="Hyperlink"/>
            <w:rFonts w:ascii="Aptos" w:eastAsia="Aptos" w:hAnsi="Aptos" w:cs="Aptos"/>
          </w:rPr>
          <w:t>paragraph (d)(5)(ii)</w:t>
        </w:r>
      </w:hyperlink>
      <w:r w:rsidRPr="6E9DD5EB">
        <w:rPr>
          <w:rFonts w:ascii="Aptos" w:eastAsia="Aptos" w:hAnsi="Aptos" w:cs="Aptos"/>
        </w:rPr>
        <w:t xml:space="preserve"> are specified in </w:t>
      </w:r>
      <w:hyperlink r:id="rId22" w:anchor="p-63.9(i)">
        <w:r w:rsidRPr="6E9DD5EB">
          <w:rPr>
            <w:rStyle w:val="Hyperlink"/>
            <w:rFonts w:ascii="Aptos" w:eastAsia="Aptos" w:hAnsi="Aptos" w:cs="Aptos"/>
          </w:rPr>
          <w:t>§ 63.9(i)</w:t>
        </w:r>
      </w:hyperlink>
      <w:r w:rsidRPr="6E9DD5EB">
        <w:rPr>
          <w:rFonts w:ascii="Aptos" w:eastAsia="Aptos" w:hAnsi="Aptos" w:cs="Aptos"/>
        </w:rPr>
        <w:t>.</w:t>
      </w:r>
    </w:p>
    <w:p w:rsidR="3FBDD555" w:rsidP="6E9DD5EB" w14:paraId="30695B46" w14:textId="422AE49A">
      <w:pPr>
        <w:spacing w:before="240" w:after="240"/>
        <w:ind w:left="180"/>
      </w:pPr>
      <w:r w:rsidRPr="6E9DD5EB">
        <w:rPr>
          <w:rFonts w:ascii="Aptos" w:eastAsia="Aptos" w:hAnsi="Aptos" w:cs="Aptos"/>
        </w:rPr>
        <w:t xml:space="preserve">(e) </w:t>
      </w:r>
      <w:r w:rsidRPr="6E9DD5EB">
        <w:rPr>
          <w:rFonts w:ascii="Aptos" w:eastAsia="Aptos" w:hAnsi="Aptos" w:cs="Aptos"/>
          <w:b/>
          <w:bCs/>
          <w:i/>
          <w:iCs/>
        </w:rPr>
        <w:t>Additional reporting requirements for sources with continuous monitoring systems</w:t>
      </w:r>
      <w:r w:rsidRPr="6E9DD5EB">
        <w:rPr>
          <w:rFonts w:ascii="Aptos" w:eastAsia="Aptos" w:hAnsi="Aptos" w:cs="Aptos"/>
        </w:rPr>
        <w:t xml:space="preserve"> —</w:t>
      </w:r>
    </w:p>
    <w:p w:rsidR="3FBDD555" w:rsidP="6E9DD5EB" w14:paraId="2521F1A1" w14:textId="365272F7">
      <w:pPr>
        <w:spacing w:before="240" w:after="240"/>
        <w:ind w:left="360"/>
      </w:pPr>
      <w:r w:rsidRPr="6E9DD5EB">
        <w:rPr>
          <w:rFonts w:ascii="Aptos" w:eastAsia="Aptos" w:hAnsi="Aptos" w:cs="Aptos"/>
        </w:rPr>
        <w:t xml:space="preserve">(1) </w:t>
      </w:r>
      <w:r w:rsidRPr="6E9DD5EB">
        <w:rPr>
          <w:rFonts w:ascii="Aptos" w:eastAsia="Aptos" w:hAnsi="Aptos" w:cs="Aptos"/>
          <w:b/>
          <w:bCs/>
          <w:i/>
          <w:iCs/>
        </w:rPr>
        <w:t>General.</w:t>
      </w:r>
      <w:r w:rsidRPr="6E9DD5EB">
        <w:rPr>
          <w:rFonts w:ascii="Aptos" w:eastAsia="Aptos" w:hAnsi="Aptos" w:cs="Aptos"/>
        </w:rPr>
        <w:t xml:space="preserve"> When more than one CEMS is used to measure the emissions from one affected source (e.g., multiple breechings, multiple outlets), the owner or operator shall report the results as required for each CEMS.</w:t>
      </w:r>
    </w:p>
    <w:p w:rsidR="3FBDD555" w:rsidP="6E9DD5EB" w14:paraId="47EEF67B" w14:textId="788FB477">
      <w:pPr>
        <w:spacing w:before="240" w:after="240"/>
        <w:ind w:left="360"/>
      </w:pPr>
      <w:r w:rsidRPr="6E9DD5EB">
        <w:rPr>
          <w:rFonts w:ascii="Aptos" w:eastAsia="Aptos" w:hAnsi="Aptos" w:cs="Aptos"/>
        </w:rPr>
        <w:t xml:space="preserve">(2) </w:t>
      </w:r>
      <w:r w:rsidRPr="6E9DD5EB">
        <w:rPr>
          <w:rFonts w:ascii="Aptos" w:eastAsia="Aptos" w:hAnsi="Aptos" w:cs="Aptos"/>
          <w:b/>
          <w:bCs/>
          <w:i/>
          <w:iCs/>
        </w:rPr>
        <w:t>Reporting results of continuous monitoring system performance evaluations.</w:t>
      </w:r>
      <w:r w:rsidRPr="6E9DD5EB">
        <w:rPr>
          <w:rFonts w:ascii="Aptos" w:eastAsia="Aptos" w:hAnsi="Aptos" w:cs="Aptos"/>
        </w:rPr>
        <w:t xml:space="preserve"> </w:t>
      </w:r>
    </w:p>
    <w:p w:rsidR="3FBDD555" w:rsidP="6E9DD5EB" w14:paraId="3A9A2BEA" w14:textId="42AE6B8A">
      <w:pPr>
        <w:spacing w:before="240" w:after="240"/>
        <w:ind w:left="540"/>
      </w:pPr>
      <w:r w:rsidRPr="6E9DD5EB">
        <w:rPr>
          <w:rFonts w:ascii="Aptos" w:eastAsia="Aptos" w:hAnsi="Aptos" w:cs="Aptos"/>
        </w:rPr>
        <w:t xml:space="preserve">(i) The owner or operator of an affected source required to install a CMS by a relevant standard shall furnish the Administrator a copy of a written report of the results of the CMS performance evaluation, as required under </w:t>
      </w:r>
      <w:hyperlink r:id="rId24" w:anchor="p-63.8(e)">
        <w:r w:rsidRPr="6E9DD5EB">
          <w:rPr>
            <w:rStyle w:val="Hyperlink"/>
            <w:rFonts w:ascii="Aptos" w:eastAsia="Aptos" w:hAnsi="Aptos" w:cs="Aptos"/>
          </w:rPr>
          <w:t>§ 63.8(e)</w:t>
        </w:r>
      </w:hyperlink>
      <w:r w:rsidRPr="6E9DD5EB">
        <w:rPr>
          <w:rFonts w:ascii="Aptos" w:eastAsia="Aptos" w:hAnsi="Aptos" w:cs="Aptos"/>
        </w:rPr>
        <w:t xml:space="preserve">, simultaneously with the </w:t>
      </w:r>
      <w:r w:rsidRPr="6E9DD5EB">
        <w:rPr>
          <w:rFonts w:ascii="Aptos" w:eastAsia="Aptos" w:hAnsi="Aptos" w:cs="Aptos"/>
        </w:rPr>
        <w:t xml:space="preserve">results of the performance test required under </w:t>
      </w:r>
      <w:hyperlink r:id="rId27">
        <w:r w:rsidRPr="6E9DD5EB">
          <w:rPr>
            <w:rStyle w:val="Hyperlink"/>
            <w:rFonts w:ascii="Aptos" w:eastAsia="Aptos" w:hAnsi="Aptos" w:cs="Aptos"/>
          </w:rPr>
          <w:t>§ 63.7</w:t>
        </w:r>
      </w:hyperlink>
      <w:r w:rsidRPr="6E9DD5EB">
        <w:rPr>
          <w:rFonts w:ascii="Aptos" w:eastAsia="Aptos" w:hAnsi="Aptos" w:cs="Aptos"/>
        </w:rPr>
        <w:t>, unless otherwise specified in the relevant standard.</w:t>
      </w:r>
    </w:p>
    <w:p w:rsidR="3FBDD555" w:rsidP="6E9DD5EB" w14:paraId="6A475E4E" w14:textId="1F967776">
      <w:pPr>
        <w:spacing w:before="240" w:after="240"/>
        <w:ind w:left="540"/>
      </w:pPr>
      <w:r w:rsidRPr="6E9DD5EB">
        <w:rPr>
          <w:rFonts w:ascii="Aptos" w:eastAsia="Aptos" w:hAnsi="Aptos" w:cs="Aptos"/>
        </w:rPr>
        <w:t xml:space="preserve">(ii) The owner or operator of an affected source using a COMS to determine opacity compliance during any performance test required under </w:t>
      </w:r>
      <w:hyperlink r:id="rId27">
        <w:r w:rsidRPr="6E9DD5EB">
          <w:rPr>
            <w:rStyle w:val="Hyperlink"/>
            <w:rFonts w:ascii="Aptos" w:eastAsia="Aptos" w:hAnsi="Aptos" w:cs="Aptos"/>
          </w:rPr>
          <w:t>§ 63.7</w:t>
        </w:r>
      </w:hyperlink>
      <w:r w:rsidRPr="6E9DD5EB">
        <w:rPr>
          <w:rFonts w:ascii="Aptos" w:eastAsia="Aptos" w:hAnsi="Aptos" w:cs="Aptos"/>
        </w:rPr>
        <w:t xml:space="preserve"> and described in </w:t>
      </w:r>
      <w:hyperlink r:id="rId23" w:anchor="p-63.6(d)(6)">
        <w:r w:rsidRPr="6E9DD5EB">
          <w:rPr>
            <w:rStyle w:val="Hyperlink"/>
            <w:rFonts w:ascii="Aptos" w:eastAsia="Aptos" w:hAnsi="Aptos" w:cs="Aptos"/>
          </w:rPr>
          <w:t>§ 63.6(d)(6)</w:t>
        </w:r>
      </w:hyperlink>
      <w:r w:rsidRPr="6E9DD5EB">
        <w:rPr>
          <w:rFonts w:ascii="Aptos" w:eastAsia="Aptos" w:hAnsi="Aptos" w:cs="Aptos"/>
        </w:rPr>
        <w:t xml:space="preserve"> shall furnish the Administrator two or, upon request, three copies of a written report of the results of the COMS performance evaluation conducted under </w:t>
      </w:r>
      <w:hyperlink r:id="rId24" w:anchor="p-63.8(e)">
        <w:r w:rsidRPr="6E9DD5EB">
          <w:rPr>
            <w:rStyle w:val="Hyperlink"/>
            <w:rFonts w:ascii="Aptos" w:eastAsia="Aptos" w:hAnsi="Aptos" w:cs="Aptos"/>
          </w:rPr>
          <w:t>§ 63.8(e)</w:t>
        </w:r>
      </w:hyperlink>
      <w:r w:rsidRPr="6E9DD5EB">
        <w:rPr>
          <w:rFonts w:ascii="Aptos" w:eastAsia="Aptos" w:hAnsi="Aptos" w:cs="Aptos"/>
        </w:rPr>
        <w:t xml:space="preserve">. The copies shall be furnished at least 15 calendar days before the performance test required under </w:t>
      </w:r>
      <w:hyperlink r:id="rId27">
        <w:r w:rsidRPr="6E9DD5EB">
          <w:rPr>
            <w:rStyle w:val="Hyperlink"/>
            <w:rFonts w:ascii="Aptos" w:eastAsia="Aptos" w:hAnsi="Aptos" w:cs="Aptos"/>
          </w:rPr>
          <w:t>§ 63.7</w:t>
        </w:r>
      </w:hyperlink>
      <w:r w:rsidRPr="6E9DD5EB">
        <w:rPr>
          <w:rFonts w:ascii="Aptos" w:eastAsia="Aptos" w:hAnsi="Aptos" w:cs="Aptos"/>
        </w:rPr>
        <w:t xml:space="preserve"> is conducted.</w:t>
      </w:r>
    </w:p>
    <w:p w:rsidR="3FBDD555" w:rsidP="6E9DD5EB" w14:paraId="2BE7FA28" w14:textId="69E45C23">
      <w:pPr>
        <w:spacing w:before="240" w:after="240"/>
        <w:ind w:left="360"/>
      </w:pPr>
      <w:r w:rsidRPr="6E9DD5EB">
        <w:rPr>
          <w:rFonts w:ascii="Aptos" w:eastAsia="Aptos" w:hAnsi="Aptos" w:cs="Aptos"/>
        </w:rPr>
        <w:t xml:space="preserve">(3) </w:t>
      </w:r>
      <w:r w:rsidRPr="6E9DD5EB">
        <w:rPr>
          <w:rFonts w:ascii="Aptos" w:eastAsia="Aptos" w:hAnsi="Aptos" w:cs="Aptos"/>
          <w:b/>
          <w:bCs/>
          <w:i/>
          <w:iCs/>
        </w:rPr>
        <w:t>Excess emissions and continuous monitoring system performance report and summary report.</w:t>
      </w:r>
      <w:r w:rsidRPr="6E9DD5EB">
        <w:rPr>
          <w:rFonts w:ascii="Aptos" w:eastAsia="Aptos" w:hAnsi="Aptos" w:cs="Aptos"/>
        </w:rPr>
        <w:t xml:space="preserve"> </w:t>
      </w:r>
    </w:p>
    <w:p w:rsidR="3FBDD555" w:rsidP="6E9DD5EB" w14:paraId="48255034" w14:textId="1CB32D76">
      <w:pPr>
        <w:spacing w:before="240" w:after="240"/>
        <w:ind w:left="540"/>
      </w:pPr>
      <w:r w:rsidRPr="6E9DD5EB">
        <w:rPr>
          <w:rFonts w:ascii="Aptos" w:eastAsia="Aptos" w:hAnsi="Aptos" w:cs="Aptos"/>
        </w:rPr>
        <w:t>(i)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w:t>
      </w:r>
    </w:p>
    <w:p w:rsidR="3FBDD555" w:rsidP="6E9DD5EB" w14:paraId="417FF429" w14:textId="614405DD">
      <w:pPr>
        <w:spacing w:before="240" w:after="240"/>
        <w:ind w:left="720"/>
      </w:pPr>
      <w:r w:rsidRPr="6E9DD5EB">
        <w:rPr>
          <w:rFonts w:ascii="Aptos" w:eastAsia="Aptos" w:hAnsi="Aptos" w:cs="Aptos"/>
        </w:rPr>
        <w:t>(A) More frequent reporting is specifically required by a relevant standard;</w:t>
      </w:r>
    </w:p>
    <w:p w:rsidR="3FBDD555" w:rsidP="6E9DD5EB" w14:paraId="1F1617A9" w14:textId="180C6659">
      <w:pPr>
        <w:spacing w:before="240" w:after="240"/>
        <w:ind w:left="720"/>
      </w:pPr>
      <w:r w:rsidRPr="6E9DD5EB">
        <w:rPr>
          <w:rFonts w:ascii="Aptos" w:eastAsia="Aptos" w:hAnsi="Aptos" w:cs="Aptos"/>
        </w:rPr>
        <w:t>(B) The Administrator determines on a case-by-case basis that more frequent reporting is necessary to accurately assess the compliance status of the source; or</w:t>
      </w:r>
    </w:p>
    <w:p w:rsidR="3FBDD555" w:rsidP="6E9DD5EB" w14:paraId="54891257" w14:textId="75617A43">
      <w:pPr>
        <w:spacing w:before="240" w:after="240"/>
        <w:ind w:left="720"/>
      </w:pPr>
      <w:r w:rsidRPr="6E9DD5EB">
        <w:rPr>
          <w:rFonts w:ascii="Aptos" w:eastAsia="Aptos" w:hAnsi="Aptos" w:cs="Aptos"/>
        </w:rPr>
        <w:t>(C) [Reserved]</w:t>
      </w:r>
    </w:p>
    <w:p w:rsidR="3FBDD555" w:rsidP="6E9DD5EB" w14:paraId="39782638" w14:textId="40B7F81A">
      <w:pPr>
        <w:spacing w:before="240" w:after="240"/>
        <w:ind w:left="720"/>
      </w:pPr>
      <w:r w:rsidRPr="6E9DD5EB">
        <w:rPr>
          <w:rFonts w:ascii="Aptos" w:eastAsia="Aptos" w:hAnsi="Aptos" w:cs="Aptos"/>
        </w:rPr>
        <w:t xml:space="preserve">(D) The affected source is complying with the Performance Track Provisions of </w:t>
      </w:r>
      <w:hyperlink r:id="rId26">
        <w:r w:rsidRPr="6E9DD5EB">
          <w:rPr>
            <w:rStyle w:val="Hyperlink"/>
            <w:rFonts w:ascii="Aptos" w:eastAsia="Aptos" w:hAnsi="Aptos" w:cs="Aptos"/>
          </w:rPr>
          <w:t>§ 63.16</w:t>
        </w:r>
      </w:hyperlink>
      <w:r w:rsidRPr="6E9DD5EB">
        <w:rPr>
          <w:rFonts w:ascii="Aptos" w:eastAsia="Aptos" w:hAnsi="Aptos" w:cs="Aptos"/>
        </w:rPr>
        <w:t>, which allows less frequent reporting.</w:t>
      </w:r>
    </w:p>
    <w:p w:rsidR="3FBDD555" w:rsidP="6E9DD5EB" w14:paraId="7C46CF8B" w14:textId="66499BE8">
      <w:pPr>
        <w:spacing w:before="240" w:after="240"/>
        <w:ind w:left="540"/>
      </w:pPr>
      <w:r w:rsidRPr="6E9DD5EB">
        <w:rPr>
          <w:rFonts w:ascii="Aptos" w:eastAsia="Aptos" w:hAnsi="Aptos" w:cs="Aptos"/>
        </w:rPr>
        <w:t xml:space="preserve">(ii) </w:t>
      </w:r>
      <w:r w:rsidRPr="6E9DD5EB">
        <w:rPr>
          <w:rFonts w:ascii="Aptos" w:eastAsia="Aptos" w:hAnsi="Aptos" w:cs="Aptos"/>
          <w:b/>
          <w:bCs/>
          <w:i/>
          <w:iCs/>
        </w:rPr>
        <w:t>Request to reduce frequency of excess emissions and continuous monitoring system performance reports.</w:t>
      </w:r>
      <w:r w:rsidRPr="6E9DD5EB">
        <w:rPr>
          <w:rFonts w:ascii="Aptos" w:eastAsia="Aptos" w:hAnsi="Aptos" w:cs="Aptos"/>
        </w:rPr>
        <w:t xml:space="preserve"> Notwithstanding the frequency of reporting requirements specified in </w:t>
      </w:r>
      <w:hyperlink r:id="rId21" w:anchor="p-63.10(e)(3)(i)">
        <w:r w:rsidRPr="6E9DD5EB">
          <w:rPr>
            <w:rStyle w:val="Hyperlink"/>
            <w:rFonts w:ascii="Aptos" w:eastAsia="Aptos" w:hAnsi="Aptos" w:cs="Aptos"/>
          </w:rPr>
          <w:t>paragraph (e)(3)(i)</w:t>
        </w:r>
      </w:hyperlink>
      <w:r w:rsidRPr="6E9DD5EB">
        <w:rPr>
          <w:rFonts w:ascii="Aptos" w:eastAsia="Aptos" w:hAnsi="Aptos" w:cs="Aptos"/>
        </w:rPr>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w:t>
      </w:r>
    </w:p>
    <w:p w:rsidR="3FBDD555" w:rsidP="6E9DD5EB" w14:paraId="224231E2" w14:textId="7B730ADA">
      <w:pPr>
        <w:spacing w:before="240" w:after="240"/>
        <w:ind w:left="720"/>
      </w:pPr>
      <w:r w:rsidRPr="6E9DD5EB">
        <w:rPr>
          <w:rFonts w:ascii="Aptos" w:eastAsia="Aptos" w:hAnsi="Aptos" w:cs="Aptos"/>
        </w:rPr>
        <w:t xml:space="preserve">(A) For 1 full year (e.g., 4 quarterly or 12 monthly reporting periods) the affected source's excess emissions and continuous monitoring system performance reports </w:t>
      </w:r>
      <w:r w:rsidRPr="6E9DD5EB">
        <w:rPr>
          <w:rFonts w:ascii="Aptos" w:eastAsia="Aptos" w:hAnsi="Aptos" w:cs="Aptos"/>
        </w:rPr>
        <w:t>continually demonstrate that the source is in compliance with the relevant standard;</w:t>
      </w:r>
    </w:p>
    <w:p w:rsidR="3FBDD555" w:rsidP="6E9DD5EB" w14:paraId="5353B5D7" w14:textId="2E3AE471">
      <w:pPr>
        <w:spacing w:before="240" w:after="240"/>
        <w:ind w:left="720"/>
      </w:pPr>
      <w:r w:rsidRPr="6E9DD5EB">
        <w:rPr>
          <w:rFonts w:ascii="Aptos" w:eastAsia="Aptos" w:hAnsi="Aptos" w:cs="Aptos"/>
        </w:rPr>
        <w:t>(B) The owner or operator continues to comply with all recordkeeping and monitoring requirements specified in this subpart and the relevant standard; and</w:t>
      </w:r>
    </w:p>
    <w:p w:rsidR="3FBDD555" w:rsidP="6E9DD5EB" w14:paraId="395DF133" w14:textId="5E012F16">
      <w:pPr>
        <w:spacing w:before="240" w:after="240"/>
        <w:ind w:left="720"/>
      </w:pPr>
      <w:r w:rsidRPr="6E9DD5EB">
        <w:rPr>
          <w:rFonts w:ascii="Aptos" w:eastAsia="Aptos" w:hAnsi="Aptos" w:cs="Aptos"/>
        </w:rPr>
        <w:t xml:space="preserve">(C) The Administrator does not object to a reduced frequency of reporting for the affected source, as provided in </w:t>
      </w:r>
      <w:hyperlink r:id="rId21" w:anchor="p-63.10(e)(3)(iii)">
        <w:r w:rsidRPr="6E9DD5EB">
          <w:rPr>
            <w:rStyle w:val="Hyperlink"/>
            <w:rFonts w:ascii="Aptos" w:eastAsia="Aptos" w:hAnsi="Aptos" w:cs="Aptos"/>
          </w:rPr>
          <w:t>paragraph (e)(3)(iii)</w:t>
        </w:r>
      </w:hyperlink>
      <w:r w:rsidRPr="6E9DD5EB">
        <w:rPr>
          <w:rFonts w:ascii="Aptos" w:eastAsia="Aptos" w:hAnsi="Aptos" w:cs="Aptos"/>
        </w:rPr>
        <w:t xml:space="preserve"> of this section.</w:t>
      </w:r>
    </w:p>
    <w:p w:rsidR="3FBDD555" w:rsidP="6E9DD5EB" w14:paraId="58A74972" w14:textId="49715C86">
      <w:pPr>
        <w:spacing w:before="240" w:after="240"/>
        <w:ind w:left="540"/>
      </w:pPr>
      <w:r w:rsidRPr="6E9DD5EB">
        <w:rPr>
          <w:rFonts w:ascii="Aptos" w:eastAsia="Aptos" w:hAnsi="Aptos" w:cs="Aptos"/>
        </w:rPr>
        <w:t>(iii)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3FBDD555" w:rsidP="6E9DD5EB" w14:paraId="7C5B20FF" w14:textId="7A967377">
      <w:pPr>
        <w:spacing w:before="240" w:after="240"/>
        <w:ind w:left="540"/>
      </w:pPr>
      <w:r w:rsidRPr="6E9DD5EB">
        <w:rPr>
          <w:rFonts w:ascii="Aptos" w:eastAsia="Aptos" w:hAnsi="Aptos" w:cs="Aptos"/>
        </w:rPr>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21" w:anchor="p-63.10(e)(3)(ii)">
        <w:r w:rsidRPr="6E9DD5EB">
          <w:rPr>
            <w:rStyle w:val="Hyperlink"/>
            <w:rFonts w:ascii="Aptos" w:eastAsia="Aptos" w:hAnsi="Aptos" w:cs="Aptos"/>
          </w:rPr>
          <w:t>paragraphs (e)(3)(ii)</w:t>
        </w:r>
      </w:hyperlink>
      <w:r w:rsidRPr="6E9DD5EB">
        <w:rPr>
          <w:rFonts w:ascii="Aptos" w:eastAsia="Aptos" w:hAnsi="Aptos" w:cs="Aptos"/>
        </w:rPr>
        <w:t xml:space="preserve"> and </w:t>
      </w:r>
      <w:hyperlink r:id="rId21" w:anchor="p-63.10(e)(3)(iii)">
        <w:r w:rsidRPr="6E9DD5EB">
          <w:rPr>
            <w:rStyle w:val="Hyperlink"/>
            <w:rFonts w:ascii="Aptos" w:eastAsia="Aptos" w:hAnsi="Aptos" w:cs="Aptos"/>
          </w:rPr>
          <w:t>(e)(3)(iii)</w:t>
        </w:r>
      </w:hyperlink>
      <w:r w:rsidRPr="6E9DD5EB">
        <w:rPr>
          <w:rFonts w:ascii="Aptos" w:eastAsia="Aptos" w:hAnsi="Aptos" w:cs="Aptos"/>
        </w:rPr>
        <w:t xml:space="preserve"> of this section.</w:t>
      </w:r>
    </w:p>
    <w:p w:rsidR="3FBDD555" w:rsidP="6E9DD5EB" w14:paraId="6047A894" w14:textId="331F3165">
      <w:pPr>
        <w:spacing w:before="240" w:after="240"/>
        <w:ind w:left="540"/>
      </w:pPr>
      <w:r w:rsidRPr="6E9DD5EB">
        <w:rPr>
          <w:rFonts w:ascii="Aptos" w:eastAsia="Aptos" w:hAnsi="Aptos" w:cs="Aptos"/>
        </w:rPr>
        <w:t xml:space="preserve">(v) </w:t>
      </w:r>
      <w:r w:rsidRPr="6E9DD5EB">
        <w:rPr>
          <w:rFonts w:ascii="Aptos" w:eastAsia="Aptos" w:hAnsi="Aptos" w:cs="Aptos"/>
          <w:b/>
          <w:bCs/>
          <w:i/>
          <w:iCs/>
        </w:rPr>
        <w:t>Content and submittal dates for excess emissions and monitoring system performance reports.</w:t>
      </w:r>
      <w:r w:rsidRPr="6E9DD5EB">
        <w:rPr>
          <w:rFonts w:ascii="Aptos" w:eastAsia="Aptos" w:hAnsi="Aptos" w:cs="Aptos"/>
        </w:rPr>
        <w:t xml:space="preserve"> All excess emissions and monitoring system performance reports and all summary reports, if required, shall be delivered or postmarked by the 30th day following the end of each calendar half or quarter, as appropriate. Written reports of excess emissions or exceedances of process or control system parameters shall include all the information required in </w:t>
      </w:r>
      <w:hyperlink r:id="rId21" w:anchor="p-63.10(c)(5)">
        <w:r w:rsidRPr="6E9DD5EB">
          <w:rPr>
            <w:rStyle w:val="Hyperlink"/>
            <w:rFonts w:ascii="Aptos" w:eastAsia="Aptos" w:hAnsi="Aptos" w:cs="Aptos"/>
          </w:rPr>
          <w:t>paragraphs (c)(5)</w:t>
        </w:r>
      </w:hyperlink>
      <w:r w:rsidRPr="6E9DD5EB">
        <w:rPr>
          <w:rFonts w:ascii="Aptos" w:eastAsia="Aptos" w:hAnsi="Aptos" w:cs="Aptos"/>
        </w:rPr>
        <w:t xml:space="preserve"> through </w:t>
      </w:r>
      <w:hyperlink r:id="rId21" w:anchor="p-63.10(c)(13)">
        <w:r w:rsidRPr="6E9DD5EB">
          <w:rPr>
            <w:rStyle w:val="Hyperlink"/>
            <w:rFonts w:ascii="Aptos" w:eastAsia="Aptos" w:hAnsi="Aptos" w:cs="Aptos"/>
          </w:rPr>
          <w:t>(c)(13)</w:t>
        </w:r>
      </w:hyperlink>
      <w:r w:rsidRPr="6E9DD5EB">
        <w:rPr>
          <w:rFonts w:ascii="Aptos" w:eastAsia="Aptos" w:hAnsi="Aptos" w:cs="Aptos"/>
        </w:rPr>
        <w:t xml:space="preserve"> of this section, in </w:t>
      </w:r>
      <w:hyperlink r:id="rId24" w:anchor="p-63.8(c)(7)">
        <w:r w:rsidRPr="6E9DD5EB">
          <w:rPr>
            <w:rStyle w:val="Hyperlink"/>
            <w:rFonts w:ascii="Aptos" w:eastAsia="Aptos" w:hAnsi="Aptos" w:cs="Aptos"/>
          </w:rPr>
          <w:t>§§ 63.8(c)(7)</w:t>
        </w:r>
      </w:hyperlink>
      <w:r w:rsidRPr="6E9DD5EB">
        <w:rPr>
          <w:rFonts w:ascii="Aptos" w:eastAsia="Aptos" w:hAnsi="Aptos" w:cs="Aptos"/>
        </w:rPr>
        <w:t xml:space="preserve"> and </w:t>
      </w:r>
      <w:hyperlink r:id="rId24" w:anchor="p-63.8(c)(8)">
        <w:r w:rsidRPr="6E9DD5EB">
          <w:rPr>
            <w:rStyle w:val="Hyperlink"/>
            <w:rFonts w:ascii="Aptos" w:eastAsia="Aptos" w:hAnsi="Aptos" w:cs="Aptos"/>
          </w:rPr>
          <w:t>63.8(c)(8)</w:t>
        </w:r>
      </w:hyperlink>
      <w:r w:rsidRPr="6E9DD5EB">
        <w:rPr>
          <w:rFonts w:ascii="Aptos" w:eastAsia="Aptos" w:hAnsi="Aptos" w:cs="Aptos"/>
        </w:rPr>
        <w:t>,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w:t>
      </w:r>
    </w:p>
    <w:p w:rsidR="3FBDD555" w:rsidP="6E9DD5EB" w14:paraId="4F54E6DC" w14:textId="522DF18F">
      <w:pPr>
        <w:spacing w:before="240" w:after="240"/>
        <w:ind w:left="540"/>
      </w:pPr>
      <w:r w:rsidRPr="6E9DD5EB">
        <w:rPr>
          <w:rFonts w:ascii="Aptos" w:eastAsia="Aptos" w:hAnsi="Aptos" w:cs="Aptos"/>
        </w:rPr>
        <w:t xml:space="preserve">(vi) </w:t>
      </w:r>
      <w:r w:rsidRPr="6E9DD5EB">
        <w:rPr>
          <w:rFonts w:ascii="Aptos" w:eastAsia="Aptos" w:hAnsi="Aptos" w:cs="Aptos"/>
          <w:b/>
          <w:bCs/>
          <w:i/>
          <w:iCs/>
        </w:rPr>
        <w:t>Summary report.</w:t>
      </w:r>
      <w:r w:rsidRPr="6E9DD5EB">
        <w:rPr>
          <w:rFonts w:ascii="Aptos" w:eastAsia="Aptos" w:hAnsi="Aptos" w:cs="Aptos"/>
        </w:rPr>
        <w:t xml:space="preserve"> As required under </w:t>
      </w:r>
      <w:hyperlink r:id="rId21" w:anchor="p-63.10(e)(3)(vii)">
        <w:r w:rsidRPr="6E9DD5EB">
          <w:rPr>
            <w:rStyle w:val="Hyperlink"/>
            <w:rFonts w:ascii="Aptos" w:eastAsia="Aptos" w:hAnsi="Aptos" w:cs="Aptos"/>
          </w:rPr>
          <w:t>paragraphs (e)(3)(vii)</w:t>
        </w:r>
      </w:hyperlink>
      <w:r w:rsidRPr="6E9DD5EB">
        <w:rPr>
          <w:rFonts w:ascii="Aptos" w:eastAsia="Aptos" w:hAnsi="Aptos" w:cs="Aptos"/>
        </w:rPr>
        <w:t xml:space="preserve"> and </w:t>
      </w:r>
      <w:hyperlink r:id="rId21" w:anchor="p-63.10(e)(3)(viii)">
        <w:r w:rsidRPr="6E9DD5EB">
          <w:rPr>
            <w:rStyle w:val="Hyperlink"/>
            <w:rFonts w:ascii="Aptos" w:eastAsia="Aptos" w:hAnsi="Aptos" w:cs="Aptos"/>
          </w:rPr>
          <w:t>(e)(3)(viii)</w:t>
        </w:r>
      </w:hyperlink>
      <w:r w:rsidRPr="6E9DD5EB">
        <w:rPr>
          <w:rFonts w:ascii="Aptos" w:eastAsia="Aptos" w:hAnsi="Aptos" w:cs="Aptos"/>
        </w:rPr>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w:t>
      </w:r>
    </w:p>
    <w:p w:rsidR="3FBDD555" w:rsidP="6E9DD5EB" w14:paraId="1ABACBBE" w14:textId="5213B3AB">
      <w:pPr>
        <w:spacing w:before="240" w:after="240"/>
        <w:ind w:left="720"/>
      </w:pPr>
      <w:r w:rsidRPr="6E9DD5EB">
        <w:rPr>
          <w:rFonts w:ascii="Aptos" w:eastAsia="Aptos" w:hAnsi="Aptos" w:cs="Aptos"/>
        </w:rPr>
        <w:t>(A) The company name and address of the affected source;</w:t>
      </w:r>
    </w:p>
    <w:p w:rsidR="3FBDD555" w:rsidP="6E9DD5EB" w14:paraId="6E5DA8DF" w14:textId="1537F785">
      <w:pPr>
        <w:spacing w:before="240" w:after="240"/>
        <w:ind w:left="720"/>
      </w:pPr>
      <w:r w:rsidRPr="6E9DD5EB">
        <w:rPr>
          <w:rFonts w:ascii="Aptos" w:eastAsia="Aptos" w:hAnsi="Aptos" w:cs="Aptos"/>
        </w:rPr>
        <w:t>(B) An identification of each hazardous air pollutant monitored at the affected source;</w:t>
      </w:r>
    </w:p>
    <w:p w:rsidR="3FBDD555" w:rsidP="6E9DD5EB" w14:paraId="53579AF6" w14:textId="1C882226">
      <w:pPr>
        <w:spacing w:before="240" w:after="240"/>
        <w:ind w:left="720"/>
      </w:pPr>
      <w:r w:rsidRPr="6E9DD5EB">
        <w:rPr>
          <w:rFonts w:ascii="Aptos" w:eastAsia="Aptos" w:hAnsi="Aptos" w:cs="Aptos"/>
        </w:rPr>
        <w:t>(C) The beginning and ending dates of the reporting period;</w:t>
      </w:r>
    </w:p>
    <w:p w:rsidR="3FBDD555" w:rsidP="6E9DD5EB" w14:paraId="027C4D52" w14:textId="0D611ACA">
      <w:pPr>
        <w:spacing w:before="240" w:after="240"/>
        <w:ind w:left="720"/>
      </w:pPr>
      <w:r w:rsidRPr="6E9DD5EB">
        <w:rPr>
          <w:rFonts w:ascii="Aptos" w:eastAsia="Aptos" w:hAnsi="Aptos" w:cs="Aptos"/>
        </w:rPr>
        <w:t>(D) A brief description of the process units;</w:t>
      </w:r>
    </w:p>
    <w:p w:rsidR="3FBDD555" w:rsidP="6E9DD5EB" w14:paraId="3150F70F" w14:textId="101AB226">
      <w:pPr>
        <w:spacing w:before="240" w:after="240"/>
        <w:ind w:left="720"/>
      </w:pPr>
      <w:r w:rsidRPr="6E9DD5EB">
        <w:rPr>
          <w:rFonts w:ascii="Aptos" w:eastAsia="Aptos" w:hAnsi="Aptos" w:cs="Aptos"/>
        </w:rPr>
        <w:t>(E) The emission and operating parameter limitations specified in the relevant standard(s);</w:t>
      </w:r>
    </w:p>
    <w:p w:rsidR="3FBDD555" w:rsidP="6E9DD5EB" w14:paraId="1B1FD9F9" w14:textId="6562D409">
      <w:pPr>
        <w:spacing w:before="240" w:after="240"/>
        <w:ind w:left="720"/>
      </w:pPr>
      <w:r w:rsidRPr="6E9DD5EB">
        <w:rPr>
          <w:rFonts w:ascii="Aptos" w:eastAsia="Aptos" w:hAnsi="Aptos" w:cs="Aptos"/>
        </w:rPr>
        <w:t>(F) The monitoring equipment manufacturer(s) and model number(s);</w:t>
      </w:r>
    </w:p>
    <w:p w:rsidR="3FBDD555" w:rsidP="6E9DD5EB" w14:paraId="29C61AF5" w14:textId="01BE2C2F">
      <w:pPr>
        <w:spacing w:before="240" w:after="240"/>
        <w:ind w:left="720"/>
      </w:pPr>
      <w:r w:rsidRPr="6E9DD5EB">
        <w:rPr>
          <w:rFonts w:ascii="Aptos" w:eastAsia="Aptos" w:hAnsi="Aptos" w:cs="Aptos"/>
        </w:rPr>
        <w:t>(G) The date of the latest CMS certification or audit;</w:t>
      </w:r>
    </w:p>
    <w:p w:rsidR="3FBDD555" w:rsidP="6E9DD5EB" w14:paraId="4AF2B301" w14:textId="3E98B66C">
      <w:pPr>
        <w:spacing w:before="240" w:after="240"/>
        <w:ind w:left="720"/>
      </w:pPr>
      <w:r w:rsidRPr="6E9DD5EB">
        <w:rPr>
          <w:rFonts w:ascii="Aptos" w:eastAsia="Aptos" w:hAnsi="Aptos" w:cs="Aptos"/>
        </w:rPr>
        <w:t>(H) The total operating time of the affected source during the reporting period;</w:t>
      </w:r>
    </w:p>
    <w:p w:rsidR="3FBDD555" w:rsidP="6E9DD5EB" w14:paraId="68D040EF" w14:textId="0A651572">
      <w:pPr>
        <w:spacing w:before="240" w:after="240"/>
        <w:ind w:left="720"/>
      </w:pPr>
      <w:r w:rsidRPr="6E9DD5EB">
        <w:rPr>
          <w:rFonts w:ascii="Aptos" w:eastAsia="Aptos" w:hAnsi="Aptos" w:cs="Aptos"/>
        </w:rPr>
        <w:t xml:space="preserve">(I) An emission data summary (or similar summary if the owner or operator monitors control system parameters), including the total duration of excess emissions during the reporting period (recorded in minutes for opacity and hours for gases), the total </w:t>
      </w:r>
      <w:r w:rsidRPr="6E9DD5EB">
        <w:rPr>
          <w:rFonts w:ascii="Aptos" w:eastAsia="Aptos" w:hAnsi="Aptos" w:cs="Aptos"/>
        </w:rPr>
        <w:t>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w:t>
      </w:r>
    </w:p>
    <w:p w:rsidR="3FBDD555" w:rsidP="6E9DD5EB" w14:paraId="574A466C" w14:textId="31B62685">
      <w:pPr>
        <w:spacing w:before="240" w:after="240"/>
        <w:ind w:left="720"/>
      </w:pPr>
      <w:r w:rsidRPr="6E9DD5EB">
        <w:rPr>
          <w:rFonts w:ascii="Aptos" w:eastAsia="Aptos" w:hAnsi="Aptos" w:cs="Aptos"/>
        </w:rPr>
        <w:t>(J)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nonmonitoring equipment malfunctions, quality assurance/quality control calibrations, other known causes, and other unknown causes;</w:t>
      </w:r>
    </w:p>
    <w:p w:rsidR="3FBDD555" w:rsidP="6E9DD5EB" w14:paraId="0646D7AE" w14:textId="73A137F0">
      <w:pPr>
        <w:spacing w:before="240" w:after="240"/>
        <w:ind w:left="720"/>
      </w:pPr>
      <w:r w:rsidRPr="6E9DD5EB">
        <w:rPr>
          <w:rFonts w:ascii="Aptos" w:eastAsia="Aptos" w:hAnsi="Aptos" w:cs="Aptos"/>
        </w:rPr>
        <w:t>(K) A description of any changes in CMS, processes, or controls since the last reporting period;</w:t>
      </w:r>
    </w:p>
    <w:p w:rsidR="3FBDD555" w:rsidP="6E9DD5EB" w14:paraId="104CA78D" w14:textId="0B7C643C">
      <w:pPr>
        <w:spacing w:before="240" w:after="240"/>
        <w:ind w:left="720"/>
      </w:pPr>
      <w:r w:rsidRPr="6E9DD5EB">
        <w:rPr>
          <w:rFonts w:ascii="Aptos" w:eastAsia="Aptos" w:hAnsi="Aptos" w:cs="Aptos"/>
        </w:rPr>
        <w:t>(L) The name, title, and signature of the responsible official who is certifying the accuracy of the report; and</w:t>
      </w:r>
    </w:p>
    <w:p w:rsidR="3FBDD555" w:rsidP="6E9DD5EB" w14:paraId="2A7F9B98" w14:textId="681E2750">
      <w:pPr>
        <w:spacing w:before="240" w:after="240"/>
        <w:ind w:left="720"/>
      </w:pPr>
      <w:r w:rsidRPr="6E9DD5EB">
        <w:rPr>
          <w:rFonts w:ascii="Aptos" w:eastAsia="Aptos" w:hAnsi="Aptos" w:cs="Aptos"/>
        </w:rPr>
        <w:t>(M) The date of the report.</w:t>
      </w:r>
    </w:p>
    <w:p w:rsidR="3FBDD555" w:rsidP="6E9DD5EB" w14:paraId="4A41401E" w14:textId="7BAE511F">
      <w:pPr>
        <w:spacing w:before="240" w:after="240"/>
        <w:ind w:left="540"/>
      </w:pPr>
      <w:r w:rsidRPr="6E9DD5EB">
        <w:rPr>
          <w:rFonts w:ascii="Aptos" w:eastAsia="Aptos" w:hAnsi="Aptos" w:cs="Aptos"/>
        </w:rPr>
        <w:t>(vii)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w:t>
      </w:r>
    </w:p>
    <w:p w:rsidR="3FBDD555" w:rsidP="6E9DD5EB" w14:paraId="3256D21F" w14:textId="7CDFCB89">
      <w:pPr>
        <w:spacing w:before="240" w:after="240"/>
        <w:ind w:left="540"/>
      </w:pPr>
      <w:r w:rsidRPr="6E9DD5EB">
        <w:rPr>
          <w:rFonts w:ascii="Aptos" w:eastAsia="Aptos" w:hAnsi="Aptos" w:cs="Aptos"/>
        </w:rPr>
        <w:t>(viii)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w:t>
      </w:r>
    </w:p>
    <w:p w:rsidR="3FBDD555" w:rsidP="6E9DD5EB" w14:paraId="0D3650C1" w14:textId="687E5B52">
      <w:pPr>
        <w:spacing w:before="240" w:after="240"/>
        <w:ind w:left="360"/>
      </w:pPr>
      <w:r w:rsidRPr="6E9DD5EB">
        <w:rPr>
          <w:rFonts w:ascii="Aptos" w:eastAsia="Aptos" w:hAnsi="Aptos" w:cs="Aptos"/>
        </w:rPr>
        <w:t xml:space="preserve">(4) </w:t>
      </w:r>
      <w:r w:rsidRPr="6E9DD5EB">
        <w:rPr>
          <w:rFonts w:ascii="Aptos" w:eastAsia="Aptos" w:hAnsi="Aptos" w:cs="Aptos"/>
          <w:b/>
          <w:bCs/>
          <w:i/>
          <w:iCs/>
        </w:rPr>
        <w:t>Reporting continuous opacity monitoring system data produced during a performance test.</w:t>
      </w:r>
      <w:r w:rsidRPr="6E9DD5EB">
        <w:rPr>
          <w:rFonts w:ascii="Aptos" w:eastAsia="Aptos" w:hAnsi="Aptos" w:cs="Aptos"/>
        </w:rPr>
        <w:t xml:space="preserve"> The owner or operator of an affected source required to use a COMS shall record the monitoring data produced during a performance test required </w:t>
      </w:r>
      <w:r w:rsidRPr="6E9DD5EB">
        <w:rPr>
          <w:rFonts w:ascii="Aptos" w:eastAsia="Aptos" w:hAnsi="Aptos" w:cs="Aptos"/>
        </w:rPr>
        <w:t xml:space="preserve">under </w:t>
      </w:r>
      <w:hyperlink r:id="rId27">
        <w:r w:rsidRPr="6E9DD5EB">
          <w:rPr>
            <w:rStyle w:val="Hyperlink"/>
            <w:rFonts w:ascii="Aptos" w:eastAsia="Aptos" w:hAnsi="Aptos" w:cs="Aptos"/>
          </w:rPr>
          <w:t>§ 63.7</w:t>
        </w:r>
      </w:hyperlink>
      <w:r w:rsidRPr="6E9DD5EB">
        <w:rPr>
          <w:rFonts w:ascii="Aptos" w:eastAsia="Aptos" w:hAnsi="Aptos" w:cs="Aptos"/>
        </w:rPr>
        <w:t xml:space="preserve"> and shall furnish the Administrator a written report of the monitoring results. The report of COMS data shall be submitted simultaneously with the report of the performance test results required in </w:t>
      </w:r>
      <w:hyperlink r:id="rId21" w:anchor="p-63.10(d)(2)">
        <w:r w:rsidRPr="6E9DD5EB">
          <w:rPr>
            <w:rStyle w:val="Hyperlink"/>
            <w:rFonts w:ascii="Aptos" w:eastAsia="Aptos" w:hAnsi="Aptos" w:cs="Aptos"/>
          </w:rPr>
          <w:t>paragraph (d)(2)</w:t>
        </w:r>
      </w:hyperlink>
      <w:r w:rsidRPr="6E9DD5EB">
        <w:rPr>
          <w:rFonts w:ascii="Aptos" w:eastAsia="Aptos" w:hAnsi="Aptos" w:cs="Aptos"/>
        </w:rPr>
        <w:t xml:space="preserve"> of this section.</w:t>
      </w:r>
    </w:p>
    <w:p w:rsidR="3FBDD555" w:rsidP="6E9DD5EB" w14:paraId="48C0EE72" w14:textId="7D0C9928">
      <w:pPr>
        <w:spacing w:before="240" w:after="240"/>
        <w:ind w:left="180"/>
      </w:pPr>
      <w:r w:rsidRPr="6E9DD5EB">
        <w:rPr>
          <w:rFonts w:ascii="Aptos" w:eastAsia="Aptos" w:hAnsi="Aptos" w:cs="Aptos"/>
        </w:rPr>
        <w:t xml:space="preserve">(f) </w:t>
      </w:r>
      <w:r w:rsidRPr="6E9DD5EB">
        <w:rPr>
          <w:rFonts w:ascii="Aptos" w:eastAsia="Aptos" w:hAnsi="Aptos" w:cs="Aptos"/>
          <w:b/>
          <w:bCs/>
          <w:i/>
          <w:iCs/>
        </w:rPr>
        <w:t>Waiver of recordkeeping or reporting requirements.</w:t>
      </w:r>
      <w:r w:rsidRPr="6E9DD5EB">
        <w:rPr>
          <w:rFonts w:ascii="Aptos" w:eastAsia="Aptos" w:hAnsi="Aptos" w:cs="Aptos"/>
        </w:rPr>
        <w:t xml:space="preserve"> </w:t>
      </w:r>
    </w:p>
    <w:p w:rsidR="3FBDD555" w:rsidP="6E9DD5EB" w14:paraId="1FD71BED" w14:textId="20FEE751">
      <w:pPr>
        <w:spacing w:before="240" w:after="240"/>
        <w:ind w:left="360"/>
      </w:pPr>
      <w:r w:rsidRPr="6E9DD5EB">
        <w:rPr>
          <w:rFonts w:ascii="Aptos" w:eastAsia="Aptos" w:hAnsi="Aptos" w:cs="Aptos"/>
        </w:rPr>
        <w:t>(1) Until a waiver of a recordkeeping or reporting requirement has been granted by the Administrator under this paragraph, the owner or operator of an affected source remains subject to the requirements of this section.</w:t>
      </w:r>
    </w:p>
    <w:p w:rsidR="3FBDD555" w:rsidP="6E9DD5EB" w14:paraId="5469A0F4" w14:textId="68ABBB0B">
      <w:pPr>
        <w:spacing w:before="240" w:after="240"/>
        <w:ind w:left="360"/>
      </w:pPr>
      <w:r w:rsidRPr="6E9DD5EB">
        <w:rPr>
          <w:rFonts w:ascii="Aptos" w:eastAsia="Aptos" w:hAnsi="Aptos" w:cs="Aptos"/>
        </w:rPr>
        <w:t>(2)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compliance and the Administrator is still considering that request.</w:t>
      </w:r>
    </w:p>
    <w:p w:rsidR="3FBDD555" w:rsidP="6E9DD5EB" w14:paraId="7476D711" w14:textId="1A0050D7">
      <w:pPr>
        <w:spacing w:before="240" w:after="240"/>
        <w:ind w:left="360"/>
      </w:pPr>
      <w:r w:rsidRPr="6E9DD5EB">
        <w:rPr>
          <w:rFonts w:ascii="Aptos" w:eastAsia="Aptos" w:hAnsi="Aptos" w:cs="Aptos"/>
        </w:rPr>
        <w:t xml:space="preserve">(3) If an application for a waiver of recordkeeping or reporting is made, the application shall accompany the request for an extension of compliance under </w:t>
      </w:r>
      <w:hyperlink r:id="rId23" w:anchor="p-63.6(i)">
        <w:r w:rsidRPr="6E9DD5EB">
          <w:rPr>
            <w:rStyle w:val="Hyperlink"/>
            <w:rFonts w:ascii="Aptos" w:eastAsia="Aptos" w:hAnsi="Aptos" w:cs="Aptos"/>
          </w:rPr>
          <w:t>§ 63.6(i)</w:t>
        </w:r>
      </w:hyperlink>
      <w:r w:rsidRPr="6E9DD5EB">
        <w:rPr>
          <w:rFonts w:ascii="Aptos" w:eastAsia="Aptos" w:hAnsi="Aptos" w:cs="Aptos"/>
        </w:rPr>
        <w:t xml:space="preserve">, any required compliance progress report or compliance status report required under this part (such as under </w:t>
      </w:r>
      <w:hyperlink r:id="rId23" w:anchor="p-63.6(i)">
        <w:r w:rsidRPr="6E9DD5EB">
          <w:rPr>
            <w:rStyle w:val="Hyperlink"/>
            <w:rFonts w:ascii="Aptos" w:eastAsia="Aptos" w:hAnsi="Aptos" w:cs="Aptos"/>
          </w:rPr>
          <w:t>§§ 63.6(i)</w:t>
        </w:r>
      </w:hyperlink>
      <w:r w:rsidRPr="6E9DD5EB">
        <w:rPr>
          <w:rFonts w:ascii="Aptos" w:eastAsia="Aptos" w:hAnsi="Aptos" w:cs="Aptos"/>
        </w:rPr>
        <w:t xml:space="preserve"> and </w:t>
      </w:r>
      <w:hyperlink r:id="rId22" w:anchor="p-63.9(h)">
        <w:r w:rsidRPr="6E9DD5EB">
          <w:rPr>
            <w:rStyle w:val="Hyperlink"/>
            <w:rFonts w:ascii="Aptos" w:eastAsia="Aptos" w:hAnsi="Aptos" w:cs="Aptos"/>
          </w:rPr>
          <w:t>63.9(h)</w:t>
        </w:r>
      </w:hyperlink>
      <w:r w:rsidRPr="6E9DD5EB">
        <w:rPr>
          <w:rFonts w:ascii="Aptos" w:eastAsia="Aptos" w:hAnsi="Aptos" w:cs="Aptos"/>
        </w:rPr>
        <w:t xml:space="preserve">) or in the source's title V permit, or an excess emissions and continuous monitoring system performance report required under </w:t>
      </w:r>
      <w:hyperlink r:id="rId21" w:anchor="p-63.10(e)">
        <w:r w:rsidRPr="6E9DD5EB">
          <w:rPr>
            <w:rStyle w:val="Hyperlink"/>
            <w:rFonts w:ascii="Aptos" w:eastAsia="Aptos" w:hAnsi="Aptos" w:cs="Aptos"/>
          </w:rPr>
          <w:t>paragraph (e)</w:t>
        </w:r>
      </w:hyperlink>
      <w:r w:rsidRPr="6E9DD5EB">
        <w:rPr>
          <w:rFonts w:ascii="Aptos" w:eastAsia="Aptos" w:hAnsi="Aptos" w:cs="Aptos"/>
        </w:rPr>
        <w:t xml:space="preserve"> of this section, whichever is applicable. The application shall include whatever information the owner or operator considers useful to convince the Administrator that a waiver of recordkeeping or reporting is warranted.</w:t>
      </w:r>
    </w:p>
    <w:p w:rsidR="3FBDD555" w:rsidP="6E9DD5EB" w14:paraId="435F58BE" w14:textId="76BE6735">
      <w:pPr>
        <w:spacing w:before="240" w:after="240"/>
        <w:ind w:left="360"/>
      </w:pPr>
      <w:r w:rsidRPr="6E9DD5EB">
        <w:rPr>
          <w:rFonts w:ascii="Aptos" w:eastAsia="Aptos" w:hAnsi="Aptos" w:cs="Aptos"/>
        </w:rPr>
        <w:t>(4) The Administrator will approve or deny a request for a waiver of recordkeeping or reporting requirements under this paragraph when he/she—</w:t>
      </w:r>
    </w:p>
    <w:p w:rsidR="3FBDD555" w:rsidP="6E9DD5EB" w14:paraId="28F8FBB5" w14:textId="4D3FBFA6">
      <w:pPr>
        <w:spacing w:before="240" w:after="240"/>
        <w:ind w:left="540"/>
      </w:pPr>
      <w:r w:rsidRPr="6E9DD5EB">
        <w:rPr>
          <w:rFonts w:ascii="Aptos" w:eastAsia="Aptos" w:hAnsi="Aptos" w:cs="Aptos"/>
        </w:rPr>
        <w:t>(i) Approves or denies an extension of compliance; or</w:t>
      </w:r>
    </w:p>
    <w:p w:rsidR="3FBDD555" w:rsidP="6E9DD5EB" w14:paraId="48FBF101" w14:textId="2DCFC216">
      <w:pPr>
        <w:spacing w:before="240" w:after="240"/>
        <w:ind w:left="540"/>
      </w:pPr>
      <w:r w:rsidRPr="6E9DD5EB">
        <w:rPr>
          <w:rFonts w:ascii="Aptos" w:eastAsia="Aptos" w:hAnsi="Aptos" w:cs="Aptos"/>
        </w:rPr>
        <w:t>(ii) Makes a determination of compliance following the submission of a required compliance status report or excess emissions and continuous monitoring systems performance report; or</w:t>
      </w:r>
    </w:p>
    <w:p w:rsidR="3FBDD555" w:rsidP="6E9DD5EB" w14:paraId="752542F4" w14:textId="290DB3BD">
      <w:pPr>
        <w:spacing w:before="240" w:after="240"/>
        <w:ind w:left="540"/>
      </w:pPr>
      <w:r w:rsidRPr="6E9DD5EB">
        <w:rPr>
          <w:rFonts w:ascii="Aptos" w:eastAsia="Aptos" w:hAnsi="Aptos" w:cs="Aptos"/>
        </w:rPr>
        <w:t>(iii) Makes a determination of suitable progress towards compliance following the submission of a compliance progress report, whichever is applicable.</w:t>
      </w:r>
    </w:p>
    <w:p w:rsidR="3FBDD555" w:rsidP="6E9DD5EB" w14:paraId="3CCC8A23" w14:textId="2FE281C0">
      <w:pPr>
        <w:spacing w:before="240" w:after="240"/>
        <w:ind w:left="360"/>
      </w:pPr>
      <w:r w:rsidRPr="6E9DD5EB">
        <w:rPr>
          <w:rFonts w:ascii="Aptos" w:eastAsia="Aptos" w:hAnsi="Aptos" w:cs="Aptos"/>
        </w:rPr>
        <w:t>(5) A waiver of any recordkeeping or reporting requirement granted under this paragraph may be conditioned on other recordkeeping or reporting requirements deemed necessary by the Administrator.</w:t>
      </w:r>
    </w:p>
    <w:p w:rsidR="3FBDD555" w:rsidP="6E9DD5EB" w14:paraId="1D7BA430" w14:textId="6D9C24E3">
      <w:pPr>
        <w:spacing w:before="240" w:after="240"/>
        <w:ind w:left="360"/>
      </w:pPr>
      <w:r w:rsidRPr="10B81F39">
        <w:rPr>
          <w:rFonts w:ascii="Aptos" w:eastAsia="Aptos" w:hAnsi="Aptos" w:cs="Aptos"/>
        </w:rPr>
        <w:t>(6)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6E9DD5EB" w:rsidP="6E9DD5EB" w14:paraId="35E9F63B" w14:textId="4181E08F">
      <w:pPr>
        <w:spacing w:before="240" w:after="240"/>
      </w:pPr>
      <w:r w:rsidRPr="10B81F39">
        <w:rPr>
          <w:rFonts w:ascii="Aptos" w:eastAsia="Aptos" w:hAnsi="Aptos" w:cs="Aptos"/>
        </w:rPr>
        <w:t>§ 63.11509 What are my notification, reporting, and recordkeeping requirements?</w:t>
      </w:r>
    </w:p>
    <w:p w:rsidR="00B517A8" w:rsidP="10B81F39" w14:paraId="73775378" w14:textId="17B06DC3">
      <w:pPr>
        <w:spacing w:before="240" w:after="240"/>
        <w:ind w:left="180"/>
      </w:pPr>
      <w:r w:rsidRPr="10B81F39">
        <w:rPr>
          <w:rFonts w:ascii="Aptos" w:eastAsia="Aptos" w:hAnsi="Aptos" w:cs="Aptos"/>
        </w:rPr>
        <w:t xml:space="preserve">(e) You must keep the records specified in </w:t>
      </w:r>
      <w:hyperlink r:id="rId28" w:anchor="p-63.11509(e)(1)">
        <w:r w:rsidRPr="10B81F39">
          <w:rPr>
            <w:rStyle w:val="Hyperlink"/>
            <w:rFonts w:ascii="Aptos" w:eastAsia="Aptos" w:hAnsi="Aptos" w:cs="Aptos"/>
          </w:rPr>
          <w:t>paragraphs (e)(1)</w:t>
        </w:r>
      </w:hyperlink>
      <w:r w:rsidRPr="10B81F39">
        <w:rPr>
          <w:rFonts w:ascii="Aptos" w:eastAsia="Aptos" w:hAnsi="Aptos" w:cs="Aptos"/>
        </w:rPr>
        <w:t xml:space="preserve"> through </w:t>
      </w:r>
      <w:hyperlink r:id="rId28" w:anchor="p-63.11509(e)(3)">
        <w:r w:rsidRPr="10B81F39">
          <w:rPr>
            <w:rStyle w:val="Hyperlink"/>
            <w:rFonts w:ascii="Aptos" w:eastAsia="Aptos" w:hAnsi="Aptos" w:cs="Aptos"/>
          </w:rPr>
          <w:t>(3)</w:t>
        </w:r>
      </w:hyperlink>
      <w:r w:rsidRPr="10B81F39">
        <w:rPr>
          <w:rFonts w:ascii="Aptos" w:eastAsia="Aptos" w:hAnsi="Aptos" w:cs="Aptos"/>
        </w:rPr>
        <w:t xml:space="preserve"> of this section.</w:t>
      </w:r>
    </w:p>
    <w:p w:rsidR="00B517A8" w:rsidP="7DCCD7A6" w14:paraId="78D8204A" w14:textId="026DCD9D">
      <w:pPr>
        <w:spacing w:before="240" w:after="240"/>
        <w:ind w:left="360"/>
      </w:pPr>
      <w:r w:rsidRPr="10B81F39">
        <w:rPr>
          <w:rFonts w:ascii="Aptos" w:eastAsia="Aptos" w:hAnsi="Aptos" w:cs="Aptos"/>
        </w:rPr>
        <w:t>(1) A copy of any Initial Notification and Notification of Compliance Status that you submitted and all documentation supporting those notifications.</w:t>
      </w:r>
    </w:p>
    <w:p w:rsidR="00B517A8" w:rsidP="7DCCD7A6" w14:paraId="67BA4A6F" w14:textId="6C16D91E">
      <w:pPr>
        <w:spacing w:before="240" w:after="240"/>
        <w:ind w:left="360"/>
      </w:pPr>
      <w:r w:rsidRPr="10B81F39">
        <w:rPr>
          <w:rFonts w:ascii="Aptos" w:eastAsia="Aptos" w:hAnsi="Aptos" w:cs="Aptos"/>
        </w:rPr>
        <w:t xml:space="preserve">(2) The records specified in </w:t>
      </w:r>
      <w:hyperlink r:id="rId21" w:anchor="p-63.10(b)(2)(i)">
        <w:r w:rsidRPr="10B81F39">
          <w:rPr>
            <w:rStyle w:val="Hyperlink"/>
            <w:rFonts w:ascii="Aptos" w:eastAsia="Aptos" w:hAnsi="Aptos" w:cs="Aptos"/>
          </w:rPr>
          <w:t>§ 63.10(b)(2)(i)</w:t>
        </w:r>
      </w:hyperlink>
      <w:r w:rsidRPr="10B81F39">
        <w:rPr>
          <w:rFonts w:ascii="Aptos" w:eastAsia="Aptos" w:hAnsi="Aptos" w:cs="Aptos"/>
        </w:rPr>
        <w:t xml:space="preserve"> through </w:t>
      </w:r>
      <w:hyperlink r:id="rId21" w:anchor="p-63.10(b)(2)(iii)">
        <w:r w:rsidRPr="10B81F39">
          <w:rPr>
            <w:rStyle w:val="Hyperlink"/>
            <w:rFonts w:ascii="Aptos" w:eastAsia="Aptos" w:hAnsi="Aptos" w:cs="Aptos"/>
          </w:rPr>
          <w:t>(iii)</w:t>
        </w:r>
      </w:hyperlink>
      <w:r w:rsidRPr="10B81F39">
        <w:rPr>
          <w:rFonts w:ascii="Aptos" w:eastAsia="Aptos" w:hAnsi="Aptos" w:cs="Aptos"/>
        </w:rPr>
        <w:t xml:space="preserve"> and </w:t>
      </w:r>
      <w:hyperlink r:id="rId21" w:anchor="p-63.10(b)(2)(xiv)">
        <w:r w:rsidRPr="10B81F39">
          <w:rPr>
            <w:rStyle w:val="Hyperlink"/>
            <w:rFonts w:ascii="Aptos" w:eastAsia="Aptos" w:hAnsi="Aptos" w:cs="Aptos"/>
          </w:rPr>
          <w:t>(xiv)</w:t>
        </w:r>
      </w:hyperlink>
      <w:r w:rsidRPr="10B81F39">
        <w:rPr>
          <w:rFonts w:ascii="Aptos" w:eastAsia="Aptos" w:hAnsi="Aptos" w:cs="Aptos"/>
        </w:rPr>
        <w:t xml:space="preserve"> of the General Provisions of this part.</w:t>
      </w:r>
    </w:p>
    <w:p w:rsidR="00B517A8" w:rsidP="7DCCD7A6" w14:paraId="71E8BA09" w14:textId="3E1F6C75">
      <w:pPr>
        <w:spacing w:before="240" w:after="240"/>
        <w:ind w:left="360"/>
      </w:pPr>
      <w:r w:rsidRPr="10B81F39">
        <w:rPr>
          <w:rFonts w:ascii="Aptos" w:eastAsia="Aptos" w:hAnsi="Aptos" w:cs="Aptos"/>
        </w:rPr>
        <w:t xml:space="preserve">(3) The records required to show continuous compliance with each management practice and equipment standard that applies to you, as specified in </w:t>
      </w:r>
      <w:hyperlink r:id="rId29" w:anchor="p-63.11508(d)">
        <w:r w:rsidRPr="10B81F39">
          <w:rPr>
            <w:rStyle w:val="Hyperlink"/>
            <w:rFonts w:ascii="Aptos" w:eastAsia="Aptos" w:hAnsi="Aptos" w:cs="Aptos"/>
          </w:rPr>
          <w:t>§ 63.11508(d)</w:t>
        </w:r>
      </w:hyperlink>
      <w:r w:rsidRPr="10B81F39">
        <w:rPr>
          <w:rFonts w:ascii="Aptos" w:eastAsia="Aptos" w:hAnsi="Aptos" w:cs="Aptos"/>
        </w:rPr>
        <w:t>, “What are my compliance requirements?”</w:t>
      </w:r>
    </w:p>
    <w:p w:rsidR="00B517A8" w:rsidP="10B81F39" w14:paraId="65B50FB4" w14:textId="1E0455AC">
      <w:pPr>
        <w:spacing w:before="240" w:after="240"/>
        <w:ind w:left="180"/>
      </w:pPr>
      <w:r w:rsidRPr="10B81F39">
        <w:rPr>
          <w:rFonts w:ascii="Aptos" w:eastAsia="Aptos" w:hAnsi="Aptos" w:cs="Aptos"/>
        </w:rPr>
        <w:t xml:space="preserve">(f) You must keep each record for a minimum of 5 years following the date of each occurrence, measurement, maintenance, corrective action, report, or record. You must keep each record onsite for at least 2 years after the date of each occurrence, measurement, maintenance, corrective action, report, or record, according to </w:t>
      </w:r>
      <w:hyperlink r:id="rId21" w:anchor="p-63.10(b)(1)">
        <w:r w:rsidRPr="10B81F39">
          <w:rPr>
            <w:rStyle w:val="Hyperlink"/>
            <w:rFonts w:ascii="Aptos" w:eastAsia="Aptos" w:hAnsi="Aptos" w:cs="Aptos"/>
          </w:rPr>
          <w:t>§ 63.10(b)(1)</w:t>
        </w:r>
      </w:hyperlink>
      <w:r w:rsidRPr="10B81F39">
        <w:rPr>
          <w:rFonts w:ascii="Aptos" w:eastAsia="Aptos" w:hAnsi="Aptos" w:cs="Aptos"/>
        </w:rPr>
        <w:t xml:space="preserve"> of the General Provisions to part 63. You may keep the records offsite for the remaining 3 years.</w:t>
      </w:r>
    </w:p>
    <w:p w:rsidR="00B517A8" w:rsidP="7DCCD7A6" w14:paraId="3D017B64" w14:textId="71E6F5A2">
      <w:pPr>
        <w:spacing w:before="240" w:after="240"/>
        <w:ind w:left="360"/>
        <w:rPr>
          <w:rFonts w:ascii="Aptos" w:eastAsia="Aptos" w:hAnsi="Aptos" w:cs="Aptos"/>
        </w:rPr>
      </w:pPr>
    </w:p>
    <w:p w:rsidR="00B517A8" w14:paraId="2C078E63" w14:textId="4D281FF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EC8B2"/>
    <w:rsid w:val="000D5ADF"/>
    <w:rsid w:val="00172823"/>
    <w:rsid w:val="002C7852"/>
    <w:rsid w:val="005669FF"/>
    <w:rsid w:val="005D250E"/>
    <w:rsid w:val="005F06E9"/>
    <w:rsid w:val="00B517A8"/>
    <w:rsid w:val="10B81F39"/>
    <w:rsid w:val="167EC8B2"/>
    <w:rsid w:val="3FBDD555"/>
    <w:rsid w:val="69935CC7"/>
    <w:rsid w:val="6E9DD5EB"/>
    <w:rsid w:val="7DCCD7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67EC8B2"/>
  <w15:chartTrackingRefBased/>
  <w15:docId w15:val="{AE4BD3FF-1D50-40BD-86BE-005ABFF0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13" TargetMode="External" /><Relationship Id="rId11" Type="http://schemas.openxmlformats.org/officeDocument/2006/relationships/hyperlink" Target="https://www.ecfr.gov/current/title-40/part-60/section-60.11" TargetMode="External" /><Relationship Id="rId12" Type="http://schemas.openxmlformats.org/officeDocument/2006/relationships/hyperlink" Target="https://www.ecfr.gov/current/title-40/section-60.8" TargetMode="External" /><Relationship Id="rId13" Type="http://schemas.openxmlformats.org/officeDocument/2006/relationships/hyperlink" Target="https://www.ecfr.gov/current/title-40/section-60.7" TargetMode="External" /><Relationship Id="rId14" Type="http://schemas.openxmlformats.org/officeDocument/2006/relationships/hyperlink" Target="https://www.ecfr.gov/current/title-40/section-60.492" TargetMode="External" /><Relationship Id="rId15" Type="http://schemas.openxmlformats.org/officeDocument/2006/relationships/hyperlink" Target="https://www.ecfr.gov/current/title-40/section-60.493" TargetMode="External" /><Relationship Id="rId16" Type="http://schemas.openxmlformats.org/officeDocument/2006/relationships/hyperlink" Target="https://www.ecfr.gov/current/title-40/section-60.494" TargetMode="External" /><Relationship Id="rId17" Type="http://schemas.openxmlformats.org/officeDocument/2006/relationships/hyperlink" Target="https://www.ecfr.gov/current/title-40/section-60.495" TargetMode="External" /><Relationship Id="rId18" Type="http://schemas.openxmlformats.org/officeDocument/2006/relationships/hyperlink" Target="https://www.ecfr.gov/current/title-40/section-63.1" TargetMode="External" /><Relationship Id="rId19" Type="http://schemas.openxmlformats.org/officeDocument/2006/relationships/hyperlink" Target="https://www.ecfr.gov/current/title-40/part-63/subpart-D" TargetMode="External" /><Relationship Id="rId2" Type="http://schemas.openxmlformats.org/officeDocument/2006/relationships/webSettings" Target="webSettings.xml" /><Relationship Id="rId20" Type="http://schemas.openxmlformats.org/officeDocument/2006/relationships/hyperlink" Target="https://www.ecfr.gov/current/title-40/section-63.13" TargetMode="External" /><Relationship Id="rId21" Type="http://schemas.openxmlformats.org/officeDocument/2006/relationships/hyperlink" Target="https://www.ecfr.gov/current/title-40/section-63.10" TargetMode="External" /><Relationship Id="rId22" Type="http://schemas.openxmlformats.org/officeDocument/2006/relationships/hyperlink" Target="https://www.ecfr.gov/current/title-40/section-63.9" TargetMode="External" /><Relationship Id="rId23" Type="http://schemas.openxmlformats.org/officeDocument/2006/relationships/hyperlink" Target="https://www.ecfr.gov/current/title-40/section-63.6" TargetMode="External" /><Relationship Id="rId24" Type="http://schemas.openxmlformats.org/officeDocument/2006/relationships/hyperlink" Target="https://www.ecfr.gov/current/title-40/section-63.8" TargetMode="External" /><Relationship Id="rId25" Type="http://schemas.openxmlformats.org/officeDocument/2006/relationships/hyperlink" Target="https://www.ecfr.gov/current/title-40/part-63/subpart-s" TargetMode="External" /><Relationship Id="rId26" Type="http://schemas.openxmlformats.org/officeDocument/2006/relationships/hyperlink" Target="https://www.ecfr.gov/current/title-40/section-63.16" TargetMode="External" /><Relationship Id="rId27" Type="http://schemas.openxmlformats.org/officeDocument/2006/relationships/hyperlink" Target="https://www.ecfr.gov/current/title-40/section-63.7" TargetMode="External" /><Relationship Id="rId28" Type="http://schemas.openxmlformats.org/officeDocument/2006/relationships/hyperlink" Target="https://www.ecfr.gov/current/title-40/section-63.11509" TargetMode="External" /><Relationship Id="rId29" Type="http://schemas.openxmlformats.org/officeDocument/2006/relationships/hyperlink" Target="https://www.ecfr.gov/current/title-40/section-63.11508"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5" TargetMode="External" /><Relationship Id="rId9" Type="http://schemas.openxmlformats.org/officeDocument/2006/relationships/hyperlink" Target="https://www.ecfr.gov/current/title-40/section-6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2025-01-06T15:46:20+00:00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E07CCC5-422C-4299-A0AC-C76BFC0C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6B7BB-3D9A-4A08-B53C-4A24F9C44C02}">
  <ds:schemaRefs>
    <ds:schemaRef ds:uri="http://schemas.microsoft.com/sharepoint/v3/contenttype/forms"/>
  </ds:schemaRefs>
</ds:datastoreItem>
</file>

<file path=customXml/itemProps3.xml><?xml version="1.0" encoding="utf-8"?>
<ds:datastoreItem xmlns:ds="http://schemas.openxmlformats.org/officeDocument/2006/customXml" ds:itemID="{FF6250F6-2A8B-4841-947B-243E06A2A3EE}">
  <ds:schemaRefs>
    <ds:schemaRef ds:uri="http://schemas.microsoft.com/sharepoint/v3/fields"/>
    <ds:schemaRef ds:uri="http://schemas.microsoft.com/office/2006/documentManagement/types"/>
    <ds:schemaRef ds:uri="http://purl.org/dc/terms/"/>
    <ds:schemaRef ds:uri="4ffa91fb-a0ff-4ac5-b2db-65c790d184a4"/>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96fc5250-dc30-4f01-945b-7e46a880eeb3"/>
    <ds:schemaRef ds:uri="02fe02c4-dc41-46ff-9d52-90c0a1b1f611"/>
    <ds:schemaRef ds:uri="http://schemas.microsoft.com/sharepoint/v3"/>
  </ds:schemaRefs>
</ds:datastoreItem>
</file>

<file path=customXml/itemProps4.xml><?xml version="1.0" encoding="utf-8"?>
<ds:datastoreItem xmlns:ds="http://schemas.openxmlformats.org/officeDocument/2006/customXml" ds:itemID="{DDA8684C-AA6E-42D7-88D7-B6B5130A0D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8604</Words>
  <Characters>49044</Characters>
  <Application>Microsoft Office Word</Application>
  <DocSecurity>0</DocSecurity>
  <Lines>408</Lines>
  <Paragraphs>115</Paragraphs>
  <ScaleCrop>false</ScaleCrop>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Johnson, Amaris</cp:lastModifiedBy>
  <cp:revision>2</cp:revision>
  <dcterms:created xsi:type="dcterms:W3CDTF">2025-06-25T22:00:00Z</dcterms:created>
  <dcterms:modified xsi:type="dcterms:W3CDTF">2025-06-25T22:00:00Z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GrammarlyDocumentId">
    <vt:lpwstr>d1cf6b8e-bd89-4a72-9a9d-55283c8573bd</vt:lpwstr>
  </property>
  <property fmtid="{D5CDD505-2E9C-101B-9397-08002B2CF9AE}" pid="4" name="MediaServiceImageTags">
    <vt:lpwstr/>
  </property>
  <property fmtid="{D5CDD505-2E9C-101B-9397-08002B2CF9AE}" pid="5" name="TaxKeyword">
    <vt:lpwstr/>
  </property>
</Properties>
</file>