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CB7806" w:rsidRPr="00CB7806" w:rsidP="00224E24" w14:paraId="566B0316" w14:textId="77777777">
      <w:pPr>
        <w:outlineLvl w:val="0"/>
        <w:rPr>
          <w:rFonts w:cstheme="minorHAnsi"/>
          <w:b/>
          <w:bCs/>
        </w:rPr>
      </w:pPr>
      <w:r w:rsidRPr="00BB3410">
        <w:rPr>
          <w:rFonts w:cstheme="minorHAnsi"/>
          <w:b/>
          <w:bCs/>
        </w:rPr>
        <w:t>Title</w:t>
      </w:r>
      <w:r w:rsidRPr="00EA0D20">
        <w:rPr>
          <w:rFonts w:cstheme="minorHAnsi"/>
          <w:b/>
          <w:bCs/>
        </w:rPr>
        <w:t>:</w:t>
      </w:r>
      <w:r w:rsidR="001F34A5">
        <w:rPr>
          <w:rFonts w:cstheme="minorHAnsi"/>
        </w:rPr>
        <w:t xml:space="preserve"> </w:t>
      </w:r>
      <w:r w:rsidRPr="00CB7806">
        <w:rPr>
          <w:rFonts w:cstheme="minorHAnsi"/>
          <w:b/>
          <w:bCs/>
        </w:rPr>
        <w:t xml:space="preserve">NESHAP for Gasoline Distribution Area Sources (40 CFR Part 63, Subpart BBBBBB) </w:t>
      </w:r>
    </w:p>
    <w:p w:rsidR="00BB432F" w:rsidRPr="00CB7806" w:rsidP="00CB7806" w14:paraId="7B82FD92" w14:textId="4644F4E4">
      <w:pPr>
        <w:rPr>
          <w:rFonts w:cstheme="minorHAnsi"/>
          <w:b/>
          <w:bCs/>
        </w:rPr>
      </w:pPr>
      <w:r w:rsidRPr="00CB7806">
        <w:rPr>
          <w:rFonts w:cstheme="minorHAnsi"/>
          <w:b/>
          <w:bCs/>
        </w:rPr>
        <w:t>(Proposed Amendments)</w:t>
      </w:r>
    </w:p>
    <w:p w:rsidR="00EE2403" w:rsidRPr="00BB3410" w:rsidP="00224E24" w14:paraId="71D5121E" w14:textId="2B62363E">
      <w:pPr>
        <w:outlineLvl w:val="0"/>
        <w:rPr>
          <w:rFonts w:cstheme="minorHAnsi"/>
        </w:rPr>
      </w:pPr>
      <w:r w:rsidRPr="00BB3410">
        <w:rPr>
          <w:rFonts w:cstheme="minorHAnsi"/>
          <w:b/>
          <w:bCs/>
        </w:rPr>
        <w:t>OMB Control Number</w:t>
      </w:r>
      <w:r w:rsidRPr="00EA0D20">
        <w:rPr>
          <w:rFonts w:cstheme="minorHAnsi"/>
          <w:b/>
          <w:bCs/>
        </w:rPr>
        <w:t>:</w:t>
      </w:r>
      <w:r w:rsidR="00CB7806">
        <w:rPr>
          <w:rFonts w:cstheme="minorHAnsi"/>
        </w:rPr>
        <w:t xml:space="preserve"> </w:t>
      </w:r>
      <w:r w:rsidRPr="00CB7806" w:rsidR="00CB7806">
        <w:rPr>
          <w:rFonts w:cstheme="minorHAnsi"/>
          <w:b/>
          <w:bCs/>
        </w:rPr>
        <w:t>2060-0620</w:t>
      </w:r>
    </w:p>
    <w:p w:rsidR="00EE2403" w:rsidRPr="00BB3410" w:rsidP="00224E24" w14:paraId="4FB77BCA" w14:textId="0132FE82">
      <w:pPr>
        <w:outlineLvl w:val="0"/>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CB7806" w:rsidR="00CB7806">
        <w:rPr>
          <w:rFonts w:cstheme="minorHAnsi"/>
          <w:b/>
          <w:bCs/>
        </w:rPr>
        <w:t>2237.07</w:t>
      </w:r>
    </w:p>
    <w:p w:rsidR="00CB7806" w:rsidRPr="00CB7806" w:rsidP="00A46733" w14:paraId="7AC7DD95" w14:textId="77777777">
      <w:pPr>
        <w:spacing w:line="22" w:lineRule="atLeast"/>
        <w:outlineLvl w:val="0"/>
      </w:pPr>
      <w:r w:rsidRPr="4BDBF0A0">
        <w:rPr>
          <w:b/>
          <w:bCs/>
        </w:rPr>
        <w:t>Abstract:</w:t>
      </w:r>
      <w:r w:rsidRPr="4BDBF0A0" w:rsidR="00BB432F">
        <w:t xml:space="preserve"> </w:t>
      </w:r>
      <w:r w:rsidRPr="00CB7806">
        <w:t xml:space="preserve">The National Emission Standards for Hazardous Air Pollutants </w:t>
      </w:r>
      <w:bookmarkStart w:id="1" w:name="_Hlk17111446"/>
      <w:r w:rsidRPr="00CB7806">
        <w:t>(</w:t>
      </w:r>
      <w:bookmarkStart w:id="2" w:name="_Hlk40966126"/>
      <w:r w:rsidRPr="00CB7806">
        <w:t xml:space="preserve">NESHAP) for Gasoline Distribution Area Sources </w:t>
      </w:r>
      <w:bookmarkEnd w:id="1"/>
      <w:r w:rsidRPr="00CB7806">
        <w:t xml:space="preserve">(40 CFR Part 63, Subpart BBBBBB) </w:t>
      </w:r>
      <w:bookmarkEnd w:id="2"/>
      <w:r w:rsidRPr="00CB7806">
        <w:t>were first promulgated on January 10, 2008, and last amended on January 24, 2011. These regulations apply to gasoline distribution bulk terminals, bulk plants, and pipeline facilities that are an area source of hazardous air pollutants (HAP) emissions. This information is being collected to assure compliance with 40 CFR Part 63, Subpart BBBBBB.</w:t>
      </w:r>
    </w:p>
    <w:p w:rsidR="00CB7806" w:rsidRPr="00CB7806" w:rsidP="00A46733" w14:paraId="0CFE1D52" w14:textId="77777777">
      <w:pPr>
        <w:spacing w:line="22" w:lineRule="atLeast"/>
        <w:ind w:firstLine="720"/>
      </w:pPr>
      <w:r w:rsidRPr="00CB7806">
        <w:t>In general, all NESHAP require initial notifications, performance tests, and periodic reports by the owners/operators of the affected facilities. They are also required to maintain records of the occurrence and duration of any deviation, or any period during which the monitoring system is inoperative. These notifications, reports, and records are essential in determining compliance, and are required of all affected facilities subject to NESHAP.</w:t>
      </w:r>
    </w:p>
    <w:p w:rsidR="00CB7806" w:rsidRPr="00CB7806" w:rsidP="00A46733" w14:paraId="1A0E573B" w14:textId="77777777">
      <w:pPr>
        <w:spacing w:line="22" w:lineRule="atLeast"/>
        <w:ind w:firstLine="720"/>
      </w:pPr>
      <w:r w:rsidRPr="00CB7806">
        <w:t xml:space="preserve">Any owner/operator subject to the provisions of this part shall maintain a file containing these documents and retain the file for at least five years following the generation date of such maintenance reports and records unless otherwise specified in the rule. </w:t>
      </w:r>
      <w:bookmarkStart w:id="3" w:name="_Hlk99007231"/>
      <w:r w:rsidRPr="00CB7806">
        <w:t>All reports required to be submitted electronically are submitted through the EPA's Central Data Exchange (CDX), using the Compliance and Emissions Data Reporting Interface (CEDRI), where the delegated state or local authority can review them. In the event that there is no such delegated authority, the EPA regional office can review them.  All other reports are sent to the delegated state or local authority. In the event that there is no such delegated authority, the reports are sent directly to the EPA regional offices.</w:t>
      </w:r>
      <w:bookmarkEnd w:id="3"/>
    </w:p>
    <w:p w:rsidR="00CB7806" w:rsidRPr="00CB7806" w:rsidP="00A46733" w14:paraId="1CE7602F" w14:textId="77777777">
      <w:pPr>
        <w:spacing w:line="22" w:lineRule="atLeast"/>
      </w:pPr>
      <w:r w:rsidRPr="00CB7806">
        <w:t>The proposed amendments to the NESHAP for Gasoline Distribution Area Sources include the following:</w:t>
      </w:r>
    </w:p>
    <w:p w:rsidR="00CB7806" w:rsidRPr="00CB7806" w:rsidP="00A46733" w14:paraId="7361B1A7" w14:textId="77777777">
      <w:pPr>
        <w:numPr>
          <w:ilvl w:val="0"/>
          <w:numId w:val="28"/>
        </w:numPr>
        <w:spacing w:line="22" w:lineRule="atLeast"/>
        <w:contextualSpacing/>
      </w:pPr>
      <w:r w:rsidRPr="00CB7806">
        <w:t>Lowering the emission limit for loading racks at large bulk gasoline terminals</w:t>
      </w:r>
    </w:p>
    <w:p w:rsidR="00CB7806" w:rsidRPr="00CB7806" w:rsidP="00A46733" w14:paraId="05E957EC" w14:textId="77777777">
      <w:pPr>
        <w:numPr>
          <w:ilvl w:val="0"/>
          <w:numId w:val="28"/>
        </w:numPr>
        <w:spacing w:line="22" w:lineRule="atLeast"/>
        <w:contextualSpacing/>
      </w:pPr>
      <w:r w:rsidRPr="00CB7806">
        <w:t>Requiring vapor balancing at bulk gasoline plants</w:t>
      </w:r>
    </w:p>
    <w:p w:rsidR="00CB7806" w:rsidRPr="00CB7806" w:rsidP="00A46733" w14:paraId="63DE9CC6" w14:textId="77777777">
      <w:pPr>
        <w:numPr>
          <w:ilvl w:val="0"/>
          <w:numId w:val="28"/>
        </w:numPr>
        <w:spacing w:line="22" w:lineRule="atLeast"/>
        <w:contextualSpacing/>
      </w:pPr>
      <w:r w:rsidRPr="00CB7806">
        <w:t>Increasing vapor tightness standards for gasoline cargo tanks</w:t>
      </w:r>
    </w:p>
    <w:p w:rsidR="00CB7806" w:rsidRPr="00CB7806" w:rsidP="00A46733" w14:paraId="6E313FED" w14:textId="77777777">
      <w:pPr>
        <w:numPr>
          <w:ilvl w:val="0"/>
          <w:numId w:val="28"/>
        </w:numPr>
        <w:spacing w:line="22" w:lineRule="atLeast"/>
        <w:contextualSpacing/>
      </w:pPr>
      <w:r w:rsidRPr="00CB7806">
        <w:t>Requiring fitting controls for external floating roof tanks</w:t>
      </w:r>
    </w:p>
    <w:p w:rsidR="00CB7806" w:rsidRPr="00CB7806" w:rsidP="00A46733" w14:paraId="726E6BCB" w14:textId="77777777">
      <w:pPr>
        <w:numPr>
          <w:ilvl w:val="0"/>
          <w:numId w:val="28"/>
        </w:numPr>
        <w:spacing w:line="22" w:lineRule="atLeast"/>
        <w:contextualSpacing/>
      </w:pPr>
      <w:r w:rsidRPr="00CB7806">
        <w:t>Including lower explosive limit (LEL) monitoring for internal floating roof tanks</w:t>
      </w:r>
    </w:p>
    <w:p w:rsidR="00CB7806" w:rsidRPr="00CB7806" w:rsidP="00A46733" w14:paraId="112A3EF7" w14:textId="77777777">
      <w:pPr>
        <w:numPr>
          <w:ilvl w:val="0"/>
          <w:numId w:val="28"/>
        </w:numPr>
        <w:spacing w:line="22" w:lineRule="atLeast"/>
        <w:contextualSpacing/>
      </w:pPr>
      <w:r w:rsidRPr="00CB7806">
        <w:t>Performing annual instrument monitoring for equipment leaks</w:t>
      </w:r>
    </w:p>
    <w:p w:rsidR="00CB7806" w:rsidRPr="00CB7806" w:rsidP="00A46733" w14:paraId="1CBE32B8" w14:textId="77777777">
      <w:pPr>
        <w:numPr>
          <w:ilvl w:val="0"/>
          <w:numId w:val="28"/>
        </w:numPr>
        <w:spacing w:line="22" w:lineRule="atLeast"/>
        <w:contextualSpacing/>
      </w:pPr>
      <w:r w:rsidRPr="00CB7806">
        <w:t>Updating definitions</w:t>
      </w:r>
    </w:p>
    <w:p w:rsidR="00CB7806" w:rsidRPr="00CB7806" w:rsidP="00A46733" w14:paraId="47AC7E08" w14:textId="77777777">
      <w:pPr>
        <w:numPr>
          <w:ilvl w:val="0"/>
          <w:numId w:val="28"/>
        </w:numPr>
        <w:spacing w:line="22" w:lineRule="atLeast"/>
        <w:contextualSpacing/>
      </w:pPr>
      <w:r w:rsidRPr="00CB7806">
        <w:t xml:space="preserve">Adding electronic submittal of notifications, semiannual reports, and performance tests and performance evaluations. </w:t>
      </w:r>
    </w:p>
    <w:p w:rsidR="00CB7806" w:rsidRPr="00CB7806" w:rsidP="00A46733" w14:paraId="26A8F940" w14:textId="77777777">
      <w:pPr>
        <w:spacing w:line="22" w:lineRule="atLeast"/>
      </w:pPr>
      <w:r w:rsidRPr="00CB7806">
        <w:t>The remaining portions of the area source NESHAP remain unchanged.</w:t>
      </w:r>
    </w:p>
    <w:p w:rsidR="00CB7806" w:rsidRPr="00CB7806" w:rsidP="00A46733" w14:paraId="2586F42C" w14:textId="77777777">
      <w:pPr>
        <w:spacing w:line="22" w:lineRule="atLeast"/>
        <w:ind w:firstLine="720"/>
      </w:pPr>
      <w:r w:rsidRPr="00CB7806">
        <w:t xml:space="preserve">There are approximately 9,263 gasoline distribution area source facilities subject to the standard, consisting of 1,090 bulk gasoline terminals, 5,913 bulk gasoline plants, 1,800 pipeline pumping stations, and 460 pipeline breakout stations. The affected facility for the NESHAP for Gasoline </w:t>
      </w:r>
      <w:r w:rsidRPr="00CB7806">
        <w:t xml:space="preserve">Distribution Area Sources is each bulk gasoline terminal, bulk gasoline plant, pipeline pumping station, or pipeline breakout station. As such, there is only one respondent per site (i.e., the owner/operator of the site), either a bulk gasoline terminal, bulk gasoline plant, pipeline pumping station, or pipeline breakout station. Over the next three years, approximately 4,632 respondents per year will be subject to revised requirements if the proposed standards are promulgated. No new area source gasoline distribution facilities are expected to be built in the next three years; therefore, no additional respondents per year will become subject to these standards. </w:t>
      </w:r>
    </w:p>
    <w:p w:rsidR="00BB432F" w:rsidRPr="00BB3410" w:rsidP="00A46733" w14:paraId="6A3E928D" w14:textId="3A3C6437">
      <w:pPr>
        <w:spacing w:line="22" w:lineRule="atLeast"/>
        <w:ind w:firstLine="720"/>
        <w:rPr>
          <w:color w:val="000000"/>
        </w:rPr>
      </w:pPr>
      <w:r w:rsidRPr="00CB7806">
        <w:t>All</w:t>
      </w:r>
      <w:r w:rsidRPr="00CB7806" w:rsidR="00CB7806">
        <w:t xml:space="preserve"> the gasoline distribution facilities in the United States are owned and operated by the gasoline distribution industry (the “Affected Public”) and are all privately-owned, for-profit businesses. None of the facilities in the United States are owned by either state, local, tribal or the Federal government. The burden to the Affected Public may be found below in the following table: Table 1: </w:t>
      </w:r>
      <w:bookmarkStart w:id="4" w:name="_Hlk504581465"/>
      <w:r w:rsidRPr="00CB7806" w:rsidR="00CB7806">
        <w:t>Annual Respondent Burden and Cost – NESHAP for Gasoline Distribution Area Sources (40 CFR Part 63, Subpart BBBBBB) (Proposed Amendments)</w:t>
      </w:r>
      <w:bookmarkEnd w:id="4"/>
      <w:r w:rsidRPr="00CB7806" w:rsidR="00CB7806">
        <w:t>. The Federal Government’s burden is attributed to work performed by either Federal employees or government contractors and may be found below in Table 2: Average Annual EPA Burden and Cost – NESHAP for Gasoline Distribution Area Sources (40 CFR Part 63, Subpart BBBBBB) (Proposed Amendments).</w:t>
      </w:r>
    </w:p>
    <w:p w:rsidR="00DE4E0C" w:rsidRPr="00BB3410" w:rsidP="00224E24" w14:paraId="12DA0580" w14:textId="3A9EBC77">
      <w:pPr>
        <w:outlineLvl w:val="0"/>
        <w:rPr>
          <w:b/>
          <w:bCs/>
          <w:u w:val="single"/>
        </w:rPr>
      </w:pPr>
      <w:r w:rsidRPr="4BDBF0A0">
        <w:rPr>
          <w:b/>
          <w:bCs/>
          <w:u w:val="single"/>
        </w:rPr>
        <w:t>Supporting Statement A</w:t>
      </w:r>
      <w:bookmarkEnd w:id="0"/>
    </w:p>
    <w:p w:rsidR="00D47CB3" w:rsidRPr="00224E24" w:rsidP="00224E24" w14:paraId="73FF37C3" w14:textId="434F582B">
      <w:pPr>
        <w:pStyle w:val="ListParagraph"/>
        <w:numPr>
          <w:ilvl w:val="0"/>
          <w:numId w:val="32"/>
        </w:numPr>
        <w:outlineLvl w:val="0"/>
        <w:rPr>
          <w:rFonts w:cstheme="minorHAnsi"/>
          <w:b/>
          <w:bCs/>
        </w:rPr>
      </w:pPr>
      <w:bookmarkStart w:id="5" w:name="_Toc156593368"/>
      <w:r w:rsidRPr="00224E24">
        <w:rPr>
          <w:rFonts w:cstheme="minorHAnsi"/>
          <w:b/>
          <w:bCs/>
        </w:rPr>
        <w:t>NEED AND AUTHORITY FOR THE COLLECTION</w:t>
      </w:r>
      <w:bookmarkEnd w:id="5"/>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54536F" w:rsidRPr="0054536F" w:rsidP="00A46733" w14:paraId="578D7A1B" w14:textId="77777777">
      <w:pPr>
        <w:keepNext/>
        <w:spacing w:line="22" w:lineRule="atLeast"/>
        <w:ind w:firstLine="720"/>
        <w:rPr>
          <w:rFonts w:cstheme="minorHAnsi"/>
        </w:rPr>
      </w:pPr>
      <w:r w:rsidRPr="0054536F">
        <w:rPr>
          <w:rFonts w:cstheme="minorHAnsi"/>
        </w:rPr>
        <w:t>Section 112(d)(5) of the Clean Air Act (CAA) directs the EPA to develop generally available control technology (GACT) standards to control HAP emissions from area sources. The term "area source" means any stationary source or group of stationary sources located within a contiguous area and under common control that is not a major source, which emits or has the potential to emit considering controls, in the aggregate, 10 tons per year or more of any HAP or 25 tons per year or more of any combination of HAPs. In the Administrator's judgment, HAP emissions from Gasoline Distribution area source categories cause or contribute to air pollution that may reasonably be anticipated to endanger public health or welfare. Therefore, the NESHAP for the Gasoline Distribution Area Sources were promulgated at 40 CFR Part 63,</w:t>
      </w:r>
      <w:r w:rsidRPr="0054536F">
        <w:rPr>
          <w:rFonts w:cstheme="minorHAnsi"/>
          <w:b/>
          <w:bCs/>
          <w:i/>
          <w:iCs/>
        </w:rPr>
        <w:t xml:space="preserve"> </w:t>
      </w:r>
      <w:r w:rsidRPr="0054536F">
        <w:rPr>
          <w:rFonts w:cstheme="minorHAnsi"/>
        </w:rPr>
        <w:t>Subpart BBBBBB in 2008.</w:t>
      </w:r>
    </w:p>
    <w:p w:rsidR="0054536F" w:rsidRPr="0054536F" w:rsidP="00A46733" w14:paraId="28E3B330" w14:textId="77777777">
      <w:pPr>
        <w:keepNext/>
        <w:spacing w:line="22" w:lineRule="atLeast"/>
        <w:ind w:firstLine="720"/>
        <w:rPr>
          <w:rFonts w:cstheme="minorHAnsi"/>
        </w:rPr>
      </w:pPr>
      <w:r w:rsidRPr="0054536F">
        <w:rPr>
          <w:rFonts w:cstheme="minorHAnsi"/>
        </w:rPr>
        <w:t>Section 112(d)(6) of the CAA requires the EPA to review the technology-based standards and revise them “as necessary (taking into account developments in practices, processes, and control technologies)” no less frequently than every 8 years. The proposed amendments to the NESHAP for Gasoline Distribution Area Sources are a result of this requirement.</w:t>
      </w:r>
    </w:p>
    <w:p w:rsidR="0054536F" w:rsidRPr="0054536F" w:rsidP="00A46733" w14:paraId="2904F81C" w14:textId="77777777">
      <w:pPr>
        <w:keepNext/>
        <w:spacing w:line="22" w:lineRule="atLeast"/>
        <w:ind w:firstLine="720"/>
        <w:rPr>
          <w:rFonts w:cstheme="minorHAnsi"/>
        </w:rPr>
      </w:pPr>
      <w:r w:rsidRPr="0054536F">
        <w:rPr>
          <w:rFonts w:cstheme="minorHAnsi"/>
        </w:rPr>
        <w:t xml:space="preserve">Certain records and reports are necessary for the Administrator to confirm the compliance status of sources subject to NESHAP, identify any new or reconstructed sources subject to the standards, and confirm that the standards are being achieved on a continuous basis. These recordkeeping and reporting requirements are specifically authorized by section 114 of the CAA (42 U.S.C. 7414) and set out in the 40 CFR Part 63, NESHAP General Provisions (40 CFR Part 63, Subpart A). CAA Section 114(a) states that the Administrator may require any owner/operator subject to any requirement of this Act to: </w:t>
      </w:r>
    </w:p>
    <w:p w:rsidR="00BB432F" w:rsidRPr="00BB3410" w:rsidP="00A46733" w14:paraId="61662F16" w14:textId="75343AEB">
      <w:pPr>
        <w:keepNext/>
        <w:spacing w:line="22" w:lineRule="atLeast"/>
        <w:ind w:left="1440" w:right="1440"/>
        <w:rPr>
          <w:rFonts w:cstheme="minorHAnsi"/>
        </w:rPr>
      </w:pPr>
      <w:r w:rsidRPr="0054536F">
        <w:rPr>
          <w:rFonts w:cstheme="minorHAnsi"/>
        </w:rPr>
        <w:t xml:space="preserve">(A) Establish and maintain such records; (B) make such reports; (C) install, use, and maintain such monitoring equipment, and use such audit procedures, or methods; (D) sample such emissions (in accordance with such procedures or methods, at such locations, at such intervals, </w:t>
      </w:r>
      <w:r w:rsidRPr="0054536F">
        <w:rPr>
          <w:rFonts w:cstheme="minorHAnsi"/>
        </w:rPr>
        <w:t>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D47CB3" w:rsidRPr="00E3122D" w:rsidP="00224E24" w14:paraId="24F38A28" w14:textId="345BCCC4">
      <w:pPr>
        <w:pStyle w:val="ListParagraph"/>
        <w:numPr>
          <w:ilvl w:val="0"/>
          <w:numId w:val="32"/>
        </w:numPr>
        <w:outlineLvl w:val="0"/>
        <w:rPr>
          <w:rFonts w:cstheme="minorHAnsi"/>
          <w:b/>
          <w:bCs/>
        </w:rPr>
      </w:pPr>
      <w:bookmarkStart w:id="6" w:name="_Toc156593369"/>
      <w:r w:rsidRPr="00E3122D">
        <w:rPr>
          <w:rFonts w:cstheme="minorHAnsi"/>
          <w:b/>
          <w:bCs/>
        </w:rPr>
        <w:t>PRACTICAL UTILITY/USERS OF THE DATA</w:t>
      </w:r>
      <w:bookmarkEnd w:id="6"/>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F41EB4" w:rsidRPr="00F41EB4" w:rsidP="00A46733" w14:paraId="6CF21EAC" w14:textId="77777777">
      <w:pPr>
        <w:pBdr>
          <w:top w:val="single" w:sz="6" w:space="0" w:color="FFFFFF"/>
          <w:left w:val="single" w:sz="6" w:space="0" w:color="FFFFFF"/>
          <w:bottom w:val="single" w:sz="6" w:space="0" w:color="FFFFFF"/>
          <w:right w:val="single" w:sz="6" w:space="0" w:color="FFFFFF"/>
        </w:pBdr>
        <w:spacing w:line="22" w:lineRule="atLeast"/>
        <w:ind w:firstLine="720"/>
        <w:rPr>
          <w:rFonts w:cstheme="minorHAnsi"/>
        </w:rPr>
      </w:pPr>
      <w:r w:rsidRPr="00F41EB4">
        <w:rPr>
          <w:rFonts w:cstheme="minorHAnsi"/>
        </w:rPr>
        <w:t xml:space="preserve">The control of emissions of HAP from gasoline distribution facilities requires not only the installation of properly designed equipment, but also the operation and maintenance of that equipment. Emissions of HAP from these sources are the result of operation of the affected sources. The standards are achieved by the reduction of pollutant emissions using process changes and control technology. </w:t>
      </w:r>
    </w:p>
    <w:p w:rsidR="00F41EB4" w:rsidRPr="00F41EB4" w:rsidP="00A46733" w14:paraId="64933CAF" w14:textId="77777777">
      <w:pPr>
        <w:pBdr>
          <w:top w:val="single" w:sz="6" w:space="0" w:color="FFFFFF"/>
          <w:left w:val="single" w:sz="6" w:space="0" w:color="FFFFFF"/>
          <w:bottom w:val="single" w:sz="6" w:space="0" w:color="FFFFFF"/>
          <w:right w:val="single" w:sz="6" w:space="0" w:color="FFFFFF"/>
        </w:pBdr>
        <w:spacing w:line="22" w:lineRule="atLeast"/>
        <w:ind w:firstLine="720"/>
        <w:rPr>
          <w:rFonts w:cstheme="minorHAnsi"/>
        </w:rPr>
      </w:pPr>
      <w:r w:rsidRPr="00F41EB4">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w:t>
      </w:r>
    </w:p>
    <w:p w:rsidR="00F41EB4" w:rsidRPr="00F41EB4" w:rsidP="00A46733" w14:paraId="37A72D69" w14:textId="1856B781">
      <w:pPr>
        <w:pBdr>
          <w:top w:val="single" w:sz="6" w:space="0" w:color="FFFFFF"/>
          <w:left w:val="single" w:sz="6" w:space="0" w:color="FFFFFF"/>
          <w:bottom w:val="single" w:sz="6" w:space="0" w:color="FFFFFF"/>
          <w:right w:val="single" w:sz="6" w:space="0" w:color="FFFFFF"/>
        </w:pBdr>
        <w:spacing w:line="22" w:lineRule="atLeast"/>
        <w:ind w:firstLine="720"/>
        <w:rPr>
          <w:rFonts w:cstheme="minorHAnsi"/>
        </w:rPr>
      </w:pPr>
      <w:r w:rsidRPr="00F41EB4">
        <w:rPr>
          <w:rFonts w:cstheme="minorHAnsi"/>
        </w:rPr>
        <w:t xml:space="preserve">Performance tests and performance evaluations are required </w:t>
      </w:r>
      <w:r w:rsidRPr="00F41EB4">
        <w:rPr>
          <w:rFonts w:cstheme="minorHAnsi"/>
        </w:rPr>
        <w:t>in order to</w:t>
      </w:r>
      <w:r w:rsidRPr="00F41EB4">
        <w:rPr>
          <w:rFonts w:cstheme="minorHAnsi"/>
        </w:rPr>
        <w:t xml:space="preserve"> determine an affected facility’s initial and ongoing capability to comply with the emission standards. During the performance test, a record of the operating parameters under which compliance was achieved may be recorded and used to determine ongoing compliance. Continuous monitoring systems are used to always ensure compliance with the standards. The required semiannual reports are used to determine periods of deviations, identify problems at the facility, verify operation/maintenance procedures, and for compliance determinations.</w:t>
      </w:r>
    </w:p>
    <w:p w:rsidR="00BB432F" w:rsidRPr="00BB3410" w:rsidP="00A46733" w14:paraId="1E879A61" w14:textId="601D7A08">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FF0000"/>
        </w:rPr>
      </w:pPr>
      <w:r w:rsidRPr="00F41EB4">
        <w:rPr>
          <w:rFonts w:cstheme="minorHAnsi"/>
        </w:rPr>
        <w:t>The information generated by the monitoring, recordkeeping, and reporting requirements described in this ICR is used by the Agency to ensure that facilities affected by the NESHAP continue to operate their control equipment and achieve continuous compliance with the regulation. Adequate monitoring, recordkeeping, and reporting are necessary to ensure compliance with these standards, as required by the CAA. The information collected from recordkeeping and reporting requirements is also used for targeting inspections and is of sufficient quality to be used as evidence in court.</w:t>
      </w:r>
    </w:p>
    <w:p w:rsidR="00074917" w:rsidRPr="00E3122D" w:rsidP="00224E24" w14:paraId="1522D565" w14:textId="553E3A2D">
      <w:pPr>
        <w:pStyle w:val="ListParagraph"/>
        <w:numPr>
          <w:ilvl w:val="0"/>
          <w:numId w:val="32"/>
        </w:numPr>
        <w:outlineLvl w:val="0"/>
        <w:rPr>
          <w:rFonts w:cstheme="minorHAnsi"/>
          <w:b/>
          <w:bCs/>
        </w:rPr>
      </w:pPr>
      <w:bookmarkStart w:id="7" w:name="_Toc156593370"/>
      <w:r w:rsidRPr="00E3122D">
        <w:rPr>
          <w:rFonts w:cstheme="minorHAnsi"/>
          <w:b/>
          <w:bCs/>
        </w:rPr>
        <w:t>USE OF TECHNOLOGY</w:t>
      </w:r>
      <w:bookmarkEnd w:id="7"/>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1E00" w:rsidRPr="000C5BEA" w:rsidP="000C5BEA" w14:paraId="7B30150C" w14:textId="0D0F4544">
      <w:pPr>
        <w:pBdr>
          <w:top w:val="single" w:sz="6" w:space="0" w:color="FFFFFF"/>
          <w:left w:val="single" w:sz="6" w:space="0" w:color="FFFFFF"/>
          <w:bottom w:val="single" w:sz="6" w:space="0" w:color="FFFFFF"/>
          <w:right w:val="single" w:sz="6" w:space="0" w:color="FFFFFF"/>
        </w:pBdr>
        <w:ind w:firstLine="720"/>
        <w:rPr>
          <w:rFonts w:cstheme="minorHAnsi"/>
          <w:color w:val="000000"/>
        </w:rPr>
      </w:pPr>
      <w:r w:rsidRPr="000C5BEA">
        <w:rPr>
          <w:rFonts w:cstheme="minorHAnsi"/>
          <w:color w:val="000000"/>
        </w:rPr>
        <w:t xml:space="preserve">Currently, many area source gasoline distribution facilities are using monitoring equipment that provides automated parameter data (e.g., control device parameter monitoring). Although personnel at the facilities still need to evaluate the data, this type of monitoring equipment has significantly reduced the burden associated with monitoring and recordkeeping. In addition, regulatory agencies are setting up electronic reporting systems to allow sources to report electronically, which is reducing the reporting </w:t>
      </w:r>
      <w:r w:rsidRPr="000C5BEA">
        <w:rPr>
          <w:rFonts w:cstheme="minorHAnsi"/>
          <w:color w:val="000000"/>
        </w:rPr>
        <w:t xml:space="preserve">burden. As part of the proposed amendments to the NESHAP, respondents would be required to use the EPA’s Electronic Reporting Tool (ERT) </w:t>
      </w:r>
      <w:bookmarkStart w:id="8" w:name="_Hlk99007023"/>
      <w:bookmarkStart w:id="9" w:name="_Hlk99007327"/>
      <w:r w:rsidRPr="000C5BEA">
        <w:rPr>
          <w:rFonts w:cstheme="minorHAnsi"/>
          <w:color w:val="000000"/>
        </w:rPr>
        <w:t>to develop performance test and performance evaluation reports and submit them through the EPA’s CEDRI.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In this proposal, respondents would also be required to submit notification of compliance status and semiannual compliance reports through the EPA’s CEDRI. The notification is an upload of their currently required notification in portable document format (PDF) file. The semiannual reports are to be created using Form 5900-579, the electronic template included with this Supporting Statement. The template is an Excel spreadsheet which can be partially completed and saved for subsequent 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will be no additional burden associated with the proposed requirement for respondents to submit the notifications and reports electronically</w:t>
      </w:r>
      <w:bookmarkEnd w:id="8"/>
      <w:r w:rsidRPr="000C5BEA">
        <w:rPr>
          <w:rFonts w:cstheme="minorHAnsi"/>
          <w:color w:val="000000"/>
        </w:rPr>
        <w:t>.</w:t>
      </w:r>
      <w:bookmarkEnd w:id="9"/>
    </w:p>
    <w:p w:rsidR="005263EC" w:rsidRPr="00E3122D" w:rsidP="00224E24" w14:paraId="2CB3B868" w14:textId="58CBB947">
      <w:pPr>
        <w:pStyle w:val="ListParagraph"/>
        <w:numPr>
          <w:ilvl w:val="0"/>
          <w:numId w:val="32"/>
        </w:numPr>
        <w:outlineLvl w:val="0"/>
        <w:rPr>
          <w:rFonts w:cstheme="minorHAnsi"/>
          <w:b/>
          <w:bCs/>
        </w:rPr>
      </w:pPr>
      <w:bookmarkStart w:id="10" w:name="_Toc156593371"/>
      <w:r w:rsidRPr="00E3122D">
        <w:rPr>
          <w:rFonts w:cstheme="minorHAnsi"/>
          <w:b/>
          <w:bCs/>
        </w:rPr>
        <w:t>EFFORTS TO IDENTIFY DUPLICATION</w:t>
      </w:r>
      <w:bookmarkEnd w:id="10"/>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BA19B7" w:rsidRPr="00BA19B7" w:rsidP="003310EA" w14:paraId="17CE4C80" w14:textId="77777777">
      <w:pPr>
        <w:spacing w:line="22" w:lineRule="atLeast"/>
        <w:ind w:firstLine="720"/>
        <w:rPr>
          <w:rFonts w:cstheme="minorHAnsi"/>
        </w:rPr>
      </w:pPr>
      <w:bookmarkStart w:id="11" w:name="_Hlk99007279"/>
      <w:r w:rsidRPr="00BA19B7">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BA19B7" w:rsidRPr="00BA19B7" w:rsidP="003310EA" w14:paraId="6059761B" w14:textId="77777777">
      <w:pPr>
        <w:spacing w:line="22" w:lineRule="atLeast"/>
        <w:ind w:firstLine="720"/>
        <w:rPr>
          <w:rFonts w:cstheme="minorHAnsi"/>
        </w:rPr>
      </w:pPr>
      <w:r w:rsidRPr="00BA19B7">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bookmarkEnd w:id="11"/>
      <w:r w:rsidRPr="00BA19B7">
        <w:rPr>
          <w:rFonts w:cstheme="minorHAnsi"/>
        </w:rPr>
        <w:t> </w:t>
      </w:r>
    </w:p>
    <w:p w:rsidR="00251151" w:rsidRPr="00E3122D" w:rsidP="00224E24" w14:paraId="79D36B3F" w14:textId="440DD77F">
      <w:pPr>
        <w:pStyle w:val="ListParagraph"/>
        <w:numPr>
          <w:ilvl w:val="0"/>
          <w:numId w:val="32"/>
        </w:numPr>
        <w:outlineLvl w:val="0"/>
        <w:rPr>
          <w:b/>
          <w:bCs/>
        </w:rPr>
      </w:pPr>
      <w:bookmarkStart w:id="12" w:name="_Toc156593372"/>
      <w:r w:rsidRPr="4BDBF0A0">
        <w:rPr>
          <w:b/>
          <w:bCs/>
        </w:rPr>
        <w:t xml:space="preserve">MINIMIZING BURDEN ON SMALL </w:t>
      </w:r>
      <w:r w:rsidRPr="4BDBF0A0" w:rsidR="0F43C128">
        <w:rPr>
          <w:b/>
          <w:bCs/>
        </w:rPr>
        <w:t xml:space="preserve">BUSINESSES AND SMALL </w:t>
      </w:r>
      <w:r w:rsidRPr="4BDBF0A0">
        <w:rPr>
          <w:b/>
          <w:bCs/>
        </w:rPr>
        <w:t>ENTITIES</w:t>
      </w:r>
      <w:bookmarkEnd w:id="12"/>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3310EA" w14:paraId="518B46AB" w14:textId="6225AA34">
      <w:pPr>
        <w:spacing w:line="22" w:lineRule="atLeast"/>
        <w:ind w:firstLine="720"/>
        <w:rPr>
          <w:rFonts w:cstheme="minorHAnsi"/>
        </w:rPr>
      </w:pPr>
      <w:r w:rsidRPr="00AA68A8">
        <w:rPr>
          <w:rFonts w:cstheme="minorHAnsi"/>
        </w:rPr>
        <w:t>A small entity for this industry is defined by the Small Business Administration for NAICS code 424710 as a firm having no more than 200 employees and for NAICS code 486910 as a firm having no more than 1,500 employees. Approximately 111 of the 9,263 area source gasoline distribution facilities are small entities.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w:t>
      </w:r>
    </w:p>
    <w:p w:rsidR="004252C1" w:rsidRPr="00E3122D" w:rsidP="00224E24" w14:paraId="1FF5A778" w14:textId="02F91DFF">
      <w:pPr>
        <w:pStyle w:val="ListParagraph"/>
        <w:numPr>
          <w:ilvl w:val="0"/>
          <w:numId w:val="32"/>
        </w:numPr>
        <w:outlineLvl w:val="0"/>
        <w:rPr>
          <w:b/>
          <w:bCs/>
        </w:rPr>
      </w:pPr>
      <w:bookmarkStart w:id="13" w:name="_Toc156593373"/>
      <w:r w:rsidRPr="4BDBF0A0">
        <w:rPr>
          <w:b/>
          <w:bCs/>
        </w:rPr>
        <w:t>CONSEQUENCES</w:t>
      </w:r>
      <w:r w:rsidRPr="4BDBF0A0" w:rsidR="00061A77">
        <w:rPr>
          <w:b/>
          <w:bCs/>
        </w:rPr>
        <w:t xml:space="preserve"> OF LESS FREQUENT COLLECTION</w:t>
      </w:r>
      <w:bookmarkEnd w:id="13"/>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3310EA" w14:paraId="5934FB28" w14:textId="0D085D7F">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5D6633">
        <w:rPr>
          <w:rFonts w:cstheme="minorHAnsi"/>
          <w:color w:val="000000"/>
        </w:rPr>
        <w:t>Less-frequent information collection would decrease the margin of assurance that facilities are continuing to meet these standards. Requirements for information gathering and recordkeeping are useful techniques to ensure that good operation and maintenance practices are applied, and emission limitations are met. If the information required by these standards and the proposed amendments was collected less-frequently, the proper operation and maintenance of control equipment and the possibility of detecting violations would be less likely.</w:t>
      </w:r>
    </w:p>
    <w:p w:rsidR="00A233E0" w:rsidRPr="00E3122D" w:rsidP="00224E24" w14:paraId="27596CC0" w14:textId="77777777">
      <w:pPr>
        <w:pStyle w:val="ListParagraph"/>
        <w:numPr>
          <w:ilvl w:val="0"/>
          <w:numId w:val="32"/>
        </w:numPr>
        <w:outlineLvl w:val="0"/>
        <w:rPr>
          <w:rFonts w:cstheme="minorHAnsi"/>
          <w:b/>
          <w:bCs/>
        </w:rPr>
      </w:pPr>
      <w:bookmarkStart w:id="14" w:name="_Toc156593374"/>
      <w:r w:rsidRPr="00E3122D">
        <w:rPr>
          <w:rFonts w:cstheme="minorHAnsi"/>
          <w:b/>
          <w:bCs/>
        </w:rPr>
        <w:t>GENERAL GUIDELINES</w:t>
      </w:r>
      <w:bookmarkEnd w:id="14"/>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P="003310EA" w14:paraId="775EDF16" w14:textId="62220B1D">
      <w:pPr>
        <w:pBdr>
          <w:top w:val="single" w:sz="6" w:space="0" w:color="FFFFFF"/>
          <w:left w:val="single" w:sz="6" w:space="0" w:color="FFFFFF"/>
          <w:bottom w:val="single" w:sz="6" w:space="0" w:color="FFFFFF"/>
          <w:right w:val="single" w:sz="6" w:space="0" w:color="FFFFFF"/>
        </w:pBdr>
        <w:spacing w:line="22" w:lineRule="atLeast"/>
        <w:rPr>
          <w:rFonts w:cstheme="minorHAnsi"/>
          <w:color w:val="000000"/>
        </w:rPr>
      </w:pPr>
      <w:r w:rsidRPr="00EE1624">
        <w:rPr>
          <w:rFonts w:cstheme="minorHAnsi"/>
          <w:color w:val="000000"/>
        </w:rPr>
        <w:tab/>
        <w:t>These standards require the respondents to maintain all records, including reports and notifications for at least five years. This is consistent with the General Provisions as applied to the standards. EPA believes that the 5-year records retention requirement is consistent with the Part 70 permit program and the 5-year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either the destruction or nonexistence of essential records in the absence of the 5-year maintenance requirement.</w:t>
      </w:r>
    </w:p>
    <w:p w:rsidR="00310C72" w:rsidRPr="00BB3410" w:rsidP="003310EA" w14:paraId="3C336990" w14:textId="22A1D2DB">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310C72">
        <w:rPr>
          <w:rFonts w:cstheme="minorHAnsi"/>
          <w:color w:val="000000"/>
        </w:rPr>
        <w:t>Otherwise, the proposed collection does not create special circumstances requiring justification under 5 CFR 1320.5.</w:t>
      </w:r>
    </w:p>
    <w:p w:rsidR="006036CD" w:rsidRPr="00E3122D" w:rsidP="00224E24" w14:paraId="02EE9B8D" w14:textId="77777777">
      <w:pPr>
        <w:pStyle w:val="ListParagraph"/>
        <w:numPr>
          <w:ilvl w:val="0"/>
          <w:numId w:val="32"/>
        </w:numPr>
        <w:outlineLvl w:val="0"/>
        <w:rPr>
          <w:rFonts w:cstheme="minorHAnsi"/>
          <w:b/>
          <w:bCs/>
        </w:rPr>
      </w:pPr>
      <w:bookmarkStart w:id="15" w:name="_Toc156593375"/>
      <w:r w:rsidRPr="00E3122D">
        <w:rPr>
          <w:rFonts w:cstheme="minorHAnsi"/>
          <w:b/>
          <w:bCs/>
        </w:rPr>
        <w:t>PUBLIC COMMENT AND CONSULTATIONS</w:t>
      </w:r>
      <w:bookmarkStart w:id="16" w:name="_Toc156593376"/>
      <w:bookmarkEnd w:id="15"/>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7" w:name="_Toc156593377"/>
      <w:bookmarkEnd w:id="16"/>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P="003310EA" w14:paraId="102C4D0F" w14:textId="12FCBDD6">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B209B6">
        <w:rPr>
          <w:rFonts w:cstheme="minorHAnsi"/>
          <w:color w:val="000000"/>
        </w:rPr>
        <w:t>EPA is soliciting comments on this ICR through the notice and comment period announced through the Notice of Proposed Rulemaking</w:t>
      </w:r>
      <w:r w:rsidR="00924AD8">
        <w:rPr>
          <w:rFonts w:cstheme="minorHAnsi"/>
          <w:color w:val="000000"/>
        </w:rPr>
        <w:t xml:space="preserve"> </w:t>
      </w:r>
      <w:r w:rsidR="00905A04">
        <w:rPr>
          <w:rFonts w:cstheme="minorHAnsi"/>
          <w:color w:val="000000"/>
        </w:rPr>
        <w:t>on June 10,</w:t>
      </w:r>
      <w:r w:rsidR="00924AD8">
        <w:rPr>
          <w:rFonts w:cstheme="minorHAnsi"/>
          <w:color w:val="000000"/>
        </w:rPr>
        <w:t xml:space="preserve"> 202</w:t>
      </w:r>
      <w:r w:rsidR="00905A04">
        <w:rPr>
          <w:rFonts w:cstheme="minorHAnsi"/>
          <w:color w:val="000000"/>
        </w:rPr>
        <w:t>2</w:t>
      </w:r>
      <w:r w:rsidR="00924AD8">
        <w:rPr>
          <w:rFonts w:cstheme="minorHAnsi"/>
          <w:color w:val="000000"/>
        </w:rPr>
        <w:t xml:space="preserve"> (8</w:t>
      </w:r>
      <w:r w:rsidR="00905A04">
        <w:rPr>
          <w:rFonts w:cstheme="minorHAnsi"/>
          <w:color w:val="000000"/>
        </w:rPr>
        <w:t>7</w:t>
      </w:r>
      <w:r w:rsidR="00924AD8">
        <w:rPr>
          <w:rFonts w:cstheme="minorHAnsi"/>
          <w:color w:val="000000"/>
        </w:rPr>
        <w:t xml:space="preserve"> FR 3</w:t>
      </w:r>
      <w:r w:rsidR="00905A04">
        <w:rPr>
          <w:rFonts w:cstheme="minorHAnsi"/>
          <w:color w:val="000000"/>
        </w:rPr>
        <w:t>5608</w:t>
      </w:r>
      <w:r w:rsidR="00924AD8">
        <w:rPr>
          <w:rFonts w:cstheme="minorHAnsi"/>
          <w:color w:val="000000"/>
        </w:rPr>
        <w:t>)</w:t>
      </w:r>
      <w:r w:rsidRPr="00B209B6">
        <w:rPr>
          <w:rFonts w:cstheme="minorHAnsi"/>
          <w:color w:val="000000"/>
        </w:rPr>
        <w:t>.  All comments will be considered during the development of the final rule.</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7"/>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11663" w:rsidRPr="00BB3410" w:rsidP="003310EA" w14:paraId="5E198479" w14:textId="730717EF">
      <w:pPr>
        <w:spacing w:line="22" w:lineRule="atLeast"/>
        <w:ind w:firstLine="720"/>
        <w:rPr>
          <w:rFonts w:cstheme="minorHAnsi"/>
        </w:rPr>
      </w:pPr>
      <w:r w:rsidRPr="00BF7B09">
        <w:rPr>
          <w:rFonts w:cstheme="minorHAnsi"/>
        </w:rPr>
        <w:t xml:space="preserve">The Agency has consulted industry experts to better understand the gasoline distribution industry. Stakeholder outreach occurred with industry groups, including the American Petroleum Institute, International Fuel Terminal Operators Association, and International Liquid Terminals Association, and member companies of these organizations. Further stakeholder and public input are expected through public comment following publication of the proposed amendments to 40 CFR Part 63, Subpart BBBBBB in the </w:t>
      </w:r>
      <w:r w:rsidRPr="00B86C17">
        <w:rPr>
          <w:rFonts w:cstheme="minorHAnsi"/>
          <w:i/>
          <w:iCs/>
        </w:rPr>
        <w:t>Federal Register</w:t>
      </w:r>
      <w:r w:rsidRPr="00BF7B09">
        <w:rPr>
          <w:rFonts w:cstheme="minorHAnsi"/>
        </w:rPr>
        <w:t xml:space="preserve"> and follow-up meetings with interested stakeholders</w:t>
      </w:r>
      <w:r w:rsidR="003310EA">
        <w:rPr>
          <w:rFonts w:cstheme="minorHAnsi"/>
        </w:rPr>
        <w:t>.</w:t>
      </w:r>
    </w:p>
    <w:p w:rsidR="00A233E0" w:rsidRPr="00E3122D" w:rsidP="00224E24" w14:paraId="191560B2" w14:textId="77777777">
      <w:pPr>
        <w:pStyle w:val="ListParagraph"/>
        <w:numPr>
          <w:ilvl w:val="0"/>
          <w:numId w:val="32"/>
        </w:numPr>
        <w:outlineLvl w:val="0"/>
        <w:rPr>
          <w:rFonts w:cstheme="minorHAnsi"/>
          <w:b/>
          <w:bCs/>
        </w:rPr>
      </w:pPr>
      <w:bookmarkStart w:id="18" w:name="_Toc156593378"/>
      <w:r w:rsidRPr="00E3122D">
        <w:rPr>
          <w:rFonts w:cstheme="minorHAnsi"/>
          <w:b/>
          <w:bCs/>
        </w:rPr>
        <w:t>PAYMENTS OR GIFTS TO RESPONDENTS</w:t>
      </w:r>
      <w:bookmarkEnd w:id="18"/>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3310EA" w14:paraId="0D75D3D3" w14:textId="6FAE0423">
      <w:pPr>
        <w:spacing w:line="22" w:lineRule="atLeast"/>
        <w:ind w:firstLine="720"/>
        <w:rPr>
          <w:rFonts w:cstheme="minorHAnsi"/>
        </w:rPr>
      </w:pPr>
      <w:r w:rsidRPr="005A2D25">
        <w:rPr>
          <w:rFonts w:cstheme="minorHAnsi"/>
        </w:rPr>
        <w:t>The Agency does not intend to provide payments or gifts to respondents as part of this collection.</w:t>
      </w:r>
    </w:p>
    <w:p w:rsidR="4C04BBF2" w:rsidP="00224E24" w14:paraId="333FE36D" w14:textId="45DEA41F">
      <w:pPr>
        <w:pStyle w:val="ListParagraph"/>
        <w:numPr>
          <w:ilvl w:val="0"/>
          <w:numId w:val="32"/>
        </w:numPr>
        <w:outlineLvl w:val="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3310EA" w14:paraId="3676EBC5" w14:textId="157EBB98">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850CA9">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(CBI) (see 40 CFR 2; 41 FR 36902, September 1, 1976; amended by 43 FR 40000, September 8, 1978; 43 FR 42251, September 20, 1978; 44 FR 17674, March 23, 1979).</w:t>
      </w:r>
    </w:p>
    <w:p w:rsidR="00A233E0" w:rsidRPr="00E3122D" w:rsidP="00224E24" w14:paraId="36FBAEFB" w14:textId="77777777">
      <w:pPr>
        <w:pStyle w:val="ListParagraph"/>
        <w:numPr>
          <w:ilvl w:val="0"/>
          <w:numId w:val="32"/>
        </w:numPr>
        <w:outlineLvl w:val="0"/>
        <w:rPr>
          <w:rFonts w:cstheme="minorHAnsi"/>
          <w:b/>
          <w:bCs/>
        </w:rPr>
      </w:pPr>
      <w:bookmarkStart w:id="19" w:name="_Toc156593380"/>
      <w:r w:rsidRPr="4BDBF0A0">
        <w:rPr>
          <w:b/>
          <w:bCs/>
        </w:rPr>
        <w:t>JUSTIFICATION FOR SENSITIVE QUESTIONS</w:t>
      </w:r>
      <w:bookmarkEnd w:id="19"/>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3310EA" w14:paraId="77467D05" w14:textId="5A4879E2">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F7547C">
        <w:rPr>
          <w:rFonts w:cstheme="minorHAnsi"/>
          <w:color w:val="000000"/>
        </w:rPr>
        <w:t>None of the reporting or recordkeeping requirements in these standards, including the proposed amendments, contain sensitive questions.</w:t>
      </w:r>
    </w:p>
    <w:p w:rsidR="001172FE" w:rsidRPr="00E3122D" w:rsidP="00224E24" w14:paraId="637A8E82" w14:textId="77777777">
      <w:pPr>
        <w:pStyle w:val="ListParagraph"/>
        <w:numPr>
          <w:ilvl w:val="0"/>
          <w:numId w:val="32"/>
        </w:numPr>
        <w:outlineLvl w:val="0"/>
        <w:rPr>
          <w:rFonts w:cstheme="minorHAnsi"/>
          <w:b/>
          <w:bCs/>
        </w:rPr>
      </w:pPr>
      <w:bookmarkStart w:id="20" w:name="_Toc156593381"/>
      <w:r w:rsidRPr="4BDBF0A0">
        <w:rPr>
          <w:b/>
          <w:bCs/>
        </w:rPr>
        <w:t>RESPONDENT BURDEN HOURS</w:t>
      </w:r>
      <w:r w:rsidRPr="4BDBF0A0" w:rsidR="00DB799B">
        <w:rPr>
          <w:b/>
          <w:bCs/>
        </w:rPr>
        <w:t xml:space="preserve"> &amp; LABOR COSTS</w:t>
      </w:r>
      <w:bookmarkStart w:id="21" w:name="_Toc156593382"/>
      <w:bookmarkEnd w:id="20"/>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22" w:name="_Toc156593383"/>
      <w:bookmarkEnd w:id="21"/>
    </w:p>
    <w:p w:rsidR="00BB3410" w:rsidP="003310EA" w14:paraId="0DA69975" w14:textId="3948F6AF">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BB4408">
        <w:rPr>
          <w:rFonts w:cstheme="minorHAnsi"/>
          <w:color w:val="000000"/>
        </w:rPr>
        <w:t>The respondents to the recordkeeping and reporting requirements in the NESHAP for Gasoline Distribution Area Sources (40 CFR Part 63, Subpart BBBBBB) are bulk gasoline terminals, bulk gasoline plants, pipeline pumping stations and pipeline breakout stations. The United States Standard Industrial Classification (SIC) codes and corresponding North American Industry Classification System (NAICS) codes for respondents affected by the standard are listed in the following table:</w:t>
      </w:r>
    </w:p>
    <w:tbl>
      <w:tblPr>
        <w:tblW w:w="9360" w:type="dxa"/>
        <w:tblInd w:w="112" w:type="dxa"/>
        <w:tblLayout w:type="fixed"/>
        <w:tblCellMar>
          <w:left w:w="112" w:type="dxa"/>
          <w:right w:w="112" w:type="dxa"/>
        </w:tblCellMar>
        <w:tblLook w:val="04A0"/>
      </w:tblPr>
      <w:tblGrid>
        <w:gridCol w:w="4320"/>
        <w:gridCol w:w="2610"/>
        <w:gridCol w:w="2430"/>
      </w:tblGrid>
      <w:tr w14:paraId="1FEFB40D" w14:textId="77777777" w:rsidTr="00230488">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B4408" w:rsidRPr="00BB4408" w:rsidP="00BB4408" w14:paraId="0E2A51F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eastAsia="Times New Roman" w:cstheme="minorHAnsi"/>
                <w:b/>
                <w:bCs/>
                <w:color w:val="000000"/>
                <w:sz w:val="20"/>
                <w:szCs w:val="20"/>
              </w:rPr>
            </w:pPr>
            <w:r w:rsidRPr="00BB4408">
              <w:rPr>
                <w:rFonts w:eastAsia="Times New Roman" w:cstheme="minorHAnsi"/>
                <w:b/>
                <w:bCs/>
                <w:color w:val="000000"/>
                <w:sz w:val="20"/>
                <w:szCs w:val="20"/>
              </w:rPr>
              <w:t xml:space="preserve">Standard </w:t>
            </w:r>
            <w:r w:rsidRPr="00BB4408">
              <w:rPr>
                <w:rFonts w:eastAsia="Times New Roman" w:cstheme="minorHAnsi"/>
                <w:b/>
                <w:bCs/>
                <w:sz w:val="20"/>
                <w:szCs w:val="20"/>
              </w:rPr>
              <w:t>(40 CFR Part 63, Subpart BBBBBB)</w:t>
            </w:r>
          </w:p>
        </w:tc>
        <w:tc>
          <w:tcPr>
            <w:tcW w:w="2610" w:type="dxa"/>
            <w:tcBorders>
              <w:top w:val="single" w:sz="8" w:space="0" w:color="000000"/>
              <w:left w:val="single" w:sz="8" w:space="0" w:color="000000"/>
              <w:bottom w:val="single" w:sz="6" w:space="0" w:color="FFFFFF"/>
              <w:right w:val="single" w:sz="6" w:space="0" w:color="FFFFFF"/>
            </w:tcBorders>
          </w:tcPr>
          <w:p w:rsidR="00BB4408" w:rsidRPr="00BB4408" w:rsidP="00BB4408" w14:paraId="01AEFF9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eastAsia="Times New Roman" w:cstheme="minorHAnsi"/>
                <w:b/>
                <w:bCs/>
                <w:color w:val="000000"/>
                <w:sz w:val="20"/>
                <w:szCs w:val="20"/>
              </w:rPr>
            </w:pPr>
            <w:r w:rsidRPr="00BB4408">
              <w:rPr>
                <w:rFonts w:eastAsia="Times New Roman" w:cstheme="minorHAnsi"/>
                <w:b/>
                <w:bCs/>
                <w:color w:val="000000"/>
                <w:sz w:val="20"/>
                <w:szCs w:val="20"/>
              </w:rPr>
              <w:t>SIC Codes</w:t>
            </w:r>
          </w:p>
        </w:tc>
        <w:tc>
          <w:tcPr>
            <w:tcW w:w="2430" w:type="dxa"/>
            <w:tcBorders>
              <w:top w:val="single" w:sz="8" w:space="0" w:color="000000"/>
              <w:left w:val="single" w:sz="8" w:space="0" w:color="000000"/>
              <w:bottom w:val="single" w:sz="6" w:space="0" w:color="FFFFFF"/>
              <w:right w:val="single" w:sz="8" w:space="0" w:color="000000"/>
            </w:tcBorders>
          </w:tcPr>
          <w:p w:rsidR="00BB4408" w:rsidRPr="00BB4408" w:rsidP="00BB4408" w14:paraId="6B831CAB"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eastAsia="Times New Roman" w:cstheme="minorHAnsi"/>
                <w:b/>
                <w:bCs/>
                <w:color w:val="000000"/>
                <w:sz w:val="20"/>
                <w:szCs w:val="20"/>
              </w:rPr>
            </w:pPr>
            <w:r w:rsidRPr="00BB4408">
              <w:rPr>
                <w:rFonts w:eastAsia="Times New Roman" w:cstheme="minorHAnsi"/>
                <w:b/>
                <w:bCs/>
                <w:color w:val="000000"/>
                <w:sz w:val="20"/>
                <w:szCs w:val="20"/>
              </w:rPr>
              <w:t>NAICS Codes</w:t>
            </w:r>
          </w:p>
        </w:tc>
      </w:tr>
      <w:tr w14:paraId="49EB402F" w14:textId="77777777" w:rsidTr="00230488">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B4408" w:rsidRPr="00BB4408" w:rsidP="00BB4408" w14:paraId="49DB07C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sz w:val="20"/>
                <w:szCs w:val="20"/>
              </w:rPr>
            </w:pPr>
            <w:r w:rsidRPr="00BB4408">
              <w:rPr>
                <w:rFonts w:eastAsia="Times New Roman" w:cstheme="minorHAnsi"/>
                <w:sz w:val="20"/>
                <w:szCs w:val="20"/>
              </w:rPr>
              <w:t>Petroleum Refineries  </w:t>
            </w:r>
          </w:p>
        </w:tc>
        <w:tc>
          <w:tcPr>
            <w:tcW w:w="2610" w:type="dxa"/>
            <w:tcBorders>
              <w:top w:val="single" w:sz="8" w:space="0" w:color="000000"/>
              <w:left w:val="single" w:sz="8" w:space="0" w:color="000000"/>
              <w:bottom w:val="single" w:sz="6" w:space="0" w:color="FFFFFF"/>
              <w:right w:val="single" w:sz="6" w:space="0" w:color="FFFFFF"/>
            </w:tcBorders>
          </w:tcPr>
          <w:p w:rsidR="00BB4408" w:rsidRPr="00BB4408" w:rsidP="00BB4408" w14:paraId="72C71C5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sz w:val="20"/>
                <w:szCs w:val="20"/>
              </w:rPr>
            </w:pPr>
            <w:r w:rsidRPr="00BB4408">
              <w:rPr>
                <w:rFonts w:eastAsia="Times New Roman" w:cstheme="minorHAnsi"/>
                <w:sz w:val="20"/>
                <w:szCs w:val="20"/>
              </w:rPr>
              <w:t>2911  </w:t>
            </w:r>
          </w:p>
        </w:tc>
        <w:tc>
          <w:tcPr>
            <w:tcW w:w="2430" w:type="dxa"/>
            <w:tcBorders>
              <w:top w:val="single" w:sz="8" w:space="0" w:color="000000"/>
              <w:left w:val="single" w:sz="8" w:space="0" w:color="000000"/>
              <w:bottom w:val="single" w:sz="6" w:space="0" w:color="FFFFFF"/>
              <w:right w:val="single" w:sz="8" w:space="0" w:color="000000"/>
            </w:tcBorders>
          </w:tcPr>
          <w:p w:rsidR="00BB4408" w:rsidRPr="00BB4408" w:rsidP="00BB4408" w14:paraId="5B96F96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sz w:val="20"/>
                <w:szCs w:val="20"/>
              </w:rPr>
            </w:pPr>
            <w:r w:rsidRPr="00BB4408">
              <w:rPr>
                <w:rFonts w:eastAsia="Times New Roman" w:cstheme="minorHAnsi"/>
                <w:sz w:val="20"/>
                <w:szCs w:val="20"/>
              </w:rPr>
              <w:t>324110  </w:t>
            </w:r>
          </w:p>
        </w:tc>
      </w:tr>
      <w:tr w14:paraId="6A38FA6B" w14:textId="77777777" w:rsidTr="00230488">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B4408" w:rsidRPr="00BB4408" w:rsidP="00BB4408" w14:paraId="610A1B65"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sz w:val="20"/>
                <w:szCs w:val="20"/>
              </w:rPr>
            </w:pPr>
            <w:r w:rsidRPr="00BB4408">
              <w:rPr>
                <w:rFonts w:eastAsia="Times New Roman" w:cstheme="minorHAnsi"/>
                <w:sz w:val="20"/>
                <w:szCs w:val="20"/>
              </w:rPr>
              <w:t>Other Warehousing and Storage  </w:t>
            </w:r>
          </w:p>
        </w:tc>
        <w:tc>
          <w:tcPr>
            <w:tcW w:w="2610" w:type="dxa"/>
            <w:tcBorders>
              <w:top w:val="single" w:sz="8" w:space="0" w:color="000000"/>
              <w:left w:val="single" w:sz="8" w:space="0" w:color="000000"/>
              <w:bottom w:val="single" w:sz="6" w:space="0" w:color="FFFFFF"/>
              <w:right w:val="single" w:sz="6" w:space="0" w:color="FFFFFF"/>
            </w:tcBorders>
          </w:tcPr>
          <w:p w:rsidR="00BB4408" w:rsidRPr="00BB4408" w:rsidP="00BB4408" w14:paraId="5BC9E71A"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sz w:val="20"/>
                <w:szCs w:val="20"/>
              </w:rPr>
            </w:pPr>
            <w:r w:rsidRPr="00BB4408">
              <w:rPr>
                <w:rFonts w:eastAsia="Times New Roman" w:cstheme="minorHAnsi"/>
                <w:sz w:val="20"/>
                <w:szCs w:val="20"/>
              </w:rPr>
              <w:t>4226  </w:t>
            </w:r>
          </w:p>
        </w:tc>
        <w:tc>
          <w:tcPr>
            <w:tcW w:w="2430" w:type="dxa"/>
            <w:tcBorders>
              <w:top w:val="single" w:sz="8" w:space="0" w:color="000000"/>
              <w:left w:val="single" w:sz="8" w:space="0" w:color="000000"/>
              <w:bottom w:val="single" w:sz="6" w:space="0" w:color="FFFFFF"/>
              <w:right w:val="single" w:sz="8" w:space="0" w:color="000000"/>
            </w:tcBorders>
          </w:tcPr>
          <w:p w:rsidR="00BB4408" w:rsidRPr="00BB4408" w:rsidP="00BB4408" w14:paraId="6BB3C27C"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sz w:val="20"/>
                <w:szCs w:val="20"/>
              </w:rPr>
            </w:pPr>
            <w:r w:rsidRPr="00BB4408">
              <w:rPr>
                <w:rFonts w:eastAsia="Times New Roman" w:cstheme="minorHAnsi"/>
                <w:sz w:val="20"/>
                <w:szCs w:val="20"/>
              </w:rPr>
              <w:t>493190  </w:t>
            </w:r>
          </w:p>
        </w:tc>
      </w:tr>
      <w:tr w14:paraId="26AEF192" w14:textId="77777777" w:rsidTr="00230488">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hideMark/>
          </w:tcPr>
          <w:p w:rsidR="00BB4408" w:rsidRPr="00BB4408" w:rsidP="00BB4408" w14:paraId="26EBBFF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sz w:val="20"/>
                <w:szCs w:val="20"/>
              </w:rPr>
            </w:pPr>
            <w:r w:rsidRPr="00BB4408">
              <w:rPr>
                <w:rFonts w:eastAsia="Times New Roman" w:cstheme="minorHAnsi"/>
                <w:sz w:val="20"/>
                <w:szCs w:val="20"/>
              </w:rPr>
              <w:t>Pipeline transportation of Refined Petroleum Products</w:t>
            </w:r>
          </w:p>
        </w:tc>
        <w:tc>
          <w:tcPr>
            <w:tcW w:w="2610" w:type="dxa"/>
            <w:tcBorders>
              <w:top w:val="single" w:sz="8" w:space="0" w:color="000000"/>
              <w:left w:val="single" w:sz="8" w:space="0" w:color="000000"/>
              <w:bottom w:val="single" w:sz="6" w:space="0" w:color="FFFFFF"/>
              <w:right w:val="single" w:sz="6" w:space="0" w:color="FFFFFF"/>
            </w:tcBorders>
            <w:hideMark/>
          </w:tcPr>
          <w:p w:rsidR="00BB4408" w:rsidRPr="00BB4408" w:rsidP="00BB4408" w14:paraId="3D2FA86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sz w:val="20"/>
                <w:szCs w:val="20"/>
              </w:rPr>
            </w:pPr>
            <w:r w:rsidRPr="00BB4408">
              <w:rPr>
                <w:rFonts w:eastAsia="Times New Roman" w:cstheme="minorHAnsi"/>
                <w:sz w:val="20"/>
                <w:szCs w:val="20"/>
              </w:rPr>
              <w:t>4613</w:t>
            </w:r>
          </w:p>
        </w:tc>
        <w:tc>
          <w:tcPr>
            <w:tcW w:w="2430" w:type="dxa"/>
            <w:tcBorders>
              <w:top w:val="single" w:sz="8" w:space="0" w:color="000000"/>
              <w:left w:val="single" w:sz="8" w:space="0" w:color="000000"/>
              <w:bottom w:val="single" w:sz="6" w:space="0" w:color="FFFFFF"/>
              <w:right w:val="single" w:sz="8" w:space="0" w:color="000000"/>
            </w:tcBorders>
            <w:hideMark/>
          </w:tcPr>
          <w:p w:rsidR="00BB4408" w:rsidRPr="00BB4408" w:rsidP="00BB4408" w14:paraId="685BD95F"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sz w:val="20"/>
                <w:szCs w:val="20"/>
              </w:rPr>
            </w:pPr>
            <w:r w:rsidRPr="00BB4408">
              <w:rPr>
                <w:rFonts w:eastAsia="Times New Roman" w:cstheme="minorHAnsi"/>
                <w:sz w:val="20"/>
                <w:szCs w:val="20"/>
              </w:rPr>
              <w:t>486910</w:t>
            </w:r>
          </w:p>
        </w:tc>
      </w:tr>
      <w:tr w14:paraId="44397CE0" w14:textId="77777777" w:rsidTr="00230488">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hideMark/>
          </w:tcPr>
          <w:p w:rsidR="00BB4408" w:rsidRPr="00BB4408" w:rsidP="00BB4408" w14:paraId="207642A3" w14:textId="77777777">
            <w:pPr>
              <w:widowControl w:val="0"/>
              <w:tabs>
                <w:tab w:val="left" w:pos="3045"/>
              </w:tabs>
              <w:autoSpaceDE w:val="0"/>
              <w:autoSpaceDN w:val="0"/>
              <w:adjustRightInd w:val="0"/>
              <w:spacing w:after="0" w:line="240" w:lineRule="auto"/>
              <w:rPr>
                <w:rFonts w:eastAsia="Times New Roman" w:cstheme="minorHAnsi"/>
                <w:color w:val="000000"/>
                <w:sz w:val="20"/>
                <w:szCs w:val="20"/>
              </w:rPr>
            </w:pPr>
            <w:r w:rsidRPr="00BB4408">
              <w:rPr>
                <w:rFonts w:eastAsia="Times New Roman" w:cstheme="minorHAnsi"/>
                <w:sz w:val="20"/>
                <w:szCs w:val="20"/>
              </w:rPr>
              <w:t>Petroleum Bulk Stations and Terminals</w:t>
            </w:r>
          </w:p>
        </w:tc>
        <w:tc>
          <w:tcPr>
            <w:tcW w:w="2610" w:type="dxa"/>
            <w:tcBorders>
              <w:top w:val="single" w:sz="8" w:space="0" w:color="000000"/>
              <w:left w:val="single" w:sz="8" w:space="0" w:color="000000"/>
              <w:bottom w:val="single" w:sz="8" w:space="0" w:color="000000"/>
              <w:right w:val="single" w:sz="6" w:space="0" w:color="FFFFFF"/>
            </w:tcBorders>
            <w:hideMark/>
          </w:tcPr>
          <w:p w:rsidR="00BB4408" w:rsidRPr="00BB4408" w:rsidP="00BB4408" w14:paraId="73E71D76"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sz w:val="20"/>
                <w:szCs w:val="20"/>
              </w:rPr>
            </w:pPr>
            <w:r w:rsidRPr="00BB4408">
              <w:rPr>
                <w:rFonts w:eastAsia="Times New Roman" w:cstheme="minorHAnsi"/>
                <w:sz w:val="20"/>
                <w:szCs w:val="20"/>
              </w:rPr>
              <w:t>5171</w:t>
            </w:r>
          </w:p>
        </w:tc>
        <w:tc>
          <w:tcPr>
            <w:tcW w:w="2430" w:type="dxa"/>
            <w:tcBorders>
              <w:top w:val="single" w:sz="8" w:space="0" w:color="000000"/>
              <w:left w:val="single" w:sz="8" w:space="0" w:color="000000"/>
              <w:bottom w:val="single" w:sz="8" w:space="0" w:color="000000"/>
              <w:right w:val="single" w:sz="8" w:space="0" w:color="000000"/>
            </w:tcBorders>
            <w:hideMark/>
          </w:tcPr>
          <w:p w:rsidR="00BB4408" w:rsidRPr="00BB4408" w:rsidP="00BB4408" w14:paraId="0462253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rPr>
                <w:rFonts w:eastAsia="Times New Roman" w:cstheme="minorHAnsi"/>
                <w:color w:val="000000"/>
                <w:sz w:val="20"/>
                <w:szCs w:val="20"/>
              </w:rPr>
            </w:pPr>
            <w:r w:rsidRPr="00BB4408">
              <w:rPr>
                <w:rFonts w:eastAsia="Times New Roman" w:cstheme="minorHAnsi"/>
                <w:sz w:val="20"/>
                <w:szCs w:val="20"/>
              </w:rPr>
              <w:t>424710</w:t>
            </w:r>
          </w:p>
        </w:tc>
      </w:tr>
    </w:tbl>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23" w:name="_Toc156593384"/>
      <w:bookmarkEnd w:id="22"/>
    </w:p>
    <w:p w:rsidR="00BB3410" w:rsidP="003310EA" w14:paraId="42074A5E" w14:textId="1EA94385">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023618">
        <w:rPr>
          <w:rFonts w:cstheme="minorHAnsi"/>
          <w:color w:val="000000"/>
        </w:rPr>
        <w:t>All data in this ICR that are recorded and/or reported are required by the NESHAP for Gasoline Distribution Area Sources (40 CFR Part 63, Subpart BBBBBB) or would be required under the proposed amendments. The NESHAP for Gasoline Distribution Area Sources references 40 CFR Part 63, Subpart A, for several general reporting and recordkeeping requirements that apply for all NESHAP.</w:t>
      </w:r>
    </w:p>
    <w:p w:rsidR="00023618" w:rsidP="003310EA" w14:paraId="0DE014D2" w14:textId="0A94E644">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023618">
        <w:rPr>
          <w:rFonts w:cstheme="minorHAnsi"/>
          <w:color w:val="000000"/>
        </w:rPr>
        <w:t>A source must make the following notifications and reports: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1"/>
        <w:gridCol w:w="5129"/>
      </w:tblGrid>
      <w:tr w14:paraId="0A28C2C8" w14:textId="77777777" w:rsidTr="00023618">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19EDEEEC" w14:textId="77777777">
            <w:pPr>
              <w:spacing w:after="0" w:line="240" w:lineRule="auto"/>
              <w:contextualSpacing/>
              <w:jc w:val="center"/>
              <w:rPr>
                <w:rFonts w:cstheme="minorHAnsi"/>
                <w:sz w:val="20"/>
                <w:szCs w:val="20"/>
              </w:rPr>
            </w:pPr>
            <w:r w:rsidRPr="00023618">
              <w:rPr>
                <w:rFonts w:cstheme="minorHAnsi"/>
                <w:b/>
                <w:bCs/>
                <w:sz w:val="20"/>
                <w:szCs w:val="20"/>
              </w:rPr>
              <w:t>Requirement</w:t>
            </w:r>
          </w:p>
        </w:tc>
        <w:tc>
          <w:tcPr>
            <w:tcW w:w="5129" w:type="dxa"/>
            <w:tcMar>
              <w:top w:w="80" w:type="dxa"/>
              <w:left w:w="80" w:type="dxa"/>
              <w:bottom w:w="80" w:type="dxa"/>
              <w:right w:w="80" w:type="dxa"/>
            </w:tcMar>
            <w:hideMark/>
          </w:tcPr>
          <w:p w:rsidR="00023618" w:rsidRPr="00023618" w:rsidP="006B65A1" w14:paraId="57F39333" w14:textId="77777777">
            <w:pPr>
              <w:spacing w:after="0" w:line="240" w:lineRule="auto"/>
              <w:contextualSpacing/>
              <w:jc w:val="center"/>
              <w:rPr>
                <w:rFonts w:cstheme="minorHAnsi"/>
                <w:sz w:val="20"/>
                <w:szCs w:val="20"/>
              </w:rPr>
            </w:pPr>
            <w:r w:rsidRPr="00023618">
              <w:rPr>
                <w:rFonts w:cstheme="minorHAnsi"/>
                <w:b/>
                <w:bCs/>
                <w:sz w:val="20"/>
                <w:szCs w:val="20"/>
              </w:rPr>
              <w:t>Regulation Reference</w:t>
            </w:r>
          </w:p>
          <w:p w:rsidR="00023618" w:rsidRPr="00023618" w:rsidP="006B65A1" w14:paraId="3662DF99" w14:textId="77777777">
            <w:pPr>
              <w:spacing w:after="0" w:line="240" w:lineRule="auto"/>
              <w:contextualSpacing/>
              <w:jc w:val="center"/>
              <w:rPr>
                <w:rFonts w:cstheme="minorHAnsi"/>
                <w:sz w:val="20"/>
                <w:szCs w:val="20"/>
              </w:rPr>
            </w:pPr>
            <w:r w:rsidRPr="00023618">
              <w:rPr>
                <w:rFonts w:cstheme="minorHAnsi"/>
                <w:b/>
                <w:bCs/>
                <w:sz w:val="20"/>
                <w:szCs w:val="20"/>
              </w:rPr>
              <w:t>(40 CFR Part 63)</w:t>
            </w:r>
          </w:p>
        </w:tc>
      </w:tr>
      <w:tr w14:paraId="1FD306D3" w14:textId="77777777" w:rsidTr="00FA78C5">
        <w:tblPrEx>
          <w:tblW w:w="9350" w:type="dxa"/>
          <w:tblCellMar>
            <w:left w:w="0" w:type="dxa"/>
            <w:right w:w="0" w:type="dxa"/>
          </w:tblCellMar>
          <w:tblLook w:val="04A0"/>
        </w:tblPrEx>
        <w:trPr>
          <w:trHeight w:val="90"/>
          <w:tblHeader/>
        </w:trPr>
        <w:tc>
          <w:tcPr>
            <w:tcW w:w="9350" w:type="dxa"/>
            <w:gridSpan w:val="2"/>
            <w:tcMar>
              <w:top w:w="80" w:type="dxa"/>
              <w:left w:w="80" w:type="dxa"/>
              <w:bottom w:w="80" w:type="dxa"/>
              <w:right w:w="80" w:type="dxa"/>
            </w:tcMar>
            <w:hideMark/>
          </w:tcPr>
          <w:p w:rsidR="00023618" w:rsidRPr="00023618" w:rsidP="006B65A1" w14:paraId="58C53019" w14:textId="77777777">
            <w:pPr>
              <w:spacing w:after="0" w:line="240" w:lineRule="auto"/>
              <w:contextualSpacing/>
              <w:jc w:val="center"/>
              <w:rPr>
                <w:rFonts w:cstheme="minorHAnsi"/>
                <w:sz w:val="20"/>
                <w:szCs w:val="20"/>
              </w:rPr>
            </w:pPr>
            <w:r w:rsidRPr="00023618">
              <w:rPr>
                <w:rFonts w:cstheme="minorHAnsi"/>
                <w:b/>
                <w:bCs/>
                <w:sz w:val="20"/>
                <w:szCs w:val="20"/>
              </w:rPr>
              <w:t>Notifications</w:t>
            </w:r>
          </w:p>
        </w:tc>
      </w:tr>
      <w:tr w14:paraId="6270029B"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7DB99B06" w14:textId="77777777">
            <w:pPr>
              <w:spacing w:after="0" w:line="240" w:lineRule="auto"/>
              <w:contextualSpacing/>
              <w:rPr>
                <w:rFonts w:cstheme="minorHAnsi"/>
                <w:sz w:val="20"/>
                <w:szCs w:val="20"/>
              </w:rPr>
            </w:pPr>
            <w:r w:rsidRPr="00023618">
              <w:rPr>
                <w:rFonts w:cstheme="minorHAnsi"/>
                <w:sz w:val="20"/>
                <w:szCs w:val="20"/>
              </w:rPr>
              <w:t>Initial notifications</w:t>
            </w:r>
          </w:p>
        </w:tc>
        <w:tc>
          <w:tcPr>
            <w:tcW w:w="5129" w:type="dxa"/>
            <w:tcMar>
              <w:top w:w="80" w:type="dxa"/>
              <w:left w:w="80" w:type="dxa"/>
              <w:bottom w:w="80" w:type="dxa"/>
              <w:right w:w="80" w:type="dxa"/>
            </w:tcMar>
            <w:hideMark/>
          </w:tcPr>
          <w:p w:rsidR="00023618" w:rsidRPr="00023618" w:rsidP="006B65A1" w14:paraId="547D353B" w14:textId="77777777">
            <w:pPr>
              <w:spacing w:after="0" w:line="240" w:lineRule="auto"/>
              <w:contextualSpacing/>
              <w:rPr>
                <w:rFonts w:cstheme="minorHAnsi"/>
                <w:sz w:val="20"/>
                <w:szCs w:val="20"/>
              </w:rPr>
            </w:pPr>
            <w:r w:rsidRPr="00023618">
              <w:rPr>
                <w:rFonts w:cstheme="minorHAnsi"/>
                <w:sz w:val="20"/>
                <w:szCs w:val="20"/>
              </w:rPr>
              <w:t>§63.9(b)</w:t>
            </w:r>
          </w:p>
        </w:tc>
      </w:tr>
      <w:tr w14:paraId="7E51F33E"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7E20DCE8" w14:textId="77777777">
            <w:pPr>
              <w:spacing w:after="0" w:line="240" w:lineRule="auto"/>
              <w:contextualSpacing/>
              <w:rPr>
                <w:rFonts w:cstheme="minorHAnsi"/>
                <w:sz w:val="20"/>
                <w:szCs w:val="20"/>
              </w:rPr>
            </w:pPr>
            <w:r w:rsidRPr="00023618">
              <w:rPr>
                <w:rFonts w:cstheme="minorHAnsi"/>
                <w:sz w:val="20"/>
                <w:szCs w:val="20"/>
              </w:rPr>
              <w:t>Notification of compliance status</w:t>
            </w:r>
          </w:p>
        </w:tc>
        <w:tc>
          <w:tcPr>
            <w:tcW w:w="5129" w:type="dxa"/>
            <w:tcMar>
              <w:top w:w="80" w:type="dxa"/>
              <w:left w:w="80" w:type="dxa"/>
              <w:bottom w:w="80" w:type="dxa"/>
              <w:right w:w="80" w:type="dxa"/>
            </w:tcMar>
            <w:hideMark/>
          </w:tcPr>
          <w:p w:rsidR="00023618" w:rsidRPr="00023618" w:rsidP="006B65A1" w14:paraId="4DC7A000" w14:textId="77777777">
            <w:pPr>
              <w:spacing w:after="0" w:line="240" w:lineRule="auto"/>
              <w:contextualSpacing/>
              <w:rPr>
                <w:rFonts w:cstheme="minorHAnsi"/>
                <w:sz w:val="20"/>
                <w:szCs w:val="20"/>
              </w:rPr>
            </w:pPr>
            <w:r w:rsidRPr="00023618">
              <w:rPr>
                <w:rFonts w:cstheme="minorHAnsi"/>
                <w:sz w:val="20"/>
                <w:szCs w:val="20"/>
              </w:rPr>
              <w:t xml:space="preserve">§63.11093(b) </w:t>
            </w:r>
          </w:p>
        </w:tc>
      </w:tr>
      <w:tr w14:paraId="36F642B3"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28ED8A29" w14:textId="77777777">
            <w:pPr>
              <w:spacing w:after="0" w:line="240" w:lineRule="auto"/>
              <w:contextualSpacing/>
              <w:rPr>
                <w:rFonts w:cstheme="minorHAnsi"/>
                <w:sz w:val="20"/>
                <w:szCs w:val="20"/>
              </w:rPr>
            </w:pPr>
            <w:r w:rsidRPr="00023618">
              <w:rPr>
                <w:rFonts w:cstheme="minorHAnsi"/>
                <w:sz w:val="20"/>
                <w:szCs w:val="20"/>
              </w:rPr>
              <w:t>Notification of performance testing</w:t>
            </w:r>
          </w:p>
        </w:tc>
        <w:tc>
          <w:tcPr>
            <w:tcW w:w="5129" w:type="dxa"/>
            <w:tcMar>
              <w:top w:w="80" w:type="dxa"/>
              <w:left w:w="80" w:type="dxa"/>
              <w:bottom w:w="80" w:type="dxa"/>
              <w:right w:w="80" w:type="dxa"/>
            </w:tcMar>
            <w:hideMark/>
          </w:tcPr>
          <w:p w:rsidR="00023618" w:rsidRPr="00023618" w:rsidP="006B65A1" w14:paraId="3BDA0B74" w14:textId="77777777">
            <w:pPr>
              <w:spacing w:after="0" w:line="240" w:lineRule="auto"/>
              <w:contextualSpacing/>
              <w:rPr>
                <w:rFonts w:cstheme="minorHAnsi"/>
                <w:sz w:val="20"/>
                <w:szCs w:val="20"/>
              </w:rPr>
            </w:pPr>
            <w:r w:rsidRPr="00023618">
              <w:rPr>
                <w:rFonts w:cstheme="minorHAnsi"/>
                <w:sz w:val="20"/>
                <w:szCs w:val="20"/>
              </w:rPr>
              <w:t>§63.9(e)</w:t>
            </w:r>
          </w:p>
        </w:tc>
      </w:tr>
      <w:tr w14:paraId="7BA5BF62"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2069938A" w14:textId="77777777">
            <w:pPr>
              <w:spacing w:after="0" w:line="240" w:lineRule="auto"/>
              <w:contextualSpacing/>
              <w:rPr>
                <w:rFonts w:cstheme="minorHAnsi"/>
                <w:sz w:val="20"/>
                <w:szCs w:val="20"/>
              </w:rPr>
            </w:pPr>
            <w:r w:rsidRPr="00023618">
              <w:rPr>
                <w:rFonts w:cstheme="minorHAnsi"/>
                <w:sz w:val="20"/>
                <w:szCs w:val="20"/>
              </w:rPr>
              <w:t>Notification of performance evaluation</w:t>
            </w:r>
          </w:p>
        </w:tc>
        <w:tc>
          <w:tcPr>
            <w:tcW w:w="5129" w:type="dxa"/>
            <w:tcMar>
              <w:top w:w="80" w:type="dxa"/>
              <w:left w:w="80" w:type="dxa"/>
              <w:bottom w:w="80" w:type="dxa"/>
              <w:right w:w="80" w:type="dxa"/>
            </w:tcMar>
            <w:hideMark/>
          </w:tcPr>
          <w:p w:rsidR="00023618" w:rsidRPr="00023618" w:rsidP="006B65A1" w14:paraId="0D4DC5B1" w14:textId="77777777">
            <w:pPr>
              <w:spacing w:after="0" w:line="240" w:lineRule="auto"/>
              <w:contextualSpacing/>
              <w:rPr>
                <w:rFonts w:cstheme="minorHAnsi"/>
                <w:sz w:val="20"/>
                <w:szCs w:val="20"/>
              </w:rPr>
            </w:pPr>
            <w:r w:rsidRPr="00023618">
              <w:rPr>
                <w:rFonts w:cstheme="minorHAnsi"/>
                <w:sz w:val="20"/>
                <w:szCs w:val="20"/>
              </w:rPr>
              <w:t>§63.9(g)</w:t>
            </w:r>
          </w:p>
        </w:tc>
      </w:tr>
      <w:tr w14:paraId="055FCEE5" w14:textId="77777777" w:rsidTr="00023618">
        <w:tblPrEx>
          <w:tblW w:w="9350" w:type="dxa"/>
          <w:tblCellMar>
            <w:left w:w="0" w:type="dxa"/>
            <w:right w:w="0" w:type="dxa"/>
          </w:tblCellMar>
          <w:tblLook w:val="04A0"/>
        </w:tblPrEx>
        <w:trPr>
          <w:tblHeader/>
        </w:trPr>
        <w:tc>
          <w:tcPr>
            <w:tcW w:w="9350" w:type="dxa"/>
            <w:gridSpan w:val="2"/>
            <w:tcMar>
              <w:top w:w="80" w:type="dxa"/>
              <w:left w:w="80" w:type="dxa"/>
              <w:bottom w:w="80" w:type="dxa"/>
              <w:right w:w="80" w:type="dxa"/>
            </w:tcMar>
            <w:hideMark/>
          </w:tcPr>
          <w:p w:rsidR="00023618" w:rsidRPr="00023618" w:rsidP="006B65A1" w14:paraId="20AC19A0" w14:textId="77777777">
            <w:pPr>
              <w:spacing w:after="0" w:line="240" w:lineRule="auto"/>
              <w:contextualSpacing/>
              <w:jc w:val="center"/>
              <w:rPr>
                <w:rFonts w:cstheme="minorHAnsi"/>
                <w:sz w:val="20"/>
                <w:szCs w:val="20"/>
              </w:rPr>
            </w:pPr>
            <w:r w:rsidRPr="00023618">
              <w:rPr>
                <w:rFonts w:cstheme="minorHAnsi"/>
                <w:b/>
                <w:bCs/>
                <w:sz w:val="20"/>
                <w:szCs w:val="20"/>
              </w:rPr>
              <w:t>Reports</w:t>
            </w:r>
          </w:p>
        </w:tc>
      </w:tr>
      <w:tr w14:paraId="7AE5B9DC"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4790CA68" w14:textId="77777777">
            <w:pPr>
              <w:spacing w:after="0" w:line="240" w:lineRule="auto"/>
              <w:contextualSpacing/>
              <w:rPr>
                <w:rFonts w:cstheme="minorHAnsi"/>
                <w:sz w:val="20"/>
                <w:szCs w:val="20"/>
              </w:rPr>
            </w:pPr>
            <w:r w:rsidRPr="00023618">
              <w:rPr>
                <w:rFonts w:cstheme="minorHAnsi"/>
                <w:sz w:val="20"/>
                <w:szCs w:val="20"/>
              </w:rPr>
              <w:t>Performance test report</w:t>
            </w:r>
          </w:p>
        </w:tc>
        <w:tc>
          <w:tcPr>
            <w:tcW w:w="5129" w:type="dxa"/>
            <w:tcMar>
              <w:top w:w="80" w:type="dxa"/>
              <w:left w:w="80" w:type="dxa"/>
              <w:bottom w:w="80" w:type="dxa"/>
              <w:right w:w="80" w:type="dxa"/>
            </w:tcMar>
            <w:hideMark/>
          </w:tcPr>
          <w:p w:rsidR="00023618" w:rsidRPr="00023618" w:rsidP="006B65A1" w14:paraId="18B1DFDC" w14:textId="77777777">
            <w:pPr>
              <w:spacing w:after="0" w:line="240" w:lineRule="auto"/>
              <w:contextualSpacing/>
              <w:rPr>
                <w:rFonts w:cstheme="minorHAnsi"/>
                <w:sz w:val="20"/>
                <w:szCs w:val="20"/>
              </w:rPr>
            </w:pPr>
            <w:r w:rsidRPr="00023618">
              <w:rPr>
                <w:rFonts w:cstheme="minorHAnsi"/>
                <w:sz w:val="20"/>
                <w:szCs w:val="20"/>
              </w:rPr>
              <w:t>§63.11095(a)</w:t>
            </w:r>
          </w:p>
        </w:tc>
      </w:tr>
      <w:tr w14:paraId="2B9A227D"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5A181CF0" w14:textId="77777777">
            <w:pPr>
              <w:spacing w:after="0" w:line="240" w:lineRule="auto"/>
              <w:contextualSpacing/>
              <w:rPr>
                <w:rFonts w:cstheme="minorHAnsi"/>
                <w:sz w:val="20"/>
                <w:szCs w:val="20"/>
              </w:rPr>
            </w:pPr>
            <w:r w:rsidRPr="00023618">
              <w:rPr>
                <w:rFonts w:cstheme="minorHAnsi"/>
                <w:sz w:val="20"/>
                <w:szCs w:val="20"/>
              </w:rPr>
              <w:t>Performance evaluation report</w:t>
            </w:r>
          </w:p>
        </w:tc>
        <w:tc>
          <w:tcPr>
            <w:tcW w:w="5129" w:type="dxa"/>
            <w:tcMar>
              <w:top w:w="80" w:type="dxa"/>
              <w:left w:w="80" w:type="dxa"/>
              <w:bottom w:w="80" w:type="dxa"/>
              <w:right w:w="80" w:type="dxa"/>
            </w:tcMar>
            <w:hideMark/>
          </w:tcPr>
          <w:p w:rsidR="00023618" w:rsidRPr="00023618" w:rsidP="006B65A1" w14:paraId="6A1B124E" w14:textId="77777777">
            <w:pPr>
              <w:spacing w:after="0" w:line="240" w:lineRule="auto"/>
              <w:contextualSpacing/>
              <w:rPr>
                <w:rFonts w:cstheme="minorHAnsi"/>
                <w:sz w:val="20"/>
                <w:szCs w:val="20"/>
              </w:rPr>
            </w:pPr>
            <w:r w:rsidRPr="00023618">
              <w:rPr>
                <w:rFonts w:cstheme="minorHAnsi"/>
                <w:sz w:val="20"/>
                <w:szCs w:val="20"/>
              </w:rPr>
              <w:t>§63.11095(b)</w:t>
            </w:r>
          </w:p>
        </w:tc>
      </w:tr>
      <w:tr w14:paraId="42F99F35"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5329DB51" w14:textId="77777777">
            <w:pPr>
              <w:spacing w:after="0" w:line="240" w:lineRule="auto"/>
              <w:contextualSpacing/>
              <w:rPr>
                <w:rFonts w:cstheme="minorHAnsi"/>
                <w:sz w:val="20"/>
                <w:szCs w:val="20"/>
              </w:rPr>
            </w:pPr>
            <w:r w:rsidRPr="00023618">
              <w:rPr>
                <w:rFonts w:cstheme="minorHAnsi"/>
                <w:sz w:val="20"/>
                <w:szCs w:val="20"/>
              </w:rPr>
              <w:t xml:space="preserve">Semiannual compliance report </w:t>
            </w:r>
          </w:p>
        </w:tc>
        <w:tc>
          <w:tcPr>
            <w:tcW w:w="5129" w:type="dxa"/>
            <w:tcMar>
              <w:top w:w="80" w:type="dxa"/>
              <w:left w:w="80" w:type="dxa"/>
              <w:bottom w:w="80" w:type="dxa"/>
              <w:right w:w="80" w:type="dxa"/>
            </w:tcMar>
            <w:hideMark/>
          </w:tcPr>
          <w:p w:rsidR="00023618" w:rsidRPr="00023618" w:rsidP="006B65A1" w14:paraId="07CF9E54" w14:textId="77777777">
            <w:pPr>
              <w:spacing w:after="0" w:line="240" w:lineRule="auto"/>
              <w:contextualSpacing/>
              <w:rPr>
                <w:rFonts w:cstheme="minorHAnsi"/>
                <w:sz w:val="20"/>
                <w:szCs w:val="20"/>
              </w:rPr>
            </w:pPr>
            <w:r w:rsidRPr="00023618">
              <w:rPr>
                <w:rFonts w:cstheme="minorHAnsi"/>
                <w:sz w:val="20"/>
                <w:szCs w:val="20"/>
              </w:rPr>
              <w:t>§63.11095(d) and (e)</w:t>
            </w:r>
          </w:p>
        </w:tc>
      </w:tr>
      <w:tr w14:paraId="09B399CC" w14:textId="77777777" w:rsidTr="00023618">
        <w:tblPrEx>
          <w:tblW w:w="9350" w:type="dxa"/>
          <w:tblCellMar>
            <w:left w:w="0" w:type="dxa"/>
            <w:right w:w="0" w:type="dxa"/>
          </w:tblCellMar>
          <w:tblLook w:val="04A0"/>
        </w:tblPrEx>
        <w:trPr>
          <w:tblHeader/>
        </w:trPr>
        <w:tc>
          <w:tcPr>
            <w:tcW w:w="9350" w:type="dxa"/>
            <w:gridSpan w:val="2"/>
            <w:tcMar>
              <w:top w:w="80" w:type="dxa"/>
              <w:left w:w="80" w:type="dxa"/>
              <w:bottom w:w="80" w:type="dxa"/>
              <w:right w:w="80" w:type="dxa"/>
            </w:tcMar>
            <w:hideMark/>
          </w:tcPr>
          <w:p w:rsidR="00023618" w:rsidRPr="00023618" w:rsidP="006B65A1" w14:paraId="7D5D91E9" w14:textId="77777777">
            <w:pPr>
              <w:spacing w:after="0" w:line="240" w:lineRule="auto"/>
              <w:contextualSpacing/>
              <w:jc w:val="center"/>
              <w:rPr>
                <w:rFonts w:cstheme="minorHAnsi"/>
                <w:sz w:val="20"/>
                <w:szCs w:val="20"/>
              </w:rPr>
            </w:pPr>
            <w:r w:rsidRPr="00023618">
              <w:rPr>
                <w:rFonts w:cstheme="minorHAnsi"/>
                <w:b/>
                <w:bCs/>
                <w:sz w:val="20"/>
                <w:szCs w:val="20"/>
              </w:rPr>
              <w:t>Recordkeeping</w:t>
            </w:r>
          </w:p>
        </w:tc>
      </w:tr>
      <w:tr w14:paraId="6D324A00"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4A1FEE37" w14:textId="77777777">
            <w:pPr>
              <w:spacing w:after="0" w:line="240" w:lineRule="auto"/>
              <w:contextualSpacing/>
              <w:rPr>
                <w:rFonts w:cstheme="minorHAnsi"/>
                <w:sz w:val="20"/>
                <w:szCs w:val="20"/>
              </w:rPr>
            </w:pPr>
            <w:r w:rsidRPr="00023618">
              <w:rPr>
                <w:rFonts w:cstheme="minorHAnsi"/>
                <w:sz w:val="20"/>
                <w:szCs w:val="20"/>
              </w:rPr>
              <w:t>Cargo tank documentation</w:t>
            </w:r>
          </w:p>
        </w:tc>
        <w:tc>
          <w:tcPr>
            <w:tcW w:w="5129" w:type="dxa"/>
            <w:tcMar>
              <w:top w:w="80" w:type="dxa"/>
              <w:left w:w="80" w:type="dxa"/>
              <w:bottom w:w="80" w:type="dxa"/>
              <w:right w:w="80" w:type="dxa"/>
            </w:tcMar>
            <w:hideMark/>
          </w:tcPr>
          <w:p w:rsidR="00023618" w:rsidRPr="00023618" w:rsidP="006B65A1" w14:paraId="46029C48" w14:textId="77777777">
            <w:pPr>
              <w:spacing w:after="0" w:line="240" w:lineRule="auto"/>
              <w:contextualSpacing/>
              <w:rPr>
                <w:rFonts w:cstheme="minorHAnsi"/>
                <w:sz w:val="20"/>
                <w:szCs w:val="20"/>
              </w:rPr>
            </w:pPr>
            <w:r w:rsidRPr="00023618">
              <w:rPr>
                <w:rFonts w:cstheme="minorHAnsi"/>
                <w:sz w:val="20"/>
                <w:szCs w:val="20"/>
              </w:rPr>
              <w:t>§63.11094(b) and (c)</w:t>
            </w:r>
          </w:p>
        </w:tc>
      </w:tr>
      <w:tr w14:paraId="2201B31A"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3D4DC5A8" w14:textId="77777777">
            <w:pPr>
              <w:spacing w:after="0" w:line="240" w:lineRule="auto"/>
              <w:contextualSpacing/>
              <w:rPr>
                <w:rFonts w:cstheme="minorHAnsi"/>
                <w:sz w:val="20"/>
                <w:szCs w:val="20"/>
              </w:rPr>
            </w:pPr>
            <w:r w:rsidRPr="00023618">
              <w:rPr>
                <w:rFonts w:cstheme="minorHAnsi"/>
                <w:sz w:val="20"/>
                <w:szCs w:val="20"/>
              </w:rPr>
              <w:t>Continuous monitoring data</w:t>
            </w:r>
          </w:p>
        </w:tc>
        <w:tc>
          <w:tcPr>
            <w:tcW w:w="5129" w:type="dxa"/>
            <w:tcMar>
              <w:top w:w="80" w:type="dxa"/>
              <w:left w:w="80" w:type="dxa"/>
              <w:bottom w:w="80" w:type="dxa"/>
              <w:right w:w="80" w:type="dxa"/>
            </w:tcMar>
            <w:hideMark/>
          </w:tcPr>
          <w:p w:rsidR="00023618" w:rsidRPr="00023618" w:rsidP="006B65A1" w14:paraId="6BA487FC" w14:textId="77777777">
            <w:pPr>
              <w:spacing w:after="0" w:line="240" w:lineRule="auto"/>
              <w:contextualSpacing/>
              <w:rPr>
                <w:rFonts w:cstheme="minorHAnsi"/>
                <w:sz w:val="20"/>
                <w:szCs w:val="20"/>
              </w:rPr>
            </w:pPr>
            <w:r w:rsidRPr="00023618">
              <w:rPr>
                <w:rFonts w:cstheme="minorHAnsi"/>
                <w:sz w:val="20"/>
                <w:szCs w:val="20"/>
              </w:rPr>
              <w:t>§63.11094(e)(1)</w:t>
            </w:r>
          </w:p>
        </w:tc>
      </w:tr>
      <w:tr w14:paraId="6D897E4F"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3640BD4B" w14:textId="77777777">
            <w:pPr>
              <w:spacing w:after="0" w:line="240" w:lineRule="auto"/>
              <w:contextualSpacing/>
              <w:rPr>
                <w:rFonts w:cstheme="minorHAnsi"/>
                <w:sz w:val="20"/>
                <w:szCs w:val="20"/>
              </w:rPr>
            </w:pPr>
            <w:r w:rsidRPr="00023618">
              <w:rPr>
                <w:rFonts w:cstheme="minorHAnsi"/>
                <w:sz w:val="20"/>
                <w:szCs w:val="20"/>
              </w:rPr>
              <w:t>Compliance status</w:t>
            </w:r>
          </w:p>
        </w:tc>
        <w:tc>
          <w:tcPr>
            <w:tcW w:w="5129" w:type="dxa"/>
            <w:tcMar>
              <w:top w:w="80" w:type="dxa"/>
              <w:left w:w="80" w:type="dxa"/>
              <w:bottom w:w="80" w:type="dxa"/>
              <w:right w:w="80" w:type="dxa"/>
            </w:tcMar>
            <w:hideMark/>
          </w:tcPr>
          <w:p w:rsidR="00023618" w:rsidRPr="00023618" w:rsidP="006B65A1" w14:paraId="6CAABFB5" w14:textId="77777777">
            <w:pPr>
              <w:spacing w:after="0" w:line="240" w:lineRule="auto"/>
              <w:contextualSpacing/>
              <w:rPr>
                <w:rFonts w:cstheme="minorHAnsi"/>
                <w:sz w:val="20"/>
                <w:szCs w:val="20"/>
              </w:rPr>
            </w:pPr>
            <w:r w:rsidRPr="00023618">
              <w:rPr>
                <w:rFonts w:cstheme="minorHAnsi"/>
                <w:sz w:val="20"/>
                <w:szCs w:val="20"/>
              </w:rPr>
              <w:t>§63.11094(e)(2)</w:t>
            </w:r>
          </w:p>
        </w:tc>
      </w:tr>
      <w:tr w14:paraId="75E90F92"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4EBF8AC5" w14:textId="77777777">
            <w:pPr>
              <w:spacing w:after="0" w:line="240" w:lineRule="auto"/>
              <w:contextualSpacing/>
              <w:rPr>
                <w:rFonts w:cstheme="minorHAnsi"/>
                <w:sz w:val="20"/>
                <w:szCs w:val="20"/>
              </w:rPr>
            </w:pPr>
            <w:r w:rsidRPr="00023618">
              <w:rPr>
                <w:rFonts w:cstheme="minorHAnsi"/>
                <w:sz w:val="20"/>
                <w:szCs w:val="20"/>
              </w:rPr>
              <w:t>Performance evaluation test plan</w:t>
            </w:r>
          </w:p>
        </w:tc>
        <w:tc>
          <w:tcPr>
            <w:tcW w:w="5129" w:type="dxa"/>
            <w:tcMar>
              <w:top w:w="80" w:type="dxa"/>
              <w:left w:w="80" w:type="dxa"/>
              <w:bottom w:w="80" w:type="dxa"/>
              <w:right w:w="80" w:type="dxa"/>
            </w:tcMar>
            <w:hideMark/>
          </w:tcPr>
          <w:p w:rsidR="00023618" w:rsidRPr="00023618" w:rsidP="006B65A1" w14:paraId="253B7AF7" w14:textId="77777777">
            <w:pPr>
              <w:spacing w:after="0" w:line="240" w:lineRule="auto"/>
              <w:contextualSpacing/>
              <w:rPr>
                <w:rFonts w:cstheme="minorHAnsi"/>
                <w:sz w:val="20"/>
                <w:szCs w:val="20"/>
              </w:rPr>
            </w:pPr>
            <w:r w:rsidRPr="00023618">
              <w:rPr>
                <w:rFonts w:cstheme="minorHAnsi"/>
                <w:sz w:val="20"/>
                <w:szCs w:val="20"/>
              </w:rPr>
              <w:t>§63.11094(h)</w:t>
            </w:r>
          </w:p>
        </w:tc>
      </w:tr>
      <w:tr w14:paraId="5DF452BD"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09075CF0" w14:textId="77777777">
            <w:pPr>
              <w:spacing w:after="0" w:line="240" w:lineRule="auto"/>
              <w:contextualSpacing/>
              <w:rPr>
                <w:rFonts w:cstheme="minorHAnsi"/>
                <w:sz w:val="20"/>
                <w:szCs w:val="20"/>
              </w:rPr>
            </w:pPr>
            <w:r w:rsidRPr="00023618">
              <w:rPr>
                <w:rFonts w:cstheme="minorHAnsi"/>
                <w:sz w:val="20"/>
                <w:szCs w:val="20"/>
              </w:rPr>
              <w:t>Storage tank inspections</w:t>
            </w:r>
          </w:p>
        </w:tc>
        <w:tc>
          <w:tcPr>
            <w:tcW w:w="5129" w:type="dxa"/>
            <w:tcMar>
              <w:top w:w="80" w:type="dxa"/>
              <w:left w:w="80" w:type="dxa"/>
              <w:bottom w:w="80" w:type="dxa"/>
              <w:right w:w="80" w:type="dxa"/>
            </w:tcMar>
            <w:hideMark/>
          </w:tcPr>
          <w:p w:rsidR="00023618" w:rsidRPr="00023618" w:rsidP="006B65A1" w14:paraId="7A851144" w14:textId="77777777">
            <w:pPr>
              <w:spacing w:after="0" w:line="240" w:lineRule="auto"/>
              <w:contextualSpacing/>
              <w:rPr>
                <w:rFonts w:cstheme="minorHAnsi"/>
                <w:sz w:val="20"/>
                <w:szCs w:val="20"/>
              </w:rPr>
            </w:pPr>
            <w:r w:rsidRPr="00023618">
              <w:rPr>
                <w:rFonts w:cstheme="minorHAnsi"/>
                <w:sz w:val="20"/>
                <w:szCs w:val="20"/>
              </w:rPr>
              <w:t>§63.11094 (a)</w:t>
            </w:r>
          </w:p>
        </w:tc>
      </w:tr>
      <w:tr w14:paraId="4CAA76B4"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01171260" w14:textId="77777777">
            <w:pPr>
              <w:spacing w:after="0" w:line="240" w:lineRule="auto"/>
              <w:contextualSpacing/>
              <w:rPr>
                <w:rFonts w:cstheme="minorHAnsi"/>
                <w:sz w:val="20"/>
                <w:szCs w:val="20"/>
              </w:rPr>
            </w:pPr>
            <w:r w:rsidRPr="00023618">
              <w:rPr>
                <w:rFonts w:cstheme="minorHAnsi"/>
                <w:sz w:val="20"/>
                <w:szCs w:val="20"/>
              </w:rPr>
              <w:t>All equipment in gasoline service</w:t>
            </w:r>
          </w:p>
        </w:tc>
        <w:tc>
          <w:tcPr>
            <w:tcW w:w="5129" w:type="dxa"/>
            <w:tcMar>
              <w:top w:w="80" w:type="dxa"/>
              <w:left w:w="80" w:type="dxa"/>
              <w:bottom w:w="80" w:type="dxa"/>
              <w:right w:w="80" w:type="dxa"/>
            </w:tcMar>
            <w:hideMark/>
          </w:tcPr>
          <w:p w:rsidR="00023618" w:rsidRPr="00023618" w:rsidP="006B65A1" w14:paraId="6D28AE0F" w14:textId="77777777">
            <w:pPr>
              <w:spacing w:after="0" w:line="240" w:lineRule="auto"/>
              <w:contextualSpacing/>
              <w:rPr>
                <w:rFonts w:cstheme="minorHAnsi"/>
                <w:sz w:val="20"/>
                <w:szCs w:val="20"/>
              </w:rPr>
            </w:pPr>
            <w:r w:rsidRPr="00023618">
              <w:rPr>
                <w:rFonts w:cstheme="minorHAnsi"/>
                <w:sz w:val="20"/>
                <w:szCs w:val="20"/>
              </w:rPr>
              <w:t>§63.11094(d)</w:t>
            </w:r>
          </w:p>
        </w:tc>
      </w:tr>
      <w:tr w14:paraId="40DF7FC1"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4298A325" w14:textId="77777777">
            <w:pPr>
              <w:spacing w:after="0" w:line="240" w:lineRule="auto"/>
              <w:contextualSpacing/>
              <w:rPr>
                <w:rFonts w:cstheme="minorHAnsi"/>
                <w:sz w:val="20"/>
                <w:szCs w:val="20"/>
              </w:rPr>
            </w:pPr>
            <w:r w:rsidRPr="00023618">
              <w:rPr>
                <w:rFonts w:cstheme="minorHAnsi"/>
                <w:sz w:val="20"/>
                <w:szCs w:val="20"/>
              </w:rPr>
              <w:t>Equipment leak inspection</w:t>
            </w:r>
          </w:p>
        </w:tc>
        <w:tc>
          <w:tcPr>
            <w:tcW w:w="5129" w:type="dxa"/>
            <w:tcMar>
              <w:top w:w="80" w:type="dxa"/>
              <w:left w:w="80" w:type="dxa"/>
              <w:bottom w:w="80" w:type="dxa"/>
              <w:right w:w="80" w:type="dxa"/>
            </w:tcMar>
            <w:hideMark/>
          </w:tcPr>
          <w:p w:rsidR="00023618" w:rsidRPr="00023618" w:rsidP="006B65A1" w14:paraId="74B78E6A" w14:textId="77777777">
            <w:pPr>
              <w:spacing w:after="0" w:line="240" w:lineRule="auto"/>
              <w:contextualSpacing/>
              <w:rPr>
                <w:rFonts w:cstheme="minorHAnsi"/>
                <w:sz w:val="20"/>
                <w:szCs w:val="20"/>
              </w:rPr>
            </w:pPr>
            <w:r w:rsidRPr="00023618">
              <w:rPr>
                <w:rFonts w:cstheme="minorHAnsi"/>
                <w:sz w:val="20"/>
                <w:szCs w:val="20"/>
              </w:rPr>
              <w:t>§63.11094(d)</w:t>
            </w:r>
          </w:p>
        </w:tc>
      </w:tr>
      <w:tr w14:paraId="5B26A41B" w14:textId="77777777" w:rsidTr="00023618">
        <w:tblPrEx>
          <w:tblW w:w="9350" w:type="dxa"/>
          <w:tblCellMar>
            <w:left w:w="0" w:type="dxa"/>
            <w:right w:w="0" w:type="dxa"/>
          </w:tblCellMar>
          <w:tblLook w:val="04A0"/>
        </w:tblPrEx>
        <w:trPr>
          <w:tblHeader/>
        </w:trPr>
        <w:tc>
          <w:tcPr>
            <w:tcW w:w="4221" w:type="dxa"/>
            <w:tcMar>
              <w:top w:w="80" w:type="dxa"/>
              <w:left w:w="80" w:type="dxa"/>
              <w:bottom w:w="80" w:type="dxa"/>
              <w:right w:w="80" w:type="dxa"/>
            </w:tcMar>
            <w:hideMark/>
          </w:tcPr>
          <w:p w:rsidR="00023618" w:rsidRPr="00023618" w:rsidP="006B65A1" w14:paraId="5934E3B5" w14:textId="77777777">
            <w:pPr>
              <w:spacing w:after="0" w:line="240" w:lineRule="auto"/>
              <w:contextualSpacing/>
              <w:rPr>
                <w:rFonts w:cstheme="minorHAnsi"/>
                <w:sz w:val="20"/>
                <w:szCs w:val="20"/>
              </w:rPr>
            </w:pPr>
            <w:r w:rsidRPr="00023618">
              <w:rPr>
                <w:rFonts w:cstheme="minorHAnsi"/>
                <w:sz w:val="20"/>
                <w:szCs w:val="20"/>
              </w:rPr>
              <w:t xml:space="preserve">Failures to meet an emissions limitation </w:t>
            </w:r>
          </w:p>
        </w:tc>
        <w:tc>
          <w:tcPr>
            <w:tcW w:w="5129" w:type="dxa"/>
            <w:tcMar>
              <w:top w:w="80" w:type="dxa"/>
              <w:left w:w="80" w:type="dxa"/>
              <w:bottom w:w="80" w:type="dxa"/>
              <w:right w:w="80" w:type="dxa"/>
            </w:tcMar>
            <w:hideMark/>
          </w:tcPr>
          <w:p w:rsidR="00023618" w:rsidRPr="00023618" w:rsidP="006B65A1" w14:paraId="5D10735D" w14:textId="77777777">
            <w:pPr>
              <w:spacing w:after="0" w:line="240" w:lineRule="auto"/>
              <w:contextualSpacing/>
              <w:rPr>
                <w:rFonts w:cstheme="minorHAnsi"/>
                <w:sz w:val="20"/>
                <w:szCs w:val="20"/>
              </w:rPr>
            </w:pPr>
            <w:r w:rsidRPr="00023618">
              <w:rPr>
                <w:rFonts w:cstheme="minorHAnsi"/>
                <w:sz w:val="20"/>
                <w:szCs w:val="20"/>
              </w:rPr>
              <w:t>§63.11094(g)</w:t>
            </w:r>
          </w:p>
        </w:tc>
      </w:tr>
    </w:tbl>
    <w:p w:rsidR="00023618" w:rsidRPr="00BB3410" w:rsidP="00A46733" w14:paraId="2D4F7344" w14:textId="77777777">
      <w:pPr>
        <w:pBdr>
          <w:top w:val="single" w:sz="6" w:space="0" w:color="FFFFFF"/>
          <w:left w:val="single" w:sz="6" w:space="0" w:color="FFFFFF"/>
          <w:bottom w:val="single" w:sz="6" w:space="0" w:color="FFFFFF"/>
          <w:right w:val="single" w:sz="6" w:space="0" w:color="FFFFFF"/>
        </w:pBdr>
        <w:spacing w:after="0"/>
        <w:contextualSpacing/>
        <w:rPr>
          <w:rFonts w:cstheme="minorHAnsi"/>
          <w:color w:val="000000"/>
        </w:rPr>
      </w:pPr>
    </w:p>
    <w:p w:rsidR="001172FE" w:rsidRPr="00163C69" w:rsidP="00A46733" w14:paraId="7B8A0ACD" w14:textId="27119692">
      <w:pPr>
        <w:spacing w:after="0"/>
        <w:contextualSpacing/>
        <w:rPr>
          <w:rFonts w:cstheme="minorHAnsi"/>
          <w:b/>
          <w:bCs/>
        </w:rPr>
      </w:pPr>
      <w:r w:rsidRPr="00163C69">
        <w:rPr>
          <w:rFonts w:cstheme="minorHAnsi"/>
          <w:b/>
          <w:bCs/>
        </w:rPr>
        <w:t xml:space="preserve">12c. </w:t>
      </w:r>
      <w:r w:rsidRPr="00163C69" w:rsidR="00DD718B">
        <w:rPr>
          <w:rFonts w:cstheme="minorHAnsi"/>
          <w:b/>
          <w:bCs/>
        </w:rPr>
        <w:t>Respondent Activities</w:t>
      </w:r>
      <w:bookmarkStart w:id="24" w:name="_Toc156593385"/>
      <w:bookmarkEnd w:id="23"/>
    </w:p>
    <w:p w:rsidR="00B061FE" w:rsidRPr="00B061FE" w:rsidP="00F67FB2" w14:paraId="57E9CE4B" w14:textId="1CD3D545">
      <w:pPr>
        <w:spacing w:line="22" w:lineRule="atLeast"/>
        <w:contextualSpacing/>
        <w:rPr>
          <w:rFonts w:cstheme="minorHAnsi"/>
        </w:rPr>
      </w:pPr>
      <w:r>
        <w:rPr>
          <w:rFonts w:cstheme="minorHAnsi"/>
        </w:rPr>
        <w:t>Respondent activities listed here:</w:t>
      </w:r>
    </w:p>
    <w:p w:rsidR="00B061FE" w:rsidRPr="00B061FE" w:rsidP="00F67FB2" w14:paraId="4D738A55" w14:textId="36117CB4">
      <w:pPr>
        <w:pStyle w:val="ListParagraph"/>
        <w:numPr>
          <w:ilvl w:val="0"/>
          <w:numId w:val="29"/>
        </w:numPr>
        <w:spacing w:line="22" w:lineRule="atLeast"/>
        <w:rPr>
          <w:rFonts w:cstheme="minorHAnsi"/>
        </w:rPr>
      </w:pPr>
      <w:r w:rsidRPr="00B061FE">
        <w:rPr>
          <w:rFonts w:cstheme="minorHAnsi"/>
        </w:rPr>
        <w:t>Review the regulatory requirements.</w:t>
      </w:r>
    </w:p>
    <w:p w:rsidR="00B061FE" w:rsidRPr="00B061FE" w:rsidP="00F67FB2" w14:paraId="648EBA84" w14:textId="77777777">
      <w:pPr>
        <w:pStyle w:val="ListParagraph"/>
        <w:numPr>
          <w:ilvl w:val="0"/>
          <w:numId w:val="29"/>
        </w:numPr>
        <w:spacing w:line="22" w:lineRule="atLeast"/>
        <w:rPr>
          <w:rFonts w:cstheme="minorHAnsi"/>
        </w:rPr>
      </w:pPr>
      <w:r w:rsidRPr="00B061FE">
        <w:rPr>
          <w:rFonts w:cstheme="minorHAnsi"/>
        </w:rPr>
        <w:t>Perform initial and ongoing performance tests or performance evaluations.</w:t>
      </w:r>
    </w:p>
    <w:p w:rsidR="00B061FE" w:rsidRPr="00B061FE" w:rsidP="00F67FB2" w14:paraId="52963969" w14:textId="77777777">
      <w:pPr>
        <w:pStyle w:val="ListParagraph"/>
        <w:numPr>
          <w:ilvl w:val="0"/>
          <w:numId w:val="29"/>
        </w:numPr>
        <w:spacing w:line="22" w:lineRule="atLeast"/>
        <w:rPr>
          <w:rFonts w:cstheme="minorHAnsi"/>
        </w:rPr>
      </w:pPr>
      <w:r w:rsidRPr="00B061FE">
        <w:rPr>
          <w:rFonts w:cstheme="minorHAnsi"/>
        </w:rPr>
        <w:t xml:space="preserve">Monitor equipment and report leaks. </w:t>
      </w:r>
    </w:p>
    <w:p w:rsidR="00B061FE" w:rsidRPr="00B061FE" w:rsidP="00F67FB2" w14:paraId="68255AB7" w14:textId="77777777">
      <w:pPr>
        <w:pStyle w:val="ListParagraph"/>
        <w:numPr>
          <w:ilvl w:val="0"/>
          <w:numId w:val="29"/>
        </w:numPr>
        <w:spacing w:line="22" w:lineRule="atLeast"/>
        <w:rPr>
          <w:rFonts w:cstheme="minorHAnsi"/>
        </w:rPr>
      </w:pPr>
      <w:r w:rsidRPr="00B061FE">
        <w:rPr>
          <w:rFonts w:cstheme="minorHAnsi"/>
        </w:rPr>
        <w:t xml:space="preserve">Perform LEL monitoring (for internal floating roof tanks). </w:t>
      </w:r>
    </w:p>
    <w:p w:rsidR="00B061FE" w:rsidRPr="00B061FE" w:rsidP="00F67FB2" w14:paraId="7C161C0F" w14:textId="77777777">
      <w:pPr>
        <w:pStyle w:val="ListParagraph"/>
        <w:numPr>
          <w:ilvl w:val="0"/>
          <w:numId w:val="29"/>
        </w:numPr>
        <w:spacing w:line="22" w:lineRule="atLeast"/>
        <w:rPr>
          <w:rFonts w:cstheme="minorHAnsi"/>
        </w:rPr>
      </w:pPr>
      <w:r w:rsidRPr="00B061FE">
        <w:rPr>
          <w:rFonts w:cstheme="minorHAnsi"/>
        </w:rPr>
        <w:t>Complete semiannual compliance reports.</w:t>
      </w:r>
    </w:p>
    <w:p w:rsidR="00B061FE" w:rsidRPr="00B061FE" w:rsidP="00F67FB2" w14:paraId="773F55C5" w14:textId="77777777">
      <w:pPr>
        <w:pStyle w:val="ListParagraph"/>
        <w:numPr>
          <w:ilvl w:val="0"/>
          <w:numId w:val="29"/>
        </w:numPr>
        <w:spacing w:line="22" w:lineRule="atLeast"/>
        <w:rPr>
          <w:rFonts w:cstheme="minorHAnsi"/>
        </w:rPr>
      </w:pPr>
      <w:r w:rsidRPr="00B061FE">
        <w:rPr>
          <w:rFonts w:cstheme="minorHAnsi"/>
        </w:rPr>
        <w:t>Plan and implement required activities.</w:t>
      </w:r>
    </w:p>
    <w:p w:rsidR="00B061FE" w:rsidRPr="00B061FE" w:rsidP="00F67FB2" w14:paraId="53CA5D2D" w14:textId="77777777">
      <w:pPr>
        <w:pStyle w:val="ListParagraph"/>
        <w:numPr>
          <w:ilvl w:val="0"/>
          <w:numId w:val="29"/>
        </w:numPr>
        <w:spacing w:line="22" w:lineRule="atLeast"/>
        <w:rPr>
          <w:rFonts w:cstheme="minorHAnsi"/>
        </w:rPr>
      </w:pPr>
      <w:r w:rsidRPr="00B061FE">
        <w:rPr>
          <w:rFonts w:cstheme="minorHAnsi"/>
        </w:rPr>
        <w:t xml:space="preserve">Develop record system and enter information. </w:t>
      </w:r>
    </w:p>
    <w:p w:rsidR="00B061FE" w:rsidRPr="00B061FE" w:rsidP="00F67FB2" w14:paraId="156575DF" w14:textId="77777777">
      <w:pPr>
        <w:pStyle w:val="ListParagraph"/>
        <w:numPr>
          <w:ilvl w:val="0"/>
          <w:numId w:val="29"/>
        </w:numPr>
        <w:spacing w:line="22" w:lineRule="atLeast"/>
        <w:rPr>
          <w:rFonts w:cstheme="minorHAnsi"/>
        </w:rPr>
      </w:pPr>
      <w:r w:rsidRPr="00B061FE">
        <w:rPr>
          <w:rFonts w:cstheme="minorHAnsi"/>
        </w:rPr>
        <w:t>Train personnel to be able to respond to a collection of information.</w:t>
      </w:r>
    </w:p>
    <w:p w:rsidR="00B061FE" w:rsidRPr="005D3D40" w:rsidP="00F67FB2" w14:paraId="044ED559" w14:textId="064BEC29">
      <w:pPr>
        <w:pStyle w:val="ListParagraph"/>
        <w:numPr>
          <w:ilvl w:val="0"/>
          <w:numId w:val="29"/>
        </w:numPr>
        <w:spacing w:line="22" w:lineRule="atLeast"/>
        <w:rPr>
          <w:rFonts w:cstheme="minorHAnsi"/>
        </w:rPr>
      </w:pPr>
      <w:r w:rsidRPr="00B061FE">
        <w:rPr>
          <w:rFonts w:cstheme="minorHAnsi"/>
        </w:rPr>
        <w:t>Transmit, or otherwise disclose the information.</w:t>
      </w: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4"/>
      <w:r w:rsidRPr="00163C69" w:rsidR="00BB2B15">
        <w:rPr>
          <w:rFonts w:cstheme="minorHAnsi"/>
          <w:b/>
          <w:bCs/>
        </w:rPr>
        <w:t>Costs</w:t>
      </w:r>
    </w:p>
    <w:p w:rsidR="008B7CAC" w:rsidRPr="008B7CAC" w:rsidP="005D7324" w14:paraId="64510242" w14:textId="77777777">
      <w:pPr>
        <w:spacing w:line="22" w:lineRule="atLeast"/>
        <w:ind w:firstLine="720"/>
        <w:rPr>
          <w:rFonts w:cstheme="minorHAnsi"/>
        </w:rPr>
      </w:pPr>
      <w:r w:rsidRPr="008B7CAC">
        <w:rPr>
          <w:rFonts w:cstheme="minorHAnsi"/>
        </w:rPr>
        <w:t xml:space="preserve">Based on our research for this ICR, on average over the next three years, approximately 9,263 existing respondents will be subject to these standards. It is estimated that no additional respondents per year will become subject to these same standards. Because three years are provided to comply with the proposed revisions, the overall average number of respondents over the 3-year period of this ICR, as shown in the table below, is 4,632 per year. The average number of respondents includes 545 bulk gasoline terminals, 2,957 bulk gasoline plants, 900 pipeline pumping stations, and 230 pipeline breakout stations. </w:t>
      </w:r>
    </w:p>
    <w:p w:rsidR="00ED57A4" w:rsidP="005D7324" w14:paraId="68F435BE" w14:textId="660F5660">
      <w:pPr>
        <w:spacing w:line="22" w:lineRule="atLeast"/>
        <w:ind w:firstLine="720"/>
        <w:rPr>
          <w:rFonts w:cstheme="minorHAnsi"/>
        </w:rPr>
      </w:pPr>
      <w:r w:rsidRPr="008B7CAC">
        <w:rPr>
          <w:rFonts w:cstheme="minorHAnsi"/>
        </w:rPr>
        <w:t>The number of respondents is calculated using the following table that addresses the three years covered by this ICR:</w:t>
      </w:r>
    </w:p>
    <w:tbl>
      <w:tblPr>
        <w:tblW w:w="9359" w:type="dxa"/>
        <w:tblInd w:w="110" w:type="dxa"/>
        <w:tblLayout w:type="fixed"/>
        <w:tblCellMar>
          <w:left w:w="110" w:type="dxa"/>
          <w:right w:w="110" w:type="dxa"/>
        </w:tblCellMar>
        <w:tblLook w:val="0000"/>
      </w:tblPr>
      <w:tblGrid>
        <w:gridCol w:w="990"/>
        <w:gridCol w:w="1440"/>
        <w:gridCol w:w="1349"/>
        <w:gridCol w:w="2070"/>
        <w:gridCol w:w="1800"/>
        <w:gridCol w:w="1710"/>
      </w:tblGrid>
      <w:tr w14:paraId="09CCE865" w14:textId="77777777" w:rsidTr="00230488">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B7CAC" w:rsidRPr="00B0482F" w:rsidP="008B7CAC" w14:paraId="42E2972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B0482F">
              <w:rPr>
                <w:rFonts w:cstheme="minorHAnsi"/>
                <w:b/>
                <w:bCs/>
                <w:color w:val="000000"/>
                <w:sz w:val="20"/>
                <w:szCs w:val="20"/>
              </w:rPr>
              <w:t>Number of Respondents</w:t>
            </w:r>
          </w:p>
        </w:tc>
      </w:tr>
      <w:tr w14:paraId="08798E2E" w14:textId="77777777" w:rsidTr="002E48FD">
        <w:tblPrEx>
          <w:tblW w:w="9359" w:type="dxa"/>
          <w:tblInd w:w="110" w:type="dxa"/>
          <w:tblLayout w:type="fixed"/>
          <w:tblCellMar>
            <w:left w:w="110" w:type="dxa"/>
            <w:right w:w="110" w:type="dxa"/>
          </w:tblCellMar>
          <w:tblLook w:val="0000"/>
        </w:tblPrEx>
        <w:tc>
          <w:tcPr>
            <w:tcW w:w="990"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rsidR="008B7CAC" w:rsidRPr="00B0482F" w:rsidP="008B7CAC" w14:paraId="2585FBA9"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sz w:val="20"/>
                <w:szCs w:val="20"/>
              </w:rPr>
            </w:pPr>
          </w:p>
        </w:tc>
        <w:tc>
          <w:tcPr>
            <w:tcW w:w="2789" w:type="dxa"/>
            <w:gridSpan w:val="2"/>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rsidR="008B7CAC" w:rsidRPr="00B0482F" w:rsidP="008B7CAC" w14:paraId="43C7EDA6"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sz w:val="20"/>
                <w:szCs w:val="20"/>
              </w:rPr>
            </w:pPr>
            <w:r w:rsidRPr="00B0482F">
              <w:rPr>
                <w:rFonts w:cstheme="minorHAnsi"/>
                <w:b/>
                <w:bCs/>
                <w:color w:val="000000"/>
                <w:sz w:val="20"/>
                <w:szCs w:val="20"/>
              </w:rPr>
              <w:t>Respondents That Submit Reports</w:t>
            </w:r>
          </w:p>
        </w:tc>
        <w:tc>
          <w:tcPr>
            <w:tcW w:w="2070"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tcPr>
          <w:p w:rsidR="008B7CAC" w:rsidRPr="00B0482F" w:rsidP="008B7CAC" w14:paraId="346C5A1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sz w:val="20"/>
                <w:szCs w:val="20"/>
              </w:rPr>
            </w:pPr>
            <w:r w:rsidRPr="00B0482F">
              <w:rPr>
                <w:rFonts w:cstheme="minorHAnsi"/>
                <w:b/>
                <w:bCs/>
                <w:color w:val="000000"/>
                <w:sz w:val="20"/>
                <w:szCs w:val="20"/>
              </w:rPr>
              <w:t>Respondents That Do Not Submit Any Reports</w:t>
            </w:r>
          </w:p>
        </w:tc>
        <w:tc>
          <w:tcPr>
            <w:tcW w:w="3510" w:type="dxa"/>
            <w:gridSpan w:val="2"/>
            <w:tcBorders>
              <w:top w:val="single" w:sz="7" w:space="0" w:color="000000" w:themeColor="text1"/>
              <w:left w:val="single" w:sz="7" w:space="0" w:color="000000" w:themeColor="text1"/>
              <w:bottom w:val="single" w:sz="6" w:space="0" w:color="FFFFFF" w:themeColor="background1"/>
              <w:right w:val="single" w:sz="7" w:space="0" w:color="000000" w:themeColor="text1"/>
            </w:tcBorders>
          </w:tcPr>
          <w:p w:rsidR="008B7CAC" w:rsidRPr="00B0482F" w:rsidP="008B7CAC" w14:paraId="35BC00DA"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sz w:val="20"/>
                <w:szCs w:val="20"/>
              </w:rPr>
            </w:pPr>
          </w:p>
        </w:tc>
      </w:tr>
      <w:tr w14:paraId="00B6AE9F" w14:textId="77777777" w:rsidTr="002E48FD">
        <w:tblPrEx>
          <w:tblW w:w="9359" w:type="dxa"/>
          <w:tblInd w:w="110" w:type="dxa"/>
          <w:tblLayout w:type="fixed"/>
          <w:tblCellMar>
            <w:left w:w="110" w:type="dxa"/>
            <w:right w:w="110" w:type="dxa"/>
          </w:tblCellMar>
          <w:tblLook w:val="0000"/>
        </w:tblPrEx>
        <w:tc>
          <w:tcPr>
            <w:tcW w:w="990" w:type="dxa"/>
            <w:tcBorders>
              <w:top w:val="single" w:sz="7" w:space="0" w:color="000000" w:themeColor="text1"/>
              <w:left w:val="single" w:sz="7" w:space="0" w:color="000000" w:themeColor="text1"/>
              <w:bottom w:val="single" w:sz="8" w:space="0" w:color="000000" w:themeColor="text1"/>
              <w:right w:val="single" w:sz="6" w:space="0" w:color="FFFFFF" w:themeColor="background1"/>
            </w:tcBorders>
          </w:tcPr>
          <w:p w:rsidR="008B7CAC" w:rsidRPr="002E48FD" w:rsidP="008B7CAC" w14:paraId="15451584"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Year</w:t>
            </w:r>
          </w:p>
        </w:tc>
        <w:tc>
          <w:tcPr>
            <w:tcW w:w="1440" w:type="dxa"/>
            <w:tcBorders>
              <w:top w:val="single" w:sz="7" w:space="0" w:color="000000" w:themeColor="text1"/>
              <w:left w:val="single" w:sz="7" w:space="0" w:color="000000" w:themeColor="text1"/>
              <w:bottom w:val="single" w:sz="8" w:space="0" w:color="000000" w:themeColor="text1"/>
              <w:right w:val="single" w:sz="6" w:space="0" w:color="FFFFFF" w:themeColor="background1"/>
            </w:tcBorders>
          </w:tcPr>
          <w:p w:rsidR="008B7CAC" w:rsidRPr="002E48FD" w:rsidP="008B7CAC" w14:paraId="29689CED"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(A)</w:t>
            </w:r>
          </w:p>
          <w:p w:rsidR="008B7CAC" w:rsidRPr="002E48FD" w:rsidP="008B7CAC" w14:paraId="2D58E8F8"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vertAlign w:val="superscript"/>
              </w:rPr>
            </w:pPr>
            <w:r w:rsidRPr="002E48FD">
              <w:rPr>
                <w:rFonts w:cstheme="minorHAnsi"/>
                <w:b/>
                <w:bCs/>
                <w:color w:val="000000" w:themeColor="text1"/>
                <w:sz w:val="20"/>
                <w:szCs w:val="20"/>
              </w:rPr>
              <w:t xml:space="preserve">Number of New Respondents </w:t>
            </w:r>
          </w:p>
        </w:tc>
        <w:tc>
          <w:tcPr>
            <w:tcW w:w="1349" w:type="dxa"/>
            <w:tcBorders>
              <w:top w:val="single" w:sz="7" w:space="0" w:color="000000" w:themeColor="text1"/>
              <w:left w:val="single" w:sz="7" w:space="0" w:color="000000" w:themeColor="text1"/>
              <w:bottom w:val="single" w:sz="8" w:space="0" w:color="000000" w:themeColor="text1"/>
              <w:right w:val="single" w:sz="6" w:space="0" w:color="FFFFFF" w:themeColor="background1"/>
            </w:tcBorders>
          </w:tcPr>
          <w:p w:rsidR="008B7CAC" w:rsidRPr="002E48FD" w:rsidP="008B7CAC" w14:paraId="3E1D8A6C"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(B)</w:t>
            </w:r>
          </w:p>
          <w:p w:rsidR="008B7CAC" w:rsidRPr="002E48FD" w:rsidP="008B7CAC" w14:paraId="0E54141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Number of Existing Respondents</w:t>
            </w:r>
          </w:p>
        </w:tc>
        <w:tc>
          <w:tcPr>
            <w:tcW w:w="2070" w:type="dxa"/>
            <w:tcBorders>
              <w:top w:val="single" w:sz="7" w:space="0" w:color="000000" w:themeColor="text1"/>
              <w:left w:val="single" w:sz="7" w:space="0" w:color="000000" w:themeColor="text1"/>
              <w:bottom w:val="single" w:sz="8" w:space="0" w:color="000000" w:themeColor="text1"/>
              <w:right w:val="single" w:sz="8" w:space="0" w:color="000000" w:themeColor="text1"/>
            </w:tcBorders>
          </w:tcPr>
          <w:p w:rsidR="008B7CAC" w:rsidRPr="002E48FD" w:rsidP="008B7CAC" w14:paraId="7D73695B"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(C)</w:t>
            </w:r>
          </w:p>
          <w:p w:rsidR="008B7CAC" w:rsidRPr="002E48FD" w:rsidP="008B7CAC" w14:paraId="4F9DBCB9"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Number of Existing Respondents that keep records but do not submit reports</w:t>
            </w:r>
          </w:p>
        </w:tc>
        <w:tc>
          <w:tcPr>
            <w:tcW w:w="1800" w:type="dxa"/>
            <w:tcBorders>
              <w:top w:val="single" w:sz="8" w:space="0" w:color="000000" w:themeColor="text1"/>
              <w:left w:val="single" w:sz="8" w:space="0" w:color="000000" w:themeColor="text1"/>
              <w:bottom w:val="single" w:sz="8" w:space="0" w:color="000000" w:themeColor="text1"/>
              <w:right w:val="single" w:sz="4" w:space="0" w:color="auto"/>
            </w:tcBorders>
          </w:tcPr>
          <w:p w:rsidR="008B7CAC" w:rsidRPr="002E48FD" w:rsidP="008B7CAC" w14:paraId="38346D3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(D)</w:t>
            </w:r>
          </w:p>
          <w:p w:rsidR="008B7CAC" w:rsidRPr="002E48FD" w:rsidP="008B7CAC" w14:paraId="4E4DA79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Number of Existing Respondents That Are Also New Respondents</w:t>
            </w:r>
          </w:p>
        </w:tc>
        <w:tc>
          <w:tcPr>
            <w:tcW w:w="1710" w:type="dxa"/>
            <w:tcBorders>
              <w:top w:val="single" w:sz="7" w:space="0" w:color="000000" w:themeColor="text1"/>
              <w:left w:val="single" w:sz="4" w:space="0" w:color="auto"/>
              <w:bottom w:val="single" w:sz="8" w:space="0" w:color="000000" w:themeColor="text1"/>
              <w:right w:val="single" w:sz="7" w:space="0" w:color="000000" w:themeColor="text1"/>
            </w:tcBorders>
          </w:tcPr>
          <w:p w:rsidR="008B7CAC" w:rsidRPr="002E48FD" w:rsidP="008B7CAC" w14:paraId="0B2626D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(E)</w:t>
            </w:r>
          </w:p>
          <w:p w:rsidR="008B7CAC" w:rsidRPr="002E48FD" w:rsidP="008B7CAC" w14:paraId="51ABB1E8"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themeColor="text1"/>
                <w:sz w:val="20"/>
                <w:szCs w:val="20"/>
              </w:rPr>
              <w:t>Number of Respondents</w:t>
            </w:r>
            <w:r w:rsidRPr="002E48FD">
              <w:rPr>
                <w:rFonts w:cstheme="minorHAnsi"/>
                <w:b/>
                <w:bCs/>
                <w:color w:val="000000" w:themeColor="text1"/>
                <w:sz w:val="20"/>
                <w:szCs w:val="20"/>
                <w:vertAlign w:val="superscript"/>
              </w:rPr>
              <w:t>a</w:t>
            </w:r>
          </w:p>
          <w:p w:rsidR="008B7CAC" w:rsidRPr="002E48FD" w:rsidP="008B7CAC" w14:paraId="42D501E6"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(E=A+B+C-D)</w:t>
            </w:r>
          </w:p>
        </w:tc>
      </w:tr>
      <w:tr w14:paraId="062E3C4A" w14:textId="77777777" w:rsidTr="002E48FD">
        <w:tblPrEx>
          <w:tblW w:w="9359" w:type="dxa"/>
          <w:tblInd w:w="110" w:type="dxa"/>
          <w:tblLayout w:type="fixed"/>
          <w:tblCellMar>
            <w:left w:w="110" w:type="dxa"/>
            <w:right w:w="110" w:type="dxa"/>
          </w:tblCellMar>
          <w:tblLook w:val="0000"/>
        </w:tblPrEx>
        <w:tc>
          <w:tcPr>
            <w:tcW w:w="990" w:type="dxa"/>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8B7CAC" w:rsidRPr="00B0482F" w:rsidP="008B7CAC" w14:paraId="7B55C9F9"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1</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253248DA"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0</w:t>
            </w:r>
          </w:p>
        </w:tc>
        <w:tc>
          <w:tcPr>
            <w:tcW w:w="1349"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152187B9"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0</w:t>
            </w:r>
          </w:p>
        </w:tc>
        <w:tc>
          <w:tcPr>
            <w:tcW w:w="2070"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42608459"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0</w:t>
            </w:r>
          </w:p>
        </w:tc>
        <w:tc>
          <w:tcPr>
            <w:tcW w:w="1800"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0BC21065"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0</w:t>
            </w:r>
          </w:p>
        </w:tc>
        <w:tc>
          <w:tcPr>
            <w:tcW w:w="1710" w:type="dxa"/>
            <w:tcBorders>
              <w:top w:val="single" w:sz="8"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2EFB9FCD"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0</w:t>
            </w:r>
          </w:p>
        </w:tc>
      </w:tr>
      <w:tr w14:paraId="1FE68A7E" w14:textId="77777777" w:rsidTr="002E48FD">
        <w:tblPrEx>
          <w:tblW w:w="9359" w:type="dxa"/>
          <w:tblInd w:w="110" w:type="dxa"/>
          <w:tblLayout w:type="fixed"/>
          <w:tblCellMar>
            <w:left w:w="110" w:type="dxa"/>
            <w:right w:w="110" w:type="dxa"/>
          </w:tblCellMar>
          <w:tblLook w:val="0000"/>
        </w:tblPrEx>
        <w:tc>
          <w:tcPr>
            <w:tcW w:w="990"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8B7CAC" w:rsidRPr="00B0482F" w:rsidP="008B7CAC" w14:paraId="36CB9AEE"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2</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3C037135"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0</w:t>
            </w: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6B1AC27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4,632</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7CA227C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0</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73DC656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0</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692A896A"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themeColor="text1"/>
                <w:sz w:val="20"/>
                <w:szCs w:val="20"/>
              </w:rPr>
              <w:t>4,632</w:t>
            </w:r>
          </w:p>
        </w:tc>
      </w:tr>
      <w:tr w14:paraId="4CBBA953" w14:textId="77777777" w:rsidTr="002E48FD">
        <w:tblPrEx>
          <w:tblW w:w="9359" w:type="dxa"/>
          <w:tblInd w:w="110" w:type="dxa"/>
          <w:tblLayout w:type="fixed"/>
          <w:tblCellMar>
            <w:left w:w="110" w:type="dxa"/>
            <w:right w:w="110" w:type="dxa"/>
          </w:tblCellMar>
          <w:tblLook w:val="0000"/>
        </w:tblPrEx>
        <w:tc>
          <w:tcPr>
            <w:tcW w:w="990"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rsidR="008B7CAC" w:rsidRPr="00B0482F" w:rsidP="008B7CAC" w14:paraId="6A5BB539"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3</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5B44476A"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0</w:t>
            </w: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6574831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9,263</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41D55A6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0</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30F8F2FC"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0</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B7CAC" w:rsidRPr="00B0482F" w:rsidP="008B7CAC" w14:paraId="598E8CC8"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B0482F">
              <w:rPr>
                <w:rFonts w:cstheme="minorHAnsi"/>
                <w:color w:val="000000"/>
                <w:sz w:val="20"/>
                <w:szCs w:val="20"/>
              </w:rPr>
              <w:t>9,263</w:t>
            </w:r>
          </w:p>
        </w:tc>
      </w:tr>
      <w:tr w14:paraId="6B77F2FF" w14:textId="77777777" w:rsidTr="002E48FD">
        <w:tblPrEx>
          <w:tblW w:w="9359" w:type="dxa"/>
          <w:tblInd w:w="110" w:type="dxa"/>
          <w:tblLayout w:type="fixed"/>
          <w:tblCellMar>
            <w:left w:w="110" w:type="dxa"/>
            <w:right w:w="110" w:type="dxa"/>
          </w:tblCellMar>
          <w:tblLook w:val="0000"/>
        </w:tblPrEx>
        <w:tc>
          <w:tcPr>
            <w:tcW w:w="990"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8B7CAC" w:rsidRPr="00B0482F" w:rsidP="008B7CAC" w14:paraId="565BB8BB"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B0482F">
              <w:rPr>
                <w:rFonts w:cstheme="minorHAnsi"/>
                <w:b/>
                <w:bCs/>
                <w:color w:val="000000"/>
                <w:sz w:val="20"/>
                <w:szCs w:val="20"/>
              </w:rPr>
              <w:t>Average</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8B7CAC" w:rsidRPr="00B0482F" w:rsidP="008B7CAC" w14:paraId="17CAC72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B0482F">
              <w:rPr>
                <w:rFonts w:cstheme="minorHAnsi"/>
                <w:b/>
                <w:bCs/>
                <w:color w:val="000000"/>
                <w:sz w:val="20"/>
                <w:szCs w:val="20"/>
              </w:rPr>
              <w:t>0</w:t>
            </w:r>
          </w:p>
        </w:tc>
        <w:tc>
          <w:tcPr>
            <w:tcW w:w="1349"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8B7CAC" w:rsidRPr="00B0482F" w:rsidP="008B7CAC" w14:paraId="59463E17"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B0482F">
              <w:rPr>
                <w:rFonts w:cstheme="minorHAnsi"/>
                <w:b/>
                <w:bCs/>
                <w:color w:val="000000"/>
                <w:sz w:val="20"/>
                <w:szCs w:val="20"/>
              </w:rPr>
              <w:t>4,632</w:t>
            </w:r>
          </w:p>
        </w:tc>
        <w:tc>
          <w:tcPr>
            <w:tcW w:w="2070"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8B7CAC" w:rsidRPr="00B0482F" w:rsidP="008B7CAC" w14:paraId="76C8D0EB"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p>
        </w:tc>
        <w:tc>
          <w:tcPr>
            <w:tcW w:w="1800"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8B7CAC" w:rsidRPr="00B0482F" w:rsidP="008B7CAC" w14:paraId="1103BC0A"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p>
        </w:tc>
        <w:tc>
          <w:tcPr>
            <w:tcW w:w="1710"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center"/>
          </w:tcPr>
          <w:p w:rsidR="008B7CAC" w:rsidRPr="00B0482F" w:rsidP="008B7CAC" w14:paraId="5751781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B0482F">
              <w:rPr>
                <w:rFonts w:cstheme="minorHAnsi"/>
                <w:b/>
                <w:bCs/>
                <w:color w:val="000000"/>
                <w:sz w:val="20"/>
                <w:szCs w:val="20"/>
              </w:rPr>
              <w:t>4,632</w:t>
            </w:r>
          </w:p>
        </w:tc>
      </w:tr>
    </w:tbl>
    <w:p w:rsidR="002E48FD" w:rsidP="002E48FD" w14:paraId="022182E2" w14:textId="77777777">
      <w:pPr>
        <w:pBdr>
          <w:top w:val="single" w:sz="6" w:space="0" w:color="FFFFFF"/>
          <w:left w:val="single" w:sz="6" w:space="0" w:color="FFFFFF"/>
          <w:bottom w:val="single" w:sz="6" w:space="0" w:color="FFFFFF"/>
          <w:right w:val="single" w:sz="6" w:space="0" w:color="FFFFFF"/>
        </w:pBdr>
        <w:ind w:firstLine="720"/>
        <w:rPr>
          <w:color w:val="FF0000"/>
          <w:sz w:val="20"/>
          <w:szCs w:val="20"/>
        </w:rPr>
      </w:pPr>
      <w:r w:rsidRPr="3F4BEBAD">
        <w:rPr>
          <w:color w:val="000000" w:themeColor="text1"/>
          <w:vertAlign w:val="superscript"/>
        </w:rPr>
        <w:t>a</w:t>
      </w:r>
      <w:r w:rsidRPr="3F4BEBAD">
        <w:rPr>
          <w:color w:val="000000" w:themeColor="text1"/>
        </w:rPr>
        <w:t xml:space="preserve"> </w:t>
      </w:r>
      <w:r w:rsidRPr="3F4BEBAD">
        <w:rPr>
          <w:color w:val="000000" w:themeColor="text1"/>
          <w:sz w:val="20"/>
          <w:szCs w:val="20"/>
        </w:rPr>
        <w:t>Column D is subtracted to avoid double-counting respondents.</w:t>
      </w:r>
    </w:p>
    <w:p w:rsidR="002E48FD" w:rsidP="002E48FD" w14:paraId="7933CFE6" w14:textId="77777777">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520"/>
        <w:gridCol w:w="1350"/>
        <w:gridCol w:w="1170"/>
        <w:gridCol w:w="2880"/>
        <w:gridCol w:w="1260"/>
      </w:tblGrid>
      <w:tr w14:paraId="1224408B" w14:textId="77777777" w:rsidTr="00230488">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2E48FD" w:rsidRPr="002E48FD" w:rsidP="00B60903" w14:paraId="1B186696"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Total Annual Responses</w:t>
            </w:r>
          </w:p>
        </w:tc>
      </w:tr>
      <w:tr w14:paraId="0219F56F" w14:textId="77777777" w:rsidTr="00EE7D9F">
        <w:tblPrEx>
          <w:tblW w:w="9180" w:type="dxa"/>
          <w:tblInd w:w="201" w:type="dxa"/>
          <w:tblLayout w:type="fixed"/>
          <w:tblCellMar>
            <w:left w:w="111" w:type="dxa"/>
            <w:right w:w="111" w:type="dxa"/>
          </w:tblCellMar>
          <w:tblLook w:val="0000"/>
        </w:tblPrEx>
        <w:tc>
          <w:tcPr>
            <w:tcW w:w="2520" w:type="dxa"/>
          </w:tcPr>
          <w:p w:rsidR="002E48FD" w:rsidRPr="002E48FD" w:rsidP="00B60903" w14:paraId="315CF5ED"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(A)</w:t>
            </w:r>
          </w:p>
          <w:p w:rsidR="002E48FD" w:rsidRPr="002E48FD" w:rsidP="00B60903" w14:paraId="565343D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p>
          <w:p w:rsidR="002E48FD" w:rsidRPr="002E48FD" w:rsidP="00B60903" w14:paraId="535D5DAD"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Information Collection Activity</w:t>
            </w:r>
          </w:p>
        </w:tc>
        <w:tc>
          <w:tcPr>
            <w:tcW w:w="1350" w:type="dxa"/>
          </w:tcPr>
          <w:p w:rsidR="002E48FD" w:rsidRPr="002E48FD" w:rsidP="00B60903" w14:paraId="7DE02CE2"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(B)</w:t>
            </w:r>
          </w:p>
          <w:p w:rsidR="002E48FD" w:rsidRPr="002E48FD" w:rsidP="00B60903" w14:paraId="1C26D51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p>
          <w:p w:rsidR="002E48FD" w:rsidRPr="002E48FD" w:rsidP="00B60903" w14:paraId="18C87D2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Number of Respondents</w:t>
            </w:r>
          </w:p>
        </w:tc>
        <w:tc>
          <w:tcPr>
            <w:tcW w:w="1170" w:type="dxa"/>
          </w:tcPr>
          <w:p w:rsidR="002E48FD" w:rsidRPr="002E48FD" w:rsidP="00B60903" w14:paraId="5B2EEAD2"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(C)</w:t>
            </w:r>
          </w:p>
          <w:p w:rsidR="002E48FD" w:rsidRPr="002E48FD" w:rsidP="00B60903" w14:paraId="31F356C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p>
          <w:p w:rsidR="002E48FD" w:rsidRPr="002E48FD" w:rsidP="00B60903" w14:paraId="5F53E322"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Number of Responses</w:t>
            </w:r>
          </w:p>
        </w:tc>
        <w:tc>
          <w:tcPr>
            <w:tcW w:w="2880" w:type="dxa"/>
          </w:tcPr>
          <w:p w:rsidR="002E48FD" w:rsidRPr="002E48FD" w:rsidP="00B60903" w14:paraId="40499F58"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(D)</w:t>
            </w:r>
          </w:p>
          <w:p w:rsidR="002E48FD" w:rsidRPr="002E48FD" w:rsidP="00B60903" w14:paraId="6372B68D"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Number of Existing Respondents That Keep Records But Do Not Submit Reports</w:t>
            </w:r>
          </w:p>
        </w:tc>
        <w:tc>
          <w:tcPr>
            <w:tcW w:w="1260" w:type="dxa"/>
          </w:tcPr>
          <w:p w:rsidR="002E48FD" w:rsidRPr="002E48FD" w:rsidP="00B60903" w14:paraId="15EC54E1"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lang w:val="es-PR"/>
              </w:rPr>
            </w:pPr>
            <w:r w:rsidRPr="002E48FD">
              <w:rPr>
                <w:rFonts w:cstheme="minorHAnsi"/>
                <w:b/>
                <w:bCs/>
                <w:color w:val="000000"/>
                <w:sz w:val="20"/>
                <w:szCs w:val="20"/>
                <w:lang w:val="es-PR"/>
              </w:rPr>
              <w:t>(E)</w:t>
            </w:r>
          </w:p>
          <w:p w:rsidR="002E48FD" w:rsidRPr="002E48FD" w:rsidP="00B60903" w14:paraId="2680E76C"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lang w:val="es-PR"/>
              </w:rPr>
            </w:pPr>
            <w:r w:rsidRPr="002E48FD">
              <w:rPr>
                <w:rFonts w:cstheme="minorHAnsi"/>
                <w:b/>
                <w:bCs/>
                <w:color w:val="000000"/>
                <w:sz w:val="20"/>
                <w:szCs w:val="20"/>
                <w:lang w:val="es-PR"/>
              </w:rPr>
              <w:t>Total Annual Responses</w:t>
            </w:r>
          </w:p>
          <w:p w:rsidR="002E48FD" w:rsidRPr="002E48FD" w:rsidP="00B60903" w14:paraId="3A3AF01A"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lang w:val="es-PR"/>
              </w:rPr>
            </w:pPr>
            <w:r w:rsidRPr="002E48FD">
              <w:rPr>
                <w:rFonts w:cstheme="minorHAnsi"/>
                <w:b/>
                <w:bCs/>
                <w:color w:val="000000"/>
                <w:sz w:val="20"/>
                <w:szCs w:val="20"/>
                <w:lang w:val="es-PR"/>
              </w:rPr>
              <w:t>E=(</w:t>
            </w:r>
            <w:r w:rsidRPr="002E48FD">
              <w:rPr>
                <w:rFonts w:cstheme="minorHAnsi"/>
                <w:b/>
                <w:bCs/>
                <w:color w:val="000000"/>
                <w:sz w:val="20"/>
                <w:szCs w:val="20"/>
                <w:lang w:val="es-PR"/>
              </w:rPr>
              <w:t>BxC</w:t>
            </w:r>
            <w:r w:rsidRPr="002E48FD">
              <w:rPr>
                <w:rFonts w:cstheme="minorHAnsi"/>
                <w:b/>
                <w:bCs/>
                <w:color w:val="000000"/>
                <w:sz w:val="20"/>
                <w:szCs w:val="20"/>
                <w:lang w:val="es-PR"/>
              </w:rPr>
              <w:t>)+D</w:t>
            </w:r>
          </w:p>
        </w:tc>
      </w:tr>
      <w:tr w14:paraId="50DD714A" w14:textId="77777777" w:rsidTr="00EE7D9F">
        <w:tblPrEx>
          <w:tblW w:w="9180" w:type="dxa"/>
          <w:tblInd w:w="201" w:type="dxa"/>
          <w:tblLayout w:type="fixed"/>
          <w:tblCellMar>
            <w:left w:w="111" w:type="dxa"/>
            <w:right w:w="111" w:type="dxa"/>
          </w:tblCellMar>
          <w:tblLook w:val="0000"/>
        </w:tblPrEx>
        <w:trPr>
          <w:trHeight w:val="366"/>
        </w:trPr>
        <w:tc>
          <w:tcPr>
            <w:tcW w:w="2520" w:type="dxa"/>
            <w:vAlign w:val="center"/>
          </w:tcPr>
          <w:p w:rsidR="002E48FD" w:rsidRPr="002E48FD" w:rsidP="00B60903" w14:paraId="38E94A96"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sz w:val="20"/>
                <w:szCs w:val="20"/>
              </w:rPr>
            </w:pPr>
            <w:r w:rsidRPr="002E48FD">
              <w:rPr>
                <w:rFonts w:cstheme="minorHAnsi"/>
                <w:color w:val="000000"/>
                <w:sz w:val="20"/>
                <w:szCs w:val="20"/>
              </w:rPr>
              <w:t>Notification of compliance status</w:t>
            </w:r>
          </w:p>
        </w:tc>
        <w:tc>
          <w:tcPr>
            <w:tcW w:w="1350" w:type="dxa"/>
            <w:vAlign w:val="center"/>
          </w:tcPr>
          <w:p w:rsidR="002E48FD" w:rsidRPr="002E48FD" w:rsidP="00B60903" w14:paraId="68DF3D3A"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3,073</w:t>
            </w:r>
          </w:p>
        </w:tc>
        <w:tc>
          <w:tcPr>
            <w:tcW w:w="1170" w:type="dxa"/>
            <w:vAlign w:val="center"/>
          </w:tcPr>
          <w:p w:rsidR="002E48FD" w:rsidRPr="002E48FD" w:rsidP="00B60903" w14:paraId="573CB7A8"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1</w:t>
            </w:r>
          </w:p>
        </w:tc>
        <w:tc>
          <w:tcPr>
            <w:tcW w:w="2880" w:type="dxa"/>
            <w:vAlign w:val="center"/>
          </w:tcPr>
          <w:p w:rsidR="002E48FD" w:rsidRPr="002E48FD" w:rsidP="00B60903" w14:paraId="4F5E7CD9"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0</w:t>
            </w:r>
          </w:p>
        </w:tc>
        <w:tc>
          <w:tcPr>
            <w:tcW w:w="1260" w:type="dxa"/>
            <w:vAlign w:val="center"/>
          </w:tcPr>
          <w:p w:rsidR="002E48FD" w:rsidRPr="002E48FD" w:rsidP="00B60903" w14:paraId="76E88258"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3,073</w:t>
            </w:r>
          </w:p>
        </w:tc>
      </w:tr>
      <w:tr w14:paraId="6E11FB07" w14:textId="77777777" w:rsidTr="00EE7D9F">
        <w:tblPrEx>
          <w:tblW w:w="9180" w:type="dxa"/>
          <w:tblInd w:w="201" w:type="dxa"/>
          <w:tblLayout w:type="fixed"/>
          <w:tblCellMar>
            <w:left w:w="111" w:type="dxa"/>
            <w:right w:w="111" w:type="dxa"/>
          </w:tblCellMar>
          <w:tblLook w:val="0000"/>
        </w:tblPrEx>
        <w:trPr>
          <w:trHeight w:val="366"/>
        </w:trPr>
        <w:tc>
          <w:tcPr>
            <w:tcW w:w="2520" w:type="dxa"/>
            <w:vAlign w:val="center"/>
          </w:tcPr>
          <w:p w:rsidR="002E48FD" w:rsidRPr="002E48FD" w:rsidP="00B60903" w14:paraId="5A4FFF85"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sz w:val="20"/>
                <w:szCs w:val="20"/>
              </w:rPr>
            </w:pPr>
            <w:r w:rsidRPr="002E48FD">
              <w:rPr>
                <w:rFonts w:cstheme="minorHAnsi"/>
                <w:color w:val="000000"/>
                <w:sz w:val="20"/>
                <w:szCs w:val="20"/>
              </w:rPr>
              <w:t>Semiannual compliance reports</w:t>
            </w:r>
          </w:p>
        </w:tc>
        <w:tc>
          <w:tcPr>
            <w:tcW w:w="1350" w:type="dxa"/>
            <w:vAlign w:val="center"/>
          </w:tcPr>
          <w:p w:rsidR="002E48FD" w:rsidRPr="002E48FD" w:rsidP="00B60903" w14:paraId="4A0A70C6"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0</w:t>
            </w:r>
          </w:p>
        </w:tc>
        <w:tc>
          <w:tcPr>
            <w:tcW w:w="1170" w:type="dxa"/>
            <w:vAlign w:val="center"/>
          </w:tcPr>
          <w:p w:rsidR="002E48FD" w:rsidRPr="002E48FD" w:rsidP="00B60903" w14:paraId="0D954582"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2</w:t>
            </w:r>
          </w:p>
        </w:tc>
        <w:tc>
          <w:tcPr>
            <w:tcW w:w="2880" w:type="dxa"/>
            <w:vAlign w:val="center"/>
          </w:tcPr>
          <w:p w:rsidR="002E48FD" w:rsidRPr="002E48FD" w:rsidP="00B60903" w14:paraId="32983D15"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0</w:t>
            </w:r>
          </w:p>
        </w:tc>
        <w:tc>
          <w:tcPr>
            <w:tcW w:w="1260" w:type="dxa"/>
            <w:vAlign w:val="center"/>
          </w:tcPr>
          <w:p w:rsidR="002E48FD" w:rsidRPr="002E48FD" w:rsidP="00B60903" w14:paraId="156C1297"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0</w:t>
            </w:r>
          </w:p>
        </w:tc>
      </w:tr>
      <w:tr w14:paraId="590C2139" w14:textId="77777777" w:rsidTr="00EE7D9F">
        <w:tblPrEx>
          <w:tblW w:w="9180" w:type="dxa"/>
          <w:tblInd w:w="201" w:type="dxa"/>
          <w:tblLayout w:type="fixed"/>
          <w:tblCellMar>
            <w:left w:w="111" w:type="dxa"/>
            <w:right w:w="111" w:type="dxa"/>
          </w:tblCellMar>
          <w:tblLook w:val="0000"/>
        </w:tblPrEx>
        <w:trPr>
          <w:trHeight w:val="366"/>
        </w:trPr>
        <w:tc>
          <w:tcPr>
            <w:tcW w:w="2520" w:type="dxa"/>
            <w:vAlign w:val="center"/>
          </w:tcPr>
          <w:p w:rsidR="002E48FD" w:rsidRPr="002E48FD" w:rsidP="00B60903" w14:paraId="42D82305"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sz w:val="20"/>
                <w:szCs w:val="20"/>
              </w:rPr>
            </w:pPr>
            <w:r w:rsidRPr="002E48FD">
              <w:rPr>
                <w:rFonts w:cstheme="minorHAnsi"/>
                <w:color w:val="000000"/>
                <w:sz w:val="20"/>
                <w:szCs w:val="20"/>
              </w:rPr>
              <w:t>Notification of performance test</w:t>
            </w:r>
          </w:p>
        </w:tc>
        <w:tc>
          <w:tcPr>
            <w:tcW w:w="1350" w:type="dxa"/>
            <w:vAlign w:val="center"/>
          </w:tcPr>
          <w:p w:rsidR="002E48FD" w:rsidRPr="002E48FD" w:rsidP="00B60903" w14:paraId="78C44ACF"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85</w:t>
            </w:r>
          </w:p>
        </w:tc>
        <w:tc>
          <w:tcPr>
            <w:tcW w:w="1170" w:type="dxa"/>
            <w:vAlign w:val="center"/>
          </w:tcPr>
          <w:p w:rsidR="002E48FD" w:rsidRPr="002E48FD" w:rsidP="00B60903" w14:paraId="1D76D8CB"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0.2</w:t>
            </w:r>
          </w:p>
        </w:tc>
        <w:tc>
          <w:tcPr>
            <w:tcW w:w="2880" w:type="dxa"/>
            <w:vAlign w:val="center"/>
          </w:tcPr>
          <w:p w:rsidR="002E48FD" w:rsidRPr="002E48FD" w:rsidP="00B60903" w14:paraId="7367A54E"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0</w:t>
            </w:r>
          </w:p>
        </w:tc>
        <w:tc>
          <w:tcPr>
            <w:tcW w:w="1260" w:type="dxa"/>
            <w:vAlign w:val="center"/>
          </w:tcPr>
          <w:p w:rsidR="002E48FD" w:rsidRPr="002E48FD" w:rsidP="00B60903" w14:paraId="6A3D9F1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17</w:t>
            </w:r>
          </w:p>
        </w:tc>
      </w:tr>
      <w:tr w14:paraId="3DFC3993" w14:textId="77777777" w:rsidTr="00EE7D9F">
        <w:tblPrEx>
          <w:tblW w:w="9180" w:type="dxa"/>
          <w:tblInd w:w="201" w:type="dxa"/>
          <w:tblLayout w:type="fixed"/>
          <w:tblCellMar>
            <w:left w:w="111" w:type="dxa"/>
            <w:right w:w="111" w:type="dxa"/>
          </w:tblCellMar>
          <w:tblLook w:val="0000"/>
        </w:tblPrEx>
        <w:trPr>
          <w:trHeight w:val="366"/>
        </w:trPr>
        <w:tc>
          <w:tcPr>
            <w:tcW w:w="2520" w:type="dxa"/>
            <w:vAlign w:val="center"/>
          </w:tcPr>
          <w:p w:rsidR="002E48FD" w:rsidRPr="002E48FD" w:rsidP="00B60903" w14:paraId="41635D93"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sz w:val="20"/>
                <w:szCs w:val="20"/>
              </w:rPr>
            </w:pPr>
            <w:r w:rsidRPr="002E48FD">
              <w:rPr>
                <w:rFonts w:cstheme="minorHAnsi"/>
                <w:color w:val="000000"/>
                <w:sz w:val="20"/>
                <w:szCs w:val="20"/>
              </w:rPr>
              <w:t>Notification of performance evaluation</w:t>
            </w:r>
          </w:p>
        </w:tc>
        <w:tc>
          <w:tcPr>
            <w:tcW w:w="1350" w:type="dxa"/>
            <w:vAlign w:val="center"/>
          </w:tcPr>
          <w:p w:rsidR="002E48FD" w:rsidRPr="002E48FD" w:rsidP="00B60903" w14:paraId="1C09B06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27</w:t>
            </w:r>
          </w:p>
        </w:tc>
        <w:tc>
          <w:tcPr>
            <w:tcW w:w="1170" w:type="dxa"/>
            <w:vAlign w:val="center"/>
          </w:tcPr>
          <w:p w:rsidR="002E48FD" w:rsidRPr="002E48FD" w:rsidP="00B60903" w14:paraId="3AC09397"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1</w:t>
            </w:r>
          </w:p>
        </w:tc>
        <w:tc>
          <w:tcPr>
            <w:tcW w:w="2880" w:type="dxa"/>
            <w:vAlign w:val="center"/>
          </w:tcPr>
          <w:p w:rsidR="002E48FD" w:rsidRPr="002E48FD" w:rsidP="00B60903" w14:paraId="08EAE897"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0</w:t>
            </w:r>
          </w:p>
        </w:tc>
        <w:tc>
          <w:tcPr>
            <w:tcW w:w="1260" w:type="dxa"/>
            <w:vAlign w:val="center"/>
          </w:tcPr>
          <w:p w:rsidR="002E48FD" w:rsidRPr="002E48FD" w:rsidP="00B60903" w14:paraId="36E9AF7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27</w:t>
            </w:r>
          </w:p>
        </w:tc>
      </w:tr>
      <w:tr w14:paraId="7E757AC4" w14:textId="77777777" w:rsidTr="00EE7D9F">
        <w:tblPrEx>
          <w:tblW w:w="9180" w:type="dxa"/>
          <w:tblInd w:w="201" w:type="dxa"/>
          <w:tblLayout w:type="fixed"/>
          <w:tblCellMar>
            <w:left w:w="111" w:type="dxa"/>
            <w:right w:w="111" w:type="dxa"/>
          </w:tblCellMar>
          <w:tblLook w:val="0000"/>
        </w:tblPrEx>
        <w:trPr>
          <w:trHeight w:val="366"/>
        </w:trPr>
        <w:tc>
          <w:tcPr>
            <w:tcW w:w="2520" w:type="dxa"/>
            <w:vAlign w:val="center"/>
          </w:tcPr>
          <w:p w:rsidR="002E48FD" w:rsidRPr="002E48FD" w:rsidP="00B60903" w14:paraId="103986B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sz w:val="20"/>
                <w:szCs w:val="20"/>
              </w:rPr>
            </w:pPr>
            <w:r w:rsidRPr="002E48FD">
              <w:rPr>
                <w:rFonts w:cstheme="minorHAnsi"/>
                <w:color w:val="000000"/>
                <w:sz w:val="20"/>
                <w:szCs w:val="20"/>
              </w:rPr>
              <w:t>Performance test</w:t>
            </w:r>
          </w:p>
        </w:tc>
        <w:tc>
          <w:tcPr>
            <w:tcW w:w="1350" w:type="dxa"/>
            <w:vAlign w:val="center"/>
          </w:tcPr>
          <w:p w:rsidR="002E48FD" w:rsidRPr="002E48FD" w:rsidP="00B60903" w14:paraId="09F294F8"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85</w:t>
            </w:r>
          </w:p>
        </w:tc>
        <w:tc>
          <w:tcPr>
            <w:tcW w:w="1170" w:type="dxa"/>
            <w:vAlign w:val="center"/>
          </w:tcPr>
          <w:p w:rsidR="002E48FD" w:rsidRPr="002E48FD" w:rsidP="00B60903" w14:paraId="3A49AA30"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0.2</w:t>
            </w:r>
          </w:p>
        </w:tc>
        <w:tc>
          <w:tcPr>
            <w:tcW w:w="2880" w:type="dxa"/>
            <w:vAlign w:val="center"/>
          </w:tcPr>
          <w:p w:rsidR="002E48FD" w:rsidRPr="002E48FD" w:rsidP="00B60903" w14:paraId="3712C0D7"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0</w:t>
            </w:r>
          </w:p>
        </w:tc>
        <w:tc>
          <w:tcPr>
            <w:tcW w:w="1260" w:type="dxa"/>
            <w:vAlign w:val="center"/>
          </w:tcPr>
          <w:p w:rsidR="002E48FD" w:rsidRPr="002E48FD" w:rsidP="00B60903" w14:paraId="657CC3EE"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17</w:t>
            </w:r>
          </w:p>
        </w:tc>
      </w:tr>
      <w:tr w14:paraId="2911C294" w14:textId="77777777" w:rsidTr="00EE7D9F">
        <w:tblPrEx>
          <w:tblW w:w="9180" w:type="dxa"/>
          <w:tblInd w:w="201" w:type="dxa"/>
          <w:tblLayout w:type="fixed"/>
          <w:tblCellMar>
            <w:left w:w="111" w:type="dxa"/>
            <w:right w:w="111" w:type="dxa"/>
          </w:tblCellMar>
          <w:tblLook w:val="0000"/>
        </w:tblPrEx>
        <w:trPr>
          <w:trHeight w:val="366"/>
        </w:trPr>
        <w:tc>
          <w:tcPr>
            <w:tcW w:w="2520" w:type="dxa"/>
            <w:vAlign w:val="center"/>
          </w:tcPr>
          <w:p w:rsidR="002E48FD" w:rsidRPr="002E48FD" w:rsidP="00B60903" w14:paraId="7BF3B453"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color w:val="000000"/>
                <w:sz w:val="20"/>
                <w:szCs w:val="20"/>
              </w:rPr>
            </w:pPr>
            <w:r w:rsidRPr="002E48FD">
              <w:rPr>
                <w:rFonts w:cstheme="minorHAnsi"/>
                <w:color w:val="000000"/>
                <w:sz w:val="20"/>
                <w:szCs w:val="20"/>
              </w:rPr>
              <w:t>Performance evaluation</w:t>
            </w:r>
          </w:p>
        </w:tc>
        <w:tc>
          <w:tcPr>
            <w:tcW w:w="1350" w:type="dxa"/>
            <w:vAlign w:val="center"/>
          </w:tcPr>
          <w:p w:rsidR="002E48FD" w:rsidRPr="002E48FD" w:rsidP="00B60903" w14:paraId="4F59CF8F"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27</w:t>
            </w:r>
          </w:p>
        </w:tc>
        <w:tc>
          <w:tcPr>
            <w:tcW w:w="1170" w:type="dxa"/>
            <w:vAlign w:val="center"/>
          </w:tcPr>
          <w:p w:rsidR="002E48FD" w:rsidRPr="002E48FD" w:rsidP="00B60903" w14:paraId="437C8115"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1</w:t>
            </w:r>
          </w:p>
        </w:tc>
        <w:tc>
          <w:tcPr>
            <w:tcW w:w="2880" w:type="dxa"/>
            <w:vAlign w:val="center"/>
          </w:tcPr>
          <w:p w:rsidR="002E48FD" w:rsidRPr="002E48FD" w:rsidP="00B60903" w14:paraId="1A70DE32"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0</w:t>
            </w:r>
          </w:p>
        </w:tc>
        <w:tc>
          <w:tcPr>
            <w:tcW w:w="1260" w:type="dxa"/>
            <w:vAlign w:val="center"/>
          </w:tcPr>
          <w:p w:rsidR="002E48FD" w:rsidRPr="002E48FD" w:rsidP="00B60903" w14:paraId="7708D64A"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color w:val="000000"/>
                <w:sz w:val="20"/>
                <w:szCs w:val="20"/>
              </w:rPr>
            </w:pPr>
            <w:r w:rsidRPr="002E48FD">
              <w:rPr>
                <w:rFonts w:cstheme="minorHAnsi"/>
                <w:color w:val="000000"/>
                <w:sz w:val="20"/>
                <w:szCs w:val="20"/>
              </w:rPr>
              <w:t>27</w:t>
            </w:r>
          </w:p>
        </w:tc>
      </w:tr>
      <w:tr w14:paraId="271B513F" w14:textId="77777777" w:rsidTr="00EE7D9F">
        <w:tblPrEx>
          <w:tblW w:w="9180" w:type="dxa"/>
          <w:tblInd w:w="201" w:type="dxa"/>
          <w:tblLayout w:type="fixed"/>
          <w:tblCellMar>
            <w:left w:w="111" w:type="dxa"/>
            <w:right w:w="111" w:type="dxa"/>
          </w:tblCellMar>
          <w:tblLook w:val="0000"/>
        </w:tblPrEx>
        <w:trPr>
          <w:trHeight w:val="366"/>
        </w:trPr>
        <w:tc>
          <w:tcPr>
            <w:tcW w:w="2520" w:type="dxa"/>
            <w:vAlign w:val="center"/>
          </w:tcPr>
          <w:p w:rsidR="002E48FD" w:rsidRPr="002E48FD" w:rsidP="00B60903" w14:paraId="29627E9C" w14:textId="77777777">
            <w:pPr>
              <w:pBdr>
                <w:top w:val="single" w:sz="6" w:space="0" w:color="FFFFFF"/>
                <w:left w:val="single" w:sz="6" w:space="0" w:color="FFFFFF"/>
                <w:bottom w:val="single" w:sz="6" w:space="0" w:color="FFFFFF"/>
                <w:right w:val="single" w:sz="6" w:space="0" w:color="FFFFFF"/>
              </w:pBdr>
              <w:spacing w:after="0" w:line="240" w:lineRule="auto"/>
              <w:contextualSpacing/>
              <w:rPr>
                <w:rFonts w:cstheme="minorHAnsi"/>
                <w:b/>
                <w:bCs/>
                <w:color w:val="000000"/>
                <w:sz w:val="20"/>
                <w:szCs w:val="20"/>
              </w:rPr>
            </w:pPr>
          </w:p>
        </w:tc>
        <w:tc>
          <w:tcPr>
            <w:tcW w:w="1350" w:type="dxa"/>
            <w:vAlign w:val="center"/>
          </w:tcPr>
          <w:p w:rsidR="002E48FD" w:rsidRPr="002E48FD" w:rsidP="00B60903" w14:paraId="429FEE27"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p>
        </w:tc>
        <w:tc>
          <w:tcPr>
            <w:tcW w:w="1170" w:type="dxa"/>
            <w:vAlign w:val="center"/>
          </w:tcPr>
          <w:p w:rsidR="002E48FD" w:rsidRPr="002E48FD" w:rsidP="00B60903" w14:paraId="0C8032F3"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p>
        </w:tc>
        <w:tc>
          <w:tcPr>
            <w:tcW w:w="2880" w:type="dxa"/>
            <w:vAlign w:val="center"/>
          </w:tcPr>
          <w:p w:rsidR="002E48FD" w:rsidRPr="002E48FD" w:rsidP="00B60903" w14:paraId="2D2F5385"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color w:val="000000"/>
                <w:sz w:val="20"/>
                <w:szCs w:val="20"/>
              </w:rPr>
              <w:t>Total</w:t>
            </w:r>
          </w:p>
        </w:tc>
        <w:tc>
          <w:tcPr>
            <w:tcW w:w="1260" w:type="dxa"/>
            <w:vAlign w:val="center"/>
          </w:tcPr>
          <w:p w:rsidR="002E48FD" w:rsidRPr="002E48FD" w:rsidP="00B60903" w14:paraId="0BA3D47C" w14:textId="77777777">
            <w:pPr>
              <w:pBdr>
                <w:top w:val="single" w:sz="6" w:space="0" w:color="FFFFFF"/>
                <w:left w:val="single" w:sz="6" w:space="0" w:color="FFFFFF"/>
                <w:bottom w:val="single" w:sz="6" w:space="0" w:color="FFFFFF"/>
                <w:right w:val="single" w:sz="6" w:space="0" w:color="FFFFFF"/>
              </w:pBdr>
              <w:spacing w:after="0" w:line="240" w:lineRule="auto"/>
              <w:contextualSpacing/>
              <w:jc w:val="center"/>
              <w:rPr>
                <w:rFonts w:cstheme="minorHAnsi"/>
                <w:b/>
                <w:bCs/>
                <w:color w:val="000000"/>
                <w:sz w:val="20"/>
                <w:szCs w:val="20"/>
              </w:rPr>
            </w:pPr>
            <w:r w:rsidRPr="002E48FD">
              <w:rPr>
                <w:rFonts w:cstheme="minorHAnsi"/>
                <w:b/>
                <w:bCs/>
                <w:sz w:val="20"/>
                <w:szCs w:val="20"/>
              </w:rPr>
              <w:t>3,161</w:t>
            </w:r>
          </w:p>
        </w:tc>
      </w:tr>
    </w:tbl>
    <w:p w:rsidR="008B7CAC" w:rsidP="00F50AE5" w14:paraId="1FADE7C1" w14:textId="2E82A2DE">
      <w:pPr>
        <w:spacing w:before="60"/>
        <w:ind w:firstLine="720"/>
        <w:rPr>
          <w:rFonts w:cstheme="minorHAnsi"/>
        </w:rPr>
      </w:pPr>
      <w:r w:rsidRPr="00F50AE5">
        <w:rPr>
          <w:rFonts w:cstheme="minorHAnsi"/>
        </w:rPr>
        <w:t>The number of Total Annual Responses is 3,161.</w:t>
      </w:r>
    </w:p>
    <w:p w:rsidR="008B7CAC" w:rsidP="006502F7" w14:paraId="20D349BF" w14:textId="0EA21D6A">
      <w:pPr>
        <w:spacing w:line="22" w:lineRule="atLeast"/>
        <w:ind w:firstLine="720"/>
        <w:rPr>
          <w:rFonts w:cstheme="minorHAnsi"/>
        </w:rPr>
      </w:pPr>
      <w:r w:rsidRPr="0071508F">
        <w:rPr>
          <w:rFonts w:cstheme="minorHAnsi"/>
        </w:rPr>
        <w:t xml:space="preserve">The average annual burden to industry over the next three years from these recordkeeping and reporting requirements is estimated to be 83,882 hours (Total Labor Hours from Table 1 below). These hours are based on Agency studies and background documents from the development of the regulation and amendments, Agency knowledge and experience with the NESHAP program, the </w:t>
      </w:r>
      <w:r w:rsidRPr="0071508F" w:rsidR="008A4577">
        <w:rPr>
          <w:rFonts w:cstheme="minorHAnsi"/>
        </w:rPr>
        <w:t>previously approved</w:t>
      </w:r>
      <w:r w:rsidRPr="0071508F">
        <w:rPr>
          <w:rFonts w:cstheme="minorHAnsi"/>
        </w:rPr>
        <w:t xml:space="preserve"> ICR, and any comments received.</w:t>
      </w:r>
    </w:p>
    <w:p w:rsidR="00A8785F" w:rsidP="006502F7" w14:paraId="20774B10" w14:textId="2F8D36F7">
      <w:pPr>
        <w:spacing w:line="22" w:lineRule="atLeast"/>
        <w:ind w:firstLine="720"/>
        <w:rPr>
          <w:rFonts w:cstheme="minorHAnsi"/>
        </w:rPr>
      </w:pPr>
      <w:r w:rsidRPr="00A8785F">
        <w:rPr>
          <w:rFonts w:cstheme="minorHAnsi"/>
        </w:rPr>
        <w:t>This ICR uses the following labor rates:</w:t>
      </w:r>
    </w:p>
    <w:tbl>
      <w:tblPr>
        <w:tblW w:w="9380" w:type="dxa"/>
        <w:tblLook w:val="04A0"/>
      </w:tblPr>
      <w:tblGrid>
        <w:gridCol w:w="3145"/>
        <w:gridCol w:w="2340"/>
        <w:gridCol w:w="2070"/>
        <w:gridCol w:w="1825"/>
      </w:tblGrid>
      <w:tr w14:paraId="769D86A4" w14:textId="77777777" w:rsidTr="00230488">
        <w:tblPrEx>
          <w:tblW w:w="9380" w:type="dxa"/>
          <w:tblLook w:val="04A0"/>
        </w:tblPrEx>
        <w:trPr>
          <w:trHeight w:val="288"/>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85F" w:rsidRPr="00AA3B88" w:rsidP="00A722B6" w14:paraId="05B10A5C" w14:textId="77777777">
            <w:pPr>
              <w:keepNext/>
              <w:spacing w:after="0" w:line="240" w:lineRule="auto"/>
              <w:contextualSpacing/>
              <w:rPr>
                <w:rFonts w:cstheme="minorHAnsi"/>
                <w:b/>
                <w:bCs/>
              </w:rPr>
            </w:pPr>
            <w:r w:rsidRPr="00AA3B88">
              <w:rPr>
                <w:rFonts w:cstheme="minorHAnsi"/>
                <w:b/>
                <w:bCs/>
              </w:rPr>
              <w:t xml:space="preserve">Industry Worker Category </w:t>
            </w:r>
            <w:r w:rsidRPr="00AA3B88">
              <w:rPr>
                <w:rFonts w:cstheme="minorHAnsi"/>
                <w:b/>
                <w:bCs/>
                <w:vertAlign w:val="superscript"/>
              </w:rPr>
              <w:t>a</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A8785F" w:rsidRPr="00AA3B88" w:rsidP="00A722B6" w14:paraId="73E71F32" w14:textId="77777777">
            <w:pPr>
              <w:keepNext/>
              <w:spacing w:after="0" w:line="240" w:lineRule="auto"/>
              <w:contextualSpacing/>
              <w:jc w:val="center"/>
              <w:rPr>
                <w:rFonts w:cstheme="minorHAnsi"/>
                <w:b/>
                <w:bCs/>
              </w:rPr>
            </w:pPr>
            <w:r w:rsidRPr="00AA3B88">
              <w:rPr>
                <w:rFonts w:cstheme="minorHAnsi"/>
                <w:b/>
                <w:bCs/>
              </w:rPr>
              <w:t>Labor Rates, $/</w:t>
            </w:r>
            <w:r w:rsidRPr="00AA3B88">
              <w:rPr>
                <w:rFonts w:cstheme="minorHAnsi"/>
                <w:b/>
                <w:bCs/>
              </w:rPr>
              <w:t>hr</w:t>
            </w:r>
            <w:r w:rsidRPr="00AA3B88">
              <w:rPr>
                <w:rFonts w:cstheme="minorHAnsi"/>
                <w:b/>
                <w:bCs/>
              </w:rPr>
              <w:t xml:space="preserve"> </w:t>
            </w:r>
            <w:r w:rsidRPr="00AA3B88">
              <w:rPr>
                <w:rFonts w:cstheme="minorHAnsi"/>
                <w:b/>
                <w:bCs/>
                <w:vertAlign w:val="superscript"/>
              </w:rPr>
              <w:t>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A8785F" w:rsidRPr="00AA3B88" w:rsidP="00A722B6" w14:paraId="04A4AEB7" w14:textId="77777777">
            <w:pPr>
              <w:keepNext/>
              <w:spacing w:after="0" w:line="240" w:lineRule="auto"/>
              <w:contextualSpacing/>
              <w:jc w:val="center"/>
              <w:rPr>
                <w:rFonts w:cstheme="minorHAnsi"/>
                <w:b/>
                <w:bCs/>
              </w:rPr>
            </w:pPr>
            <w:r w:rsidRPr="00AA3B88">
              <w:rPr>
                <w:rFonts w:cstheme="minorHAnsi"/>
                <w:b/>
                <w:bCs/>
              </w:rPr>
              <w:t>110% Overhead</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A8785F" w:rsidRPr="00AA3B88" w:rsidP="00A722B6" w14:paraId="3CCF452C" w14:textId="77777777">
            <w:pPr>
              <w:keepNext/>
              <w:spacing w:after="0" w:line="240" w:lineRule="auto"/>
              <w:contextualSpacing/>
              <w:jc w:val="center"/>
              <w:rPr>
                <w:rFonts w:cstheme="minorHAnsi"/>
                <w:b/>
                <w:bCs/>
              </w:rPr>
            </w:pPr>
            <w:r w:rsidRPr="00AA3B88">
              <w:rPr>
                <w:rFonts w:cstheme="minorHAnsi"/>
                <w:b/>
                <w:bCs/>
              </w:rPr>
              <w:t>Total, $/</w:t>
            </w:r>
            <w:r w:rsidRPr="00AA3B88">
              <w:rPr>
                <w:rFonts w:cstheme="minorHAnsi"/>
                <w:b/>
                <w:bCs/>
              </w:rPr>
              <w:t>hr</w:t>
            </w:r>
          </w:p>
        </w:tc>
      </w:tr>
      <w:tr w14:paraId="4756AAC7" w14:textId="77777777" w:rsidTr="00230488">
        <w:tblPrEx>
          <w:tblW w:w="9380" w:type="dxa"/>
          <w:tblLook w:val="04A0"/>
        </w:tblPrEx>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A8785F" w:rsidRPr="00AA3B88" w:rsidP="00A722B6" w14:paraId="144343BB" w14:textId="77777777">
            <w:pPr>
              <w:keepNext/>
              <w:spacing w:after="0" w:line="240" w:lineRule="auto"/>
              <w:contextualSpacing/>
              <w:rPr>
                <w:rFonts w:cstheme="minorHAnsi"/>
                <w:color w:val="000000"/>
              </w:rPr>
            </w:pPr>
            <w:r w:rsidRPr="00AA3B88">
              <w:rPr>
                <w:rFonts w:cstheme="minorHAnsi"/>
                <w:color w:val="000000"/>
              </w:rPr>
              <w:t>Managerial (11-0000)</w:t>
            </w:r>
          </w:p>
        </w:tc>
        <w:tc>
          <w:tcPr>
            <w:tcW w:w="2340" w:type="dxa"/>
            <w:tcBorders>
              <w:top w:val="nil"/>
              <w:left w:val="nil"/>
              <w:bottom w:val="single" w:sz="4" w:space="0" w:color="auto"/>
              <w:right w:val="single" w:sz="4" w:space="0" w:color="auto"/>
            </w:tcBorders>
            <w:shd w:val="clear" w:color="auto" w:fill="auto"/>
            <w:noWrap/>
            <w:hideMark/>
          </w:tcPr>
          <w:p w:rsidR="00A8785F" w:rsidRPr="00AA3B88" w:rsidP="00A722B6" w14:paraId="738A240A" w14:textId="77777777">
            <w:pPr>
              <w:keepNext/>
              <w:spacing w:after="0" w:line="240" w:lineRule="auto"/>
              <w:contextualSpacing/>
              <w:jc w:val="center"/>
              <w:rPr>
                <w:rFonts w:cstheme="minorHAnsi"/>
              </w:rPr>
            </w:pPr>
            <w:r w:rsidRPr="00AA3B88">
              <w:rPr>
                <w:rFonts w:cstheme="minorHAnsi"/>
              </w:rPr>
              <w:t>$69.62</w:t>
            </w:r>
          </w:p>
        </w:tc>
        <w:tc>
          <w:tcPr>
            <w:tcW w:w="2070" w:type="dxa"/>
            <w:tcBorders>
              <w:top w:val="nil"/>
              <w:left w:val="nil"/>
              <w:bottom w:val="single" w:sz="4" w:space="0" w:color="auto"/>
              <w:right w:val="single" w:sz="4" w:space="0" w:color="auto"/>
            </w:tcBorders>
            <w:shd w:val="clear" w:color="auto" w:fill="auto"/>
            <w:noWrap/>
            <w:hideMark/>
          </w:tcPr>
          <w:p w:rsidR="00A8785F" w:rsidRPr="00AA3B88" w:rsidP="00A722B6" w14:paraId="15957BF0" w14:textId="77777777">
            <w:pPr>
              <w:keepNext/>
              <w:spacing w:after="0" w:line="240" w:lineRule="auto"/>
              <w:contextualSpacing/>
              <w:jc w:val="center"/>
              <w:rPr>
                <w:rFonts w:cstheme="minorHAnsi"/>
              </w:rPr>
            </w:pPr>
            <w:r w:rsidRPr="00AA3B88">
              <w:rPr>
                <w:rFonts w:cstheme="minorHAnsi"/>
              </w:rPr>
              <w:t>$76.58</w:t>
            </w:r>
          </w:p>
        </w:tc>
        <w:tc>
          <w:tcPr>
            <w:tcW w:w="1825" w:type="dxa"/>
            <w:tcBorders>
              <w:top w:val="nil"/>
              <w:left w:val="nil"/>
              <w:bottom w:val="single" w:sz="4" w:space="0" w:color="auto"/>
              <w:right w:val="single" w:sz="4" w:space="0" w:color="auto"/>
            </w:tcBorders>
            <w:shd w:val="clear" w:color="auto" w:fill="auto"/>
            <w:noWrap/>
            <w:hideMark/>
          </w:tcPr>
          <w:p w:rsidR="00A8785F" w:rsidRPr="00AA3B88" w:rsidP="00A722B6" w14:paraId="22C053AC" w14:textId="77777777">
            <w:pPr>
              <w:keepNext/>
              <w:spacing w:after="0" w:line="240" w:lineRule="auto"/>
              <w:contextualSpacing/>
              <w:jc w:val="center"/>
              <w:rPr>
                <w:rFonts w:cstheme="minorHAnsi"/>
              </w:rPr>
            </w:pPr>
            <w:r w:rsidRPr="00AA3B88">
              <w:rPr>
                <w:rFonts w:cstheme="minorHAnsi"/>
              </w:rPr>
              <w:t>$146.20</w:t>
            </w:r>
          </w:p>
        </w:tc>
      </w:tr>
      <w:tr w14:paraId="704BDD7D" w14:textId="77777777" w:rsidTr="00230488">
        <w:tblPrEx>
          <w:tblW w:w="9380" w:type="dxa"/>
          <w:tblLook w:val="04A0"/>
        </w:tblPrEx>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A8785F" w:rsidRPr="00AA3B88" w:rsidP="00A722B6" w14:paraId="62E25E18" w14:textId="77777777">
            <w:pPr>
              <w:keepNext/>
              <w:spacing w:after="0" w:line="240" w:lineRule="auto"/>
              <w:contextualSpacing/>
              <w:rPr>
                <w:rFonts w:cstheme="minorHAnsi"/>
                <w:color w:val="000000"/>
              </w:rPr>
            </w:pPr>
            <w:r w:rsidRPr="00AA3B88">
              <w:rPr>
                <w:rFonts w:cstheme="minorHAnsi"/>
                <w:color w:val="000000"/>
              </w:rPr>
              <w:t>Technical (17-2081)</w:t>
            </w:r>
          </w:p>
        </w:tc>
        <w:tc>
          <w:tcPr>
            <w:tcW w:w="2340" w:type="dxa"/>
            <w:tcBorders>
              <w:top w:val="nil"/>
              <w:left w:val="nil"/>
              <w:bottom w:val="single" w:sz="4" w:space="0" w:color="auto"/>
              <w:right w:val="single" w:sz="4" w:space="0" w:color="auto"/>
            </w:tcBorders>
            <w:shd w:val="clear" w:color="auto" w:fill="auto"/>
            <w:noWrap/>
            <w:hideMark/>
          </w:tcPr>
          <w:p w:rsidR="00A8785F" w:rsidRPr="00AA3B88" w:rsidP="00A722B6" w14:paraId="2140BBB4" w14:textId="77777777">
            <w:pPr>
              <w:keepNext/>
              <w:spacing w:after="0" w:line="240" w:lineRule="auto"/>
              <w:contextualSpacing/>
              <w:jc w:val="center"/>
              <w:rPr>
                <w:rFonts w:cstheme="minorHAnsi"/>
              </w:rPr>
            </w:pPr>
            <w:r w:rsidRPr="00AA3B88">
              <w:rPr>
                <w:rFonts w:cstheme="minorHAnsi"/>
              </w:rPr>
              <w:t>$36.56</w:t>
            </w:r>
          </w:p>
        </w:tc>
        <w:tc>
          <w:tcPr>
            <w:tcW w:w="2070" w:type="dxa"/>
            <w:tcBorders>
              <w:top w:val="nil"/>
              <w:left w:val="nil"/>
              <w:bottom w:val="single" w:sz="4" w:space="0" w:color="auto"/>
              <w:right w:val="single" w:sz="4" w:space="0" w:color="auto"/>
            </w:tcBorders>
            <w:shd w:val="clear" w:color="auto" w:fill="auto"/>
            <w:noWrap/>
            <w:hideMark/>
          </w:tcPr>
          <w:p w:rsidR="00A8785F" w:rsidRPr="00AA3B88" w:rsidP="00A722B6" w14:paraId="4B6D9AF8" w14:textId="77777777">
            <w:pPr>
              <w:keepNext/>
              <w:spacing w:after="0" w:line="240" w:lineRule="auto"/>
              <w:contextualSpacing/>
              <w:jc w:val="center"/>
              <w:rPr>
                <w:rFonts w:cstheme="minorHAnsi"/>
              </w:rPr>
            </w:pPr>
            <w:r w:rsidRPr="00AA3B88">
              <w:rPr>
                <w:rFonts w:cstheme="minorHAnsi"/>
              </w:rPr>
              <w:t>$40.22</w:t>
            </w:r>
          </w:p>
        </w:tc>
        <w:tc>
          <w:tcPr>
            <w:tcW w:w="1825" w:type="dxa"/>
            <w:tcBorders>
              <w:top w:val="nil"/>
              <w:left w:val="nil"/>
              <w:bottom w:val="single" w:sz="4" w:space="0" w:color="auto"/>
              <w:right w:val="single" w:sz="4" w:space="0" w:color="auto"/>
            </w:tcBorders>
            <w:shd w:val="clear" w:color="auto" w:fill="auto"/>
            <w:noWrap/>
            <w:hideMark/>
          </w:tcPr>
          <w:p w:rsidR="00A8785F" w:rsidRPr="00AA3B88" w:rsidP="00A722B6" w14:paraId="46DEE6DF" w14:textId="77777777">
            <w:pPr>
              <w:keepNext/>
              <w:spacing w:after="0" w:line="240" w:lineRule="auto"/>
              <w:contextualSpacing/>
              <w:jc w:val="center"/>
              <w:rPr>
                <w:rFonts w:cstheme="minorHAnsi"/>
              </w:rPr>
            </w:pPr>
            <w:r w:rsidRPr="00AA3B88">
              <w:rPr>
                <w:rFonts w:cstheme="minorHAnsi"/>
              </w:rPr>
              <w:t>$76.78</w:t>
            </w:r>
          </w:p>
        </w:tc>
      </w:tr>
      <w:tr w14:paraId="554B5D8A" w14:textId="77777777" w:rsidTr="00230488">
        <w:tblPrEx>
          <w:tblW w:w="9380" w:type="dxa"/>
          <w:tblLook w:val="04A0"/>
        </w:tblPrEx>
        <w:trPr>
          <w:trHeight w:val="288"/>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rsidR="00A8785F" w:rsidRPr="00AA3B88" w:rsidP="00A722B6" w14:paraId="297CF481" w14:textId="77777777">
            <w:pPr>
              <w:spacing w:after="0" w:line="240" w:lineRule="auto"/>
              <w:contextualSpacing/>
              <w:rPr>
                <w:rFonts w:cstheme="minorHAnsi"/>
                <w:color w:val="000000"/>
              </w:rPr>
            </w:pPr>
            <w:r w:rsidRPr="00AA3B88">
              <w:rPr>
                <w:rFonts w:cstheme="minorHAnsi"/>
                <w:color w:val="000000"/>
              </w:rPr>
              <w:t>Clerical (43-0000)</w:t>
            </w:r>
          </w:p>
        </w:tc>
        <w:tc>
          <w:tcPr>
            <w:tcW w:w="2340" w:type="dxa"/>
            <w:tcBorders>
              <w:top w:val="nil"/>
              <w:left w:val="nil"/>
              <w:bottom w:val="single" w:sz="4" w:space="0" w:color="auto"/>
              <w:right w:val="single" w:sz="4" w:space="0" w:color="auto"/>
            </w:tcBorders>
            <w:shd w:val="clear" w:color="auto" w:fill="auto"/>
            <w:noWrap/>
            <w:hideMark/>
          </w:tcPr>
          <w:p w:rsidR="00A8785F" w:rsidRPr="00AA3B88" w:rsidP="00A722B6" w14:paraId="39BCC883" w14:textId="77777777">
            <w:pPr>
              <w:spacing w:after="0" w:line="240" w:lineRule="auto"/>
              <w:contextualSpacing/>
              <w:jc w:val="center"/>
              <w:rPr>
                <w:rFonts w:cstheme="minorHAnsi"/>
              </w:rPr>
            </w:pPr>
            <w:r w:rsidRPr="00AA3B88">
              <w:rPr>
                <w:rFonts w:cstheme="minorHAnsi"/>
              </w:rPr>
              <w:t>$24.04</w:t>
            </w:r>
          </w:p>
        </w:tc>
        <w:tc>
          <w:tcPr>
            <w:tcW w:w="2070" w:type="dxa"/>
            <w:tcBorders>
              <w:top w:val="nil"/>
              <w:left w:val="nil"/>
              <w:bottom w:val="single" w:sz="4" w:space="0" w:color="auto"/>
              <w:right w:val="single" w:sz="4" w:space="0" w:color="auto"/>
            </w:tcBorders>
            <w:shd w:val="clear" w:color="auto" w:fill="auto"/>
            <w:noWrap/>
            <w:hideMark/>
          </w:tcPr>
          <w:p w:rsidR="00A8785F" w:rsidRPr="00AA3B88" w:rsidP="00A722B6" w14:paraId="1A6526A7" w14:textId="77777777">
            <w:pPr>
              <w:spacing w:after="0" w:line="240" w:lineRule="auto"/>
              <w:contextualSpacing/>
              <w:jc w:val="center"/>
              <w:rPr>
                <w:rFonts w:cstheme="minorHAnsi"/>
              </w:rPr>
            </w:pPr>
            <w:r w:rsidRPr="00AA3B88">
              <w:rPr>
                <w:rFonts w:cstheme="minorHAnsi"/>
              </w:rPr>
              <w:t>$26.44</w:t>
            </w:r>
          </w:p>
        </w:tc>
        <w:tc>
          <w:tcPr>
            <w:tcW w:w="1825" w:type="dxa"/>
            <w:tcBorders>
              <w:top w:val="nil"/>
              <w:left w:val="nil"/>
              <w:bottom w:val="single" w:sz="4" w:space="0" w:color="auto"/>
              <w:right w:val="single" w:sz="4" w:space="0" w:color="auto"/>
            </w:tcBorders>
            <w:shd w:val="clear" w:color="auto" w:fill="auto"/>
            <w:noWrap/>
            <w:hideMark/>
          </w:tcPr>
          <w:p w:rsidR="00A8785F" w:rsidRPr="00AA3B88" w:rsidP="00A722B6" w14:paraId="35889F13" w14:textId="77777777">
            <w:pPr>
              <w:spacing w:after="0" w:line="240" w:lineRule="auto"/>
              <w:contextualSpacing/>
              <w:jc w:val="center"/>
              <w:rPr>
                <w:rFonts w:cstheme="minorHAnsi"/>
              </w:rPr>
            </w:pPr>
            <w:r w:rsidRPr="00AA3B88">
              <w:rPr>
                <w:rFonts w:cstheme="minorHAnsi"/>
              </w:rPr>
              <w:t>$50.48</w:t>
            </w:r>
          </w:p>
        </w:tc>
      </w:tr>
    </w:tbl>
    <w:p w:rsidR="00A8785F" w:rsidRPr="000B10D0" w:rsidP="00A8785F" w14:paraId="6A25C7A5" w14:textId="77777777">
      <w:pPr>
        <w:pBdr>
          <w:top w:val="single" w:sz="6" w:space="1" w:color="FFFFFF"/>
          <w:left w:val="single" w:sz="6" w:space="0" w:color="FFFFFF"/>
          <w:bottom w:val="single" w:sz="6" w:space="0" w:color="FFFFFF"/>
          <w:right w:val="single" w:sz="6" w:space="0" w:color="FFFFFF"/>
        </w:pBdr>
        <w:rPr>
          <w:rFonts w:cstheme="minorHAnsi"/>
          <w:sz w:val="20"/>
          <w:szCs w:val="20"/>
        </w:rPr>
      </w:pPr>
      <w:r w:rsidRPr="000B10D0">
        <w:rPr>
          <w:rFonts w:cstheme="minorHAnsi"/>
          <w:sz w:val="20"/>
          <w:szCs w:val="20"/>
          <w:vertAlign w:val="superscript"/>
        </w:rPr>
        <w:t>a</w:t>
      </w:r>
      <w:r w:rsidRPr="000B10D0">
        <w:rPr>
          <w:rFonts w:cstheme="minorHAnsi"/>
          <w:sz w:val="20"/>
          <w:szCs w:val="20"/>
          <w:vertAlign w:val="superscript"/>
        </w:rPr>
        <w:t xml:space="preserve"> </w:t>
      </w:r>
      <w:r w:rsidRPr="000B10D0">
        <w:rPr>
          <w:rFonts w:cstheme="minorHAnsi"/>
          <w:sz w:val="20"/>
          <w:szCs w:val="20"/>
        </w:rPr>
        <w:t xml:space="preserve">Rates are mean hourly rates for May 2020 and are specific for petroleum and coal products manufacturing segment NAICS 324000 as provided at https://www.bls.gov/oes/current/naics4_324000.htm. Numbers in parentheses are the specific BLS occupation codes used to estimate the hourly rates.  </w:t>
      </w:r>
    </w:p>
    <w:p w:rsidR="00A8785F" w:rsidP="006502F7" w14:paraId="35975AEC" w14:textId="346C4538">
      <w:pPr>
        <w:spacing w:line="22" w:lineRule="atLeast"/>
        <w:ind w:firstLine="720"/>
        <w:rPr>
          <w:rFonts w:cstheme="minorHAnsi"/>
        </w:rPr>
      </w:pPr>
      <w:r w:rsidRPr="00DF0C4A">
        <w:t>Labor rates</w:t>
      </w:r>
      <w:r>
        <w:t xml:space="preserve"> and associated costs</w:t>
      </w:r>
      <w:r w:rsidRPr="00DF0C4A">
        <w:t xml:space="preserve"> are</w:t>
      </w:r>
      <w:r>
        <w:t xml:space="preserve"> based on </w:t>
      </w:r>
      <w:r w:rsidRPr="00DF0C4A">
        <w:t>the Bureau of Labor Statistics</w:t>
      </w:r>
      <w:r>
        <w:t xml:space="preserve"> (BLS) data. Technical, management, and clerical average hourly rates for private industry workers were taken from the</w:t>
      </w:r>
      <w:r w:rsidRPr="00DF0C4A">
        <w:t xml:space="preserve"> </w:t>
      </w:r>
      <w:r w:rsidRPr="005836BA">
        <w:t>May 2020 National Industry-Specific Occupational Employment and Wage Estimates: NAICS 324000 (Petroleum and Coal Products Manufacturing).</w:t>
      </w:r>
      <w:r>
        <w:t xml:space="preserve"> These BLS rates represent base salaries and do not include the cost of fringe benefits and other overhead costs. The rates have been increased by 110 percent to account for the benefit packages available to those employed by private industry</w:t>
      </w:r>
      <w:r>
        <w:rPr>
          <w:color w:val="000000"/>
        </w:rPr>
        <w:t>.</w:t>
      </w:r>
    </w:p>
    <w:p w:rsidR="00A8785F" w:rsidRPr="00A8785F" w:rsidP="006502F7" w14:paraId="73715A68" w14:textId="77777777">
      <w:pPr>
        <w:spacing w:line="22" w:lineRule="atLeast"/>
        <w:ind w:firstLine="720"/>
        <w:rPr>
          <w:rFonts w:cstheme="minorHAnsi"/>
        </w:rPr>
      </w:pPr>
      <w:r w:rsidRPr="00A8785F">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8A4577" w:rsidP="006502F7" w14:paraId="0D2EDFD1" w14:textId="2D637204">
      <w:pPr>
        <w:spacing w:line="22" w:lineRule="atLeast"/>
        <w:ind w:firstLine="720"/>
        <w:rPr>
          <w:rFonts w:cstheme="minorHAnsi"/>
        </w:rPr>
      </w:pPr>
      <w:r w:rsidRPr="00A8785F">
        <w:rPr>
          <w:rFonts w:cstheme="minorHAnsi"/>
        </w:rPr>
        <w:t>Furthermore, the annual public reporting and recordkeeping burden for this collection of information is estimated to average 26.5 hours per response.</w:t>
      </w:r>
    </w:p>
    <w:p w:rsidR="00A8785F" w:rsidRPr="00BB3410" w:rsidP="006502F7" w14:paraId="750A5AA7" w14:textId="0E2C59EE">
      <w:pPr>
        <w:spacing w:line="22" w:lineRule="atLeast"/>
        <w:ind w:firstLine="720"/>
        <w:rPr>
          <w:rFonts w:cstheme="minorHAnsi"/>
        </w:rPr>
      </w:pPr>
      <w:r w:rsidRPr="00A8785F">
        <w:rPr>
          <w:rFonts w:cstheme="minorHAnsi"/>
        </w:rPr>
        <w:t>The total annual labor costs are $6,501,788. Details regarding these estimates may be found below in Table 1: Annual Respondent Burden and Cost – NESHAP for Gasoline Distribution Area Sources (40 CFR Part 63, Subpart BBBBBB) (Proposed Amendments).</w:t>
      </w:r>
    </w:p>
    <w:p w:rsidR="00BB2B15" w:rsidRPr="00163C69" w:rsidP="00224E24" w14:paraId="5D1B71A2" w14:textId="2ADBBFA0">
      <w:pPr>
        <w:pStyle w:val="ListParagraph"/>
        <w:numPr>
          <w:ilvl w:val="0"/>
          <w:numId w:val="32"/>
        </w:numPr>
        <w:outlineLvl w:val="0"/>
        <w:rPr>
          <w:rFonts w:cstheme="minorHAnsi"/>
          <w:b/>
          <w:bCs/>
          <w:caps/>
        </w:rPr>
      </w:pPr>
      <w:bookmarkStart w:id="25"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5"/>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P="00761725" w14:paraId="678BA42F" w14:textId="4D2BC9CD">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D82723">
        <w:rPr>
          <w:rFonts w:cstheme="minorHAnsi"/>
          <w:color w:val="000000"/>
        </w:rPr>
        <w:t>The type of industry costs associated with the information collection activities in the subject standard are both labor costs, which are addressed elsewhere in this ICR, and the costs associated with monitoring. There are no capital/startup or operation and maintenance costs.</w:t>
      </w:r>
    </w:p>
    <w:p w:rsidR="00D82723" w:rsidP="00761725" w14:paraId="53CEC4B1" w14:textId="005B5C6A">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A077A2">
        <w:rPr>
          <w:rFonts w:cstheme="minorHAnsi"/>
          <w:color w:val="000000"/>
        </w:rPr>
        <w:t>The only type of industry costs associated with the information collection activity in the regulations are labor and monitoring costs. There are no capital/startup or operation and maintenance costs.</w:t>
      </w:r>
    </w:p>
    <w:p w:rsidR="00A077A2" w:rsidRPr="00BB3410" w:rsidP="00761725" w14:paraId="13177E2E" w14:textId="63C66D29">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A077A2">
        <w:rPr>
          <w:rFonts w:cstheme="minorHAnsi"/>
          <w:color w:val="000000"/>
        </w:rPr>
        <w:t>The total annual capital/startup and O&amp;M costs to the regulated entity are $0, as discussed in</w:t>
      </w:r>
      <w:r>
        <w:rPr>
          <w:rFonts w:cstheme="minorHAnsi"/>
          <w:color w:val="000000"/>
        </w:rPr>
        <w:t xml:space="preserve"> </w:t>
      </w:r>
      <w:r w:rsidRPr="00A077A2">
        <w:rPr>
          <w:rFonts w:cstheme="minorHAnsi"/>
          <w:color w:val="000000"/>
        </w:rPr>
        <w:t>Capital/Startup vs. Operation and Maintenance (O&amp;M) Costs.</w:t>
      </w:r>
    </w:p>
    <w:p w:rsidR="00023EFE" w:rsidRPr="00163C69" w:rsidP="00224E24" w14:paraId="7D2BF7DE" w14:textId="77777777">
      <w:pPr>
        <w:pStyle w:val="ListParagraph"/>
        <w:numPr>
          <w:ilvl w:val="0"/>
          <w:numId w:val="32"/>
        </w:numPr>
        <w:outlineLvl w:val="0"/>
        <w:rPr>
          <w:rFonts w:cstheme="minorHAnsi"/>
          <w:b/>
          <w:bCs/>
        </w:rPr>
      </w:pPr>
      <w:bookmarkStart w:id="26" w:name="_Toc156593387"/>
      <w:r w:rsidRPr="4BDBF0A0">
        <w:rPr>
          <w:b/>
          <w:bCs/>
        </w:rPr>
        <w:t xml:space="preserve">AGENCY </w:t>
      </w:r>
      <w:bookmarkStart w:id="27" w:name="_Toc156593388"/>
      <w:bookmarkEnd w:id="26"/>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F1E00" w:rsidP="00761725" w14:paraId="647FDC77" w14:textId="43D1D719">
      <w:pPr>
        <w:keepNext/>
        <w:keepLines/>
        <w:spacing w:line="22" w:lineRule="atLeast"/>
        <w:ind w:firstLine="720"/>
        <w:contextualSpacing/>
        <w:rPr>
          <w:rFonts w:cstheme="minorHAnsi"/>
        </w:rPr>
      </w:pPr>
      <w:r w:rsidRPr="00B40A42">
        <w:rPr>
          <w:rFonts w:cstheme="minorHAnsi"/>
        </w:rPr>
        <w:t>EPA conducts the following activities in connection with the acquisition, analysis, storage, and distribution of the required information:</w:t>
      </w:r>
    </w:p>
    <w:p w:rsidR="00773195" w:rsidRPr="00773195" w:rsidP="00761725" w14:paraId="0D855E97" w14:textId="77777777">
      <w:pPr>
        <w:pStyle w:val="ListParagraph"/>
        <w:keepNext/>
        <w:keepLines/>
        <w:numPr>
          <w:ilvl w:val="0"/>
          <w:numId w:val="30"/>
        </w:numPr>
        <w:spacing w:line="22" w:lineRule="atLeast"/>
        <w:rPr>
          <w:rFonts w:cstheme="minorHAnsi"/>
        </w:rPr>
      </w:pPr>
      <w:r w:rsidRPr="00773195">
        <w:rPr>
          <w:rFonts w:cstheme="minorHAnsi"/>
        </w:rPr>
        <w:t>Observe initial and ongoing performance tests and performance evaluations if necessary.</w:t>
      </w:r>
    </w:p>
    <w:p w:rsidR="00773195" w:rsidRPr="00773195" w:rsidP="00761725" w14:paraId="508A8259" w14:textId="77777777">
      <w:pPr>
        <w:pStyle w:val="ListParagraph"/>
        <w:keepNext/>
        <w:keepLines/>
        <w:numPr>
          <w:ilvl w:val="0"/>
          <w:numId w:val="30"/>
        </w:numPr>
        <w:spacing w:line="22" w:lineRule="atLeast"/>
        <w:rPr>
          <w:rFonts w:cstheme="minorHAnsi"/>
        </w:rPr>
      </w:pPr>
      <w:r w:rsidRPr="00773195">
        <w:rPr>
          <w:rFonts w:cstheme="minorHAnsi"/>
        </w:rPr>
        <w:t>Review notifications and reports, including performance test and performance evaluation reports, required to be submitted by industry.</w:t>
      </w:r>
    </w:p>
    <w:p w:rsidR="00773195" w:rsidRPr="00773195" w:rsidP="00761725" w14:paraId="6CB772B6" w14:textId="77777777">
      <w:pPr>
        <w:pStyle w:val="ListParagraph"/>
        <w:keepNext/>
        <w:keepLines/>
        <w:numPr>
          <w:ilvl w:val="0"/>
          <w:numId w:val="30"/>
        </w:numPr>
        <w:spacing w:line="22" w:lineRule="atLeast"/>
        <w:rPr>
          <w:rFonts w:cstheme="minorHAnsi"/>
        </w:rPr>
      </w:pPr>
      <w:r w:rsidRPr="00773195">
        <w:rPr>
          <w:rFonts w:cstheme="minorHAnsi"/>
        </w:rPr>
        <w:t>Audit facility records.</w:t>
      </w:r>
    </w:p>
    <w:p w:rsidR="00773195" w:rsidRPr="00773195" w:rsidP="00761725" w14:paraId="57B5980F" w14:textId="54B89CEA">
      <w:pPr>
        <w:pStyle w:val="ListParagraph"/>
        <w:keepNext/>
        <w:keepLines/>
        <w:numPr>
          <w:ilvl w:val="0"/>
          <w:numId w:val="30"/>
        </w:numPr>
        <w:spacing w:line="22" w:lineRule="atLeast"/>
        <w:rPr>
          <w:rFonts w:cstheme="minorHAnsi"/>
        </w:rPr>
      </w:pPr>
      <w:r w:rsidRPr="00773195">
        <w:rPr>
          <w:rFonts w:cstheme="minorHAnsi"/>
        </w:rPr>
        <w:t>Input, analyze, and maintain data in the Enforcement and Compliance History Online (ECHO) and Integrated Compliance Information System (ICIS).</w:t>
      </w:r>
    </w:p>
    <w:p w:rsidR="00B40A42" w:rsidRPr="00BB3410" w:rsidP="00761725" w14:paraId="2171C086" w14:textId="5EEBC60B">
      <w:pPr>
        <w:keepNext/>
        <w:keepLines/>
        <w:spacing w:line="22" w:lineRule="atLeast"/>
        <w:ind w:firstLine="720"/>
        <w:rPr>
          <w:rFonts w:cstheme="minorHAnsi"/>
        </w:rPr>
      </w:pPr>
      <w:r w:rsidRPr="00CD795C">
        <w:rPr>
          <w:rFonts w:cstheme="minorHAnsi"/>
        </w:rPr>
        <w:t>Following notification of startup, the reviewing authority could inspect the source to determine whether the pollution control devices are properly installed and operated. Performance test and performance evaluation reports are used by the Agency to discern a source’s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BB3410" w:rsidP="00761725" w14:paraId="5BA12778" w14:textId="64CC2AA2">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6E340A">
        <w:rPr>
          <w:rFonts w:cstheme="minorHAnsi"/>
          <w:color w:val="000000"/>
        </w:rPr>
        <w:t>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w:t>
      </w:r>
    </w:p>
    <w:p w:rsidR="006E340A" w:rsidP="00761725" w14:paraId="346A3BA8" w14:textId="72B3B267">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D21483">
        <w:rPr>
          <w:rFonts w:cstheme="minorHAnsi"/>
          <w:color w:val="000000"/>
        </w:rPr>
        <w:t>The average annual Agency cost during the three years of the ICR is estimated to           be $359,166. This cost is based on the average hourly labor rate as follows:</w:t>
      </w:r>
    </w:p>
    <w:tbl>
      <w:tblPr>
        <w:tblW w:w="5000" w:type="pct"/>
        <w:tblLook w:val="04A0"/>
      </w:tblPr>
      <w:tblGrid>
        <w:gridCol w:w="3932"/>
        <w:gridCol w:w="2229"/>
        <w:gridCol w:w="1892"/>
        <w:gridCol w:w="1523"/>
      </w:tblGrid>
      <w:tr w14:paraId="08DC3E23" w14:textId="77777777" w:rsidTr="00D21483">
        <w:tblPrEx>
          <w:tblW w:w="5000" w:type="pct"/>
          <w:tblLook w:val="04A0"/>
        </w:tblPrEx>
        <w:trPr>
          <w:trHeight w:val="288"/>
        </w:trPr>
        <w:tc>
          <w:tcPr>
            <w:tcW w:w="20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483" w:rsidRPr="0004223A" w:rsidP="00D21483" w14:paraId="4213F33F" w14:textId="77777777">
            <w:pPr>
              <w:keepNext/>
              <w:spacing w:after="0" w:line="240" w:lineRule="auto"/>
              <w:contextualSpacing/>
              <w:rPr>
                <w:b/>
                <w:bCs/>
                <w:color w:val="000000"/>
              </w:rPr>
            </w:pPr>
            <w:r>
              <w:rPr>
                <w:b/>
                <w:bCs/>
                <w:color w:val="000000"/>
              </w:rPr>
              <w:t>Agency Worker Categories</w:t>
            </w:r>
            <w:r w:rsidRPr="00882B37">
              <w:rPr>
                <w:b/>
                <w:bCs/>
                <w:color w:val="000000"/>
                <w:vertAlign w:val="superscript"/>
              </w:rPr>
              <w:t xml:space="preserve"> a</w:t>
            </w:r>
          </w:p>
        </w:tc>
        <w:tc>
          <w:tcPr>
            <w:tcW w:w="1164" w:type="pct"/>
            <w:tcBorders>
              <w:top w:val="single" w:sz="4" w:space="0" w:color="auto"/>
              <w:left w:val="nil"/>
              <w:bottom w:val="single" w:sz="4" w:space="0" w:color="auto"/>
              <w:right w:val="single" w:sz="4" w:space="0" w:color="auto"/>
            </w:tcBorders>
            <w:shd w:val="clear" w:color="auto" w:fill="auto"/>
            <w:noWrap/>
            <w:vAlign w:val="bottom"/>
            <w:hideMark/>
          </w:tcPr>
          <w:p w:rsidR="00D21483" w:rsidRPr="0004223A" w:rsidP="00D21483" w14:paraId="12678990" w14:textId="77777777">
            <w:pPr>
              <w:keepNext/>
              <w:spacing w:after="0" w:line="240" w:lineRule="auto"/>
              <w:contextualSpacing/>
              <w:jc w:val="center"/>
              <w:rPr>
                <w:b/>
                <w:bCs/>
                <w:color w:val="000000"/>
              </w:rPr>
            </w:pPr>
            <w:r w:rsidRPr="0004223A">
              <w:rPr>
                <w:b/>
                <w:bCs/>
                <w:color w:val="000000"/>
              </w:rPr>
              <w:t>L</w:t>
            </w:r>
            <w:r>
              <w:rPr>
                <w:b/>
                <w:bCs/>
                <w:color w:val="000000"/>
              </w:rPr>
              <w:t>abor R</w:t>
            </w:r>
            <w:r w:rsidRPr="0004223A">
              <w:rPr>
                <w:b/>
                <w:bCs/>
                <w:color w:val="000000"/>
              </w:rPr>
              <w:t>ates, $/</w:t>
            </w:r>
            <w:r w:rsidRPr="0004223A">
              <w:rPr>
                <w:b/>
                <w:bCs/>
                <w:color w:val="000000"/>
              </w:rPr>
              <w:t>hr</w:t>
            </w:r>
            <w:r>
              <w:rPr>
                <w:b/>
                <w:bCs/>
                <w:color w:val="000000"/>
              </w:rPr>
              <w:t xml:space="preserve"> </w:t>
            </w:r>
            <w:r w:rsidRPr="00882B37">
              <w:rPr>
                <w:b/>
                <w:bCs/>
                <w:color w:val="000000"/>
                <w:vertAlign w:val="superscript"/>
              </w:rPr>
              <w:t>a</w:t>
            </w:r>
          </w:p>
        </w:tc>
        <w:tc>
          <w:tcPr>
            <w:tcW w:w="988" w:type="pct"/>
            <w:tcBorders>
              <w:top w:val="single" w:sz="4" w:space="0" w:color="auto"/>
              <w:left w:val="nil"/>
              <w:bottom w:val="single" w:sz="4" w:space="0" w:color="auto"/>
              <w:right w:val="single" w:sz="4" w:space="0" w:color="auto"/>
            </w:tcBorders>
            <w:shd w:val="clear" w:color="auto" w:fill="auto"/>
            <w:noWrap/>
            <w:vAlign w:val="bottom"/>
            <w:hideMark/>
          </w:tcPr>
          <w:p w:rsidR="00D21483" w:rsidRPr="0004223A" w:rsidP="00D21483" w14:paraId="29150C57" w14:textId="77777777">
            <w:pPr>
              <w:keepNext/>
              <w:spacing w:after="0" w:line="240" w:lineRule="auto"/>
              <w:contextualSpacing/>
              <w:jc w:val="center"/>
              <w:rPr>
                <w:b/>
                <w:bCs/>
                <w:color w:val="000000"/>
              </w:rPr>
            </w:pPr>
            <w:r w:rsidRPr="0004223A">
              <w:rPr>
                <w:b/>
                <w:bCs/>
                <w:color w:val="000000"/>
              </w:rPr>
              <w:t>60% Overhead</w:t>
            </w:r>
          </w:p>
        </w:tc>
        <w:tc>
          <w:tcPr>
            <w:tcW w:w="795" w:type="pct"/>
            <w:tcBorders>
              <w:top w:val="single" w:sz="4" w:space="0" w:color="auto"/>
              <w:left w:val="nil"/>
              <w:bottom w:val="single" w:sz="4" w:space="0" w:color="auto"/>
              <w:right w:val="single" w:sz="4" w:space="0" w:color="auto"/>
            </w:tcBorders>
            <w:shd w:val="clear" w:color="auto" w:fill="auto"/>
            <w:noWrap/>
            <w:vAlign w:val="bottom"/>
            <w:hideMark/>
          </w:tcPr>
          <w:p w:rsidR="00D21483" w:rsidRPr="0004223A" w:rsidP="00D21483" w14:paraId="278733D5" w14:textId="77777777">
            <w:pPr>
              <w:keepNext/>
              <w:spacing w:after="0" w:line="240" w:lineRule="auto"/>
              <w:contextualSpacing/>
              <w:jc w:val="center"/>
              <w:rPr>
                <w:b/>
                <w:bCs/>
                <w:color w:val="000000"/>
              </w:rPr>
            </w:pPr>
            <w:r w:rsidRPr="0004223A">
              <w:rPr>
                <w:b/>
                <w:bCs/>
                <w:color w:val="000000"/>
              </w:rPr>
              <w:t>Total, $/</w:t>
            </w:r>
            <w:r w:rsidRPr="0004223A">
              <w:rPr>
                <w:b/>
                <w:bCs/>
                <w:color w:val="000000"/>
              </w:rPr>
              <w:t>hr</w:t>
            </w:r>
          </w:p>
        </w:tc>
      </w:tr>
      <w:tr w14:paraId="343E8270" w14:textId="77777777" w:rsidTr="00D21483">
        <w:tblPrEx>
          <w:tblW w:w="5000" w:type="pct"/>
          <w:tblLook w:val="04A0"/>
        </w:tblPrEx>
        <w:trPr>
          <w:trHeight w:val="288"/>
        </w:trPr>
        <w:tc>
          <w:tcPr>
            <w:tcW w:w="2053" w:type="pct"/>
            <w:tcBorders>
              <w:top w:val="nil"/>
              <w:left w:val="single" w:sz="4" w:space="0" w:color="auto"/>
              <w:bottom w:val="single" w:sz="4" w:space="0" w:color="auto"/>
              <w:right w:val="single" w:sz="4" w:space="0" w:color="auto"/>
            </w:tcBorders>
            <w:shd w:val="clear" w:color="auto" w:fill="auto"/>
            <w:noWrap/>
            <w:vAlign w:val="bottom"/>
            <w:hideMark/>
          </w:tcPr>
          <w:p w:rsidR="00D21483" w:rsidRPr="0004223A" w:rsidP="00D21483" w14:paraId="04486A55" w14:textId="77777777">
            <w:pPr>
              <w:keepNext/>
              <w:spacing w:after="0" w:line="240" w:lineRule="auto"/>
              <w:contextualSpacing/>
              <w:rPr>
                <w:color w:val="000000"/>
              </w:rPr>
            </w:pPr>
            <w:r w:rsidRPr="0004223A">
              <w:rPr>
                <w:color w:val="000000"/>
              </w:rPr>
              <w:t>Managerial (GS-13, step 5)</w:t>
            </w:r>
          </w:p>
        </w:tc>
        <w:tc>
          <w:tcPr>
            <w:tcW w:w="1164" w:type="pct"/>
            <w:tcBorders>
              <w:top w:val="nil"/>
              <w:left w:val="nil"/>
              <w:bottom w:val="single" w:sz="4" w:space="0" w:color="auto"/>
              <w:right w:val="single" w:sz="4" w:space="0" w:color="auto"/>
            </w:tcBorders>
            <w:shd w:val="clear" w:color="auto" w:fill="auto"/>
            <w:noWrap/>
            <w:vAlign w:val="bottom"/>
            <w:hideMark/>
          </w:tcPr>
          <w:p w:rsidR="00D21483" w:rsidRPr="005E75E5" w:rsidP="00D21483" w14:paraId="6923F965" w14:textId="77777777">
            <w:pPr>
              <w:keepNext/>
              <w:spacing w:after="0" w:line="240" w:lineRule="auto"/>
              <w:contextualSpacing/>
              <w:jc w:val="center"/>
              <w:rPr>
                <w:color w:val="000000"/>
              </w:rPr>
            </w:pPr>
            <w:r w:rsidRPr="005E75E5">
              <w:rPr>
                <w:color w:val="000000"/>
              </w:rPr>
              <w:t>$42.73</w:t>
            </w:r>
          </w:p>
        </w:tc>
        <w:tc>
          <w:tcPr>
            <w:tcW w:w="988" w:type="pct"/>
            <w:tcBorders>
              <w:top w:val="nil"/>
              <w:left w:val="nil"/>
              <w:bottom w:val="single" w:sz="4" w:space="0" w:color="auto"/>
              <w:right w:val="single" w:sz="4" w:space="0" w:color="auto"/>
            </w:tcBorders>
            <w:shd w:val="clear" w:color="auto" w:fill="auto"/>
            <w:noWrap/>
            <w:vAlign w:val="bottom"/>
            <w:hideMark/>
          </w:tcPr>
          <w:p w:rsidR="00D21483" w:rsidRPr="005E75E5" w:rsidP="00D21483" w14:paraId="24239293" w14:textId="77777777">
            <w:pPr>
              <w:keepNext/>
              <w:spacing w:after="0" w:line="240" w:lineRule="auto"/>
              <w:contextualSpacing/>
              <w:jc w:val="center"/>
            </w:pPr>
            <w:r w:rsidRPr="005E75E5">
              <w:t>$25.64</w:t>
            </w:r>
          </w:p>
        </w:tc>
        <w:tc>
          <w:tcPr>
            <w:tcW w:w="795" w:type="pct"/>
            <w:tcBorders>
              <w:top w:val="nil"/>
              <w:left w:val="nil"/>
              <w:bottom w:val="single" w:sz="4" w:space="0" w:color="auto"/>
              <w:right w:val="single" w:sz="4" w:space="0" w:color="auto"/>
            </w:tcBorders>
            <w:shd w:val="clear" w:color="auto" w:fill="auto"/>
            <w:noWrap/>
            <w:vAlign w:val="bottom"/>
            <w:hideMark/>
          </w:tcPr>
          <w:p w:rsidR="00D21483" w:rsidRPr="005E75E5" w:rsidP="00D21483" w14:paraId="03BAE70D" w14:textId="77777777">
            <w:pPr>
              <w:keepNext/>
              <w:spacing w:after="0" w:line="240" w:lineRule="auto"/>
              <w:contextualSpacing/>
              <w:jc w:val="center"/>
            </w:pPr>
            <w:r w:rsidRPr="005E75E5">
              <w:t>$68.37</w:t>
            </w:r>
          </w:p>
        </w:tc>
      </w:tr>
      <w:tr w14:paraId="1AE258A7" w14:textId="77777777" w:rsidTr="00D21483">
        <w:tblPrEx>
          <w:tblW w:w="5000" w:type="pct"/>
          <w:tblLook w:val="04A0"/>
        </w:tblPrEx>
        <w:trPr>
          <w:trHeight w:val="288"/>
        </w:trPr>
        <w:tc>
          <w:tcPr>
            <w:tcW w:w="2053" w:type="pct"/>
            <w:tcBorders>
              <w:top w:val="nil"/>
              <w:left w:val="single" w:sz="4" w:space="0" w:color="auto"/>
              <w:bottom w:val="single" w:sz="4" w:space="0" w:color="auto"/>
              <w:right w:val="single" w:sz="4" w:space="0" w:color="auto"/>
            </w:tcBorders>
            <w:shd w:val="clear" w:color="auto" w:fill="auto"/>
            <w:noWrap/>
            <w:vAlign w:val="bottom"/>
            <w:hideMark/>
          </w:tcPr>
          <w:p w:rsidR="00D21483" w:rsidRPr="0004223A" w:rsidP="00D21483" w14:paraId="5D1EDCAD" w14:textId="77777777">
            <w:pPr>
              <w:keepNext/>
              <w:spacing w:after="0" w:line="240" w:lineRule="auto"/>
              <w:contextualSpacing/>
              <w:rPr>
                <w:color w:val="000000"/>
              </w:rPr>
            </w:pPr>
            <w:r w:rsidRPr="0004223A">
              <w:rPr>
                <w:color w:val="000000"/>
              </w:rPr>
              <w:t xml:space="preserve">Technical (GS-12, step 1) </w:t>
            </w:r>
          </w:p>
        </w:tc>
        <w:tc>
          <w:tcPr>
            <w:tcW w:w="1164" w:type="pct"/>
            <w:tcBorders>
              <w:top w:val="nil"/>
              <w:left w:val="nil"/>
              <w:bottom w:val="single" w:sz="4" w:space="0" w:color="auto"/>
              <w:right w:val="single" w:sz="4" w:space="0" w:color="auto"/>
            </w:tcBorders>
            <w:shd w:val="clear" w:color="auto" w:fill="auto"/>
            <w:noWrap/>
            <w:vAlign w:val="bottom"/>
            <w:hideMark/>
          </w:tcPr>
          <w:p w:rsidR="00D21483" w:rsidRPr="005E75E5" w:rsidP="00D21483" w14:paraId="0404B876" w14:textId="77777777">
            <w:pPr>
              <w:keepNext/>
              <w:spacing w:after="0" w:line="240" w:lineRule="auto"/>
              <w:contextualSpacing/>
              <w:jc w:val="center"/>
              <w:rPr>
                <w:color w:val="000000"/>
              </w:rPr>
            </w:pPr>
            <w:r w:rsidRPr="005E75E5">
              <w:rPr>
                <w:color w:val="000000"/>
              </w:rPr>
              <w:t>$31.70</w:t>
            </w:r>
          </w:p>
        </w:tc>
        <w:tc>
          <w:tcPr>
            <w:tcW w:w="988" w:type="pct"/>
            <w:tcBorders>
              <w:top w:val="nil"/>
              <w:left w:val="nil"/>
              <w:bottom w:val="single" w:sz="4" w:space="0" w:color="auto"/>
              <w:right w:val="single" w:sz="4" w:space="0" w:color="auto"/>
            </w:tcBorders>
            <w:shd w:val="clear" w:color="auto" w:fill="auto"/>
            <w:noWrap/>
            <w:vAlign w:val="bottom"/>
            <w:hideMark/>
          </w:tcPr>
          <w:p w:rsidR="00D21483" w:rsidRPr="005E75E5" w:rsidP="00D21483" w14:paraId="442531A7" w14:textId="77777777">
            <w:pPr>
              <w:keepNext/>
              <w:spacing w:after="0" w:line="240" w:lineRule="auto"/>
              <w:contextualSpacing/>
              <w:jc w:val="center"/>
            </w:pPr>
            <w:r w:rsidRPr="005E75E5">
              <w:t>$19.02</w:t>
            </w:r>
          </w:p>
        </w:tc>
        <w:tc>
          <w:tcPr>
            <w:tcW w:w="795" w:type="pct"/>
            <w:tcBorders>
              <w:top w:val="nil"/>
              <w:left w:val="nil"/>
              <w:bottom w:val="single" w:sz="4" w:space="0" w:color="auto"/>
              <w:right w:val="single" w:sz="4" w:space="0" w:color="auto"/>
            </w:tcBorders>
            <w:shd w:val="clear" w:color="auto" w:fill="auto"/>
            <w:noWrap/>
            <w:vAlign w:val="bottom"/>
            <w:hideMark/>
          </w:tcPr>
          <w:p w:rsidR="00D21483" w:rsidRPr="005E75E5" w:rsidP="00D21483" w14:paraId="61EEA2A4" w14:textId="77777777">
            <w:pPr>
              <w:keepNext/>
              <w:spacing w:after="0" w:line="240" w:lineRule="auto"/>
              <w:contextualSpacing/>
              <w:jc w:val="center"/>
            </w:pPr>
            <w:r w:rsidRPr="005E75E5">
              <w:t>$50.72</w:t>
            </w:r>
          </w:p>
        </w:tc>
      </w:tr>
      <w:tr w14:paraId="1D2E0D62" w14:textId="77777777" w:rsidTr="00D21483">
        <w:tblPrEx>
          <w:tblW w:w="5000" w:type="pct"/>
          <w:tblLook w:val="04A0"/>
        </w:tblPrEx>
        <w:trPr>
          <w:trHeight w:val="288"/>
        </w:trPr>
        <w:tc>
          <w:tcPr>
            <w:tcW w:w="2053" w:type="pct"/>
            <w:tcBorders>
              <w:top w:val="nil"/>
              <w:left w:val="single" w:sz="4" w:space="0" w:color="auto"/>
              <w:bottom w:val="single" w:sz="4" w:space="0" w:color="auto"/>
              <w:right w:val="single" w:sz="4" w:space="0" w:color="auto"/>
            </w:tcBorders>
            <w:shd w:val="clear" w:color="auto" w:fill="auto"/>
            <w:noWrap/>
            <w:vAlign w:val="bottom"/>
            <w:hideMark/>
          </w:tcPr>
          <w:p w:rsidR="00D21483" w:rsidRPr="0004223A" w:rsidP="00D21483" w14:paraId="786FC7CB" w14:textId="77777777">
            <w:pPr>
              <w:keepNext/>
              <w:spacing w:after="0" w:line="240" w:lineRule="auto"/>
              <w:contextualSpacing/>
              <w:rPr>
                <w:color w:val="000000"/>
              </w:rPr>
            </w:pPr>
            <w:r w:rsidRPr="0004223A">
              <w:rPr>
                <w:color w:val="000000"/>
              </w:rPr>
              <w:t>Clerical (GS-6, step 3)</w:t>
            </w:r>
          </w:p>
        </w:tc>
        <w:tc>
          <w:tcPr>
            <w:tcW w:w="1164" w:type="pct"/>
            <w:tcBorders>
              <w:top w:val="nil"/>
              <w:left w:val="nil"/>
              <w:bottom w:val="single" w:sz="4" w:space="0" w:color="auto"/>
              <w:right w:val="single" w:sz="4" w:space="0" w:color="auto"/>
            </w:tcBorders>
            <w:shd w:val="clear" w:color="auto" w:fill="auto"/>
            <w:noWrap/>
            <w:vAlign w:val="bottom"/>
            <w:hideMark/>
          </w:tcPr>
          <w:p w:rsidR="00D21483" w:rsidRPr="005E75E5" w:rsidP="00D21483" w14:paraId="7350C1BC" w14:textId="77777777">
            <w:pPr>
              <w:keepNext/>
              <w:spacing w:after="0" w:line="240" w:lineRule="auto"/>
              <w:contextualSpacing/>
              <w:jc w:val="center"/>
              <w:rPr>
                <w:color w:val="000000"/>
              </w:rPr>
            </w:pPr>
            <w:r w:rsidRPr="005E75E5">
              <w:rPr>
                <w:color w:val="000000"/>
              </w:rPr>
              <w:t>$17.16</w:t>
            </w:r>
          </w:p>
        </w:tc>
        <w:tc>
          <w:tcPr>
            <w:tcW w:w="988" w:type="pct"/>
            <w:tcBorders>
              <w:top w:val="nil"/>
              <w:left w:val="nil"/>
              <w:bottom w:val="single" w:sz="4" w:space="0" w:color="auto"/>
              <w:right w:val="single" w:sz="4" w:space="0" w:color="auto"/>
            </w:tcBorders>
            <w:shd w:val="clear" w:color="auto" w:fill="auto"/>
            <w:noWrap/>
            <w:vAlign w:val="bottom"/>
            <w:hideMark/>
          </w:tcPr>
          <w:p w:rsidR="00D21483" w:rsidRPr="005E75E5" w:rsidP="00D21483" w14:paraId="7C254766" w14:textId="77777777">
            <w:pPr>
              <w:keepNext/>
              <w:spacing w:after="0" w:line="240" w:lineRule="auto"/>
              <w:contextualSpacing/>
              <w:jc w:val="center"/>
            </w:pPr>
            <w:r w:rsidRPr="005E75E5">
              <w:t>$10.30</w:t>
            </w:r>
          </w:p>
        </w:tc>
        <w:tc>
          <w:tcPr>
            <w:tcW w:w="795" w:type="pct"/>
            <w:tcBorders>
              <w:top w:val="nil"/>
              <w:left w:val="nil"/>
              <w:bottom w:val="single" w:sz="4" w:space="0" w:color="auto"/>
              <w:right w:val="single" w:sz="4" w:space="0" w:color="auto"/>
            </w:tcBorders>
            <w:shd w:val="clear" w:color="auto" w:fill="auto"/>
            <w:noWrap/>
            <w:vAlign w:val="bottom"/>
            <w:hideMark/>
          </w:tcPr>
          <w:p w:rsidR="00D21483" w:rsidRPr="005E75E5" w:rsidP="00D21483" w14:paraId="3D3108DE" w14:textId="77777777">
            <w:pPr>
              <w:keepNext/>
              <w:spacing w:after="0" w:line="240" w:lineRule="auto"/>
              <w:contextualSpacing/>
              <w:jc w:val="center"/>
            </w:pPr>
            <w:r w:rsidRPr="005E75E5">
              <w:t>$27.46</w:t>
            </w:r>
          </w:p>
        </w:tc>
      </w:tr>
    </w:tbl>
    <w:p w:rsidR="00D21483" w:rsidRPr="00D21483" w:rsidP="00D21483" w14:paraId="1887C5D1" w14:textId="175F20E3">
      <w:pPr>
        <w:pBdr>
          <w:top w:val="single" w:sz="6" w:space="0" w:color="FFFFFF"/>
          <w:left w:val="single" w:sz="6" w:space="0" w:color="FFFFFF"/>
          <w:bottom w:val="single" w:sz="6" w:space="0" w:color="FFFFFF"/>
          <w:right w:val="single" w:sz="6" w:space="0" w:color="FFFFFF"/>
        </w:pBdr>
        <w:rPr>
          <w:rFonts w:cstheme="minorHAnsi"/>
          <w:color w:val="000000"/>
          <w:sz w:val="20"/>
          <w:szCs w:val="20"/>
        </w:rPr>
      </w:pPr>
      <w:r w:rsidRPr="00D21483">
        <w:rPr>
          <w:rFonts w:cstheme="minorHAnsi"/>
          <w:color w:val="000000"/>
          <w:sz w:val="20"/>
          <w:szCs w:val="20"/>
        </w:rPr>
        <w:t xml:space="preserve">a https://www.opm.gov/policy-data-oversight/pay-leave/salaries-wages/salary- tables/pdf/2020/GS_h.pdf </w:t>
      </w:r>
    </w:p>
    <w:p w:rsidR="00D21483" w:rsidP="00761725" w14:paraId="4F76B9CF" w14:textId="7A09323B">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000000"/>
        </w:rPr>
      </w:pPr>
      <w:r w:rsidRPr="00D21483">
        <w:rPr>
          <w:rFonts w:cstheme="minorHAnsi"/>
          <w:color w:val="000000"/>
        </w:rPr>
        <w:t>These rates are from the Office of Personnel Management (OPM), 2020 General Schedule (incorporating the 2.6% general schedule increase; effective January 2020), which excludes locality rates of pay. The rates have been increased by 60 percent to account for the benefit packages available to government employees. Details upon which this estimate is based appear below in Table 2: Average Annual EPA Burden and Cost – NESHAP for Gasoline Distribution Area Sources (40 CFR Part 63, Subpart BBBBBB) (Proposed Amendments).</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4EF4EF45">
      <w:pPr>
        <w:spacing w:before="60"/>
        <w:rPr>
          <w:rFonts w:cstheme="minorHAnsi"/>
        </w:rPr>
      </w:pPr>
      <w:r w:rsidRPr="001E5890">
        <w:rPr>
          <w:rFonts w:cstheme="minorHAnsi"/>
        </w:rPr>
        <w:t>There are no anticipated non-labor costs for the Agency.</w:t>
      </w:r>
    </w:p>
    <w:p w:rsidR="00DE100D" w:rsidRPr="00DE100D" w:rsidP="00DE100D" w14:paraId="0137B624" w14:textId="2AE3CFF9">
      <w:pPr>
        <w:spacing w:before="120" w:after="0"/>
        <w:rPr>
          <w:rFonts w:eastAsiaTheme="majorEastAsia" w:cstheme="minorHAnsi"/>
          <w:b/>
          <w:bCs/>
        </w:rPr>
      </w:pPr>
      <w:r w:rsidRPr="00DE100D">
        <w:rPr>
          <w:rFonts w:eastAsiaTheme="majorEastAsia" w:cstheme="minorHAnsi"/>
          <w:b/>
          <w:bCs/>
        </w:rPr>
        <w:t>14d. Agency Total Costs</w:t>
      </w:r>
    </w:p>
    <w:p w:rsidR="00DE100D" w:rsidRPr="00151A14" w:rsidP="00A46733" w14:paraId="3BFEC121" w14:textId="4B503C59">
      <w:pPr>
        <w:spacing w:before="120" w:after="0"/>
        <w:ind w:firstLine="720"/>
        <w:rPr>
          <w:rFonts w:eastAsiaTheme="majorEastAsia" w:cstheme="minorHAnsi"/>
        </w:rPr>
      </w:pPr>
      <w:r w:rsidRPr="00151A14">
        <w:rPr>
          <w:rFonts w:eastAsiaTheme="majorEastAsia" w:cstheme="minorHAnsi"/>
        </w:rPr>
        <w:t>The average annual Agency burden and cost over next three years is estimated to be 7,261 labor hours at a cost of $359,166.</w:t>
      </w:r>
    </w:p>
    <w:p w:rsidR="004620CA" w:rsidRPr="00163C69" w:rsidP="00224E24" w14:paraId="3144CC9D" w14:textId="24A8F7D0">
      <w:pPr>
        <w:pStyle w:val="ListParagraph"/>
        <w:numPr>
          <w:ilvl w:val="0"/>
          <w:numId w:val="32"/>
        </w:numPr>
        <w:outlineLvl w:val="0"/>
        <w:rPr>
          <w:b/>
          <w:bCs/>
        </w:rPr>
      </w:pPr>
      <w:r w:rsidRPr="4BDBF0A0">
        <w:rPr>
          <w:b/>
          <w:bCs/>
        </w:rPr>
        <w:t xml:space="preserve">REASONS FOR </w:t>
      </w:r>
      <w:r w:rsidRPr="4BDBF0A0" w:rsidR="00AD46F7">
        <w:rPr>
          <w:b/>
          <w:bCs/>
        </w:rPr>
        <w:t>CHANGE IN BURDEN</w:t>
      </w:r>
      <w:bookmarkEnd w:id="27"/>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E00F7" w:rsidP="00EE00F7" w14:paraId="16382879" w14:textId="77777777">
      <w:pPr>
        <w:ind w:firstLine="720"/>
      </w:pPr>
      <w:r w:rsidRPr="000D04B9">
        <w:t xml:space="preserve">This ICR is prepared for </w:t>
      </w:r>
      <w:r>
        <w:t xml:space="preserve">proposed </w:t>
      </w:r>
      <w:r w:rsidRPr="000D04B9">
        <w:t xml:space="preserve">amendments to the </w:t>
      </w:r>
      <w:r>
        <w:t>NESHAP for Gasoline Distribution Area</w:t>
      </w:r>
      <w:r w:rsidRPr="00D44771">
        <w:rPr>
          <w:bCs/>
        </w:rPr>
        <w:t xml:space="preserve"> Sources (40 CFR Part 63, Subpart </w:t>
      </w:r>
      <w:r>
        <w:rPr>
          <w:bCs/>
        </w:rPr>
        <w:t>BBBBBB</w:t>
      </w:r>
      <w:r w:rsidRPr="00D44771">
        <w:t>)</w:t>
      </w:r>
      <w:r>
        <w:t xml:space="preserve">. </w:t>
      </w:r>
      <w:r w:rsidRPr="00333B87">
        <w:t xml:space="preserve">These proposed amendments: </w:t>
      </w:r>
    </w:p>
    <w:p w:rsidR="00EE00F7" w:rsidP="00EE00F7" w14:paraId="0375659B" w14:textId="77777777">
      <w:pPr>
        <w:pStyle w:val="ListParagraph"/>
        <w:widowControl w:val="0"/>
        <w:numPr>
          <w:ilvl w:val="0"/>
          <w:numId w:val="31"/>
        </w:numPr>
        <w:autoSpaceDE w:val="0"/>
        <w:autoSpaceDN w:val="0"/>
        <w:adjustRightInd w:val="0"/>
        <w:spacing w:after="0" w:line="240" w:lineRule="auto"/>
      </w:pPr>
      <w:r>
        <w:t xml:space="preserve">Adjust references to the Part 63 General Provisions (40 CFR, Part 63, Subpart A) </w:t>
      </w:r>
    </w:p>
    <w:p w:rsidR="00EE00F7" w:rsidP="00EE00F7" w14:paraId="49C78EE6" w14:textId="77777777">
      <w:pPr>
        <w:pStyle w:val="ListParagraph"/>
        <w:widowControl w:val="0"/>
        <w:numPr>
          <w:ilvl w:val="0"/>
          <w:numId w:val="31"/>
        </w:numPr>
        <w:autoSpaceDE w:val="0"/>
        <w:autoSpaceDN w:val="0"/>
        <w:adjustRightInd w:val="0"/>
        <w:spacing w:after="0" w:line="240" w:lineRule="auto"/>
      </w:pPr>
      <w:r>
        <w:t>Add electronic submittal of notifications, semiannual reports, and performance test and performance evaluation reports</w:t>
      </w:r>
    </w:p>
    <w:p w:rsidR="00EE00F7" w:rsidP="00EE00F7" w14:paraId="07C1F21D" w14:textId="77777777">
      <w:pPr>
        <w:pStyle w:val="ListParagraph"/>
        <w:widowControl w:val="0"/>
        <w:numPr>
          <w:ilvl w:val="0"/>
          <w:numId w:val="31"/>
        </w:numPr>
        <w:autoSpaceDE w:val="0"/>
        <w:autoSpaceDN w:val="0"/>
        <w:adjustRightInd w:val="0"/>
        <w:spacing w:line="22" w:lineRule="atLeast"/>
        <w:contextualSpacing w:val="0"/>
      </w:pPr>
      <w:r>
        <w:t>M</w:t>
      </w:r>
      <w:r w:rsidRPr="00333B87">
        <w:t>ake technical and editorial changes</w:t>
      </w:r>
      <w:r>
        <w:t xml:space="preserve"> including the following: lowering the emission limit for loading at large bulk gasoline terminals,</w:t>
      </w:r>
      <w:r w:rsidRPr="69FC11A7">
        <w:rPr>
          <w:color w:val="000000" w:themeColor="text1"/>
        </w:rPr>
        <w:t xml:space="preserve"> revising testing and monitoring requirements for gasoline loading vapor processing systems,</w:t>
      </w:r>
      <w:r>
        <w:t xml:space="preserve"> requiring vapor balancing at bulk gasoline plants, increasing vapor tightness standards for cargo tanks, requiring fitting controls for external floating roof tanks, including lower explosive limit (LEL) monitoring for internal floating roof tanks, performing annual instrument monitoring for equipment leaks, and updating definitions.</w:t>
      </w:r>
    </w:p>
    <w:p w:rsidR="00EE00F7" w:rsidP="00761725" w14:paraId="4B98F28A" w14:textId="77777777">
      <w:pPr>
        <w:spacing w:line="22" w:lineRule="atLeast"/>
        <w:ind w:firstLine="720"/>
      </w:pPr>
      <w:r>
        <w:t>Where applicable, a</w:t>
      </w:r>
      <w:r w:rsidRPr="000D04B9">
        <w:t xml:space="preserve">djustments for these </w:t>
      </w:r>
      <w:r>
        <w:t xml:space="preserve">proposed </w:t>
      </w:r>
      <w:r w:rsidRPr="000D04B9">
        <w:t xml:space="preserve">amendments are reflected </w:t>
      </w:r>
      <w:r>
        <w:t>in Tables 1 and 2 of this ICR.</w:t>
      </w:r>
    </w:p>
    <w:p w:rsidR="00ED57A4" w:rsidRPr="00BB3410" w:rsidP="00761725" w14:paraId="18F76AB6" w14:textId="44B428EC">
      <w:pPr>
        <w:pBdr>
          <w:top w:val="single" w:sz="6" w:space="0" w:color="FFFFFF"/>
          <w:left w:val="single" w:sz="6" w:space="0" w:color="FFFFFF"/>
          <w:bottom w:val="single" w:sz="6" w:space="0" w:color="FFFFFF"/>
          <w:right w:val="single" w:sz="6" w:space="0" w:color="FFFFFF"/>
        </w:pBdr>
        <w:spacing w:line="22" w:lineRule="atLeast"/>
        <w:ind w:firstLine="720"/>
        <w:rPr>
          <w:rFonts w:cstheme="minorHAnsi"/>
          <w:color w:val="FF0000"/>
        </w:rPr>
      </w:pPr>
      <w:r>
        <w:t>This ICR reflects only the additional burden associated with the proposed rule revisions. Additional burden was added to review the amendments, review new electronic reporting forms, adjust recordkeeping processes to ensure data needed to complete the reporting forms are collected in the proper format, and to monitor equipment according to the proposed amendments. Burden estimates were also revised to account for additions and changes to the semiannual reporting requirements.</w:t>
      </w:r>
    </w:p>
    <w:p w:rsidR="005D140B" w:rsidRPr="00163C69" w:rsidP="00224E24" w14:paraId="3604F417" w14:textId="5D0F3160">
      <w:pPr>
        <w:pStyle w:val="ListParagraph"/>
        <w:numPr>
          <w:ilvl w:val="0"/>
          <w:numId w:val="32"/>
        </w:numPr>
        <w:outlineLvl w:val="0"/>
        <w:rPr>
          <w:b/>
          <w:bCs/>
        </w:rPr>
      </w:pPr>
      <w:bookmarkStart w:id="28" w:name="_Toc156593389"/>
      <w:r w:rsidRPr="4BDBF0A0">
        <w:rPr>
          <w:b/>
          <w:bCs/>
        </w:rPr>
        <w:t xml:space="preserve">PUBLICATION OF </w:t>
      </w:r>
      <w:bookmarkStart w:id="29" w:name="_Toc156593390"/>
      <w:bookmarkEnd w:id="28"/>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A55DF" w:rsidP="00761725" w14:paraId="5BF3B037" w14:textId="77777777">
      <w:pPr>
        <w:pBdr>
          <w:top w:val="single" w:sz="6" w:space="0" w:color="FFFFFF"/>
          <w:left w:val="single" w:sz="6" w:space="0" w:color="FFFFFF"/>
          <w:bottom w:val="single" w:sz="6" w:space="0" w:color="FFFFFF"/>
          <w:right w:val="single" w:sz="6" w:space="0" w:color="FFFFFF"/>
        </w:pBdr>
        <w:spacing w:line="22" w:lineRule="atLeast"/>
        <w:ind w:firstLine="720"/>
      </w:pPr>
      <w: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rsidR="0073767D" w:rsidRPr="0073767D" w:rsidP="00761725" w14:paraId="5CBE5491" w14:textId="01565481">
      <w:pPr>
        <w:pBdr>
          <w:top w:val="single" w:sz="6" w:space="0" w:color="FFFFFF"/>
          <w:left w:val="single" w:sz="6" w:space="0" w:color="FFFFFF"/>
          <w:bottom w:val="single" w:sz="6" w:space="0" w:color="FFFFFF"/>
          <w:right w:val="single" w:sz="6" w:space="0" w:color="FFFFFF"/>
        </w:pBdr>
        <w:spacing w:line="22" w:lineRule="atLeast"/>
        <w:ind w:firstLine="720"/>
      </w:pPr>
      <w:r>
        <w:t xml:space="preserve"> The records required by this regulation must be retained by the owner/operator for five years unless otherwise specified.</w:t>
      </w:r>
    </w:p>
    <w:p w:rsidR="00627768" w:rsidRPr="00163C69" w:rsidP="00224E24" w14:paraId="54E9D2D0" w14:textId="67124984">
      <w:pPr>
        <w:pStyle w:val="ListParagraph"/>
        <w:numPr>
          <w:ilvl w:val="0"/>
          <w:numId w:val="32"/>
        </w:numPr>
        <w:outlineLvl w:val="0"/>
        <w:rPr>
          <w:b/>
          <w:bCs/>
        </w:rPr>
      </w:pPr>
      <w:r w:rsidRPr="4BDBF0A0">
        <w:rPr>
          <w:b/>
          <w:bCs/>
        </w:rPr>
        <w:t xml:space="preserve">DISPLAY </w:t>
      </w:r>
      <w:r w:rsidRPr="4BDBF0A0" w:rsidR="00644EBE">
        <w:rPr>
          <w:b/>
          <w:bCs/>
        </w:rPr>
        <w:t xml:space="preserve">OF </w:t>
      </w:r>
      <w:r w:rsidRPr="4BDBF0A0" w:rsidR="000D5863">
        <w:rPr>
          <w:b/>
          <w:bCs/>
        </w:rPr>
        <w:t>EXPIRATION DATE</w:t>
      </w:r>
      <w:bookmarkEnd w:id="29"/>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55536E" w14:paraId="38543EA2" w14:textId="3E35AA7A">
      <w:pPr>
        <w:pBdr>
          <w:top w:val="single" w:sz="6" w:space="0" w:color="FFFFFF"/>
          <w:left w:val="single" w:sz="6" w:space="0" w:color="FFFFFF"/>
          <w:bottom w:val="single" w:sz="6" w:space="0" w:color="FFFFFF"/>
          <w:right w:val="single" w:sz="6" w:space="0" w:color="FFFFFF"/>
        </w:pBdr>
        <w:ind w:firstLine="720"/>
      </w:pPr>
      <w:r w:rsidRPr="00740DF9">
        <w:t>The Agency plans to display the expiration date for OMB approval of the information collection on all instruments.</w:t>
      </w:r>
    </w:p>
    <w:p w:rsidR="00691828" w:rsidRPr="00163C69" w:rsidP="00224E24" w14:paraId="7CCB26DD" w14:textId="4CB12282">
      <w:pPr>
        <w:pStyle w:val="ListParagraph"/>
        <w:numPr>
          <w:ilvl w:val="0"/>
          <w:numId w:val="32"/>
        </w:numPr>
        <w:outlineLvl w:val="0"/>
        <w:rPr>
          <w:rFonts w:cstheme="minorHAnsi"/>
          <w:b/>
          <w:bCs/>
        </w:rPr>
      </w:pPr>
      <w:bookmarkStart w:id="30" w:name="_Toc156593391"/>
      <w:r w:rsidRPr="00163C69">
        <w:rPr>
          <w:rFonts w:cstheme="minorHAnsi"/>
          <w:b/>
          <w:bCs/>
        </w:rPr>
        <w:t>CERTIFICATION STATEMENT</w:t>
      </w:r>
      <w:bookmarkEnd w:id="30"/>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RPr="0073767D" w:rsidP="006559FD" w14:paraId="2765D073" w14:textId="0646C1B9">
      <w:pPr>
        <w:pBdr>
          <w:top w:val="single" w:sz="6" w:space="0" w:color="FFFFFF"/>
          <w:left w:val="single" w:sz="6" w:space="0" w:color="FFFFFF"/>
          <w:bottom w:val="single" w:sz="6" w:space="0" w:color="FFFFFF"/>
          <w:right w:val="single" w:sz="6" w:space="0" w:color="FFFFFF"/>
        </w:pBdr>
        <w:ind w:firstLine="720"/>
      </w:pPr>
      <w:r w:rsidRPr="00F11525">
        <w:t>This information collection complies with all provisions of the Certification for Paperwork Reduction Act Submissions.</w:t>
      </w:r>
    </w:p>
    <w:p w:rsidR="008721BB" w:rsidRPr="00224E24" w:rsidP="00224E24" w14:paraId="3A0A4AF3" w14:textId="77777777">
      <w:pPr>
        <w:outlineLvl w:val="0"/>
        <w:rPr>
          <w:b/>
          <w:bCs/>
        </w:rPr>
      </w:pPr>
      <w:r w:rsidRPr="00224E24">
        <w:rPr>
          <w:b/>
          <w:bCs/>
        </w:rPr>
        <w:t>BURDEN STATEMENT</w:t>
      </w:r>
    </w:p>
    <w:p w:rsidR="00F36CF0" w:rsidRPr="00F36CF0" w:rsidP="00761725" w14:paraId="1D1900A2" w14:textId="77777777">
      <w:pPr>
        <w:spacing w:line="22" w:lineRule="atLeast"/>
        <w:ind w:firstLine="720"/>
        <w:rPr>
          <w:rStyle w:val="normaltextrun"/>
          <w:rFonts w:cstheme="minorHAnsi"/>
          <w:color w:val="000000"/>
          <w:shd w:val="clear" w:color="auto" w:fill="FFFFFF"/>
        </w:rPr>
      </w:pPr>
      <w:r w:rsidRPr="00F36CF0">
        <w:rPr>
          <w:rStyle w:val="normaltextrun"/>
          <w:rFonts w:cstheme="minorHAnsi"/>
          <w:color w:val="000000"/>
          <w:shd w:val="clear" w:color="auto" w:fill="FFFFFF"/>
        </w:rPr>
        <w:t>The annual public reporting and recordkeeping burden for this collection of information is estimated to average 26.5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F36CF0" w:rsidRPr="00F36CF0" w:rsidP="00761725" w14:paraId="4433A3F2" w14:textId="77777777">
      <w:pPr>
        <w:spacing w:line="22" w:lineRule="atLeast"/>
        <w:ind w:firstLine="720"/>
        <w:rPr>
          <w:rStyle w:val="normaltextrun"/>
          <w:rFonts w:cstheme="minorHAnsi"/>
          <w:color w:val="000000"/>
          <w:shd w:val="clear" w:color="auto" w:fill="FFFFFF"/>
        </w:rPr>
      </w:pPr>
      <w:r w:rsidRPr="00F36CF0">
        <w:rPr>
          <w:rStyle w:val="normaltextrun"/>
          <w:rFonts w:cstheme="minorHAnsi"/>
          <w:color w:val="000000"/>
          <w:shd w:val="clear" w:color="auto" w:fill="FFFFFF"/>
        </w:rPr>
        <w:t>An agency may neither conduct nor sponsor, and a person is not required to respond to, a collection of information unless it displays a valid OMB Control Number. The OMB Control Numbers for EPA regulations are listed at 40 CFR Part 9 and 48 CFR Chapter 15.</w:t>
      </w:r>
    </w:p>
    <w:p w:rsidR="00BB3410" w:rsidRPr="008721BB" w:rsidP="00761725" w14:paraId="0F10E677" w14:textId="0C62A21F">
      <w:pPr>
        <w:spacing w:line="22" w:lineRule="atLeast"/>
        <w:ind w:firstLine="720"/>
        <w:rPr>
          <w:rFonts w:cstheme="minorHAnsi"/>
          <w:color w:val="000000"/>
          <w:shd w:val="clear" w:color="auto" w:fill="FFFFFF"/>
        </w:rPr>
        <w:sectPr>
          <w:footerReference w:type="default" r:id="rId9"/>
          <w:pgSz w:w="12240" w:h="15840"/>
          <w:pgMar w:top="1440" w:right="1440" w:bottom="1440" w:left="1440" w:header="720" w:footer="720" w:gutter="0"/>
          <w:cols w:space="720"/>
          <w:docGrid w:linePitch="360"/>
        </w:sectPr>
      </w:pPr>
      <w:r w:rsidRPr="00F36CF0">
        <w:rPr>
          <w:rStyle w:val="normaltextrun"/>
          <w:rFonts w:cstheme="minorHAnsi"/>
          <w:color w:val="000000"/>
          <w:shd w:val="clear" w:color="auto" w:fill="FFFFF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EPA-HQ-OAR-2020-0371. An electronic version of the public docket is available at http://www.regulations.gov/,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Out of an abundance of caution for members of the public and our staff, the EPA Docket Center and Reading Room are closed to the public, with limited exceptions, to reduce the risk of transmitting COVID-19. Our Docket Center staff will continue to provide remote customer service via email, phone, and webform. We encourage the public to submit comments via https://www.regulations.gov/ or email, as there may be a delay in processing mail and faxes. For further information on EPA Docket Center services and the </w:t>
      </w:r>
      <w:r w:rsidRPr="00F36CF0">
        <w:rPr>
          <w:rStyle w:val="normaltextrun"/>
          <w:rFonts w:cstheme="minorHAnsi"/>
          <w:color w:val="000000"/>
          <w:shd w:val="clear" w:color="auto" w:fill="FFFFFF"/>
        </w:rPr>
        <w:t>current status</w:t>
      </w:r>
      <w:r w:rsidRPr="00F36CF0">
        <w:rPr>
          <w:rStyle w:val="normaltextrun"/>
          <w:rFonts w:cstheme="minorHAnsi"/>
          <w:color w:val="000000"/>
          <w:shd w:val="clear" w:color="auto" w:fill="FFFFFF"/>
        </w:rPr>
        <w:t>, please visit us online at https://www.epa.gov/dockets.The telephone number for the Reading Room is (202) 566-1744, and the telephone number for the docket center is (202) 566-1752. Also, you can send comments to the Office of Information and Regulatory Affairs, Office of Management and Budget, Attention: Desk Officer for EPA, 725 17th Street, NW, Washington, DC 20503. Please include the EPA Docket ID Number EPA-HQ-OAR-2020-0371 and OMB Control Number 2060-0620 in any correspondence.</w:t>
      </w:r>
      <w:r w:rsidRPr="008721BB">
        <w:rPr>
          <w:rStyle w:val="normaltextrun"/>
          <w:rFonts w:cstheme="minorHAnsi"/>
          <w:color w:val="000000"/>
          <w:shd w:val="clear" w:color="auto" w:fill="FFFFFF"/>
        </w:rPr>
        <w:br w:type="page"/>
      </w:r>
    </w:p>
    <w:p w:rsidR="00224E24" w:rsidRPr="003E4E1E" w:rsidP="00224E24" w14:paraId="14C0439C" w14:textId="4BCBAF0C">
      <w:pPr>
        <w:outlineLvl w:val="0"/>
        <w:rPr>
          <w:b/>
          <w:bCs/>
        </w:rPr>
      </w:pPr>
      <w:r w:rsidRPr="003E4E1E">
        <w:rPr>
          <w:b/>
          <w:bCs/>
        </w:rPr>
        <w:t>Table 1: Annual Respondent Burden and Cost –</w:t>
      </w:r>
      <w:r>
        <w:rPr>
          <w:b/>
          <w:bCs/>
        </w:rPr>
        <w:t xml:space="preserve"> NESHAP for Gasoline Distribution Area</w:t>
      </w:r>
      <w:r w:rsidRPr="003E4E1E">
        <w:rPr>
          <w:b/>
          <w:bCs/>
        </w:rPr>
        <w:t xml:space="preserve"> Sources (40 CFR Part 63, Subpart </w:t>
      </w:r>
      <w:r>
        <w:rPr>
          <w:b/>
          <w:bCs/>
        </w:rPr>
        <w:t>BBBBBB</w:t>
      </w:r>
      <w:r w:rsidRPr="003E4E1E">
        <w:rPr>
          <w:b/>
          <w:bCs/>
        </w:rPr>
        <w:t>)</w:t>
      </w:r>
      <w:r>
        <w:rPr>
          <w:b/>
          <w:bCs/>
        </w:rPr>
        <w:t xml:space="preserve"> (Proposed Amendments)</w:t>
      </w:r>
    </w:p>
    <w:tbl>
      <w:tblPr>
        <w:tblStyle w:val="TableGrid1"/>
        <w:tblW w:w="12937" w:type="dxa"/>
        <w:tblInd w:w="108" w:type="dxa"/>
        <w:tblLayout w:type="fixed"/>
        <w:tblLook w:val="04A0"/>
      </w:tblPr>
      <w:tblGrid>
        <w:gridCol w:w="3577"/>
        <w:gridCol w:w="1170"/>
        <w:gridCol w:w="1260"/>
        <w:gridCol w:w="1013"/>
        <w:gridCol w:w="1327"/>
        <w:gridCol w:w="1170"/>
        <w:gridCol w:w="1260"/>
        <w:gridCol w:w="990"/>
        <w:gridCol w:w="16"/>
        <w:gridCol w:w="1154"/>
      </w:tblGrid>
      <w:tr w14:paraId="738D9565" w14:textId="77777777" w:rsidTr="00224E24">
        <w:tblPrEx>
          <w:tblW w:w="12937" w:type="dxa"/>
          <w:tblInd w:w="108" w:type="dxa"/>
          <w:tblLayout w:type="fixed"/>
          <w:tblLook w:val="04A0"/>
        </w:tblPrEx>
        <w:trPr>
          <w:trHeight w:val="1223"/>
          <w:tblHeader/>
        </w:trPr>
        <w:tc>
          <w:tcPr>
            <w:tcW w:w="3577" w:type="dxa"/>
            <w:vAlign w:val="center"/>
            <w:hideMark/>
          </w:tcPr>
          <w:p w:rsidR="00224E24" w:rsidRPr="00224E24" w:rsidP="00224E24" w14:paraId="56C285C6" w14:textId="77777777">
            <w:pPr>
              <w:widowControl w:val="0"/>
              <w:autoSpaceDE w:val="0"/>
              <w:autoSpaceDN w:val="0"/>
              <w:adjustRightInd w:val="0"/>
              <w:jc w:val="center"/>
              <w:outlineLvl w:val="0"/>
              <w:rPr>
                <w:rFonts w:asciiTheme="minorHAnsi" w:hAnsiTheme="minorHAnsi" w:cstheme="minorHAnsi"/>
                <w:b/>
                <w:bCs/>
              </w:rPr>
            </w:pPr>
          </w:p>
          <w:p w:rsidR="00224E24" w:rsidRPr="00224E24" w:rsidP="00224E24" w14:paraId="7F92DD49" w14:textId="77777777">
            <w:pPr>
              <w:widowControl w:val="0"/>
              <w:autoSpaceDE w:val="0"/>
              <w:autoSpaceDN w:val="0"/>
              <w:adjustRightInd w:val="0"/>
              <w:jc w:val="center"/>
              <w:outlineLvl w:val="0"/>
              <w:rPr>
                <w:rFonts w:asciiTheme="minorHAnsi" w:hAnsiTheme="minorHAnsi" w:cstheme="minorHAnsi"/>
                <w:b/>
                <w:bCs/>
              </w:rPr>
            </w:pPr>
          </w:p>
          <w:p w:rsidR="00224E24" w:rsidRPr="00224E24" w:rsidP="00224E24" w14:paraId="40403574" w14:textId="77777777">
            <w:pPr>
              <w:widowControl w:val="0"/>
              <w:autoSpaceDE w:val="0"/>
              <w:autoSpaceDN w:val="0"/>
              <w:adjustRightInd w:val="0"/>
              <w:jc w:val="center"/>
              <w:outlineLvl w:val="0"/>
              <w:rPr>
                <w:rFonts w:asciiTheme="minorHAnsi" w:hAnsiTheme="minorHAnsi" w:cstheme="minorHAnsi"/>
                <w:b/>
                <w:bCs/>
              </w:rPr>
            </w:pPr>
          </w:p>
          <w:p w:rsidR="00224E24" w:rsidRPr="00224E24" w:rsidP="00224E24" w14:paraId="7A4F6766"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Burden item</w:t>
            </w:r>
          </w:p>
        </w:tc>
        <w:tc>
          <w:tcPr>
            <w:tcW w:w="1170" w:type="dxa"/>
            <w:vAlign w:val="center"/>
            <w:hideMark/>
          </w:tcPr>
          <w:p w:rsidR="00224E24" w:rsidRPr="00224E24" w:rsidP="00224E24" w14:paraId="533EA01A"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(A) Person hours per occurrence</w:t>
            </w:r>
          </w:p>
        </w:tc>
        <w:tc>
          <w:tcPr>
            <w:tcW w:w="1260" w:type="dxa"/>
            <w:vAlign w:val="center"/>
            <w:hideMark/>
          </w:tcPr>
          <w:p w:rsidR="00224E24" w:rsidRPr="00224E24" w:rsidP="00224E24" w14:paraId="2490DC97"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 xml:space="preserve">(B) </w:t>
            </w:r>
          </w:p>
          <w:p w:rsidR="00224E24" w:rsidRPr="00224E24" w:rsidP="00224E24" w14:paraId="646B49D8"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No. of occurrences per respondent per year</w:t>
            </w:r>
          </w:p>
        </w:tc>
        <w:tc>
          <w:tcPr>
            <w:tcW w:w="1013" w:type="dxa"/>
            <w:vAlign w:val="center"/>
            <w:hideMark/>
          </w:tcPr>
          <w:p w:rsidR="00224E24" w:rsidRPr="00224E24" w:rsidP="00224E24" w14:paraId="02FCDE21"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 xml:space="preserve">(C) </w:t>
            </w:r>
          </w:p>
          <w:p w:rsidR="00224E24" w:rsidRPr="00224E24" w:rsidP="00224E24" w14:paraId="39E258BA"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Person hours per respondent per year (C=</w:t>
            </w:r>
            <w:r w:rsidRPr="00224E24">
              <w:rPr>
                <w:rFonts w:asciiTheme="minorHAnsi" w:hAnsiTheme="minorHAnsi" w:cstheme="minorHAnsi"/>
                <w:b/>
                <w:bCs/>
              </w:rPr>
              <w:t>AxB</w:t>
            </w:r>
            <w:r w:rsidRPr="00224E24">
              <w:rPr>
                <w:rFonts w:asciiTheme="minorHAnsi" w:hAnsiTheme="minorHAnsi" w:cstheme="minorHAnsi"/>
                <w:b/>
                <w:bCs/>
              </w:rPr>
              <w:t>)</w:t>
            </w:r>
          </w:p>
        </w:tc>
        <w:tc>
          <w:tcPr>
            <w:tcW w:w="1327" w:type="dxa"/>
            <w:vAlign w:val="center"/>
            <w:hideMark/>
          </w:tcPr>
          <w:p w:rsidR="00224E24" w:rsidRPr="00224E24" w:rsidP="00224E24" w14:paraId="3B72AF04"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 xml:space="preserve">(D) Respondents per year </w:t>
            </w:r>
            <w:r w:rsidRPr="00224E24">
              <w:rPr>
                <w:rFonts w:asciiTheme="minorHAnsi" w:hAnsiTheme="minorHAnsi" w:cstheme="minorHAnsi"/>
                <w:b/>
                <w:bCs/>
                <w:vertAlign w:val="superscript"/>
              </w:rPr>
              <w:t>a</w:t>
            </w:r>
          </w:p>
        </w:tc>
        <w:tc>
          <w:tcPr>
            <w:tcW w:w="1170" w:type="dxa"/>
            <w:vAlign w:val="center"/>
            <w:hideMark/>
          </w:tcPr>
          <w:p w:rsidR="00224E24" w:rsidRPr="00224E24" w:rsidP="00224E24" w14:paraId="39B0F5F5"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 xml:space="preserve">(E) </w:t>
            </w:r>
          </w:p>
          <w:p w:rsidR="00224E24" w:rsidRPr="00224E24" w:rsidP="00224E24" w14:paraId="54D8991C"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Technical person- hours per year (E=</w:t>
            </w:r>
            <w:r w:rsidRPr="00224E24">
              <w:rPr>
                <w:rFonts w:asciiTheme="minorHAnsi" w:hAnsiTheme="minorHAnsi" w:cstheme="minorHAnsi"/>
                <w:b/>
                <w:bCs/>
              </w:rPr>
              <w:t>CxD</w:t>
            </w:r>
            <w:r w:rsidRPr="00224E24">
              <w:rPr>
                <w:rFonts w:asciiTheme="minorHAnsi" w:hAnsiTheme="minorHAnsi" w:cstheme="minorHAnsi"/>
                <w:b/>
                <w:bCs/>
              </w:rPr>
              <w:t>)</w:t>
            </w:r>
          </w:p>
        </w:tc>
        <w:tc>
          <w:tcPr>
            <w:tcW w:w="1260" w:type="dxa"/>
            <w:vAlign w:val="center"/>
            <w:hideMark/>
          </w:tcPr>
          <w:p w:rsidR="00224E24" w:rsidRPr="00224E24" w:rsidP="00224E24" w14:paraId="1476B099"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 xml:space="preserve">(F) </w:t>
            </w:r>
          </w:p>
          <w:p w:rsidR="00224E24" w:rsidRPr="00224E24" w:rsidP="00224E24" w14:paraId="2861A6DD"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Management person hours per year (Ex0.05)</w:t>
            </w:r>
          </w:p>
        </w:tc>
        <w:tc>
          <w:tcPr>
            <w:tcW w:w="990" w:type="dxa"/>
            <w:vAlign w:val="center"/>
            <w:hideMark/>
          </w:tcPr>
          <w:p w:rsidR="00224E24" w:rsidRPr="00224E24" w:rsidP="00224E24" w14:paraId="454B387D"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(G) Clerical person hours per year (Ex0.1)</w:t>
            </w:r>
          </w:p>
        </w:tc>
        <w:tc>
          <w:tcPr>
            <w:tcW w:w="1170" w:type="dxa"/>
            <w:gridSpan w:val="2"/>
            <w:vAlign w:val="center"/>
            <w:hideMark/>
          </w:tcPr>
          <w:p w:rsidR="00224E24" w:rsidRPr="00224E24" w:rsidP="00224E24" w14:paraId="71C2E2D5"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 xml:space="preserve">(H) </w:t>
            </w:r>
          </w:p>
          <w:p w:rsidR="00224E24" w:rsidRPr="00224E24" w:rsidP="00224E24" w14:paraId="5C84F3E6"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 xml:space="preserve">Total Cost per year </w:t>
            </w:r>
            <w:r w:rsidRPr="00224E24">
              <w:rPr>
                <w:rFonts w:asciiTheme="minorHAnsi" w:hAnsiTheme="minorHAnsi" w:cstheme="minorHAnsi"/>
                <w:b/>
                <w:bCs/>
                <w:vertAlign w:val="superscript"/>
              </w:rPr>
              <w:t>b</w:t>
            </w:r>
          </w:p>
        </w:tc>
      </w:tr>
      <w:tr w14:paraId="4597628B" w14:textId="77777777" w:rsidTr="00224E24">
        <w:tblPrEx>
          <w:tblW w:w="12937" w:type="dxa"/>
          <w:tblInd w:w="108" w:type="dxa"/>
          <w:tblLayout w:type="fixed"/>
          <w:tblLook w:val="04A0"/>
        </w:tblPrEx>
        <w:trPr>
          <w:trHeight w:val="300"/>
        </w:trPr>
        <w:tc>
          <w:tcPr>
            <w:tcW w:w="3577" w:type="dxa"/>
            <w:noWrap/>
            <w:hideMark/>
          </w:tcPr>
          <w:p w:rsidR="00224E24" w:rsidRPr="00224E24" w:rsidP="00224E24" w14:paraId="19A9318A"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1.  Applications</w:t>
            </w:r>
          </w:p>
        </w:tc>
        <w:tc>
          <w:tcPr>
            <w:tcW w:w="1170" w:type="dxa"/>
            <w:noWrap/>
            <w:hideMark/>
          </w:tcPr>
          <w:p w:rsidR="00224E24" w:rsidRPr="00224E24" w:rsidP="00224E24" w14:paraId="0ADE39B4" w14:textId="77777777">
            <w:pPr>
              <w:widowControl w:val="0"/>
              <w:autoSpaceDE w:val="0"/>
              <w:autoSpaceDN w:val="0"/>
              <w:adjustRightInd w:val="0"/>
              <w:jc w:val="center"/>
              <w:outlineLvl w:val="0"/>
              <w:rPr>
                <w:rFonts w:asciiTheme="minorHAnsi" w:hAnsiTheme="minorHAnsi" w:cstheme="minorHAnsi"/>
                <w:bCs/>
              </w:rPr>
            </w:pPr>
            <w:r w:rsidRPr="00224E24">
              <w:rPr>
                <w:rFonts w:asciiTheme="minorHAnsi" w:hAnsiTheme="minorHAnsi" w:cstheme="minorHAnsi"/>
                <w:bCs/>
              </w:rPr>
              <w:t>N/A</w:t>
            </w:r>
          </w:p>
        </w:tc>
        <w:tc>
          <w:tcPr>
            <w:tcW w:w="1260" w:type="dxa"/>
            <w:noWrap/>
            <w:hideMark/>
          </w:tcPr>
          <w:p w:rsidR="00224E24" w:rsidRPr="00224E24" w:rsidP="00224E24" w14:paraId="0A585535"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w:t>
            </w:r>
          </w:p>
        </w:tc>
        <w:tc>
          <w:tcPr>
            <w:tcW w:w="1013" w:type="dxa"/>
            <w:noWrap/>
            <w:hideMark/>
          </w:tcPr>
          <w:p w:rsidR="00224E24" w:rsidRPr="00224E24" w:rsidP="00224E24" w14:paraId="79C9892C"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w:t>
            </w:r>
          </w:p>
        </w:tc>
        <w:tc>
          <w:tcPr>
            <w:tcW w:w="1327" w:type="dxa"/>
            <w:noWrap/>
            <w:hideMark/>
          </w:tcPr>
          <w:p w:rsidR="00224E24" w:rsidRPr="00224E24" w:rsidP="00224E24" w14:paraId="43A062A8"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w:t>
            </w:r>
          </w:p>
        </w:tc>
        <w:tc>
          <w:tcPr>
            <w:tcW w:w="1170" w:type="dxa"/>
            <w:noWrap/>
            <w:hideMark/>
          </w:tcPr>
          <w:p w:rsidR="00224E24" w:rsidRPr="00224E24" w:rsidP="00224E24" w14:paraId="7AF5A2AA"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w:t>
            </w:r>
          </w:p>
        </w:tc>
        <w:tc>
          <w:tcPr>
            <w:tcW w:w="1260" w:type="dxa"/>
            <w:noWrap/>
            <w:hideMark/>
          </w:tcPr>
          <w:p w:rsidR="00224E24" w:rsidRPr="00224E24" w:rsidP="00224E24" w14:paraId="3C6E5995"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w:t>
            </w:r>
          </w:p>
        </w:tc>
        <w:tc>
          <w:tcPr>
            <w:tcW w:w="990" w:type="dxa"/>
            <w:noWrap/>
            <w:hideMark/>
          </w:tcPr>
          <w:p w:rsidR="00224E24" w:rsidRPr="00224E24" w:rsidP="00224E24" w14:paraId="706F6C7D"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w:t>
            </w:r>
          </w:p>
        </w:tc>
        <w:tc>
          <w:tcPr>
            <w:tcW w:w="1170" w:type="dxa"/>
            <w:gridSpan w:val="2"/>
            <w:noWrap/>
            <w:hideMark/>
          </w:tcPr>
          <w:p w:rsidR="00224E24" w:rsidRPr="00224E24" w:rsidP="00224E24" w14:paraId="7DA1DC8F"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xml:space="preserve">  </w:t>
            </w:r>
          </w:p>
        </w:tc>
      </w:tr>
      <w:tr w14:paraId="76867418" w14:textId="77777777" w:rsidTr="00224E24">
        <w:tblPrEx>
          <w:tblW w:w="12937" w:type="dxa"/>
          <w:tblInd w:w="108" w:type="dxa"/>
          <w:tblLayout w:type="fixed"/>
          <w:tblLook w:val="04A0"/>
        </w:tblPrEx>
        <w:trPr>
          <w:trHeight w:val="300"/>
        </w:trPr>
        <w:tc>
          <w:tcPr>
            <w:tcW w:w="3577" w:type="dxa"/>
            <w:noWrap/>
            <w:hideMark/>
          </w:tcPr>
          <w:p w:rsidR="00224E24" w:rsidRPr="00224E24" w:rsidP="00224E24" w14:paraId="5BAC4D6E"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2.  Surveys and Studies</w:t>
            </w:r>
          </w:p>
        </w:tc>
        <w:tc>
          <w:tcPr>
            <w:tcW w:w="1170" w:type="dxa"/>
            <w:noWrap/>
            <w:hideMark/>
          </w:tcPr>
          <w:p w:rsidR="00224E24" w:rsidRPr="00224E24" w:rsidP="00224E24" w14:paraId="7C23541E" w14:textId="77777777">
            <w:pPr>
              <w:widowControl w:val="0"/>
              <w:autoSpaceDE w:val="0"/>
              <w:autoSpaceDN w:val="0"/>
              <w:adjustRightInd w:val="0"/>
              <w:jc w:val="center"/>
              <w:outlineLvl w:val="0"/>
              <w:rPr>
                <w:rFonts w:asciiTheme="minorHAnsi" w:hAnsiTheme="minorHAnsi" w:cstheme="minorHAnsi"/>
                <w:bCs/>
              </w:rPr>
            </w:pPr>
            <w:r w:rsidRPr="00224E24">
              <w:rPr>
                <w:rFonts w:asciiTheme="minorHAnsi" w:hAnsiTheme="minorHAnsi" w:cstheme="minorHAnsi"/>
                <w:bCs/>
              </w:rPr>
              <w:t>N/A</w:t>
            </w:r>
          </w:p>
        </w:tc>
        <w:tc>
          <w:tcPr>
            <w:tcW w:w="1260" w:type="dxa"/>
            <w:noWrap/>
            <w:hideMark/>
          </w:tcPr>
          <w:p w:rsidR="00224E24" w:rsidRPr="00224E24" w:rsidP="00224E24" w14:paraId="725EF6F6"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w:t>
            </w:r>
          </w:p>
        </w:tc>
        <w:tc>
          <w:tcPr>
            <w:tcW w:w="1013" w:type="dxa"/>
            <w:noWrap/>
            <w:hideMark/>
          </w:tcPr>
          <w:p w:rsidR="00224E24" w:rsidRPr="00224E24" w:rsidP="00224E24" w14:paraId="40352325"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w:t>
            </w:r>
          </w:p>
        </w:tc>
        <w:tc>
          <w:tcPr>
            <w:tcW w:w="1327" w:type="dxa"/>
            <w:noWrap/>
            <w:hideMark/>
          </w:tcPr>
          <w:p w:rsidR="00224E24" w:rsidRPr="00224E24" w:rsidP="00224E24" w14:paraId="51920BF2"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w:t>
            </w:r>
          </w:p>
        </w:tc>
        <w:tc>
          <w:tcPr>
            <w:tcW w:w="1170" w:type="dxa"/>
            <w:noWrap/>
            <w:hideMark/>
          </w:tcPr>
          <w:p w:rsidR="00224E24" w:rsidRPr="00224E24" w:rsidP="00224E24" w14:paraId="6AE12405"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w:t>
            </w:r>
          </w:p>
        </w:tc>
        <w:tc>
          <w:tcPr>
            <w:tcW w:w="1260" w:type="dxa"/>
            <w:noWrap/>
            <w:hideMark/>
          </w:tcPr>
          <w:p w:rsidR="00224E24" w:rsidRPr="00224E24" w:rsidP="00224E24" w14:paraId="5A2FBD3D"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w:t>
            </w:r>
          </w:p>
        </w:tc>
        <w:tc>
          <w:tcPr>
            <w:tcW w:w="990" w:type="dxa"/>
            <w:noWrap/>
            <w:hideMark/>
          </w:tcPr>
          <w:p w:rsidR="00224E24" w:rsidRPr="00224E24" w:rsidP="00224E24" w14:paraId="747BBCE0"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w:t>
            </w:r>
          </w:p>
        </w:tc>
        <w:tc>
          <w:tcPr>
            <w:tcW w:w="1170" w:type="dxa"/>
            <w:gridSpan w:val="2"/>
            <w:noWrap/>
            <w:hideMark/>
          </w:tcPr>
          <w:p w:rsidR="00224E24" w:rsidRPr="00224E24" w:rsidP="00224E24" w14:paraId="4A09D6E9"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xml:space="preserve">  </w:t>
            </w:r>
          </w:p>
        </w:tc>
      </w:tr>
      <w:tr w14:paraId="0F846DFC" w14:textId="77777777" w:rsidTr="00224E24">
        <w:tblPrEx>
          <w:tblW w:w="12937" w:type="dxa"/>
          <w:tblInd w:w="108" w:type="dxa"/>
          <w:tblLayout w:type="fixed"/>
          <w:tblLook w:val="04A0"/>
        </w:tblPrEx>
        <w:trPr>
          <w:trHeight w:val="300"/>
        </w:trPr>
        <w:tc>
          <w:tcPr>
            <w:tcW w:w="3577" w:type="dxa"/>
            <w:noWrap/>
          </w:tcPr>
          <w:p w:rsidR="00224E24" w:rsidRPr="00224E24" w:rsidP="00224E24" w14:paraId="1F20B98D"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3.  Reporting Requirements</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457B2160" w14:textId="77777777">
            <w:pPr>
              <w:widowControl w:val="0"/>
              <w:autoSpaceDE w:val="0"/>
              <w:autoSpaceDN w:val="0"/>
              <w:adjustRightInd w:val="0"/>
              <w:jc w:val="center"/>
              <w:outlineLvl w:val="0"/>
              <w:rPr>
                <w:rFonts w:asciiTheme="minorHAnsi" w:hAnsiTheme="minorHAnsi" w:cstheme="minorHAnsi"/>
                <w:color w:val="000000"/>
              </w:rPr>
            </w:pP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1FBC40D6" w14:textId="77777777">
            <w:pPr>
              <w:widowControl w:val="0"/>
              <w:autoSpaceDE w:val="0"/>
              <w:autoSpaceDN w:val="0"/>
              <w:adjustRightInd w:val="0"/>
              <w:jc w:val="center"/>
              <w:outlineLvl w:val="0"/>
              <w:rPr>
                <w:rFonts w:asciiTheme="minorHAnsi" w:hAnsiTheme="minorHAnsi" w:cstheme="minorHAnsi"/>
                <w:color w:val="000000"/>
              </w:rPr>
            </w:pP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141006DF" w14:textId="77777777">
            <w:pPr>
              <w:widowControl w:val="0"/>
              <w:autoSpaceDE w:val="0"/>
              <w:autoSpaceDN w:val="0"/>
              <w:adjustRightInd w:val="0"/>
              <w:jc w:val="center"/>
              <w:outlineLvl w:val="0"/>
              <w:rPr>
                <w:rFonts w:asciiTheme="minorHAnsi" w:hAnsiTheme="minorHAnsi" w:cstheme="minorHAnsi"/>
                <w:color w:val="000000"/>
              </w:rPr>
            </w:pP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45E4442C" w14:textId="77777777">
            <w:pPr>
              <w:widowControl w:val="0"/>
              <w:autoSpaceDE w:val="0"/>
              <w:autoSpaceDN w:val="0"/>
              <w:adjustRightInd w:val="0"/>
              <w:jc w:val="center"/>
              <w:outlineLvl w:val="0"/>
              <w:rPr>
                <w:rFonts w:asciiTheme="minorHAnsi" w:hAnsiTheme="minorHAnsi" w:cstheme="minorHAnsi"/>
                <w:color w:val="000000"/>
              </w:rPr>
            </w:pP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6118176F" w14:textId="77777777">
            <w:pPr>
              <w:widowControl w:val="0"/>
              <w:autoSpaceDE w:val="0"/>
              <w:autoSpaceDN w:val="0"/>
              <w:adjustRightInd w:val="0"/>
              <w:jc w:val="center"/>
              <w:outlineLvl w:val="0"/>
              <w:rPr>
                <w:rFonts w:asciiTheme="minorHAnsi" w:hAnsiTheme="minorHAnsi" w:cstheme="minorHAnsi"/>
                <w:color w:val="000000"/>
              </w:rPr>
            </w:pP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7447FA27" w14:textId="77777777">
            <w:pPr>
              <w:widowControl w:val="0"/>
              <w:autoSpaceDE w:val="0"/>
              <w:autoSpaceDN w:val="0"/>
              <w:adjustRightInd w:val="0"/>
              <w:jc w:val="center"/>
              <w:outlineLvl w:val="0"/>
              <w:rPr>
                <w:rFonts w:asciiTheme="minorHAnsi" w:hAnsiTheme="minorHAnsi" w:cstheme="minorHAnsi"/>
                <w:color w:val="000000"/>
              </w:rPr>
            </w:pP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08549B8A" w14:textId="77777777">
            <w:pPr>
              <w:widowControl w:val="0"/>
              <w:autoSpaceDE w:val="0"/>
              <w:autoSpaceDN w:val="0"/>
              <w:adjustRightInd w:val="0"/>
              <w:jc w:val="center"/>
              <w:outlineLvl w:val="0"/>
              <w:rPr>
                <w:rFonts w:asciiTheme="minorHAnsi" w:hAnsiTheme="minorHAnsi" w:cstheme="minorHAnsi"/>
                <w:color w:val="000000"/>
              </w:rPr>
            </w:pP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30DFA9DE" w14:textId="77777777">
            <w:pPr>
              <w:widowControl w:val="0"/>
              <w:autoSpaceDE w:val="0"/>
              <w:autoSpaceDN w:val="0"/>
              <w:adjustRightInd w:val="0"/>
              <w:jc w:val="right"/>
              <w:outlineLvl w:val="0"/>
              <w:rPr>
                <w:rFonts w:asciiTheme="minorHAnsi" w:hAnsiTheme="minorHAnsi" w:cstheme="minorHAnsi"/>
                <w:color w:val="000000"/>
              </w:rPr>
            </w:pPr>
          </w:p>
        </w:tc>
      </w:tr>
      <w:tr w14:paraId="040CB7C1" w14:textId="77777777" w:rsidTr="00224E24">
        <w:tblPrEx>
          <w:tblW w:w="12937" w:type="dxa"/>
          <w:tblInd w:w="108" w:type="dxa"/>
          <w:tblLayout w:type="fixed"/>
          <w:tblLook w:val="04A0"/>
        </w:tblPrEx>
        <w:trPr>
          <w:trHeight w:val="300"/>
        </w:trPr>
        <w:tc>
          <w:tcPr>
            <w:tcW w:w="3577" w:type="dxa"/>
            <w:noWrap/>
          </w:tcPr>
          <w:p w:rsidR="00224E24" w:rsidRPr="00224E24" w:rsidP="00224E24" w14:paraId="667C2932"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xml:space="preserve">A.  Familiarization with Regulatory Requirements </w:t>
            </w:r>
            <w:r w:rsidRPr="00224E24">
              <w:rPr>
                <w:rFonts w:asciiTheme="minorHAnsi" w:hAnsiTheme="minorHAnsi" w:cstheme="minorHAnsi"/>
                <w:bCs/>
                <w:vertAlign w:val="superscript"/>
              </w:rPr>
              <w:t>c</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44455C66" w14:textId="77777777">
            <w:pPr>
              <w:widowControl w:val="0"/>
              <w:autoSpaceDE w:val="0"/>
              <w:autoSpaceDN w:val="0"/>
              <w:adjustRightInd w:val="0"/>
              <w:jc w:val="center"/>
              <w:outlineLvl w:val="0"/>
              <w:rPr>
                <w:rFonts w:asciiTheme="minorHAnsi" w:hAnsiTheme="minorHAnsi" w:cstheme="minorHAnsi"/>
                <w:color w:val="000000"/>
              </w:rPr>
            </w:pP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33F68AD9" w14:textId="77777777">
            <w:pPr>
              <w:widowControl w:val="0"/>
              <w:autoSpaceDE w:val="0"/>
              <w:autoSpaceDN w:val="0"/>
              <w:adjustRightInd w:val="0"/>
              <w:jc w:val="center"/>
              <w:outlineLvl w:val="0"/>
              <w:rPr>
                <w:rFonts w:asciiTheme="minorHAnsi" w:hAnsiTheme="minorHAnsi" w:cstheme="minorHAnsi"/>
                <w:color w:val="000000"/>
              </w:rPr>
            </w:pP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14397FDA" w14:textId="77777777">
            <w:pPr>
              <w:widowControl w:val="0"/>
              <w:autoSpaceDE w:val="0"/>
              <w:autoSpaceDN w:val="0"/>
              <w:adjustRightInd w:val="0"/>
              <w:jc w:val="center"/>
              <w:outlineLvl w:val="0"/>
              <w:rPr>
                <w:rFonts w:asciiTheme="minorHAnsi" w:hAnsiTheme="minorHAnsi" w:cstheme="minorHAnsi"/>
                <w:color w:val="000000"/>
              </w:rPr>
            </w:pP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7CEA7993" w14:textId="77777777">
            <w:pPr>
              <w:widowControl w:val="0"/>
              <w:autoSpaceDE w:val="0"/>
              <w:autoSpaceDN w:val="0"/>
              <w:adjustRightInd w:val="0"/>
              <w:jc w:val="center"/>
              <w:outlineLvl w:val="0"/>
              <w:rPr>
                <w:rFonts w:asciiTheme="minorHAnsi" w:hAnsiTheme="minorHAnsi" w:cstheme="minorHAnsi"/>
                <w:color w:val="000000"/>
              </w:rPr>
            </w:pP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4A470320" w14:textId="77777777">
            <w:pPr>
              <w:widowControl w:val="0"/>
              <w:autoSpaceDE w:val="0"/>
              <w:autoSpaceDN w:val="0"/>
              <w:adjustRightInd w:val="0"/>
              <w:jc w:val="center"/>
              <w:outlineLvl w:val="0"/>
              <w:rPr>
                <w:rFonts w:asciiTheme="minorHAnsi" w:hAnsiTheme="minorHAnsi" w:cstheme="minorHAnsi"/>
                <w:color w:val="000000"/>
              </w:rPr>
            </w:pP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214FACE2" w14:textId="77777777">
            <w:pPr>
              <w:widowControl w:val="0"/>
              <w:autoSpaceDE w:val="0"/>
              <w:autoSpaceDN w:val="0"/>
              <w:adjustRightInd w:val="0"/>
              <w:jc w:val="center"/>
              <w:outlineLvl w:val="0"/>
              <w:rPr>
                <w:rFonts w:asciiTheme="minorHAnsi" w:hAnsiTheme="minorHAnsi" w:cstheme="minorHAnsi"/>
                <w:color w:val="000000"/>
              </w:rPr>
            </w:pP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08A80DCE" w14:textId="77777777">
            <w:pPr>
              <w:widowControl w:val="0"/>
              <w:autoSpaceDE w:val="0"/>
              <w:autoSpaceDN w:val="0"/>
              <w:adjustRightInd w:val="0"/>
              <w:jc w:val="center"/>
              <w:outlineLvl w:val="0"/>
              <w:rPr>
                <w:rFonts w:asciiTheme="minorHAnsi" w:hAnsiTheme="minorHAnsi" w:cstheme="minorHAnsi"/>
                <w:color w:val="000000"/>
              </w:rPr>
            </w:pP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3226580D" w14:textId="77777777">
            <w:pPr>
              <w:widowControl w:val="0"/>
              <w:autoSpaceDE w:val="0"/>
              <w:autoSpaceDN w:val="0"/>
              <w:adjustRightInd w:val="0"/>
              <w:jc w:val="right"/>
              <w:outlineLvl w:val="0"/>
              <w:rPr>
                <w:rFonts w:asciiTheme="minorHAnsi" w:hAnsiTheme="minorHAnsi" w:cstheme="minorHAnsi"/>
                <w:color w:val="000000"/>
              </w:rPr>
            </w:pPr>
          </w:p>
        </w:tc>
      </w:tr>
      <w:tr w14:paraId="4834DCE0" w14:textId="77777777" w:rsidTr="00224E24">
        <w:tblPrEx>
          <w:tblW w:w="12937" w:type="dxa"/>
          <w:tblInd w:w="108" w:type="dxa"/>
          <w:tblLayout w:type="fixed"/>
          <w:tblLook w:val="04A0"/>
        </w:tblPrEx>
        <w:trPr>
          <w:trHeight w:val="300"/>
        </w:trPr>
        <w:tc>
          <w:tcPr>
            <w:tcW w:w="3577" w:type="dxa"/>
            <w:noWrap/>
            <w:hideMark/>
          </w:tcPr>
          <w:p w:rsidR="00224E24" w:rsidRPr="00224E24" w:rsidP="00224E24" w14:paraId="76F21019"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color w:val="000000"/>
              </w:rPr>
              <w:t xml:space="preserve">    </w:t>
            </w:r>
            <w:r w:rsidRPr="00224E24">
              <w:rPr>
                <w:rFonts w:asciiTheme="minorHAnsi" w:hAnsiTheme="minorHAnsi" w:cstheme="minorHAnsi"/>
                <w:color w:val="000000"/>
              </w:rPr>
              <w:t>i</w:t>
            </w:r>
            <w:r w:rsidRPr="00224E24">
              <w:rPr>
                <w:rFonts w:asciiTheme="minorHAnsi" w:hAnsiTheme="minorHAnsi" w:cstheme="minorHAnsi"/>
                <w:color w:val="000000"/>
              </w:rPr>
              <w:t>. Bulk gasoline terminals</w:t>
            </w:r>
          </w:p>
        </w:tc>
        <w:tc>
          <w:tcPr>
            <w:tcW w:w="117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3F6076A2" w14:textId="77777777">
            <w:pPr>
              <w:widowControl w:val="0"/>
              <w:autoSpaceDE w:val="0"/>
              <w:autoSpaceDN w:val="0"/>
              <w:adjustRightInd w:val="0"/>
              <w:jc w:val="center"/>
              <w:outlineLvl w:val="0"/>
              <w:rPr>
                <w:rFonts w:asciiTheme="minorHAnsi" w:hAnsiTheme="minorHAnsi" w:cstheme="minorHAnsi"/>
                <w:bCs/>
              </w:rPr>
            </w:pPr>
            <w:r w:rsidRPr="00224E24">
              <w:rPr>
                <w:rFonts w:asciiTheme="minorHAnsi" w:hAnsiTheme="minorHAnsi" w:cstheme="minorHAnsi"/>
                <w:color w:val="000000"/>
              </w:rPr>
              <w:t>8</w:t>
            </w:r>
          </w:p>
        </w:tc>
        <w:tc>
          <w:tcPr>
            <w:tcW w:w="126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72B3FFE3" w14:textId="77777777">
            <w:pPr>
              <w:widowControl w:val="0"/>
              <w:autoSpaceDE w:val="0"/>
              <w:autoSpaceDN w:val="0"/>
              <w:adjustRightInd w:val="0"/>
              <w:jc w:val="center"/>
              <w:outlineLvl w:val="0"/>
              <w:rPr>
                <w:rFonts w:asciiTheme="minorHAnsi" w:hAnsiTheme="minorHAnsi" w:cstheme="minorHAnsi"/>
                <w:bCs/>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7E6C9BE6" w14:textId="77777777">
            <w:pPr>
              <w:widowControl w:val="0"/>
              <w:autoSpaceDE w:val="0"/>
              <w:autoSpaceDN w:val="0"/>
              <w:adjustRightInd w:val="0"/>
              <w:jc w:val="center"/>
              <w:outlineLvl w:val="0"/>
              <w:rPr>
                <w:rFonts w:asciiTheme="minorHAnsi" w:hAnsiTheme="minorHAnsi" w:cstheme="minorHAnsi"/>
                <w:bCs/>
              </w:rPr>
            </w:pPr>
            <w:r w:rsidRPr="00224E24">
              <w:rPr>
                <w:rFonts w:asciiTheme="minorHAnsi" w:hAnsiTheme="minorHAnsi" w:cstheme="minorHAnsi"/>
                <w:color w:val="000000"/>
              </w:rPr>
              <w:t>8</w:t>
            </w:r>
          </w:p>
        </w:tc>
        <w:tc>
          <w:tcPr>
            <w:tcW w:w="1327"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27A5D140" w14:textId="4052C902">
            <w:pPr>
              <w:widowControl w:val="0"/>
              <w:autoSpaceDE w:val="0"/>
              <w:autoSpaceDN w:val="0"/>
              <w:adjustRightInd w:val="0"/>
              <w:jc w:val="center"/>
              <w:outlineLvl w:val="0"/>
              <w:rPr>
                <w:rFonts w:asciiTheme="minorHAnsi" w:hAnsiTheme="minorHAnsi" w:cstheme="minorHAnsi"/>
                <w:bCs/>
              </w:rPr>
            </w:pPr>
            <w:r w:rsidR="004A331E">
              <w:rPr>
                <w:rFonts w:asciiTheme="minorHAnsi" w:hAnsiTheme="minorHAnsi" w:cstheme="minorHAnsi"/>
                <w:color w:val="000000"/>
              </w:rPr>
              <w:t>116</w:t>
            </w:r>
          </w:p>
        </w:tc>
        <w:tc>
          <w:tcPr>
            <w:tcW w:w="117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1F59401F" w14:textId="3A69309F">
            <w:pPr>
              <w:widowControl w:val="0"/>
              <w:autoSpaceDE w:val="0"/>
              <w:autoSpaceDN w:val="0"/>
              <w:adjustRightInd w:val="0"/>
              <w:jc w:val="center"/>
              <w:outlineLvl w:val="0"/>
              <w:rPr>
                <w:rFonts w:asciiTheme="minorHAnsi" w:hAnsiTheme="minorHAnsi" w:cstheme="minorHAnsi"/>
                <w:bCs/>
              </w:rPr>
            </w:pPr>
            <w:r w:rsidR="004A331E">
              <w:rPr>
                <w:rFonts w:asciiTheme="minorHAnsi" w:hAnsiTheme="minorHAnsi" w:cstheme="minorHAnsi"/>
                <w:color w:val="000000"/>
              </w:rPr>
              <w:t>928</w:t>
            </w:r>
          </w:p>
        </w:tc>
        <w:tc>
          <w:tcPr>
            <w:tcW w:w="126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3DFD9DC2" w14:textId="34628A2C">
            <w:pPr>
              <w:widowControl w:val="0"/>
              <w:autoSpaceDE w:val="0"/>
              <w:autoSpaceDN w:val="0"/>
              <w:adjustRightInd w:val="0"/>
              <w:jc w:val="center"/>
              <w:outlineLvl w:val="0"/>
              <w:rPr>
                <w:rFonts w:asciiTheme="minorHAnsi" w:hAnsiTheme="minorHAnsi" w:cstheme="minorHAnsi"/>
                <w:bCs/>
              </w:rPr>
            </w:pPr>
            <w:r w:rsidR="004A331E">
              <w:rPr>
                <w:rFonts w:asciiTheme="minorHAnsi" w:hAnsiTheme="minorHAnsi" w:cstheme="minorHAnsi"/>
                <w:color w:val="000000"/>
              </w:rPr>
              <w:t>46.4</w:t>
            </w:r>
          </w:p>
        </w:tc>
        <w:tc>
          <w:tcPr>
            <w:tcW w:w="99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4599F3AB" w14:textId="6E03258F">
            <w:pPr>
              <w:widowControl w:val="0"/>
              <w:autoSpaceDE w:val="0"/>
              <w:autoSpaceDN w:val="0"/>
              <w:adjustRightInd w:val="0"/>
              <w:jc w:val="center"/>
              <w:outlineLvl w:val="0"/>
              <w:rPr>
                <w:rFonts w:asciiTheme="minorHAnsi" w:hAnsiTheme="minorHAnsi" w:cstheme="minorHAnsi"/>
                <w:bCs/>
              </w:rPr>
            </w:pPr>
            <w:r w:rsidR="004A331E">
              <w:rPr>
                <w:rFonts w:asciiTheme="minorHAnsi" w:hAnsiTheme="minorHAnsi" w:cstheme="minorHAnsi"/>
                <w:color w:val="000000"/>
              </w:rPr>
              <w:t>92.8</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224E24" w:rsidRPr="00224E24" w:rsidP="00224E24" w14:paraId="3E25B8F1" w14:textId="226BCF24">
            <w:pPr>
              <w:widowControl w:val="0"/>
              <w:autoSpaceDE w:val="0"/>
              <w:autoSpaceDN w:val="0"/>
              <w:adjustRightInd w:val="0"/>
              <w:jc w:val="right"/>
              <w:outlineLvl w:val="0"/>
              <w:rPr>
                <w:rFonts w:asciiTheme="minorHAnsi" w:hAnsiTheme="minorHAnsi" w:cstheme="minorHAnsi"/>
                <w:bCs/>
              </w:rPr>
            </w:pPr>
            <w:r w:rsidRPr="00224E24">
              <w:rPr>
                <w:rFonts w:asciiTheme="minorHAnsi" w:hAnsiTheme="minorHAnsi" w:cstheme="minorHAnsi"/>
                <w:color w:val="000000"/>
              </w:rPr>
              <w:t>$</w:t>
            </w:r>
            <w:r w:rsidR="004A331E">
              <w:rPr>
                <w:rFonts w:asciiTheme="minorHAnsi" w:hAnsiTheme="minorHAnsi" w:cstheme="minorHAnsi"/>
                <w:color w:val="000000"/>
              </w:rPr>
              <w:t>82,720</w:t>
            </w:r>
            <w:r w:rsidRPr="00224E24">
              <w:rPr>
                <w:rFonts w:asciiTheme="minorHAnsi" w:hAnsiTheme="minorHAnsi" w:cstheme="minorHAnsi"/>
                <w:color w:val="000000"/>
              </w:rPr>
              <w:t xml:space="preserve"> </w:t>
            </w:r>
          </w:p>
        </w:tc>
      </w:tr>
      <w:tr w14:paraId="19ACD61B" w14:textId="77777777" w:rsidTr="00224E24">
        <w:tblPrEx>
          <w:tblW w:w="12937" w:type="dxa"/>
          <w:tblInd w:w="108" w:type="dxa"/>
          <w:tblLayout w:type="fixed"/>
          <w:tblLook w:val="04A0"/>
        </w:tblPrEx>
        <w:trPr>
          <w:trHeight w:val="300"/>
        </w:trPr>
        <w:tc>
          <w:tcPr>
            <w:tcW w:w="3577" w:type="dxa"/>
            <w:noWrap/>
          </w:tcPr>
          <w:p w:rsidR="00224E24" w:rsidRPr="00224E24" w:rsidP="00224E24" w14:paraId="2F0A69B9"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color w:val="000000"/>
              </w:rPr>
              <w:t xml:space="preserve">    ii. Bulk gasoline plants, pipeline pumping stations, and pipeline breakout stations </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3D86AAB6"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724FCD0C"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7A7A49C1"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406C6FD1" w14:textId="7BFEF8D7">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4,516</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1B0A84C3" w14:textId="2B15D845">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18,064</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7D93EC87" w14:textId="0AB355CD">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903.2</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2EE5E005" w14:textId="15CDB420">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1806.4</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43CFE5B9" w14:textId="0585A70A">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w:t>
            </w:r>
            <w:r w:rsidR="004A331E">
              <w:rPr>
                <w:rFonts w:asciiTheme="minorHAnsi" w:hAnsiTheme="minorHAnsi" w:cstheme="minorHAnsi"/>
                <w:color w:val="000000"/>
              </w:rPr>
              <w:t>1,610,189</w:t>
            </w:r>
            <w:r w:rsidRPr="00224E24">
              <w:rPr>
                <w:rFonts w:asciiTheme="minorHAnsi" w:hAnsiTheme="minorHAnsi" w:cstheme="minorHAnsi"/>
                <w:color w:val="000000"/>
              </w:rPr>
              <w:t xml:space="preserve"> </w:t>
            </w:r>
          </w:p>
        </w:tc>
      </w:tr>
      <w:tr w14:paraId="20E36734" w14:textId="77777777" w:rsidTr="00224E24">
        <w:tblPrEx>
          <w:tblW w:w="12937" w:type="dxa"/>
          <w:tblInd w:w="108" w:type="dxa"/>
          <w:tblLayout w:type="fixed"/>
          <w:tblLook w:val="04A0"/>
        </w:tblPrEx>
        <w:trPr>
          <w:trHeight w:val="300"/>
        </w:trPr>
        <w:tc>
          <w:tcPr>
            <w:tcW w:w="4747" w:type="dxa"/>
            <w:gridSpan w:val="2"/>
            <w:noWrap/>
            <w:hideMark/>
          </w:tcPr>
          <w:p w:rsidR="00224E24" w:rsidRPr="00224E24" w:rsidP="00224E24" w14:paraId="169E92DE"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 xml:space="preserve">B.  Required activities </w:t>
            </w:r>
            <w:r w:rsidRPr="00224E24">
              <w:rPr>
                <w:rFonts w:asciiTheme="minorHAnsi" w:hAnsiTheme="minorHAnsi" w:cstheme="minorHAnsi"/>
                <w:bCs/>
                <w:vertAlign w:val="superscript"/>
              </w:rPr>
              <w:t>d</w:t>
            </w:r>
          </w:p>
        </w:tc>
        <w:tc>
          <w:tcPr>
            <w:tcW w:w="1260" w:type="dxa"/>
            <w:noWrap/>
            <w:vAlign w:val="center"/>
            <w:hideMark/>
          </w:tcPr>
          <w:p w:rsidR="00224E24" w:rsidRPr="00224E24" w:rsidP="00224E24" w14:paraId="5C7505F2"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color w:val="000000"/>
              </w:rPr>
              <w:t> </w:t>
            </w:r>
          </w:p>
        </w:tc>
        <w:tc>
          <w:tcPr>
            <w:tcW w:w="1013" w:type="dxa"/>
            <w:noWrap/>
            <w:vAlign w:val="center"/>
            <w:hideMark/>
          </w:tcPr>
          <w:p w:rsidR="00224E24" w:rsidRPr="00224E24" w:rsidP="00224E24" w14:paraId="1071F0B4"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color w:val="000000"/>
              </w:rPr>
              <w:t> </w:t>
            </w:r>
          </w:p>
        </w:tc>
        <w:tc>
          <w:tcPr>
            <w:tcW w:w="1327" w:type="dxa"/>
            <w:noWrap/>
            <w:vAlign w:val="center"/>
            <w:hideMark/>
          </w:tcPr>
          <w:p w:rsidR="00224E24" w:rsidRPr="00224E24" w:rsidP="00224E24" w14:paraId="7E2BF06B"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color w:val="000000"/>
              </w:rPr>
              <w:t> </w:t>
            </w:r>
          </w:p>
        </w:tc>
        <w:tc>
          <w:tcPr>
            <w:tcW w:w="1170" w:type="dxa"/>
            <w:noWrap/>
            <w:vAlign w:val="center"/>
            <w:hideMark/>
          </w:tcPr>
          <w:p w:rsidR="00224E24" w:rsidRPr="00224E24" w:rsidP="00224E24" w14:paraId="76B34090"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color w:val="000000"/>
              </w:rPr>
              <w:t> </w:t>
            </w:r>
          </w:p>
        </w:tc>
        <w:tc>
          <w:tcPr>
            <w:tcW w:w="1260" w:type="dxa"/>
            <w:noWrap/>
            <w:vAlign w:val="center"/>
            <w:hideMark/>
          </w:tcPr>
          <w:p w:rsidR="00224E24" w:rsidRPr="00224E24" w:rsidP="00224E24" w14:paraId="55C0D2B7"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color w:val="000000"/>
              </w:rPr>
              <w:t> </w:t>
            </w:r>
          </w:p>
        </w:tc>
        <w:tc>
          <w:tcPr>
            <w:tcW w:w="990" w:type="dxa"/>
            <w:noWrap/>
            <w:vAlign w:val="center"/>
            <w:hideMark/>
          </w:tcPr>
          <w:p w:rsidR="00224E24" w:rsidRPr="00224E24" w:rsidP="00224E24" w14:paraId="6160A0CD"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color w:val="000000"/>
              </w:rPr>
              <w:t> </w:t>
            </w:r>
          </w:p>
        </w:tc>
        <w:tc>
          <w:tcPr>
            <w:tcW w:w="1170" w:type="dxa"/>
            <w:gridSpan w:val="2"/>
            <w:noWrap/>
            <w:vAlign w:val="center"/>
            <w:hideMark/>
          </w:tcPr>
          <w:p w:rsidR="00224E24" w:rsidRPr="00224E24" w:rsidP="00224E24" w14:paraId="5305CF02" w14:textId="77777777">
            <w:pPr>
              <w:widowControl w:val="0"/>
              <w:autoSpaceDE w:val="0"/>
              <w:autoSpaceDN w:val="0"/>
              <w:adjustRightInd w:val="0"/>
              <w:jc w:val="right"/>
              <w:outlineLvl w:val="0"/>
              <w:rPr>
                <w:rFonts w:asciiTheme="minorHAnsi" w:hAnsiTheme="minorHAnsi" w:cstheme="minorHAnsi"/>
                <w:bCs/>
              </w:rPr>
            </w:pPr>
            <w:r w:rsidRPr="00224E24">
              <w:rPr>
                <w:rFonts w:asciiTheme="minorHAnsi" w:hAnsiTheme="minorHAnsi" w:cstheme="minorHAnsi"/>
                <w:color w:val="000000"/>
              </w:rPr>
              <w:t> </w:t>
            </w:r>
          </w:p>
        </w:tc>
      </w:tr>
      <w:tr w14:paraId="5ECD41B4"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tcPr>
          <w:p w:rsidR="00224E24" w:rsidRPr="00224E24" w:rsidP="00224E24" w14:paraId="4EFB09CF"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w:t>
            </w:r>
            <w:r w:rsidRPr="00224E24">
              <w:rPr>
                <w:rFonts w:asciiTheme="minorHAnsi" w:hAnsiTheme="minorHAnsi" w:cstheme="minorHAnsi"/>
                <w:color w:val="000000"/>
              </w:rPr>
              <w:t>i</w:t>
            </w:r>
            <w:r w:rsidRPr="00224E24">
              <w:rPr>
                <w:rFonts w:asciiTheme="minorHAnsi" w:hAnsiTheme="minorHAnsi" w:cstheme="minorHAnsi"/>
                <w:color w:val="000000"/>
              </w:rPr>
              <w:t xml:space="preserve">. Equipment leaks monitoring </w:t>
            </w:r>
            <w:r w:rsidRPr="00224E24">
              <w:rPr>
                <w:rFonts w:asciiTheme="minorHAnsi" w:hAnsiTheme="minorHAnsi" w:cstheme="minorHAnsi"/>
                <w:color w:val="000000"/>
                <w:vertAlign w:val="superscript"/>
              </w:rPr>
              <w:t>e</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0FB434D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0F5B485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3BF2E23C"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6FDDED36"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2FE23385"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13DF3562"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750FAFB0"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75D3F0E4"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$0 </w:t>
            </w:r>
          </w:p>
        </w:tc>
      </w:tr>
      <w:tr w14:paraId="53168184"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tcPr>
          <w:p w:rsidR="00224E24" w:rsidRPr="00224E24" w:rsidP="00224E24" w14:paraId="035E7F5F"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ii. Performance test</w:t>
            </w:r>
            <w:r w:rsidRPr="00224E24">
              <w:rPr>
                <w:rFonts w:asciiTheme="minorHAnsi" w:hAnsiTheme="minorHAnsi" w:cstheme="minorHAnsi"/>
                <w:color w:val="000000"/>
                <w:vertAlign w:val="superscript"/>
              </w:rPr>
              <w:t xml:space="preserve"> f</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5B48FEFB"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8</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1A6AC81D"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0D8BCDB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8</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475F9C6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85</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39FFFABA"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680</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2C428D36"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34</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103009B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68</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1DF174B2"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$60,614 </w:t>
            </w:r>
          </w:p>
        </w:tc>
      </w:tr>
      <w:tr w14:paraId="25A87E64"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tcPr>
          <w:p w:rsidR="00224E24" w:rsidRPr="00224E24" w:rsidP="00224E24" w14:paraId="21738F47"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iii. Performance evaluation </w:t>
            </w:r>
            <w:r w:rsidRPr="00224E24">
              <w:rPr>
                <w:rFonts w:asciiTheme="minorHAnsi" w:hAnsiTheme="minorHAnsi" w:cstheme="minorHAnsi"/>
                <w:color w:val="000000"/>
                <w:vertAlign w:val="superscript"/>
              </w:rPr>
              <w:t>g</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694C66F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8</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3316F935"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0.2</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13633A2D"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1.6</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60BB949B"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27</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1740EA5C"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43.2</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306B7C0D"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2.16</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2682D425"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4.32</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0411459E"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$3,851 </w:t>
            </w:r>
          </w:p>
        </w:tc>
      </w:tr>
      <w:tr w14:paraId="0250AFBE"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tcPr>
          <w:p w:rsidR="00224E24" w:rsidRPr="00224E24" w:rsidP="00224E24" w14:paraId="4C057A73"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iv. CEMS daily calibration checks </w:t>
            </w:r>
            <w:r w:rsidRPr="00224E24">
              <w:rPr>
                <w:rFonts w:asciiTheme="minorHAnsi" w:hAnsiTheme="minorHAnsi" w:cstheme="minorHAnsi"/>
                <w:color w:val="000000"/>
                <w:vertAlign w:val="superscript"/>
              </w:rPr>
              <w:t>g</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0937697E"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0.2</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2DD6C6D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365</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2396E532"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73</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6EE386C1"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27</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29B580EB"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1,971</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331F72F1"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98.55</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58894A89"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197.1</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25FD5272"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$175,691 </w:t>
            </w:r>
          </w:p>
        </w:tc>
      </w:tr>
      <w:tr w14:paraId="3671E854"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tcPr>
          <w:p w:rsidR="00224E24" w:rsidRPr="00224E24" w:rsidP="00224E24" w14:paraId="6C72B4B5"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v. Flare sampling</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078B75CD"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0C32EF3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190F3412"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774D6762"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6F841A6D"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39F6C34E"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4AAF5CFB"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448ED443"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w:t>
            </w:r>
          </w:p>
        </w:tc>
      </w:tr>
      <w:tr w14:paraId="24E1E45E"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tcPr>
          <w:p w:rsidR="00224E24" w:rsidRPr="00224E24" w:rsidP="00224E24" w14:paraId="4AEABE20"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Sample collection</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2A8CA2C6"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0.5</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704D54E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14</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61BF0CFD"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7</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7962357A"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47AA74EB"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28</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71542EEA"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1.4</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4598B52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2.8</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0E6A739C"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$2,496 </w:t>
            </w:r>
          </w:p>
        </w:tc>
      </w:tr>
      <w:tr w14:paraId="0F5388FE"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tcPr>
          <w:p w:rsidR="00224E24" w:rsidRPr="00224E24" w:rsidP="00224E24" w14:paraId="0902A293"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Analysis and reporting</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45238C4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8</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7FC8BC4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52EBFD1B"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8</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4259E4D4"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0DAC61B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32</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292CCAD9"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1.6</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366EB0DD"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3.2</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4F83D371"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$2,852 </w:t>
            </w:r>
          </w:p>
        </w:tc>
      </w:tr>
      <w:tr w14:paraId="4F1410D8"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tcPr>
          <w:p w:rsidR="00224E24" w:rsidRPr="00224E24" w:rsidP="00224E24" w14:paraId="12BB442E"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vi. VCU sampling</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35334C4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0C017EFC"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30713874"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028F88BF"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577DA941"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0AD3005B"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5BC1501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 </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222A6291"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w:t>
            </w:r>
          </w:p>
        </w:tc>
      </w:tr>
      <w:tr w14:paraId="4A7C31BE"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tcPr>
          <w:p w:rsidR="00224E24" w:rsidRPr="00224E24" w:rsidP="00224E24" w14:paraId="4FD702D6"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Sample collection</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0694B9D1"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0.5</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12A933E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14</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00383E58"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7</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08BC764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68</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411195F9"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476</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5AB34B10"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23.8</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2B5378A9"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47.6</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3C48A8B0"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$42,430 </w:t>
            </w:r>
          </w:p>
        </w:tc>
      </w:tr>
      <w:tr w14:paraId="6645C324"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tcPr>
          <w:p w:rsidR="00224E24" w:rsidRPr="00224E24" w:rsidP="00224E24" w14:paraId="198D1CA5"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Analysis and reporting</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55909884"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8</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2737F119"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28290A3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8</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49791042"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68</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447183A0"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544</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51D36E2F"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27.2</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3736F1D8"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54.4</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51E8AD1B"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$48,491 </w:t>
            </w:r>
          </w:p>
        </w:tc>
      </w:tr>
      <w:tr w14:paraId="0E56255C"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tcPr>
          <w:p w:rsidR="00224E24" w:rsidRPr="00224E24" w:rsidP="00224E24" w14:paraId="1D5C3038"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vii. LEL monitoring</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74B29CA6"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0.75</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0330710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746C385C"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0.75</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76BB0B12"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2,642</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00A4A6CE"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1,981.5</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479FEAA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99.075</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5CF9DCE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198.15</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789BDC0F"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$176,627 </w:t>
            </w:r>
          </w:p>
        </w:tc>
      </w:tr>
      <w:tr w14:paraId="1C954F4B" w14:textId="77777777" w:rsidTr="00224E24">
        <w:tblPrEx>
          <w:tblW w:w="12937" w:type="dxa"/>
          <w:tblInd w:w="108" w:type="dxa"/>
          <w:tblLayout w:type="fixed"/>
          <w:tblLook w:val="04A0"/>
        </w:tblPrEx>
        <w:trPr>
          <w:trHeight w:val="300"/>
        </w:trPr>
        <w:tc>
          <w:tcPr>
            <w:tcW w:w="3577" w:type="dxa"/>
            <w:noWrap/>
            <w:hideMark/>
          </w:tcPr>
          <w:p w:rsidR="00224E24" w:rsidRPr="00224E24" w:rsidP="00224E24" w14:paraId="19E40248"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C.  Write Report</w:t>
            </w:r>
          </w:p>
        </w:tc>
        <w:tc>
          <w:tcPr>
            <w:tcW w:w="1170" w:type="dxa"/>
            <w:noWrap/>
            <w:vAlign w:val="center"/>
            <w:hideMark/>
          </w:tcPr>
          <w:p w:rsidR="00224E24" w:rsidRPr="00224E24" w:rsidP="00224E24" w14:paraId="5B383F0C" w14:textId="77777777">
            <w:pPr>
              <w:widowControl w:val="0"/>
              <w:autoSpaceDE w:val="0"/>
              <w:autoSpaceDN w:val="0"/>
              <w:adjustRightInd w:val="0"/>
              <w:jc w:val="center"/>
              <w:outlineLvl w:val="0"/>
              <w:rPr>
                <w:rFonts w:asciiTheme="minorHAnsi" w:hAnsiTheme="minorHAnsi" w:cstheme="minorHAnsi"/>
                <w:bCs/>
              </w:rPr>
            </w:pPr>
          </w:p>
        </w:tc>
        <w:tc>
          <w:tcPr>
            <w:tcW w:w="1260" w:type="dxa"/>
            <w:noWrap/>
            <w:vAlign w:val="center"/>
            <w:hideMark/>
          </w:tcPr>
          <w:p w:rsidR="00224E24" w:rsidRPr="00224E24" w:rsidP="00224E24" w14:paraId="17D7A6B9" w14:textId="77777777">
            <w:pPr>
              <w:widowControl w:val="0"/>
              <w:autoSpaceDE w:val="0"/>
              <w:autoSpaceDN w:val="0"/>
              <w:adjustRightInd w:val="0"/>
              <w:jc w:val="center"/>
              <w:outlineLvl w:val="0"/>
              <w:rPr>
                <w:rFonts w:asciiTheme="minorHAnsi" w:hAnsiTheme="minorHAnsi" w:cstheme="minorHAnsi"/>
                <w:bCs/>
              </w:rPr>
            </w:pPr>
          </w:p>
        </w:tc>
        <w:tc>
          <w:tcPr>
            <w:tcW w:w="1013" w:type="dxa"/>
            <w:noWrap/>
            <w:vAlign w:val="center"/>
            <w:hideMark/>
          </w:tcPr>
          <w:p w:rsidR="00224E24" w:rsidRPr="00224E24" w:rsidP="00224E24" w14:paraId="4723C83F" w14:textId="77777777">
            <w:pPr>
              <w:widowControl w:val="0"/>
              <w:autoSpaceDE w:val="0"/>
              <w:autoSpaceDN w:val="0"/>
              <w:adjustRightInd w:val="0"/>
              <w:jc w:val="center"/>
              <w:outlineLvl w:val="0"/>
              <w:rPr>
                <w:rFonts w:asciiTheme="minorHAnsi" w:hAnsiTheme="minorHAnsi" w:cstheme="minorHAnsi"/>
                <w:bCs/>
              </w:rPr>
            </w:pPr>
          </w:p>
        </w:tc>
        <w:tc>
          <w:tcPr>
            <w:tcW w:w="1327" w:type="dxa"/>
            <w:noWrap/>
            <w:vAlign w:val="center"/>
            <w:hideMark/>
          </w:tcPr>
          <w:p w:rsidR="00224E24" w:rsidRPr="00224E24" w:rsidP="00224E24" w14:paraId="42C5E5D7" w14:textId="77777777">
            <w:pPr>
              <w:widowControl w:val="0"/>
              <w:autoSpaceDE w:val="0"/>
              <w:autoSpaceDN w:val="0"/>
              <w:adjustRightInd w:val="0"/>
              <w:jc w:val="center"/>
              <w:outlineLvl w:val="0"/>
              <w:rPr>
                <w:rFonts w:asciiTheme="minorHAnsi" w:hAnsiTheme="minorHAnsi" w:cstheme="minorHAnsi"/>
                <w:bCs/>
              </w:rPr>
            </w:pPr>
          </w:p>
        </w:tc>
        <w:tc>
          <w:tcPr>
            <w:tcW w:w="1170" w:type="dxa"/>
            <w:noWrap/>
            <w:vAlign w:val="center"/>
            <w:hideMark/>
          </w:tcPr>
          <w:p w:rsidR="00224E24" w:rsidRPr="00224E24" w:rsidP="00224E24" w14:paraId="3D0F317D" w14:textId="77777777">
            <w:pPr>
              <w:widowControl w:val="0"/>
              <w:autoSpaceDE w:val="0"/>
              <w:autoSpaceDN w:val="0"/>
              <w:adjustRightInd w:val="0"/>
              <w:jc w:val="center"/>
              <w:outlineLvl w:val="0"/>
              <w:rPr>
                <w:rFonts w:asciiTheme="minorHAnsi" w:hAnsiTheme="minorHAnsi" w:cstheme="minorHAnsi"/>
                <w:bCs/>
              </w:rPr>
            </w:pPr>
          </w:p>
        </w:tc>
        <w:tc>
          <w:tcPr>
            <w:tcW w:w="1260" w:type="dxa"/>
            <w:noWrap/>
            <w:vAlign w:val="center"/>
            <w:hideMark/>
          </w:tcPr>
          <w:p w:rsidR="00224E24" w:rsidRPr="00224E24" w:rsidP="00224E24" w14:paraId="0AEA4DB9" w14:textId="77777777">
            <w:pPr>
              <w:widowControl w:val="0"/>
              <w:autoSpaceDE w:val="0"/>
              <w:autoSpaceDN w:val="0"/>
              <w:adjustRightInd w:val="0"/>
              <w:jc w:val="center"/>
              <w:outlineLvl w:val="0"/>
              <w:rPr>
                <w:rFonts w:asciiTheme="minorHAnsi" w:hAnsiTheme="minorHAnsi" w:cstheme="minorHAnsi"/>
                <w:bCs/>
              </w:rPr>
            </w:pPr>
          </w:p>
        </w:tc>
        <w:tc>
          <w:tcPr>
            <w:tcW w:w="990" w:type="dxa"/>
            <w:noWrap/>
            <w:vAlign w:val="center"/>
            <w:hideMark/>
          </w:tcPr>
          <w:p w:rsidR="00224E24" w:rsidRPr="00224E24" w:rsidP="00224E24" w14:paraId="59B4665B" w14:textId="77777777">
            <w:pPr>
              <w:widowControl w:val="0"/>
              <w:autoSpaceDE w:val="0"/>
              <w:autoSpaceDN w:val="0"/>
              <w:adjustRightInd w:val="0"/>
              <w:jc w:val="center"/>
              <w:outlineLvl w:val="0"/>
              <w:rPr>
                <w:rFonts w:asciiTheme="minorHAnsi" w:hAnsiTheme="minorHAnsi" w:cstheme="minorHAnsi"/>
                <w:bCs/>
              </w:rPr>
            </w:pPr>
          </w:p>
        </w:tc>
        <w:tc>
          <w:tcPr>
            <w:tcW w:w="1170" w:type="dxa"/>
            <w:gridSpan w:val="2"/>
            <w:noWrap/>
            <w:vAlign w:val="center"/>
            <w:hideMark/>
          </w:tcPr>
          <w:p w:rsidR="00224E24" w:rsidRPr="00224E24" w:rsidP="00224E24" w14:paraId="78C79B14" w14:textId="77777777">
            <w:pPr>
              <w:widowControl w:val="0"/>
              <w:autoSpaceDE w:val="0"/>
              <w:autoSpaceDN w:val="0"/>
              <w:adjustRightInd w:val="0"/>
              <w:jc w:val="right"/>
              <w:outlineLvl w:val="0"/>
              <w:rPr>
                <w:rFonts w:asciiTheme="minorHAnsi" w:hAnsiTheme="minorHAnsi" w:cstheme="minorHAnsi"/>
                <w:bCs/>
              </w:rPr>
            </w:pPr>
          </w:p>
        </w:tc>
      </w:tr>
      <w:tr w14:paraId="2C216E7B" w14:textId="77777777" w:rsidTr="00224E24">
        <w:tblPrEx>
          <w:tblW w:w="12937" w:type="dxa"/>
          <w:tblInd w:w="108" w:type="dxa"/>
          <w:tblLayout w:type="fixed"/>
          <w:tblLook w:val="04A0"/>
        </w:tblPrEx>
        <w:trPr>
          <w:trHeight w:val="300"/>
        </w:trPr>
        <w:tc>
          <w:tcPr>
            <w:tcW w:w="3577" w:type="dxa"/>
            <w:noWrap/>
            <w:hideMark/>
          </w:tcPr>
          <w:p w:rsidR="00224E24" w:rsidRPr="00224E24" w:rsidP="00224E24" w14:paraId="270FC1FF" w14:textId="77777777">
            <w:pPr>
              <w:widowControl w:val="0"/>
              <w:autoSpaceDE w:val="0"/>
              <w:autoSpaceDN w:val="0"/>
              <w:adjustRightInd w:val="0"/>
              <w:rPr>
                <w:rFonts w:asciiTheme="minorHAnsi" w:hAnsiTheme="minorHAnsi" w:cstheme="minorHAnsi"/>
              </w:rPr>
            </w:pPr>
            <w:r w:rsidRPr="00224E24">
              <w:rPr>
                <w:rFonts w:asciiTheme="minorHAnsi" w:hAnsiTheme="minorHAnsi" w:cstheme="minorHAnsi"/>
                <w:color w:val="000000"/>
              </w:rPr>
              <w:t xml:space="preserve">    </w:t>
            </w:r>
            <w:r w:rsidRPr="00224E24">
              <w:rPr>
                <w:rFonts w:asciiTheme="minorHAnsi" w:hAnsiTheme="minorHAnsi" w:cstheme="minorHAnsi"/>
                <w:color w:val="000000"/>
              </w:rPr>
              <w:t>i</w:t>
            </w:r>
            <w:r w:rsidRPr="00224E24">
              <w:rPr>
                <w:rFonts w:asciiTheme="minorHAnsi" w:hAnsiTheme="minorHAnsi" w:cstheme="minorHAnsi"/>
                <w:color w:val="000000"/>
              </w:rPr>
              <w:t>. Notification of compliance status</w:t>
            </w:r>
          </w:p>
        </w:tc>
        <w:tc>
          <w:tcPr>
            <w:tcW w:w="1170" w:type="dxa"/>
            <w:noWrap/>
            <w:vAlign w:val="center"/>
            <w:hideMark/>
          </w:tcPr>
          <w:p w:rsidR="00224E24" w:rsidRPr="00224E24" w:rsidP="00224E24" w14:paraId="22920DA2" w14:textId="77777777">
            <w:pPr>
              <w:widowControl w:val="0"/>
              <w:autoSpaceDE w:val="0"/>
              <w:autoSpaceDN w:val="0"/>
              <w:adjustRightInd w:val="0"/>
              <w:jc w:val="center"/>
              <w:rPr>
                <w:rFonts w:asciiTheme="minorHAnsi" w:hAnsiTheme="minorHAnsi" w:cstheme="minorHAnsi"/>
              </w:rPr>
            </w:pPr>
            <w:r w:rsidRPr="00224E24">
              <w:rPr>
                <w:rFonts w:asciiTheme="minorHAnsi" w:hAnsiTheme="minorHAnsi" w:cstheme="minorHAnsi"/>
                <w:color w:val="000000"/>
              </w:rPr>
              <w:t>1</w:t>
            </w:r>
          </w:p>
        </w:tc>
        <w:tc>
          <w:tcPr>
            <w:tcW w:w="1260" w:type="dxa"/>
            <w:noWrap/>
            <w:vAlign w:val="center"/>
            <w:hideMark/>
          </w:tcPr>
          <w:p w:rsidR="00224E24" w:rsidRPr="00224E24" w:rsidP="00224E24" w14:paraId="5821C9F4" w14:textId="77777777">
            <w:pPr>
              <w:widowControl w:val="0"/>
              <w:autoSpaceDE w:val="0"/>
              <w:autoSpaceDN w:val="0"/>
              <w:adjustRightInd w:val="0"/>
              <w:jc w:val="center"/>
              <w:rPr>
                <w:rFonts w:asciiTheme="minorHAnsi" w:hAnsiTheme="minorHAnsi" w:cstheme="minorHAnsi"/>
              </w:rPr>
            </w:pPr>
            <w:r w:rsidRPr="00224E24">
              <w:rPr>
                <w:rFonts w:asciiTheme="minorHAnsi" w:hAnsiTheme="minorHAnsi" w:cstheme="minorHAnsi"/>
                <w:color w:val="000000"/>
              </w:rPr>
              <w:t>1</w:t>
            </w:r>
          </w:p>
        </w:tc>
        <w:tc>
          <w:tcPr>
            <w:tcW w:w="1013" w:type="dxa"/>
            <w:noWrap/>
            <w:vAlign w:val="center"/>
            <w:hideMark/>
          </w:tcPr>
          <w:p w:rsidR="00224E24" w:rsidRPr="00224E24" w:rsidP="00224E24" w14:paraId="234D8822" w14:textId="77777777">
            <w:pPr>
              <w:widowControl w:val="0"/>
              <w:autoSpaceDE w:val="0"/>
              <w:autoSpaceDN w:val="0"/>
              <w:adjustRightInd w:val="0"/>
              <w:jc w:val="center"/>
              <w:rPr>
                <w:rFonts w:asciiTheme="minorHAnsi" w:hAnsiTheme="minorHAnsi" w:cstheme="minorHAnsi"/>
              </w:rPr>
            </w:pPr>
            <w:r w:rsidRPr="00224E24">
              <w:rPr>
                <w:rFonts w:asciiTheme="minorHAnsi" w:hAnsiTheme="minorHAnsi" w:cstheme="minorHAnsi"/>
                <w:color w:val="000000"/>
              </w:rPr>
              <w:t>1</w:t>
            </w:r>
          </w:p>
        </w:tc>
        <w:tc>
          <w:tcPr>
            <w:tcW w:w="1327" w:type="dxa"/>
            <w:noWrap/>
            <w:vAlign w:val="center"/>
            <w:hideMark/>
          </w:tcPr>
          <w:p w:rsidR="00224E24" w:rsidRPr="00224E24" w:rsidP="00224E24" w14:paraId="706C48CE" w14:textId="77777777">
            <w:pPr>
              <w:widowControl w:val="0"/>
              <w:autoSpaceDE w:val="0"/>
              <w:autoSpaceDN w:val="0"/>
              <w:adjustRightInd w:val="0"/>
              <w:jc w:val="center"/>
              <w:rPr>
                <w:rFonts w:asciiTheme="minorHAnsi" w:hAnsiTheme="minorHAnsi" w:cstheme="minorHAnsi"/>
              </w:rPr>
            </w:pPr>
            <w:r w:rsidRPr="00224E24">
              <w:rPr>
                <w:rFonts w:asciiTheme="minorHAnsi" w:hAnsiTheme="minorHAnsi" w:cstheme="minorHAnsi"/>
                <w:color w:val="000000"/>
              </w:rPr>
              <w:t>3,073</w:t>
            </w:r>
          </w:p>
        </w:tc>
        <w:tc>
          <w:tcPr>
            <w:tcW w:w="1170" w:type="dxa"/>
            <w:noWrap/>
            <w:vAlign w:val="center"/>
            <w:hideMark/>
          </w:tcPr>
          <w:p w:rsidR="00224E24" w:rsidRPr="00224E24" w:rsidP="00224E24" w14:paraId="0531F97B" w14:textId="77777777">
            <w:pPr>
              <w:widowControl w:val="0"/>
              <w:autoSpaceDE w:val="0"/>
              <w:autoSpaceDN w:val="0"/>
              <w:adjustRightInd w:val="0"/>
              <w:jc w:val="center"/>
              <w:rPr>
                <w:rFonts w:asciiTheme="minorHAnsi" w:hAnsiTheme="minorHAnsi" w:cstheme="minorHAnsi"/>
              </w:rPr>
            </w:pPr>
            <w:r w:rsidRPr="00224E24">
              <w:rPr>
                <w:rFonts w:asciiTheme="minorHAnsi" w:hAnsiTheme="minorHAnsi" w:cstheme="minorHAnsi"/>
                <w:color w:val="000000"/>
              </w:rPr>
              <w:t>3,073</w:t>
            </w:r>
          </w:p>
        </w:tc>
        <w:tc>
          <w:tcPr>
            <w:tcW w:w="1260" w:type="dxa"/>
            <w:noWrap/>
            <w:vAlign w:val="center"/>
            <w:hideMark/>
          </w:tcPr>
          <w:p w:rsidR="00224E24" w:rsidRPr="00224E24" w:rsidP="00224E24" w14:paraId="693C93DC" w14:textId="77777777">
            <w:pPr>
              <w:widowControl w:val="0"/>
              <w:autoSpaceDE w:val="0"/>
              <w:autoSpaceDN w:val="0"/>
              <w:adjustRightInd w:val="0"/>
              <w:jc w:val="center"/>
              <w:rPr>
                <w:rFonts w:asciiTheme="minorHAnsi" w:hAnsiTheme="minorHAnsi" w:cstheme="minorHAnsi"/>
              </w:rPr>
            </w:pPr>
            <w:r w:rsidRPr="00224E24">
              <w:rPr>
                <w:rFonts w:asciiTheme="minorHAnsi" w:hAnsiTheme="minorHAnsi" w:cstheme="minorHAnsi"/>
                <w:color w:val="000000"/>
              </w:rPr>
              <w:t>153.65</w:t>
            </w:r>
          </w:p>
        </w:tc>
        <w:tc>
          <w:tcPr>
            <w:tcW w:w="990" w:type="dxa"/>
            <w:noWrap/>
            <w:vAlign w:val="center"/>
            <w:hideMark/>
          </w:tcPr>
          <w:p w:rsidR="00224E24" w:rsidRPr="00224E24" w:rsidP="00224E24" w14:paraId="54015741" w14:textId="77777777">
            <w:pPr>
              <w:widowControl w:val="0"/>
              <w:autoSpaceDE w:val="0"/>
              <w:autoSpaceDN w:val="0"/>
              <w:adjustRightInd w:val="0"/>
              <w:jc w:val="center"/>
              <w:rPr>
                <w:rFonts w:asciiTheme="minorHAnsi" w:hAnsiTheme="minorHAnsi" w:cstheme="minorHAnsi"/>
              </w:rPr>
            </w:pPr>
            <w:r w:rsidRPr="00224E24">
              <w:rPr>
                <w:rFonts w:asciiTheme="minorHAnsi" w:hAnsiTheme="minorHAnsi" w:cstheme="minorHAnsi"/>
                <w:color w:val="000000"/>
              </w:rPr>
              <w:t>307.3</w:t>
            </w:r>
          </w:p>
        </w:tc>
        <w:tc>
          <w:tcPr>
            <w:tcW w:w="1170" w:type="dxa"/>
            <w:gridSpan w:val="2"/>
            <w:noWrap/>
            <w:vAlign w:val="center"/>
            <w:hideMark/>
          </w:tcPr>
          <w:p w:rsidR="00224E24" w:rsidRPr="00224E24" w:rsidP="00224E24" w14:paraId="527D4DE0" w14:textId="77777777">
            <w:pPr>
              <w:widowControl w:val="0"/>
              <w:autoSpaceDE w:val="0"/>
              <w:autoSpaceDN w:val="0"/>
              <w:adjustRightInd w:val="0"/>
              <w:jc w:val="right"/>
              <w:rPr>
                <w:rFonts w:asciiTheme="minorHAnsi" w:hAnsiTheme="minorHAnsi" w:cstheme="minorHAnsi"/>
              </w:rPr>
            </w:pPr>
            <w:r w:rsidRPr="00224E24">
              <w:rPr>
                <w:rFonts w:asciiTheme="minorHAnsi" w:hAnsiTheme="minorHAnsi" w:cstheme="minorHAnsi"/>
                <w:color w:val="000000"/>
              </w:rPr>
              <w:t xml:space="preserve">$273,921 </w:t>
            </w:r>
          </w:p>
        </w:tc>
      </w:tr>
      <w:tr w14:paraId="6FACFC63"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hideMark/>
          </w:tcPr>
          <w:p w:rsidR="00224E24" w:rsidRPr="00224E24" w:rsidP="00224E24" w14:paraId="199831F0"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color w:val="000000"/>
              </w:rPr>
              <w:t xml:space="preserve">    ii. Semiannual compliance reports for large bulk gasoline terminals </w:t>
            </w:r>
            <w:r w:rsidRPr="00224E24">
              <w:rPr>
                <w:rFonts w:asciiTheme="minorHAnsi" w:hAnsiTheme="minorHAnsi" w:cstheme="minorHAnsi"/>
                <w:color w:val="00000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7EC08213" w14:textId="77777777">
            <w:pPr>
              <w:widowControl w:val="0"/>
              <w:autoSpaceDE w:val="0"/>
              <w:autoSpaceDN w:val="0"/>
              <w:adjustRightInd w:val="0"/>
              <w:jc w:val="center"/>
              <w:outlineLvl w:val="0"/>
              <w:rPr>
                <w:rFonts w:asciiTheme="minorHAnsi" w:hAnsiTheme="minorHAnsi" w:cstheme="minorHAnsi"/>
                <w:bCs/>
              </w:rPr>
            </w:pPr>
            <w:r w:rsidRPr="00224E24">
              <w:rPr>
                <w:rFonts w:asciiTheme="minorHAnsi" w:hAnsiTheme="minorHAnsi" w:cstheme="minorHAnsi"/>
                <w:color w:val="000000"/>
              </w:rPr>
              <w:t>5</w:t>
            </w:r>
          </w:p>
        </w:tc>
        <w:tc>
          <w:tcPr>
            <w:tcW w:w="126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3A4B1474" w14:textId="77777777">
            <w:pPr>
              <w:widowControl w:val="0"/>
              <w:autoSpaceDE w:val="0"/>
              <w:autoSpaceDN w:val="0"/>
              <w:adjustRightInd w:val="0"/>
              <w:jc w:val="center"/>
              <w:outlineLvl w:val="0"/>
              <w:rPr>
                <w:rFonts w:asciiTheme="minorHAnsi" w:hAnsiTheme="minorHAnsi" w:cstheme="minorHAnsi"/>
                <w:bCs/>
              </w:rPr>
            </w:pPr>
            <w:r w:rsidRPr="00224E24">
              <w:rPr>
                <w:rFonts w:asciiTheme="minorHAnsi" w:hAnsiTheme="minorHAnsi" w:cstheme="minorHAnsi"/>
                <w:color w:val="000000"/>
              </w:rPr>
              <w:t>2</w:t>
            </w:r>
          </w:p>
        </w:tc>
        <w:tc>
          <w:tcPr>
            <w:tcW w:w="1013"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6D5C823A" w14:textId="77777777">
            <w:pPr>
              <w:widowControl w:val="0"/>
              <w:autoSpaceDE w:val="0"/>
              <w:autoSpaceDN w:val="0"/>
              <w:adjustRightInd w:val="0"/>
              <w:jc w:val="center"/>
              <w:outlineLvl w:val="0"/>
              <w:rPr>
                <w:rFonts w:asciiTheme="minorHAnsi" w:hAnsiTheme="minorHAnsi" w:cstheme="minorHAnsi"/>
                <w:bCs/>
              </w:rPr>
            </w:pPr>
            <w:r w:rsidRPr="00224E24">
              <w:rPr>
                <w:rFonts w:asciiTheme="minorHAnsi" w:hAnsiTheme="minorHAnsi" w:cstheme="minorHAnsi"/>
                <w:color w:val="000000"/>
              </w:rPr>
              <w:t>10</w:t>
            </w:r>
          </w:p>
        </w:tc>
        <w:tc>
          <w:tcPr>
            <w:tcW w:w="1327"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10FCCDFB" w14:textId="77777777">
            <w:pPr>
              <w:widowControl w:val="0"/>
              <w:autoSpaceDE w:val="0"/>
              <w:autoSpaceDN w:val="0"/>
              <w:adjustRightInd w:val="0"/>
              <w:jc w:val="center"/>
              <w:outlineLvl w:val="0"/>
              <w:rPr>
                <w:rFonts w:asciiTheme="minorHAnsi" w:hAnsiTheme="minorHAnsi" w:cstheme="minorHAnsi"/>
                <w:bCs/>
              </w:rPr>
            </w:pPr>
            <w:r w:rsidRPr="00224E24">
              <w:rPr>
                <w:rFonts w:asciiTheme="minorHAnsi" w:hAnsiTheme="minorHAnsi" w:cstheme="minorHAnsi"/>
                <w:color w:val="000000"/>
              </w:rPr>
              <w:t>0</w:t>
            </w:r>
          </w:p>
        </w:tc>
        <w:tc>
          <w:tcPr>
            <w:tcW w:w="117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4D76C0AB" w14:textId="77777777">
            <w:pPr>
              <w:widowControl w:val="0"/>
              <w:autoSpaceDE w:val="0"/>
              <w:autoSpaceDN w:val="0"/>
              <w:adjustRightInd w:val="0"/>
              <w:jc w:val="center"/>
              <w:outlineLvl w:val="0"/>
              <w:rPr>
                <w:rFonts w:asciiTheme="minorHAnsi" w:hAnsiTheme="minorHAnsi" w:cstheme="minorHAnsi"/>
                <w:bCs/>
              </w:rPr>
            </w:pPr>
            <w:r w:rsidRPr="00224E24">
              <w:rPr>
                <w:rFonts w:asciiTheme="minorHAnsi" w:hAnsiTheme="minorHAnsi" w:cstheme="minorHAnsi"/>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5FCA3995" w14:textId="77777777">
            <w:pPr>
              <w:widowControl w:val="0"/>
              <w:autoSpaceDE w:val="0"/>
              <w:autoSpaceDN w:val="0"/>
              <w:adjustRightInd w:val="0"/>
              <w:jc w:val="center"/>
              <w:outlineLvl w:val="0"/>
              <w:rPr>
                <w:rFonts w:asciiTheme="minorHAnsi" w:hAnsiTheme="minorHAnsi" w:cstheme="minorHAnsi"/>
                <w:bCs/>
              </w:rPr>
            </w:pPr>
            <w:r w:rsidRPr="00224E24">
              <w:rPr>
                <w:rFonts w:asciiTheme="minorHAnsi" w:hAnsiTheme="minorHAnsi" w:cstheme="minorHAnsi"/>
                <w:color w:val="000000"/>
              </w:rPr>
              <w:t>0</w:t>
            </w:r>
          </w:p>
        </w:tc>
        <w:tc>
          <w:tcPr>
            <w:tcW w:w="99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6C1004AF" w14:textId="77777777">
            <w:pPr>
              <w:widowControl w:val="0"/>
              <w:autoSpaceDE w:val="0"/>
              <w:autoSpaceDN w:val="0"/>
              <w:adjustRightInd w:val="0"/>
              <w:jc w:val="center"/>
              <w:outlineLvl w:val="0"/>
              <w:rPr>
                <w:rFonts w:asciiTheme="minorHAnsi" w:hAnsiTheme="minorHAnsi" w:cstheme="minorHAnsi"/>
                <w:bCs/>
              </w:rPr>
            </w:pPr>
            <w:r w:rsidRPr="00224E24">
              <w:rPr>
                <w:rFonts w:asciiTheme="minorHAnsi" w:hAnsiTheme="minorHAnsi" w:cstheme="minorHAnsi"/>
                <w:color w:val="000000"/>
              </w:rPr>
              <w:t>0</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224E24" w:rsidRPr="00224E24" w:rsidP="00224E24" w14:paraId="3D909B92" w14:textId="77777777">
            <w:pPr>
              <w:widowControl w:val="0"/>
              <w:autoSpaceDE w:val="0"/>
              <w:autoSpaceDN w:val="0"/>
              <w:adjustRightInd w:val="0"/>
              <w:jc w:val="right"/>
              <w:outlineLvl w:val="0"/>
              <w:rPr>
                <w:rFonts w:asciiTheme="minorHAnsi" w:hAnsiTheme="minorHAnsi" w:cstheme="minorHAnsi"/>
                <w:bCs/>
              </w:rPr>
            </w:pPr>
            <w:r w:rsidRPr="00224E24">
              <w:rPr>
                <w:rFonts w:asciiTheme="minorHAnsi" w:hAnsiTheme="minorHAnsi" w:cstheme="minorHAnsi"/>
                <w:color w:val="000000"/>
              </w:rPr>
              <w:t xml:space="preserve">$0 </w:t>
            </w:r>
          </w:p>
        </w:tc>
      </w:tr>
      <w:tr w14:paraId="365DA1EC"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5A5B65B0"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iii. Semiannual compliance reports for small bulk gasoline terminals, bulk gasoline plants, pipeline pumping stations, and pipeline breakout stations </w:t>
            </w:r>
            <w:r w:rsidRPr="00224E24">
              <w:rPr>
                <w:rFonts w:asciiTheme="minorHAnsi" w:hAnsiTheme="minorHAnsi" w:cstheme="minorHAnsi"/>
                <w:color w:val="000000"/>
                <w:vertAlign w:val="superscript"/>
              </w:rPr>
              <w:t>h</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7F58F75C"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2.5</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1316903E"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63A84BE6"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5</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4A74AB4B"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78DC35EF"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330DFBEC"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3A866E5E"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5244D9A0"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$0</w:t>
            </w:r>
          </w:p>
        </w:tc>
      </w:tr>
      <w:tr w14:paraId="00D018AA"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4119A98F"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iv. Notification of performance test</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108AB01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33920D5E"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0.2</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05178CAB"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0.2</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737C347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85</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7EF5A9D8"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17</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3181C3F9"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0.85</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5A47EEB6"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1.7</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149DB25B"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$1,515 </w:t>
            </w:r>
          </w:p>
        </w:tc>
      </w:tr>
      <w:tr w14:paraId="617A8AD8"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4A4EEFCC"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v. Report of performance test</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51524E3C"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8</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5D90330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0.2</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00028E94"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1.6</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7D2480FB"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85</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7C750662"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136</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3082C64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6.8</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23FD6231"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13.6</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4AACC7D1"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$12,123 </w:t>
            </w:r>
          </w:p>
        </w:tc>
      </w:tr>
      <w:tr w14:paraId="776AC78A"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352D6C37"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vi. Notification of performance evaluation</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2A9D5B7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71CAA3C4"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05F9979C"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5339E375"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27</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6ED7EAA6"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27</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6C51D8C4"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1.35</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1AF5B7CA"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2.7</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5F98791A"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$2,407 </w:t>
            </w:r>
          </w:p>
        </w:tc>
      </w:tr>
      <w:tr w14:paraId="2A569BF0"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5675E4F4"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vii. Report of performance evaluation</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03DD4D2B"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8</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5BE62D02"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28597D05"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8</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0C1DF3C0"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27</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741CB270"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216</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0BF65A8B"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10.8</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04FC30AF"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21.6</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59E4672A"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$19,254 </w:t>
            </w:r>
          </w:p>
        </w:tc>
      </w:tr>
      <w:tr w14:paraId="04750F11"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57A90C52"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    viii. Continuous Emissions Monitoring System (CEMS) QA plan</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0B4A803B"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40</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44261420"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0.33</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03DEEE6A"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13.33</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1A6D035F"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54</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6327031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720</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6AAE704E"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36</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41175034"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72</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366CBC00"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$64,179 </w:t>
            </w:r>
          </w:p>
        </w:tc>
      </w:tr>
      <w:tr w14:paraId="7F493326"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19CFA218"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b/>
                <w:bCs/>
                <w:i/>
                <w:iCs/>
              </w:rPr>
              <w:t>Subtotal for Reporting Requirements</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4D8A3EEC" w14:textId="77777777">
            <w:pPr>
              <w:widowControl w:val="0"/>
              <w:autoSpaceDE w:val="0"/>
              <w:autoSpaceDN w:val="0"/>
              <w:adjustRightInd w:val="0"/>
              <w:jc w:val="center"/>
              <w:outlineLvl w:val="0"/>
              <w:rPr>
                <w:rFonts w:asciiTheme="minorHAnsi" w:hAnsiTheme="minorHAnsi" w:cstheme="minorHAnsi"/>
                <w:color w:val="000000"/>
              </w:rPr>
            </w:pP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4B9CB328" w14:textId="77777777">
            <w:pPr>
              <w:widowControl w:val="0"/>
              <w:autoSpaceDE w:val="0"/>
              <w:autoSpaceDN w:val="0"/>
              <w:adjustRightInd w:val="0"/>
              <w:jc w:val="center"/>
              <w:outlineLvl w:val="0"/>
              <w:rPr>
                <w:rFonts w:asciiTheme="minorHAnsi" w:hAnsiTheme="minorHAnsi" w:cstheme="minorHAnsi"/>
                <w:color w:val="000000"/>
              </w:rPr>
            </w:pP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5591F40D" w14:textId="77777777">
            <w:pPr>
              <w:widowControl w:val="0"/>
              <w:autoSpaceDE w:val="0"/>
              <w:autoSpaceDN w:val="0"/>
              <w:adjustRightInd w:val="0"/>
              <w:jc w:val="center"/>
              <w:outlineLvl w:val="0"/>
              <w:rPr>
                <w:rFonts w:asciiTheme="minorHAnsi" w:hAnsiTheme="minorHAnsi" w:cstheme="minorHAnsi"/>
                <w:color w:val="000000"/>
              </w:rPr>
            </w:pP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5B4C6D7D" w14:textId="77777777">
            <w:pPr>
              <w:widowControl w:val="0"/>
              <w:autoSpaceDE w:val="0"/>
              <w:autoSpaceDN w:val="0"/>
              <w:adjustRightInd w:val="0"/>
              <w:jc w:val="center"/>
              <w:outlineLvl w:val="0"/>
              <w:rPr>
                <w:rFonts w:asciiTheme="minorHAnsi" w:hAnsiTheme="minorHAnsi" w:cstheme="minorHAnsi"/>
                <w:color w:val="000000"/>
              </w:rPr>
            </w:pP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1E113B4A"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b/>
                <w:i/>
                <w:iCs/>
              </w:rPr>
              <w:t>28,937</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161C486C"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b/>
                <w:i/>
                <w:iCs/>
                <w:color w:val="000000"/>
              </w:rPr>
              <w:t>1,447</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56131619"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b/>
                <w:i/>
                <w:iCs/>
                <w:color w:val="000000"/>
              </w:rPr>
              <w:t>2,894</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3543A622"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b/>
                <w:i/>
                <w:iCs/>
                <w:color w:val="000000"/>
              </w:rPr>
              <w:t>$2,579,360</w:t>
            </w:r>
          </w:p>
        </w:tc>
      </w:tr>
      <w:tr w14:paraId="0BB0E927"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363C3FFA"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4. Recordkeeping Requirements</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406F275F" w14:textId="77777777">
            <w:pPr>
              <w:widowControl w:val="0"/>
              <w:autoSpaceDE w:val="0"/>
              <w:autoSpaceDN w:val="0"/>
              <w:adjustRightInd w:val="0"/>
              <w:jc w:val="center"/>
              <w:outlineLvl w:val="0"/>
              <w:rPr>
                <w:rFonts w:asciiTheme="minorHAnsi" w:hAnsiTheme="minorHAnsi" w:cstheme="minorHAnsi"/>
                <w:color w:val="000000"/>
              </w:rPr>
            </w:pP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03464148" w14:textId="77777777">
            <w:pPr>
              <w:widowControl w:val="0"/>
              <w:autoSpaceDE w:val="0"/>
              <w:autoSpaceDN w:val="0"/>
              <w:adjustRightInd w:val="0"/>
              <w:jc w:val="center"/>
              <w:outlineLvl w:val="0"/>
              <w:rPr>
                <w:rFonts w:asciiTheme="minorHAnsi" w:hAnsiTheme="minorHAnsi" w:cstheme="minorHAnsi"/>
                <w:color w:val="000000"/>
              </w:rPr>
            </w:pP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39430B7F" w14:textId="77777777">
            <w:pPr>
              <w:widowControl w:val="0"/>
              <w:autoSpaceDE w:val="0"/>
              <w:autoSpaceDN w:val="0"/>
              <w:adjustRightInd w:val="0"/>
              <w:jc w:val="center"/>
              <w:outlineLvl w:val="0"/>
              <w:rPr>
                <w:rFonts w:asciiTheme="minorHAnsi" w:hAnsiTheme="minorHAnsi" w:cstheme="minorHAnsi"/>
                <w:color w:val="000000"/>
              </w:rPr>
            </w:pP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5C1CE4A6" w14:textId="77777777">
            <w:pPr>
              <w:widowControl w:val="0"/>
              <w:autoSpaceDE w:val="0"/>
              <w:autoSpaceDN w:val="0"/>
              <w:adjustRightInd w:val="0"/>
              <w:jc w:val="center"/>
              <w:outlineLvl w:val="0"/>
              <w:rPr>
                <w:rFonts w:asciiTheme="minorHAnsi" w:hAnsiTheme="minorHAnsi" w:cstheme="minorHAnsi"/>
                <w:color w:val="000000"/>
              </w:rPr>
            </w:pP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5B7C9928" w14:textId="77777777">
            <w:pPr>
              <w:widowControl w:val="0"/>
              <w:autoSpaceDE w:val="0"/>
              <w:autoSpaceDN w:val="0"/>
              <w:adjustRightInd w:val="0"/>
              <w:jc w:val="center"/>
              <w:outlineLvl w:val="0"/>
              <w:rPr>
                <w:rFonts w:asciiTheme="minorHAnsi" w:hAnsiTheme="minorHAnsi" w:cstheme="minorHAnsi"/>
                <w:color w:val="000000"/>
              </w:rPr>
            </w:pP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560C801A" w14:textId="77777777">
            <w:pPr>
              <w:widowControl w:val="0"/>
              <w:autoSpaceDE w:val="0"/>
              <w:autoSpaceDN w:val="0"/>
              <w:adjustRightInd w:val="0"/>
              <w:jc w:val="center"/>
              <w:outlineLvl w:val="0"/>
              <w:rPr>
                <w:rFonts w:asciiTheme="minorHAnsi" w:hAnsiTheme="minorHAnsi" w:cstheme="minorHAnsi"/>
                <w:color w:val="000000"/>
              </w:rPr>
            </w:pP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389B46DA" w14:textId="77777777">
            <w:pPr>
              <w:widowControl w:val="0"/>
              <w:autoSpaceDE w:val="0"/>
              <w:autoSpaceDN w:val="0"/>
              <w:adjustRightInd w:val="0"/>
              <w:jc w:val="center"/>
              <w:outlineLvl w:val="0"/>
              <w:rPr>
                <w:rFonts w:asciiTheme="minorHAnsi" w:hAnsiTheme="minorHAnsi" w:cstheme="minorHAnsi"/>
                <w:color w:val="000000"/>
              </w:rPr>
            </w:pP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37F9F821" w14:textId="77777777">
            <w:pPr>
              <w:widowControl w:val="0"/>
              <w:autoSpaceDE w:val="0"/>
              <w:autoSpaceDN w:val="0"/>
              <w:adjustRightInd w:val="0"/>
              <w:jc w:val="right"/>
              <w:outlineLvl w:val="0"/>
              <w:rPr>
                <w:rFonts w:asciiTheme="minorHAnsi" w:hAnsiTheme="minorHAnsi" w:cstheme="minorHAnsi"/>
                <w:color w:val="000000"/>
              </w:rPr>
            </w:pPr>
          </w:p>
        </w:tc>
      </w:tr>
      <w:tr w14:paraId="48317F98"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1CED2482"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A. Familiarize with regulatory requirements</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509E5090"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See 3A</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64858D23" w14:textId="77777777">
            <w:pPr>
              <w:widowControl w:val="0"/>
              <w:autoSpaceDE w:val="0"/>
              <w:autoSpaceDN w:val="0"/>
              <w:adjustRightInd w:val="0"/>
              <w:jc w:val="center"/>
              <w:outlineLvl w:val="0"/>
              <w:rPr>
                <w:rFonts w:asciiTheme="minorHAnsi" w:hAnsiTheme="minorHAnsi" w:cstheme="minorHAnsi"/>
                <w:color w:val="000000"/>
              </w:rPr>
            </w:pP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728455F9" w14:textId="77777777">
            <w:pPr>
              <w:widowControl w:val="0"/>
              <w:autoSpaceDE w:val="0"/>
              <w:autoSpaceDN w:val="0"/>
              <w:adjustRightInd w:val="0"/>
              <w:jc w:val="center"/>
              <w:outlineLvl w:val="0"/>
              <w:rPr>
                <w:rFonts w:asciiTheme="minorHAnsi" w:hAnsiTheme="minorHAnsi" w:cstheme="minorHAnsi"/>
                <w:color w:val="000000"/>
              </w:rPr>
            </w:pP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59E31EA0" w14:textId="77777777">
            <w:pPr>
              <w:widowControl w:val="0"/>
              <w:autoSpaceDE w:val="0"/>
              <w:autoSpaceDN w:val="0"/>
              <w:adjustRightInd w:val="0"/>
              <w:jc w:val="center"/>
              <w:outlineLvl w:val="0"/>
              <w:rPr>
                <w:rFonts w:asciiTheme="minorHAnsi" w:hAnsiTheme="minorHAnsi" w:cstheme="minorHAnsi"/>
                <w:color w:val="000000"/>
              </w:rPr>
            </w:pP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791AD2FD" w14:textId="77777777">
            <w:pPr>
              <w:widowControl w:val="0"/>
              <w:autoSpaceDE w:val="0"/>
              <w:autoSpaceDN w:val="0"/>
              <w:adjustRightInd w:val="0"/>
              <w:jc w:val="center"/>
              <w:outlineLvl w:val="0"/>
              <w:rPr>
                <w:rFonts w:asciiTheme="minorHAnsi" w:hAnsiTheme="minorHAnsi" w:cstheme="minorHAnsi"/>
                <w:color w:val="000000"/>
              </w:rPr>
            </w:pP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151D1F36" w14:textId="77777777">
            <w:pPr>
              <w:widowControl w:val="0"/>
              <w:autoSpaceDE w:val="0"/>
              <w:autoSpaceDN w:val="0"/>
              <w:adjustRightInd w:val="0"/>
              <w:jc w:val="center"/>
              <w:outlineLvl w:val="0"/>
              <w:rPr>
                <w:rFonts w:asciiTheme="minorHAnsi" w:hAnsiTheme="minorHAnsi" w:cstheme="minorHAnsi"/>
                <w:color w:val="000000"/>
              </w:rPr>
            </w:pP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1943124B" w14:textId="77777777">
            <w:pPr>
              <w:widowControl w:val="0"/>
              <w:autoSpaceDE w:val="0"/>
              <w:autoSpaceDN w:val="0"/>
              <w:adjustRightInd w:val="0"/>
              <w:jc w:val="center"/>
              <w:outlineLvl w:val="0"/>
              <w:rPr>
                <w:rFonts w:asciiTheme="minorHAnsi" w:hAnsiTheme="minorHAnsi" w:cstheme="minorHAnsi"/>
                <w:color w:val="000000"/>
              </w:rPr>
            </w:pP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3D217926" w14:textId="77777777">
            <w:pPr>
              <w:widowControl w:val="0"/>
              <w:autoSpaceDE w:val="0"/>
              <w:autoSpaceDN w:val="0"/>
              <w:adjustRightInd w:val="0"/>
              <w:jc w:val="right"/>
              <w:outlineLvl w:val="0"/>
              <w:rPr>
                <w:rFonts w:asciiTheme="minorHAnsi" w:hAnsiTheme="minorHAnsi" w:cstheme="minorHAnsi"/>
                <w:color w:val="000000"/>
              </w:rPr>
            </w:pPr>
          </w:p>
        </w:tc>
      </w:tr>
      <w:tr w14:paraId="2644AE75"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2DF8CD6D"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B. Plan activities</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3CED94F5" w14:textId="300DBC7A">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1</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017843FD"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7DD4F13C" w14:textId="625983DC">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1</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6D379111"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07C531BD" w14:textId="3567F6AA">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4,632</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3311DD2D" w14:textId="18345949">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231.6</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4F5EE60E" w14:textId="60607512">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463.2</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06AC97B5" w14:textId="78D5412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w:t>
            </w:r>
            <w:r w:rsidR="004A331E">
              <w:rPr>
                <w:rFonts w:asciiTheme="minorHAnsi" w:hAnsiTheme="minorHAnsi" w:cstheme="minorHAnsi"/>
                <w:color w:val="000000"/>
              </w:rPr>
              <w:t>412,887</w:t>
            </w:r>
            <w:r w:rsidRPr="00224E24">
              <w:rPr>
                <w:rFonts w:asciiTheme="minorHAnsi" w:hAnsiTheme="minorHAnsi" w:cstheme="minorHAnsi"/>
                <w:color w:val="000000"/>
              </w:rPr>
              <w:t xml:space="preserve"> </w:t>
            </w:r>
          </w:p>
        </w:tc>
      </w:tr>
      <w:tr w14:paraId="51BB0C5B"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33E57EB8"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C. Implement activities</w:t>
            </w:r>
          </w:p>
        </w:tc>
        <w:tc>
          <w:tcPr>
            <w:tcW w:w="1170" w:type="dxa"/>
            <w:tcBorders>
              <w:top w:val="nil"/>
              <w:left w:val="nil"/>
              <w:bottom w:val="single" w:sz="4" w:space="0" w:color="auto"/>
              <w:right w:val="single" w:sz="4" w:space="0" w:color="auto"/>
            </w:tcBorders>
            <w:shd w:val="clear" w:color="auto" w:fill="auto"/>
            <w:noWrap/>
            <w:vAlign w:val="bottom"/>
          </w:tcPr>
          <w:p w:rsidR="00224E24" w:rsidRPr="00224E24" w:rsidP="00224E24" w14:paraId="063B25E0" w14:textId="48FB944D">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2</w:t>
            </w:r>
          </w:p>
        </w:tc>
        <w:tc>
          <w:tcPr>
            <w:tcW w:w="1260" w:type="dxa"/>
            <w:tcBorders>
              <w:top w:val="nil"/>
              <w:left w:val="nil"/>
              <w:bottom w:val="single" w:sz="4" w:space="0" w:color="auto"/>
              <w:right w:val="single" w:sz="4" w:space="0" w:color="auto"/>
            </w:tcBorders>
            <w:shd w:val="clear" w:color="auto" w:fill="auto"/>
            <w:noWrap/>
            <w:vAlign w:val="bottom"/>
          </w:tcPr>
          <w:p w:rsidR="00224E24" w:rsidRPr="00224E24" w:rsidP="00224E24" w14:paraId="2628AB5D"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0142CFFA" w14:textId="2F94766C">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2</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7B315E5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2FFD3C79" w14:textId="2E194B91">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9,264</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2105BF8E" w14:textId="15822F30">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463.2</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74927D01" w14:textId="34F19725">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color w:val="000000"/>
              </w:rPr>
              <w:t>926.4</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32D28813" w14:textId="62FEC76D">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w:t>
            </w:r>
            <w:r w:rsidR="004A331E">
              <w:rPr>
                <w:rFonts w:asciiTheme="minorHAnsi" w:hAnsiTheme="minorHAnsi" w:cstheme="minorHAnsi"/>
                <w:color w:val="000000"/>
              </w:rPr>
              <w:t>825,774</w:t>
            </w:r>
            <w:r w:rsidRPr="00224E24">
              <w:rPr>
                <w:rFonts w:asciiTheme="minorHAnsi" w:hAnsiTheme="minorHAnsi" w:cstheme="minorHAnsi"/>
                <w:color w:val="000000"/>
              </w:rPr>
              <w:t xml:space="preserve"> </w:t>
            </w:r>
          </w:p>
        </w:tc>
      </w:tr>
      <w:tr w14:paraId="4910DB96"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0FD5D587"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D. Develop record system</w:t>
            </w:r>
          </w:p>
        </w:tc>
        <w:tc>
          <w:tcPr>
            <w:tcW w:w="1170" w:type="dxa"/>
            <w:tcBorders>
              <w:top w:val="nil"/>
              <w:left w:val="nil"/>
              <w:bottom w:val="single" w:sz="4" w:space="0" w:color="auto"/>
              <w:right w:val="single" w:sz="4" w:space="0" w:color="auto"/>
            </w:tcBorders>
            <w:shd w:val="clear" w:color="auto" w:fill="auto"/>
            <w:noWrap/>
            <w:vAlign w:val="bottom"/>
          </w:tcPr>
          <w:p w:rsidR="00224E24" w:rsidRPr="00224E24" w:rsidP="00224E24" w14:paraId="196D670D"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260" w:type="dxa"/>
            <w:tcBorders>
              <w:top w:val="nil"/>
              <w:left w:val="nil"/>
              <w:bottom w:val="single" w:sz="4" w:space="0" w:color="auto"/>
              <w:right w:val="single" w:sz="4" w:space="0" w:color="auto"/>
            </w:tcBorders>
            <w:shd w:val="clear" w:color="auto" w:fill="auto"/>
            <w:noWrap/>
            <w:vAlign w:val="bottom"/>
          </w:tcPr>
          <w:p w:rsidR="00224E24" w:rsidRPr="00224E24" w:rsidP="00224E24" w14:paraId="15170A62"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2FF60EF8"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0DA910DF"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29F8E725"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4CC84FC1"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231.6</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3BA88CBC"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4C2BD82C"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$412,887 </w:t>
            </w:r>
          </w:p>
        </w:tc>
      </w:tr>
      <w:tr w14:paraId="6ADBECAB"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26C4EDE6"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E. Time to enter information</w:t>
            </w:r>
          </w:p>
        </w:tc>
        <w:tc>
          <w:tcPr>
            <w:tcW w:w="1170" w:type="dxa"/>
            <w:tcBorders>
              <w:top w:val="nil"/>
              <w:left w:val="nil"/>
              <w:bottom w:val="single" w:sz="4" w:space="0" w:color="auto"/>
              <w:right w:val="single" w:sz="4" w:space="0" w:color="auto"/>
            </w:tcBorders>
            <w:shd w:val="clear" w:color="auto" w:fill="auto"/>
            <w:noWrap/>
            <w:vAlign w:val="bottom"/>
          </w:tcPr>
          <w:p w:rsidR="00224E24" w:rsidRPr="00224E24" w:rsidP="00224E24" w14:paraId="6BE75350"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0.5</w:t>
            </w:r>
          </w:p>
        </w:tc>
        <w:tc>
          <w:tcPr>
            <w:tcW w:w="1260" w:type="dxa"/>
            <w:tcBorders>
              <w:top w:val="nil"/>
              <w:left w:val="nil"/>
              <w:bottom w:val="single" w:sz="4" w:space="0" w:color="auto"/>
              <w:right w:val="single" w:sz="4" w:space="0" w:color="auto"/>
            </w:tcBorders>
            <w:shd w:val="clear" w:color="auto" w:fill="auto"/>
            <w:noWrap/>
            <w:vAlign w:val="bottom"/>
          </w:tcPr>
          <w:p w:rsidR="00224E24" w:rsidRPr="00224E24" w:rsidP="00224E24" w14:paraId="24741E3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15B74101"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324578DD"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2E3A8449"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15F1C1BC"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231.6</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76A1FB45"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3F318C30"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$412,887 </w:t>
            </w:r>
          </w:p>
        </w:tc>
      </w:tr>
      <w:tr w14:paraId="37B05FFF"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12135728"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F. Time to train personnel</w:t>
            </w:r>
          </w:p>
        </w:tc>
        <w:tc>
          <w:tcPr>
            <w:tcW w:w="1170" w:type="dxa"/>
            <w:tcBorders>
              <w:top w:val="nil"/>
              <w:left w:val="nil"/>
              <w:bottom w:val="single" w:sz="4" w:space="0" w:color="auto"/>
              <w:right w:val="single" w:sz="4" w:space="0" w:color="auto"/>
            </w:tcBorders>
            <w:shd w:val="clear" w:color="auto" w:fill="auto"/>
            <w:noWrap/>
            <w:vAlign w:val="bottom"/>
          </w:tcPr>
          <w:p w:rsidR="00224E24" w:rsidRPr="00224E24" w:rsidP="00224E24" w14:paraId="0B0356E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w:t>
            </w:r>
          </w:p>
        </w:tc>
        <w:tc>
          <w:tcPr>
            <w:tcW w:w="1260" w:type="dxa"/>
            <w:tcBorders>
              <w:top w:val="nil"/>
              <w:left w:val="nil"/>
              <w:bottom w:val="single" w:sz="4" w:space="0" w:color="auto"/>
              <w:right w:val="single" w:sz="4" w:space="0" w:color="auto"/>
            </w:tcBorders>
            <w:shd w:val="clear" w:color="auto" w:fill="auto"/>
            <w:noWrap/>
            <w:vAlign w:val="bottom"/>
          </w:tcPr>
          <w:p w:rsidR="00224E24" w:rsidRPr="00224E24" w:rsidP="00224E24" w14:paraId="1A298654"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4613170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6566A76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2E31080A"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9,264</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2A0E3782"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7E7441D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926.4</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4D0E466B"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$825,774 </w:t>
            </w:r>
          </w:p>
        </w:tc>
      </w:tr>
      <w:tr w14:paraId="538C14BD"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045F8D69"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 xml:space="preserve">G. Time to adjust existing ways to comply </w:t>
            </w:r>
            <w:r w:rsidRPr="00224E24">
              <w:rPr>
                <w:rFonts w:asciiTheme="minorHAnsi" w:hAnsiTheme="minorHAnsi" w:cstheme="minorHAnsi"/>
                <w:color w:val="000000"/>
              </w:rPr>
              <w:t>with previously applicable requirements</w:t>
            </w:r>
          </w:p>
        </w:tc>
        <w:tc>
          <w:tcPr>
            <w:tcW w:w="1170" w:type="dxa"/>
            <w:tcBorders>
              <w:top w:val="nil"/>
              <w:left w:val="nil"/>
              <w:bottom w:val="single" w:sz="4" w:space="0" w:color="auto"/>
              <w:right w:val="single" w:sz="4" w:space="0" w:color="auto"/>
            </w:tcBorders>
            <w:shd w:val="clear" w:color="auto" w:fill="auto"/>
            <w:noWrap/>
            <w:vAlign w:val="bottom"/>
          </w:tcPr>
          <w:p w:rsidR="00224E24" w:rsidRPr="00224E24" w:rsidP="00224E24" w14:paraId="60C0AB7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w:t>
            </w:r>
          </w:p>
        </w:tc>
        <w:tc>
          <w:tcPr>
            <w:tcW w:w="1260" w:type="dxa"/>
            <w:tcBorders>
              <w:top w:val="nil"/>
              <w:left w:val="nil"/>
              <w:bottom w:val="single" w:sz="4" w:space="0" w:color="auto"/>
              <w:right w:val="single" w:sz="4" w:space="0" w:color="auto"/>
            </w:tcBorders>
            <w:shd w:val="clear" w:color="auto" w:fill="auto"/>
            <w:noWrap/>
            <w:vAlign w:val="bottom"/>
          </w:tcPr>
          <w:p w:rsidR="00224E24" w:rsidRPr="00224E24" w:rsidP="00224E24" w14:paraId="5A7EE885"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51AB0C8F"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2A0DA66A"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68B5E98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9,264</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25CCC2A7"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3B5435A5"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926.4</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289ABE87"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$825,774 </w:t>
            </w:r>
          </w:p>
        </w:tc>
      </w:tr>
      <w:tr w14:paraId="145C5508"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40046C61"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color w:val="000000"/>
              </w:rPr>
              <w:t>H. Time to transit information</w:t>
            </w:r>
          </w:p>
        </w:tc>
        <w:tc>
          <w:tcPr>
            <w:tcW w:w="1170" w:type="dxa"/>
            <w:tcBorders>
              <w:top w:val="nil"/>
              <w:left w:val="nil"/>
              <w:bottom w:val="single" w:sz="4" w:space="0" w:color="auto"/>
              <w:right w:val="single" w:sz="4" w:space="0" w:color="auto"/>
            </w:tcBorders>
            <w:shd w:val="clear" w:color="auto" w:fill="auto"/>
            <w:noWrap/>
            <w:vAlign w:val="bottom"/>
          </w:tcPr>
          <w:p w:rsidR="00224E24" w:rsidRPr="00224E24" w:rsidP="00224E24" w14:paraId="04BE974A"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0.25</w:t>
            </w:r>
          </w:p>
        </w:tc>
        <w:tc>
          <w:tcPr>
            <w:tcW w:w="1260" w:type="dxa"/>
            <w:tcBorders>
              <w:top w:val="nil"/>
              <w:left w:val="nil"/>
              <w:bottom w:val="single" w:sz="4" w:space="0" w:color="auto"/>
              <w:right w:val="single" w:sz="4" w:space="0" w:color="auto"/>
            </w:tcBorders>
            <w:shd w:val="clear" w:color="auto" w:fill="auto"/>
            <w:noWrap/>
            <w:vAlign w:val="bottom"/>
          </w:tcPr>
          <w:p w:rsidR="00224E24" w:rsidRPr="00224E24" w:rsidP="00224E24" w14:paraId="1EBEA164"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w:t>
            </w: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124232F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0.5</w:t>
            </w: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10A961E8"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4,632</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4D1DBBA6"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2,316</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08B4BC41"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115.8</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18A6C123" w14:textId="77777777">
            <w:pPr>
              <w:widowControl w:val="0"/>
              <w:autoSpaceDE w:val="0"/>
              <w:autoSpaceDN w:val="0"/>
              <w:adjustRightInd w:val="0"/>
              <w:jc w:val="center"/>
              <w:outlineLvl w:val="0"/>
              <w:rPr>
                <w:rFonts w:asciiTheme="minorHAnsi" w:hAnsiTheme="minorHAnsi" w:cstheme="minorHAnsi"/>
                <w:color w:val="000000"/>
              </w:rPr>
            </w:pPr>
            <w:r w:rsidRPr="00224E24">
              <w:rPr>
                <w:rFonts w:asciiTheme="minorHAnsi" w:hAnsiTheme="minorHAnsi" w:cstheme="minorHAnsi"/>
                <w:color w:val="000000"/>
              </w:rPr>
              <w:t>231.6</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504C260B" w14:textId="77777777">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color w:val="000000"/>
              </w:rPr>
              <w:t xml:space="preserve">$206,444 </w:t>
            </w:r>
          </w:p>
        </w:tc>
      </w:tr>
      <w:tr w14:paraId="38B2BA33" w14:textId="77777777" w:rsidTr="00224E24">
        <w:tblPrEx>
          <w:tblW w:w="12937" w:type="dxa"/>
          <w:tblInd w:w="108" w:type="dxa"/>
          <w:tblLayout w:type="fixed"/>
          <w:tblLook w:val="04A0"/>
        </w:tblPrEx>
        <w:trPr>
          <w:trHeight w:val="300"/>
        </w:trPr>
        <w:tc>
          <w:tcPr>
            <w:tcW w:w="3577"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3536D000" w14:textId="77777777">
            <w:pPr>
              <w:widowControl w:val="0"/>
              <w:autoSpaceDE w:val="0"/>
              <w:autoSpaceDN w:val="0"/>
              <w:adjustRightInd w:val="0"/>
              <w:outlineLvl w:val="0"/>
              <w:rPr>
                <w:rFonts w:asciiTheme="minorHAnsi" w:hAnsiTheme="minorHAnsi" w:cstheme="minorHAnsi"/>
                <w:color w:val="000000"/>
              </w:rPr>
            </w:pPr>
            <w:r w:rsidRPr="00224E24">
              <w:rPr>
                <w:rFonts w:asciiTheme="minorHAnsi" w:hAnsiTheme="minorHAnsi" w:cstheme="minorHAnsi"/>
                <w:b/>
                <w:bCs/>
                <w:i/>
                <w:iCs/>
              </w:rPr>
              <w:t>Subtotal for Recordkeeping Requirements</w:t>
            </w: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12D65D67" w14:textId="77777777">
            <w:pPr>
              <w:widowControl w:val="0"/>
              <w:autoSpaceDE w:val="0"/>
              <w:autoSpaceDN w:val="0"/>
              <w:adjustRightInd w:val="0"/>
              <w:jc w:val="center"/>
              <w:outlineLvl w:val="0"/>
              <w:rPr>
                <w:rFonts w:asciiTheme="minorHAnsi" w:hAnsiTheme="minorHAnsi" w:cstheme="minorHAnsi"/>
                <w:color w:val="000000"/>
              </w:rPr>
            </w:pP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44CA043F" w14:textId="77777777">
            <w:pPr>
              <w:widowControl w:val="0"/>
              <w:autoSpaceDE w:val="0"/>
              <w:autoSpaceDN w:val="0"/>
              <w:adjustRightInd w:val="0"/>
              <w:jc w:val="center"/>
              <w:outlineLvl w:val="0"/>
              <w:rPr>
                <w:rFonts w:asciiTheme="minorHAnsi" w:hAnsiTheme="minorHAnsi" w:cstheme="minorHAnsi"/>
                <w:color w:val="000000"/>
              </w:rPr>
            </w:pPr>
          </w:p>
        </w:tc>
        <w:tc>
          <w:tcPr>
            <w:tcW w:w="1013" w:type="dxa"/>
            <w:tcBorders>
              <w:top w:val="nil"/>
              <w:left w:val="nil"/>
              <w:bottom w:val="single" w:sz="4" w:space="0" w:color="auto"/>
              <w:right w:val="single" w:sz="4" w:space="0" w:color="auto"/>
            </w:tcBorders>
            <w:shd w:val="clear" w:color="auto" w:fill="auto"/>
            <w:noWrap/>
            <w:vAlign w:val="center"/>
          </w:tcPr>
          <w:p w:rsidR="00224E24" w:rsidRPr="00224E24" w:rsidP="00224E24" w14:paraId="1511B7D6" w14:textId="77777777">
            <w:pPr>
              <w:widowControl w:val="0"/>
              <w:autoSpaceDE w:val="0"/>
              <w:autoSpaceDN w:val="0"/>
              <w:adjustRightInd w:val="0"/>
              <w:jc w:val="center"/>
              <w:outlineLvl w:val="0"/>
              <w:rPr>
                <w:rFonts w:asciiTheme="minorHAnsi" w:hAnsiTheme="minorHAnsi" w:cstheme="minorHAnsi"/>
                <w:color w:val="000000"/>
              </w:rPr>
            </w:pPr>
          </w:p>
        </w:tc>
        <w:tc>
          <w:tcPr>
            <w:tcW w:w="1327" w:type="dxa"/>
            <w:tcBorders>
              <w:top w:val="nil"/>
              <w:left w:val="nil"/>
              <w:bottom w:val="single" w:sz="4" w:space="0" w:color="auto"/>
              <w:right w:val="single" w:sz="4" w:space="0" w:color="auto"/>
            </w:tcBorders>
            <w:shd w:val="clear" w:color="auto" w:fill="auto"/>
            <w:noWrap/>
            <w:vAlign w:val="center"/>
          </w:tcPr>
          <w:p w:rsidR="00224E24" w:rsidRPr="00224E24" w:rsidP="00224E24" w14:paraId="63C64323" w14:textId="77777777">
            <w:pPr>
              <w:widowControl w:val="0"/>
              <w:autoSpaceDE w:val="0"/>
              <w:autoSpaceDN w:val="0"/>
              <w:adjustRightInd w:val="0"/>
              <w:jc w:val="center"/>
              <w:outlineLvl w:val="0"/>
              <w:rPr>
                <w:rFonts w:asciiTheme="minorHAnsi" w:hAnsiTheme="minorHAnsi" w:cstheme="minorHAnsi"/>
                <w:color w:val="000000"/>
              </w:rPr>
            </w:pPr>
          </w:p>
        </w:tc>
        <w:tc>
          <w:tcPr>
            <w:tcW w:w="1170" w:type="dxa"/>
            <w:tcBorders>
              <w:top w:val="nil"/>
              <w:left w:val="nil"/>
              <w:bottom w:val="single" w:sz="4" w:space="0" w:color="auto"/>
              <w:right w:val="single" w:sz="4" w:space="0" w:color="auto"/>
            </w:tcBorders>
            <w:shd w:val="clear" w:color="auto" w:fill="auto"/>
            <w:noWrap/>
            <w:vAlign w:val="center"/>
          </w:tcPr>
          <w:p w:rsidR="00224E24" w:rsidRPr="00224E24" w:rsidP="00224E24" w14:paraId="480A90F9" w14:textId="66431F07">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b/>
                <w:i/>
                <w:iCs/>
              </w:rPr>
              <w:t>44,004</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58687294" w14:textId="21CE3FBE">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b/>
                <w:bCs/>
                <w:i/>
                <w:iCs/>
                <w:color w:val="000000"/>
              </w:rPr>
              <w:t>2,200</w:t>
            </w:r>
          </w:p>
        </w:tc>
        <w:tc>
          <w:tcPr>
            <w:tcW w:w="990" w:type="dxa"/>
            <w:tcBorders>
              <w:top w:val="nil"/>
              <w:left w:val="nil"/>
              <w:bottom w:val="single" w:sz="4" w:space="0" w:color="auto"/>
              <w:right w:val="single" w:sz="4" w:space="0" w:color="auto"/>
            </w:tcBorders>
            <w:shd w:val="clear" w:color="auto" w:fill="auto"/>
            <w:noWrap/>
            <w:vAlign w:val="center"/>
          </w:tcPr>
          <w:p w:rsidR="00224E24" w:rsidRPr="00224E24" w:rsidP="00224E24" w14:paraId="3A00749A" w14:textId="3A083206">
            <w:pPr>
              <w:widowControl w:val="0"/>
              <w:autoSpaceDE w:val="0"/>
              <w:autoSpaceDN w:val="0"/>
              <w:adjustRightInd w:val="0"/>
              <w:jc w:val="center"/>
              <w:outlineLvl w:val="0"/>
              <w:rPr>
                <w:rFonts w:asciiTheme="minorHAnsi" w:hAnsiTheme="minorHAnsi" w:cstheme="minorHAnsi"/>
                <w:color w:val="000000"/>
              </w:rPr>
            </w:pPr>
            <w:r w:rsidR="004A331E">
              <w:rPr>
                <w:rFonts w:asciiTheme="minorHAnsi" w:hAnsiTheme="minorHAnsi" w:cstheme="minorHAnsi"/>
                <w:b/>
                <w:bCs/>
                <w:i/>
                <w:iCs/>
                <w:color w:val="000000"/>
              </w:rPr>
              <w:t>4,400</w:t>
            </w:r>
          </w:p>
        </w:tc>
        <w:tc>
          <w:tcPr>
            <w:tcW w:w="1170" w:type="dxa"/>
            <w:gridSpan w:val="2"/>
            <w:tcBorders>
              <w:top w:val="nil"/>
              <w:left w:val="nil"/>
              <w:bottom w:val="single" w:sz="4" w:space="0" w:color="auto"/>
              <w:right w:val="single" w:sz="4" w:space="0" w:color="auto"/>
            </w:tcBorders>
            <w:shd w:val="clear" w:color="auto" w:fill="auto"/>
            <w:noWrap/>
            <w:vAlign w:val="center"/>
          </w:tcPr>
          <w:p w:rsidR="00224E24" w:rsidRPr="00224E24" w:rsidP="00224E24" w14:paraId="3E8613CF" w14:textId="5D0A23DF">
            <w:pPr>
              <w:widowControl w:val="0"/>
              <w:autoSpaceDE w:val="0"/>
              <w:autoSpaceDN w:val="0"/>
              <w:adjustRightInd w:val="0"/>
              <w:jc w:val="right"/>
              <w:outlineLvl w:val="0"/>
              <w:rPr>
                <w:rFonts w:asciiTheme="minorHAnsi" w:hAnsiTheme="minorHAnsi" w:cstheme="minorHAnsi"/>
                <w:color w:val="000000"/>
              </w:rPr>
            </w:pPr>
            <w:r w:rsidRPr="00224E24">
              <w:rPr>
                <w:rFonts w:asciiTheme="minorHAnsi" w:hAnsiTheme="minorHAnsi" w:cstheme="minorHAnsi"/>
                <w:b/>
                <w:bCs/>
                <w:i/>
                <w:iCs/>
                <w:color w:val="000000"/>
              </w:rPr>
              <w:t>$</w:t>
            </w:r>
            <w:r w:rsidR="000B1409">
              <w:rPr>
                <w:rFonts w:asciiTheme="minorHAnsi" w:hAnsiTheme="minorHAnsi" w:cstheme="minorHAnsi"/>
                <w:b/>
                <w:bCs/>
                <w:i/>
                <w:iCs/>
                <w:color w:val="000000"/>
              </w:rPr>
              <w:t>3,922,379</w:t>
            </w:r>
          </w:p>
        </w:tc>
      </w:tr>
      <w:tr w14:paraId="73B5ECA7" w14:textId="77777777" w:rsidTr="00224E24">
        <w:tblPrEx>
          <w:tblW w:w="12937" w:type="dxa"/>
          <w:tblInd w:w="108" w:type="dxa"/>
          <w:tblLayout w:type="fixed"/>
          <w:tblLook w:val="04A0"/>
        </w:tblPrEx>
        <w:trPr>
          <w:trHeight w:val="420"/>
        </w:trPr>
        <w:tc>
          <w:tcPr>
            <w:tcW w:w="3577" w:type="dxa"/>
            <w:noWrap/>
            <w:vAlign w:val="center"/>
            <w:hideMark/>
          </w:tcPr>
          <w:p w:rsidR="00224E24" w:rsidRPr="00224E24" w:rsidP="00224E24" w14:paraId="3B9E13BD"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
                <w:bCs/>
              </w:rPr>
              <w:t xml:space="preserve">TOTAL LABOR BURDEN AND COST </w:t>
            </w:r>
          </w:p>
        </w:tc>
        <w:tc>
          <w:tcPr>
            <w:tcW w:w="1170" w:type="dxa"/>
            <w:noWrap/>
            <w:vAlign w:val="center"/>
            <w:hideMark/>
          </w:tcPr>
          <w:p w:rsidR="00224E24" w:rsidRPr="00224E24" w:rsidP="00224E24" w14:paraId="3A681200" w14:textId="77777777">
            <w:pPr>
              <w:widowControl w:val="0"/>
              <w:autoSpaceDE w:val="0"/>
              <w:autoSpaceDN w:val="0"/>
              <w:adjustRightInd w:val="0"/>
              <w:jc w:val="center"/>
              <w:outlineLvl w:val="0"/>
              <w:rPr>
                <w:rFonts w:asciiTheme="minorHAnsi" w:hAnsiTheme="minorHAnsi" w:cstheme="minorHAnsi"/>
                <w:bCs/>
              </w:rPr>
            </w:pPr>
          </w:p>
        </w:tc>
        <w:tc>
          <w:tcPr>
            <w:tcW w:w="1260" w:type="dxa"/>
            <w:noWrap/>
            <w:vAlign w:val="center"/>
            <w:hideMark/>
          </w:tcPr>
          <w:p w:rsidR="00224E24" w:rsidRPr="00224E24" w:rsidP="00224E24" w14:paraId="458769C2" w14:textId="77777777">
            <w:pPr>
              <w:widowControl w:val="0"/>
              <w:autoSpaceDE w:val="0"/>
              <w:autoSpaceDN w:val="0"/>
              <w:adjustRightInd w:val="0"/>
              <w:jc w:val="center"/>
              <w:outlineLvl w:val="0"/>
              <w:rPr>
                <w:rFonts w:asciiTheme="minorHAnsi" w:hAnsiTheme="minorHAnsi" w:cstheme="minorHAnsi"/>
                <w:bCs/>
              </w:rPr>
            </w:pPr>
          </w:p>
        </w:tc>
        <w:tc>
          <w:tcPr>
            <w:tcW w:w="1013" w:type="dxa"/>
            <w:noWrap/>
            <w:vAlign w:val="center"/>
            <w:hideMark/>
          </w:tcPr>
          <w:p w:rsidR="00224E24" w:rsidRPr="00224E24" w:rsidP="00224E24" w14:paraId="76F1168F" w14:textId="77777777">
            <w:pPr>
              <w:widowControl w:val="0"/>
              <w:autoSpaceDE w:val="0"/>
              <w:autoSpaceDN w:val="0"/>
              <w:adjustRightInd w:val="0"/>
              <w:jc w:val="center"/>
              <w:outlineLvl w:val="0"/>
              <w:rPr>
                <w:rFonts w:asciiTheme="minorHAnsi" w:hAnsiTheme="minorHAnsi" w:cstheme="minorHAnsi"/>
                <w:bCs/>
              </w:rPr>
            </w:pPr>
          </w:p>
        </w:tc>
        <w:tc>
          <w:tcPr>
            <w:tcW w:w="1327" w:type="dxa"/>
            <w:noWrap/>
            <w:vAlign w:val="center"/>
            <w:hideMark/>
          </w:tcPr>
          <w:p w:rsidR="00224E24" w:rsidRPr="00224E24" w:rsidP="00224E24" w14:paraId="19FB590C" w14:textId="77777777">
            <w:pPr>
              <w:widowControl w:val="0"/>
              <w:autoSpaceDE w:val="0"/>
              <w:autoSpaceDN w:val="0"/>
              <w:adjustRightInd w:val="0"/>
              <w:jc w:val="center"/>
              <w:outlineLvl w:val="0"/>
              <w:rPr>
                <w:rFonts w:asciiTheme="minorHAnsi" w:hAnsiTheme="minorHAnsi" w:cstheme="minorHAnsi"/>
                <w:bCs/>
              </w:rPr>
            </w:pPr>
          </w:p>
        </w:tc>
        <w:tc>
          <w:tcPr>
            <w:tcW w:w="3436" w:type="dxa"/>
            <w:gridSpan w:val="4"/>
            <w:noWrap/>
            <w:vAlign w:val="center"/>
            <w:hideMark/>
          </w:tcPr>
          <w:p w:rsidR="00224E24" w:rsidRPr="00224E24" w:rsidP="00224E24" w14:paraId="5A93E6D1" w14:textId="77777777">
            <w:pPr>
              <w:widowControl w:val="0"/>
              <w:autoSpaceDE w:val="0"/>
              <w:autoSpaceDN w:val="0"/>
              <w:adjustRightInd w:val="0"/>
              <w:jc w:val="center"/>
              <w:outlineLvl w:val="0"/>
              <w:rPr>
                <w:rFonts w:asciiTheme="minorHAnsi" w:hAnsiTheme="minorHAnsi" w:cstheme="minorHAnsi"/>
                <w:b/>
                <w:bCs/>
              </w:rPr>
            </w:pPr>
            <w:r w:rsidRPr="00224E24">
              <w:rPr>
                <w:rFonts w:asciiTheme="minorHAnsi" w:hAnsiTheme="minorHAnsi" w:cstheme="minorHAnsi"/>
                <w:b/>
                <w:bCs/>
              </w:rPr>
              <w:t>83,882</w:t>
            </w:r>
          </w:p>
        </w:tc>
        <w:tc>
          <w:tcPr>
            <w:tcW w:w="1154" w:type="dxa"/>
            <w:noWrap/>
            <w:vAlign w:val="center"/>
            <w:hideMark/>
          </w:tcPr>
          <w:p w:rsidR="00224E24" w:rsidRPr="00224E24" w:rsidP="00224E24" w14:paraId="770AC85F" w14:textId="77777777">
            <w:pPr>
              <w:widowControl w:val="0"/>
              <w:autoSpaceDE w:val="0"/>
              <w:autoSpaceDN w:val="0"/>
              <w:adjustRightInd w:val="0"/>
              <w:jc w:val="right"/>
              <w:outlineLvl w:val="0"/>
              <w:rPr>
                <w:rFonts w:asciiTheme="minorHAnsi" w:hAnsiTheme="minorHAnsi" w:cstheme="minorHAnsi"/>
                <w:b/>
                <w:bCs/>
              </w:rPr>
            </w:pPr>
            <w:r w:rsidRPr="00224E24">
              <w:rPr>
                <w:rFonts w:asciiTheme="minorHAnsi" w:hAnsiTheme="minorHAnsi" w:cstheme="minorHAnsi"/>
                <w:b/>
                <w:bCs/>
              </w:rPr>
              <w:t>$6,501,788</w:t>
            </w:r>
          </w:p>
        </w:tc>
      </w:tr>
      <w:tr w14:paraId="35A4A58C" w14:textId="77777777" w:rsidTr="00224E24">
        <w:tblPrEx>
          <w:tblW w:w="12937" w:type="dxa"/>
          <w:tblInd w:w="108" w:type="dxa"/>
          <w:tblLayout w:type="fixed"/>
          <w:tblLook w:val="04A0"/>
        </w:tblPrEx>
        <w:trPr>
          <w:trHeight w:val="300"/>
        </w:trPr>
        <w:tc>
          <w:tcPr>
            <w:tcW w:w="3577" w:type="dxa"/>
            <w:noWrap/>
            <w:vAlign w:val="center"/>
            <w:hideMark/>
          </w:tcPr>
          <w:p w:rsidR="00224E24" w:rsidRPr="00224E24" w:rsidP="00224E24" w14:paraId="2544C485"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Cs/>
              </w:rPr>
              <w:t>TOTAL CAPITAL AND O&amp;M COST</w:t>
            </w:r>
          </w:p>
        </w:tc>
        <w:tc>
          <w:tcPr>
            <w:tcW w:w="1170" w:type="dxa"/>
            <w:noWrap/>
            <w:vAlign w:val="center"/>
            <w:hideMark/>
          </w:tcPr>
          <w:p w:rsidR="00224E24" w:rsidRPr="00224E24" w:rsidP="00224E24" w14:paraId="5A33F3E9" w14:textId="77777777">
            <w:pPr>
              <w:widowControl w:val="0"/>
              <w:autoSpaceDE w:val="0"/>
              <w:autoSpaceDN w:val="0"/>
              <w:adjustRightInd w:val="0"/>
              <w:jc w:val="center"/>
              <w:outlineLvl w:val="0"/>
              <w:rPr>
                <w:rFonts w:asciiTheme="minorHAnsi" w:hAnsiTheme="minorHAnsi" w:cstheme="minorHAnsi"/>
                <w:bCs/>
              </w:rPr>
            </w:pPr>
          </w:p>
        </w:tc>
        <w:tc>
          <w:tcPr>
            <w:tcW w:w="1260" w:type="dxa"/>
            <w:noWrap/>
            <w:vAlign w:val="center"/>
            <w:hideMark/>
          </w:tcPr>
          <w:p w:rsidR="00224E24" w:rsidRPr="00224E24" w:rsidP="00224E24" w14:paraId="16212A6F" w14:textId="77777777">
            <w:pPr>
              <w:widowControl w:val="0"/>
              <w:autoSpaceDE w:val="0"/>
              <w:autoSpaceDN w:val="0"/>
              <w:adjustRightInd w:val="0"/>
              <w:jc w:val="center"/>
              <w:outlineLvl w:val="0"/>
              <w:rPr>
                <w:rFonts w:asciiTheme="minorHAnsi" w:hAnsiTheme="minorHAnsi" w:cstheme="minorHAnsi"/>
                <w:bCs/>
              </w:rPr>
            </w:pPr>
          </w:p>
        </w:tc>
        <w:tc>
          <w:tcPr>
            <w:tcW w:w="1013" w:type="dxa"/>
            <w:noWrap/>
            <w:vAlign w:val="center"/>
            <w:hideMark/>
          </w:tcPr>
          <w:p w:rsidR="00224E24" w:rsidRPr="00224E24" w:rsidP="00224E24" w14:paraId="1165904F" w14:textId="77777777">
            <w:pPr>
              <w:widowControl w:val="0"/>
              <w:autoSpaceDE w:val="0"/>
              <w:autoSpaceDN w:val="0"/>
              <w:adjustRightInd w:val="0"/>
              <w:jc w:val="center"/>
              <w:outlineLvl w:val="0"/>
              <w:rPr>
                <w:rFonts w:asciiTheme="minorHAnsi" w:hAnsiTheme="minorHAnsi" w:cstheme="minorHAnsi"/>
                <w:bCs/>
              </w:rPr>
            </w:pPr>
          </w:p>
        </w:tc>
        <w:tc>
          <w:tcPr>
            <w:tcW w:w="1327" w:type="dxa"/>
            <w:noWrap/>
            <w:vAlign w:val="center"/>
            <w:hideMark/>
          </w:tcPr>
          <w:p w:rsidR="00224E24" w:rsidRPr="00224E24" w:rsidP="00224E24" w14:paraId="005DF215" w14:textId="77777777">
            <w:pPr>
              <w:widowControl w:val="0"/>
              <w:autoSpaceDE w:val="0"/>
              <w:autoSpaceDN w:val="0"/>
              <w:adjustRightInd w:val="0"/>
              <w:jc w:val="center"/>
              <w:outlineLvl w:val="0"/>
              <w:rPr>
                <w:rFonts w:asciiTheme="minorHAnsi" w:hAnsiTheme="minorHAnsi" w:cstheme="minorHAnsi"/>
                <w:bCs/>
              </w:rPr>
            </w:pPr>
          </w:p>
        </w:tc>
        <w:tc>
          <w:tcPr>
            <w:tcW w:w="3436" w:type="dxa"/>
            <w:gridSpan w:val="4"/>
            <w:noWrap/>
            <w:vAlign w:val="center"/>
            <w:hideMark/>
          </w:tcPr>
          <w:p w:rsidR="00224E24" w:rsidRPr="00224E24" w:rsidP="00224E24" w14:paraId="2F1CB8C4" w14:textId="77777777">
            <w:pPr>
              <w:widowControl w:val="0"/>
              <w:autoSpaceDE w:val="0"/>
              <w:autoSpaceDN w:val="0"/>
              <w:adjustRightInd w:val="0"/>
              <w:jc w:val="center"/>
              <w:outlineLvl w:val="0"/>
              <w:rPr>
                <w:rFonts w:asciiTheme="minorHAnsi" w:hAnsiTheme="minorHAnsi" w:cstheme="minorHAnsi"/>
                <w:bCs/>
              </w:rPr>
            </w:pPr>
          </w:p>
        </w:tc>
        <w:tc>
          <w:tcPr>
            <w:tcW w:w="1154" w:type="dxa"/>
            <w:noWrap/>
            <w:vAlign w:val="center"/>
            <w:hideMark/>
          </w:tcPr>
          <w:p w:rsidR="00224E24" w:rsidRPr="00224E24" w:rsidP="00224E24" w14:paraId="7BE90653" w14:textId="77777777">
            <w:pPr>
              <w:widowControl w:val="0"/>
              <w:autoSpaceDE w:val="0"/>
              <w:autoSpaceDN w:val="0"/>
              <w:adjustRightInd w:val="0"/>
              <w:jc w:val="right"/>
              <w:outlineLvl w:val="0"/>
              <w:rPr>
                <w:rFonts w:asciiTheme="minorHAnsi" w:hAnsiTheme="minorHAnsi" w:cstheme="minorHAnsi"/>
                <w:bCs/>
              </w:rPr>
            </w:pPr>
            <w:r w:rsidRPr="00224E24">
              <w:rPr>
                <w:rFonts w:asciiTheme="minorHAnsi" w:hAnsiTheme="minorHAnsi" w:cstheme="minorHAnsi"/>
                <w:bCs/>
              </w:rPr>
              <w:t>$0</w:t>
            </w:r>
          </w:p>
        </w:tc>
      </w:tr>
      <w:tr w14:paraId="10B7FD2C" w14:textId="77777777" w:rsidTr="00224E24">
        <w:tblPrEx>
          <w:tblW w:w="12937" w:type="dxa"/>
          <w:tblInd w:w="108" w:type="dxa"/>
          <w:tblLayout w:type="fixed"/>
          <w:tblLook w:val="04A0"/>
        </w:tblPrEx>
        <w:trPr>
          <w:trHeight w:val="300"/>
        </w:trPr>
        <w:tc>
          <w:tcPr>
            <w:tcW w:w="3577" w:type="dxa"/>
            <w:noWrap/>
            <w:vAlign w:val="center"/>
            <w:hideMark/>
          </w:tcPr>
          <w:p w:rsidR="00224E24" w:rsidRPr="00224E24" w:rsidP="00224E24" w14:paraId="086FCE65" w14:textId="77777777">
            <w:pPr>
              <w:widowControl w:val="0"/>
              <w:autoSpaceDE w:val="0"/>
              <w:autoSpaceDN w:val="0"/>
              <w:adjustRightInd w:val="0"/>
              <w:outlineLvl w:val="0"/>
              <w:rPr>
                <w:rFonts w:asciiTheme="minorHAnsi" w:hAnsiTheme="minorHAnsi" w:cstheme="minorHAnsi"/>
                <w:bCs/>
              </w:rPr>
            </w:pPr>
            <w:r w:rsidRPr="00224E24">
              <w:rPr>
                <w:rFonts w:asciiTheme="minorHAnsi" w:hAnsiTheme="minorHAnsi" w:cstheme="minorHAnsi"/>
                <w:b/>
                <w:bCs/>
              </w:rPr>
              <w:t>GRAND TOTAL</w:t>
            </w:r>
          </w:p>
        </w:tc>
        <w:tc>
          <w:tcPr>
            <w:tcW w:w="1170" w:type="dxa"/>
            <w:noWrap/>
            <w:vAlign w:val="center"/>
            <w:hideMark/>
          </w:tcPr>
          <w:p w:rsidR="00224E24" w:rsidRPr="00224E24" w:rsidP="00224E24" w14:paraId="444DA6B3" w14:textId="77777777">
            <w:pPr>
              <w:widowControl w:val="0"/>
              <w:autoSpaceDE w:val="0"/>
              <w:autoSpaceDN w:val="0"/>
              <w:adjustRightInd w:val="0"/>
              <w:jc w:val="center"/>
              <w:outlineLvl w:val="0"/>
              <w:rPr>
                <w:rFonts w:asciiTheme="minorHAnsi" w:hAnsiTheme="minorHAnsi" w:cstheme="minorHAnsi"/>
                <w:bCs/>
              </w:rPr>
            </w:pPr>
          </w:p>
        </w:tc>
        <w:tc>
          <w:tcPr>
            <w:tcW w:w="1260" w:type="dxa"/>
            <w:noWrap/>
            <w:vAlign w:val="center"/>
            <w:hideMark/>
          </w:tcPr>
          <w:p w:rsidR="00224E24" w:rsidRPr="00224E24" w:rsidP="00224E24" w14:paraId="7200E8BB" w14:textId="77777777">
            <w:pPr>
              <w:widowControl w:val="0"/>
              <w:autoSpaceDE w:val="0"/>
              <w:autoSpaceDN w:val="0"/>
              <w:adjustRightInd w:val="0"/>
              <w:jc w:val="center"/>
              <w:outlineLvl w:val="0"/>
              <w:rPr>
                <w:rFonts w:asciiTheme="minorHAnsi" w:hAnsiTheme="minorHAnsi" w:cstheme="minorHAnsi"/>
                <w:bCs/>
              </w:rPr>
            </w:pPr>
          </w:p>
        </w:tc>
        <w:tc>
          <w:tcPr>
            <w:tcW w:w="1013" w:type="dxa"/>
            <w:noWrap/>
            <w:vAlign w:val="center"/>
            <w:hideMark/>
          </w:tcPr>
          <w:p w:rsidR="00224E24" w:rsidRPr="00224E24" w:rsidP="00224E24" w14:paraId="27ED479E" w14:textId="77777777">
            <w:pPr>
              <w:widowControl w:val="0"/>
              <w:autoSpaceDE w:val="0"/>
              <w:autoSpaceDN w:val="0"/>
              <w:adjustRightInd w:val="0"/>
              <w:jc w:val="center"/>
              <w:outlineLvl w:val="0"/>
              <w:rPr>
                <w:rFonts w:asciiTheme="minorHAnsi" w:hAnsiTheme="minorHAnsi" w:cstheme="minorHAnsi"/>
                <w:bCs/>
              </w:rPr>
            </w:pPr>
          </w:p>
        </w:tc>
        <w:tc>
          <w:tcPr>
            <w:tcW w:w="1327" w:type="dxa"/>
            <w:noWrap/>
            <w:vAlign w:val="center"/>
            <w:hideMark/>
          </w:tcPr>
          <w:p w:rsidR="00224E24" w:rsidRPr="00224E24" w:rsidP="00224E24" w14:paraId="54E151A3" w14:textId="77777777">
            <w:pPr>
              <w:widowControl w:val="0"/>
              <w:autoSpaceDE w:val="0"/>
              <w:autoSpaceDN w:val="0"/>
              <w:adjustRightInd w:val="0"/>
              <w:jc w:val="center"/>
              <w:outlineLvl w:val="0"/>
              <w:rPr>
                <w:rFonts w:asciiTheme="minorHAnsi" w:hAnsiTheme="minorHAnsi" w:cstheme="minorHAnsi"/>
                <w:bCs/>
              </w:rPr>
            </w:pPr>
          </w:p>
        </w:tc>
        <w:tc>
          <w:tcPr>
            <w:tcW w:w="3436" w:type="dxa"/>
            <w:gridSpan w:val="4"/>
            <w:noWrap/>
            <w:vAlign w:val="center"/>
            <w:hideMark/>
          </w:tcPr>
          <w:p w:rsidR="00224E24" w:rsidRPr="00224E24" w:rsidP="00224E24" w14:paraId="6305C0DD" w14:textId="77777777">
            <w:pPr>
              <w:widowControl w:val="0"/>
              <w:autoSpaceDE w:val="0"/>
              <w:autoSpaceDN w:val="0"/>
              <w:adjustRightInd w:val="0"/>
              <w:jc w:val="center"/>
              <w:outlineLvl w:val="0"/>
              <w:rPr>
                <w:rFonts w:asciiTheme="minorHAnsi" w:hAnsiTheme="minorHAnsi" w:cstheme="minorHAnsi"/>
                <w:b/>
                <w:bCs/>
              </w:rPr>
            </w:pPr>
          </w:p>
        </w:tc>
        <w:tc>
          <w:tcPr>
            <w:tcW w:w="1154" w:type="dxa"/>
            <w:noWrap/>
            <w:vAlign w:val="center"/>
            <w:hideMark/>
          </w:tcPr>
          <w:p w:rsidR="00224E24" w:rsidRPr="00224E24" w:rsidP="00224E24" w14:paraId="6EC4D8A4" w14:textId="77777777">
            <w:pPr>
              <w:widowControl w:val="0"/>
              <w:autoSpaceDE w:val="0"/>
              <w:autoSpaceDN w:val="0"/>
              <w:adjustRightInd w:val="0"/>
              <w:jc w:val="right"/>
              <w:outlineLvl w:val="0"/>
              <w:rPr>
                <w:rFonts w:asciiTheme="minorHAnsi" w:hAnsiTheme="minorHAnsi" w:cstheme="minorHAnsi"/>
                <w:b/>
                <w:bCs/>
              </w:rPr>
            </w:pPr>
            <w:r w:rsidRPr="00224E24">
              <w:rPr>
                <w:rFonts w:asciiTheme="minorHAnsi" w:hAnsiTheme="minorHAnsi" w:cstheme="minorHAnsi"/>
                <w:b/>
                <w:bCs/>
              </w:rPr>
              <w:t>$6,501,788</w:t>
            </w:r>
          </w:p>
        </w:tc>
      </w:tr>
    </w:tbl>
    <w:tbl>
      <w:tblPr>
        <w:tblW w:w="13518" w:type="dxa"/>
        <w:tblLook w:val="04A0"/>
      </w:tblPr>
      <w:tblGrid>
        <w:gridCol w:w="12528"/>
        <w:gridCol w:w="900"/>
        <w:gridCol w:w="90"/>
      </w:tblGrid>
      <w:tr w14:paraId="50CC7624" w14:textId="77777777" w:rsidTr="00224E24">
        <w:tblPrEx>
          <w:tblW w:w="13518" w:type="dxa"/>
          <w:tblLook w:val="04A0"/>
        </w:tblPrEx>
        <w:trPr>
          <w:gridAfter w:val="2"/>
          <w:wAfter w:w="990" w:type="dxa"/>
          <w:trHeight w:val="300"/>
        </w:trPr>
        <w:tc>
          <w:tcPr>
            <w:tcW w:w="12528" w:type="dxa"/>
            <w:tcBorders>
              <w:top w:val="nil"/>
              <w:left w:val="nil"/>
              <w:bottom w:val="nil"/>
            </w:tcBorders>
            <w:shd w:val="clear" w:color="auto" w:fill="auto"/>
            <w:noWrap/>
            <w:vAlign w:val="bottom"/>
            <w:hideMark/>
          </w:tcPr>
          <w:p w:rsidR="00224E24" w:rsidRPr="00637737" w:rsidP="00230488" w14:paraId="4F88DE7E" w14:textId="77777777">
            <w:pPr>
              <w:rPr>
                <w:sz w:val="20"/>
                <w:szCs w:val="20"/>
              </w:rPr>
            </w:pPr>
            <w:r w:rsidRPr="00637737">
              <w:rPr>
                <w:b/>
                <w:bCs/>
                <w:color w:val="000000"/>
                <w:sz w:val="20"/>
                <w:szCs w:val="20"/>
              </w:rPr>
              <w:t>Assumptions:</w:t>
            </w:r>
          </w:p>
        </w:tc>
      </w:tr>
      <w:tr w14:paraId="16DE7030" w14:textId="77777777" w:rsidTr="00224E24">
        <w:tblPrEx>
          <w:tblW w:w="13518" w:type="dxa"/>
          <w:tblLook w:val="04A0"/>
        </w:tblPrEx>
        <w:trPr>
          <w:gridAfter w:val="1"/>
          <w:wAfter w:w="90" w:type="dxa"/>
          <w:trHeight w:val="144"/>
        </w:trPr>
        <w:tc>
          <w:tcPr>
            <w:tcW w:w="13428" w:type="dxa"/>
            <w:gridSpan w:val="2"/>
            <w:tcBorders>
              <w:top w:val="nil"/>
              <w:left w:val="nil"/>
              <w:bottom w:val="nil"/>
              <w:right w:val="nil"/>
            </w:tcBorders>
            <w:shd w:val="clear" w:color="auto" w:fill="auto"/>
            <w:noWrap/>
            <w:vAlign w:val="bottom"/>
            <w:hideMark/>
          </w:tcPr>
          <w:p w:rsidR="00224E24" w:rsidRPr="00637737" w:rsidP="00230488" w14:paraId="4EDD3245" w14:textId="77777777">
            <w:pPr>
              <w:spacing w:after="20"/>
              <w:ind w:left="150" w:hanging="150"/>
              <w:rPr>
                <w:sz w:val="18"/>
                <w:szCs w:val="18"/>
              </w:rPr>
            </w:pPr>
            <w:r w:rsidRPr="00637737">
              <w:rPr>
                <w:sz w:val="18"/>
                <w:szCs w:val="18"/>
                <w:vertAlign w:val="superscript"/>
              </w:rPr>
              <w:t>a</w:t>
            </w:r>
            <w:r>
              <w:rPr>
                <w:sz w:val="18"/>
                <w:szCs w:val="18"/>
                <w:vertAlign w:val="superscript"/>
              </w:rPr>
              <w:t xml:space="preserve"> </w:t>
            </w:r>
            <w:r w:rsidRPr="00637737">
              <w:rPr>
                <w:sz w:val="18"/>
                <w:szCs w:val="18"/>
              </w:rPr>
              <w:t xml:space="preserve"> </w:t>
            </w:r>
            <w:r w:rsidRPr="009F739F">
              <w:rPr>
                <w:sz w:val="18"/>
                <w:szCs w:val="18"/>
              </w:rPr>
              <w:t>The</w:t>
            </w:r>
            <w:r w:rsidRPr="009F739F">
              <w:rPr>
                <w:sz w:val="18"/>
                <w:szCs w:val="18"/>
              </w:rPr>
              <w:t xml:space="preserve"> average number of respondents per year over the first three years of this ICR. We assumed no facilities would report the first year, half the facilities would report the second year, and all facilities report the third year.</w:t>
            </w:r>
          </w:p>
        </w:tc>
      </w:tr>
      <w:tr w14:paraId="24BCADFB" w14:textId="77777777" w:rsidTr="00224E24">
        <w:tblPrEx>
          <w:tblW w:w="13518" w:type="dxa"/>
          <w:tblLook w:val="04A0"/>
        </w:tblPrEx>
        <w:trPr>
          <w:gridAfter w:val="1"/>
          <w:wAfter w:w="90" w:type="dxa"/>
          <w:trHeight w:val="144"/>
        </w:trPr>
        <w:tc>
          <w:tcPr>
            <w:tcW w:w="13428" w:type="dxa"/>
            <w:gridSpan w:val="2"/>
            <w:tcBorders>
              <w:top w:val="nil"/>
              <w:left w:val="nil"/>
              <w:bottom w:val="nil"/>
              <w:right w:val="nil"/>
            </w:tcBorders>
            <w:shd w:val="clear" w:color="auto" w:fill="auto"/>
            <w:noWrap/>
            <w:vAlign w:val="bottom"/>
            <w:hideMark/>
          </w:tcPr>
          <w:p w:rsidR="00224E24" w:rsidRPr="00637737" w:rsidP="00230488" w14:paraId="6E82A339" w14:textId="77777777">
            <w:pPr>
              <w:spacing w:after="20"/>
              <w:ind w:left="150" w:hanging="150"/>
              <w:rPr>
                <w:color w:val="000000"/>
                <w:sz w:val="18"/>
                <w:szCs w:val="18"/>
              </w:rPr>
            </w:pPr>
            <w:r w:rsidRPr="00637737">
              <w:rPr>
                <w:color w:val="000000"/>
                <w:sz w:val="18"/>
                <w:szCs w:val="18"/>
                <w:vertAlign w:val="superscript"/>
              </w:rPr>
              <w:t xml:space="preserve">b  </w:t>
            </w:r>
            <w:r w:rsidRPr="009F739F">
              <w:rPr>
                <w:color w:val="000000"/>
                <w:sz w:val="18"/>
                <w:szCs w:val="18"/>
              </w:rPr>
              <w:t>This ICR uses the following labor rates from the United States Department of Labor, Bureau of Labor Statistics, May 2020, mean labor rates for Petroleum and Coal Products Manufacturing (NAICS 324000) for Management Occupations (11-0000), Environmental Engineer (17-2081) and Office and Administrative Support (43-0000) . The rates have been increased by 110 percent to account for the benefit packages available to those employed by private industry. Fully burdened hourly rates are: $146.20 for management; $76.78 for technical; and $50.48 for clerical.</w:t>
            </w:r>
          </w:p>
        </w:tc>
      </w:tr>
      <w:tr w14:paraId="2DE1AAC5" w14:textId="77777777" w:rsidTr="00224E24">
        <w:tblPrEx>
          <w:tblW w:w="13518" w:type="dxa"/>
          <w:tblLook w:val="04A0"/>
        </w:tblPrEx>
        <w:trPr>
          <w:gridAfter w:val="1"/>
          <w:wAfter w:w="90" w:type="dxa"/>
          <w:trHeight w:val="144"/>
        </w:trPr>
        <w:tc>
          <w:tcPr>
            <w:tcW w:w="13428" w:type="dxa"/>
            <w:gridSpan w:val="2"/>
            <w:tcBorders>
              <w:top w:val="nil"/>
              <w:left w:val="nil"/>
              <w:bottom w:val="nil"/>
            </w:tcBorders>
            <w:shd w:val="clear" w:color="auto" w:fill="auto"/>
            <w:noWrap/>
            <w:vAlign w:val="bottom"/>
            <w:hideMark/>
          </w:tcPr>
          <w:p w:rsidR="00224E24" w:rsidRPr="00637737" w:rsidP="00230488" w14:paraId="756B3BCA" w14:textId="77777777">
            <w:pPr>
              <w:spacing w:after="20"/>
              <w:ind w:left="150" w:hanging="150"/>
              <w:rPr>
                <w:sz w:val="20"/>
                <w:szCs w:val="20"/>
              </w:rPr>
            </w:pPr>
            <w:r w:rsidRPr="00637737">
              <w:rPr>
                <w:color w:val="000000"/>
                <w:sz w:val="18"/>
                <w:szCs w:val="18"/>
                <w:vertAlign w:val="superscript"/>
              </w:rPr>
              <w:t>c</w:t>
            </w:r>
            <w:r>
              <w:rPr>
                <w:color w:val="000000"/>
                <w:sz w:val="18"/>
                <w:szCs w:val="18"/>
                <w:vertAlign w:val="superscript"/>
              </w:rPr>
              <w:t xml:space="preserve"> </w:t>
            </w:r>
            <w:r w:rsidRPr="00637737">
              <w:rPr>
                <w:color w:val="000000"/>
                <w:sz w:val="18"/>
                <w:szCs w:val="18"/>
                <w:vertAlign w:val="superscript"/>
              </w:rPr>
              <w:t xml:space="preserve"> </w:t>
            </w:r>
            <w:r w:rsidRPr="009F739F">
              <w:rPr>
                <w:color w:val="000000"/>
                <w:sz w:val="18"/>
                <w:szCs w:val="18"/>
              </w:rPr>
              <w:t>We have assumed that all respondents will have to familiarize with regulatory requirements each year.</w:t>
            </w:r>
          </w:p>
        </w:tc>
      </w:tr>
      <w:tr w14:paraId="3A3FE4F9" w14:textId="77777777" w:rsidTr="00224E24">
        <w:tblPrEx>
          <w:tblW w:w="13518" w:type="dxa"/>
          <w:tblLook w:val="04A0"/>
        </w:tblPrEx>
        <w:trPr>
          <w:trHeight w:val="144"/>
        </w:trPr>
        <w:tc>
          <w:tcPr>
            <w:tcW w:w="13518" w:type="dxa"/>
            <w:gridSpan w:val="3"/>
            <w:tcBorders>
              <w:top w:val="nil"/>
              <w:left w:val="nil"/>
              <w:bottom w:val="nil"/>
            </w:tcBorders>
            <w:shd w:val="clear" w:color="auto" w:fill="auto"/>
            <w:noWrap/>
            <w:vAlign w:val="bottom"/>
            <w:hideMark/>
          </w:tcPr>
          <w:p w:rsidR="00224E24" w:rsidRPr="00637737" w:rsidP="00230488" w14:paraId="4561211B" w14:textId="77777777">
            <w:pPr>
              <w:spacing w:after="20"/>
              <w:ind w:left="150" w:hanging="150"/>
              <w:rPr>
                <w:color w:val="000000"/>
                <w:sz w:val="18"/>
                <w:szCs w:val="18"/>
              </w:rPr>
            </w:pPr>
            <w:r w:rsidRPr="00637737">
              <w:rPr>
                <w:color w:val="000000"/>
                <w:sz w:val="18"/>
                <w:szCs w:val="18"/>
                <w:vertAlign w:val="superscript"/>
              </w:rPr>
              <w:t>d</w:t>
            </w:r>
            <w:r>
              <w:rPr>
                <w:color w:val="000000"/>
                <w:sz w:val="18"/>
                <w:szCs w:val="18"/>
                <w:vertAlign w:val="superscript"/>
              </w:rPr>
              <w:t xml:space="preserve"> </w:t>
            </w:r>
            <w:r w:rsidRPr="00637737">
              <w:rPr>
                <w:color w:val="000000"/>
                <w:sz w:val="18"/>
                <w:szCs w:val="18"/>
              </w:rPr>
              <w:t xml:space="preserve"> </w:t>
            </w:r>
            <w:r w:rsidRPr="009F739F">
              <w:rPr>
                <w:color w:val="000000"/>
                <w:sz w:val="18"/>
                <w:szCs w:val="18"/>
              </w:rPr>
              <w:t>We have assumed that existing respondents are in compliance with the initial rule requirements.</w:t>
            </w:r>
          </w:p>
        </w:tc>
      </w:tr>
      <w:tr w14:paraId="570B09EC" w14:textId="77777777" w:rsidTr="00224E24">
        <w:tblPrEx>
          <w:tblW w:w="13518" w:type="dxa"/>
          <w:tblLook w:val="04A0"/>
        </w:tblPrEx>
        <w:trPr>
          <w:gridAfter w:val="2"/>
          <w:wAfter w:w="990" w:type="dxa"/>
          <w:trHeight w:val="70"/>
        </w:trPr>
        <w:tc>
          <w:tcPr>
            <w:tcW w:w="12528" w:type="dxa"/>
            <w:tcBorders>
              <w:top w:val="nil"/>
              <w:left w:val="nil"/>
              <w:bottom w:val="nil"/>
            </w:tcBorders>
            <w:shd w:val="clear" w:color="auto" w:fill="auto"/>
            <w:noWrap/>
            <w:vAlign w:val="bottom"/>
            <w:hideMark/>
          </w:tcPr>
          <w:p w:rsidR="00224E24" w:rsidP="00230488" w14:paraId="403FE7F8" w14:textId="77777777">
            <w:pPr>
              <w:spacing w:after="20"/>
              <w:ind w:left="150" w:hanging="150"/>
              <w:rPr>
                <w:color w:val="000000"/>
                <w:sz w:val="18"/>
                <w:szCs w:val="18"/>
              </w:rPr>
            </w:pPr>
            <w:r w:rsidRPr="00637737">
              <w:rPr>
                <w:color w:val="000000"/>
                <w:sz w:val="18"/>
                <w:szCs w:val="18"/>
                <w:vertAlign w:val="superscript"/>
              </w:rPr>
              <w:t>e</w:t>
            </w:r>
            <w:r>
              <w:rPr>
                <w:color w:val="000000"/>
                <w:sz w:val="18"/>
                <w:szCs w:val="18"/>
                <w:vertAlign w:val="superscript"/>
              </w:rPr>
              <w:t xml:space="preserve"> </w:t>
            </w:r>
            <w:r w:rsidRPr="00637737">
              <w:rPr>
                <w:color w:val="000000"/>
                <w:sz w:val="18"/>
                <w:szCs w:val="18"/>
              </w:rPr>
              <w:t xml:space="preserve"> </w:t>
            </w:r>
            <w:r w:rsidRPr="009F739F">
              <w:rPr>
                <w:color w:val="000000"/>
                <w:sz w:val="18"/>
                <w:szCs w:val="18"/>
              </w:rPr>
              <w:t>Equipment leaks monitoring w</w:t>
            </w:r>
            <w:r>
              <w:rPr>
                <w:color w:val="000000"/>
                <w:sz w:val="18"/>
                <w:szCs w:val="18"/>
              </w:rPr>
              <w:t>as</w:t>
            </w:r>
            <w:r w:rsidRPr="009F739F">
              <w:rPr>
                <w:color w:val="000000"/>
                <w:sz w:val="18"/>
                <w:szCs w:val="18"/>
              </w:rPr>
              <w:t xml:space="preserve"> assumed to be performed by an external contractor and these costs were included in the costs of equipment leak monitoring programs.</w:t>
            </w:r>
            <w:r>
              <w:rPr>
                <w:color w:val="000000"/>
                <w:sz w:val="18"/>
                <w:szCs w:val="18"/>
              </w:rPr>
              <w:t xml:space="preserve"> </w:t>
            </w:r>
          </w:p>
          <w:p w:rsidR="00224E24" w:rsidP="00230488" w14:paraId="6EB2E1D1" w14:textId="77777777">
            <w:pPr>
              <w:spacing w:after="20"/>
              <w:ind w:left="150" w:hanging="150"/>
              <w:rPr>
                <w:color w:val="000000"/>
                <w:sz w:val="18"/>
                <w:szCs w:val="18"/>
              </w:rPr>
            </w:pPr>
            <w:r>
              <w:rPr>
                <w:color w:val="000000"/>
                <w:sz w:val="18"/>
                <w:szCs w:val="18"/>
                <w:vertAlign w:val="superscript"/>
              </w:rPr>
              <w:t xml:space="preserve">f </w:t>
            </w:r>
            <w:r w:rsidRPr="00637737">
              <w:rPr>
                <w:color w:val="000000"/>
                <w:sz w:val="18"/>
                <w:szCs w:val="18"/>
              </w:rPr>
              <w:t xml:space="preserve"> </w:t>
            </w:r>
            <w:r>
              <w:rPr>
                <w:color w:val="000000"/>
                <w:sz w:val="18"/>
                <w:szCs w:val="18"/>
              </w:rPr>
              <w:t>Performance tests only required for vapor combustors.</w:t>
            </w:r>
          </w:p>
          <w:p w:rsidR="00224E24" w:rsidP="00230488" w14:paraId="5F8E0F20" w14:textId="77777777">
            <w:pPr>
              <w:spacing w:after="20"/>
              <w:ind w:left="150" w:hanging="150"/>
              <w:rPr>
                <w:color w:val="000000"/>
                <w:sz w:val="18"/>
                <w:szCs w:val="18"/>
              </w:rPr>
            </w:pPr>
            <w:r>
              <w:rPr>
                <w:color w:val="000000"/>
                <w:sz w:val="18"/>
                <w:szCs w:val="18"/>
                <w:vertAlign w:val="superscript"/>
              </w:rPr>
              <w:t xml:space="preserve">g </w:t>
            </w:r>
            <w:r w:rsidRPr="00637737">
              <w:rPr>
                <w:color w:val="000000"/>
                <w:sz w:val="18"/>
                <w:szCs w:val="18"/>
              </w:rPr>
              <w:t xml:space="preserve"> </w:t>
            </w:r>
            <w:r>
              <w:rPr>
                <w:color w:val="000000"/>
                <w:sz w:val="18"/>
                <w:szCs w:val="18"/>
              </w:rPr>
              <w:t xml:space="preserve">Performance evaluations and CEMS calibrations only required for vapor recovery systems. </w:t>
            </w:r>
          </w:p>
          <w:p w:rsidR="00224E24" w:rsidP="00224E24" w14:paraId="223EB923" w14:textId="5999873F">
            <w:pPr>
              <w:spacing w:after="20"/>
              <w:ind w:left="150" w:hanging="150"/>
              <w:rPr>
                <w:color w:val="000000"/>
                <w:sz w:val="18"/>
                <w:szCs w:val="18"/>
              </w:rPr>
            </w:pPr>
            <w:r>
              <w:rPr>
                <w:color w:val="000000"/>
                <w:sz w:val="18"/>
                <w:szCs w:val="18"/>
                <w:vertAlign w:val="superscript"/>
              </w:rPr>
              <w:t xml:space="preserve">h </w:t>
            </w:r>
            <w:r w:rsidRPr="00637737">
              <w:rPr>
                <w:color w:val="000000"/>
                <w:sz w:val="18"/>
                <w:szCs w:val="18"/>
              </w:rPr>
              <w:t xml:space="preserve"> </w:t>
            </w:r>
            <w:r>
              <w:rPr>
                <w:color w:val="000000"/>
                <w:sz w:val="18"/>
                <w:szCs w:val="18"/>
              </w:rPr>
              <w:t xml:space="preserve">Respondents are already subject to semiannual compliance reporting. </w:t>
            </w:r>
          </w:p>
          <w:p w:rsidR="00224E24" w:rsidRPr="00637737" w:rsidP="00230488" w14:paraId="5B513FD7" w14:textId="77777777">
            <w:pPr>
              <w:spacing w:after="20"/>
              <w:ind w:left="150" w:hanging="150"/>
              <w:rPr>
                <w:color w:val="000000" w:themeColor="text1"/>
                <w:sz w:val="18"/>
                <w:szCs w:val="18"/>
              </w:rPr>
            </w:pPr>
          </w:p>
        </w:tc>
      </w:tr>
    </w:tbl>
    <w:p w:rsidR="00224E24" w:rsidP="00224E24" w14:paraId="00C4C94B" w14:textId="77777777">
      <w:pPr>
        <w:pStyle w:val="ListParagraph"/>
        <w:spacing w:before="240"/>
        <w:ind w:left="0"/>
        <w:rPr>
          <w:b/>
          <w:bCs/>
        </w:rPr>
      </w:pPr>
    </w:p>
    <w:p w:rsidR="00224E24" w:rsidP="00224E24" w14:paraId="49DF4706" w14:textId="77777777">
      <w:pPr>
        <w:pStyle w:val="ListParagraph"/>
        <w:spacing w:before="240"/>
        <w:ind w:left="0"/>
        <w:rPr>
          <w:b/>
          <w:bCs/>
        </w:rPr>
      </w:pPr>
    </w:p>
    <w:p w:rsidR="00224E24" w:rsidP="00224E24" w14:paraId="49463BFF" w14:textId="77777777">
      <w:pPr>
        <w:pStyle w:val="ListParagraph"/>
        <w:spacing w:before="240"/>
        <w:ind w:left="0"/>
        <w:rPr>
          <w:b/>
          <w:bCs/>
        </w:rPr>
      </w:pPr>
    </w:p>
    <w:p w:rsidR="00224E24" w:rsidP="00224E24" w14:paraId="7AE6F8A6" w14:textId="77777777">
      <w:pPr>
        <w:pStyle w:val="ListParagraph"/>
        <w:spacing w:before="240"/>
        <w:ind w:left="0"/>
        <w:rPr>
          <w:b/>
          <w:bCs/>
        </w:rPr>
      </w:pPr>
    </w:p>
    <w:p w:rsidR="00224E24" w:rsidP="00224E24" w14:paraId="2271121D" w14:textId="77777777">
      <w:pPr>
        <w:pStyle w:val="ListParagraph"/>
        <w:spacing w:before="240"/>
        <w:ind w:left="0"/>
        <w:rPr>
          <w:b/>
          <w:bCs/>
        </w:rPr>
      </w:pPr>
    </w:p>
    <w:p w:rsidR="00224E24" w:rsidP="00224E24" w14:paraId="7E3268D4" w14:textId="084188CF">
      <w:pPr>
        <w:outlineLvl w:val="0"/>
        <w:rPr>
          <w:b/>
          <w:bCs/>
        </w:rPr>
      </w:pPr>
      <w:r w:rsidRPr="003E4E1E">
        <w:rPr>
          <w:b/>
          <w:bCs/>
        </w:rPr>
        <w:t xml:space="preserve">Table 2: Average Annual EPA Burden and Cost – </w:t>
      </w:r>
      <w:r>
        <w:rPr>
          <w:b/>
          <w:bCs/>
        </w:rPr>
        <w:t>NESHAP for Gasoline Distribution Area</w:t>
      </w:r>
      <w:r w:rsidRPr="003E4E1E">
        <w:rPr>
          <w:b/>
          <w:bCs/>
        </w:rPr>
        <w:t xml:space="preserve"> Sources (40 CFR Part 63, Subpart </w:t>
      </w:r>
      <w:r>
        <w:rPr>
          <w:b/>
          <w:bCs/>
        </w:rPr>
        <w:t>BBBBBB</w:t>
      </w:r>
      <w:r w:rsidRPr="003E4E1E">
        <w:rPr>
          <w:b/>
          <w:bCs/>
        </w:rPr>
        <w:t>)</w:t>
      </w:r>
      <w:r>
        <w:rPr>
          <w:b/>
          <w:bCs/>
        </w:rPr>
        <w:t xml:space="preserve"> (Proposed Amendments)</w:t>
      </w:r>
    </w:p>
    <w:tbl>
      <w:tblPr>
        <w:tblW w:w="13884" w:type="dxa"/>
        <w:tblInd w:w="-455" w:type="dxa"/>
        <w:tblLook w:val="04A0"/>
      </w:tblPr>
      <w:tblGrid>
        <w:gridCol w:w="3780"/>
        <w:gridCol w:w="1260"/>
        <w:gridCol w:w="1238"/>
        <w:gridCol w:w="1372"/>
        <w:gridCol w:w="1080"/>
        <w:gridCol w:w="1440"/>
        <w:gridCol w:w="1440"/>
        <w:gridCol w:w="1248"/>
        <w:gridCol w:w="1026"/>
      </w:tblGrid>
      <w:tr w14:paraId="73647834" w14:textId="77777777" w:rsidTr="00230488">
        <w:tblPrEx>
          <w:tblW w:w="13884" w:type="dxa"/>
          <w:tblInd w:w="-455" w:type="dxa"/>
          <w:tblLook w:val="04A0"/>
        </w:tblPrEx>
        <w:trPr>
          <w:trHeight w:val="1530"/>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E24" w:rsidRPr="00224E24" w:rsidP="00224E24" w14:paraId="675778E3"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Activity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24E24" w:rsidRPr="00224E24" w:rsidP="00224E24" w14:paraId="21C588D1"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 xml:space="preserve">(A) </w:t>
            </w:r>
          </w:p>
          <w:p w:rsidR="00224E24" w:rsidRPr="00224E24" w:rsidP="00224E24" w14:paraId="321E7712"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EPA person-hours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224E24" w:rsidRPr="00224E24" w:rsidP="00224E24" w14:paraId="55CAA968"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 xml:space="preserve">(B) </w:t>
            </w:r>
          </w:p>
          <w:p w:rsidR="00224E24" w:rsidRPr="00224E24" w:rsidP="00224E24" w14:paraId="5AD1D9A4"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No. of occurrences per plant per year</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24E24" w:rsidRPr="00224E24" w:rsidP="00224E24" w14:paraId="3F9740C5"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 xml:space="preserve">(C) </w:t>
            </w:r>
          </w:p>
          <w:p w:rsidR="00224E24" w:rsidRPr="00224E24" w:rsidP="00224E24" w14:paraId="289C9764"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EPA person hours per plant per year (</w:t>
            </w:r>
            <w:r w:rsidRPr="00224E24">
              <w:rPr>
                <w:rFonts w:eastAsia="Times New Roman" w:cstheme="minorHAnsi"/>
                <w:b/>
                <w:bCs/>
                <w:sz w:val="20"/>
                <w:szCs w:val="20"/>
              </w:rPr>
              <w:t>AxB</w:t>
            </w:r>
            <w:r w:rsidRPr="00224E24">
              <w:rPr>
                <w:rFonts w:eastAsia="Times New Roman" w:cstheme="minorHAnsi"/>
                <w:b/>
                <w:bCs/>
                <w:sz w:val="20"/>
                <w:szCs w:val="20"/>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24E24" w:rsidRPr="00224E24" w:rsidP="00224E24" w14:paraId="1A68984B"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(D)</w:t>
            </w:r>
          </w:p>
          <w:p w:rsidR="00224E24" w:rsidRPr="00224E24" w:rsidP="00224E24" w14:paraId="39A73B3B"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 xml:space="preserve"> Plants per year </w:t>
            </w:r>
            <w:r w:rsidRPr="00224E24">
              <w:rPr>
                <w:rFonts w:eastAsia="Times New Roman" w:cstheme="minorHAnsi"/>
                <w:b/>
                <w:bCs/>
                <w:sz w:val="20"/>
                <w:szCs w:val="20"/>
                <w:vertAlign w:val="superscript"/>
              </w:rPr>
              <w:t>a</w:t>
            </w:r>
            <w:r w:rsidRPr="00224E24">
              <w:rPr>
                <w:rFonts w:eastAsia="Times New Roman" w:cstheme="minorHAnsi"/>
                <w:b/>
                <w:bCs/>
                <w:sz w:val="20"/>
                <w:szCs w:val="2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24E24" w:rsidRPr="00224E24" w:rsidP="00224E24" w14:paraId="5F9812EF"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(E) Technical person-hours per year (</w:t>
            </w:r>
            <w:r w:rsidRPr="00224E24">
              <w:rPr>
                <w:rFonts w:eastAsia="Times New Roman" w:cstheme="minorHAnsi"/>
                <w:b/>
                <w:bCs/>
                <w:sz w:val="20"/>
                <w:szCs w:val="20"/>
              </w:rPr>
              <w:t>CxD</w:t>
            </w:r>
            <w:r w:rsidRPr="00224E24">
              <w:rPr>
                <w:rFonts w:eastAsia="Times New Roman" w:cstheme="minorHAnsi"/>
                <w:b/>
                <w:bCs/>
                <w:sz w:val="20"/>
                <w:szCs w:val="2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224E24" w:rsidRPr="00224E24" w:rsidP="00224E24" w14:paraId="681B461F"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(F) Management person-hours per year (Ex0.05)</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224E24" w:rsidRPr="00224E24" w:rsidP="00224E24" w14:paraId="795DF14B"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(G) Clerical person-hours per year (Ex0.1)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224E24" w:rsidRPr="00224E24" w:rsidP="00224E24" w14:paraId="23FEC8E1"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 xml:space="preserve">(H) </w:t>
            </w:r>
          </w:p>
          <w:p w:rsidR="00224E24" w:rsidRPr="00224E24" w:rsidP="00224E24" w14:paraId="006D1252" w14:textId="77777777">
            <w:pPr>
              <w:spacing w:after="0" w:line="240" w:lineRule="auto"/>
              <w:jc w:val="center"/>
              <w:rPr>
                <w:rFonts w:eastAsia="Times New Roman" w:cstheme="minorHAnsi"/>
                <w:b/>
                <w:bCs/>
                <w:sz w:val="20"/>
                <w:szCs w:val="20"/>
              </w:rPr>
            </w:pPr>
            <w:r w:rsidRPr="00224E24">
              <w:rPr>
                <w:rFonts w:eastAsia="Times New Roman" w:cstheme="minorHAnsi"/>
                <w:b/>
                <w:bCs/>
                <w:sz w:val="20"/>
                <w:szCs w:val="20"/>
              </w:rPr>
              <w:t xml:space="preserve">Cost, $ </w:t>
            </w:r>
            <w:r w:rsidRPr="00224E24">
              <w:rPr>
                <w:rFonts w:eastAsia="Times New Roman" w:cstheme="minorHAnsi"/>
                <w:b/>
                <w:bCs/>
                <w:sz w:val="20"/>
                <w:szCs w:val="20"/>
                <w:vertAlign w:val="superscript"/>
              </w:rPr>
              <w:t>b</w:t>
            </w:r>
          </w:p>
        </w:tc>
      </w:tr>
      <w:tr w14:paraId="3BE8A8F8" w14:textId="77777777" w:rsidTr="00230488">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224E24" w:rsidRPr="00224E24" w:rsidP="00224E24" w14:paraId="7064475E" w14:textId="77777777">
            <w:pPr>
              <w:spacing w:after="0" w:line="240" w:lineRule="auto"/>
              <w:rPr>
                <w:rFonts w:eastAsia="Times New Roman" w:cstheme="minorHAnsi"/>
                <w:sz w:val="20"/>
                <w:szCs w:val="20"/>
              </w:rPr>
            </w:pPr>
            <w:r w:rsidRPr="00224E24">
              <w:rPr>
                <w:rFonts w:eastAsia="Times New Roman" w:cstheme="minorHAnsi"/>
                <w:sz w:val="20"/>
                <w:szCs w:val="20"/>
              </w:rPr>
              <w:t>Report Review:</w:t>
            </w:r>
          </w:p>
        </w:tc>
        <w:tc>
          <w:tcPr>
            <w:tcW w:w="126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5212DCDB" w14:textId="77777777">
            <w:pPr>
              <w:spacing w:after="0" w:line="240" w:lineRule="auto"/>
              <w:jc w:val="right"/>
              <w:rPr>
                <w:rFonts w:eastAsia="Times New Roman" w:cstheme="minorHAnsi"/>
                <w:sz w:val="20"/>
                <w:szCs w:val="20"/>
              </w:rPr>
            </w:pPr>
            <w:r w:rsidRPr="00224E24">
              <w:rPr>
                <w:rFonts w:eastAsia="Times New Roman" w:cstheme="minorHAnsi"/>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38AF9334" w14:textId="77777777">
            <w:pPr>
              <w:spacing w:after="0" w:line="240" w:lineRule="auto"/>
              <w:jc w:val="right"/>
              <w:rPr>
                <w:rFonts w:eastAsia="Times New Roman" w:cstheme="minorHAnsi"/>
                <w:sz w:val="20"/>
                <w:szCs w:val="20"/>
              </w:rPr>
            </w:pPr>
            <w:r w:rsidRPr="00224E24">
              <w:rPr>
                <w:rFonts w:eastAsia="Times New Roman" w:cstheme="minorHAnsi"/>
                <w:sz w:val="20"/>
                <w:szCs w:val="20"/>
              </w:rPr>
              <w:t> </w:t>
            </w:r>
          </w:p>
        </w:tc>
        <w:tc>
          <w:tcPr>
            <w:tcW w:w="1372"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42AEFCF8" w14:textId="77777777">
            <w:pPr>
              <w:spacing w:after="0" w:line="240" w:lineRule="auto"/>
              <w:jc w:val="right"/>
              <w:rPr>
                <w:rFonts w:eastAsia="Times New Roman" w:cstheme="minorHAnsi"/>
                <w:sz w:val="20"/>
                <w:szCs w:val="20"/>
              </w:rPr>
            </w:pPr>
            <w:r w:rsidRPr="00224E24">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4E2B9015" w14:textId="77777777">
            <w:pPr>
              <w:spacing w:after="0" w:line="240" w:lineRule="auto"/>
              <w:jc w:val="right"/>
              <w:rPr>
                <w:rFonts w:eastAsia="Times New Roman" w:cstheme="minorHAnsi"/>
                <w:sz w:val="20"/>
                <w:szCs w:val="20"/>
              </w:rPr>
            </w:pPr>
            <w:r w:rsidRPr="00224E24">
              <w:rPr>
                <w:rFonts w:eastAsia="Times New Roman"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7843553C" w14:textId="77777777">
            <w:pPr>
              <w:spacing w:after="0" w:line="240" w:lineRule="auto"/>
              <w:jc w:val="right"/>
              <w:rPr>
                <w:rFonts w:eastAsia="Times New Roman" w:cstheme="minorHAnsi"/>
                <w:sz w:val="20"/>
                <w:szCs w:val="20"/>
              </w:rPr>
            </w:pPr>
            <w:r w:rsidRPr="00224E24">
              <w:rPr>
                <w:rFonts w:eastAsia="Times New Roman"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4A29D64F" w14:textId="77777777">
            <w:pPr>
              <w:spacing w:after="0" w:line="240" w:lineRule="auto"/>
              <w:jc w:val="right"/>
              <w:rPr>
                <w:rFonts w:eastAsia="Times New Roman" w:cstheme="minorHAnsi"/>
                <w:sz w:val="20"/>
                <w:szCs w:val="20"/>
              </w:rPr>
            </w:pPr>
            <w:r w:rsidRPr="00224E24">
              <w:rPr>
                <w:rFonts w:eastAsia="Times New Roman" w:cstheme="minorHAnsi"/>
                <w:sz w:val="20"/>
                <w:szCs w:val="20"/>
              </w:rPr>
              <w:t> </w:t>
            </w:r>
          </w:p>
        </w:tc>
        <w:tc>
          <w:tcPr>
            <w:tcW w:w="1248"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420F63C0" w14:textId="77777777">
            <w:pPr>
              <w:spacing w:after="0" w:line="240" w:lineRule="auto"/>
              <w:jc w:val="right"/>
              <w:rPr>
                <w:rFonts w:eastAsia="Times New Roman" w:cstheme="minorHAnsi"/>
                <w:sz w:val="20"/>
                <w:szCs w:val="20"/>
              </w:rPr>
            </w:pPr>
            <w:r w:rsidRPr="00224E24">
              <w:rPr>
                <w:rFonts w:eastAsia="Times New Roman" w:cstheme="minorHAnsi"/>
                <w:sz w:val="20"/>
                <w:szCs w:val="20"/>
              </w:rPr>
              <w:t> </w:t>
            </w:r>
          </w:p>
        </w:tc>
        <w:tc>
          <w:tcPr>
            <w:tcW w:w="1026"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6372886D" w14:textId="77777777">
            <w:pPr>
              <w:spacing w:after="0" w:line="240" w:lineRule="auto"/>
              <w:jc w:val="right"/>
              <w:rPr>
                <w:rFonts w:eastAsia="Times New Roman" w:cstheme="minorHAnsi"/>
                <w:sz w:val="20"/>
                <w:szCs w:val="20"/>
              </w:rPr>
            </w:pPr>
            <w:r w:rsidRPr="00224E24">
              <w:rPr>
                <w:rFonts w:eastAsia="Times New Roman" w:cstheme="minorHAnsi"/>
                <w:sz w:val="20"/>
                <w:szCs w:val="20"/>
              </w:rPr>
              <w:t> </w:t>
            </w:r>
          </w:p>
        </w:tc>
      </w:tr>
      <w:tr w14:paraId="62C4E6FE" w14:textId="77777777" w:rsidTr="00230488">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224E24" w:rsidRPr="00224E24" w:rsidP="00224E24" w14:paraId="67A71718" w14:textId="77777777">
            <w:pPr>
              <w:spacing w:after="0" w:line="240" w:lineRule="auto"/>
              <w:rPr>
                <w:rFonts w:eastAsia="Times New Roman" w:cstheme="minorHAnsi"/>
                <w:sz w:val="20"/>
                <w:szCs w:val="20"/>
              </w:rPr>
            </w:pPr>
            <w:r w:rsidRPr="00224E24">
              <w:rPr>
                <w:rFonts w:eastAsia="Times New Roman" w:cstheme="minorHAnsi"/>
                <w:sz w:val="20"/>
                <w:szCs w:val="20"/>
              </w:rPr>
              <w:t>Notification of applicability</w:t>
            </w:r>
            <w:r w:rsidRPr="00224E24">
              <w:rPr>
                <w:rFonts w:eastAsia="Times New Roman" w:cstheme="minorHAnsi"/>
                <w:sz w:val="20"/>
                <w:szCs w:val="20"/>
                <w:vertAlign w:val="superscript"/>
              </w:rPr>
              <w:t xml:space="preserve"> c</w:t>
            </w:r>
          </w:p>
        </w:tc>
        <w:tc>
          <w:tcPr>
            <w:tcW w:w="126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102DEE3B" w14:textId="77777777">
            <w:pPr>
              <w:spacing w:after="0" w:line="240" w:lineRule="auto"/>
              <w:jc w:val="center"/>
              <w:rPr>
                <w:rFonts w:eastAsia="Times New Roman" w:cstheme="minorHAnsi"/>
                <w:sz w:val="20"/>
                <w:szCs w:val="20"/>
              </w:rPr>
            </w:pPr>
            <w:r w:rsidRPr="00224E24">
              <w:rPr>
                <w:rFonts w:eastAsia="Times New Roman" w:cstheme="minorHAnsi"/>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4D19003C" w14:textId="77777777">
            <w:pPr>
              <w:spacing w:after="0" w:line="240" w:lineRule="auto"/>
              <w:jc w:val="center"/>
              <w:rPr>
                <w:rFonts w:eastAsia="Times New Roman" w:cstheme="minorHAnsi"/>
                <w:sz w:val="20"/>
                <w:szCs w:val="20"/>
              </w:rPr>
            </w:pPr>
            <w:r w:rsidRPr="00224E24">
              <w:rPr>
                <w:rFonts w:eastAsia="Times New Roman" w:cstheme="minorHAnsi"/>
                <w:sz w:val="20"/>
                <w:szCs w:val="20"/>
              </w:rPr>
              <w:t>1</w:t>
            </w:r>
          </w:p>
        </w:tc>
        <w:tc>
          <w:tcPr>
            <w:tcW w:w="1372"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532ADD7B" w14:textId="77777777">
            <w:pPr>
              <w:spacing w:after="0" w:line="240" w:lineRule="auto"/>
              <w:jc w:val="center"/>
              <w:rPr>
                <w:rFonts w:eastAsia="Times New Roman" w:cstheme="minorHAnsi"/>
                <w:sz w:val="20"/>
                <w:szCs w:val="20"/>
              </w:rPr>
            </w:pPr>
            <w:r w:rsidRPr="00224E24">
              <w:rPr>
                <w:rFonts w:eastAsia="Times New Roman" w:cstheme="minorHAnsi"/>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2E7F8FCD" w14:textId="77777777">
            <w:pPr>
              <w:spacing w:after="0" w:line="240" w:lineRule="auto"/>
              <w:jc w:val="center"/>
              <w:rPr>
                <w:rFonts w:eastAsia="Times New Roman" w:cstheme="minorHAnsi"/>
                <w:sz w:val="20"/>
                <w:szCs w:val="20"/>
              </w:rPr>
            </w:pPr>
            <w:r w:rsidRPr="00224E24">
              <w:rPr>
                <w:rFonts w:eastAsia="Times New Roman" w:cstheme="minorHAnsi"/>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6EBC7653" w14:textId="77777777">
            <w:pPr>
              <w:spacing w:after="0" w:line="240" w:lineRule="auto"/>
              <w:jc w:val="center"/>
              <w:rPr>
                <w:rFonts w:eastAsia="Times New Roman" w:cstheme="minorHAnsi"/>
                <w:sz w:val="20"/>
                <w:szCs w:val="20"/>
              </w:rPr>
            </w:pPr>
            <w:r w:rsidRPr="00224E24">
              <w:rPr>
                <w:rFonts w:eastAsia="Times New Roman" w:cstheme="minorHAnsi"/>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4F143999" w14:textId="77777777">
            <w:pPr>
              <w:spacing w:after="0" w:line="240" w:lineRule="auto"/>
              <w:jc w:val="center"/>
              <w:rPr>
                <w:rFonts w:eastAsia="Times New Roman" w:cstheme="minorHAnsi"/>
                <w:sz w:val="20"/>
                <w:szCs w:val="20"/>
              </w:rPr>
            </w:pPr>
            <w:r w:rsidRPr="00224E24">
              <w:rPr>
                <w:rFonts w:eastAsia="Times New Roman" w:cstheme="minorHAnsi"/>
                <w:sz w:val="20"/>
                <w:szCs w:val="20"/>
              </w:rPr>
              <w:t>0</w:t>
            </w:r>
          </w:p>
        </w:tc>
        <w:tc>
          <w:tcPr>
            <w:tcW w:w="1248"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55F28EB4" w14:textId="77777777">
            <w:pPr>
              <w:spacing w:after="0" w:line="240" w:lineRule="auto"/>
              <w:jc w:val="center"/>
              <w:rPr>
                <w:rFonts w:eastAsia="Times New Roman" w:cstheme="minorHAnsi"/>
                <w:sz w:val="20"/>
                <w:szCs w:val="20"/>
              </w:rPr>
            </w:pPr>
            <w:r w:rsidRPr="00224E24">
              <w:rPr>
                <w:rFonts w:eastAsia="Times New Roman" w:cstheme="minorHAnsi"/>
                <w:sz w:val="20"/>
                <w:szCs w:val="20"/>
              </w:rPr>
              <w:t>0</w:t>
            </w:r>
          </w:p>
        </w:tc>
        <w:tc>
          <w:tcPr>
            <w:tcW w:w="1026"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55596D5A" w14:textId="77777777">
            <w:pPr>
              <w:spacing w:after="0" w:line="240" w:lineRule="auto"/>
              <w:jc w:val="right"/>
              <w:rPr>
                <w:rFonts w:eastAsia="Times New Roman" w:cstheme="minorHAnsi"/>
                <w:sz w:val="20"/>
                <w:szCs w:val="20"/>
              </w:rPr>
            </w:pPr>
            <w:r w:rsidRPr="00224E24">
              <w:rPr>
                <w:rFonts w:eastAsia="Times New Roman" w:cstheme="minorHAnsi"/>
                <w:sz w:val="20"/>
                <w:szCs w:val="20"/>
              </w:rPr>
              <w:t>$0</w:t>
            </w:r>
          </w:p>
        </w:tc>
      </w:tr>
      <w:tr w14:paraId="3D5A3D92" w14:textId="77777777" w:rsidTr="00230488">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36DE7B2F" w14:textId="77777777">
            <w:pPr>
              <w:spacing w:after="0" w:line="240" w:lineRule="auto"/>
              <w:rPr>
                <w:rFonts w:eastAsia="Times New Roman" w:cstheme="minorHAnsi"/>
                <w:sz w:val="20"/>
                <w:szCs w:val="20"/>
              </w:rPr>
            </w:pPr>
            <w:r w:rsidRPr="00224E24">
              <w:rPr>
                <w:rFonts w:eastAsia="Times New Roman" w:cstheme="minorHAnsi"/>
                <w:sz w:val="20"/>
                <w:szCs w:val="20"/>
              </w:rPr>
              <w:t xml:space="preserve">Notification of performance test </w:t>
            </w:r>
            <w:r w:rsidRPr="00224E24">
              <w:rPr>
                <w:rFonts w:eastAsia="Times New Roman" w:cstheme="minorHAnsi"/>
                <w:sz w:val="20"/>
                <w:szCs w:val="20"/>
                <w:vertAlign w:val="superscript"/>
              </w:rPr>
              <w:t>d</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10289CE8" w14:textId="77777777">
            <w:pPr>
              <w:spacing w:after="0" w:line="240" w:lineRule="auto"/>
              <w:jc w:val="center"/>
              <w:rPr>
                <w:rFonts w:eastAsia="Times New Roman" w:cstheme="minorHAnsi"/>
                <w:sz w:val="20"/>
                <w:szCs w:val="20"/>
              </w:rPr>
            </w:pPr>
            <w:r w:rsidRPr="00224E24">
              <w:rPr>
                <w:rFonts w:eastAsia="Times New Roman" w:cstheme="minorHAnsi"/>
                <w:sz w:val="20"/>
                <w:szCs w:val="20"/>
              </w:rPr>
              <w:t>1</w:t>
            </w:r>
          </w:p>
        </w:tc>
        <w:tc>
          <w:tcPr>
            <w:tcW w:w="1238" w:type="dxa"/>
            <w:tcBorders>
              <w:top w:val="nil"/>
              <w:left w:val="nil"/>
              <w:bottom w:val="single" w:sz="4" w:space="0" w:color="auto"/>
              <w:right w:val="single" w:sz="4" w:space="0" w:color="auto"/>
            </w:tcBorders>
            <w:shd w:val="clear" w:color="auto" w:fill="auto"/>
            <w:noWrap/>
            <w:vAlign w:val="center"/>
          </w:tcPr>
          <w:p w:rsidR="00224E24" w:rsidRPr="00224E24" w:rsidP="00224E24" w14:paraId="01183A2A" w14:textId="77777777">
            <w:pPr>
              <w:spacing w:after="0" w:line="240" w:lineRule="auto"/>
              <w:jc w:val="center"/>
              <w:rPr>
                <w:rFonts w:eastAsia="Times New Roman" w:cstheme="minorHAnsi"/>
                <w:sz w:val="20"/>
                <w:szCs w:val="20"/>
              </w:rPr>
            </w:pPr>
            <w:r w:rsidRPr="00224E24">
              <w:rPr>
                <w:rFonts w:eastAsia="Times New Roman" w:cstheme="minorHAnsi"/>
                <w:sz w:val="20"/>
                <w:szCs w:val="20"/>
              </w:rPr>
              <w:t>0.2</w:t>
            </w:r>
          </w:p>
        </w:tc>
        <w:tc>
          <w:tcPr>
            <w:tcW w:w="1372" w:type="dxa"/>
            <w:tcBorders>
              <w:top w:val="nil"/>
              <w:left w:val="nil"/>
              <w:bottom w:val="single" w:sz="4" w:space="0" w:color="auto"/>
              <w:right w:val="single" w:sz="4" w:space="0" w:color="auto"/>
            </w:tcBorders>
            <w:shd w:val="clear" w:color="auto" w:fill="auto"/>
            <w:noWrap/>
            <w:vAlign w:val="center"/>
          </w:tcPr>
          <w:p w:rsidR="00224E24" w:rsidRPr="00224E24" w:rsidP="00224E24" w14:paraId="197C147C" w14:textId="77777777">
            <w:pPr>
              <w:spacing w:after="0" w:line="240" w:lineRule="auto"/>
              <w:jc w:val="center"/>
              <w:rPr>
                <w:rFonts w:eastAsia="Times New Roman" w:cstheme="minorHAnsi"/>
                <w:sz w:val="20"/>
                <w:szCs w:val="20"/>
              </w:rPr>
            </w:pPr>
            <w:r w:rsidRPr="00224E24">
              <w:rPr>
                <w:rFonts w:eastAsia="Times New Roman" w:cstheme="minorHAnsi"/>
                <w:sz w:val="20"/>
                <w:szCs w:val="20"/>
              </w:rPr>
              <w:t>0.2</w:t>
            </w:r>
          </w:p>
        </w:tc>
        <w:tc>
          <w:tcPr>
            <w:tcW w:w="1080" w:type="dxa"/>
            <w:tcBorders>
              <w:top w:val="nil"/>
              <w:left w:val="nil"/>
              <w:bottom w:val="single" w:sz="4" w:space="0" w:color="auto"/>
              <w:right w:val="single" w:sz="4" w:space="0" w:color="auto"/>
            </w:tcBorders>
            <w:shd w:val="clear" w:color="auto" w:fill="auto"/>
            <w:noWrap/>
            <w:vAlign w:val="center"/>
          </w:tcPr>
          <w:p w:rsidR="00224E24" w:rsidRPr="00224E24" w:rsidP="00224E24" w14:paraId="482A8781" w14:textId="77777777">
            <w:pPr>
              <w:spacing w:after="0" w:line="240" w:lineRule="auto"/>
              <w:jc w:val="center"/>
              <w:rPr>
                <w:rFonts w:eastAsia="Times New Roman" w:cstheme="minorHAnsi"/>
                <w:sz w:val="20"/>
                <w:szCs w:val="20"/>
              </w:rPr>
            </w:pPr>
            <w:r w:rsidRPr="00224E24">
              <w:rPr>
                <w:rFonts w:eastAsia="Times New Roman" w:cstheme="minorHAnsi"/>
                <w:sz w:val="20"/>
                <w:szCs w:val="20"/>
              </w:rPr>
              <w:t>85</w:t>
            </w:r>
          </w:p>
        </w:tc>
        <w:tc>
          <w:tcPr>
            <w:tcW w:w="1440" w:type="dxa"/>
            <w:tcBorders>
              <w:top w:val="nil"/>
              <w:left w:val="nil"/>
              <w:bottom w:val="single" w:sz="4" w:space="0" w:color="auto"/>
              <w:right w:val="single" w:sz="4" w:space="0" w:color="auto"/>
            </w:tcBorders>
            <w:shd w:val="clear" w:color="auto" w:fill="auto"/>
            <w:noWrap/>
            <w:vAlign w:val="center"/>
          </w:tcPr>
          <w:p w:rsidR="00224E24" w:rsidRPr="00224E24" w:rsidP="00224E24" w14:paraId="229D3685" w14:textId="77777777">
            <w:pPr>
              <w:spacing w:after="0" w:line="240" w:lineRule="auto"/>
              <w:jc w:val="center"/>
              <w:rPr>
                <w:rFonts w:eastAsia="Times New Roman" w:cstheme="minorHAnsi"/>
                <w:sz w:val="20"/>
                <w:szCs w:val="20"/>
              </w:rPr>
            </w:pPr>
            <w:r w:rsidRPr="00224E24">
              <w:rPr>
                <w:rFonts w:eastAsia="Times New Roman" w:cstheme="minorHAnsi"/>
                <w:sz w:val="20"/>
                <w:szCs w:val="20"/>
              </w:rPr>
              <w:t>17</w:t>
            </w:r>
          </w:p>
        </w:tc>
        <w:tc>
          <w:tcPr>
            <w:tcW w:w="1440" w:type="dxa"/>
            <w:tcBorders>
              <w:top w:val="nil"/>
              <w:left w:val="nil"/>
              <w:bottom w:val="single" w:sz="4" w:space="0" w:color="auto"/>
              <w:right w:val="single" w:sz="4" w:space="0" w:color="auto"/>
            </w:tcBorders>
            <w:shd w:val="clear" w:color="auto" w:fill="auto"/>
            <w:noWrap/>
            <w:vAlign w:val="center"/>
          </w:tcPr>
          <w:p w:rsidR="00224E24" w:rsidRPr="00224E24" w:rsidP="00224E24" w14:paraId="0441559A" w14:textId="77777777">
            <w:pPr>
              <w:spacing w:after="0" w:line="240" w:lineRule="auto"/>
              <w:jc w:val="center"/>
              <w:rPr>
                <w:rFonts w:eastAsia="Times New Roman" w:cstheme="minorHAnsi"/>
                <w:sz w:val="20"/>
                <w:szCs w:val="20"/>
              </w:rPr>
            </w:pPr>
            <w:r w:rsidRPr="00224E24">
              <w:rPr>
                <w:rFonts w:eastAsia="Times New Roman" w:cstheme="minorHAnsi"/>
                <w:sz w:val="20"/>
                <w:szCs w:val="20"/>
              </w:rPr>
              <w:t>1</w:t>
            </w:r>
          </w:p>
        </w:tc>
        <w:tc>
          <w:tcPr>
            <w:tcW w:w="1248" w:type="dxa"/>
            <w:tcBorders>
              <w:top w:val="nil"/>
              <w:left w:val="nil"/>
              <w:bottom w:val="single" w:sz="4" w:space="0" w:color="auto"/>
              <w:right w:val="single" w:sz="4" w:space="0" w:color="auto"/>
            </w:tcBorders>
            <w:shd w:val="clear" w:color="auto" w:fill="auto"/>
            <w:noWrap/>
            <w:vAlign w:val="center"/>
          </w:tcPr>
          <w:p w:rsidR="00224E24" w:rsidRPr="00224E24" w:rsidP="00224E24" w14:paraId="597D9AC8" w14:textId="77777777">
            <w:pPr>
              <w:spacing w:after="0" w:line="240" w:lineRule="auto"/>
              <w:jc w:val="center"/>
              <w:rPr>
                <w:rFonts w:eastAsia="Times New Roman" w:cstheme="minorHAnsi"/>
                <w:sz w:val="20"/>
                <w:szCs w:val="20"/>
              </w:rPr>
            </w:pPr>
            <w:r w:rsidRPr="00224E24">
              <w:rPr>
                <w:rFonts w:eastAsia="Times New Roman" w:cstheme="minorHAnsi"/>
                <w:sz w:val="20"/>
                <w:szCs w:val="20"/>
              </w:rPr>
              <w:t>2</w:t>
            </w:r>
          </w:p>
        </w:tc>
        <w:tc>
          <w:tcPr>
            <w:tcW w:w="1026" w:type="dxa"/>
            <w:tcBorders>
              <w:top w:val="nil"/>
              <w:left w:val="nil"/>
              <w:bottom w:val="single" w:sz="4" w:space="0" w:color="auto"/>
              <w:right w:val="single" w:sz="4" w:space="0" w:color="auto"/>
            </w:tcBorders>
            <w:shd w:val="clear" w:color="auto" w:fill="auto"/>
            <w:noWrap/>
            <w:vAlign w:val="center"/>
          </w:tcPr>
          <w:p w:rsidR="00224E24" w:rsidRPr="00224E24" w:rsidP="00224E24" w14:paraId="42A7E072" w14:textId="77777777">
            <w:pPr>
              <w:spacing w:after="0" w:line="240" w:lineRule="auto"/>
              <w:jc w:val="right"/>
              <w:rPr>
                <w:rFonts w:eastAsia="Times New Roman" w:cstheme="minorHAnsi"/>
                <w:sz w:val="20"/>
                <w:szCs w:val="20"/>
              </w:rPr>
            </w:pPr>
            <w:r w:rsidRPr="00224E24">
              <w:rPr>
                <w:rFonts w:eastAsia="Times New Roman" w:cstheme="minorHAnsi"/>
                <w:sz w:val="20"/>
                <w:szCs w:val="20"/>
              </w:rPr>
              <w:t>$967</w:t>
            </w:r>
          </w:p>
        </w:tc>
      </w:tr>
      <w:tr w14:paraId="6A90B4F4" w14:textId="77777777" w:rsidTr="00230488">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49F8E0CE" w14:textId="77777777">
            <w:pPr>
              <w:spacing w:after="0" w:line="240" w:lineRule="auto"/>
              <w:rPr>
                <w:rFonts w:eastAsia="Times New Roman" w:cstheme="minorHAnsi"/>
                <w:sz w:val="20"/>
                <w:szCs w:val="20"/>
              </w:rPr>
            </w:pPr>
            <w:r w:rsidRPr="00224E24">
              <w:rPr>
                <w:rFonts w:eastAsia="Times New Roman" w:cstheme="minorHAnsi"/>
                <w:sz w:val="20"/>
                <w:szCs w:val="20"/>
              </w:rPr>
              <w:t xml:space="preserve">Notification of performance evaluations </w:t>
            </w:r>
            <w:r w:rsidRPr="00224E24">
              <w:rPr>
                <w:rFonts w:eastAsia="Times New Roman" w:cstheme="minorHAnsi"/>
                <w:sz w:val="20"/>
                <w:szCs w:val="20"/>
                <w:vertAlign w:val="superscript"/>
              </w:rPr>
              <w:t>e</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6BD525B6" w14:textId="77777777">
            <w:pPr>
              <w:spacing w:after="0" w:line="240" w:lineRule="auto"/>
              <w:jc w:val="center"/>
              <w:rPr>
                <w:rFonts w:eastAsia="Times New Roman" w:cstheme="minorHAnsi"/>
                <w:sz w:val="20"/>
                <w:szCs w:val="20"/>
              </w:rPr>
            </w:pPr>
            <w:r w:rsidRPr="00224E24">
              <w:rPr>
                <w:rFonts w:eastAsia="Times New Roman" w:cstheme="minorHAnsi"/>
                <w:sz w:val="20"/>
                <w:szCs w:val="20"/>
              </w:rPr>
              <w:t>1</w:t>
            </w:r>
          </w:p>
        </w:tc>
        <w:tc>
          <w:tcPr>
            <w:tcW w:w="1238" w:type="dxa"/>
            <w:tcBorders>
              <w:top w:val="nil"/>
              <w:left w:val="nil"/>
              <w:bottom w:val="single" w:sz="4" w:space="0" w:color="auto"/>
              <w:right w:val="single" w:sz="4" w:space="0" w:color="auto"/>
            </w:tcBorders>
            <w:shd w:val="clear" w:color="auto" w:fill="auto"/>
            <w:noWrap/>
            <w:vAlign w:val="center"/>
          </w:tcPr>
          <w:p w:rsidR="00224E24" w:rsidRPr="00224E24" w:rsidP="00224E24" w14:paraId="6B14A004" w14:textId="77777777">
            <w:pPr>
              <w:spacing w:after="0" w:line="240" w:lineRule="auto"/>
              <w:jc w:val="center"/>
              <w:rPr>
                <w:rFonts w:eastAsia="Times New Roman" w:cstheme="minorHAnsi"/>
                <w:sz w:val="20"/>
                <w:szCs w:val="20"/>
              </w:rPr>
            </w:pPr>
            <w:r w:rsidRPr="00224E24">
              <w:rPr>
                <w:rFonts w:eastAsia="Times New Roman" w:cstheme="minorHAnsi"/>
                <w:sz w:val="20"/>
                <w:szCs w:val="20"/>
              </w:rPr>
              <w:t>1</w:t>
            </w:r>
          </w:p>
        </w:tc>
        <w:tc>
          <w:tcPr>
            <w:tcW w:w="1372" w:type="dxa"/>
            <w:tcBorders>
              <w:top w:val="nil"/>
              <w:left w:val="nil"/>
              <w:bottom w:val="single" w:sz="4" w:space="0" w:color="auto"/>
              <w:right w:val="single" w:sz="4" w:space="0" w:color="auto"/>
            </w:tcBorders>
            <w:shd w:val="clear" w:color="auto" w:fill="auto"/>
            <w:noWrap/>
            <w:vAlign w:val="center"/>
          </w:tcPr>
          <w:p w:rsidR="00224E24" w:rsidRPr="00224E24" w:rsidP="00224E24" w14:paraId="114B9EAF" w14:textId="77777777">
            <w:pPr>
              <w:spacing w:after="0" w:line="240" w:lineRule="auto"/>
              <w:jc w:val="center"/>
              <w:rPr>
                <w:rFonts w:eastAsia="Times New Roman" w:cstheme="minorHAnsi"/>
                <w:sz w:val="20"/>
                <w:szCs w:val="20"/>
              </w:rPr>
            </w:pPr>
            <w:r w:rsidRPr="00224E24">
              <w:rPr>
                <w:rFonts w:eastAsia="Times New Roman" w:cstheme="minorHAnsi"/>
                <w:sz w:val="20"/>
                <w:szCs w:val="20"/>
              </w:rPr>
              <w:t>1</w:t>
            </w:r>
          </w:p>
        </w:tc>
        <w:tc>
          <w:tcPr>
            <w:tcW w:w="1080" w:type="dxa"/>
            <w:tcBorders>
              <w:top w:val="nil"/>
              <w:left w:val="nil"/>
              <w:bottom w:val="single" w:sz="4" w:space="0" w:color="auto"/>
              <w:right w:val="single" w:sz="4" w:space="0" w:color="auto"/>
            </w:tcBorders>
            <w:shd w:val="clear" w:color="auto" w:fill="auto"/>
            <w:noWrap/>
            <w:vAlign w:val="center"/>
          </w:tcPr>
          <w:p w:rsidR="00224E24" w:rsidRPr="00224E24" w:rsidP="00224E24" w14:paraId="1D136256" w14:textId="77777777">
            <w:pPr>
              <w:spacing w:after="0" w:line="240" w:lineRule="auto"/>
              <w:jc w:val="center"/>
              <w:rPr>
                <w:rFonts w:eastAsia="Times New Roman" w:cstheme="minorHAnsi"/>
                <w:sz w:val="20"/>
                <w:szCs w:val="20"/>
              </w:rPr>
            </w:pPr>
            <w:r w:rsidRPr="00224E24">
              <w:rPr>
                <w:rFonts w:eastAsia="Times New Roman" w:cstheme="minorHAnsi"/>
                <w:sz w:val="20"/>
                <w:szCs w:val="20"/>
              </w:rPr>
              <w:t>27</w:t>
            </w:r>
          </w:p>
        </w:tc>
        <w:tc>
          <w:tcPr>
            <w:tcW w:w="1440" w:type="dxa"/>
            <w:tcBorders>
              <w:top w:val="nil"/>
              <w:left w:val="nil"/>
              <w:bottom w:val="single" w:sz="4" w:space="0" w:color="auto"/>
              <w:right w:val="single" w:sz="4" w:space="0" w:color="auto"/>
            </w:tcBorders>
            <w:shd w:val="clear" w:color="auto" w:fill="auto"/>
            <w:noWrap/>
            <w:vAlign w:val="center"/>
          </w:tcPr>
          <w:p w:rsidR="00224E24" w:rsidRPr="00224E24" w:rsidP="00224E24" w14:paraId="0BB05104" w14:textId="77777777">
            <w:pPr>
              <w:spacing w:after="0" w:line="240" w:lineRule="auto"/>
              <w:jc w:val="center"/>
              <w:rPr>
                <w:rFonts w:eastAsia="Times New Roman" w:cstheme="minorHAnsi"/>
                <w:sz w:val="20"/>
                <w:szCs w:val="20"/>
              </w:rPr>
            </w:pPr>
            <w:r w:rsidRPr="00224E24">
              <w:rPr>
                <w:rFonts w:eastAsia="Times New Roman" w:cstheme="minorHAnsi"/>
                <w:sz w:val="20"/>
                <w:szCs w:val="20"/>
              </w:rPr>
              <w:t>27</w:t>
            </w:r>
          </w:p>
        </w:tc>
        <w:tc>
          <w:tcPr>
            <w:tcW w:w="1440" w:type="dxa"/>
            <w:tcBorders>
              <w:top w:val="nil"/>
              <w:left w:val="nil"/>
              <w:bottom w:val="single" w:sz="4" w:space="0" w:color="auto"/>
              <w:right w:val="single" w:sz="4" w:space="0" w:color="auto"/>
            </w:tcBorders>
            <w:shd w:val="clear" w:color="auto" w:fill="auto"/>
            <w:noWrap/>
            <w:vAlign w:val="center"/>
          </w:tcPr>
          <w:p w:rsidR="00224E24" w:rsidRPr="00224E24" w:rsidP="00224E24" w14:paraId="0620BCC8" w14:textId="77777777">
            <w:pPr>
              <w:spacing w:after="0" w:line="240" w:lineRule="auto"/>
              <w:jc w:val="center"/>
              <w:rPr>
                <w:rFonts w:eastAsia="Times New Roman" w:cstheme="minorHAnsi"/>
                <w:sz w:val="20"/>
                <w:szCs w:val="20"/>
              </w:rPr>
            </w:pPr>
            <w:r w:rsidRPr="00224E24">
              <w:rPr>
                <w:rFonts w:eastAsia="Times New Roman" w:cstheme="minorHAnsi"/>
                <w:sz w:val="20"/>
                <w:szCs w:val="20"/>
              </w:rPr>
              <w:t>1</w:t>
            </w:r>
          </w:p>
        </w:tc>
        <w:tc>
          <w:tcPr>
            <w:tcW w:w="1248" w:type="dxa"/>
            <w:tcBorders>
              <w:top w:val="nil"/>
              <w:left w:val="nil"/>
              <w:bottom w:val="single" w:sz="4" w:space="0" w:color="auto"/>
              <w:right w:val="single" w:sz="4" w:space="0" w:color="auto"/>
            </w:tcBorders>
            <w:shd w:val="clear" w:color="auto" w:fill="auto"/>
            <w:noWrap/>
            <w:vAlign w:val="center"/>
          </w:tcPr>
          <w:p w:rsidR="00224E24" w:rsidRPr="00224E24" w:rsidP="00224E24" w14:paraId="30F6EC38" w14:textId="77777777">
            <w:pPr>
              <w:spacing w:after="0" w:line="240" w:lineRule="auto"/>
              <w:jc w:val="center"/>
              <w:rPr>
                <w:rFonts w:eastAsia="Times New Roman" w:cstheme="minorHAnsi"/>
                <w:sz w:val="20"/>
                <w:szCs w:val="20"/>
              </w:rPr>
            </w:pPr>
            <w:r w:rsidRPr="00224E24">
              <w:rPr>
                <w:rFonts w:eastAsia="Times New Roman" w:cstheme="minorHAnsi"/>
                <w:sz w:val="20"/>
                <w:szCs w:val="20"/>
              </w:rPr>
              <w:t>3</w:t>
            </w:r>
          </w:p>
        </w:tc>
        <w:tc>
          <w:tcPr>
            <w:tcW w:w="1026" w:type="dxa"/>
            <w:tcBorders>
              <w:top w:val="nil"/>
              <w:left w:val="nil"/>
              <w:bottom w:val="single" w:sz="4" w:space="0" w:color="auto"/>
              <w:right w:val="single" w:sz="4" w:space="0" w:color="auto"/>
            </w:tcBorders>
            <w:shd w:val="clear" w:color="auto" w:fill="auto"/>
            <w:noWrap/>
            <w:vAlign w:val="center"/>
          </w:tcPr>
          <w:p w:rsidR="00224E24" w:rsidRPr="00224E24" w:rsidP="00224E24" w14:paraId="0BD0F697" w14:textId="77777777">
            <w:pPr>
              <w:spacing w:after="0" w:line="240" w:lineRule="auto"/>
              <w:jc w:val="right"/>
              <w:rPr>
                <w:rFonts w:eastAsia="Times New Roman" w:cstheme="minorHAnsi"/>
                <w:sz w:val="20"/>
                <w:szCs w:val="20"/>
              </w:rPr>
            </w:pPr>
            <w:r w:rsidRPr="00224E24">
              <w:rPr>
                <w:rFonts w:eastAsia="Times New Roman" w:cstheme="minorHAnsi"/>
                <w:sz w:val="20"/>
                <w:szCs w:val="20"/>
              </w:rPr>
              <w:t>$1,536</w:t>
            </w:r>
          </w:p>
        </w:tc>
      </w:tr>
      <w:tr w14:paraId="6CC049EA" w14:textId="77777777" w:rsidTr="00230488">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4C7AD406" w14:textId="77777777">
            <w:pPr>
              <w:spacing w:after="0" w:line="240" w:lineRule="auto"/>
              <w:rPr>
                <w:rFonts w:eastAsia="Times New Roman" w:cstheme="minorHAnsi"/>
                <w:sz w:val="20"/>
                <w:szCs w:val="20"/>
              </w:rPr>
            </w:pPr>
            <w:r w:rsidRPr="00224E24">
              <w:rPr>
                <w:rFonts w:eastAsia="Times New Roman" w:cstheme="minorHAnsi"/>
                <w:sz w:val="20"/>
                <w:szCs w:val="20"/>
              </w:rPr>
              <w:t>CEMS QA plan</w:t>
            </w:r>
            <w:r w:rsidRPr="00224E24">
              <w:rPr>
                <w:rFonts w:eastAsia="Times New Roman" w:cstheme="minorHAnsi"/>
                <w:sz w:val="20"/>
                <w:szCs w:val="20"/>
                <w:vertAlign w:val="superscript"/>
              </w:rPr>
              <w:t xml:space="preserve"> c</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1F24CCCA" w14:textId="77777777">
            <w:pPr>
              <w:spacing w:after="0" w:line="240" w:lineRule="auto"/>
              <w:jc w:val="center"/>
              <w:rPr>
                <w:rFonts w:eastAsia="Times New Roman" w:cstheme="minorHAnsi"/>
                <w:sz w:val="20"/>
                <w:szCs w:val="20"/>
              </w:rPr>
            </w:pPr>
            <w:r w:rsidRPr="00224E24">
              <w:rPr>
                <w:rFonts w:eastAsia="Times New Roman" w:cstheme="minorHAnsi"/>
                <w:sz w:val="20"/>
                <w:szCs w:val="20"/>
              </w:rPr>
              <w:t>2</w:t>
            </w:r>
          </w:p>
        </w:tc>
        <w:tc>
          <w:tcPr>
            <w:tcW w:w="1238" w:type="dxa"/>
            <w:tcBorders>
              <w:top w:val="nil"/>
              <w:left w:val="nil"/>
              <w:bottom w:val="single" w:sz="4" w:space="0" w:color="auto"/>
              <w:right w:val="single" w:sz="4" w:space="0" w:color="auto"/>
            </w:tcBorders>
            <w:shd w:val="clear" w:color="auto" w:fill="auto"/>
            <w:noWrap/>
            <w:vAlign w:val="center"/>
          </w:tcPr>
          <w:p w:rsidR="00224E24" w:rsidRPr="00224E24" w:rsidP="00224E24" w14:paraId="61D1165B" w14:textId="77777777">
            <w:pPr>
              <w:spacing w:after="0" w:line="240" w:lineRule="auto"/>
              <w:jc w:val="center"/>
              <w:rPr>
                <w:rFonts w:eastAsia="Times New Roman" w:cstheme="minorHAnsi"/>
                <w:sz w:val="20"/>
                <w:szCs w:val="20"/>
              </w:rPr>
            </w:pPr>
            <w:r w:rsidRPr="00224E24">
              <w:rPr>
                <w:rFonts w:eastAsia="Times New Roman" w:cstheme="minorHAnsi"/>
                <w:sz w:val="20"/>
                <w:szCs w:val="20"/>
              </w:rPr>
              <w:t>0.33</w:t>
            </w:r>
          </w:p>
        </w:tc>
        <w:tc>
          <w:tcPr>
            <w:tcW w:w="1372" w:type="dxa"/>
            <w:tcBorders>
              <w:top w:val="nil"/>
              <w:left w:val="nil"/>
              <w:bottom w:val="single" w:sz="4" w:space="0" w:color="auto"/>
              <w:right w:val="single" w:sz="4" w:space="0" w:color="auto"/>
            </w:tcBorders>
            <w:shd w:val="clear" w:color="auto" w:fill="auto"/>
            <w:noWrap/>
            <w:vAlign w:val="center"/>
          </w:tcPr>
          <w:p w:rsidR="00224E24" w:rsidRPr="00224E24" w:rsidP="00224E24" w14:paraId="2D538B02" w14:textId="77777777">
            <w:pPr>
              <w:spacing w:after="0" w:line="240" w:lineRule="auto"/>
              <w:jc w:val="center"/>
              <w:rPr>
                <w:rFonts w:eastAsia="Times New Roman" w:cstheme="minorHAnsi"/>
                <w:sz w:val="20"/>
                <w:szCs w:val="20"/>
              </w:rPr>
            </w:pPr>
            <w:r w:rsidRPr="00224E24">
              <w:rPr>
                <w:rFonts w:eastAsia="Times New Roman" w:cstheme="minorHAnsi"/>
                <w:sz w:val="20"/>
                <w:szCs w:val="20"/>
              </w:rPr>
              <w:t>0.67</w:t>
            </w:r>
          </w:p>
        </w:tc>
        <w:tc>
          <w:tcPr>
            <w:tcW w:w="1080" w:type="dxa"/>
            <w:tcBorders>
              <w:top w:val="nil"/>
              <w:left w:val="nil"/>
              <w:bottom w:val="single" w:sz="4" w:space="0" w:color="auto"/>
              <w:right w:val="single" w:sz="4" w:space="0" w:color="auto"/>
            </w:tcBorders>
            <w:shd w:val="clear" w:color="auto" w:fill="auto"/>
            <w:noWrap/>
            <w:vAlign w:val="center"/>
          </w:tcPr>
          <w:p w:rsidR="00224E24" w:rsidRPr="00224E24" w:rsidP="00224E24" w14:paraId="79089F6B" w14:textId="77777777">
            <w:pPr>
              <w:spacing w:after="0" w:line="240" w:lineRule="auto"/>
              <w:jc w:val="center"/>
              <w:rPr>
                <w:rFonts w:eastAsia="Times New Roman" w:cstheme="minorHAnsi"/>
                <w:sz w:val="20"/>
                <w:szCs w:val="20"/>
              </w:rPr>
            </w:pPr>
            <w:r w:rsidRPr="00224E24">
              <w:rPr>
                <w:rFonts w:eastAsia="Times New Roman" w:cstheme="minorHAnsi"/>
                <w:sz w:val="20"/>
                <w:szCs w:val="20"/>
              </w:rPr>
              <w:t>54</w:t>
            </w:r>
          </w:p>
        </w:tc>
        <w:tc>
          <w:tcPr>
            <w:tcW w:w="1440" w:type="dxa"/>
            <w:tcBorders>
              <w:top w:val="nil"/>
              <w:left w:val="nil"/>
              <w:bottom w:val="single" w:sz="4" w:space="0" w:color="auto"/>
              <w:right w:val="single" w:sz="4" w:space="0" w:color="auto"/>
            </w:tcBorders>
            <w:shd w:val="clear" w:color="auto" w:fill="auto"/>
            <w:noWrap/>
            <w:vAlign w:val="center"/>
          </w:tcPr>
          <w:p w:rsidR="00224E24" w:rsidRPr="00224E24" w:rsidP="00224E24" w14:paraId="5AD8C7F3" w14:textId="77777777">
            <w:pPr>
              <w:spacing w:after="0" w:line="240" w:lineRule="auto"/>
              <w:jc w:val="center"/>
              <w:rPr>
                <w:rFonts w:eastAsia="Times New Roman" w:cstheme="minorHAnsi"/>
                <w:sz w:val="20"/>
                <w:szCs w:val="20"/>
              </w:rPr>
            </w:pPr>
            <w:r w:rsidRPr="00224E24">
              <w:rPr>
                <w:rFonts w:eastAsia="Times New Roman" w:cstheme="minorHAnsi"/>
                <w:sz w:val="20"/>
                <w:szCs w:val="20"/>
              </w:rPr>
              <w:t>36</w:t>
            </w:r>
          </w:p>
        </w:tc>
        <w:tc>
          <w:tcPr>
            <w:tcW w:w="1440" w:type="dxa"/>
            <w:tcBorders>
              <w:top w:val="nil"/>
              <w:left w:val="nil"/>
              <w:bottom w:val="single" w:sz="4" w:space="0" w:color="auto"/>
              <w:right w:val="single" w:sz="4" w:space="0" w:color="auto"/>
            </w:tcBorders>
            <w:shd w:val="clear" w:color="auto" w:fill="auto"/>
            <w:noWrap/>
            <w:vAlign w:val="center"/>
          </w:tcPr>
          <w:p w:rsidR="00224E24" w:rsidRPr="00224E24" w:rsidP="00224E24" w14:paraId="497BADB0" w14:textId="77777777">
            <w:pPr>
              <w:spacing w:after="0" w:line="240" w:lineRule="auto"/>
              <w:jc w:val="center"/>
              <w:rPr>
                <w:rFonts w:eastAsia="Times New Roman" w:cstheme="minorHAnsi"/>
                <w:sz w:val="20"/>
                <w:szCs w:val="20"/>
              </w:rPr>
            </w:pPr>
            <w:r w:rsidRPr="00224E24">
              <w:rPr>
                <w:rFonts w:eastAsia="Times New Roman" w:cstheme="minorHAnsi"/>
                <w:sz w:val="20"/>
                <w:szCs w:val="20"/>
              </w:rPr>
              <w:t>2</w:t>
            </w:r>
          </w:p>
        </w:tc>
        <w:tc>
          <w:tcPr>
            <w:tcW w:w="1248" w:type="dxa"/>
            <w:tcBorders>
              <w:top w:val="nil"/>
              <w:left w:val="nil"/>
              <w:bottom w:val="single" w:sz="4" w:space="0" w:color="auto"/>
              <w:right w:val="single" w:sz="4" w:space="0" w:color="auto"/>
            </w:tcBorders>
            <w:shd w:val="clear" w:color="auto" w:fill="auto"/>
            <w:noWrap/>
            <w:vAlign w:val="center"/>
          </w:tcPr>
          <w:p w:rsidR="00224E24" w:rsidRPr="00224E24" w:rsidP="00224E24" w14:paraId="28C30ECF" w14:textId="77777777">
            <w:pPr>
              <w:spacing w:after="0" w:line="240" w:lineRule="auto"/>
              <w:jc w:val="center"/>
              <w:rPr>
                <w:rFonts w:eastAsia="Times New Roman" w:cstheme="minorHAnsi"/>
                <w:sz w:val="20"/>
                <w:szCs w:val="20"/>
              </w:rPr>
            </w:pPr>
            <w:r w:rsidRPr="00224E24">
              <w:rPr>
                <w:rFonts w:eastAsia="Times New Roman" w:cstheme="minorHAnsi"/>
                <w:sz w:val="20"/>
                <w:szCs w:val="20"/>
              </w:rPr>
              <w:t>4</w:t>
            </w:r>
          </w:p>
        </w:tc>
        <w:tc>
          <w:tcPr>
            <w:tcW w:w="1026" w:type="dxa"/>
            <w:tcBorders>
              <w:top w:val="nil"/>
              <w:left w:val="nil"/>
              <w:bottom w:val="single" w:sz="4" w:space="0" w:color="auto"/>
              <w:right w:val="single" w:sz="4" w:space="0" w:color="auto"/>
            </w:tcBorders>
            <w:shd w:val="clear" w:color="auto" w:fill="auto"/>
            <w:noWrap/>
            <w:vAlign w:val="center"/>
          </w:tcPr>
          <w:p w:rsidR="00224E24" w:rsidRPr="00224E24" w:rsidP="00224E24" w14:paraId="5E1BD4D1" w14:textId="77777777">
            <w:pPr>
              <w:spacing w:after="0" w:line="240" w:lineRule="auto"/>
              <w:jc w:val="right"/>
              <w:rPr>
                <w:rFonts w:eastAsia="Times New Roman" w:cstheme="minorHAnsi"/>
                <w:sz w:val="20"/>
                <w:szCs w:val="20"/>
              </w:rPr>
            </w:pPr>
            <w:r w:rsidRPr="00224E24">
              <w:rPr>
                <w:rFonts w:eastAsia="Times New Roman" w:cstheme="minorHAnsi"/>
                <w:sz w:val="20"/>
                <w:szCs w:val="20"/>
              </w:rPr>
              <w:t>$2,048</w:t>
            </w:r>
          </w:p>
        </w:tc>
      </w:tr>
      <w:tr w14:paraId="668E0B09" w14:textId="77777777" w:rsidTr="00230488">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224E24" w:rsidRPr="00224E24" w:rsidP="00224E24" w14:paraId="27E076BE" w14:textId="77777777">
            <w:pPr>
              <w:spacing w:after="0" w:line="240" w:lineRule="auto"/>
              <w:rPr>
                <w:rFonts w:eastAsia="Times New Roman" w:cstheme="minorHAnsi"/>
                <w:sz w:val="20"/>
                <w:szCs w:val="20"/>
              </w:rPr>
            </w:pPr>
            <w:r w:rsidRPr="00224E24">
              <w:rPr>
                <w:rFonts w:eastAsia="Times New Roman" w:cstheme="minorHAnsi"/>
                <w:sz w:val="20"/>
                <w:szCs w:val="20"/>
              </w:rPr>
              <w:t xml:space="preserve">Notification of compliance status </w:t>
            </w:r>
            <w:r w:rsidRPr="00224E24">
              <w:rPr>
                <w:rFonts w:eastAsia="Times New Roman" w:cstheme="minorHAnsi"/>
                <w:sz w:val="20"/>
                <w:szCs w:val="20"/>
                <w:vertAlign w:val="superscript"/>
              </w:rPr>
              <w:t>c</w:t>
            </w:r>
          </w:p>
        </w:tc>
        <w:tc>
          <w:tcPr>
            <w:tcW w:w="126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69381DAE" w14:textId="77777777">
            <w:pPr>
              <w:spacing w:after="0" w:line="240" w:lineRule="auto"/>
              <w:jc w:val="center"/>
              <w:rPr>
                <w:rFonts w:eastAsia="Times New Roman" w:cstheme="minorHAnsi"/>
                <w:sz w:val="20"/>
                <w:szCs w:val="20"/>
              </w:rPr>
            </w:pPr>
            <w:r w:rsidRPr="00224E24">
              <w:rPr>
                <w:rFonts w:eastAsia="Times New Roman" w:cstheme="minorHAnsi"/>
                <w:sz w:val="20"/>
                <w:szCs w:val="20"/>
              </w:rPr>
              <w:t>4</w:t>
            </w:r>
          </w:p>
        </w:tc>
        <w:tc>
          <w:tcPr>
            <w:tcW w:w="1238"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28D78111" w14:textId="77777777">
            <w:pPr>
              <w:spacing w:after="0" w:line="240" w:lineRule="auto"/>
              <w:jc w:val="center"/>
              <w:rPr>
                <w:rFonts w:eastAsia="Times New Roman" w:cstheme="minorHAnsi"/>
                <w:sz w:val="20"/>
                <w:szCs w:val="20"/>
              </w:rPr>
            </w:pPr>
            <w:r w:rsidRPr="00224E24">
              <w:rPr>
                <w:rFonts w:eastAsia="Times New Roman" w:cstheme="minorHAnsi"/>
                <w:sz w:val="20"/>
                <w:szCs w:val="20"/>
              </w:rPr>
              <w:t>1</w:t>
            </w:r>
          </w:p>
        </w:tc>
        <w:tc>
          <w:tcPr>
            <w:tcW w:w="1372"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6E7F2F62" w14:textId="77777777">
            <w:pPr>
              <w:spacing w:after="0" w:line="240" w:lineRule="auto"/>
              <w:jc w:val="center"/>
              <w:rPr>
                <w:rFonts w:eastAsia="Times New Roman" w:cstheme="minorHAnsi"/>
                <w:sz w:val="20"/>
                <w:szCs w:val="20"/>
              </w:rPr>
            </w:pPr>
            <w:r w:rsidRPr="00224E24">
              <w:rPr>
                <w:rFonts w:eastAsia="Times New Roman" w:cstheme="minorHAnsi"/>
                <w:sz w:val="20"/>
                <w:szCs w:val="20"/>
              </w:rPr>
              <w:t>2</w:t>
            </w:r>
          </w:p>
        </w:tc>
        <w:tc>
          <w:tcPr>
            <w:tcW w:w="108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2049A403" w14:textId="77777777">
            <w:pPr>
              <w:spacing w:after="0" w:line="240" w:lineRule="auto"/>
              <w:jc w:val="center"/>
              <w:rPr>
                <w:rFonts w:eastAsia="Times New Roman" w:cstheme="minorHAnsi"/>
                <w:sz w:val="20"/>
                <w:szCs w:val="20"/>
              </w:rPr>
            </w:pPr>
            <w:r w:rsidRPr="00224E24">
              <w:rPr>
                <w:rFonts w:eastAsia="Times New Roman" w:cstheme="minorHAnsi"/>
                <w:sz w:val="20"/>
                <w:szCs w:val="20"/>
              </w:rPr>
              <w:t>3,073</w:t>
            </w:r>
          </w:p>
        </w:tc>
        <w:tc>
          <w:tcPr>
            <w:tcW w:w="144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4425BFA9" w14:textId="77777777">
            <w:pPr>
              <w:spacing w:after="0" w:line="240" w:lineRule="auto"/>
              <w:jc w:val="center"/>
              <w:rPr>
                <w:rFonts w:eastAsia="Times New Roman" w:cstheme="minorHAnsi"/>
                <w:sz w:val="20"/>
                <w:szCs w:val="20"/>
              </w:rPr>
            </w:pPr>
            <w:r w:rsidRPr="00224E24">
              <w:rPr>
                <w:rFonts w:eastAsia="Times New Roman" w:cstheme="minorHAnsi"/>
                <w:sz w:val="20"/>
                <w:szCs w:val="20"/>
              </w:rPr>
              <w:t>6,146</w:t>
            </w:r>
          </w:p>
        </w:tc>
        <w:tc>
          <w:tcPr>
            <w:tcW w:w="144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7736958D" w14:textId="77777777">
            <w:pPr>
              <w:spacing w:after="0" w:line="240" w:lineRule="auto"/>
              <w:jc w:val="center"/>
              <w:rPr>
                <w:rFonts w:eastAsia="Times New Roman" w:cstheme="minorHAnsi"/>
                <w:sz w:val="20"/>
                <w:szCs w:val="20"/>
              </w:rPr>
            </w:pPr>
            <w:r w:rsidRPr="00224E24">
              <w:rPr>
                <w:rFonts w:eastAsia="Times New Roman" w:cstheme="minorHAnsi"/>
                <w:sz w:val="20"/>
                <w:szCs w:val="20"/>
              </w:rPr>
              <w:t>307</w:t>
            </w:r>
          </w:p>
        </w:tc>
        <w:tc>
          <w:tcPr>
            <w:tcW w:w="1248"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0414364A" w14:textId="77777777">
            <w:pPr>
              <w:spacing w:after="0" w:line="240" w:lineRule="auto"/>
              <w:jc w:val="center"/>
              <w:rPr>
                <w:rFonts w:eastAsia="Times New Roman" w:cstheme="minorHAnsi"/>
                <w:sz w:val="20"/>
                <w:szCs w:val="20"/>
              </w:rPr>
            </w:pPr>
            <w:r w:rsidRPr="00224E24">
              <w:rPr>
                <w:rFonts w:eastAsia="Times New Roman" w:cstheme="minorHAnsi"/>
                <w:sz w:val="20"/>
                <w:szCs w:val="20"/>
              </w:rPr>
              <w:t>615</w:t>
            </w:r>
          </w:p>
        </w:tc>
        <w:tc>
          <w:tcPr>
            <w:tcW w:w="1026"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1673764C" w14:textId="77777777">
            <w:pPr>
              <w:spacing w:after="0" w:line="240" w:lineRule="auto"/>
              <w:jc w:val="right"/>
              <w:rPr>
                <w:rFonts w:eastAsia="Times New Roman" w:cstheme="minorHAnsi"/>
                <w:sz w:val="20"/>
                <w:szCs w:val="20"/>
              </w:rPr>
            </w:pPr>
            <w:r w:rsidRPr="00224E24">
              <w:rPr>
                <w:rFonts w:eastAsia="Times New Roman" w:cstheme="minorHAnsi"/>
                <w:sz w:val="20"/>
                <w:szCs w:val="20"/>
              </w:rPr>
              <w:t xml:space="preserve">$349,609 </w:t>
            </w:r>
          </w:p>
        </w:tc>
      </w:tr>
      <w:tr w14:paraId="5F74EB81" w14:textId="77777777" w:rsidTr="00230488">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224E24" w:rsidRPr="00224E24" w:rsidP="00224E24" w14:paraId="724A58C5" w14:textId="77777777">
            <w:pPr>
              <w:spacing w:after="0" w:line="240" w:lineRule="auto"/>
              <w:rPr>
                <w:rFonts w:eastAsia="Times New Roman" w:cstheme="minorHAnsi"/>
                <w:sz w:val="20"/>
                <w:szCs w:val="20"/>
              </w:rPr>
            </w:pPr>
            <w:r w:rsidRPr="00224E24">
              <w:rPr>
                <w:rFonts w:eastAsia="Times New Roman" w:cstheme="minorHAnsi"/>
                <w:sz w:val="20"/>
                <w:szCs w:val="20"/>
              </w:rPr>
              <w:t>Performance test report</w:t>
            </w:r>
            <w:r w:rsidRPr="00224E24">
              <w:rPr>
                <w:rFonts w:eastAsia="Times New Roman" w:cstheme="minorHAnsi"/>
                <w:sz w:val="20"/>
                <w:szCs w:val="20"/>
                <w:vertAlign w:val="superscript"/>
              </w:rPr>
              <w:t xml:space="preserve"> d</w:t>
            </w:r>
          </w:p>
        </w:tc>
        <w:tc>
          <w:tcPr>
            <w:tcW w:w="126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293C6B1D" w14:textId="77777777">
            <w:pPr>
              <w:spacing w:after="0" w:line="240" w:lineRule="auto"/>
              <w:jc w:val="center"/>
              <w:rPr>
                <w:rFonts w:eastAsia="Times New Roman" w:cstheme="minorHAnsi"/>
                <w:sz w:val="20"/>
                <w:szCs w:val="20"/>
              </w:rPr>
            </w:pPr>
            <w:r w:rsidRPr="00224E24">
              <w:rPr>
                <w:rFonts w:eastAsia="Times New Roman" w:cstheme="minorHAnsi"/>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0DE60098" w14:textId="77777777">
            <w:pPr>
              <w:spacing w:after="0" w:line="240" w:lineRule="auto"/>
              <w:jc w:val="center"/>
              <w:rPr>
                <w:rFonts w:eastAsia="Times New Roman" w:cstheme="minorHAnsi"/>
                <w:sz w:val="20"/>
                <w:szCs w:val="20"/>
              </w:rPr>
            </w:pPr>
            <w:r w:rsidRPr="00224E24">
              <w:rPr>
                <w:rFonts w:eastAsia="Times New Roman" w:cstheme="minorHAnsi"/>
                <w:sz w:val="20"/>
                <w:szCs w:val="20"/>
              </w:rPr>
              <w:t>0.2</w:t>
            </w:r>
          </w:p>
        </w:tc>
        <w:tc>
          <w:tcPr>
            <w:tcW w:w="1372"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4BB17E84" w14:textId="77777777">
            <w:pPr>
              <w:spacing w:after="0" w:line="240" w:lineRule="auto"/>
              <w:jc w:val="center"/>
              <w:rPr>
                <w:rFonts w:eastAsia="Times New Roman" w:cstheme="minorHAnsi"/>
                <w:sz w:val="20"/>
                <w:szCs w:val="20"/>
              </w:rPr>
            </w:pPr>
            <w:r w:rsidRPr="00224E24">
              <w:rPr>
                <w:rFonts w:eastAsia="Times New Roman" w:cstheme="minorHAnsi"/>
                <w:sz w:val="20"/>
                <w:szCs w:val="20"/>
              </w:rPr>
              <w:t>0.4</w:t>
            </w:r>
          </w:p>
        </w:tc>
        <w:tc>
          <w:tcPr>
            <w:tcW w:w="108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734F69BD" w14:textId="77777777">
            <w:pPr>
              <w:spacing w:after="0" w:line="240" w:lineRule="auto"/>
              <w:jc w:val="center"/>
              <w:rPr>
                <w:rFonts w:eastAsia="Times New Roman" w:cstheme="minorHAnsi"/>
                <w:sz w:val="20"/>
                <w:szCs w:val="20"/>
              </w:rPr>
            </w:pPr>
            <w:r w:rsidRPr="00224E24">
              <w:rPr>
                <w:rFonts w:eastAsia="Times New Roman" w:cstheme="minorHAnsi"/>
                <w:sz w:val="20"/>
                <w:szCs w:val="20"/>
              </w:rPr>
              <w:t>85</w:t>
            </w:r>
          </w:p>
        </w:tc>
        <w:tc>
          <w:tcPr>
            <w:tcW w:w="144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4898650E" w14:textId="77777777">
            <w:pPr>
              <w:spacing w:after="0" w:line="240" w:lineRule="auto"/>
              <w:jc w:val="center"/>
              <w:rPr>
                <w:rFonts w:eastAsia="Times New Roman" w:cstheme="minorHAnsi"/>
                <w:sz w:val="20"/>
                <w:szCs w:val="20"/>
              </w:rPr>
            </w:pPr>
            <w:r w:rsidRPr="00224E24">
              <w:rPr>
                <w:rFonts w:eastAsia="Times New Roman" w:cstheme="minorHAnsi"/>
                <w:sz w:val="20"/>
                <w:szCs w:val="20"/>
              </w:rPr>
              <w:t>34</w:t>
            </w:r>
          </w:p>
        </w:tc>
        <w:tc>
          <w:tcPr>
            <w:tcW w:w="144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1969AB6C" w14:textId="77777777">
            <w:pPr>
              <w:spacing w:after="0" w:line="240" w:lineRule="auto"/>
              <w:jc w:val="center"/>
              <w:rPr>
                <w:rFonts w:eastAsia="Times New Roman" w:cstheme="minorHAnsi"/>
                <w:sz w:val="20"/>
                <w:szCs w:val="20"/>
              </w:rPr>
            </w:pPr>
            <w:r w:rsidRPr="00224E24">
              <w:rPr>
                <w:rFonts w:eastAsia="Times New Roman" w:cstheme="minorHAnsi"/>
                <w:sz w:val="20"/>
                <w:szCs w:val="20"/>
              </w:rPr>
              <w:t>2</w:t>
            </w:r>
          </w:p>
        </w:tc>
        <w:tc>
          <w:tcPr>
            <w:tcW w:w="1248"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05E1FFD7" w14:textId="77777777">
            <w:pPr>
              <w:spacing w:after="0" w:line="240" w:lineRule="auto"/>
              <w:jc w:val="center"/>
              <w:rPr>
                <w:rFonts w:eastAsia="Times New Roman" w:cstheme="minorHAnsi"/>
                <w:sz w:val="20"/>
                <w:szCs w:val="20"/>
              </w:rPr>
            </w:pPr>
            <w:r w:rsidRPr="00224E24">
              <w:rPr>
                <w:rFonts w:eastAsia="Times New Roman" w:cstheme="minorHAnsi"/>
                <w:sz w:val="20"/>
                <w:szCs w:val="20"/>
              </w:rPr>
              <w:t>3</w:t>
            </w:r>
          </w:p>
        </w:tc>
        <w:tc>
          <w:tcPr>
            <w:tcW w:w="1026"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4A209806" w14:textId="77777777">
            <w:pPr>
              <w:spacing w:after="0" w:line="240" w:lineRule="auto"/>
              <w:jc w:val="right"/>
              <w:rPr>
                <w:rFonts w:eastAsia="Times New Roman" w:cstheme="minorHAnsi"/>
                <w:sz w:val="20"/>
                <w:szCs w:val="20"/>
              </w:rPr>
            </w:pPr>
            <w:r w:rsidRPr="00224E24">
              <w:rPr>
                <w:rFonts w:eastAsia="Times New Roman" w:cstheme="minorHAnsi"/>
                <w:sz w:val="20"/>
                <w:szCs w:val="20"/>
              </w:rPr>
              <w:t>$1,934</w:t>
            </w:r>
          </w:p>
        </w:tc>
      </w:tr>
      <w:tr w14:paraId="4E82B3DC" w14:textId="77777777" w:rsidTr="00230488">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tcPr>
          <w:p w:rsidR="00224E24" w:rsidRPr="00224E24" w:rsidP="00224E24" w14:paraId="237B9F16" w14:textId="77777777">
            <w:pPr>
              <w:spacing w:after="0" w:line="240" w:lineRule="auto"/>
              <w:rPr>
                <w:rFonts w:eastAsia="Times New Roman" w:cstheme="minorHAnsi"/>
                <w:sz w:val="20"/>
                <w:szCs w:val="20"/>
              </w:rPr>
            </w:pPr>
            <w:r w:rsidRPr="00224E24">
              <w:rPr>
                <w:rFonts w:eastAsia="Times New Roman" w:cstheme="minorHAnsi"/>
                <w:sz w:val="20"/>
                <w:szCs w:val="20"/>
              </w:rPr>
              <w:t xml:space="preserve">Performance evaluation report </w:t>
            </w:r>
            <w:r w:rsidRPr="00224E24">
              <w:rPr>
                <w:rFonts w:eastAsia="Times New Roman" w:cstheme="minorHAnsi"/>
                <w:sz w:val="20"/>
                <w:szCs w:val="20"/>
                <w:vertAlign w:val="superscript"/>
              </w:rPr>
              <w:t>e</w:t>
            </w:r>
          </w:p>
        </w:tc>
        <w:tc>
          <w:tcPr>
            <w:tcW w:w="1260" w:type="dxa"/>
            <w:tcBorders>
              <w:top w:val="nil"/>
              <w:left w:val="nil"/>
              <w:bottom w:val="single" w:sz="4" w:space="0" w:color="auto"/>
              <w:right w:val="single" w:sz="4" w:space="0" w:color="auto"/>
            </w:tcBorders>
            <w:shd w:val="clear" w:color="auto" w:fill="auto"/>
            <w:noWrap/>
            <w:vAlign w:val="center"/>
          </w:tcPr>
          <w:p w:rsidR="00224E24" w:rsidRPr="00224E24" w:rsidP="00224E24" w14:paraId="5892E60F" w14:textId="77777777">
            <w:pPr>
              <w:spacing w:after="0" w:line="240" w:lineRule="auto"/>
              <w:jc w:val="center"/>
              <w:rPr>
                <w:rFonts w:eastAsia="Times New Roman" w:cstheme="minorHAnsi"/>
                <w:sz w:val="20"/>
                <w:szCs w:val="20"/>
              </w:rPr>
            </w:pPr>
            <w:r w:rsidRPr="00224E24">
              <w:rPr>
                <w:rFonts w:eastAsia="Times New Roman" w:cstheme="minorHAnsi"/>
                <w:sz w:val="20"/>
                <w:szCs w:val="20"/>
              </w:rPr>
              <w:t>2</w:t>
            </w:r>
          </w:p>
        </w:tc>
        <w:tc>
          <w:tcPr>
            <w:tcW w:w="1238" w:type="dxa"/>
            <w:tcBorders>
              <w:top w:val="nil"/>
              <w:left w:val="nil"/>
              <w:bottom w:val="single" w:sz="4" w:space="0" w:color="auto"/>
              <w:right w:val="single" w:sz="4" w:space="0" w:color="auto"/>
            </w:tcBorders>
            <w:shd w:val="clear" w:color="auto" w:fill="auto"/>
            <w:noWrap/>
            <w:vAlign w:val="center"/>
          </w:tcPr>
          <w:p w:rsidR="00224E24" w:rsidRPr="00224E24" w:rsidP="00224E24" w14:paraId="1690A9D7" w14:textId="77777777">
            <w:pPr>
              <w:spacing w:after="0" w:line="240" w:lineRule="auto"/>
              <w:jc w:val="center"/>
              <w:rPr>
                <w:rFonts w:eastAsia="Times New Roman" w:cstheme="minorHAnsi"/>
                <w:sz w:val="20"/>
                <w:szCs w:val="20"/>
              </w:rPr>
            </w:pPr>
            <w:r w:rsidRPr="00224E24">
              <w:rPr>
                <w:rFonts w:eastAsia="Times New Roman" w:cstheme="minorHAnsi"/>
                <w:sz w:val="20"/>
                <w:szCs w:val="20"/>
              </w:rPr>
              <w:t>1</w:t>
            </w:r>
          </w:p>
        </w:tc>
        <w:tc>
          <w:tcPr>
            <w:tcW w:w="1372" w:type="dxa"/>
            <w:tcBorders>
              <w:top w:val="nil"/>
              <w:left w:val="nil"/>
              <w:bottom w:val="single" w:sz="4" w:space="0" w:color="auto"/>
              <w:right w:val="single" w:sz="4" w:space="0" w:color="auto"/>
            </w:tcBorders>
            <w:shd w:val="clear" w:color="auto" w:fill="auto"/>
            <w:noWrap/>
            <w:vAlign w:val="center"/>
          </w:tcPr>
          <w:p w:rsidR="00224E24" w:rsidRPr="00224E24" w:rsidP="00224E24" w14:paraId="46D04F28" w14:textId="77777777">
            <w:pPr>
              <w:spacing w:after="0" w:line="240" w:lineRule="auto"/>
              <w:jc w:val="center"/>
              <w:rPr>
                <w:rFonts w:eastAsia="Times New Roman" w:cstheme="minorHAnsi"/>
                <w:sz w:val="20"/>
                <w:szCs w:val="20"/>
              </w:rPr>
            </w:pPr>
            <w:r w:rsidRPr="00224E24">
              <w:rPr>
                <w:rFonts w:eastAsia="Times New Roman" w:cstheme="minorHAnsi"/>
                <w:sz w:val="20"/>
                <w:szCs w:val="20"/>
              </w:rPr>
              <w:t>2</w:t>
            </w:r>
          </w:p>
        </w:tc>
        <w:tc>
          <w:tcPr>
            <w:tcW w:w="1080" w:type="dxa"/>
            <w:tcBorders>
              <w:top w:val="nil"/>
              <w:left w:val="nil"/>
              <w:bottom w:val="single" w:sz="4" w:space="0" w:color="auto"/>
              <w:right w:val="single" w:sz="4" w:space="0" w:color="auto"/>
            </w:tcBorders>
            <w:shd w:val="clear" w:color="auto" w:fill="auto"/>
            <w:noWrap/>
            <w:vAlign w:val="center"/>
          </w:tcPr>
          <w:p w:rsidR="00224E24" w:rsidRPr="00224E24" w:rsidP="00224E24" w14:paraId="40799842" w14:textId="77777777">
            <w:pPr>
              <w:spacing w:after="0" w:line="240" w:lineRule="auto"/>
              <w:jc w:val="center"/>
              <w:rPr>
                <w:rFonts w:eastAsia="Times New Roman" w:cstheme="minorHAnsi"/>
                <w:sz w:val="20"/>
                <w:szCs w:val="20"/>
              </w:rPr>
            </w:pPr>
            <w:r w:rsidRPr="00224E24">
              <w:rPr>
                <w:rFonts w:eastAsia="Times New Roman" w:cstheme="minorHAnsi"/>
                <w:sz w:val="20"/>
                <w:szCs w:val="20"/>
              </w:rPr>
              <w:t>27</w:t>
            </w:r>
          </w:p>
        </w:tc>
        <w:tc>
          <w:tcPr>
            <w:tcW w:w="1440" w:type="dxa"/>
            <w:tcBorders>
              <w:top w:val="nil"/>
              <w:left w:val="nil"/>
              <w:bottom w:val="single" w:sz="4" w:space="0" w:color="auto"/>
              <w:right w:val="single" w:sz="4" w:space="0" w:color="auto"/>
            </w:tcBorders>
            <w:shd w:val="clear" w:color="auto" w:fill="auto"/>
            <w:noWrap/>
            <w:vAlign w:val="center"/>
          </w:tcPr>
          <w:p w:rsidR="00224E24" w:rsidRPr="00224E24" w:rsidP="00224E24" w14:paraId="13D2F6F1" w14:textId="77777777">
            <w:pPr>
              <w:spacing w:after="0" w:line="240" w:lineRule="auto"/>
              <w:jc w:val="center"/>
              <w:rPr>
                <w:rFonts w:eastAsia="Times New Roman" w:cstheme="minorHAnsi"/>
                <w:sz w:val="20"/>
                <w:szCs w:val="20"/>
              </w:rPr>
            </w:pPr>
            <w:r w:rsidRPr="00224E24">
              <w:rPr>
                <w:rFonts w:eastAsia="Times New Roman" w:cstheme="minorHAnsi"/>
                <w:sz w:val="20"/>
                <w:szCs w:val="20"/>
              </w:rPr>
              <w:t>54</w:t>
            </w:r>
          </w:p>
        </w:tc>
        <w:tc>
          <w:tcPr>
            <w:tcW w:w="1440" w:type="dxa"/>
            <w:tcBorders>
              <w:top w:val="nil"/>
              <w:left w:val="nil"/>
              <w:bottom w:val="single" w:sz="4" w:space="0" w:color="auto"/>
              <w:right w:val="single" w:sz="4" w:space="0" w:color="auto"/>
            </w:tcBorders>
            <w:shd w:val="clear" w:color="auto" w:fill="auto"/>
            <w:noWrap/>
            <w:vAlign w:val="center"/>
          </w:tcPr>
          <w:p w:rsidR="00224E24" w:rsidRPr="00224E24" w:rsidP="00224E24" w14:paraId="1F5842A9" w14:textId="77777777">
            <w:pPr>
              <w:spacing w:after="0" w:line="240" w:lineRule="auto"/>
              <w:jc w:val="center"/>
              <w:rPr>
                <w:rFonts w:eastAsia="Times New Roman" w:cstheme="minorHAnsi"/>
                <w:sz w:val="20"/>
                <w:szCs w:val="20"/>
              </w:rPr>
            </w:pPr>
            <w:r w:rsidRPr="00224E24">
              <w:rPr>
                <w:rFonts w:eastAsia="Times New Roman" w:cstheme="minorHAnsi"/>
                <w:sz w:val="20"/>
                <w:szCs w:val="20"/>
              </w:rPr>
              <w:t>3</w:t>
            </w:r>
          </w:p>
        </w:tc>
        <w:tc>
          <w:tcPr>
            <w:tcW w:w="1248" w:type="dxa"/>
            <w:tcBorders>
              <w:top w:val="nil"/>
              <w:left w:val="nil"/>
              <w:bottom w:val="single" w:sz="4" w:space="0" w:color="auto"/>
              <w:right w:val="single" w:sz="4" w:space="0" w:color="auto"/>
            </w:tcBorders>
            <w:shd w:val="clear" w:color="auto" w:fill="auto"/>
            <w:noWrap/>
            <w:vAlign w:val="center"/>
          </w:tcPr>
          <w:p w:rsidR="00224E24" w:rsidRPr="00224E24" w:rsidP="00224E24" w14:paraId="18020F56" w14:textId="77777777">
            <w:pPr>
              <w:spacing w:after="0" w:line="240" w:lineRule="auto"/>
              <w:jc w:val="center"/>
              <w:rPr>
                <w:rFonts w:eastAsia="Times New Roman" w:cstheme="minorHAnsi"/>
                <w:sz w:val="20"/>
                <w:szCs w:val="20"/>
              </w:rPr>
            </w:pPr>
            <w:r w:rsidRPr="00224E24">
              <w:rPr>
                <w:rFonts w:eastAsia="Times New Roman" w:cstheme="minorHAnsi"/>
                <w:sz w:val="20"/>
                <w:szCs w:val="20"/>
              </w:rPr>
              <w:t>5</w:t>
            </w:r>
          </w:p>
        </w:tc>
        <w:tc>
          <w:tcPr>
            <w:tcW w:w="1026" w:type="dxa"/>
            <w:tcBorders>
              <w:top w:val="nil"/>
              <w:left w:val="nil"/>
              <w:bottom w:val="single" w:sz="4" w:space="0" w:color="auto"/>
              <w:right w:val="single" w:sz="4" w:space="0" w:color="auto"/>
            </w:tcBorders>
            <w:shd w:val="clear" w:color="auto" w:fill="auto"/>
            <w:noWrap/>
            <w:vAlign w:val="center"/>
          </w:tcPr>
          <w:p w:rsidR="00224E24" w:rsidRPr="00224E24" w:rsidP="00224E24" w14:paraId="221303BA" w14:textId="77777777">
            <w:pPr>
              <w:spacing w:after="0" w:line="240" w:lineRule="auto"/>
              <w:jc w:val="right"/>
              <w:rPr>
                <w:rFonts w:eastAsia="Times New Roman" w:cstheme="minorHAnsi"/>
                <w:sz w:val="20"/>
                <w:szCs w:val="20"/>
              </w:rPr>
            </w:pPr>
            <w:r w:rsidRPr="00224E24">
              <w:rPr>
                <w:rFonts w:eastAsia="Times New Roman" w:cstheme="minorHAnsi"/>
                <w:sz w:val="20"/>
                <w:szCs w:val="20"/>
              </w:rPr>
              <w:t>$3,072</w:t>
            </w:r>
          </w:p>
        </w:tc>
      </w:tr>
      <w:tr w14:paraId="2D229997" w14:textId="77777777" w:rsidTr="00230488">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224E24" w:rsidRPr="00224E24" w:rsidP="00224E24" w14:paraId="073AEF18" w14:textId="77777777">
            <w:pPr>
              <w:spacing w:after="0" w:line="240" w:lineRule="auto"/>
              <w:rPr>
                <w:rFonts w:eastAsia="Times New Roman" w:cstheme="minorHAnsi"/>
                <w:sz w:val="20"/>
                <w:szCs w:val="20"/>
                <w:vertAlign w:val="superscript"/>
              </w:rPr>
            </w:pPr>
            <w:r w:rsidRPr="00224E24">
              <w:rPr>
                <w:rFonts w:eastAsia="Times New Roman" w:cstheme="minorHAnsi"/>
                <w:sz w:val="20"/>
                <w:szCs w:val="20"/>
              </w:rPr>
              <w:t xml:space="preserve">Semiannual compliance report </w:t>
            </w:r>
            <w:r w:rsidRPr="00224E24">
              <w:rPr>
                <w:rFonts w:eastAsia="Times New Roman" w:cstheme="minorHAnsi"/>
                <w:sz w:val="20"/>
                <w:szCs w:val="20"/>
                <w:vertAlign w:val="superscript"/>
              </w:rPr>
              <w:t>f</w:t>
            </w:r>
          </w:p>
        </w:tc>
        <w:tc>
          <w:tcPr>
            <w:tcW w:w="126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7AF31BF8" w14:textId="77777777">
            <w:pPr>
              <w:spacing w:after="0" w:line="240" w:lineRule="auto"/>
              <w:jc w:val="center"/>
              <w:rPr>
                <w:rFonts w:eastAsia="Times New Roman" w:cstheme="minorHAnsi"/>
                <w:sz w:val="20"/>
                <w:szCs w:val="20"/>
              </w:rPr>
            </w:pPr>
            <w:r w:rsidRPr="00224E24">
              <w:rPr>
                <w:rFonts w:eastAsia="Times New Roman" w:cstheme="minorHAnsi"/>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5B84F865" w14:textId="77777777">
            <w:pPr>
              <w:spacing w:after="0" w:line="240" w:lineRule="auto"/>
              <w:jc w:val="center"/>
              <w:rPr>
                <w:rFonts w:eastAsia="Times New Roman" w:cstheme="minorHAnsi"/>
                <w:sz w:val="20"/>
                <w:szCs w:val="20"/>
              </w:rPr>
            </w:pPr>
            <w:r w:rsidRPr="00224E24">
              <w:rPr>
                <w:rFonts w:eastAsia="Times New Roman" w:cstheme="minorHAnsi"/>
                <w:sz w:val="20"/>
                <w:szCs w:val="20"/>
              </w:rPr>
              <w:t>2</w:t>
            </w:r>
          </w:p>
        </w:tc>
        <w:tc>
          <w:tcPr>
            <w:tcW w:w="1372"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173A2BE9" w14:textId="77777777">
            <w:pPr>
              <w:spacing w:after="0" w:line="240" w:lineRule="auto"/>
              <w:jc w:val="center"/>
              <w:rPr>
                <w:rFonts w:eastAsia="Times New Roman" w:cstheme="minorHAnsi"/>
                <w:sz w:val="20"/>
                <w:szCs w:val="20"/>
              </w:rPr>
            </w:pPr>
            <w:r w:rsidRPr="00224E24">
              <w:rPr>
                <w:rFonts w:eastAsia="Times New Roman" w:cstheme="minorHAnsi"/>
                <w:sz w:val="20"/>
                <w:szCs w:val="20"/>
              </w:rPr>
              <w:t>4</w:t>
            </w:r>
          </w:p>
        </w:tc>
        <w:tc>
          <w:tcPr>
            <w:tcW w:w="108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2DB34EBB" w14:textId="77777777">
            <w:pPr>
              <w:widowControl w:val="0"/>
              <w:autoSpaceDE w:val="0"/>
              <w:autoSpaceDN w:val="0"/>
              <w:adjustRightInd w:val="0"/>
              <w:spacing w:after="0"/>
              <w:jc w:val="center"/>
              <w:rPr>
                <w:rFonts w:eastAsia="Times New Roman" w:cstheme="minorHAnsi"/>
                <w:sz w:val="20"/>
                <w:szCs w:val="20"/>
              </w:rPr>
            </w:pPr>
            <w:r w:rsidRPr="00224E24">
              <w:rPr>
                <w:rFonts w:eastAsia="Times New Roman" w:cstheme="minorHAnsi"/>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52E0218B" w14:textId="77777777">
            <w:pPr>
              <w:widowControl w:val="0"/>
              <w:autoSpaceDE w:val="0"/>
              <w:autoSpaceDN w:val="0"/>
              <w:adjustRightInd w:val="0"/>
              <w:spacing w:after="0"/>
              <w:jc w:val="center"/>
              <w:rPr>
                <w:rFonts w:eastAsia="Times New Roman" w:cstheme="minorHAnsi"/>
                <w:sz w:val="20"/>
                <w:szCs w:val="20"/>
              </w:rPr>
            </w:pPr>
            <w:r w:rsidRPr="00224E24">
              <w:rPr>
                <w:rFonts w:eastAsia="Times New Roman" w:cstheme="minorHAnsi"/>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7B73A184" w14:textId="77777777">
            <w:pPr>
              <w:widowControl w:val="0"/>
              <w:autoSpaceDE w:val="0"/>
              <w:autoSpaceDN w:val="0"/>
              <w:adjustRightInd w:val="0"/>
              <w:spacing w:after="0"/>
              <w:jc w:val="center"/>
              <w:rPr>
                <w:rFonts w:eastAsia="Times New Roman" w:cstheme="minorHAnsi"/>
                <w:sz w:val="20"/>
                <w:szCs w:val="20"/>
              </w:rPr>
            </w:pPr>
            <w:r w:rsidRPr="00224E24">
              <w:rPr>
                <w:rFonts w:eastAsia="Times New Roman" w:cstheme="minorHAnsi"/>
                <w:sz w:val="20"/>
                <w:szCs w:val="20"/>
              </w:rPr>
              <w:t>0</w:t>
            </w:r>
          </w:p>
        </w:tc>
        <w:tc>
          <w:tcPr>
            <w:tcW w:w="1248"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1E0844DC" w14:textId="77777777">
            <w:pPr>
              <w:widowControl w:val="0"/>
              <w:autoSpaceDE w:val="0"/>
              <w:autoSpaceDN w:val="0"/>
              <w:adjustRightInd w:val="0"/>
              <w:spacing w:after="0"/>
              <w:jc w:val="center"/>
              <w:rPr>
                <w:rFonts w:eastAsia="Times New Roman" w:cstheme="minorHAnsi"/>
                <w:sz w:val="20"/>
                <w:szCs w:val="20"/>
              </w:rPr>
            </w:pPr>
            <w:r w:rsidRPr="00224E24">
              <w:rPr>
                <w:rFonts w:eastAsia="Times New Roman" w:cstheme="minorHAnsi"/>
                <w:sz w:val="20"/>
                <w:szCs w:val="20"/>
              </w:rPr>
              <w:t>0</w:t>
            </w:r>
          </w:p>
        </w:tc>
        <w:tc>
          <w:tcPr>
            <w:tcW w:w="1026"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3E4661CC" w14:textId="77777777">
            <w:pPr>
              <w:widowControl w:val="0"/>
              <w:autoSpaceDE w:val="0"/>
              <w:autoSpaceDN w:val="0"/>
              <w:adjustRightInd w:val="0"/>
              <w:spacing w:after="0"/>
              <w:jc w:val="right"/>
              <w:rPr>
                <w:rFonts w:eastAsia="Times New Roman" w:cstheme="minorHAnsi"/>
                <w:sz w:val="20"/>
                <w:szCs w:val="20"/>
              </w:rPr>
            </w:pPr>
            <w:r w:rsidRPr="00224E24">
              <w:rPr>
                <w:rFonts w:eastAsia="Times New Roman" w:cstheme="minorHAnsi"/>
                <w:sz w:val="20"/>
                <w:szCs w:val="20"/>
              </w:rPr>
              <w:t>$00</w:t>
            </w:r>
          </w:p>
        </w:tc>
      </w:tr>
      <w:tr w14:paraId="24C17296" w14:textId="77777777" w:rsidTr="00230488">
        <w:tblPrEx>
          <w:tblW w:w="13884" w:type="dxa"/>
          <w:tblInd w:w="-455" w:type="dxa"/>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224E24" w:rsidRPr="00224E24" w:rsidP="00224E24" w14:paraId="236AFE77" w14:textId="77777777">
            <w:pPr>
              <w:spacing w:after="0" w:line="240" w:lineRule="auto"/>
              <w:rPr>
                <w:rFonts w:eastAsia="Times New Roman" w:cstheme="minorHAnsi"/>
                <w:b/>
                <w:bCs/>
                <w:sz w:val="20"/>
                <w:szCs w:val="20"/>
              </w:rPr>
            </w:pPr>
            <w:r w:rsidRPr="00224E24">
              <w:rPr>
                <w:rFonts w:eastAsia="Times New Roman" w:cstheme="minorHAnsi"/>
                <w:b/>
                <w:bCs/>
                <w:sz w:val="20"/>
                <w:szCs w:val="20"/>
              </w:rPr>
              <w:t>TOTAL ANNUAL BURDEN AND COST</w:t>
            </w:r>
          </w:p>
        </w:tc>
        <w:tc>
          <w:tcPr>
            <w:tcW w:w="126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5AB0CF14" w14:textId="77777777">
            <w:pPr>
              <w:spacing w:after="0" w:line="240" w:lineRule="auto"/>
              <w:rPr>
                <w:rFonts w:eastAsia="Times New Roman" w:cstheme="minorHAnsi"/>
                <w:sz w:val="20"/>
                <w:szCs w:val="20"/>
              </w:rPr>
            </w:pPr>
            <w:r w:rsidRPr="00224E24">
              <w:rPr>
                <w:rFonts w:eastAsia="Times New Roman" w:cstheme="minorHAnsi"/>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4C0526C7" w14:textId="77777777">
            <w:pPr>
              <w:spacing w:after="0" w:line="240" w:lineRule="auto"/>
              <w:rPr>
                <w:rFonts w:eastAsia="Times New Roman" w:cstheme="minorHAnsi"/>
                <w:sz w:val="20"/>
                <w:szCs w:val="20"/>
              </w:rPr>
            </w:pPr>
            <w:r w:rsidRPr="00224E24">
              <w:rPr>
                <w:rFonts w:eastAsia="Times New Roman" w:cstheme="minorHAnsi"/>
                <w:sz w:val="20"/>
                <w:szCs w:val="20"/>
              </w:rPr>
              <w:t> </w:t>
            </w:r>
          </w:p>
        </w:tc>
        <w:tc>
          <w:tcPr>
            <w:tcW w:w="1372"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7CAD8B70" w14:textId="77777777">
            <w:pPr>
              <w:spacing w:after="0" w:line="240" w:lineRule="auto"/>
              <w:rPr>
                <w:rFonts w:eastAsia="Times New Roman" w:cstheme="minorHAnsi"/>
                <w:sz w:val="20"/>
                <w:szCs w:val="20"/>
              </w:rPr>
            </w:pPr>
            <w:r w:rsidRPr="00224E24">
              <w:rPr>
                <w:rFonts w:eastAsia="Times New Roman" w:cstheme="minorHAns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28CB3E27" w14:textId="77777777">
            <w:pPr>
              <w:spacing w:after="0" w:line="240" w:lineRule="auto"/>
              <w:rPr>
                <w:rFonts w:eastAsia="Times New Roman" w:cstheme="minorHAnsi"/>
                <w:sz w:val="20"/>
                <w:szCs w:val="20"/>
              </w:rPr>
            </w:pPr>
            <w:r w:rsidRPr="00224E24">
              <w:rPr>
                <w:rFonts w:eastAsia="Times New Roman" w:cstheme="minorHAnsi"/>
                <w:sz w:val="20"/>
                <w:szCs w:val="20"/>
              </w:rPr>
              <w:t> </w:t>
            </w:r>
          </w:p>
        </w:tc>
        <w:tc>
          <w:tcPr>
            <w:tcW w:w="4128" w:type="dxa"/>
            <w:gridSpan w:val="3"/>
            <w:tcBorders>
              <w:top w:val="nil"/>
              <w:left w:val="nil"/>
              <w:bottom w:val="single" w:sz="4" w:space="0" w:color="auto"/>
              <w:right w:val="single" w:sz="4" w:space="0" w:color="auto"/>
            </w:tcBorders>
            <w:shd w:val="clear" w:color="auto" w:fill="auto"/>
            <w:noWrap/>
            <w:vAlign w:val="center"/>
            <w:hideMark/>
          </w:tcPr>
          <w:p w:rsidR="00224E24" w:rsidRPr="00224E24" w:rsidP="00224E24" w14:paraId="181C1864" w14:textId="77777777">
            <w:pPr>
              <w:widowControl w:val="0"/>
              <w:autoSpaceDE w:val="0"/>
              <w:autoSpaceDN w:val="0"/>
              <w:adjustRightInd w:val="0"/>
              <w:spacing w:after="0"/>
              <w:jc w:val="center"/>
              <w:rPr>
                <w:rFonts w:eastAsia="Times New Roman" w:cstheme="minorHAnsi"/>
                <w:b/>
                <w:bCs/>
                <w:sz w:val="20"/>
                <w:szCs w:val="20"/>
              </w:rPr>
            </w:pPr>
            <w:r w:rsidRPr="00224E24">
              <w:rPr>
                <w:rFonts w:eastAsia="Times New Roman" w:cstheme="minorHAnsi"/>
                <w:b/>
                <w:bCs/>
                <w:sz w:val="20"/>
                <w:szCs w:val="20"/>
              </w:rPr>
              <w:t>7,261</w:t>
            </w:r>
          </w:p>
        </w:tc>
        <w:tc>
          <w:tcPr>
            <w:tcW w:w="1026" w:type="dxa"/>
            <w:tcBorders>
              <w:top w:val="nil"/>
              <w:left w:val="nil"/>
              <w:bottom w:val="single" w:sz="4" w:space="0" w:color="auto"/>
              <w:right w:val="single" w:sz="4" w:space="0" w:color="auto"/>
            </w:tcBorders>
            <w:shd w:val="clear" w:color="auto" w:fill="auto"/>
            <w:noWrap/>
            <w:vAlign w:val="center"/>
            <w:hideMark/>
          </w:tcPr>
          <w:p w:rsidR="00224E24" w:rsidRPr="00224E24" w:rsidP="00224E24" w14:paraId="08E06CFA" w14:textId="77777777">
            <w:pPr>
              <w:widowControl w:val="0"/>
              <w:autoSpaceDE w:val="0"/>
              <w:autoSpaceDN w:val="0"/>
              <w:adjustRightInd w:val="0"/>
              <w:spacing w:after="0"/>
              <w:jc w:val="right"/>
              <w:rPr>
                <w:rFonts w:eastAsia="Times New Roman" w:cstheme="minorHAnsi"/>
                <w:b/>
                <w:bCs/>
                <w:sz w:val="20"/>
                <w:szCs w:val="20"/>
              </w:rPr>
            </w:pPr>
            <w:r w:rsidRPr="00224E24">
              <w:rPr>
                <w:rFonts w:eastAsia="Times New Roman" w:cstheme="minorHAnsi"/>
                <w:b/>
                <w:bCs/>
                <w:sz w:val="20"/>
                <w:szCs w:val="20"/>
              </w:rPr>
              <w:t>$359,166</w:t>
            </w:r>
          </w:p>
        </w:tc>
      </w:tr>
      <w:tr w14:paraId="6E03D09D" w14:textId="77777777" w:rsidTr="00230488">
        <w:tblPrEx>
          <w:tblW w:w="13884" w:type="dxa"/>
          <w:tblInd w:w="-455" w:type="dxa"/>
          <w:tblLook w:val="04A0"/>
        </w:tblPrEx>
        <w:trPr>
          <w:trHeight w:val="300"/>
        </w:trPr>
        <w:tc>
          <w:tcPr>
            <w:tcW w:w="13884" w:type="dxa"/>
            <w:gridSpan w:val="9"/>
            <w:tcBorders>
              <w:top w:val="nil"/>
              <w:left w:val="nil"/>
              <w:bottom w:val="nil"/>
              <w:right w:val="nil"/>
            </w:tcBorders>
            <w:shd w:val="clear" w:color="auto" w:fill="auto"/>
            <w:noWrap/>
            <w:vAlign w:val="bottom"/>
            <w:hideMark/>
          </w:tcPr>
          <w:p w:rsidR="00224E24" w:rsidRPr="00224E24" w:rsidP="00224E24" w14:paraId="2C55AE13" w14:textId="77777777">
            <w:pPr>
              <w:spacing w:after="20" w:line="240" w:lineRule="auto"/>
              <w:rPr>
                <w:rFonts w:eastAsia="Times New Roman" w:cstheme="minorHAnsi"/>
                <w:b/>
                <w:bCs/>
                <w:sz w:val="20"/>
                <w:szCs w:val="20"/>
              </w:rPr>
            </w:pPr>
            <w:r w:rsidRPr="00224E24">
              <w:rPr>
                <w:rFonts w:eastAsia="Times New Roman" w:cstheme="minorHAnsi"/>
                <w:b/>
                <w:bCs/>
                <w:sz w:val="20"/>
                <w:szCs w:val="20"/>
              </w:rPr>
              <w:t>Assumptions:</w:t>
            </w:r>
          </w:p>
        </w:tc>
      </w:tr>
      <w:tr w14:paraId="40EB5F43" w14:textId="77777777" w:rsidTr="00230488">
        <w:tblPrEx>
          <w:tblW w:w="13884" w:type="dxa"/>
          <w:tblInd w:w="-455" w:type="dxa"/>
          <w:tblLook w:val="04A0"/>
        </w:tblPrEx>
        <w:trPr>
          <w:trHeight w:val="144"/>
        </w:trPr>
        <w:tc>
          <w:tcPr>
            <w:tcW w:w="13884" w:type="dxa"/>
            <w:gridSpan w:val="9"/>
            <w:tcBorders>
              <w:top w:val="nil"/>
              <w:left w:val="nil"/>
              <w:bottom w:val="nil"/>
              <w:right w:val="nil"/>
            </w:tcBorders>
            <w:shd w:val="clear" w:color="auto" w:fill="auto"/>
            <w:noWrap/>
            <w:vAlign w:val="center"/>
            <w:hideMark/>
          </w:tcPr>
          <w:p w:rsidR="00224E24" w:rsidRPr="00224E24" w:rsidP="00224E24" w14:paraId="2366FC57" w14:textId="77777777">
            <w:pPr>
              <w:spacing w:after="20" w:line="240" w:lineRule="auto"/>
              <w:ind w:left="165" w:hanging="165"/>
              <w:rPr>
                <w:rFonts w:eastAsia="Times New Roman" w:cstheme="minorHAnsi"/>
                <w:sz w:val="20"/>
                <w:szCs w:val="20"/>
              </w:rPr>
            </w:pPr>
            <w:r w:rsidRPr="00224E24">
              <w:rPr>
                <w:rFonts w:eastAsia="Times New Roman" w:cstheme="minorHAnsi"/>
                <w:sz w:val="20"/>
                <w:szCs w:val="20"/>
                <w:vertAlign w:val="superscript"/>
              </w:rPr>
              <w:t>a</w:t>
            </w:r>
            <w:r w:rsidRPr="00224E24">
              <w:rPr>
                <w:rFonts w:eastAsia="Times New Roman" w:cstheme="minorHAnsi"/>
                <w:sz w:val="20"/>
                <w:szCs w:val="20"/>
              </w:rPr>
              <w:t xml:space="preserve">  We have assumed that the average number of respondents that will be subject to this rule will be 4,632.  There will be no new facilities projected during the next three years of this ICR.</w:t>
            </w:r>
          </w:p>
        </w:tc>
      </w:tr>
      <w:tr w14:paraId="749ADEFF" w14:textId="77777777" w:rsidTr="00230488">
        <w:tblPrEx>
          <w:tblW w:w="13884" w:type="dxa"/>
          <w:tblInd w:w="-455" w:type="dxa"/>
          <w:tblLook w:val="04A0"/>
        </w:tblPrEx>
        <w:trPr>
          <w:trHeight w:val="144"/>
        </w:trPr>
        <w:tc>
          <w:tcPr>
            <w:tcW w:w="13884" w:type="dxa"/>
            <w:gridSpan w:val="9"/>
            <w:tcBorders>
              <w:top w:val="nil"/>
              <w:left w:val="nil"/>
              <w:bottom w:val="nil"/>
              <w:right w:val="nil"/>
            </w:tcBorders>
            <w:shd w:val="clear" w:color="auto" w:fill="auto"/>
            <w:noWrap/>
            <w:vAlign w:val="center"/>
            <w:hideMark/>
          </w:tcPr>
          <w:p w:rsidR="00224E24" w:rsidRPr="00224E24" w:rsidP="00224E24" w14:paraId="20B25606" w14:textId="77777777">
            <w:pPr>
              <w:spacing w:after="20" w:line="240" w:lineRule="auto"/>
              <w:ind w:left="165" w:hanging="165"/>
              <w:rPr>
                <w:rFonts w:eastAsia="Times New Roman" w:cstheme="minorHAnsi"/>
                <w:sz w:val="20"/>
                <w:szCs w:val="20"/>
              </w:rPr>
            </w:pPr>
            <w:r w:rsidRPr="00224E24">
              <w:rPr>
                <w:rFonts w:eastAsia="Times New Roman" w:cstheme="minorHAnsi"/>
                <w:sz w:val="20"/>
                <w:szCs w:val="20"/>
                <w:vertAlign w:val="superscript"/>
              </w:rPr>
              <w:t xml:space="preserve">b  </w:t>
            </w:r>
            <w:r w:rsidRPr="00224E24">
              <w:rPr>
                <w:rFonts w:eastAsia="Times New Roman" w:cstheme="minorHAnsi"/>
                <w:color w:val="000000"/>
                <w:sz w:val="20"/>
                <w:szCs w:val="20"/>
              </w:rPr>
              <w:t>This cost is based on the following 2020 labor rates which incorporates a 1.6 benefits multiplication factor to account for government overhead expenses: $68.37 Managerial rate (GS-13, Step 5), $50.72 Technical rate (GS-12, Step 1), and $27.46 Clerical rate (GS-6, Step 3).  These rates are calculated from the hourly rates included in the Office of Personnel Management (OPM) 2020 General Schedule which excludes locality rates of pay; the rates have been increased by 60 percent to account for benefit packages available to government employees.</w:t>
            </w:r>
          </w:p>
        </w:tc>
      </w:tr>
      <w:tr w14:paraId="68B10268" w14:textId="77777777" w:rsidTr="00230488">
        <w:tblPrEx>
          <w:tblW w:w="13884" w:type="dxa"/>
          <w:tblInd w:w="-455" w:type="dxa"/>
          <w:tblLook w:val="04A0"/>
        </w:tblPrEx>
        <w:trPr>
          <w:trHeight w:val="144"/>
        </w:trPr>
        <w:tc>
          <w:tcPr>
            <w:tcW w:w="13884" w:type="dxa"/>
            <w:gridSpan w:val="9"/>
            <w:tcBorders>
              <w:top w:val="nil"/>
              <w:left w:val="nil"/>
              <w:bottom w:val="nil"/>
              <w:right w:val="nil"/>
            </w:tcBorders>
            <w:shd w:val="clear" w:color="auto" w:fill="auto"/>
            <w:noWrap/>
            <w:vAlign w:val="center"/>
            <w:hideMark/>
          </w:tcPr>
          <w:p w:rsidR="00224E24" w:rsidRPr="00224E24" w:rsidP="00224E24" w14:paraId="7469CD07" w14:textId="77777777">
            <w:pPr>
              <w:spacing w:after="20" w:line="240" w:lineRule="auto"/>
              <w:ind w:left="165" w:hanging="165"/>
              <w:rPr>
                <w:rFonts w:eastAsia="Times New Roman" w:cstheme="minorHAnsi"/>
                <w:sz w:val="20"/>
                <w:szCs w:val="20"/>
              </w:rPr>
            </w:pPr>
            <w:r w:rsidRPr="00224E24">
              <w:rPr>
                <w:rFonts w:eastAsia="Times New Roman" w:cstheme="minorHAnsi"/>
                <w:sz w:val="20"/>
                <w:szCs w:val="20"/>
                <w:vertAlign w:val="superscript"/>
              </w:rPr>
              <w:t xml:space="preserve">c  </w:t>
            </w:r>
            <w:r w:rsidRPr="00224E24">
              <w:rPr>
                <w:rFonts w:eastAsia="Times New Roman" w:cstheme="minorHAnsi"/>
                <w:sz w:val="20"/>
                <w:szCs w:val="20"/>
              </w:rPr>
              <w:t>We have assumed that existing respondents are in compliance with the initial rule requirements.  New respondents would have to comply with the initial rule requirements including notification and performance test and performance evaluation for add-on control devices.</w:t>
            </w:r>
          </w:p>
          <w:p w:rsidR="00224E24" w:rsidRPr="00224E24" w:rsidP="00224E24" w14:paraId="19EB7111" w14:textId="77777777">
            <w:pPr>
              <w:spacing w:after="20" w:line="240" w:lineRule="auto"/>
              <w:ind w:left="150" w:hanging="150"/>
              <w:rPr>
                <w:rFonts w:eastAsia="Times New Roman" w:cstheme="minorHAnsi"/>
                <w:color w:val="000000"/>
                <w:sz w:val="20"/>
                <w:szCs w:val="20"/>
              </w:rPr>
            </w:pPr>
            <w:r w:rsidRPr="00224E24">
              <w:rPr>
                <w:rFonts w:eastAsia="Times New Roman" w:cstheme="minorHAnsi"/>
                <w:color w:val="000000"/>
                <w:sz w:val="20"/>
                <w:szCs w:val="20"/>
                <w:vertAlign w:val="superscript"/>
              </w:rPr>
              <w:t xml:space="preserve">d </w:t>
            </w:r>
            <w:r w:rsidRPr="00224E24">
              <w:rPr>
                <w:rFonts w:eastAsia="Times New Roman" w:cstheme="minorHAnsi"/>
                <w:color w:val="000000"/>
                <w:sz w:val="20"/>
                <w:szCs w:val="20"/>
              </w:rPr>
              <w:t xml:space="preserve"> Performance tests only required for vapor combustors.</w:t>
            </w:r>
          </w:p>
          <w:p w:rsidR="00224E24" w:rsidRPr="00224E24" w:rsidP="00224E24" w14:paraId="785D65D3" w14:textId="77777777">
            <w:pPr>
              <w:spacing w:after="20" w:line="240" w:lineRule="auto"/>
              <w:ind w:left="165" w:hanging="165"/>
              <w:rPr>
                <w:rFonts w:eastAsia="Times New Roman" w:cstheme="minorHAnsi"/>
                <w:color w:val="000000"/>
                <w:sz w:val="20"/>
                <w:szCs w:val="20"/>
              </w:rPr>
            </w:pPr>
            <w:r w:rsidRPr="00224E24">
              <w:rPr>
                <w:rFonts w:eastAsia="Times New Roman" w:cstheme="minorHAnsi"/>
                <w:color w:val="000000"/>
                <w:sz w:val="20"/>
                <w:szCs w:val="20"/>
                <w:vertAlign w:val="superscript"/>
              </w:rPr>
              <w:t xml:space="preserve">e </w:t>
            </w:r>
            <w:r w:rsidRPr="00224E24">
              <w:rPr>
                <w:rFonts w:eastAsia="Times New Roman" w:cstheme="minorHAnsi"/>
                <w:color w:val="000000"/>
                <w:sz w:val="20"/>
                <w:szCs w:val="20"/>
              </w:rPr>
              <w:t xml:space="preserve"> Performance evaluations only required for vapor recovery systems.</w:t>
            </w:r>
          </w:p>
          <w:p w:rsidR="00224E24" w:rsidRPr="00224E24" w:rsidP="00224E24" w14:paraId="321848E3" w14:textId="77777777">
            <w:pPr>
              <w:widowControl w:val="0"/>
              <w:autoSpaceDE w:val="0"/>
              <w:autoSpaceDN w:val="0"/>
              <w:adjustRightInd w:val="0"/>
              <w:spacing w:after="20" w:line="240" w:lineRule="auto"/>
              <w:ind w:left="150" w:hanging="150"/>
              <w:rPr>
                <w:rFonts w:eastAsia="Times New Roman" w:cstheme="minorHAnsi"/>
                <w:color w:val="000000"/>
                <w:sz w:val="20"/>
                <w:szCs w:val="20"/>
              </w:rPr>
            </w:pPr>
            <w:r w:rsidRPr="00224E24">
              <w:rPr>
                <w:rFonts w:eastAsia="Times New Roman" w:cstheme="minorHAnsi"/>
                <w:color w:val="000000"/>
                <w:sz w:val="20"/>
                <w:szCs w:val="20"/>
                <w:vertAlign w:val="superscript"/>
              </w:rPr>
              <w:t xml:space="preserve">f </w:t>
            </w:r>
            <w:r w:rsidRPr="00224E24">
              <w:rPr>
                <w:rFonts w:eastAsia="Times New Roman" w:cstheme="minorHAnsi"/>
                <w:color w:val="000000"/>
                <w:sz w:val="20"/>
                <w:szCs w:val="20"/>
              </w:rPr>
              <w:t xml:space="preserve"> Respondents are already subject to semiannual compliance reporting.</w:t>
            </w:r>
          </w:p>
        </w:tc>
      </w:tr>
    </w:tbl>
    <w:p w:rsidR="00224E24" w:rsidRPr="00BB3410" w:rsidP="00BB3410" w14:paraId="2CD29DEB" w14:textId="77777777">
      <w:pPr>
        <w:pStyle w:val="ListParagraph"/>
        <w:spacing w:before="240"/>
        <w:ind w:left="0"/>
        <w:rPr>
          <w:rFonts w:cstheme="minorHAnsi"/>
          <w:sz w:val="24"/>
          <w:szCs w:val="24"/>
        </w:rPr>
      </w:pPr>
    </w:p>
    <w:sectPr w:rsidSect="00BB34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CF30CD"/>
    <w:multiLevelType w:val="hybridMultilevel"/>
    <w:tmpl w:val="A492FB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404CE2"/>
    <w:multiLevelType w:val="hybridMultilevel"/>
    <w:tmpl w:val="84C86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313DD6"/>
    <w:multiLevelType w:val="hybridMultilevel"/>
    <w:tmpl w:val="D36A34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6B35040"/>
    <w:multiLevelType w:val="hybridMultilevel"/>
    <w:tmpl w:val="7E44945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5">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B9E27AB"/>
    <w:multiLevelType w:val="hybridMultilevel"/>
    <w:tmpl w:val="EEACDCA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4"/>
  </w:num>
  <w:num w:numId="2" w16cid:durableId="1032609060">
    <w:abstractNumId w:val="6"/>
  </w:num>
  <w:num w:numId="3" w16cid:durableId="1158494831">
    <w:abstractNumId w:val="2"/>
  </w:num>
  <w:num w:numId="4" w16cid:durableId="493573829">
    <w:abstractNumId w:val="30"/>
  </w:num>
  <w:num w:numId="5" w16cid:durableId="2055687918">
    <w:abstractNumId w:val="19"/>
  </w:num>
  <w:num w:numId="6" w16cid:durableId="1603025219">
    <w:abstractNumId w:val="27"/>
  </w:num>
  <w:num w:numId="7" w16cid:durableId="423957196">
    <w:abstractNumId w:val="17"/>
  </w:num>
  <w:num w:numId="8" w16cid:durableId="2031829208">
    <w:abstractNumId w:val="23"/>
  </w:num>
  <w:num w:numId="9" w16cid:durableId="218439549">
    <w:abstractNumId w:val="9"/>
  </w:num>
  <w:num w:numId="10" w16cid:durableId="1285231924">
    <w:abstractNumId w:val="4"/>
  </w:num>
  <w:num w:numId="11" w16cid:durableId="327370686">
    <w:abstractNumId w:val="8"/>
  </w:num>
  <w:num w:numId="12" w16cid:durableId="1802993385">
    <w:abstractNumId w:val="12"/>
  </w:num>
  <w:num w:numId="13" w16cid:durableId="1792938267">
    <w:abstractNumId w:val="31"/>
  </w:num>
  <w:num w:numId="14" w16cid:durableId="239490726">
    <w:abstractNumId w:val="7"/>
  </w:num>
  <w:num w:numId="15" w16cid:durableId="1395350314">
    <w:abstractNumId w:val="11"/>
  </w:num>
  <w:num w:numId="16" w16cid:durableId="441535906">
    <w:abstractNumId w:val="15"/>
  </w:num>
  <w:num w:numId="17" w16cid:durableId="2008243381">
    <w:abstractNumId w:val="24"/>
  </w:num>
  <w:num w:numId="18" w16cid:durableId="840463183">
    <w:abstractNumId w:val="22"/>
  </w:num>
  <w:num w:numId="19" w16cid:durableId="469980091">
    <w:abstractNumId w:val="26"/>
  </w:num>
  <w:num w:numId="20" w16cid:durableId="2126730031">
    <w:abstractNumId w:val="13"/>
  </w:num>
  <w:num w:numId="21" w16cid:durableId="106124704">
    <w:abstractNumId w:val="1"/>
  </w:num>
  <w:num w:numId="22" w16cid:durableId="1552418013">
    <w:abstractNumId w:val="16"/>
  </w:num>
  <w:num w:numId="23" w16cid:durableId="1598828334">
    <w:abstractNumId w:val="28"/>
  </w:num>
  <w:num w:numId="24" w16cid:durableId="2051031068">
    <w:abstractNumId w:val="0"/>
  </w:num>
  <w:num w:numId="25" w16cid:durableId="258569098">
    <w:abstractNumId w:val="18"/>
  </w:num>
  <w:num w:numId="26" w16cid:durableId="331181582">
    <w:abstractNumId w:val="21"/>
  </w:num>
  <w:num w:numId="27" w16cid:durableId="1015961391">
    <w:abstractNumId w:val="25"/>
  </w:num>
  <w:num w:numId="28" w16cid:durableId="1910336366">
    <w:abstractNumId w:val="10"/>
  </w:num>
  <w:num w:numId="29" w16cid:durableId="939989534">
    <w:abstractNumId w:val="5"/>
  </w:num>
  <w:num w:numId="30" w16cid:durableId="1090856011">
    <w:abstractNumId w:val="3"/>
  </w:num>
  <w:num w:numId="31" w16cid:durableId="440102475">
    <w:abstractNumId w:val="29"/>
  </w:num>
  <w:num w:numId="32" w16cid:durableId="1967080390">
    <w:abstractNumId w:val="2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aparoso, Jennifer">
    <w15:presenceInfo w15:providerId="AD" w15:userId="S::Caparoso.Jennifer@epa.gov::2a64bc65-c0ed-454c-9e2a-8a364dfe5a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618"/>
    <w:rsid w:val="00023EFE"/>
    <w:rsid w:val="000267E1"/>
    <w:rsid w:val="00030670"/>
    <w:rsid w:val="0003166C"/>
    <w:rsid w:val="00032552"/>
    <w:rsid w:val="00033219"/>
    <w:rsid w:val="00036CF2"/>
    <w:rsid w:val="00037107"/>
    <w:rsid w:val="0004223A"/>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094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059D"/>
    <w:rsid w:val="00082A72"/>
    <w:rsid w:val="00083D4A"/>
    <w:rsid w:val="00084BF3"/>
    <w:rsid w:val="00086F35"/>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A48CA"/>
    <w:rsid w:val="000A55DF"/>
    <w:rsid w:val="000B10D0"/>
    <w:rsid w:val="000B1409"/>
    <w:rsid w:val="000B3576"/>
    <w:rsid w:val="000B461B"/>
    <w:rsid w:val="000B49CF"/>
    <w:rsid w:val="000B7BBA"/>
    <w:rsid w:val="000C004E"/>
    <w:rsid w:val="000C41A7"/>
    <w:rsid w:val="000C43C8"/>
    <w:rsid w:val="000C5BEA"/>
    <w:rsid w:val="000C608D"/>
    <w:rsid w:val="000C6D68"/>
    <w:rsid w:val="000D04B9"/>
    <w:rsid w:val="000D224E"/>
    <w:rsid w:val="000D251E"/>
    <w:rsid w:val="000D2D5D"/>
    <w:rsid w:val="000D3C22"/>
    <w:rsid w:val="000D45B2"/>
    <w:rsid w:val="000D516A"/>
    <w:rsid w:val="000D5863"/>
    <w:rsid w:val="000D6FA4"/>
    <w:rsid w:val="000E1158"/>
    <w:rsid w:val="000E184B"/>
    <w:rsid w:val="000E19CB"/>
    <w:rsid w:val="000E1FE8"/>
    <w:rsid w:val="000E2EDB"/>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1956"/>
    <w:rsid w:val="00132921"/>
    <w:rsid w:val="001329B3"/>
    <w:rsid w:val="00135EAD"/>
    <w:rsid w:val="00136237"/>
    <w:rsid w:val="00137EB8"/>
    <w:rsid w:val="00145DAE"/>
    <w:rsid w:val="00147B68"/>
    <w:rsid w:val="0015084F"/>
    <w:rsid w:val="00151A14"/>
    <w:rsid w:val="00152A80"/>
    <w:rsid w:val="00160461"/>
    <w:rsid w:val="00161846"/>
    <w:rsid w:val="001636DA"/>
    <w:rsid w:val="00163C69"/>
    <w:rsid w:val="00163F30"/>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5890"/>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E24"/>
    <w:rsid w:val="00224F14"/>
    <w:rsid w:val="00226D49"/>
    <w:rsid w:val="0022710C"/>
    <w:rsid w:val="002272EE"/>
    <w:rsid w:val="00227759"/>
    <w:rsid w:val="00230488"/>
    <w:rsid w:val="00230F45"/>
    <w:rsid w:val="00233342"/>
    <w:rsid w:val="002335AB"/>
    <w:rsid w:val="00234B8D"/>
    <w:rsid w:val="00235E79"/>
    <w:rsid w:val="002360BC"/>
    <w:rsid w:val="00240F23"/>
    <w:rsid w:val="0024175E"/>
    <w:rsid w:val="002420F2"/>
    <w:rsid w:val="002453E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136E"/>
    <w:rsid w:val="00277A03"/>
    <w:rsid w:val="0028340E"/>
    <w:rsid w:val="00283764"/>
    <w:rsid w:val="00283AE9"/>
    <w:rsid w:val="00283C66"/>
    <w:rsid w:val="002847BB"/>
    <w:rsid w:val="00285782"/>
    <w:rsid w:val="00285A68"/>
    <w:rsid w:val="00286483"/>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48FD"/>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C72"/>
    <w:rsid w:val="00310FDB"/>
    <w:rsid w:val="00312370"/>
    <w:rsid w:val="00312F28"/>
    <w:rsid w:val="003132A5"/>
    <w:rsid w:val="00313941"/>
    <w:rsid w:val="00316194"/>
    <w:rsid w:val="003169B4"/>
    <w:rsid w:val="00316BE6"/>
    <w:rsid w:val="00317844"/>
    <w:rsid w:val="00317A6C"/>
    <w:rsid w:val="00317D89"/>
    <w:rsid w:val="003224B7"/>
    <w:rsid w:val="00322A16"/>
    <w:rsid w:val="003233E5"/>
    <w:rsid w:val="0032350D"/>
    <w:rsid w:val="00323E74"/>
    <w:rsid w:val="00324F21"/>
    <w:rsid w:val="003256A4"/>
    <w:rsid w:val="00330B87"/>
    <w:rsid w:val="003310EA"/>
    <w:rsid w:val="00331168"/>
    <w:rsid w:val="0033211D"/>
    <w:rsid w:val="00333489"/>
    <w:rsid w:val="00333B87"/>
    <w:rsid w:val="00342DB5"/>
    <w:rsid w:val="00343CEF"/>
    <w:rsid w:val="00344CB0"/>
    <w:rsid w:val="003467C8"/>
    <w:rsid w:val="00347C3C"/>
    <w:rsid w:val="0035079F"/>
    <w:rsid w:val="003527C1"/>
    <w:rsid w:val="00352C25"/>
    <w:rsid w:val="00356274"/>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4267"/>
    <w:rsid w:val="003A6BEF"/>
    <w:rsid w:val="003B04B9"/>
    <w:rsid w:val="003B0A8F"/>
    <w:rsid w:val="003B153D"/>
    <w:rsid w:val="003B3D22"/>
    <w:rsid w:val="003B4D4F"/>
    <w:rsid w:val="003B6A1D"/>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4E1E"/>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648"/>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169B"/>
    <w:rsid w:val="00472D33"/>
    <w:rsid w:val="00475BA6"/>
    <w:rsid w:val="00477D70"/>
    <w:rsid w:val="004831CC"/>
    <w:rsid w:val="00483EA8"/>
    <w:rsid w:val="00485567"/>
    <w:rsid w:val="004855BE"/>
    <w:rsid w:val="00486860"/>
    <w:rsid w:val="00491CC3"/>
    <w:rsid w:val="00491ED9"/>
    <w:rsid w:val="00495623"/>
    <w:rsid w:val="00496F19"/>
    <w:rsid w:val="0049718B"/>
    <w:rsid w:val="004A0C7A"/>
    <w:rsid w:val="004A2646"/>
    <w:rsid w:val="004A284B"/>
    <w:rsid w:val="004A2961"/>
    <w:rsid w:val="004A2CDE"/>
    <w:rsid w:val="004A331E"/>
    <w:rsid w:val="004A3ABF"/>
    <w:rsid w:val="004A4B8D"/>
    <w:rsid w:val="004A5B46"/>
    <w:rsid w:val="004A5E99"/>
    <w:rsid w:val="004A6B13"/>
    <w:rsid w:val="004B0167"/>
    <w:rsid w:val="004B710E"/>
    <w:rsid w:val="004C17A6"/>
    <w:rsid w:val="004C43EA"/>
    <w:rsid w:val="004C4445"/>
    <w:rsid w:val="004C53AD"/>
    <w:rsid w:val="004C6291"/>
    <w:rsid w:val="004C65F0"/>
    <w:rsid w:val="004C680C"/>
    <w:rsid w:val="004C6EC4"/>
    <w:rsid w:val="004C7205"/>
    <w:rsid w:val="004D0275"/>
    <w:rsid w:val="004D3567"/>
    <w:rsid w:val="004D59E6"/>
    <w:rsid w:val="004D5E8D"/>
    <w:rsid w:val="004D6150"/>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3FCE"/>
    <w:rsid w:val="005040E7"/>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5F6"/>
    <w:rsid w:val="00536768"/>
    <w:rsid w:val="005372F7"/>
    <w:rsid w:val="00537322"/>
    <w:rsid w:val="00540DCE"/>
    <w:rsid w:val="00542227"/>
    <w:rsid w:val="005424B5"/>
    <w:rsid w:val="00542CEE"/>
    <w:rsid w:val="0054536F"/>
    <w:rsid w:val="00546097"/>
    <w:rsid w:val="00546B65"/>
    <w:rsid w:val="00546FB4"/>
    <w:rsid w:val="005519F6"/>
    <w:rsid w:val="00552A7B"/>
    <w:rsid w:val="00552BE0"/>
    <w:rsid w:val="005544CE"/>
    <w:rsid w:val="00554865"/>
    <w:rsid w:val="0055536E"/>
    <w:rsid w:val="0055616B"/>
    <w:rsid w:val="00556D62"/>
    <w:rsid w:val="00557E8F"/>
    <w:rsid w:val="005609B4"/>
    <w:rsid w:val="00560A26"/>
    <w:rsid w:val="005636FA"/>
    <w:rsid w:val="0056373A"/>
    <w:rsid w:val="00564A1B"/>
    <w:rsid w:val="00564BF4"/>
    <w:rsid w:val="00565A5E"/>
    <w:rsid w:val="00566F71"/>
    <w:rsid w:val="005719DA"/>
    <w:rsid w:val="00571C92"/>
    <w:rsid w:val="00571D24"/>
    <w:rsid w:val="005723B9"/>
    <w:rsid w:val="005726BA"/>
    <w:rsid w:val="0057299B"/>
    <w:rsid w:val="00574C83"/>
    <w:rsid w:val="005810DF"/>
    <w:rsid w:val="00583101"/>
    <w:rsid w:val="005836B3"/>
    <w:rsid w:val="005836BA"/>
    <w:rsid w:val="0058452C"/>
    <w:rsid w:val="00584D72"/>
    <w:rsid w:val="0058662D"/>
    <w:rsid w:val="005900C3"/>
    <w:rsid w:val="00590A21"/>
    <w:rsid w:val="005932EC"/>
    <w:rsid w:val="005966D8"/>
    <w:rsid w:val="0059769C"/>
    <w:rsid w:val="005A0F75"/>
    <w:rsid w:val="005A129A"/>
    <w:rsid w:val="005A2D25"/>
    <w:rsid w:val="005A35B4"/>
    <w:rsid w:val="005A422E"/>
    <w:rsid w:val="005A7235"/>
    <w:rsid w:val="005A7BA6"/>
    <w:rsid w:val="005B499E"/>
    <w:rsid w:val="005B6A8D"/>
    <w:rsid w:val="005C195D"/>
    <w:rsid w:val="005C2031"/>
    <w:rsid w:val="005C4174"/>
    <w:rsid w:val="005D04E1"/>
    <w:rsid w:val="005D0ACB"/>
    <w:rsid w:val="005D140B"/>
    <w:rsid w:val="005D1C36"/>
    <w:rsid w:val="005D1F2E"/>
    <w:rsid w:val="005D2654"/>
    <w:rsid w:val="005D2E6F"/>
    <w:rsid w:val="005D3D40"/>
    <w:rsid w:val="005D5624"/>
    <w:rsid w:val="005D5865"/>
    <w:rsid w:val="005D5F1D"/>
    <w:rsid w:val="005D6633"/>
    <w:rsid w:val="005D7324"/>
    <w:rsid w:val="005E03A2"/>
    <w:rsid w:val="005E35C4"/>
    <w:rsid w:val="005E4A7B"/>
    <w:rsid w:val="005E588F"/>
    <w:rsid w:val="005E5BEC"/>
    <w:rsid w:val="005E5D2D"/>
    <w:rsid w:val="005E6FAB"/>
    <w:rsid w:val="005E75E5"/>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37737"/>
    <w:rsid w:val="00640646"/>
    <w:rsid w:val="006406C5"/>
    <w:rsid w:val="00640DB6"/>
    <w:rsid w:val="00642467"/>
    <w:rsid w:val="00642D76"/>
    <w:rsid w:val="00643831"/>
    <w:rsid w:val="00643FF8"/>
    <w:rsid w:val="00644EBE"/>
    <w:rsid w:val="00645B0D"/>
    <w:rsid w:val="006502F7"/>
    <w:rsid w:val="00651606"/>
    <w:rsid w:val="0065161C"/>
    <w:rsid w:val="00652B35"/>
    <w:rsid w:val="00652EE5"/>
    <w:rsid w:val="0065454C"/>
    <w:rsid w:val="006559FD"/>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BC3"/>
    <w:rsid w:val="00693D40"/>
    <w:rsid w:val="006971C6"/>
    <w:rsid w:val="00697598"/>
    <w:rsid w:val="006A01ED"/>
    <w:rsid w:val="006A173F"/>
    <w:rsid w:val="006A1AC5"/>
    <w:rsid w:val="006A231D"/>
    <w:rsid w:val="006A29EB"/>
    <w:rsid w:val="006A4350"/>
    <w:rsid w:val="006A6EDB"/>
    <w:rsid w:val="006B102F"/>
    <w:rsid w:val="006B15F9"/>
    <w:rsid w:val="006B18D6"/>
    <w:rsid w:val="006B20E9"/>
    <w:rsid w:val="006B2749"/>
    <w:rsid w:val="006B42B0"/>
    <w:rsid w:val="006B490F"/>
    <w:rsid w:val="006B57A3"/>
    <w:rsid w:val="006B58DB"/>
    <w:rsid w:val="006B6448"/>
    <w:rsid w:val="006B65A1"/>
    <w:rsid w:val="006B6B7D"/>
    <w:rsid w:val="006B738C"/>
    <w:rsid w:val="006B75D2"/>
    <w:rsid w:val="006B770D"/>
    <w:rsid w:val="006C114B"/>
    <w:rsid w:val="006C1677"/>
    <w:rsid w:val="006C4CAA"/>
    <w:rsid w:val="006C68A7"/>
    <w:rsid w:val="006C780F"/>
    <w:rsid w:val="006C79DB"/>
    <w:rsid w:val="006D09D6"/>
    <w:rsid w:val="006D1400"/>
    <w:rsid w:val="006D419B"/>
    <w:rsid w:val="006D646C"/>
    <w:rsid w:val="006D7A1A"/>
    <w:rsid w:val="006E009D"/>
    <w:rsid w:val="006E0122"/>
    <w:rsid w:val="006E0960"/>
    <w:rsid w:val="006E116F"/>
    <w:rsid w:val="006E13FF"/>
    <w:rsid w:val="006E197A"/>
    <w:rsid w:val="006E1DC0"/>
    <w:rsid w:val="006E340A"/>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6E7"/>
    <w:rsid w:val="007139DB"/>
    <w:rsid w:val="00714D14"/>
    <w:rsid w:val="00714E66"/>
    <w:rsid w:val="0071508F"/>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0DF9"/>
    <w:rsid w:val="00741CD7"/>
    <w:rsid w:val="00742631"/>
    <w:rsid w:val="00742DE0"/>
    <w:rsid w:val="00743A10"/>
    <w:rsid w:val="00743BAD"/>
    <w:rsid w:val="00745A5F"/>
    <w:rsid w:val="00746F8F"/>
    <w:rsid w:val="00747678"/>
    <w:rsid w:val="00750796"/>
    <w:rsid w:val="007534F8"/>
    <w:rsid w:val="0075404F"/>
    <w:rsid w:val="007558ED"/>
    <w:rsid w:val="007560F1"/>
    <w:rsid w:val="00761725"/>
    <w:rsid w:val="00762228"/>
    <w:rsid w:val="00763127"/>
    <w:rsid w:val="00763E34"/>
    <w:rsid w:val="00764EF9"/>
    <w:rsid w:val="00770A34"/>
    <w:rsid w:val="00770FC4"/>
    <w:rsid w:val="007711BC"/>
    <w:rsid w:val="007713C7"/>
    <w:rsid w:val="00772C87"/>
    <w:rsid w:val="00772D61"/>
    <w:rsid w:val="00773195"/>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432"/>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17809"/>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CA9"/>
    <w:rsid w:val="00850DF4"/>
    <w:rsid w:val="008510C7"/>
    <w:rsid w:val="0085150A"/>
    <w:rsid w:val="0085160F"/>
    <w:rsid w:val="0085327B"/>
    <w:rsid w:val="00853B1E"/>
    <w:rsid w:val="00854AAE"/>
    <w:rsid w:val="00856CDB"/>
    <w:rsid w:val="00860243"/>
    <w:rsid w:val="008604B9"/>
    <w:rsid w:val="00862ACA"/>
    <w:rsid w:val="00863B5C"/>
    <w:rsid w:val="00863E35"/>
    <w:rsid w:val="0086480C"/>
    <w:rsid w:val="0086680C"/>
    <w:rsid w:val="00866A4F"/>
    <w:rsid w:val="00866F44"/>
    <w:rsid w:val="00870F86"/>
    <w:rsid w:val="008721BB"/>
    <w:rsid w:val="00873EFF"/>
    <w:rsid w:val="008749E8"/>
    <w:rsid w:val="008762F8"/>
    <w:rsid w:val="00876774"/>
    <w:rsid w:val="00876C6F"/>
    <w:rsid w:val="008803DA"/>
    <w:rsid w:val="00881794"/>
    <w:rsid w:val="00881CAD"/>
    <w:rsid w:val="00882B37"/>
    <w:rsid w:val="00883A58"/>
    <w:rsid w:val="0089326A"/>
    <w:rsid w:val="0089358E"/>
    <w:rsid w:val="00893F67"/>
    <w:rsid w:val="00895E6F"/>
    <w:rsid w:val="008A0297"/>
    <w:rsid w:val="008A034D"/>
    <w:rsid w:val="008A1004"/>
    <w:rsid w:val="008A15C2"/>
    <w:rsid w:val="008A2F96"/>
    <w:rsid w:val="008A34CB"/>
    <w:rsid w:val="008A4577"/>
    <w:rsid w:val="008A474D"/>
    <w:rsid w:val="008A6835"/>
    <w:rsid w:val="008B0300"/>
    <w:rsid w:val="008B170E"/>
    <w:rsid w:val="008B37A1"/>
    <w:rsid w:val="008B4625"/>
    <w:rsid w:val="008B467F"/>
    <w:rsid w:val="008B57B0"/>
    <w:rsid w:val="008B7CAC"/>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05A04"/>
    <w:rsid w:val="00911E06"/>
    <w:rsid w:val="009124E7"/>
    <w:rsid w:val="00912F15"/>
    <w:rsid w:val="00916658"/>
    <w:rsid w:val="00916674"/>
    <w:rsid w:val="00916D23"/>
    <w:rsid w:val="0091768B"/>
    <w:rsid w:val="00922AA7"/>
    <w:rsid w:val="00922C6F"/>
    <w:rsid w:val="00922D6B"/>
    <w:rsid w:val="00923155"/>
    <w:rsid w:val="00924AD8"/>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62FC"/>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C4"/>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9F739F"/>
    <w:rsid w:val="00A02D1A"/>
    <w:rsid w:val="00A03078"/>
    <w:rsid w:val="00A0627A"/>
    <w:rsid w:val="00A077A2"/>
    <w:rsid w:val="00A10781"/>
    <w:rsid w:val="00A10C30"/>
    <w:rsid w:val="00A12BD8"/>
    <w:rsid w:val="00A13F18"/>
    <w:rsid w:val="00A15F64"/>
    <w:rsid w:val="00A233E0"/>
    <w:rsid w:val="00A24CE4"/>
    <w:rsid w:val="00A24F5B"/>
    <w:rsid w:val="00A26353"/>
    <w:rsid w:val="00A26E89"/>
    <w:rsid w:val="00A274B4"/>
    <w:rsid w:val="00A27E5C"/>
    <w:rsid w:val="00A306EB"/>
    <w:rsid w:val="00A31484"/>
    <w:rsid w:val="00A352DB"/>
    <w:rsid w:val="00A358CC"/>
    <w:rsid w:val="00A35BC3"/>
    <w:rsid w:val="00A35F5B"/>
    <w:rsid w:val="00A361CE"/>
    <w:rsid w:val="00A3781D"/>
    <w:rsid w:val="00A45770"/>
    <w:rsid w:val="00A45865"/>
    <w:rsid w:val="00A46733"/>
    <w:rsid w:val="00A5226D"/>
    <w:rsid w:val="00A53BD4"/>
    <w:rsid w:val="00A53C9A"/>
    <w:rsid w:val="00A55764"/>
    <w:rsid w:val="00A56C84"/>
    <w:rsid w:val="00A60384"/>
    <w:rsid w:val="00A6282F"/>
    <w:rsid w:val="00A62AFA"/>
    <w:rsid w:val="00A64B54"/>
    <w:rsid w:val="00A67FC6"/>
    <w:rsid w:val="00A68791"/>
    <w:rsid w:val="00A71397"/>
    <w:rsid w:val="00A71F84"/>
    <w:rsid w:val="00A722B6"/>
    <w:rsid w:val="00A72623"/>
    <w:rsid w:val="00A768D2"/>
    <w:rsid w:val="00A80A27"/>
    <w:rsid w:val="00A816BC"/>
    <w:rsid w:val="00A82647"/>
    <w:rsid w:val="00A8542E"/>
    <w:rsid w:val="00A8593A"/>
    <w:rsid w:val="00A85EF2"/>
    <w:rsid w:val="00A8785F"/>
    <w:rsid w:val="00A9188B"/>
    <w:rsid w:val="00A91EFC"/>
    <w:rsid w:val="00A955EC"/>
    <w:rsid w:val="00A9734E"/>
    <w:rsid w:val="00A975AC"/>
    <w:rsid w:val="00A97EE9"/>
    <w:rsid w:val="00AA26C8"/>
    <w:rsid w:val="00AA2AE3"/>
    <w:rsid w:val="00AA3857"/>
    <w:rsid w:val="00AA3B88"/>
    <w:rsid w:val="00AA4A5E"/>
    <w:rsid w:val="00AA4F24"/>
    <w:rsid w:val="00AA5BD7"/>
    <w:rsid w:val="00AA67A0"/>
    <w:rsid w:val="00AA68A8"/>
    <w:rsid w:val="00AA74E9"/>
    <w:rsid w:val="00AB4348"/>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482F"/>
    <w:rsid w:val="00B061FE"/>
    <w:rsid w:val="00B06750"/>
    <w:rsid w:val="00B07337"/>
    <w:rsid w:val="00B11B2A"/>
    <w:rsid w:val="00B13545"/>
    <w:rsid w:val="00B13DEC"/>
    <w:rsid w:val="00B15AEE"/>
    <w:rsid w:val="00B15B9E"/>
    <w:rsid w:val="00B209B6"/>
    <w:rsid w:val="00B222EC"/>
    <w:rsid w:val="00B22810"/>
    <w:rsid w:val="00B22F84"/>
    <w:rsid w:val="00B2326A"/>
    <w:rsid w:val="00B23E0D"/>
    <w:rsid w:val="00B24852"/>
    <w:rsid w:val="00B26757"/>
    <w:rsid w:val="00B31C31"/>
    <w:rsid w:val="00B36433"/>
    <w:rsid w:val="00B37C28"/>
    <w:rsid w:val="00B400AE"/>
    <w:rsid w:val="00B40A42"/>
    <w:rsid w:val="00B434D7"/>
    <w:rsid w:val="00B45BEF"/>
    <w:rsid w:val="00B47058"/>
    <w:rsid w:val="00B4711C"/>
    <w:rsid w:val="00B5068E"/>
    <w:rsid w:val="00B51024"/>
    <w:rsid w:val="00B524A9"/>
    <w:rsid w:val="00B603E4"/>
    <w:rsid w:val="00B60903"/>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6C17"/>
    <w:rsid w:val="00B8742C"/>
    <w:rsid w:val="00B90437"/>
    <w:rsid w:val="00B92284"/>
    <w:rsid w:val="00B9379D"/>
    <w:rsid w:val="00B93F50"/>
    <w:rsid w:val="00B9424F"/>
    <w:rsid w:val="00B9504D"/>
    <w:rsid w:val="00B957FA"/>
    <w:rsid w:val="00B95BD0"/>
    <w:rsid w:val="00B9602F"/>
    <w:rsid w:val="00BA19B7"/>
    <w:rsid w:val="00BA1A18"/>
    <w:rsid w:val="00BA45E6"/>
    <w:rsid w:val="00BA5E6F"/>
    <w:rsid w:val="00BB0D04"/>
    <w:rsid w:val="00BB29FA"/>
    <w:rsid w:val="00BB2B15"/>
    <w:rsid w:val="00BB3410"/>
    <w:rsid w:val="00BB432F"/>
    <w:rsid w:val="00BB4408"/>
    <w:rsid w:val="00BB49A7"/>
    <w:rsid w:val="00BB49C0"/>
    <w:rsid w:val="00BB6F4C"/>
    <w:rsid w:val="00BB6FB5"/>
    <w:rsid w:val="00BB753F"/>
    <w:rsid w:val="00BB7DA0"/>
    <w:rsid w:val="00BB7FF2"/>
    <w:rsid w:val="00BC0B1A"/>
    <w:rsid w:val="00BC1522"/>
    <w:rsid w:val="00BC1BF0"/>
    <w:rsid w:val="00BC240A"/>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BF7B09"/>
    <w:rsid w:val="00C02D9A"/>
    <w:rsid w:val="00C033E9"/>
    <w:rsid w:val="00C0389F"/>
    <w:rsid w:val="00C04326"/>
    <w:rsid w:val="00C046AD"/>
    <w:rsid w:val="00C054E3"/>
    <w:rsid w:val="00C066B7"/>
    <w:rsid w:val="00C07AAE"/>
    <w:rsid w:val="00C07D74"/>
    <w:rsid w:val="00C106D4"/>
    <w:rsid w:val="00C11ED5"/>
    <w:rsid w:val="00C13B84"/>
    <w:rsid w:val="00C13F0D"/>
    <w:rsid w:val="00C14B7B"/>
    <w:rsid w:val="00C14D9D"/>
    <w:rsid w:val="00C1628D"/>
    <w:rsid w:val="00C20372"/>
    <w:rsid w:val="00C2356F"/>
    <w:rsid w:val="00C24C6C"/>
    <w:rsid w:val="00C25A7A"/>
    <w:rsid w:val="00C27150"/>
    <w:rsid w:val="00C30469"/>
    <w:rsid w:val="00C3161F"/>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77AEF"/>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5C81"/>
    <w:rsid w:val="00CA6D14"/>
    <w:rsid w:val="00CA7D74"/>
    <w:rsid w:val="00CB02A1"/>
    <w:rsid w:val="00CB038B"/>
    <w:rsid w:val="00CB1797"/>
    <w:rsid w:val="00CB4B04"/>
    <w:rsid w:val="00CB6AD7"/>
    <w:rsid w:val="00CB7806"/>
    <w:rsid w:val="00CC03C4"/>
    <w:rsid w:val="00CC2643"/>
    <w:rsid w:val="00CC2BE4"/>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795C"/>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17C2A"/>
    <w:rsid w:val="00D210DB"/>
    <w:rsid w:val="00D21483"/>
    <w:rsid w:val="00D225E2"/>
    <w:rsid w:val="00D234AD"/>
    <w:rsid w:val="00D24AC0"/>
    <w:rsid w:val="00D26124"/>
    <w:rsid w:val="00D27888"/>
    <w:rsid w:val="00D31DCE"/>
    <w:rsid w:val="00D33817"/>
    <w:rsid w:val="00D36464"/>
    <w:rsid w:val="00D37D03"/>
    <w:rsid w:val="00D37D3F"/>
    <w:rsid w:val="00D414EB"/>
    <w:rsid w:val="00D4260C"/>
    <w:rsid w:val="00D43278"/>
    <w:rsid w:val="00D432B7"/>
    <w:rsid w:val="00D437E5"/>
    <w:rsid w:val="00D44771"/>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2723"/>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00D"/>
    <w:rsid w:val="00DE15D8"/>
    <w:rsid w:val="00DE26D9"/>
    <w:rsid w:val="00DE3DF8"/>
    <w:rsid w:val="00DE4E0C"/>
    <w:rsid w:val="00DE50FF"/>
    <w:rsid w:val="00DE60DC"/>
    <w:rsid w:val="00DE68CB"/>
    <w:rsid w:val="00DF0756"/>
    <w:rsid w:val="00DF0955"/>
    <w:rsid w:val="00DF0C4A"/>
    <w:rsid w:val="00DF32C9"/>
    <w:rsid w:val="00DF3AA1"/>
    <w:rsid w:val="00DF4973"/>
    <w:rsid w:val="00DF6030"/>
    <w:rsid w:val="00DF7E5D"/>
    <w:rsid w:val="00E00589"/>
    <w:rsid w:val="00E0220E"/>
    <w:rsid w:val="00E034D9"/>
    <w:rsid w:val="00E038B8"/>
    <w:rsid w:val="00E03FC8"/>
    <w:rsid w:val="00E04947"/>
    <w:rsid w:val="00E076DF"/>
    <w:rsid w:val="00E10927"/>
    <w:rsid w:val="00E128B1"/>
    <w:rsid w:val="00E14467"/>
    <w:rsid w:val="00E14BF3"/>
    <w:rsid w:val="00E16410"/>
    <w:rsid w:val="00E205A3"/>
    <w:rsid w:val="00E2389F"/>
    <w:rsid w:val="00E25157"/>
    <w:rsid w:val="00E275ED"/>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E00F7"/>
    <w:rsid w:val="00EE038B"/>
    <w:rsid w:val="00EE1624"/>
    <w:rsid w:val="00EE2072"/>
    <w:rsid w:val="00EE2403"/>
    <w:rsid w:val="00EE2B2F"/>
    <w:rsid w:val="00EE5AC9"/>
    <w:rsid w:val="00EE68B7"/>
    <w:rsid w:val="00EE7609"/>
    <w:rsid w:val="00EE782C"/>
    <w:rsid w:val="00EE7D9F"/>
    <w:rsid w:val="00EF2E9D"/>
    <w:rsid w:val="00EF3B34"/>
    <w:rsid w:val="00EF71E8"/>
    <w:rsid w:val="00EF7A31"/>
    <w:rsid w:val="00EF7B2E"/>
    <w:rsid w:val="00F0015C"/>
    <w:rsid w:val="00F02003"/>
    <w:rsid w:val="00F0705E"/>
    <w:rsid w:val="00F071BE"/>
    <w:rsid w:val="00F10CF0"/>
    <w:rsid w:val="00F11525"/>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068"/>
    <w:rsid w:val="00F36723"/>
    <w:rsid w:val="00F36CF0"/>
    <w:rsid w:val="00F37D13"/>
    <w:rsid w:val="00F405E9"/>
    <w:rsid w:val="00F41EB4"/>
    <w:rsid w:val="00F43533"/>
    <w:rsid w:val="00F440BC"/>
    <w:rsid w:val="00F45B62"/>
    <w:rsid w:val="00F462DB"/>
    <w:rsid w:val="00F4663F"/>
    <w:rsid w:val="00F47EAC"/>
    <w:rsid w:val="00F5019F"/>
    <w:rsid w:val="00F50AE5"/>
    <w:rsid w:val="00F50C29"/>
    <w:rsid w:val="00F51F05"/>
    <w:rsid w:val="00F532D6"/>
    <w:rsid w:val="00F56114"/>
    <w:rsid w:val="00F573CC"/>
    <w:rsid w:val="00F57EAD"/>
    <w:rsid w:val="00F601B4"/>
    <w:rsid w:val="00F62C65"/>
    <w:rsid w:val="00F63290"/>
    <w:rsid w:val="00F652A6"/>
    <w:rsid w:val="00F66728"/>
    <w:rsid w:val="00F67649"/>
    <w:rsid w:val="00F67C9A"/>
    <w:rsid w:val="00F67FB2"/>
    <w:rsid w:val="00F7072E"/>
    <w:rsid w:val="00F71C27"/>
    <w:rsid w:val="00F7283C"/>
    <w:rsid w:val="00F741CB"/>
    <w:rsid w:val="00F74FF8"/>
    <w:rsid w:val="00F7547C"/>
    <w:rsid w:val="00F774C2"/>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8C5"/>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14D8"/>
    <w:rsid w:val="00FD3EF8"/>
    <w:rsid w:val="00FD54EB"/>
    <w:rsid w:val="00FD7196"/>
    <w:rsid w:val="00FE0BEA"/>
    <w:rsid w:val="00FE0D6A"/>
    <w:rsid w:val="00FE2C1F"/>
    <w:rsid w:val="00FE32A1"/>
    <w:rsid w:val="00FE39D2"/>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4BEBAD"/>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9FC11A7"/>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table" w:customStyle="1" w:styleId="TableGrid1">
    <w:name w:val="Table Grid1"/>
    <w:basedOn w:val="TableNormal"/>
    <w:next w:val="TableGrid"/>
    <w:rsid w:val="00224E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2025-04-02T20:56:41+00:00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5552C62A-556F-46B2-AF44-1B1683CC4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CE722004-BBC1-439B-AD45-BA2D19BD70B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6806</Words>
  <Characters>38800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Caparoso, Jennifer</cp:lastModifiedBy>
  <cp:revision>2</cp:revision>
  <dcterms:created xsi:type="dcterms:W3CDTF">2025-05-27T19:43:00Z</dcterms:created>
  <dcterms:modified xsi:type="dcterms:W3CDTF">2025-05-27T19:43:00Z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