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40EA4" w:rsidRPr="003363E7" w:rsidP="00376118" w14:paraId="48938A1E" w14:textId="77777777">
      <w:pPr>
        <w:spacing w:after="0" w:line="240" w:lineRule="auto"/>
        <w:jc w:val="center"/>
        <w:rPr>
          <w:rFonts w:ascii="Times New Roman" w:hAnsi="Times New Roman"/>
          <w:b/>
          <w:sz w:val="24"/>
          <w:szCs w:val="24"/>
        </w:rPr>
      </w:pPr>
      <w:r w:rsidRPr="003363E7">
        <w:rPr>
          <w:rFonts w:ascii="Times New Roman" w:hAnsi="Times New Roman"/>
          <w:b/>
          <w:sz w:val="24"/>
          <w:szCs w:val="24"/>
        </w:rPr>
        <w:t>Department of Transportation</w:t>
      </w:r>
    </w:p>
    <w:p w:rsidR="00440EA4" w:rsidRPr="003363E7" w:rsidP="00376118" w14:paraId="5F267BB6" w14:textId="77777777">
      <w:pPr>
        <w:spacing w:after="0" w:line="240" w:lineRule="auto"/>
        <w:jc w:val="center"/>
        <w:rPr>
          <w:rFonts w:ascii="Times New Roman" w:hAnsi="Times New Roman"/>
          <w:b/>
          <w:sz w:val="24"/>
          <w:szCs w:val="24"/>
        </w:rPr>
      </w:pPr>
      <w:r w:rsidRPr="003363E7">
        <w:rPr>
          <w:rFonts w:ascii="Times New Roman" w:hAnsi="Times New Roman"/>
          <w:b/>
          <w:sz w:val="24"/>
          <w:szCs w:val="24"/>
        </w:rPr>
        <w:t xml:space="preserve">Maritime Administration </w:t>
      </w:r>
    </w:p>
    <w:p w:rsidR="00440EA4" w:rsidRPr="003363E7" w:rsidP="00376118" w14:paraId="6264D4A6" w14:textId="77777777">
      <w:pPr>
        <w:spacing w:after="0" w:line="240" w:lineRule="auto"/>
        <w:jc w:val="center"/>
        <w:rPr>
          <w:rFonts w:ascii="Times New Roman" w:hAnsi="Times New Roman"/>
          <w:b/>
          <w:sz w:val="24"/>
          <w:szCs w:val="24"/>
        </w:rPr>
      </w:pPr>
      <w:r w:rsidRPr="003363E7">
        <w:rPr>
          <w:rFonts w:ascii="Times New Roman" w:hAnsi="Times New Roman"/>
          <w:b/>
          <w:sz w:val="24"/>
          <w:szCs w:val="24"/>
        </w:rPr>
        <w:t>Information Collection Request (ICR)</w:t>
      </w:r>
    </w:p>
    <w:p w:rsidR="00440EA4" w:rsidRPr="003363E7" w:rsidP="00376118" w14:paraId="513ED4D9" w14:textId="77777777">
      <w:pPr>
        <w:spacing w:after="0" w:line="240" w:lineRule="auto"/>
        <w:jc w:val="center"/>
        <w:rPr>
          <w:rFonts w:ascii="Times New Roman" w:hAnsi="Times New Roman"/>
          <w:b/>
          <w:sz w:val="24"/>
          <w:szCs w:val="24"/>
        </w:rPr>
      </w:pPr>
      <w:r w:rsidRPr="003363E7">
        <w:rPr>
          <w:rFonts w:ascii="Times New Roman" w:hAnsi="Times New Roman"/>
          <w:b/>
          <w:sz w:val="24"/>
          <w:szCs w:val="24"/>
        </w:rPr>
        <w:t>OMB 2133-0542</w:t>
      </w:r>
    </w:p>
    <w:p w:rsidR="00440EA4" w:rsidRPr="003363E7" w:rsidP="00440EA4" w14:paraId="72785BED" w14:textId="77777777">
      <w:pPr>
        <w:spacing w:after="0" w:line="240" w:lineRule="auto"/>
        <w:jc w:val="center"/>
        <w:rPr>
          <w:rFonts w:ascii="Times New Roman" w:hAnsi="Times New Roman"/>
          <w:b/>
          <w:sz w:val="24"/>
          <w:szCs w:val="24"/>
        </w:rPr>
      </w:pPr>
      <w:r w:rsidRPr="003363E7">
        <w:rPr>
          <w:rFonts w:ascii="Times New Roman" w:hAnsi="Times New Roman"/>
          <w:b/>
          <w:sz w:val="24"/>
          <w:szCs w:val="24"/>
        </w:rPr>
        <w:t>United States Merchant Marine Academy (USMMA) Alumni Survey</w:t>
      </w:r>
    </w:p>
    <w:p w:rsidR="00440EA4" w:rsidRPr="003363E7" w:rsidP="00376118" w14:paraId="0E6B7DCD" w14:textId="77777777">
      <w:pPr>
        <w:spacing w:after="0" w:line="240" w:lineRule="auto"/>
        <w:jc w:val="center"/>
        <w:rPr>
          <w:rFonts w:ascii="Times New Roman" w:hAnsi="Times New Roman"/>
          <w:b/>
          <w:sz w:val="24"/>
          <w:szCs w:val="24"/>
        </w:rPr>
      </w:pPr>
    </w:p>
    <w:p w:rsidR="00440EA4" w:rsidP="00376118" w14:paraId="4CC5C7C3" w14:textId="77777777">
      <w:pPr>
        <w:spacing w:after="0" w:line="240" w:lineRule="auto"/>
        <w:jc w:val="center"/>
        <w:rPr>
          <w:rFonts w:ascii="Times New Roman" w:hAnsi="Times New Roman"/>
          <w:b/>
          <w:sz w:val="24"/>
          <w:szCs w:val="24"/>
          <w:u w:val="single"/>
        </w:rPr>
      </w:pPr>
    </w:p>
    <w:p w:rsidR="007F5F2A" w:rsidRPr="003363E7" w:rsidP="00376118" w14:paraId="5A8D56B6" w14:textId="77777777">
      <w:pPr>
        <w:spacing w:after="0" w:line="240" w:lineRule="auto"/>
        <w:jc w:val="center"/>
        <w:rPr>
          <w:rFonts w:ascii="Times New Roman" w:hAnsi="Times New Roman"/>
          <w:b/>
          <w:sz w:val="24"/>
          <w:szCs w:val="24"/>
        </w:rPr>
      </w:pPr>
      <w:r w:rsidRPr="003363E7">
        <w:rPr>
          <w:rFonts w:ascii="Times New Roman" w:hAnsi="Times New Roman"/>
          <w:b/>
          <w:sz w:val="24"/>
          <w:szCs w:val="24"/>
        </w:rPr>
        <w:t>SUPPORTING STATEMENT</w:t>
      </w:r>
      <w:r w:rsidRPr="003363E7" w:rsidR="007F083C">
        <w:rPr>
          <w:rFonts w:ascii="Times New Roman" w:hAnsi="Times New Roman"/>
          <w:b/>
          <w:sz w:val="24"/>
          <w:szCs w:val="24"/>
        </w:rPr>
        <w:t xml:space="preserve"> A</w:t>
      </w:r>
    </w:p>
    <w:p w:rsidR="007F083C" w:rsidRPr="001064C6" w:rsidP="00376118" w14:paraId="7B4459E8" w14:textId="77777777">
      <w:pPr>
        <w:spacing w:after="0" w:line="240" w:lineRule="auto"/>
        <w:jc w:val="center"/>
        <w:rPr>
          <w:rFonts w:ascii="Times New Roman" w:hAnsi="Times New Roman"/>
          <w:b/>
          <w:sz w:val="24"/>
          <w:szCs w:val="24"/>
          <w:u w:val="single"/>
        </w:rPr>
      </w:pPr>
    </w:p>
    <w:p w:rsidR="00463549" w:rsidP="00376118" w14:paraId="083A18AA" w14:textId="77777777">
      <w:pPr>
        <w:spacing w:after="0" w:line="240" w:lineRule="auto"/>
        <w:jc w:val="center"/>
        <w:rPr>
          <w:rFonts w:ascii="Times New Roman" w:hAnsi="Times New Roman"/>
          <w:b/>
          <w:sz w:val="24"/>
          <w:szCs w:val="24"/>
        </w:rPr>
      </w:pPr>
    </w:p>
    <w:p w:rsidR="009303AA" w:rsidP="00463549" w14:paraId="37D0DD24" w14:textId="77777777">
      <w:pPr>
        <w:spacing w:after="0" w:line="240" w:lineRule="auto"/>
        <w:rPr>
          <w:rFonts w:ascii="Times New Roman" w:hAnsi="Times New Roman"/>
          <w:b/>
          <w:sz w:val="24"/>
          <w:szCs w:val="24"/>
        </w:rPr>
      </w:pPr>
      <w:r w:rsidRPr="003363E7">
        <w:rPr>
          <w:rFonts w:ascii="Times New Roman" w:hAnsi="Times New Roman"/>
          <w:b/>
          <w:sz w:val="24"/>
          <w:szCs w:val="24"/>
        </w:rPr>
        <w:t>INTRODUCTION</w:t>
      </w:r>
    </w:p>
    <w:p w:rsidR="009303AA" w:rsidP="00463549" w14:paraId="62C08E6F" w14:textId="77777777">
      <w:pPr>
        <w:spacing w:after="0" w:line="240" w:lineRule="auto"/>
        <w:rPr>
          <w:rFonts w:ascii="Times New Roman" w:hAnsi="Times New Roman"/>
          <w:b/>
          <w:sz w:val="24"/>
          <w:szCs w:val="24"/>
        </w:rPr>
      </w:pPr>
    </w:p>
    <w:p w:rsidR="00463549" w:rsidP="00463549" w14:paraId="102528CB" w14:textId="628E248A">
      <w:pPr>
        <w:spacing w:after="0" w:line="240" w:lineRule="auto"/>
        <w:rPr>
          <w:rFonts w:ascii="Times New Roman" w:hAnsi="Times New Roman"/>
          <w:sz w:val="24"/>
          <w:szCs w:val="24"/>
        </w:rPr>
      </w:pPr>
      <w:r w:rsidRPr="00463549">
        <w:rPr>
          <w:rFonts w:ascii="Times New Roman" w:hAnsi="Times New Roman"/>
          <w:sz w:val="24"/>
          <w:szCs w:val="24"/>
        </w:rPr>
        <w:t xml:space="preserve">This </w:t>
      </w:r>
      <w:r w:rsidR="00440EA4">
        <w:rPr>
          <w:rFonts w:ascii="Times New Roman" w:hAnsi="Times New Roman"/>
          <w:sz w:val="24"/>
          <w:szCs w:val="24"/>
        </w:rPr>
        <w:t xml:space="preserve">submission </w:t>
      </w:r>
      <w:r w:rsidRPr="00463549">
        <w:rPr>
          <w:rFonts w:ascii="Times New Roman" w:hAnsi="Times New Roman"/>
          <w:sz w:val="24"/>
          <w:szCs w:val="24"/>
        </w:rPr>
        <w:t xml:space="preserve">is to request </w:t>
      </w:r>
      <w:r w:rsidRPr="00463549" w:rsidR="00440EA4">
        <w:rPr>
          <w:rFonts w:ascii="Times New Roman" w:hAnsi="Times New Roman"/>
          <w:sz w:val="24"/>
          <w:szCs w:val="24"/>
        </w:rPr>
        <w:t>three</w:t>
      </w:r>
      <w:r w:rsidR="00440EA4">
        <w:rPr>
          <w:rFonts w:ascii="Times New Roman" w:hAnsi="Times New Roman"/>
          <w:sz w:val="24"/>
          <w:szCs w:val="24"/>
        </w:rPr>
        <w:t>-</w:t>
      </w:r>
      <w:r w:rsidRPr="00463549" w:rsidR="00440EA4">
        <w:rPr>
          <w:rFonts w:ascii="Times New Roman" w:hAnsi="Times New Roman"/>
          <w:sz w:val="24"/>
          <w:szCs w:val="24"/>
        </w:rPr>
        <w:t xml:space="preserve">year approval </w:t>
      </w:r>
      <w:r w:rsidR="00440EA4">
        <w:rPr>
          <w:rFonts w:ascii="Times New Roman" w:hAnsi="Times New Roman"/>
          <w:sz w:val="24"/>
          <w:szCs w:val="24"/>
        </w:rPr>
        <w:t>from the</w:t>
      </w:r>
      <w:r w:rsidRPr="00463549">
        <w:rPr>
          <w:rFonts w:ascii="Times New Roman" w:hAnsi="Times New Roman"/>
          <w:sz w:val="24"/>
          <w:szCs w:val="24"/>
        </w:rPr>
        <w:t xml:space="preserve"> Office of Management and Budget’s (OMB) for the information collection entitled </w:t>
      </w:r>
      <w:bookmarkStart w:id="0" w:name="_Hlk195617960"/>
      <w:r w:rsidRPr="00440EA4" w:rsidR="00440EA4">
        <w:rPr>
          <w:rFonts w:ascii="Times New Roman" w:hAnsi="Times New Roman"/>
          <w:sz w:val="24"/>
          <w:szCs w:val="24"/>
        </w:rPr>
        <w:t>OMB 2133-0542</w:t>
      </w:r>
      <w:r w:rsidR="00440EA4">
        <w:rPr>
          <w:rFonts w:ascii="Times New Roman" w:hAnsi="Times New Roman"/>
          <w:sz w:val="24"/>
          <w:szCs w:val="24"/>
        </w:rPr>
        <w:t xml:space="preserve"> (</w:t>
      </w:r>
      <w:r w:rsidRPr="00463549">
        <w:rPr>
          <w:rFonts w:ascii="Times New Roman" w:hAnsi="Times New Roman"/>
          <w:sz w:val="24"/>
          <w:szCs w:val="24"/>
        </w:rPr>
        <w:t>United States Merchant Marine Academy Alumni Survey</w:t>
      </w:r>
      <w:r w:rsidR="00440EA4">
        <w:rPr>
          <w:rFonts w:ascii="Times New Roman" w:hAnsi="Times New Roman"/>
          <w:sz w:val="24"/>
          <w:szCs w:val="24"/>
        </w:rPr>
        <w:t>)</w:t>
      </w:r>
      <w:bookmarkEnd w:id="0"/>
      <w:r w:rsidR="00440EA4">
        <w:rPr>
          <w:rFonts w:ascii="Times New Roman" w:hAnsi="Times New Roman"/>
          <w:sz w:val="24"/>
          <w:szCs w:val="24"/>
        </w:rPr>
        <w:t xml:space="preserve">, which </w:t>
      </w:r>
      <w:r w:rsidRPr="00463549">
        <w:rPr>
          <w:rFonts w:ascii="Times New Roman" w:hAnsi="Times New Roman"/>
          <w:sz w:val="24"/>
          <w:szCs w:val="24"/>
        </w:rPr>
        <w:t xml:space="preserve">expires </w:t>
      </w:r>
      <w:r w:rsidR="00A31AD0">
        <w:rPr>
          <w:rFonts w:ascii="Times New Roman" w:hAnsi="Times New Roman"/>
          <w:sz w:val="24"/>
          <w:szCs w:val="24"/>
        </w:rPr>
        <w:t>on July</w:t>
      </w:r>
      <w:r w:rsidRPr="00463549" w:rsidR="00A31AD0">
        <w:rPr>
          <w:rFonts w:ascii="Times New Roman" w:hAnsi="Times New Roman"/>
          <w:sz w:val="24"/>
          <w:szCs w:val="24"/>
        </w:rPr>
        <w:t xml:space="preserve"> </w:t>
      </w:r>
      <w:r w:rsidRPr="00463549">
        <w:rPr>
          <w:rFonts w:ascii="Times New Roman" w:hAnsi="Times New Roman"/>
          <w:sz w:val="24"/>
          <w:szCs w:val="24"/>
        </w:rPr>
        <w:t>31, 202</w:t>
      </w:r>
      <w:r w:rsidR="007D3748">
        <w:rPr>
          <w:rFonts w:ascii="Times New Roman" w:hAnsi="Times New Roman"/>
          <w:sz w:val="24"/>
          <w:szCs w:val="24"/>
        </w:rPr>
        <w:t>5</w:t>
      </w:r>
      <w:r w:rsidRPr="00463549">
        <w:rPr>
          <w:rFonts w:ascii="Times New Roman" w:hAnsi="Times New Roman"/>
          <w:sz w:val="24"/>
          <w:szCs w:val="24"/>
        </w:rPr>
        <w:t>.</w:t>
      </w:r>
      <w:r w:rsidR="00A31AD0">
        <w:rPr>
          <w:rFonts w:ascii="Times New Roman" w:hAnsi="Times New Roman"/>
          <w:sz w:val="24"/>
          <w:szCs w:val="24"/>
        </w:rPr>
        <w:t xml:space="preserve"> </w:t>
      </w:r>
      <w:r w:rsidR="00656ABE">
        <w:rPr>
          <w:rFonts w:ascii="Times New Roman" w:hAnsi="Times New Roman"/>
          <w:sz w:val="24"/>
          <w:szCs w:val="24"/>
        </w:rPr>
        <w:t xml:space="preserve"> </w:t>
      </w:r>
      <w:bookmarkStart w:id="1" w:name="_Hlk195618091"/>
      <w:r w:rsidR="00A31AD0">
        <w:rPr>
          <w:rFonts w:ascii="Times New Roman" w:hAnsi="Times New Roman"/>
          <w:sz w:val="24"/>
          <w:szCs w:val="24"/>
        </w:rPr>
        <w:t xml:space="preserve">Since the last renewal, </w:t>
      </w:r>
      <w:r w:rsidR="00A34DC9">
        <w:rPr>
          <w:rFonts w:ascii="Times New Roman" w:hAnsi="Times New Roman"/>
          <w:sz w:val="24"/>
          <w:szCs w:val="24"/>
        </w:rPr>
        <w:t>the survey is being updated to</w:t>
      </w:r>
      <w:r w:rsidR="00280A60">
        <w:rPr>
          <w:rFonts w:ascii="Times New Roman" w:hAnsi="Times New Roman"/>
          <w:sz w:val="24"/>
          <w:szCs w:val="24"/>
        </w:rPr>
        <w:t xml:space="preserve"> include the following minor changes:</w:t>
      </w:r>
      <w:r w:rsidR="00A34DC9">
        <w:rPr>
          <w:rFonts w:ascii="Times New Roman" w:hAnsi="Times New Roman"/>
          <w:sz w:val="24"/>
          <w:szCs w:val="24"/>
        </w:rPr>
        <w:t xml:space="preserve"> </w:t>
      </w:r>
      <w:r w:rsidRPr="00105AA5" w:rsidR="00105AA5">
        <w:rPr>
          <w:rFonts w:ascii="Times New Roman" w:hAnsi="Times New Roman"/>
          <w:iCs/>
          <w:sz w:val="24"/>
          <w:szCs w:val="24"/>
        </w:rPr>
        <w:t>removal of gender-related questions, reworded question to reflect the Academy’s current learning outcomes, alignment of salary ranges to the current market, and disaggregation of cohort groups at the academic major level</w:t>
      </w:r>
      <w:r w:rsidRPr="00A34DC9" w:rsidR="00A34DC9">
        <w:rPr>
          <w:rFonts w:ascii="Times New Roman" w:hAnsi="Times New Roman"/>
          <w:iCs/>
          <w:sz w:val="24"/>
          <w:szCs w:val="24"/>
        </w:rPr>
        <w:t>.</w:t>
      </w:r>
      <w:r w:rsidR="00A34DC9">
        <w:rPr>
          <w:rFonts w:ascii="Times New Roman" w:hAnsi="Times New Roman"/>
          <w:sz w:val="24"/>
          <w:szCs w:val="24"/>
        </w:rPr>
        <w:t xml:space="preserve"> </w:t>
      </w:r>
      <w:r w:rsidR="00280A60">
        <w:rPr>
          <w:rFonts w:ascii="Times New Roman" w:hAnsi="Times New Roman"/>
          <w:sz w:val="24"/>
          <w:szCs w:val="24"/>
        </w:rPr>
        <w:t xml:space="preserve">Consequently, this collection will be submitted </w:t>
      </w:r>
      <w:r w:rsidRPr="00280A60" w:rsidR="00280A60">
        <w:rPr>
          <w:rFonts w:ascii="Times New Roman" w:hAnsi="Times New Roman"/>
          <w:i/>
          <w:iCs/>
          <w:sz w:val="24"/>
          <w:szCs w:val="24"/>
        </w:rPr>
        <w:t>as an extension with a minor change</w:t>
      </w:r>
      <w:r w:rsidR="00280A60">
        <w:rPr>
          <w:rFonts w:ascii="Times New Roman" w:hAnsi="Times New Roman"/>
          <w:sz w:val="24"/>
          <w:szCs w:val="24"/>
        </w:rPr>
        <w:t xml:space="preserve"> request</w:t>
      </w:r>
      <w:bookmarkEnd w:id="1"/>
      <w:r w:rsidR="00280A60">
        <w:rPr>
          <w:rFonts w:ascii="Times New Roman" w:hAnsi="Times New Roman"/>
          <w:sz w:val="24"/>
          <w:szCs w:val="24"/>
        </w:rPr>
        <w:t>.</w:t>
      </w:r>
    </w:p>
    <w:p w:rsidR="00463549" w:rsidP="003363E7" w14:paraId="7C9ABFDF" w14:textId="77777777">
      <w:pPr>
        <w:spacing w:after="0" w:line="240" w:lineRule="auto"/>
        <w:rPr>
          <w:rFonts w:ascii="Times New Roman" w:hAnsi="Times New Roman"/>
          <w:b/>
          <w:sz w:val="24"/>
          <w:szCs w:val="24"/>
        </w:rPr>
      </w:pPr>
    </w:p>
    <w:p w:rsidR="00DD4C12" w:rsidRPr="003363E7" w:rsidP="003363E7" w14:paraId="57BFBCD4" w14:textId="77777777">
      <w:pPr>
        <w:numPr>
          <w:ilvl w:val="0"/>
          <w:numId w:val="21"/>
        </w:numPr>
        <w:spacing w:after="0" w:line="240" w:lineRule="auto"/>
        <w:rPr>
          <w:rFonts w:ascii="Times New Roman" w:hAnsi="Times New Roman"/>
          <w:sz w:val="24"/>
          <w:szCs w:val="24"/>
        </w:rPr>
      </w:pPr>
      <w:r w:rsidRPr="003363E7">
        <w:rPr>
          <w:rFonts w:ascii="Times New Roman" w:hAnsi="Times New Roman"/>
          <w:b/>
          <w:sz w:val="24"/>
          <w:szCs w:val="24"/>
        </w:rPr>
        <w:t>JUSTIFICATION</w:t>
      </w:r>
    </w:p>
    <w:p w:rsidR="00F8269E" w:rsidP="00F8269E" w14:paraId="71BC03BA" w14:textId="77777777">
      <w:pPr>
        <w:pStyle w:val="BodyTextIndent"/>
        <w:rPr>
          <w:b/>
        </w:rPr>
      </w:pPr>
    </w:p>
    <w:p w:rsidR="00DD4C12" w:rsidP="00D64550" w14:paraId="54E7FA4B" w14:textId="77777777">
      <w:pPr>
        <w:pStyle w:val="BodyTextIndent"/>
        <w:numPr>
          <w:ilvl w:val="0"/>
          <w:numId w:val="22"/>
        </w:numPr>
        <w:ind w:left="720" w:hanging="360"/>
        <w:rPr>
          <w:b/>
        </w:rPr>
      </w:pPr>
      <w:r>
        <w:rPr>
          <w:b/>
        </w:rPr>
        <w:t>C</w:t>
      </w:r>
      <w:r>
        <w:rPr>
          <w:b/>
        </w:rPr>
        <w:t xml:space="preserve">ircumstances </w:t>
      </w:r>
      <w:r w:rsidR="00C066EE">
        <w:rPr>
          <w:b/>
        </w:rPr>
        <w:t>M</w:t>
      </w:r>
      <w:r>
        <w:rPr>
          <w:b/>
        </w:rPr>
        <w:t>ak</w:t>
      </w:r>
      <w:r w:rsidR="00C066EE">
        <w:rPr>
          <w:b/>
        </w:rPr>
        <w:t>ing</w:t>
      </w:r>
      <w:r>
        <w:rPr>
          <w:b/>
        </w:rPr>
        <w:t xml:space="preserve"> the </w:t>
      </w:r>
      <w:r w:rsidR="00C066EE">
        <w:rPr>
          <w:b/>
        </w:rPr>
        <w:t xml:space="preserve">Collections </w:t>
      </w:r>
      <w:r>
        <w:rPr>
          <w:b/>
        </w:rPr>
        <w:t xml:space="preserve">of </w:t>
      </w:r>
      <w:r w:rsidR="00C066EE">
        <w:rPr>
          <w:b/>
        </w:rPr>
        <w:t>Information Necessary</w:t>
      </w:r>
      <w:r>
        <w:rPr>
          <w:b/>
        </w:rPr>
        <w:t xml:space="preserve">  </w:t>
      </w:r>
    </w:p>
    <w:p w:rsidR="004D5886" w:rsidP="00376118" w14:paraId="6279F5AC" w14:textId="77777777">
      <w:pPr>
        <w:pStyle w:val="TableText"/>
        <w:spacing w:before="0"/>
        <w:ind w:left="720"/>
        <w:rPr>
          <w:rFonts w:ascii="Times New Roman" w:hAnsi="Times New Roman"/>
          <w:sz w:val="24"/>
          <w:szCs w:val="24"/>
        </w:rPr>
      </w:pPr>
    </w:p>
    <w:p w:rsidR="007F5F2A" w:rsidRPr="001064C6" w:rsidP="00376118" w14:paraId="7BD2ACEF" w14:textId="1CF0524F">
      <w:pPr>
        <w:pStyle w:val="TableText"/>
        <w:spacing w:before="0"/>
        <w:ind w:left="720"/>
        <w:rPr>
          <w:rFonts w:ascii="Times New Roman" w:hAnsi="Times New Roman"/>
          <w:sz w:val="24"/>
          <w:szCs w:val="24"/>
        </w:rPr>
      </w:pPr>
      <w:r>
        <w:rPr>
          <w:rFonts w:ascii="Times New Roman" w:hAnsi="Times New Roman"/>
          <w:sz w:val="24"/>
          <w:szCs w:val="24"/>
        </w:rPr>
        <w:t>T</w:t>
      </w:r>
      <w:r w:rsidRPr="001064C6">
        <w:rPr>
          <w:rFonts w:ascii="Times New Roman" w:hAnsi="Times New Roman"/>
          <w:sz w:val="24"/>
          <w:szCs w:val="24"/>
        </w:rPr>
        <w:t xml:space="preserve">he United States Merchant Marine Academy </w:t>
      </w:r>
      <w:r w:rsidR="00103750">
        <w:rPr>
          <w:rFonts w:ascii="Times New Roman" w:hAnsi="Times New Roman"/>
          <w:sz w:val="24"/>
          <w:szCs w:val="24"/>
        </w:rPr>
        <w:t xml:space="preserve">(the Academy) </w:t>
      </w:r>
      <w:r w:rsidRPr="001064C6">
        <w:rPr>
          <w:rFonts w:ascii="Times New Roman" w:hAnsi="Times New Roman"/>
          <w:sz w:val="24"/>
          <w:szCs w:val="24"/>
        </w:rPr>
        <w:t xml:space="preserve">is an accredited </w:t>
      </w:r>
      <w:r w:rsidR="00103750">
        <w:rPr>
          <w:rFonts w:ascii="Times New Roman" w:hAnsi="Times New Roman"/>
          <w:sz w:val="24"/>
          <w:szCs w:val="24"/>
        </w:rPr>
        <w:t>F</w:t>
      </w:r>
      <w:r w:rsidRPr="001064C6" w:rsidR="00103750">
        <w:rPr>
          <w:rFonts w:ascii="Times New Roman" w:hAnsi="Times New Roman"/>
          <w:sz w:val="24"/>
          <w:szCs w:val="24"/>
        </w:rPr>
        <w:t xml:space="preserve">ederal </w:t>
      </w:r>
      <w:r w:rsidRPr="001064C6">
        <w:rPr>
          <w:rFonts w:ascii="Times New Roman" w:hAnsi="Times New Roman"/>
          <w:sz w:val="24"/>
          <w:szCs w:val="24"/>
        </w:rPr>
        <w:t xml:space="preserve">service academy that confers </w:t>
      </w:r>
      <w:r w:rsidR="00103750">
        <w:rPr>
          <w:rFonts w:ascii="Times New Roman" w:hAnsi="Times New Roman"/>
          <w:sz w:val="24"/>
          <w:szCs w:val="24"/>
        </w:rPr>
        <w:t xml:space="preserve">both Bachelor of Science </w:t>
      </w:r>
      <w:r w:rsidRPr="001064C6">
        <w:rPr>
          <w:rFonts w:ascii="Times New Roman" w:hAnsi="Times New Roman"/>
          <w:sz w:val="24"/>
          <w:szCs w:val="24"/>
        </w:rPr>
        <w:t xml:space="preserve">and </w:t>
      </w:r>
      <w:r w:rsidR="00103750">
        <w:rPr>
          <w:rFonts w:ascii="Times New Roman" w:hAnsi="Times New Roman"/>
          <w:sz w:val="24"/>
          <w:szCs w:val="24"/>
        </w:rPr>
        <w:t xml:space="preserve">Master of Science </w:t>
      </w:r>
      <w:r w:rsidRPr="001064C6">
        <w:rPr>
          <w:rFonts w:ascii="Times New Roman" w:hAnsi="Times New Roman"/>
          <w:sz w:val="24"/>
          <w:szCs w:val="24"/>
        </w:rPr>
        <w:t>degrees.</w:t>
      </w:r>
      <w:r>
        <w:rPr>
          <w:rFonts w:ascii="Times New Roman" w:hAnsi="Times New Roman"/>
          <w:sz w:val="24"/>
          <w:szCs w:val="24"/>
        </w:rPr>
        <w:t xml:space="preserve">  Title 46 </w:t>
      </w:r>
      <w:r w:rsidR="00103750">
        <w:rPr>
          <w:rFonts w:ascii="Times New Roman" w:hAnsi="Times New Roman"/>
          <w:sz w:val="24"/>
          <w:szCs w:val="24"/>
        </w:rPr>
        <w:t>United States Code (</w:t>
      </w:r>
      <w:r>
        <w:rPr>
          <w:rFonts w:ascii="Times New Roman" w:hAnsi="Times New Roman"/>
          <w:sz w:val="24"/>
          <w:szCs w:val="24"/>
        </w:rPr>
        <w:t>U</w:t>
      </w:r>
      <w:r w:rsidR="00901FC3">
        <w:rPr>
          <w:rFonts w:ascii="Times New Roman" w:hAnsi="Times New Roman"/>
          <w:sz w:val="24"/>
          <w:szCs w:val="24"/>
        </w:rPr>
        <w:t>.</w:t>
      </w:r>
      <w:r>
        <w:rPr>
          <w:rFonts w:ascii="Times New Roman" w:hAnsi="Times New Roman"/>
          <w:sz w:val="24"/>
          <w:szCs w:val="24"/>
        </w:rPr>
        <w:t>S</w:t>
      </w:r>
      <w:r w:rsidR="00901FC3">
        <w:rPr>
          <w:rFonts w:ascii="Times New Roman" w:hAnsi="Times New Roman"/>
          <w:sz w:val="24"/>
          <w:szCs w:val="24"/>
        </w:rPr>
        <w:t>.</w:t>
      </w:r>
      <w:r>
        <w:rPr>
          <w:rFonts w:ascii="Times New Roman" w:hAnsi="Times New Roman"/>
          <w:sz w:val="24"/>
          <w:szCs w:val="24"/>
        </w:rPr>
        <w:t>C</w:t>
      </w:r>
      <w:r w:rsidR="00901FC3">
        <w:rPr>
          <w:rFonts w:ascii="Times New Roman" w:hAnsi="Times New Roman"/>
          <w:sz w:val="24"/>
          <w:szCs w:val="24"/>
        </w:rPr>
        <w:t>.</w:t>
      </w:r>
      <w:r w:rsidR="00103750">
        <w:rPr>
          <w:rFonts w:ascii="Times New Roman" w:hAnsi="Times New Roman"/>
          <w:sz w:val="24"/>
          <w:szCs w:val="24"/>
        </w:rPr>
        <w:t>)</w:t>
      </w:r>
      <w:r>
        <w:rPr>
          <w:rFonts w:ascii="Times New Roman" w:hAnsi="Times New Roman"/>
          <w:sz w:val="24"/>
          <w:szCs w:val="24"/>
        </w:rPr>
        <w:t xml:space="preserve"> 51309 authorizes the Secretary to prescribe regulations necessary to administer programs to maintain appropriate academic standards.</w:t>
      </w:r>
      <w:r w:rsidRPr="001064C6">
        <w:rPr>
          <w:rFonts w:ascii="Times New Roman" w:hAnsi="Times New Roman"/>
          <w:sz w:val="24"/>
          <w:szCs w:val="24"/>
        </w:rPr>
        <w:t xml:space="preserve">  The Academy is expected to assess its educational outcomes and report those findings to </w:t>
      </w:r>
      <w:r w:rsidR="005C0EF4">
        <w:rPr>
          <w:rFonts w:ascii="Times New Roman" w:hAnsi="Times New Roman"/>
          <w:sz w:val="24"/>
          <w:szCs w:val="24"/>
        </w:rPr>
        <w:t>the Middle States Commission on Higher Education (MSCHE), which is the r</w:t>
      </w:r>
      <w:r w:rsidRPr="001064C6">
        <w:rPr>
          <w:rFonts w:ascii="Times New Roman" w:hAnsi="Times New Roman"/>
          <w:sz w:val="24"/>
          <w:szCs w:val="24"/>
        </w:rPr>
        <w:t xml:space="preserve">egional </w:t>
      </w:r>
      <w:r w:rsidR="005C0EF4">
        <w:rPr>
          <w:rFonts w:ascii="Times New Roman" w:hAnsi="Times New Roman"/>
          <w:sz w:val="24"/>
          <w:szCs w:val="24"/>
        </w:rPr>
        <w:t>a</w:t>
      </w:r>
      <w:r w:rsidRPr="001064C6">
        <w:rPr>
          <w:rFonts w:ascii="Times New Roman" w:hAnsi="Times New Roman"/>
          <w:sz w:val="24"/>
          <w:szCs w:val="24"/>
        </w:rPr>
        <w:t>ccredit</w:t>
      </w:r>
      <w:r w:rsidR="005C0EF4">
        <w:rPr>
          <w:rFonts w:ascii="Times New Roman" w:hAnsi="Times New Roman"/>
          <w:sz w:val="24"/>
          <w:szCs w:val="24"/>
        </w:rPr>
        <w:t xml:space="preserve">ing body for the Academy.  </w:t>
      </w:r>
      <w:r w:rsidR="00103750">
        <w:rPr>
          <w:rFonts w:ascii="Times New Roman" w:hAnsi="Times New Roman"/>
          <w:sz w:val="24"/>
          <w:szCs w:val="24"/>
        </w:rPr>
        <w:t>The MSCHE</w:t>
      </w:r>
      <w:r w:rsidRPr="005C0EF4" w:rsidR="005C0EF4">
        <w:rPr>
          <w:rFonts w:ascii="Times New Roman" w:hAnsi="Times New Roman"/>
          <w:sz w:val="24"/>
          <w:szCs w:val="24"/>
        </w:rPr>
        <w:t xml:space="preserve"> is recognized by the U.S. Secretary of Education to accredit degree-granting institutions</w:t>
      </w:r>
      <w:r w:rsidR="005C0EF4">
        <w:rPr>
          <w:rFonts w:ascii="Times New Roman" w:hAnsi="Times New Roman"/>
          <w:sz w:val="24"/>
          <w:szCs w:val="24"/>
        </w:rPr>
        <w:t xml:space="preserve">.  </w:t>
      </w:r>
      <w:r w:rsidR="00E46C69">
        <w:rPr>
          <w:rFonts w:ascii="Times New Roman" w:hAnsi="Times New Roman"/>
          <w:sz w:val="24"/>
          <w:szCs w:val="24"/>
        </w:rPr>
        <w:t>Thus,</w:t>
      </w:r>
      <w:r w:rsidR="00173699">
        <w:rPr>
          <w:rFonts w:ascii="Times New Roman" w:hAnsi="Times New Roman"/>
          <w:sz w:val="24"/>
          <w:szCs w:val="24"/>
        </w:rPr>
        <w:t xml:space="preserve"> the Academy is required to conduct periodic surveys </w:t>
      </w:r>
      <w:r w:rsidRPr="00173699" w:rsidR="00173699">
        <w:rPr>
          <w:rFonts w:ascii="Times New Roman" w:hAnsi="Times New Roman"/>
          <w:sz w:val="24"/>
          <w:szCs w:val="24"/>
        </w:rPr>
        <w:t>of alumni cohorts and</w:t>
      </w:r>
      <w:r w:rsidR="00103750">
        <w:rPr>
          <w:rFonts w:ascii="Times New Roman" w:hAnsi="Times New Roman"/>
          <w:sz w:val="24"/>
          <w:szCs w:val="24"/>
        </w:rPr>
        <w:t xml:space="preserve"> data</w:t>
      </w:r>
      <w:r w:rsidRPr="00173699" w:rsidR="00173699">
        <w:rPr>
          <w:rFonts w:ascii="Times New Roman" w:hAnsi="Times New Roman"/>
          <w:sz w:val="24"/>
          <w:szCs w:val="24"/>
        </w:rPr>
        <w:t xml:space="preserve"> analysis</w:t>
      </w:r>
      <w:r w:rsidR="00103750">
        <w:rPr>
          <w:rFonts w:ascii="Times New Roman" w:hAnsi="Times New Roman"/>
          <w:sz w:val="24"/>
          <w:szCs w:val="24"/>
        </w:rPr>
        <w:t xml:space="preserve">, </w:t>
      </w:r>
      <w:r w:rsidR="006F2089">
        <w:rPr>
          <w:rFonts w:ascii="Times New Roman" w:hAnsi="Times New Roman"/>
          <w:sz w:val="24"/>
          <w:szCs w:val="24"/>
        </w:rPr>
        <w:t xml:space="preserve">in order </w:t>
      </w:r>
      <w:r w:rsidR="00173699">
        <w:rPr>
          <w:rFonts w:ascii="Times New Roman" w:hAnsi="Times New Roman"/>
          <w:sz w:val="24"/>
          <w:szCs w:val="24"/>
        </w:rPr>
        <w:t xml:space="preserve">to obtain the necessary information to meet these reporting requirements and </w:t>
      </w:r>
      <w:r w:rsidRPr="001064C6">
        <w:rPr>
          <w:rFonts w:ascii="Times New Roman" w:hAnsi="Times New Roman"/>
          <w:sz w:val="24"/>
          <w:szCs w:val="24"/>
        </w:rPr>
        <w:t xml:space="preserve">maintain </w:t>
      </w:r>
      <w:r w:rsidRPr="001064C6" w:rsidR="00E83364">
        <w:rPr>
          <w:rFonts w:ascii="Times New Roman" w:hAnsi="Times New Roman"/>
          <w:sz w:val="24"/>
          <w:szCs w:val="24"/>
        </w:rPr>
        <w:t xml:space="preserve">the institution’s </w:t>
      </w:r>
      <w:r w:rsidRPr="001064C6">
        <w:rPr>
          <w:rFonts w:ascii="Times New Roman" w:hAnsi="Times New Roman"/>
          <w:sz w:val="24"/>
          <w:szCs w:val="24"/>
        </w:rPr>
        <w:t xml:space="preserve">degree granting status.  </w:t>
      </w:r>
      <w:r w:rsidR="00173699">
        <w:rPr>
          <w:rFonts w:ascii="Times New Roman" w:hAnsi="Times New Roman"/>
          <w:sz w:val="24"/>
          <w:szCs w:val="24"/>
        </w:rPr>
        <w:t xml:space="preserve">This </w:t>
      </w:r>
      <w:r w:rsidR="00D41A27">
        <w:rPr>
          <w:rFonts w:ascii="Times New Roman" w:hAnsi="Times New Roman"/>
          <w:sz w:val="24"/>
          <w:szCs w:val="24"/>
        </w:rPr>
        <w:t xml:space="preserve">type of census </w:t>
      </w:r>
      <w:r w:rsidR="00173699">
        <w:rPr>
          <w:rFonts w:ascii="Times New Roman" w:hAnsi="Times New Roman"/>
          <w:sz w:val="24"/>
          <w:szCs w:val="24"/>
        </w:rPr>
        <w:t xml:space="preserve">survey is </w:t>
      </w:r>
      <w:r w:rsidRPr="001064C6">
        <w:rPr>
          <w:rFonts w:ascii="Times New Roman" w:hAnsi="Times New Roman"/>
          <w:sz w:val="24"/>
          <w:szCs w:val="24"/>
        </w:rPr>
        <w:t>a routine higher education assessment practice in the United States</w:t>
      </w:r>
      <w:r w:rsidR="00C35811">
        <w:rPr>
          <w:rFonts w:ascii="Times New Roman" w:hAnsi="Times New Roman"/>
          <w:sz w:val="24"/>
          <w:szCs w:val="24"/>
        </w:rPr>
        <w:t xml:space="preserve">.  This collection of information supports DOT’s Strategic Goal of </w:t>
      </w:r>
      <w:r w:rsidR="000014B1">
        <w:rPr>
          <w:rFonts w:ascii="Times New Roman" w:hAnsi="Times New Roman"/>
          <w:sz w:val="24"/>
          <w:szCs w:val="24"/>
        </w:rPr>
        <w:t>Security, Preparedness and Response</w:t>
      </w:r>
      <w:r w:rsidR="001A298C">
        <w:rPr>
          <w:rFonts w:ascii="Times New Roman" w:hAnsi="Times New Roman"/>
          <w:sz w:val="24"/>
          <w:szCs w:val="24"/>
        </w:rPr>
        <w:t xml:space="preserve"> by providing a means for graduates of the </w:t>
      </w:r>
      <w:r w:rsidR="0092463E">
        <w:rPr>
          <w:rFonts w:ascii="Times New Roman" w:hAnsi="Times New Roman"/>
          <w:sz w:val="24"/>
          <w:szCs w:val="24"/>
        </w:rPr>
        <w:t>Academy</w:t>
      </w:r>
      <w:r w:rsidR="001A298C">
        <w:rPr>
          <w:rFonts w:ascii="Times New Roman" w:hAnsi="Times New Roman"/>
          <w:sz w:val="24"/>
          <w:szCs w:val="24"/>
        </w:rPr>
        <w:t xml:space="preserve"> to provide feedback about </w:t>
      </w:r>
      <w:r w:rsidR="0092463E">
        <w:rPr>
          <w:rFonts w:ascii="Times New Roman" w:hAnsi="Times New Roman"/>
          <w:sz w:val="24"/>
          <w:szCs w:val="24"/>
        </w:rPr>
        <w:t>their experience and training</w:t>
      </w:r>
      <w:r w:rsidR="00135203">
        <w:rPr>
          <w:rFonts w:ascii="Times New Roman" w:hAnsi="Times New Roman"/>
          <w:sz w:val="24"/>
          <w:szCs w:val="24"/>
        </w:rPr>
        <w:t xml:space="preserve"> as personnel that </w:t>
      </w:r>
      <w:r w:rsidR="0092463E">
        <w:rPr>
          <w:rFonts w:ascii="Times New Roman" w:hAnsi="Times New Roman"/>
          <w:sz w:val="24"/>
          <w:szCs w:val="24"/>
        </w:rPr>
        <w:t xml:space="preserve">support </w:t>
      </w:r>
      <w:r w:rsidR="00135203">
        <w:rPr>
          <w:rFonts w:ascii="Times New Roman" w:hAnsi="Times New Roman"/>
          <w:sz w:val="24"/>
          <w:szCs w:val="24"/>
        </w:rPr>
        <w:t>United States</w:t>
      </w:r>
      <w:r w:rsidR="0092463E">
        <w:rPr>
          <w:rFonts w:ascii="Times New Roman" w:hAnsi="Times New Roman"/>
          <w:sz w:val="24"/>
          <w:szCs w:val="24"/>
        </w:rPr>
        <w:t xml:space="preserve"> emergency preparedness</w:t>
      </w:r>
      <w:r w:rsidR="00135203">
        <w:rPr>
          <w:rFonts w:ascii="Times New Roman" w:hAnsi="Times New Roman"/>
          <w:sz w:val="24"/>
          <w:szCs w:val="24"/>
        </w:rPr>
        <w:t xml:space="preserve"> effort</w:t>
      </w:r>
      <w:r w:rsidR="0092463E">
        <w:rPr>
          <w:rFonts w:ascii="Times New Roman" w:hAnsi="Times New Roman"/>
          <w:sz w:val="24"/>
          <w:szCs w:val="24"/>
        </w:rPr>
        <w:t xml:space="preserve"> across the maritime industry.</w:t>
      </w:r>
    </w:p>
    <w:p w:rsidR="00C35811" w:rsidRPr="00C35811" w:rsidP="00376118" w14:paraId="5C414AC7" w14:textId="77777777">
      <w:pPr>
        <w:pStyle w:val="TableText"/>
        <w:spacing w:before="0"/>
        <w:ind w:left="-360"/>
        <w:rPr>
          <w:rFonts w:ascii="Times New Roman" w:hAnsi="Times New Roman"/>
          <w:sz w:val="24"/>
          <w:szCs w:val="24"/>
          <w:u w:val="single"/>
        </w:rPr>
      </w:pPr>
    </w:p>
    <w:p w:rsidR="00C35811" w:rsidP="00D64550" w14:paraId="4FDE9B2B" w14:textId="77777777">
      <w:pPr>
        <w:numPr>
          <w:ilvl w:val="0"/>
          <w:numId w:val="22"/>
        </w:numPr>
        <w:tabs>
          <w:tab w:val="left" w:pos="-1440"/>
        </w:tabs>
        <w:spacing w:after="0" w:line="240" w:lineRule="auto"/>
        <w:ind w:left="720" w:hanging="360"/>
        <w:rPr>
          <w:rFonts w:ascii="Times New Roman" w:hAnsi="Times New Roman"/>
          <w:b/>
          <w:sz w:val="24"/>
          <w:szCs w:val="24"/>
        </w:rPr>
      </w:pPr>
      <w:r>
        <w:rPr>
          <w:rFonts w:ascii="Times New Roman" w:hAnsi="Times New Roman"/>
          <w:b/>
          <w:sz w:val="24"/>
          <w:szCs w:val="24"/>
        </w:rPr>
        <w:t>P</w:t>
      </w:r>
      <w:r w:rsidRPr="00C35811">
        <w:rPr>
          <w:rFonts w:ascii="Times New Roman" w:hAnsi="Times New Roman"/>
          <w:b/>
          <w:sz w:val="24"/>
          <w:szCs w:val="24"/>
        </w:rPr>
        <w:t>urpose</w:t>
      </w:r>
      <w:r>
        <w:rPr>
          <w:rFonts w:ascii="Times New Roman" w:hAnsi="Times New Roman"/>
          <w:b/>
          <w:sz w:val="24"/>
          <w:szCs w:val="24"/>
        </w:rPr>
        <w:t xml:space="preserve"> and Use of</w:t>
      </w:r>
      <w:r w:rsidRPr="00C35811">
        <w:rPr>
          <w:rFonts w:ascii="Times New Roman" w:hAnsi="Times New Roman"/>
          <w:b/>
          <w:sz w:val="24"/>
          <w:szCs w:val="24"/>
        </w:rPr>
        <w:t xml:space="preserve"> the </w:t>
      </w:r>
      <w:r>
        <w:rPr>
          <w:rFonts w:ascii="Times New Roman" w:hAnsi="Times New Roman"/>
          <w:b/>
          <w:sz w:val="24"/>
          <w:szCs w:val="24"/>
        </w:rPr>
        <w:t>I</w:t>
      </w:r>
      <w:r w:rsidRPr="00C35811">
        <w:rPr>
          <w:rFonts w:ascii="Times New Roman" w:hAnsi="Times New Roman"/>
          <w:b/>
          <w:sz w:val="24"/>
          <w:szCs w:val="24"/>
        </w:rPr>
        <w:t xml:space="preserve">nformation </w:t>
      </w:r>
      <w:r>
        <w:rPr>
          <w:rFonts w:ascii="Times New Roman" w:hAnsi="Times New Roman"/>
          <w:b/>
          <w:sz w:val="24"/>
          <w:szCs w:val="24"/>
        </w:rPr>
        <w:t>C</w:t>
      </w:r>
      <w:r w:rsidRPr="00C35811">
        <w:rPr>
          <w:rFonts w:ascii="Times New Roman" w:hAnsi="Times New Roman"/>
          <w:b/>
          <w:sz w:val="24"/>
          <w:szCs w:val="24"/>
        </w:rPr>
        <w:t>ollection.</w:t>
      </w:r>
    </w:p>
    <w:p w:rsidR="001E4660" w:rsidRPr="00C35811" w:rsidP="00376118" w14:paraId="29F3A986" w14:textId="77777777">
      <w:pPr>
        <w:tabs>
          <w:tab w:val="left" w:pos="-1440"/>
        </w:tabs>
        <w:spacing w:after="0" w:line="240" w:lineRule="auto"/>
        <w:ind w:left="720" w:hanging="720"/>
        <w:rPr>
          <w:rFonts w:ascii="Times New Roman" w:hAnsi="Times New Roman"/>
          <w:b/>
          <w:sz w:val="24"/>
          <w:szCs w:val="24"/>
        </w:rPr>
      </w:pPr>
    </w:p>
    <w:p w:rsidR="00110A78" w:rsidP="00F9767E" w14:paraId="03BB388C" w14:textId="77777777">
      <w:pPr>
        <w:pStyle w:val="TableText"/>
        <w:spacing w:before="0"/>
        <w:ind w:left="720"/>
        <w:rPr>
          <w:rFonts w:ascii="Times New Roman" w:hAnsi="Times New Roman"/>
          <w:sz w:val="24"/>
          <w:szCs w:val="24"/>
        </w:rPr>
      </w:pPr>
      <w:r w:rsidRPr="00D41A27">
        <w:rPr>
          <w:rFonts w:ascii="Times New Roman" w:hAnsi="Times New Roman"/>
          <w:sz w:val="24"/>
          <w:szCs w:val="24"/>
        </w:rPr>
        <w:t xml:space="preserve">The Academy will conduct an annual survey of its </w:t>
      </w:r>
      <w:r w:rsidR="007D3748">
        <w:rPr>
          <w:rFonts w:ascii="Times New Roman" w:hAnsi="Times New Roman"/>
          <w:sz w:val="24"/>
          <w:szCs w:val="24"/>
        </w:rPr>
        <w:t>one-year</w:t>
      </w:r>
      <w:r w:rsidRPr="00D41A27">
        <w:rPr>
          <w:rFonts w:ascii="Times New Roman" w:hAnsi="Times New Roman"/>
          <w:sz w:val="24"/>
          <w:szCs w:val="24"/>
        </w:rPr>
        <w:t>, five-year and ten-year alumni, consisting of approximately 6</w:t>
      </w:r>
      <w:r w:rsidR="00FB5634">
        <w:rPr>
          <w:rFonts w:ascii="Times New Roman" w:hAnsi="Times New Roman"/>
          <w:sz w:val="24"/>
          <w:szCs w:val="24"/>
        </w:rPr>
        <w:t>00</w:t>
      </w:r>
      <w:r w:rsidRPr="00D41A27">
        <w:rPr>
          <w:rFonts w:ascii="Times New Roman" w:hAnsi="Times New Roman"/>
          <w:sz w:val="24"/>
          <w:szCs w:val="24"/>
        </w:rPr>
        <w:t xml:space="preserve"> individuals each year.  The survey will be administered by the Office of Institutional Assessment.  The information gathered will be analyzed and used to measure </w:t>
      </w:r>
      <w:r w:rsidR="00917BD3">
        <w:rPr>
          <w:rFonts w:ascii="Times New Roman" w:hAnsi="Times New Roman"/>
          <w:sz w:val="24"/>
          <w:szCs w:val="24"/>
        </w:rPr>
        <w:t>the Academy’s success producing graduates who have attained</w:t>
      </w:r>
      <w:r w:rsidR="00173BA0">
        <w:rPr>
          <w:rFonts w:ascii="Times New Roman" w:hAnsi="Times New Roman"/>
          <w:sz w:val="24"/>
          <w:szCs w:val="24"/>
        </w:rPr>
        <w:t xml:space="preserve"> institutional and program </w:t>
      </w:r>
      <w:r w:rsidR="00917BD3">
        <w:rPr>
          <w:rFonts w:ascii="Times New Roman" w:hAnsi="Times New Roman"/>
          <w:sz w:val="24"/>
          <w:szCs w:val="24"/>
        </w:rPr>
        <w:t>learning outcomes</w:t>
      </w:r>
      <w:r w:rsidR="00173BA0">
        <w:rPr>
          <w:rFonts w:ascii="Times New Roman" w:hAnsi="Times New Roman"/>
          <w:sz w:val="24"/>
          <w:szCs w:val="24"/>
        </w:rPr>
        <w:t xml:space="preserve"> and </w:t>
      </w:r>
      <w:r w:rsidR="00917BD3">
        <w:rPr>
          <w:rFonts w:ascii="Times New Roman" w:hAnsi="Times New Roman"/>
          <w:sz w:val="24"/>
          <w:szCs w:val="24"/>
        </w:rPr>
        <w:t>are adequately prepared to enter the workforce</w:t>
      </w:r>
      <w:r w:rsidRPr="00D41A27">
        <w:rPr>
          <w:rFonts w:ascii="Times New Roman" w:hAnsi="Times New Roman"/>
          <w:sz w:val="24"/>
          <w:szCs w:val="24"/>
        </w:rPr>
        <w:t xml:space="preserve">.  The survey </w:t>
      </w:r>
      <w:r w:rsidRPr="00D41A27">
        <w:rPr>
          <w:rFonts w:ascii="Times New Roman" w:hAnsi="Times New Roman"/>
          <w:sz w:val="24"/>
          <w:szCs w:val="24"/>
        </w:rPr>
        <w:t xml:space="preserve">contains </w:t>
      </w:r>
      <w:r w:rsidR="00E46C69">
        <w:rPr>
          <w:rFonts w:ascii="Times New Roman" w:hAnsi="Times New Roman"/>
          <w:sz w:val="24"/>
          <w:szCs w:val="24"/>
        </w:rPr>
        <w:t>five</w:t>
      </w:r>
      <w:r w:rsidRPr="00D41A27">
        <w:rPr>
          <w:rFonts w:ascii="Times New Roman" w:hAnsi="Times New Roman"/>
          <w:sz w:val="24"/>
          <w:szCs w:val="24"/>
        </w:rPr>
        <w:t xml:space="preserve"> </w:t>
      </w:r>
      <w:r w:rsidR="00917BD3">
        <w:rPr>
          <w:rFonts w:ascii="Times New Roman" w:hAnsi="Times New Roman"/>
          <w:sz w:val="24"/>
          <w:szCs w:val="24"/>
        </w:rPr>
        <w:t>sections</w:t>
      </w:r>
      <w:r w:rsidRPr="00D41A27">
        <w:rPr>
          <w:rFonts w:ascii="Times New Roman" w:hAnsi="Times New Roman"/>
          <w:sz w:val="24"/>
          <w:szCs w:val="24"/>
        </w:rPr>
        <w:t xml:space="preserve"> with numbered queries related to each.  These </w:t>
      </w:r>
      <w:r w:rsidR="00917BD3">
        <w:rPr>
          <w:rFonts w:ascii="Times New Roman" w:hAnsi="Times New Roman"/>
          <w:sz w:val="24"/>
          <w:szCs w:val="24"/>
        </w:rPr>
        <w:t>sections</w:t>
      </w:r>
      <w:r w:rsidRPr="00D41A27">
        <w:rPr>
          <w:rFonts w:ascii="Times New Roman" w:hAnsi="Times New Roman"/>
          <w:sz w:val="24"/>
          <w:szCs w:val="24"/>
        </w:rPr>
        <w:t xml:space="preserve"> are: </w:t>
      </w:r>
      <w:r w:rsidR="007D3748">
        <w:rPr>
          <w:rFonts w:ascii="Times New Roman" w:hAnsi="Times New Roman"/>
          <w:sz w:val="24"/>
          <w:szCs w:val="24"/>
        </w:rPr>
        <w:t xml:space="preserve">1) </w:t>
      </w:r>
      <w:r w:rsidR="007D3748">
        <w:rPr>
          <w:rFonts w:ascii="Times New Roman" w:hAnsi="Times New Roman"/>
          <w:b/>
          <w:sz w:val="24"/>
          <w:szCs w:val="24"/>
        </w:rPr>
        <w:t xml:space="preserve">Continuing </w:t>
      </w:r>
      <w:r w:rsidRPr="007D3748" w:rsidR="007D3748">
        <w:rPr>
          <w:rFonts w:ascii="Times New Roman" w:hAnsi="Times New Roman"/>
          <w:b/>
          <w:sz w:val="24"/>
          <w:szCs w:val="24"/>
        </w:rPr>
        <w:t>Education</w:t>
      </w:r>
      <w:r w:rsidR="007D3748">
        <w:rPr>
          <w:rFonts w:ascii="Times New Roman" w:hAnsi="Times New Roman"/>
          <w:sz w:val="24"/>
          <w:szCs w:val="24"/>
        </w:rPr>
        <w:t>, which includes degrees and licenses obtained after graduation</w:t>
      </w:r>
      <w:r w:rsidR="00917BD3">
        <w:rPr>
          <w:rFonts w:ascii="Times New Roman" w:hAnsi="Times New Roman"/>
          <w:sz w:val="24"/>
          <w:szCs w:val="24"/>
        </w:rPr>
        <w:t xml:space="preserve"> with results to demonstrate life-long learning</w:t>
      </w:r>
      <w:r w:rsidR="007D3748">
        <w:rPr>
          <w:rFonts w:ascii="Times New Roman" w:hAnsi="Times New Roman"/>
          <w:sz w:val="24"/>
          <w:szCs w:val="24"/>
        </w:rPr>
        <w:t>; 2</w:t>
      </w:r>
      <w:r w:rsidRPr="00D41A27">
        <w:rPr>
          <w:rFonts w:ascii="Times New Roman" w:hAnsi="Times New Roman"/>
          <w:sz w:val="24"/>
          <w:szCs w:val="24"/>
        </w:rPr>
        <w:t xml:space="preserve">) </w:t>
      </w:r>
      <w:r w:rsidRPr="00EB238B">
        <w:rPr>
          <w:rFonts w:ascii="Times New Roman" w:hAnsi="Times New Roman"/>
          <w:b/>
          <w:sz w:val="24"/>
          <w:szCs w:val="24"/>
        </w:rPr>
        <w:t>Employment</w:t>
      </w:r>
      <w:r w:rsidR="007D3748">
        <w:rPr>
          <w:rFonts w:ascii="Times New Roman" w:hAnsi="Times New Roman"/>
          <w:b/>
          <w:sz w:val="24"/>
          <w:szCs w:val="24"/>
        </w:rPr>
        <w:t>,</w:t>
      </w:r>
      <w:r w:rsidRPr="00D41A27">
        <w:rPr>
          <w:rFonts w:ascii="Times New Roman" w:hAnsi="Times New Roman"/>
          <w:sz w:val="24"/>
          <w:szCs w:val="24"/>
        </w:rPr>
        <w:t xml:space="preserve"> which includes </w:t>
      </w:r>
      <w:r w:rsidR="00173BA0">
        <w:rPr>
          <w:rFonts w:ascii="Times New Roman" w:hAnsi="Times New Roman"/>
          <w:sz w:val="24"/>
          <w:szCs w:val="24"/>
        </w:rPr>
        <w:t xml:space="preserve">employment </w:t>
      </w:r>
      <w:r w:rsidRPr="00D41A27">
        <w:rPr>
          <w:rFonts w:ascii="Times New Roman" w:hAnsi="Times New Roman"/>
          <w:sz w:val="24"/>
          <w:szCs w:val="24"/>
        </w:rPr>
        <w:t xml:space="preserve">status, time to obtain employment, type of employment and position, </w:t>
      </w:r>
      <w:r>
        <w:rPr>
          <w:rFonts w:ascii="Times New Roman" w:hAnsi="Times New Roman"/>
          <w:sz w:val="24"/>
          <w:szCs w:val="24"/>
        </w:rPr>
        <w:t xml:space="preserve">and </w:t>
      </w:r>
      <w:r w:rsidR="00917BD3">
        <w:rPr>
          <w:rFonts w:ascii="Times New Roman" w:hAnsi="Times New Roman"/>
          <w:sz w:val="24"/>
          <w:szCs w:val="24"/>
        </w:rPr>
        <w:t xml:space="preserve">current </w:t>
      </w:r>
      <w:r w:rsidRPr="00D41A27">
        <w:rPr>
          <w:rFonts w:ascii="Times New Roman" w:hAnsi="Times New Roman"/>
          <w:sz w:val="24"/>
          <w:szCs w:val="24"/>
        </w:rPr>
        <w:t>salary</w:t>
      </w:r>
      <w:r>
        <w:rPr>
          <w:rFonts w:ascii="Times New Roman" w:hAnsi="Times New Roman"/>
          <w:sz w:val="24"/>
          <w:szCs w:val="24"/>
        </w:rPr>
        <w:t xml:space="preserve"> with results used to ensure job placement of graduates within the maritime industry</w:t>
      </w:r>
      <w:r w:rsidRPr="00D41A27">
        <w:rPr>
          <w:rFonts w:ascii="Times New Roman" w:hAnsi="Times New Roman"/>
          <w:sz w:val="24"/>
          <w:szCs w:val="24"/>
        </w:rPr>
        <w:t xml:space="preserve">; </w:t>
      </w:r>
      <w:r w:rsidR="007D3748">
        <w:rPr>
          <w:rFonts w:ascii="Times New Roman" w:hAnsi="Times New Roman"/>
          <w:sz w:val="24"/>
          <w:szCs w:val="24"/>
        </w:rPr>
        <w:t>3</w:t>
      </w:r>
      <w:r w:rsidRPr="00D41A27">
        <w:rPr>
          <w:rFonts w:ascii="Times New Roman" w:hAnsi="Times New Roman"/>
          <w:sz w:val="24"/>
          <w:szCs w:val="24"/>
        </w:rPr>
        <w:t xml:space="preserve">) </w:t>
      </w:r>
      <w:r w:rsidRPr="00E46C69" w:rsidR="00E46C69">
        <w:rPr>
          <w:rFonts w:ascii="Times New Roman" w:hAnsi="Times New Roman"/>
          <w:b/>
          <w:sz w:val="24"/>
          <w:szCs w:val="24"/>
        </w:rPr>
        <w:t>Sailing Experience</w:t>
      </w:r>
      <w:r w:rsidR="00E46C69">
        <w:rPr>
          <w:rFonts w:ascii="Times New Roman" w:hAnsi="Times New Roman"/>
          <w:sz w:val="24"/>
          <w:szCs w:val="24"/>
        </w:rPr>
        <w:t xml:space="preserve">, which includes whether the graduate </w:t>
      </w:r>
      <w:r w:rsidR="00917BD3">
        <w:rPr>
          <w:rFonts w:ascii="Times New Roman" w:hAnsi="Times New Roman"/>
          <w:sz w:val="24"/>
          <w:szCs w:val="24"/>
        </w:rPr>
        <w:t xml:space="preserve">has </w:t>
      </w:r>
      <w:r w:rsidR="00E46C69">
        <w:rPr>
          <w:rFonts w:ascii="Times New Roman" w:hAnsi="Times New Roman"/>
          <w:sz w:val="24"/>
          <w:szCs w:val="24"/>
        </w:rPr>
        <w:t>sailed or is sailing on their US Coast Guard license and if so, on which types of vessels</w:t>
      </w:r>
      <w:r w:rsidR="00917BD3">
        <w:rPr>
          <w:rFonts w:ascii="Times New Roman" w:hAnsi="Times New Roman"/>
          <w:sz w:val="24"/>
          <w:szCs w:val="24"/>
        </w:rPr>
        <w:t xml:space="preserve"> with results used to ensure the modernization of the curriculum</w:t>
      </w:r>
      <w:r w:rsidR="00E46C69">
        <w:rPr>
          <w:rFonts w:ascii="Times New Roman" w:hAnsi="Times New Roman"/>
          <w:sz w:val="24"/>
          <w:szCs w:val="24"/>
        </w:rPr>
        <w:t xml:space="preserve">; 4) </w:t>
      </w:r>
      <w:r w:rsidR="007219A0">
        <w:rPr>
          <w:rFonts w:ascii="Times New Roman" w:hAnsi="Times New Roman"/>
          <w:b/>
          <w:sz w:val="24"/>
          <w:szCs w:val="24"/>
        </w:rPr>
        <w:t>Learning Outcomes</w:t>
      </w:r>
      <w:r w:rsidRPr="00EB238B">
        <w:rPr>
          <w:rFonts w:ascii="Times New Roman" w:hAnsi="Times New Roman"/>
          <w:b/>
          <w:sz w:val="24"/>
          <w:szCs w:val="24"/>
        </w:rPr>
        <w:t xml:space="preserve"> Assessment</w:t>
      </w:r>
      <w:r w:rsidR="007219A0">
        <w:rPr>
          <w:rFonts w:ascii="Times New Roman" w:hAnsi="Times New Roman"/>
          <w:b/>
          <w:sz w:val="24"/>
          <w:szCs w:val="24"/>
        </w:rPr>
        <w:t>,</w:t>
      </w:r>
      <w:r w:rsidRPr="00D41A27">
        <w:rPr>
          <w:rFonts w:ascii="Times New Roman" w:hAnsi="Times New Roman"/>
          <w:sz w:val="24"/>
          <w:szCs w:val="24"/>
        </w:rPr>
        <w:t xml:space="preserve"> which </w:t>
      </w:r>
      <w:r w:rsidR="00917BD3">
        <w:rPr>
          <w:rFonts w:ascii="Times New Roman" w:hAnsi="Times New Roman"/>
          <w:sz w:val="24"/>
          <w:szCs w:val="24"/>
        </w:rPr>
        <w:t>evaluates</w:t>
      </w:r>
      <w:r w:rsidR="00E46C69">
        <w:rPr>
          <w:rFonts w:ascii="Times New Roman" w:hAnsi="Times New Roman"/>
          <w:sz w:val="24"/>
          <w:szCs w:val="24"/>
        </w:rPr>
        <w:t xml:space="preserve"> the graduate’s</w:t>
      </w:r>
      <w:r w:rsidRPr="00D41A27">
        <w:rPr>
          <w:rFonts w:ascii="Times New Roman" w:hAnsi="Times New Roman"/>
          <w:sz w:val="24"/>
          <w:szCs w:val="24"/>
        </w:rPr>
        <w:t xml:space="preserve"> </w:t>
      </w:r>
      <w:r w:rsidR="00917BD3">
        <w:rPr>
          <w:rFonts w:ascii="Times New Roman" w:hAnsi="Times New Roman"/>
          <w:sz w:val="24"/>
          <w:szCs w:val="24"/>
        </w:rPr>
        <w:t xml:space="preserve">perceived </w:t>
      </w:r>
      <w:r w:rsidR="007219A0">
        <w:rPr>
          <w:rFonts w:ascii="Times New Roman" w:hAnsi="Times New Roman"/>
          <w:sz w:val="24"/>
          <w:szCs w:val="24"/>
        </w:rPr>
        <w:t xml:space="preserve">attainment of the </w:t>
      </w:r>
      <w:r w:rsidRPr="00D41A27">
        <w:rPr>
          <w:rFonts w:ascii="Times New Roman" w:hAnsi="Times New Roman"/>
          <w:sz w:val="24"/>
          <w:szCs w:val="24"/>
        </w:rPr>
        <w:t xml:space="preserve">Academy’s </w:t>
      </w:r>
      <w:r w:rsidR="007219A0">
        <w:rPr>
          <w:rFonts w:ascii="Times New Roman" w:hAnsi="Times New Roman"/>
          <w:sz w:val="24"/>
          <w:szCs w:val="24"/>
        </w:rPr>
        <w:t xml:space="preserve">institutional and program learning outcomes </w:t>
      </w:r>
      <w:r w:rsidRPr="00D41A27">
        <w:rPr>
          <w:rFonts w:ascii="Times New Roman" w:hAnsi="Times New Roman"/>
          <w:sz w:val="24"/>
          <w:szCs w:val="24"/>
        </w:rPr>
        <w:t xml:space="preserve">with results used to modify or improve the curriculum; and </w:t>
      </w:r>
      <w:r w:rsidR="00E46C69">
        <w:rPr>
          <w:rFonts w:ascii="Times New Roman" w:hAnsi="Times New Roman"/>
          <w:sz w:val="24"/>
          <w:szCs w:val="24"/>
        </w:rPr>
        <w:t>5</w:t>
      </w:r>
      <w:r w:rsidRPr="00D41A27">
        <w:rPr>
          <w:rFonts w:ascii="Times New Roman" w:hAnsi="Times New Roman"/>
          <w:sz w:val="24"/>
          <w:szCs w:val="24"/>
        </w:rPr>
        <w:t xml:space="preserve">) </w:t>
      </w:r>
      <w:r w:rsidR="007219A0">
        <w:rPr>
          <w:rFonts w:ascii="Times New Roman" w:hAnsi="Times New Roman"/>
          <w:b/>
          <w:sz w:val="24"/>
          <w:szCs w:val="24"/>
        </w:rPr>
        <w:t>Overall Academic Experience,</w:t>
      </w:r>
      <w:r w:rsidRPr="00D41A27">
        <w:rPr>
          <w:rFonts w:ascii="Times New Roman" w:hAnsi="Times New Roman"/>
          <w:sz w:val="24"/>
          <w:szCs w:val="24"/>
        </w:rPr>
        <w:t xml:space="preserve"> which surveys the quality of the program in preparing students for today’s workforce in a domestic and international environment</w:t>
      </w:r>
      <w:r w:rsidR="00917BD3">
        <w:rPr>
          <w:rFonts w:ascii="Times New Roman" w:hAnsi="Times New Roman"/>
          <w:sz w:val="24"/>
          <w:szCs w:val="24"/>
        </w:rPr>
        <w:t xml:space="preserve"> with results to ensure the Academy continues to meet its mission</w:t>
      </w:r>
      <w:r w:rsidRPr="00D41A27">
        <w:rPr>
          <w:rFonts w:ascii="Times New Roman" w:hAnsi="Times New Roman"/>
          <w:sz w:val="24"/>
          <w:szCs w:val="24"/>
        </w:rPr>
        <w:t xml:space="preserve">.  Summary of findings will serve as supporting evidence to inform senior leadership </w:t>
      </w:r>
      <w:r>
        <w:rPr>
          <w:rFonts w:ascii="Times New Roman" w:hAnsi="Times New Roman"/>
          <w:sz w:val="24"/>
          <w:szCs w:val="24"/>
        </w:rPr>
        <w:t>with</w:t>
      </w:r>
      <w:r w:rsidRPr="00D41A27">
        <w:rPr>
          <w:rFonts w:ascii="Times New Roman" w:hAnsi="Times New Roman"/>
          <w:sz w:val="24"/>
          <w:szCs w:val="24"/>
        </w:rPr>
        <w:t xml:space="preserve"> decision-making </w:t>
      </w:r>
      <w:r>
        <w:rPr>
          <w:rFonts w:ascii="Times New Roman" w:hAnsi="Times New Roman"/>
          <w:sz w:val="24"/>
          <w:szCs w:val="24"/>
        </w:rPr>
        <w:t>on</w:t>
      </w:r>
      <w:r w:rsidRPr="00D41A27">
        <w:rPr>
          <w:rFonts w:ascii="Times New Roman" w:hAnsi="Times New Roman"/>
          <w:sz w:val="24"/>
          <w:szCs w:val="24"/>
        </w:rPr>
        <w:t xml:space="preserve"> the curriculum and allocation of resources</w:t>
      </w:r>
      <w:r>
        <w:rPr>
          <w:rFonts w:ascii="Times New Roman" w:hAnsi="Times New Roman"/>
          <w:sz w:val="24"/>
          <w:szCs w:val="24"/>
        </w:rPr>
        <w:t>, and</w:t>
      </w:r>
      <w:r w:rsidRPr="00D41A27">
        <w:rPr>
          <w:rFonts w:ascii="Times New Roman" w:hAnsi="Times New Roman"/>
          <w:sz w:val="24"/>
          <w:szCs w:val="24"/>
        </w:rPr>
        <w:t xml:space="preserve"> in meeting the criteria established </w:t>
      </w:r>
      <w:r w:rsidR="00E46C69">
        <w:rPr>
          <w:rFonts w:ascii="Times New Roman" w:hAnsi="Times New Roman"/>
          <w:sz w:val="24"/>
          <w:szCs w:val="24"/>
        </w:rPr>
        <w:t>for accreditation</w:t>
      </w:r>
      <w:r w:rsidRPr="00D41A27">
        <w:rPr>
          <w:rFonts w:ascii="Times New Roman" w:hAnsi="Times New Roman"/>
          <w:sz w:val="24"/>
          <w:szCs w:val="24"/>
        </w:rPr>
        <w:t xml:space="preserve"> by demonstrating continuous improvement</w:t>
      </w:r>
      <w:r>
        <w:rPr>
          <w:rFonts w:ascii="Times New Roman" w:hAnsi="Times New Roman"/>
          <w:sz w:val="24"/>
          <w:szCs w:val="24"/>
        </w:rPr>
        <w:t>.</w:t>
      </w:r>
    </w:p>
    <w:p w:rsidR="00DB2D72" w:rsidRPr="00614A41" w:rsidP="003363E7" w14:paraId="4075158C" w14:textId="77777777">
      <w:pPr>
        <w:pStyle w:val="TableText"/>
        <w:spacing w:before="0"/>
        <w:ind w:left="720" w:firstLine="110"/>
        <w:rPr>
          <w:rFonts w:ascii="Times New Roman" w:hAnsi="Times New Roman"/>
          <w:sz w:val="24"/>
          <w:szCs w:val="24"/>
          <w:u w:val="single"/>
        </w:rPr>
      </w:pPr>
    </w:p>
    <w:p w:rsidR="000014B1" w:rsidP="00D64550" w14:paraId="66C868A9" w14:textId="77777777">
      <w:pPr>
        <w:numPr>
          <w:ilvl w:val="0"/>
          <w:numId w:val="22"/>
        </w:numPr>
        <w:tabs>
          <w:tab w:val="left" w:pos="-1440"/>
        </w:tabs>
        <w:spacing w:after="0" w:line="240" w:lineRule="auto"/>
        <w:ind w:left="720" w:hanging="360"/>
        <w:rPr>
          <w:rFonts w:ascii="Times New Roman" w:hAnsi="Times New Roman"/>
          <w:b/>
          <w:sz w:val="24"/>
          <w:szCs w:val="24"/>
        </w:rPr>
      </w:pPr>
      <w:r>
        <w:rPr>
          <w:rFonts w:ascii="Times New Roman" w:hAnsi="Times New Roman"/>
          <w:b/>
          <w:sz w:val="24"/>
          <w:szCs w:val="24"/>
        </w:rPr>
        <w:t>Automation or Use of I</w:t>
      </w:r>
      <w:r w:rsidRPr="00614A41">
        <w:rPr>
          <w:rFonts w:ascii="Times New Roman" w:hAnsi="Times New Roman"/>
          <w:b/>
          <w:sz w:val="24"/>
          <w:szCs w:val="24"/>
        </w:rPr>
        <w:t xml:space="preserve">nformation </w:t>
      </w:r>
      <w:r>
        <w:rPr>
          <w:rFonts w:ascii="Times New Roman" w:hAnsi="Times New Roman"/>
          <w:b/>
          <w:sz w:val="24"/>
          <w:szCs w:val="24"/>
        </w:rPr>
        <w:t>T</w:t>
      </w:r>
      <w:r w:rsidRPr="00614A41">
        <w:rPr>
          <w:rFonts w:ascii="Times New Roman" w:hAnsi="Times New Roman"/>
          <w:b/>
          <w:sz w:val="24"/>
          <w:szCs w:val="24"/>
        </w:rPr>
        <w:t xml:space="preserve">echnology </w:t>
      </w:r>
      <w:r>
        <w:rPr>
          <w:rFonts w:ascii="Times New Roman" w:hAnsi="Times New Roman"/>
          <w:b/>
          <w:sz w:val="24"/>
          <w:szCs w:val="24"/>
        </w:rPr>
        <w:t>(IT)</w:t>
      </w:r>
    </w:p>
    <w:p w:rsidR="001E4660" w:rsidRPr="00614A41" w:rsidP="00376118" w14:paraId="3163FC34" w14:textId="77777777">
      <w:pPr>
        <w:tabs>
          <w:tab w:val="left" w:pos="-1440"/>
        </w:tabs>
        <w:spacing w:after="0" w:line="240" w:lineRule="auto"/>
        <w:ind w:left="720" w:hanging="720"/>
        <w:rPr>
          <w:rFonts w:ascii="Times New Roman" w:hAnsi="Times New Roman"/>
          <w:b/>
          <w:sz w:val="24"/>
          <w:szCs w:val="24"/>
        </w:rPr>
      </w:pPr>
    </w:p>
    <w:p w:rsidR="0092463E" w:rsidP="00376118" w14:paraId="63CF2471" w14:textId="77777777">
      <w:pPr>
        <w:pStyle w:val="ListParagraph"/>
        <w:spacing w:after="0" w:line="240" w:lineRule="auto"/>
        <w:rPr>
          <w:rFonts w:ascii="Times New Roman" w:hAnsi="Times New Roman"/>
          <w:sz w:val="24"/>
          <w:szCs w:val="24"/>
        </w:rPr>
      </w:pPr>
      <w:r w:rsidRPr="007219A0">
        <w:rPr>
          <w:rFonts w:ascii="Times New Roman" w:hAnsi="Times New Roman"/>
          <w:sz w:val="24"/>
          <w:szCs w:val="24"/>
        </w:rPr>
        <w:t>This information collection involve</w:t>
      </w:r>
      <w:r w:rsidRPr="007219A0" w:rsidR="001E4660">
        <w:rPr>
          <w:rFonts w:ascii="Times New Roman" w:hAnsi="Times New Roman"/>
          <w:sz w:val="24"/>
          <w:szCs w:val="24"/>
        </w:rPr>
        <w:t xml:space="preserve">s </w:t>
      </w:r>
      <w:r>
        <w:rPr>
          <w:rFonts w:ascii="Times New Roman" w:hAnsi="Times New Roman"/>
          <w:sz w:val="24"/>
          <w:szCs w:val="24"/>
        </w:rPr>
        <w:t xml:space="preserve">the </w:t>
      </w:r>
      <w:r w:rsidRPr="007219A0">
        <w:rPr>
          <w:rFonts w:ascii="Times New Roman" w:hAnsi="Times New Roman"/>
          <w:sz w:val="24"/>
          <w:szCs w:val="24"/>
        </w:rPr>
        <w:t>use of automated</w:t>
      </w:r>
      <w:r w:rsidRPr="007219A0" w:rsidR="001E4660">
        <w:rPr>
          <w:rFonts w:ascii="Times New Roman" w:hAnsi="Times New Roman"/>
          <w:sz w:val="24"/>
          <w:szCs w:val="24"/>
        </w:rPr>
        <w:t>/</w:t>
      </w:r>
      <w:r w:rsidRPr="007219A0">
        <w:rPr>
          <w:rFonts w:ascii="Times New Roman" w:hAnsi="Times New Roman"/>
          <w:sz w:val="24"/>
          <w:szCs w:val="24"/>
        </w:rPr>
        <w:t>electronic</w:t>
      </w:r>
      <w:r w:rsidRPr="007219A0" w:rsidR="001E4660">
        <w:rPr>
          <w:rFonts w:ascii="Times New Roman" w:hAnsi="Times New Roman"/>
          <w:sz w:val="24"/>
          <w:szCs w:val="24"/>
        </w:rPr>
        <w:t xml:space="preserve"> </w:t>
      </w:r>
      <w:r w:rsidRPr="007219A0">
        <w:rPr>
          <w:rFonts w:ascii="Times New Roman" w:hAnsi="Times New Roman"/>
          <w:sz w:val="24"/>
          <w:szCs w:val="24"/>
        </w:rPr>
        <w:t xml:space="preserve">collection </w:t>
      </w:r>
      <w:r w:rsidRPr="007219A0" w:rsidR="00742449">
        <w:rPr>
          <w:rFonts w:ascii="Times New Roman" w:hAnsi="Times New Roman"/>
          <w:sz w:val="24"/>
          <w:szCs w:val="24"/>
        </w:rPr>
        <w:t>techniques</w:t>
      </w:r>
      <w:r w:rsidR="00742449">
        <w:rPr>
          <w:rFonts w:ascii="Times New Roman" w:hAnsi="Times New Roman"/>
          <w:sz w:val="24"/>
          <w:szCs w:val="24"/>
        </w:rPr>
        <w:t xml:space="preserve"> and</w:t>
      </w:r>
      <w:r>
        <w:rPr>
          <w:rFonts w:ascii="Times New Roman" w:hAnsi="Times New Roman"/>
          <w:sz w:val="24"/>
          <w:szCs w:val="24"/>
        </w:rPr>
        <w:t xml:space="preserve"> is conducted entirely through the Survey Monkey platform.</w:t>
      </w:r>
    </w:p>
    <w:p w:rsidR="001E4660" w:rsidRPr="001064C6" w:rsidP="00376118" w14:paraId="1CB5DCD1" w14:textId="77777777">
      <w:pPr>
        <w:pStyle w:val="ListParagraph"/>
        <w:spacing w:after="0" w:line="240" w:lineRule="auto"/>
        <w:rPr>
          <w:rFonts w:ascii="Times New Roman" w:hAnsi="Times New Roman"/>
          <w:sz w:val="24"/>
          <w:szCs w:val="24"/>
        </w:rPr>
      </w:pPr>
    </w:p>
    <w:p w:rsidR="00924311" w:rsidP="00D64550" w14:paraId="07E508A2" w14:textId="77777777">
      <w:pPr>
        <w:numPr>
          <w:ilvl w:val="0"/>
          <w:numId w:val="22"/>
        </w:numPr>
        <w:tabs>
          <w:tab w:val="left" w:pos="-1440"/>
        </w:tabs>
        <w:spacing w:after="0" w:line="240" w:lineRule="auto"/>
        <w:ind w:left="720" w:hanging="360"/>
        <w:rPr>
          <w:rFonts w:ascii="Times New Roman" w:hAnsi="Times New Roman"/>
          <w:b/>
          <w:sz w:val="24"/>
          <w:szCs w:val="24"/>
        </w:rPr>
      </w:pPr>
      <w:r>
        <w:rPr>
          <w:rFonts w:ascii="Times New Roman" w:hAnsi="Times New Roman"/>
          <w:b/>
          <w:sz w:val="24"/>
          <w:szCs w:val="24"/>
        </w:rPr>
        <w:t>E</w:t>
      </w:r>
      <w:r w:rsidRPr="00622A9C" w:rsidR="00622A9C">
        <w:rPr>
          <w:rFonts w:ascii="Times New Roman" w:hAnsi="Times New Roman"/>
          <w:b/>
          <w:sz w:val="24"/>
          <w:szCs w:val="24"/>
        </w:rPr>
        <w:t xml:space="preserve">fforts to </w:t>
      </w:r>
      <w:r>
        <w:rPr>
          <w:rFonts w:ascii="Times New Roman" w:hAnsi="Times New Roman"/>
          <w:b/>
          <w:sz w:val="24"/>
          <w:szCs w:val="24"/>
        </w:rPr>
        <w:t>I</w:t>
      </w:r>
      <w:r w:rsidRPr="00622A9C">
        <w:rPr>
          <w:rFonts w:ascii="Times New Roman" w:hAnsi="Times New Roman"/>
          <w:b/>
          <w:sz w:val="24"/>
          <w:szCs w:val="24"/>
        </w:rPr>
        <w:t xml:space="preserve">dentify </w:t>
      </w:r>
      <w:r>
        <w:rPr>
          <w:rFonts w:ascii="Times New Roman" w:hAnsi="Times New Roman"/>
          <w:b/>
          <w:sz w:val="24"/>
          <w:szCs w:val="24"/>
        </w:rPr>
        <w:t>D</w:t>
      </w:r>
      <w:r w:rsidRPr="00622A9C">
        <w:rPr>
          <w:rFonts w:ascii="Times New Roman" w:hAnsi="Times New Roman"/>
          <w:b/>
          <w:sz w:val="24"/>
          <w:szCs w:val="24"/>
        </w:rPr>
        <w:t>uplication</w:t>
      </w:r>
    </w:p>
    <w:p w:rsidR="001E4660" w:rsidRPr="00622A9C" w:rsidP="00376118" w14:paraId="7888E5FF" w14:textId="77777777">
      <w:pPr>
        <w:tabs>
          <w:tab w:val="left" w:pos="-1440"/>
        </w:tabs>
        <w:spacing w:after="0" w:line="240" w:lineRule="auto"/>
        <w:ind w:left="720" w:hanging="720"/>
        <w:rPr>
          <w:rFonts w:ascii="Times New Roman" w:hAnsi="Times New Roman"/>
          <w:b/>
          <w:sz w:val="24"/>
          <w:szCs w:val="24"/>
        </w:rPr>
      </w:pPr>
    </w:p>
    <w:p w:rsidR="00742449" w:rsidP="00376118" w14:paraId="36EC5BDA" w14:textId="77777777">
      <w:pPr>
        <w:pStyle w:val="ListParagraph"/>
        <w:spacing w:after="0" w:line="240" w:lineRule="auto"/>
        <w:ind w:left="360" w:firstLine="360"/>
        <w:rPr>
          <w:rFonts w:ascii="Times New Roman" w:hAnsi="Times New Roman"/>
          <w:sz w:val="24"/>
          <w:szCs w:val="24"/>
        </w:rPr>
      </w:pPr>
      <w:r>
        <w:rPr>
          <w:rFonts w:ascii="Times New Roman" w:hAnsi="Times New Roman"/>
          <w:sz w:val="24"/>
          <w:szCs w:val="24"/>
        </w:rPr>
        <w:t>There is no duplication of effort with this collection, as s</w:t>
      </w:r>
      <w:r w:rsidRPr="001064C6" w:rsidR="00DB2D72">
        <w:rPr>
          <w:rFonts w:ascii="Times New Roman" w:hAnsi="Times New Roman"/>
          <w:sz w:val="24"/>
          <w:szCs w:val="24"/>
        </w:rPr>
        <w:t xml:space="preserve">imilar information is not </w:t>
      </w:r>
    </w:p>
    <w:p w:rsidR="00DB2D72" w:rsidP="00742449" w14:paraId="248C898C" w14:textId="77777777">
      <w:pPr>
        <w:pStyle w:val="ListParagraph"/>
        <w:spacing w:after="0" w:line="240" w:lineRule="auto"/>
        <w:ind w:left="360" w:firstLine="360"/>
        <w:rPr>
          <w:rFonts w:ascii="Times New Roman" w:hAnsi="Times New Roman"/>
          <w:sz w:val="24"/>
          <w:szCs w:val="24"/>
        </w:rPr>
      </w:pPr>
      <w:r>
        <w:rPr>
          <w:rFonts w:ascii="Times New Roman" w:hAnsi="Times New Roman"/>
          <w:sz w:val="24"/>
          <w:szCs w:val="24"/>
        </w:rPr>
        <w:t xml:space="preserve">currently </w:t>
      </w:r>
      <w:r w:rsidRPr="001064C6">
        <w:rPr>
          <w:rFonts w:ascii="Times New Roman" w:hAnsi="Times New Roman"/>
          <w:sz w:val="24"/>
          <w:szCs w:val="24"/>
        </w:rPr>
        <w:t>gathered by any other entity.</w:t>
      </w:r>
    </w:p>
    <w:p w:rsidR="001E4660" w:rsidRPr="001064C6" w:rsidP="00376118" w14:paraId="3E85810C" w14:textId="77777777">
      <w:pPr>
        <w:pStyle w:val="ListParagraph"/>
        <w:spacing w:after="0" w:line="240" w:lineRule="auto"/>
        <w:ind w:left="360" w:firstLine="360"/>
        <w:rPr>
          <w:rFonts w:ascii="Times New Roman" w:hAnsi="Times New Roman"/>
          <w:sz w:val="24"/>
          <w:szCs w:val="24"/>
        </w:rPr>
      </w:pPr>
    </w:p>
    <w:p w:rsidR="00F65A69" w:rsidP="003363E7" w14:paraId="22B48440" w14:textId="77777777">
      <w:pPr>
        <w:numPr>
          <w:ilvl w:val="0"/>
          <w:numId w:val="22"/>
        </w:numPr>
        <w:tabs>
          <w:tab w:val="left" w:pos="-1440"/>
        </w:tabs>
        <w:spacing w:after="0" w:line="240" w:lineRule="auto"/>
        <w:ind w:left="720" w:hanging="360"/>
        <w:rPr>
          <w:rFonts w:ascii="Times New Roman" w:hAnsi="Times New Roman"/>
          <w:b/>
          <w:sz w:val="24"/>
          <w:szCs w:val="24"/>
        </w:rPr>
      </w:pPr>
      <w:r w:rsidRPr="00F65A69">
        <w:rPr>
          <w:rFonts w:ascii="Times New Roman" w:hAnsi="Times New Roman"/>
          <w:b/>
          <w:sz w:val="24"/>
          <w:szCs w:val="24"/>
        </w:rPr>
        <w:t>Impact on S</w:t>
      </w:r>
      <w:r w:rsidRPr="00F65A69" w:rsidR="00622A9C">
        <w:rPr>
          <w:rFonts w:ascii="Times New Roman" w:hAnsi="Times New Roman"/>
          <w:b/>
          <w:sz w:val="24"/>
          <w:szCs w:val="24"/>
        </w:rPr>
        <w:t xml:space="preserve">mall </w:t>
      </w:r>
      <w:r w:rsidRPr="00F65A69">
        <w:rPr>
          <w:rFonts w:ascii="Times New Roman" w:hAnsi="Times New Roman"/>
          <w:b/>
          <w:sz w:val="24"/>
          <w:szCs w:val="24"/>
        </w:rPr>
        <w:t xml:space="preserve">Businesses </w:t>
      </w:r>
      <w:r w:rsidRPr="00F65A69" w:rsidR="00622A9C">
        <w:rPr>
          <w:rFonts w:ascii="Times New Roman" w:hAnsi="Times New Roman"/>
          <w:b/>
          <w:sz w:val="24"/>
          <w:szCs w:val="24"/>
        </w:rPr>
        <w:t xml:space="preserve">or </w:t>
      </w:r>
      <w:r w:rsidRPr="00F65A69">
        <w:rPr>
          <w:rFonts w:ascii="Times New Roman" w:hAnsi="Times New Roman"/>
          <w:b/>
          <w:sz w:val="24"/>
          <w:szCs w:val="24"/>
        </w:rPr>
        <w:t>Other Small Entities</w:t>
      </w:r>
    </w:p>
    <w:p w:rsidR="001E4660" w:rsidRPr="00F65A69" w:rsidP="003363E7" w14:paraId="02424B65" w14:textId="77777777">
      <w:pPr>
        <w:tabs>
          <w:tab w:val="left" w:pos="-1440"/>
        </w:tabs>
        <w:spacing w:after="0" w:line="240" w:lineRule="auto"/>
        <w:ind w:left="720"/>
        <w:rPr>
          <w:rFonts w:ascii="Times New Roman" w:hAnsi="Times New Roman"/>
          <w:b/>
          <w:sz w:val="24"/>
          <w:szCs w:val="24"/>
        </w:rPr>
      </w:pPr>
    </w:p>
    <w:p w:rsidR="00F65A69" w:rsidP="00376118" w14:paraId="44530163" w14:textId="77777777">
      <w:pPr>
        <w:pStyle w:val="ListParagraph"/>
        <w:spacing w:after="0" w:line="240" w:lineRule="auto"/>
        <w:ind w:left="360" w:firstLine="360"/>
        <w:rPr>
          <w:rFonts w:ascii="Times New Roman" w:hAnsi="Times New Roman"/>
          <w:sz w:val="24"/>
          <w:szCs w:val="24"/>
        </w:rPr>
      </w:pPr>
      <w:r w:rsidRPr="00614A41">
        <w:rPr>
          <w:rFonts w:ascii="Times New Roman" w:hAnsi="Times New Roman"/>
          <w:sz w:val="24"/>
          <w:szCs w:val="24"/>
        </w:rPr>
        <w:t>T</w:t>
      </w:r>
      <w:r w:rsidRPr="00614A41" w:rsidR="00DB2D72">
        <w:rPr>
          <w:rFonts w:ascii="Times New Roman" w:hAnsi="Times New Roman"/>
          <w:sz w:val="24"/>
          <w:szCs w:val="24"/>
        </w:rPr>
        <w:t>he only intended recipients of the survey are graduates of the Academy</w:t>
      </w:r>
      <w:r w:rsidRPr="00614A41">
        <w:rPr>
          <w:rFonts w:ascii="Times New Roman" w:hAnsi="Times New Roman"/>
          <w:sz w:val="24"/>
          <w:szCs w:val="24"/>
        </w:rPr>
        <w:t>.</w:t>
      </w:r>
      <w:r>
        <w:rPr>
          <w:rFonts w:ascii="Times New Roman" w:hAnsi="Times New Roman"/>
          <w:sz w:val="24"/>
          <w:szCs w:val="24"/>
        </w:rPr>
        <w:t xml:space="preserve"> This collection </w:t>
      </w:r>
    </w:p>
    <w:p w:rsidR="00DB2D72" w:rsidP="00376118" w14:paraId="3F690670" w14:textId="77777777">
      <w:pPr>
        <w:pStyle w:val="ListParagraph"/>
        <w:spacing w:after="0" w:line="240" w:lineRule="auto"/>
        <w:ind w:left="360" w:firstLine="360"/>
        <w:rPr>
          <w:rFonts w:ascii="Times New Roman" w:hAnsi="Times New Roman"/>
          <w:sz w:val="24"/>
          <w:szCs w:val="24"/>
        </w:rPr>
      </w:pPr>
      <w:r>
        <w:rPr>
          <w:rFonts w:ascii="Times New Roman" w:hAnsi="Times New Roman"/>
          <w:sz w:val="24"/>
          <w:szCs w:val="24"/>
        </w:rPr>
        <w:t>has no impact on small businesses or other small entities.</w:t>
      </w:r>
    </w:p>
    <w:p w:rsidR="001E4660" w:rsidRPr="00614A41" w:rsidP="00376118" w14:paraId="3B28CE81" w14:textId="77777777">
      <w:pPr>
        <w:pStyle w:val="ListParagraph"/>
        <w:spacing w:after="0" w:line="240" w:lineRule="auto"/>
        <w:ind w:left="360" w:firstLine="360"/>
        <w:rPr>
          <w:rFonts w:ascii="Times New Roman" w:hAnsi="Times New Roman"/>
          <w:sz w:val="24"/>
          <w:szCs w:val="24"/>
        </w:rPr>
      </w:pPr>
    </w:p>
    <w:p w:rsidR="00614A41" w:rsidP="00D64550" w14:paraId="27870035" w14:textId="77777777">
      <w:pPr>
        <w:numPr>
          <w:ilvl w:val="0"/>
          <w:numId w:val="22"/>
        </w:numPr>
        <w:tabs>
          <w:tab w:val="left" w:pos="-1440"/>
        </w:tabs>
        <w:spacing w:after="0" w:line="240" w:lineRule="auto"/>
        <w:ind w:left="720" w:hanging="360"/>
        <w:rPr>
          <w:rFonts w:ascii="Times New Roman" w:hAnsi="Times New Roman"/>
          <w:b/>
          <w:sz w:val="24"/>
          <w:szCs w:val="24"/>
        </w:rPr>
      </w:pPr>
      <w:r>
        <w:rPr>
          <w:rFonts w:ascii="Times New Roman" w:hAnsi="Times New Roman"/>
          <w:b/>
          <w:sz w:val="24"/>
          <w:szCs w:val="24"/>
        </w:rPr>
        <w:t>Impact of</w:t>
      </w:r>
      <w:r w:rsidRPr="00614A41">
        <w:rPr>
          <w:rFonts w:ascii="Times New Roman" w:hAnsi="Times New Roman"/>
          <w:b/>
          <w:sz w:val="24"/>
          <w:szCs w:val="24"/>
        </w:rPr>
        <w:t xml:space="preserve"> not conduct</w:t>
      </w:r>
      <w:r>
        <w:rPr>
          <w:rFonts w:ascii="Times New Roman" w:hAnsi="Times New Roman"/>
          <w:b/>
          <w:sz w:val="24"/>
          <w:szCs w:val="24"/>
        </w:rPr>
        <w:t>ing</w:t>
      </w:r>
      <w:r w:rsidRPr="00614A41">
        <w:rPr>
          <w:rFonts w:ascii="Times New Roman" w:hAnsi="Times New Roman"/>
          <w:b/>
          <w:sz w:val="24"/>
          <w:szCs w:val="24"/>
        </w:rPr>
        <w:t xml:space="preserve"> or </w:t>
      </w:r>
      <w:r>
        <w:rPr>
          <w:rFonts w:ascii="Times New Roman" w:hAnsi="Times New Roman"/>
          <w:b/>
          <w:sz w:val="24"/>
          <w:szCs w:val="24"/>
        </w:rPr>
        <w:t>L</w:t>
      </w:r>
      <w:r w:rsidRPr="00614A41">
        <w:rPr>
          <w:rFonts w:ascii="Times New Roman" w:hAnsi="Times New Roman"/>
          <w:b/>
          <w:sz w:val="24"/>
          <w:szCs w:val="24"/>
        </w:rPr>
        <w:t xml:space="preserve">ess </w:t>
      </w:r>
      <w:r>
        <w:rPr>
          <w:rFonts w:ascii="Times New Roman" w:hAnsi="Times New Roman"/>
          <w:b/>
          <w:sz w:val="24"/>
          <w:szCs w:val="24"/>
        </w:rPr>
        <w:t>F</w:t>
      </w:r>
      <w:r w:rsidRPr="00614A41">
        <w:rPr>
          <w:rFonts w:ascii="Times New Roman" w:hAnsi="Times New Roman"/>
          <w:b/>
          <w:sz w:val="24"/>
          <w:szCs w:val="24"/>
        </w:rPr>
        <w:t>requent</w:t>
      </w:r>
      <w:r w:rsidRPr="00614A41">
        <w:rPr>
          <w:rFonts w:ascii="Times New Roman" w:hAnsi="Times New Roman"/>
          <w:b/>
          <w:sz w:val="24"/>
          <w:szCs w:val="24"/>
        </w:rPr>
        <w:t xml:space="preserve"> </w:t>
      </w:r>
      <w:r>
        <w:rPr>
          <w:rFonts w:ascii="Times New Roman" w:hAnsi="Times New Roman"/>
          <w:b/>
          <w:sz w:val="24"/>
          <w:szCs w:val="24"/>
        </w:rPr>
        <w:t>Collection of Information</w:t>
      </w:r>
    </w:p>
    <w:p w:rsidR="001E4660" w:rsidRPr="00614A41" w:rsidP="00376118" w14:paraId="011FC6D4" w14:textId="77777777">
      <w:pPr>
        <w:tabs>
          <w:tab w:val="left" w:pos="-1440"/>
        </w:tabs>
        <w:spacing w:after="0" w:line="240" w:lineRule="auto"/>
        <w:ind w:left="720" w:hanging="720"/>
        <w:rPr>
          <w:rFonts w:ascii="Times New Roman" w:hAnsi="Times New Roman"/>
          <w:b/>
          <w:sz w:val="24"/>
          <w:szCs w:val="24"/>
        </w:rPr>
      </w:pPr>
    </w:p>
    <w:p w:rsidR="00DB2D72" w:rsidP="00376118" w14:paraId="3B1B50C3" w14:textId="4A9265DC">
      <w:pPr>
        <w:pStyle w:val="ListParagraph"/>
        <w:spacing w:after="0" w:line="240" w:lineRule="auto"/>
        <w:rPr>
          <w:rFonts w:ascii="Times New Roman" w:hAnsi="Times New Roman"/>
          <w:bCs/>
          <w:sz w:val="24"/>
          <w:szCs w:val="24"/>
        </w:rPr>
      </w:pPr>
      <w:r>
        <w:rPr>
          <w:rFonts w:ascii="Times New Roman" w:hAnsi="Times New Roman"/>
          <w:bCs/>
          <w:sz w:val="24"/>
          <w:szCs w:val="24"/>
        </w:rPr>
        <w:t xml:space="preserve">Without this </w:t>
      </w:r>
      <w:r w:rsidRPr="005C111A" w:rsidR="005C111A">
        <w:rPr>
          <w:rFonts w:ascii="Times New Roman" w:hAnsi="Times New Roman"/>
          <w:bCs/>
          <w:sz w:val="24"/>
          <w:szCs w:val="24"/>
        </w:rPr>
        <w:t>collection</w:t>
      </w:r>
      <w:r>
        <w:rPr>
          <w:rFonts w:ascii="Times New Roman" w:hAnsi="Times New Roman"/>
          <w:bCs/>
          <w:sz w:val="24"/>
          <w:szCs w:val="24"/>
        </w:rPr>
        <w:t xml:space="preserve"> of information, </w:t>
      </w:r>
      <w:r w:rsidRPr="005C111A" w:rsidR="005C111A">
        <w:rPr>
          <w:rFonts w:ascii="Times New Roman" w:hAnsi="Times New Roman"/>
          <w:bCs/>
          <w:sz w:val="24"/>
          <w:szCs w:val="24"/>
        </w:rPr>
        <w:t>the Academ</w:t>
      </w:r>
      <w:r>
        <w:rPr>
          <w:rFonts w:ascii="Times New Roman" w:hAnsi="Times New Roman"/>
          <w:bCs/>
          <w:sz w:val="24"/>
          <w:szCs w:val="24"/>
        </w:rPr>
        <w:t xml:space="preserve">y would be unable </w:t>
      </w:r>
      <w:r w:rsidRPr="005C111A" w:rsidR="005C111A">
        <w:rPr>
          <w:rFonts w:ascii="Times New Roman" w:hAnsi="Times New Roman"/>
          <w:bCs/>
          <w:sz w:val="24"/>
          <w:szCs w:val="24"/>
        </w:rPr>
        <w:t xml:space="preserve">to maintain its </w:t>
      </w:r>
      <w:r w:rsidR="00917BD3">
        <w:rPr>
          <w:rFonts w:ascii="Times New Roman" w:hAnsi="Times New Roman"/>
          <w:bCs/>
          <w:sz w:val="24"/>
          <w:szCs w:val="24"/>
        </w:rPr>
        <w:t xml:space="preserve">regional and programmatic </w:t>
      </w:r>
      <w:r w:rsidRPr="005C111A" w:rsidR="005C111A">
        <w:rPr>
          <w:rFonts w:ascii="Times New Roman" w:hAnsi="Times New Roman"/>
          <w:bCs/>
          <w:sz w:val="24"/>
          <w:szCs w:val="24"/>
        </w:rPr>
        <w:t>accreditation and thereby its ability to offer</w:t>
      </w:r>
      <w:r w:rsidR="009D1261">
        <w:rPr>
          <w:rFonts w:ascii="Times New Roman" w:hAnsi="Times New Roman"/>
          <w:bCs/>
          <w:sz w:val="24"/>
          <w:szCs w:val="24"/>
        </w:rPr>
        <w:t xml:space="preserve"> a Bachelor of Science degree.  </w:t>
      </w:r>
      <w:r w:rsidRPr="005C111A" w:rsidR="005C111A">
        <w:rPr>
          <w:rFonts w:ascii="Times New Roman" w:hAnsi="Times New Roman"/>
          <w:bCs/>
          <w:sz w:val="24"/>
          <w:szCs w:val="24"/>
        </w:rPr>
        <w:t>Current accreditation expectations include regular annual surv</w:t>
      </w:r>
      <w:r w:rsidRPr="009D1261" w:rsidR="005C111A">
        <w:rPr>
          <w:rFonts w:ascii="Times New Roman" w:hAnsi="Times New Roman"/>
          <w:bCs/>
          <w:sz w:val="24"/>
          <w:szCs w:val="24"/>
        </w:rPr>
        <w:t>ey</w:t>
      </w:r>
      <w:r w:rsidRPr="005C111A" w:rsidR="005C111A">
        <w:rPr>
          <w:rFonts w:ascii="Times New Roman" w:hAnsi="Times New Roman"/>
          <w:b/>
          <w:bCs/>
          <w:sz w:val="24"/>
          <w:szCs w:val="24"/>
        </w:rPr>
        <w:t xml:space="preserve"> </w:t>
      </w:r>
      <w:r w:rsidRPr="005C111A" w:rsidR="005C111A">
        <w:rPr>
          <w:rFonts w:ascii="Times New Roman" w:hAnsi="Times New Roman"/>
          <w:bCs/>
          <w:sz w:val="24"/>
          <w:szCs w:val="24"/>
        </w:rPr>
        <w:t>of alumni to gather information related to the effectiveness of academic programs.</w:t>
      </w:r>
      <w:r w:rsidR="00D41A27">
        <w:rPr>
          <w:rFonts w:ascii="Times New Roman" w:hAnsi="Times New Roman"/>
          <w:bCs/>
          <w:sz w:val="24"/>
          <w:szCs w:val="24"/>
        </w:rPr>
        <w:t xml:space="preserve">  In addition, if the collection of this data is not performed, the Academy will not be able </w:t>
      </w:r>
      <w:r w:rsidR="00FB5634">
        <w:rPr>
          <w:rFonts w:ascii="Times New Roman" w:hAnsi="Times New Roman"/>
          <w:bCs/>
          <w:sz w:val="24"/>
          <w:szCs w:val="24"/>
        </w:rPr>
        <w:t xml:space="preserve">to </w:t>
      </w:r>
      <w:r w:rsidR="00D41A27">
        <w:rPr>
          <w:rFonts w:ascii="Times New Roman" w:hAnsi="Times New Roman"/>
          <w:bCs/>
          <w:sz w:val="24"/>
          <w:szCs w:val="24"/>
        </w:rPr>
        <w:t xml:space="preserve">identify </w:t>
      </w:r>
      <w:r w:rsidRPr="00173BA0" w:rsidR="00173BA0">
        <w:rPr>
          <w:rFonts w:ascii="Times New Roman" w:hAnsi="Times New Roman"/>
          <w:bCs/>
          <w:sz w:val="24"/>
          <w:szCs w:val="24"/>
        </w:rPr>
        <w:t xml:space="preserve">changes </w:t>
      </w:r>
      <w:r w:rsidR="00D41A27">
        <w:rPr>
          <w:rFonts w:ascii="Times New Roman" w:hAnsi="Times New Roman"/>
          <w:bCs/>
          <w:sz w:val="24"/>
          <w:szCs w:val="24"/>
        </w:rPr>
        <w:t xml:space="preserve">needed </w:t>
      </w:r>
      <w:r w:rsidR="00173BA0">
        <w:rPr>
          <w:rFonts w:ascii="Times New Roman" w:hAnsi="Times New Roman"/>
          <w:bCs/>
          <w:sz w:val="24"/>
          <w:szCs w:val="24"/>
        </w:rPr>
        <w:t xml:space="preserve">to improve the curriculum, course offerings, and </w:t>
      </w:r>
      <w:r w:rsidR="00FB5634">
        <w:rPr>
          <w:rFonts w:ascii="Times New Roman" w:hAnsi="Times New Roman"/>
          <w:bCs/>
          <w:sz w:val="24"/>
          <w:szCs w:val="24"/>
        </w:rPr>
        <w:t xml:space="preserve">educational </w:t>
      </w:r>
      <w:r w:rsidR="00173BA0">
        <w:rPr>
          <w:rFonts w:ascii="Times New Roman" w:hAnsi="Times New Roman"/>
          <w:bCs/>
          <w:sz w:val="24"/>
          <w:szCs w:val="24"/>
        </w:rPr>
        <w:t xml:space="preserve">support services.   </w:t>
      </w:r>
    </w:p>
    <w:p w:rsidR="001E4660" w:rsidRPr="005C111A" w:rsidP="00376118" w14:paraId="21F626F4" w14:textId="77777777">
      <w:pPr>
        <w:pStyle w:val="ListParagraph"/>
        <w:spacing w:after="0" w:line="240" w:lineRule="auto"/>
        <w:rPr>
          <w:rFonts w:ascii="Times New Roman" w:hAnsi="Times New Roman"/>
          <w:sz w:val="24"/>
          <w:szCs w:val="24"/>
        </w:rPr>
      </w:pPr>
    </w:p>
    <w:p w:rsidR="008050D3" w:rsidP="00D64550" w14:paraId="7B4122F9" w14:textId="77777777">
      <w:pPr>
        <w:numPr>
          <w:ilvl w:val="0"/>
          <w:numId w:val="22"/>
        </w:numPr>
        <w:tabs>
          <w:tab w:val="left" w:pos="-1440"/>
        </w:tabs>
        <w:spacing w:after="0" w:line="240" w:lineRule="auto"/>
        <w:ind w:left="720" w:hanging="360"/>
        <w:rPr>
          <w:rFonts w:ascii="Times New Roman" w:hAnsi="Times New Roman"/>
          <w:b/>
          <w:sz w:val="24"/>
          <w:szCs w:val="24"/>
        </w:rPr>
      </w:pPr>
      <w:r>
        <w:rPr>
          <w:rFonts w:ascii="Times New Roman" w:hAnsi="Times New Roman"/>
          <w:b/>
          <w:sz w:val="24"/>
          <w:szCs w:val="24"/>
        </w:rPr>
        <w:t>S</w:t>
      </w:r>
      <w:r w:rsidRPr="008050D3">
        <w:rPr>
          <w:rFonts w:ascii="Times New Roman" w:hAnsi="Times New Roman"/>
          <w:b/>
          <w:sz w:val="24"/>
          <w:szCs w:val="24"/>
        </w:rPr>
        <w:t xml:space="preserve">pecial </w:t>
      </w:r>
      <w:r>
        <w:rPr>
          <w:rFonts w:ascii="Times New Roman" w:hAnsi="Times New Roman"/>
          <w:b/>
          <w:sz w:val="24"/>
          <w:szCs w:val="24"/>
        </w:rPr>
        <w:t>C</w:t>
      </w:r>
      <w:r w:rsidRPr="008050D3">
        <w:rPr>
          <w:rFonts w:ascii="Times New Roman" w:hAnsi="Times New Roman"/>
          <w:b/>
          <w:sz w:val="24"/>
          <w:szCs w:val="24"/>
        </w:rPr>
        <w:t xml:space="preserve">ircumstances </w:t>
      </w:r>
      <w:r>
        <w:rPr>
          <w:rFonts w:ascii="Times New Roman" w:hAnsi="Times New Roman"/>
          <w:b/>
          <w:sz w:val="24"/>
          <w:szCs w:val="24"/>
        </w:rPr>
        <w:t>Relating to the Guidelines 5 CFR 1320.5</w:t>
      </w:r>
    </w:p>
    <w:p w:rsidR="001E4660" w:rsidRPr="008050D3" w:rsidP="00376118" w14:paraId="0CE79D7A" w14:textId="77777777">
      <w:pPr>
        <w:tabs>
          <w:tab w:val="left" w:pos="-1440"/>
        </w:tabs>
        <w:spacing w:after="0" w:line="240" w:lineRule="auto"/>
        <w:ind w:left="720" w:hanging="720"/>
        <w:rPr>
          <w:rFonts w:ascii="Times New Roman" w:hAnsi="Times New Roman"/>
          <w:b/>
          <w:sz w:val="24"/>
          <w:szCs w:val="24"/>
        </w:rPr>
      </w:pPr>
    </w:p>
    <w:p w:rsidR="008050D3" w:rsidP="00376118" w14:paraId="2C90FDE7" w14:textId="77777777">
      <w:pPr>
        <w:pStyle w:val="PlainText"/>
        <w:ind w:left="720"/>
        <w:rPr>
          <w:rFonts w:ascii="Times New Roman" w:hAnsi="Times New Roman"/>
          <w:sz w:val="24"/>
          <w:szCs w:val="24"/>
        </w:rPr>
      </w:pPr>
      <w:r w:rsidRPr="008050D3">
        <w:rPr>
          <w:rFonts w:ascii="Times New Roman" w:hAnsi="Times New Roman"/>
          <w:sz w:val="24"/>
          <w:szCs w:val="24"/>
        </w:rPr>
        <w:t xml:space="preserve">There are no special circumstances that require this collection of information to be conducted in a manner described </w:t>
      </w:r>
      <w:r w:rsidR="00F65A69">
        <w:rPr>
          <w:rFonts w:ascii="Times New Roman" w:hAnsi="Times New Roman"/>
          <w:sz w:val="24"/>
          <w:szCs w:val="24"/>
        </w:rPr>
        <w:t>below:</w:t>
      </w:r>
    </w:p>
    <w:p w:rsidR="00F65A69" w:rsidP="00376118" w14:paraId="516963AE" w14:textId="77777777">
      <w:pPr>
        <w:pStyle w:val="PlainText"/>
        <w:ind w:left="720"/>
        <w:rPr>
          <w:rFonts w:ascii="Times New Roman" w:hAnsi="Times New Roman"/>
          <w:sz w:val="24"/>
          <w:szCs w:val="24"/>
        </w:rPr>
      </w:pPr>
    </w:p>
    <w:p w:rsidR="00F65A69" w:rsidRPr="00F65A69" w:rsidP="00F65A69" w14:paraId="5321DF1B" w14:textId="77777777">
      <w:pPr>
        <w:pStyle w:val="PlainText"/>
        <w:numPr>
          <w:ilvl w:val="0"/>
          <w:numId w:val="24"/>
        </w:numPr>
        <w:rPr>
          <w:rFonts w:ascii="Times New Roman" w:hAnsi="Times New Roman"/>
          <w:bCs/>
          <w:sz w:val="24"/>
          <w:szCs w:val="24"/>
        </w:rPr>
      </w:pPr>
      <w:r w:rsidRPr="00F65A69">
        <w:rPr>
          <w:rFonts w:ascii="Times New Roman" w:hAnsi="Times New Roman"/>
          <w:bCs/>
          <w:sz w:val="24"/>
          <w:szCs w:val="24"/>
        </w:rPr>
        <w:t>Requiring respondents to report information to MARAD more often than quarterly;</w:t>
      </w:r>
    </w:p>
    <w:p w:rsidR="00F65A69" w:rsidRPr="00F65A69" w:rsidP="00F65A69" w14:paraId="5578E0EE" w14:textId="77777777">
      <w:pPr>
        <w:pStyle w:val="PlainText"/>
        <w:numPr>
          <w:ilvl w:val="0"/>
          <w:numId w:val="24"/>
        </w:numPr>
        <w:rPr>
          <w:rFonts w:ascii="Times New Roman" w:hAnsi="Times New Roman"/>
          <w:bCs/>
          <w:sz w:val="24"/>
          <w:szCs w:val="24"/>
        </w:rPr>
      </w:pPr>
      <w:r w:rsidRPr="00F65A69">
        <w:rPr>
          <w:rFonts w:ascii="Times New Roman" w:hAnsi="Times New Roman"/>
          <w:bCs/>
          <w:sz w:val="24"/>
          <w:szCs w:val="24"/>
        </w:rPr>
        <w:t>Requiring respondents to prepare a written response in fewer than 30 days after receipt of a collection instrument;</w:t>
      </w:r>
    </w:p>
    <w:p w:rsidR="00F65A69" w:rsidRPr="00F65A69" w:rsidP="00F65A69" w14:paraId="1959E74D" w14:textId="77777777">
      <w:pPr>
        <w:pStyle w:val="PlainText"/>
        <w:numPr>
          <w:ilvl w:val="0"/>
          <w:numId w:val="24"/>
        </w:numPr>
        <w:rPr>
          <w:rFonts w:ascii="Times New Roman" w:hAnsi="Times New Roman"/>
          <w:bCs/>
          <w:sz w:val="24"/>
          <w:szCs w:val="24"/>
        </w:rPr>
      </w:pPr>
      <w:r w:rsidRPr="00F65A69">
        <w:rPr>
          <w:rFonts w:ascii="Times New Roman" w:hAnsi="Times New Roman"/>
          <w:bCs/>
          <w:sz w:val="24"/>
          <w:szCs w:val="24"/>
        </w:rPr>
        <w:t>Requiring respondents to submit more than one original copy of any document;</w:t>
      </w:r>
    </w:p>
    <w:p w:rsidR="00F65A69" w:rsidRPr="00F65A69" w:rsidP="00F65A69" w14:paraId="290B2A79" w14:textId="77777777">
      <w:pPr>
        <w:pStyle w:val="PlainText"/>
        <w:numPr>
          <w:ilvl w:val="0"/>
          <w:numId w:val="24"/>
        </w:numPr>
        <w:rPr>
          <w:rFonts w:ascii="Times New Roman" w:hAnsi="Times New Roman"/>
          <w:bCs/>
          <w:sz w:val="24"/>
          <w:szCs w:val="24"/>
        </w:rPr>
      </w:pPr>
      <w:r w:rsidRPr="00F65A69">
        <w:rPr>
          <w:rFonts w:ascii="Times New Roman" w:hAnsi="Times New Roman"/>
          <w:bCs/>
          <w:sz w:val="24"/>
          <w:szCs w:val="24"/>
        </w:rPr>
        <w:t>Requiring respondents to retain records, other than health, medical, government contract, grant-in-aid, or tax records for more than three years;</w:t>
      </w:r>
    </w:p>
    <w:p w:rsidR="00F65A69" w:rsidRPr="00F65A69" w:rsidP="00F65A69" w14:paraId="2C6931F5" w14:textId="77777777">
      <w:pPr>
        <w:pStyle w:val="PlainText"/>
        <w:numPr>
          <w:ilvl w:val="0"/>
          <w:numId w:val="24"/>
        </w:numPr>
        <w:rPr>
          <w:rFonts w:ascii="Times New Roman" w:hAnsi="Times New Roman"/>
          <w:bCs/>
          <w:sz w:val="24"/>
          <w:szCs w:val="24"/>
        </w:rPr>
      </w:pPr>
      <w:r w:rsidRPr="00F65A69">
        <w:rPr>
          <w:rFonts w:ascii="Times New Roman" w:hAnsi="Times New Roman"/>
          <w:bCs/>
          <w:sz w:val="24"/>
          <w:szCs w:val="24"/>
        </w:rPr>
        <w:t>Requiring the use of any statistical data that is not designed to produce valid and reliable results that can be generalized to the universe of study;</w:t>
      </w:r>
    </w:p>
    <w:p w:rsidR="00F65A69" w:rsidRPr="00F65A69" w:rsidP="00F65A69" w14:paraId="5AAE6137" w14:textId="77777777">
      <w:pPr>
        <w:pStyle w:val="PlainText"/>
        <w:numPr>
          <w:ilvl w:val="0"/>
          <w:numId w:val="24"/>
        </w:numPr>
        <w:rPr>
          <w:rFonts w:ascii="Times New Roman" w:hAnsi="Times New Roman"/>
          <w:bCs/>
          <w:sz w:val="24"/>
          <w:szCs w:val="24"/>
        </w:rPr>
      </w:pPr>
      <w:r w:rsidRPr="00F65A69">
        <w:rPr>
          <w:rFonts w:ascii="Times New Roman" w:hAnsi="Times New Roman"/>
          <w:bCs/>
          <w:sz w:val="24"/>
          <w:szCs w:val="24"/>
        </w:rPr>
        <w:t>Requiring the use of a statistical data classification that has not been reviewed and approved by OMB;</w:t>
      </w:r>
    </w:p>
    <w:p w:rsidR="00F65A69" w:rsidRPr="00F65A69" w:rsidP="00F65A69" w14:paraId="6ED45352" w14:textId="77777777">
      <w:pPr>
        <w:pStyle w:val="PlainText"/>
        <w:numPr>
          <w:ilvl w:val="0"/>
          <w:numId w:val="24"/>
        </w:numPr>
        <w:rPr>
          <w:rFonts w:ascii="Times New Roman" w:hAnsi="Times New Roman"/>
          <w:bCs/>
          <w:sz w:val="24"/>
          <w:szCs w:val="24"/>
        </w:rPr>
      </w:pPr>
      <w:r w:rsidRPr="00F65A69">
        <w:rPr>
          <w:rFonts w:ascii="Times New Roman" w:hAnsi="Times New Roman"/>
          <w:bCs/>
          <w:sz w:val="24"/>
          <w:szCs w:val="24"/>
        </w:rPr>
        <w:t xml:space="preserve">Requiring any pledge of confidentiality; or </w:t>
      </w:r>
    </w:p>
    <w:p w:rsidR="00F65A69" w:rsidRPr="0016687C" w:rsidP="003363E7" w14:paraId="628D508C" w14:textId="77777777">
      <w:pPr>
        <w:pStyle w:val="PlainText"/>
        <w:numPr>
          <w:ilvl w:val="0"/>
          <w:numId w:val="24"/>
        </w:numPr>
        <w:rPr>
          <w:rFonts w:ascii="Times New Roman" w:hAnsi="Times New Roman"/>
          <w:bCs/>
          <w:sz w:val="24"/>
          <w:szCs w:val="24"/>
        </w:rPr>
      </w:pPr>
      <w:r w:rsidRPr="00F65A69">
        <w:rPr>
          <w:rFonts w:ascii="Times New Roman" w:hAnsi="Times New Roman"/>
          <w:bCs/>
          <w:sz w:val="24"/>
          <w:szCs w:val="24"/>
        </w:rPr>
        <w:t>Requiring respondents to submit any proprietary or trade secrets.</w:t>
      </w:r>
    </w:p>
    <w:p w:rsidR="008050D3" w:rsidRPr="008050D3" w:rsidP="00376118" w14:paraId="6257EA17" w14:textId="77777777">
      <w:pPr>
        <w:spacing w:after="0" w:line="240" w:lineRule="auto"/>
        <w:rPr>
          <w:rFonts w:ascii="Times New Roman" w:hAnsi="Times New Roman"/>
          <w:b/>
          <w:sz w:val="24"/>
          <w:szCs w:val="24"/>
        </w:rPr>
      </w:pPr>
    </w:p>
    <w:p w:rsidR="005B69A3" w:rsidP="003363E7" w14:paraId="61BC6F63" w14:textId="77777777">
      <w:pPr>
        <w:numPr>
          <w:ilvl w:val="0"/>
          <w:numId w:val="22"/>
        </w:numPr>
        <w:tabs>
          <w:tab w:val="left" w:pos="-1440"/>
        </w:tabs>
        <w:spacing w:after="0" w:line="240" w:lineRule="auto"/>
        <w:ind w:left="720" w:hanging="360"/>
        <w:rPr>
          <w:rFonts w:ascii="Times New Roman" w:hAnsi="Times New Roman"/>
          <w:b/>
          <w:sz w:val="24"/>
          <w:szCs w:val="24"/>
        </w:rPr>
      </w:pPr>
      <w:r>
        <w:rPr>
          <w:rFonts w:ascii="Times New Roman" w:hAnsi="Times New Roman"/>
          <w:b/>
          <w:sz w:val="24"/>
          <w:szCs w:val="24"/>
        </w:rPr>
        <w:t xml:space="preserve">Public Comments in Response to the Federal Register Notice and Outside Consultation </w:t>
      </w:r>
    </w:p>
    <w:p w:rsidR="001E4660" w:rsidP="00376118" w14:paraId="150A0C8C" w14:textId="77777777">
      <w:pPr>
        <w:spacing w:after="0" w:line="240" w:lineRule="auto"/>
        <w:ind w:left="720"/>
        <w:rPr>
          <w:rFonts w:ascii="Times New Roman" w:hAnsi="Times New Roman"/>
          <w:b/>
          <w:sz w:val="24"/>
          <w:szCs w:val="24"/>
        </w:rPr>
      </w:pPr>
    </w:p>
    <w:p w:rsidR="00135203" w:rsidP="005B69A3" w14:paraId="5C369C67" w14:textId="02058E2D">
      <w:pPr>
        <w:tabs>
          <w:tab w:val="left" w:pos="-1440"/>
        </w:tabs>
        <w:spacing w:after="0" w:line="240" w:lineRule="auto"/>
        <w:ind w:left="720" w:hanging="720"/>
        <w:rPr>
          <w:rFonts w:ascii="Times New Roman" w:hAnsi="Times New Roman"/>
          <w:bCs/>
          <w:sz w:val="24"/>
          <w:szCs w:val="24"/>
        </w:rPr>
      </w:pPr>
      <w:r>
        <w:rPr>
          <w:rFonts w:ascii="Times New Roman" w:hAnsi="Times New Roman"/>
          <w:sz w:val="24"/>
          <w:szCs w:val="24"/>
        </w:rPr>
        <w:tab/>
      </w:r>
      <w:r w:rsidRPr="006D5521" w:rsidR="006D5521">
        <w:rPr>
          <w:rFonts w:ascii="Times New Roman" w:hAnsi="Times New Roman"/>
          <w:bCs/>
          <w:sz w:val="24"/>
          <w:szCs w:val="24"/>
        </w:rPr>
        <w:t xml:space="preserve">MARAD published a 60-day notice and request for comments on this information collection in the Federal Register (FR </w:t>
      </w:r>
      <w:r w:rsidR="006D5521">
        <w:rPr>
          <w:rFonts w:ascii="Times New Roman" w:hAnsi="Times New Roman"/>
          <w:bCs/>
          <w:sz w:val="24"/>
          <w:szCs w:val="24"/>
        </w:rPr>
        <w:t>19086</w:t>
      </w:r>
      <w:r w:rsidRPr="006D5521" w:rsidR="006D5521">
        <w:rPr>
          <w:rFonts w:ascii="Times New Roman" w:hAnsi="Times New Roman"/>
          <w:bCs/>
          <w:sz w:val="24"/>
          <w:szCs w:val="24"/>
        </w:rPr>
        <w:t>, Vol</w:t>
      </w:r>
      <w:r w:rsidR="006D5521">
        <w:rPr>
          <w:rFonts w:ascii="Times New Roman" w:hAnsi="Times New Roman"/>
          <w:bCs/>
          <w:sz w:val="24"/>
          <w:szCs w:val="24"/>
        </w:rPr>
        <w:t>.</w:t>
      </w:r>
      <w:r w:rsidRPr="006D5521" w:rsidR="006D5521">
        <w:rPr>
          <w:rFonts w:ascii="Times New Roman" w:hAnsi="Times New Roman"/>
          <w:bCs/>
          <w:sz w:val="24"/>
          <w:szCs w:val="24"/>
        </w:rPr>
        <w:t xml:space="preserve"> </w:t>
      </w:r>
      <w:r w:rsidR="006D5521">
        <w:rPr>
          <w:rFonts w:ascii="Times New Roman" w:hAnsi="Times New Roman"/>
          <w:bCs/>
          <w:sz w:val="24"/>
          <w:szCs w:val="24"/>
        </w:rPr>
        <w:t>90</w:t>
      </w:r>
      <w:r w:rsidRPr="006D5521" w:rsidR="006D5521">
        <w:rPr>
          <w:rFonts w:ascii="Times New Roman" w:hAnsi="Times New Roman"/>
          <w:bCs/>
          <w:sz w:val="24"/>
          <w:szCs w:val="24"/>
        </w:rPr>
        <w:t xml:space="preserve">, No. </w:t>
      </w:r>
      <w:r w:rsidR="006D5521">
        <w:rPr>
          <w:rFonts w:ascii="Times New Roman" w:hAnsi="Times New Roman"/>
          <w:bCs/>
          <w:sz w:val="24"/>
          <w:szCs w:val="24"/>
        </w:rPr>
        <w:t>85</w:t>
      </w:r>
      <w:r w:rsidRPr="006D5521" w:rsidR="006D5521">
        <w:rPr>
          <w:rFonts w:ascii="Times New Roman" w:hAnsi="Times New Roman"/>
          <w:bCs/>
          <w:sz w:val="24"/>
          <w:szCs w:val="24"/>
        </w:rPr>
        <w:t>) on May 4, 2025, indicating comments should be submitted on or before July 7, 2025.  No comments were received.  A 30-day notice will now be published in the Federal Register to solicit public comments.</w:t>
      </w:r>
    </w:p>
    <w:p w:rsidR="006D5521" w:rsidP="005B69A3" w14:paraId="45765D45" w14:textId="77777777">
      <w:pPr>
        <w:tabs>
          <w:tab w:val="left" w:pos="-1440"/>
        </w:tabs>
        <w:spacing w:after="0" w:line="240" w:lineRule="auto"/>
        <w:ind w:left="720" w:hanging="720"/>
        <w:rPr>
          <w:rFonts w:ascii="Times New Roman" w:hAnsi="Times New Roman"/>
          <w:bCs/>
          <w:sz w:val="24"/>
          <w:szCs w:val="24"/>
        </w:rPr>
      </w:pPr>
    </w:p>
    <w:p w:rsidR="00135203" w:rsidRPr="003363E7" w:rsidP="005B69A3" w14:paraId="361AF3FC" w14:textId="77777777">
      <w:pPr>
        <w:tabs>
          <w:tab w:val="left" w:pos="-1440"/>
        </w:tabs>
        <w:spacing w:after="0" w:line="240" w:lineRule="auto"/>
        <w:ind w:left="720" w:hanging="720"/>
        <w:rPr>
          <w:rFonts w:ascii="Times New Roman" w:hAnsi="Times New Roman"/>
          <w:bCs/>
          <w:sz w:val="24"/>
          <w:szCs w:val="24"/>
        </w:rPr>
      </w:pPr>
      <w:r>
        <w:rPr>
          <w:rFonts w:ascii="Times New Roman" w:hAnsi="Times New Roman"/>
          <w:b/>
          <w:sz w:val="24"/>
          <w:szCs w:val="24"/>
        </w:rPr>
        <w:tab/>
      </w:r>
      <w:r w:rsidRPr="003363E7">
        <w:rPr>
          <w:rFonts w:ascii="Times New Roman" w:hAnsi="Times New Roman"/>
          <w:bCs/>
          <w:sz w:val="24"/>
          <w:szCs w:val="24"/>
        </w:rPr>
        <w:t>Aside from Alumnae feedback, no effort is made to acquire outside consultation for the purpose of this survey.</w:t>
      </w:r>
    </w:p>
    <w:p w:rsidR="005B69A3" w:rsidRPr="005B69A3" w:rsidP="005B69A3" w14:paraId="430ED8D9" w14:textId="77777777">
      <w:pPr>
        <w:tabs>
          <w:tab w:val="left" w:pos="-1440"/>
        </w:tabs>
        <w:spacing w:after="0" w:line="240" w:lineRule="auto"/>
        <w:ind w:left="720" w:hanging="720"/>
        <w:rPr>
          <w:rFonts w:ascii="Times New Roman" w:hAnsi="Times New Roman"/>
          <w:sz w:val="24"/>
          <w:szCs w:val="24"/>
        </w:rPr>
      </w:pPr>
    </w:p>
    <w:p w:rsidR="005B69A3" w:rsidP="00D64550" w14:paraId="2BA1CF8E" w14:textId="77777777">
      <w:pPr>
        <w:widowControl w:val="0"/>
        <w:numPr>
          <w:ilvl w:val="0"/>
          <w:numId w:val="22"/>
        </w:numPr>
        <w:tabs>
          <w:tab w:val="left" w:pos="-1440"/>
        </w:tabs>
        <w:spacing w:after="0" w:line="240" w:lineRule="auto"/>
        <w:ind w:left="720" w:hanging="360"/>
        <w:rPr>
          <w:rFonts w:ascii="Times New Roman" w:hAnsi="Times New Roman"/>
          <w:b/>
          <w:sz w:val="24"/>
          <w:szCs w:val="24"/>
        </w:rPr>
      </w:pPr>
      <w:r w:rsidRPr="005B69A3">
        <w:rPr>
          <w:rFonts w:ascii="Times New Roman" w:hAnsi="Times New Roman"/>
          <w:b/>
          <w:sz w:val="24"/>
          <w:szCs w:val="24"/>
        </w:rPr>
        <w:t>Expla</w:t>
      </w:r>
      <w:r w:rsidRPr="005B69A3">
        <w:rPr>
          <w:rFonts w:ascii="Times New Roman" w:hAnsi="Times New Roman"/>
          <w:b/>
          <w:sz w:val="24"/>
          <w:szCs w:val="24"/>
        </w:rPr>
        <w:t>nation</w:t>
      </w:r>
      <w:r w:rsidRPr="005B69A3">
        <w:rPr>
          <w:rFonts w:ascii="Times New Roman" w:hAnsi="Times New Roman"/>
          <w:b/>
          <w:sz w:val="24"/>
          <w:szCs w:val="24"/>
        </w:rPr>
        <w:t xml:space="preserve"> </w:t>
      </w:r>
      <w:r w:rsidRPr="005B69A3">
        <w:rPr>
          <w:rFonts w:ascii="Times New Roman" w:hAnsi="Times New Roman"/>
          <w:b/>
          <w:sz w:val="24"/>
          <w:szCs w:val="24"/>
        </w:rPr>
        <w:t>of A</w:t>
      </w:r>
      <w:r w:rsidRPr="005B69A3">
        <w:rPr>
          <w:rFonts w:ascii="Times New Roman" w:hAnsi="Times New Roman"/>
          <w:b/>
          <w:sz w:val="24"/>
          <w:szCs w:val="24"/>
        </w:rPr>
        <w:t xml:space="preserve">ny </w:t>
      </w:r>
      <w:r w:rsidRPr="005B69A3">
        <w:rPr>
          <w:rFonts w:ascii="Times New Roman" w:hAnsi="Times New Roman"/>
          <w:b/>
          <w:sz w:val="24"/>
          <w:szCs w:val="24"/>
        </w:rPr>
        <w:t xml:space="preserve">Payments </w:t>
      </w:r>
      <w:r w:rsidRPr="005B69A3">
        <w:rPr>
          <w:rFonts w:ascii="Times New Roman" w:hAnsi="Times New Roman"/>
          <w:b/>
          <w:sz w:val="24"/>
          <w:szCs w:val="24"/>
        </w:rPr>
        <w:t xml:space="preserve">or </w:t>
      </w:r>
      <w:r w:rsidRPr="005B69A3">
        <w:rPr>
          <w:rFonts w:ascii="Times New Roman" w:hAnsi="Times New Roman"/>
          <w:b/>
          <w:sz w:val="24"/>
          <w:szCs w:val="24"/>
        </w:rPr>
        <w:t xml:space="preserve">Gift </w:t>
      </w:r>
      <w:r w:rsidRPr="005B69A3">
        <w:rPr>
          <w:rFonts w:ascii="Times New Roman" w:hAnsi="Times New Roman"/>
          <w:b/>
          <w:sz w:val="24"/>
          <w:szCs w:val="24"/>
        </w:rPr>
        <w:t xml:space="preserve">to </w:t>
      </w:r>
      <w:r w:rsidRPr="005B69A3">
        <w:rPr>
          <w:rFonts w:ascii="Times New Roman" w:hAnsi="Times New Roman"/>
          <w:b/>
          <w:sz w:val="24"/>
          <w:szCs w:val="24"/>
        </w:rPr>
        <w:t>Respondents</w:t>
      </w:r>
    </w:p>
    <w:p w:rsidR="004C25F2" w:rsidRPr="005B69A3" w:rsidP="003363E7" w14:paraId="79A44270" w14:textId="77777777">
      <w:pPr>
        <w:widowControl w:val="0"/>
        <w:tabs>
          <w:tab w:val="left" w:pos="-1440"/>
        </w:tabs>
        <w:spacing w:after="0" w:line="240" w:lineRule="auto"/>
        <w:ind w:left="1080"/>
        <w:rPr>
          <w:rFonts w:ascii="Times New Roman" w:hAnsi="Times New Roman"/>
          <w:b/>
          <w:sz w:val="24"/>
          <w:szCs w:val="24"/>
        </w:rPr>
      </w:pPr>
    </w:p>
    <w:p w:rsidR="004C25F2" w:rsidP="00376118" w14:paraId="2D95CA4F" w14:textId="77777777">
      <w:pPr>
        <w:spacing w:after="0" w:line="240" w:lineRule="auto"/>
        <w:ind w:left="720"/>
        <w:rPr>
          <w:rFonts w:ascii="Times New Roman" w:hAnsi="Times New Roman"/>
          <w:sz w:val="24"/>
          <w:szCs w:val="24"/>
        </w:rPr>
      </w:pPr>
      <w:r w:rsidRPr="004C25F2">
        <w:rPr>
          <w:rFonts w:ascii="Times New Roman" w:hAnsi="Times New Roman"/>
          <w:sz w:val="24"/>
          <w:szCs w:val="24"/>
        </w:rPr>
        <w:t>No payments or gifts are provided to respondents.</w:t>
      </w:r>
    </w:p>
    <w:p w:rsidR="001E4660" w:rsidRPr="004C25F2" w:rsidP="00376118" w14:paraId="667F09D8" w14:textId="77777777">
      <w:pPr>
        <w:spacing w:after="0" w:line="240" w:lineRule="auto"/>
        <w:ind w:left="720"/>
        <w:rPr>
          <w:rFonts w:ascii="Times New Roman" w:hAnsi="Times New Roman"/>
          <w:sz w:val="24"/>
          <w:szCs w:val="24"/>
        </w:rPr>
      </w:pPr>
    </w:p>
    <w:p w:rsidR="005B69A3" w:rsidP="00D64550" w14:paraId="32A998CF" w14:textId="77777777">
      <w:pPr>
        <w:widowControl w:val="0"/>
        <w:numPr>
          <w:ilvl w:val="0"/>
          <w:numId w:val="22"/>
        </w:numPr>
        <w:tabs>
          <w:tab w:val="left" w:pos="-1440"/>
        </w:tabs>
        <w:spacing w:after="0" w:line="240" w:lineRule="auto"/>
        <w:ind w:left="720" w:hanging="450"/>
        <w:rPr>
          <w:rFonts w:ascii="Times New Roman" w:hAnsi="Times New Roman"/>
          <w:b/>
          <w:sz w:val="24"/>
          <w:szCs w:val="24"/>
        </w:rPr>
      </w:pPr>
      <w:r>
        <w:rPr>
          <w:rFonts w:ascii="Times New Roman" w:hAnsi="Times New Roman"/>
          <w:b/>
          <w:sz w:val="24"/>
          <w:szCs w:val="24"/>
        </w:rPr>
        <w:t>A</w:t>
      </w:r>
      <w:r w:rsidRPr="004C25F2" w:rsidR="004C25F2">
        <w:rPr>
          <w:rFonts w:ascii="Times New Roman" w:hAnsi="Times New Roman"/>
          <w:b/>
          <w:sz w:val="24"/>
          <w:szCs w:val="24"/>
        </w:rPr>
        <w:t xml:space="preserve">ssurance of </w:t>
      </w:r>
      <w:r>
        <w:rPr>
          <w:rFonts w:ascii="Times New Roman" w:hAnsi="Times New Roman"/>
          <w:b/>
          <w:sz w:val="24"/>
          <w:szCs w:val="24"/>
        </w:rPr>
        <w:t>C</w:t>
      </w:r>
      <w:r w:rsidRPr="004C25F2">
        <w:rPr>
          <w:rFonts w:ascii="Times New Roman" w:hAnsi="Times New Roman"/>
          <w:b/>
          <w:sz w:val="24"/>
          <w:szCs w:val="24"/>
        </w:rPr>
        <w:t>onfidentiality</w:t>
      </w:r>
      <w:r>
        <w:rPr>
          <w:rFonts w:ascii="Times New Roman" w:hAnsi="Times New Roman"/>
          <w:b/>
          <w:sz w:val="24"/>
          <w:szCs w:val="24"/>
        </w:rPr>
        <w:t xml:space="preserve"> and Protection of Privacy</w:t>
      </w:r>
    </w:p>
    <w:p w:rsidR="00C006B2" w:rsidP="00376118" w14:paraId="2F5801E9" w14:textId="77777777">
      <w:pPr>
        <w:pStyle w:val="ListParagraph"/>
        <w:spacing w:after="0" w:line="240" w:lineRule="auto"/>
        <w:rPr>
          <w:rFonts w:ascii="Times New Roman" w:hAnsi="Times New Roman"/>
          <w:sz w:val="24"/>
          <w:szCs w:val="24"/>
        </w:rPr>
      </w:pPr>
    </w:p>
    <w:p w:rsidR="0034561C" w:rsidP="00376118" w14:paraId="5E4E10C6" w14:textId="6D5A757F">
      <w:pPr>
        <w:pStyle w:val="ListParagraph"/>
        <w:spacing w:after="0" w:line="240" w:lineRule="auto"/>
        <w:rPr>
          <w:rFonts w:ascii="Times New Roman" w:hAnsi="Times New Roman"/>
          <w:sz w:val="24"/>
          <w:szCs w:val="24"/>
        </w:rPr>
      </w:pPr>
      <w:r w:rsidRPr="0034561C">
        <w:rPr>
          <w:rFonts w:ascii="Times New Roman" w:hAnsi="Times New Roman"/>
          <w:sz w:val="24"/>
          <w:szCs w:val="24"/>
        </w:rPr>
        <w:t>There are no assurances of confidentiality provided to respondents as part of this information collection</w:t>
      </w:r>
      <w:r w:rsidR="00135203">
        <w:rPr>
          <w:rFonts w:ascii="Times New Roman" w:hAnsi="Times New Roman"/>
          <w:sz w:val="24"/>
          <w:szCs w:val="24"/>
        </w:rPr>
        <w:t>.  H</w:t>
      </w:r>
      <w:r w:rsidR="00E46C69">
        <w:rPr>
          <w:rFonts w:ascii="Times New Roman" w:hAnsi="Times New Roman"/>
          <w:sz w:val="24"/>
          <w:szCs w:val="24"/>
        </w:rPr>
        <w:t>owever, t</w:t>
      </w:r>
      <w:r w:rsidRPr="0034561C">
        <w:rPr>
          <w:rFonts w:ascii="Times New Roman" w:hAnsi="Times New Roman"/>
          <w:sz w:val="24"/>
          <w:szCs w:val="24"/>
        </w:rPr>
        <w:t>he Academy has no mechanism in place to identify individual respondents</w:t>
      </w:r>
      <w:r w:rsidR="00135203">
        <w:rPr>
          <w:rFonts w:ascii="Times New Roman" w:hAnsi="Times New Roman"/>
          <w:sz w:val="24"/>
          <w:szCs w:val="24"/>
        </w:rPr>
        <w:t xml:space="preserve"> as not personally identifiable information (PII) is collected</w:t>
      </w:r>
      <w:r w:rsidRPr="0034561C">
        <w:rPr>
          <w:rFonts w:ascii="Times New Roman" w:hAnsi="Times New Roman"/>
          <w:sz w:val="24"/>
          <w:szCs w:val="24"/>
        </w:rPr>
        <w:t xml:space="preserve">.  Analysis will be done at the aggregate level and all reports produced will </w:t>
      </w:r>
      <w:r w:rsidR="00E46C69">
        <w:rPr>
          <w:rFonts w:ascii="Times New Roman" w:hAnsi="Times New Roman"/>
          <w:sz w:val="24"/>
          <w:szCs w:val="24"/>
        </w:rPr>
        <w:t>summarize the</w:t>
      </w:r>
      <w:r w:rsidR="00135203">
        <w:rPr>
          <w:rFonts w:ascii="Times New Roman" w:hAnsi="Times New Roman"/>
          <w:sz w:val="24"/>
          <w:szCs w:val="24"/>
        </w:rPr>
        <w:t xml:space="preserve"> survey.</w:t>
      </w:r>
      <w:r w:rsidR="00E46C69">
        <w:rPr>
          <w:rFonts w:ascii="Times New Roman" w:hAnsi="Times New Roman"/>
          <w:sz w:val="24"/>
          <w:szCs w:val="24"/>
        </w:rPr>
        <w:t xml:space="preserve"> results</w:t>
      </w:r>
      <w:r w:rsidRPr="0034561C">
        <w:rPr>
          <w:rFonts w:ascii="Times New Roman" w:hAnsi="Times New Roman"/>
          <w:sz w:val="24"/>
          <w:szCs w:val="24"/>
        </w:rPr>
        <w:t>.</w:t>
      </w:r>
    </w:p>
    <w:p w:rsidR="001E4660" w:rsidRPr="0034561C" w:rsidP="00376118" w14:paraId="73E6608E" w14:textId="77777777">
      <w:pPr>
        <w:pStyle w:val="ListParagraph"/>
        <w:spacing w:after="0" w:line="240" w:lineRule="auto"/>
        <w:rPr>
          <w:rFonts w:ascii="Times New Roman" w:hAnsi="Times New Roman"/>
          <w:sz w:val="24"/>
          <w:szCs w:val="24"/>
        </w:rPr>
      </w:pPr>
    </w:p>
    <w:p w:rsidR="004C25F2" w:rsidRPr="004C25F2" w:rsidP="00D64550" w14:paraId="6813259D" w14:textId="77777777">
      <w:pPr>
        <w:widowControl w:val="0"/>
        <w:numPr>
          <w:ilvl w:val="0"/>
          <w:numId w:val="22"/>
        </w:numPr>
        <w:tabs>
          <w:tab w:val="left" w:pos="-1440"/>
        </w:tabs>
        <w:spacing w:after="0" w:line="240" w:lineRule="auto"/>
        <w:ind w:left="720" w:hanging="450"/>
        <w:rPr>
          <w:rFonts w:ascii="Times New Roman" w:hAnsi="Times New Roman"/>
          <w:b/>
          <w:sz w:val="24"/>
          <w:szCs w:val="24"/>
        </w:rPr>
      </w:pPr>
      <w:r>
        <w:rPr>
          <w:rFonts w:ascii="Times New Roman" w:hAnsi="Times New Roman"/>
          <w:b/>
          <w:sz w:val="24"/>
          <w:szCs w:val="24"/>
        </w:rPr>
        <w:t>J</w:t>
      </w:r>
      <w:r w:rsidRPr="004C25F2">
        <w:rPr>
          <w:rFonts w:ascii="Times New Roman" w:hAnsi="Times New Roman"/>
          <w:b/>
          <w:sz w:val="24"/>
          <w:szCs w:val="24"/>
        </w:rPr>
        <w:t xml:space="preserve">ustification for </w:t>
      </w:r>
      <w:r>
        <w:rPr>
          <w:rFonts w:ascii="Times New Roman" w:hAnsi="Times New Roman"/>
          <w:b/>
          <w:sz w:val="24"/>
          <w:szCs w:val="24"/>
        </w:rPr>
        <w:t>S</w:t>
      </w:r>
      <w:r w:rsidRPr="004C25F2">
        <w:rPr>
          <w:rFonts w:ascii="Times New Roman" w:hAnsi="Times New Roman"/>
          <w:b/>
          <w:sz w:val="24"/>
          <w:szCs w:val="24"/>
        </w:rPr>
        <w:t xml:space="preserve">ensitive </w:t>
      </w:r>
      <w:r>
        <w:rPr>
          <w:rFonts w:ascii="Times New Roman" w:hAnsi="Times New Roman"/>
          <w:b/>
          <w:sz w:val="24"/>
          <w:szCs w:val="24"/>
        </w:rPr>
        <w:t>Questions</w:t>
      </w:r>
    </w:p>
    <w:p w:rsidR="00CA0397" w:rsidP="00376118" w14:paraId="4196E5F5" w14:textId="77777777">
      <w:pPr>
        <w:pStyle w:val="ListParagraph"/>
        <w:spacing w:after="0" w:line="240" w:lineRule="auto"/>
        <w:ind w:left="360" w:firstLine="360"/>
        <w:rPr>
          <w:rFonts w:ascii="Times New Roman" w:hAnsi="Times New Roman"/>
          <w:sz w:val="24"/>
          <w:szCs w:val="24"/>
        </w:rPr>
      </w:pPr>
    </w:p>
    <w:p w:rsidR="00F833AC" w:rsidP="00376118" w14:paraId="5500AD63" w14:textId="77777777">
      <w:pPr>
        <w:pStyle w:val="ListParagraph"/>
        <w:spacing w:after="0" w:line="240" w:lineRule="auto"/>
        <w:ind w:left="360" w:firstLine="360"/>
        <w:rPr>
          <w:rFonts w:ascii="Times New Roman" w:hAnsi="Times New Roman"/>
          <w:sz w:val="24"/>
          <w:szCs w:val="24"/>
        </w:rPr>
      </w:pPr>
      <w:r>
        <w:rPr>
          <w:rFonts w:ascii="Times New Roman" w:hAnsi="Times New Roman"/>
          <w:sz w:val="24"/>
          <w:szCs w:val="24"/>
        </w:rPr>
        <w:t>This survey does not</w:t>
      </w:r>
      <w:r w:rsidRPr="001064C6">
        <w:rPr>
          <w:rFonts w:ascii="Times New Roman" w:hAnsi="Times New Roman"/>
          <w:sz w:val="24"/>
          <w:szCs w:val="24"/>
        </w:rPr>
        <w:t xml:space="preserve"> collect any </w:t>
      </w:r>
      <w:r w:rsidR="004A1BAE">
        <w:rPr>
          <w:rFonts w:ascii="Times New Roman" w:hAnsi="Times New Roman"/>
          <w:sz w:val="24"/>
          <w:szCs w:val="24"/>
        </w:rPr>
        <w:t xml:space="preserve">PII </w:t>
      </w:r>
      <w:r w:rsidRPr="001064C6">
        <w:rPr>
          <w:rFonts w:ascii="Times New Roman" w:hAnsi="Times New Roman"/>
          <w:sz w:val="24"/>
          <w:szCs w:val="24"/>
        </w:rPr>
        <w:t>or sensitive information.</w:t>
      </w:r>
    </w:p>
    <w:p w:rsidR="001E4660" w:rsidRPr="001064C6" w:rsidP="00376118" w14:paraId="16089073" w14:textId="77777777">
      <w:pPr>
        <w:pStyle w:val="ListParagraph"/>
        <w:spacing w:after="0" w:line="240" w:lineRule="auto"/>
        <w:ind w:left="360" w:firstLine="360"/>
        <w:rPr>
          <w:rFonts w:ascii="Times New Roman" w:hAnsi="Times New Roman"/>
          <w:sz w:val="24"/>
          <w:szCs w:val="24"/>
        </w:rPr>
      </w:pPr>
    </w:p>
    <w:p w:rsidR="005B69A3" w:rsidP="00D64550" w14:paraId="619A4B51" w14:textId="77777777">
      <w:pPr>
        <w:numPr>
          <w:ilvl w:val="0"/>
          <w:numId w:val="22"/>
        </w:numPr>
        <w:tabs>
          <w:tab w:val="left" w:pos="-1440"/>
        </w:tabs>
        <w:spacing w:after="0" w:line="240" w:lineRule="auto"/>
        <w:ind w:left="810" w:hanging="540"/>
        <w:rPr>
          <w:rFonts w:ascii="Times New Roman" w:hAnsi="Times New Roman"/>
          <w:b/>
          <w:sz w:val="24"/>
          <w:szCs w:val="24"/>
        </w:rPr>
      </w:pPr>
      <w:r w:rsidRPr="005B69A3">
        <w:rPr>
          <w:rFonts w:ascii="Times New Roman" w:hAnsi="Times New Roman"/>
          <w:b/>
          <w:sz w:val="24"/>
          <w:szCs w:val="24"/>
        </w:rPr>
        <w:t>E</w:t>
      </w:r>
      <w:r w:rsidRPr="005B69A3" w:rsidR="0026048B">
        <w:rPr>
          <w:rFonts w:ascii="Times New Roman" w:hAnsi="Times New Roman"/>
          <w:b/>
          <w:sz w:val="24"/>
          <w:szCs w:val="24"/>
        </w:rPr>
        <w:t>stimate of</w:t>
      </w:r>
      <w:r w:rsidRPr="005B69A3">
        <w:rPr>
          <w:rFonts w:ascii="Times New Roman" w:hAnsi="Times New Roman"/>
          <w:b/>
          <w:sz w:val="24"/>
          <w:szCs w:val="24"/>
        </w:rPr>
        <w:t xml:space="preserve"> Annualized</w:t>
      </w:r>
      <w:r w:rsidRPr="005B69A3" w:rsidR="0026048B">
        <w:rPr>
          <w:rFonts w:ascii="Times New Roman" w:hAnsi="Times New Roman"/>
          <w:b/>
          <w:sz w:val="24"/>
          <w:szCs w:val="24"/>
        </w:rPr>
        <w:t xml:space="preserve"> </w:t>
      </w:r>
      <w:r w:rsidRPr="005B69A3">
        <w:rPr>
          <w:rFonts w:ascii="Times New Roman" w:hAnsi="Times New Roman"/>
          <w:b/>
          <w:sz w:val="24"/>
          <w:szCs w:val="24"/>
        </w:rPr>
        <w:t>B</w:t>
      </w:r>
      <w:r w:rsidRPr="005B69A3" w:rsidR="0026048B">
        <w:rPr>
          <w:rFonts w:ascii="Times New Roman" w:hAnsi="Times New Roman"/>
          <w:b/>
          <w:sz w:val="24"/>
          <w:szCs w:val="24"/>
        </w:rPr>
        <w:t xml:space="preserve">urden </w:t>
      </w:r>
      <w:r w:rsidRPr="005B69A3">
        <w:rPr>
          <w:rFonts w:ascii="Times New Roman" w:hAnsi="Times New Roman"/>
          <w:b/>
          <w:sz w:val="24"/>
          <w:szCs w:val="24"/>
        </w:rPr>
        <w:t xml:space="preserve">Hours and Cost </w:t>
      </w:r>
    </w:p>
    <w:p w:rsidR="005B69A3" w:rsidP="005B69A3" w14:paraId="77483D76" w14:textId="77777777">
      <w:pPr>
        <w:tabs>
          <w:tab w:val="left" w:pos="-1440"/>
        </w:tabs>
        <w:spacing w:after="0" w:line="240" w:lineRule="auto"/>
        <w:ind w:left="810"/>
        <w:rPr>
          <w:rFonts w:ascii="Times New Roman" w:hAnsi="Times New Roman"/>
          <w:b/>
          <w:sz w:val="24"/>
          <w:szCs w:val="24"/>
        </w:rPr>
      </w:pPr>
    </w:p>
    <w:p w:rsidR="005B69A3" w:rsidP="005B69A3" w14:paraId="296ACC4F" w14:textId="77777777">
      <w:pPr>
        <w:numPr>
          <w:ilvl w:val="0"/>
          <w:numId w:val="26"/>
        </w:numPr>
        <w:tabs>
          <w:tab w:val="left" w:pos="-1440"/>
        </w:tabs>
        <w:spacing w:after="0" w:line="240" w:lineRule="auto"/>
        <w:rPr>
          <w:rFonts w:ascii="Times New Roman" w:hAnsi="Times New Roman"/>
          <w:b/>
          <w:sz w:val="24"/>
          <w:szCs w:val="24"/>
        </w:rPr>
      </w:pPr>
      <w:r>
        <w:rPr>
          <w:rFonts w:ascii="Times New Roman" w:hAnsi="Times New Roman"/>
          <w:b/>
          <w:sz w:val="24"/>
          <w:szCs w:val="24"/>
        </w:rPr>
        <w:t>Estimated Annualized Burden Hours</w:t>
      </w:r>
    </w:p>
    <w:p w:rsidR="00C91CEA" w:rsidRPr="003363E7" w:rsidP="003363E7" w14:paraId="012CB0AB" w14:textId="77777777">
      <w:pPr>
        <w:tabs>
          <w:tab w:val="left" w:pos="-1440"/>
        </w:tabs>
        <w:spacing w:after="0" w:line="240" w:lineRule="auto"/>
        <w:rPr>
          <w:rFonts w:ascii="Times New Roman" w:hAnsi="Times New Roman"/>
          <w:bCs/>
          <w:sz w:val="24"/>
          <w:szCs w:val="24"/>
        </w:rPr>
      </w:pPr>
    </w:p>
    <w:p w:rsidR="000D36F0" w:rsidP="00C91CEA" w14:paraId="2A824BEA" w14:textId="77777777">
      <w:pPr>
        <w:tabs>
          <w:tab w:val="left" w:pos="-1440"/>
        </w:tabs>
        <w:spacing w:after="0" w:line="240" w:lineRule="auto"/>
        <w:rPr>
          <w:rFonts w:ascii="Times New Roman" w:eastAsia="Times New Roman" w:hAnsi="Times New Roman"/>
          <w:bCs/>
          <w:snapToGrid w:val="0"/>
          <w:sz w:val="24"/>
          <w:szCs w:val="20"/>
        </w:rPr>
      </w:pPr>
      <w:r>
        <w:rPr>
          <w:rFonts w:ascii="Times New Roman" w:eastAsia="Times New Roman" w:hAnsi="Times New Roman"/>
          <w:bCs/>
          <w:snapToGrid w:val="0"/>
          <w:sz w:val="24"/>
          <w:szCs w:val="20"/>
        </w:rPr>
        <w:tab/>
      </w:r>
      <w:r w:rsidRPr="003363E7" w:rsidR="005B69A3">
        <w:rPr>
          <w:rFonts w:ascii="Times New Roman" w:eastAsia="Times New Roman" w:hAnsi="Times New Roman"/>
          <w:bCs/>
          <w:snapToGrid w:val="0"/>
          <w:sz w:val="24"/>
          <w:szCs w:val="20"/>
        </w:rPr>
        <w:t xml:space="preserve">Approximately 600 </w:t>
      </w:r>
      <w:r>
        <w:rPr>
          <w:rFonts w:ascii="Times New Roman" w:eastAsia="Times New Roman" w:hAnsi="Times New Roman"/>
          <w:bCs/>
          <w:snapToGrid w:val="0"/>
          <w:sz w:val="24"/>
          <w:szCs w:val="20"/>
        </w:rPr>
        <w:t>alumnae</w:t>
      </w:r>
      <w:r>
        <w:rPr>
          <w:rFonts w:ascii="Times New Roman" w:eastAsia="Times New Roman" w:hAnsi="Times New Roman"/>
          <w:bCs/>
          <w:snapToGrid w:val="0"/>
          <w:sz w:val="24"/>
          <w:szCs w:val="20"/>
        </w:rPr>
        <w:t xml:space="preserve"> of the Academy </w:t>
      </w:r>
      <w:r w:rsidRPr="003363E7" w:rsidR="005B69A3">
        <w:rPr>
          <w:rFonts w:ascii="Times New Roman" w:eastAsia="Times New Roman" w:hAnsi="Times New Roman"/>
          <w:bCs/>
          <w:snapToGrid w:val="0"/>
          <w:sz w:val="24"/>
          <w:szCs w:val="20"/>
        </w:rPr>
        <w:t>will receive th</w:t>
      </w:r>
      <w:r>
        <w:rPr>
          <w:rFonts w:ascii="Times New Roman" w:eastAsia="Times New Roman" w:hAnsi="Times New Roman"/>
          <w:bCs/>
          <w:snapToGrid w:val="0"/>
          <w:sz w:val="24"/>
          <w:szCs w:val="20"/>
        </w:rPr>
        <w:t>is survey</w:t>
      </w:r>
      <w:r w:rsidRPr="003363E7" w:rsidR="005B69A3">
        <w:rPr>
          <w:rFonts w:ascii="Times New Roman" w:eastAsia="Times New Roman" w:hAnsi="Times New Roman"/>
          <w:bCs/>
          <w:snapToGrid w:val="0"/>
          <w:sz w:val="24"/>
          <w:szCs w:val="20"/>
        </w:rPr>
        <w:t xml:space="preserve"> annually</w:t>
      </w:r>
      <w:r>
        <w:rPr>
          <w:rFonts w:ascii="Times New Roman" w:eastAsia="Times New Roman" w:hAnsi="Times New Roman"/>
          <w:bCs/>
          <w:snapToGrid w:val="0"/>
          <w:sz w:val="24"/>
          <w:szCs w:val="20"/>
        </w:rPr>
        <w:t xml:space="preserve">. </w:t>
      </w:r>
      <w:r>
        <w:rPr>
          <w:rFonts w:ascii="Times New Roman" w:eastAsia="Times New Roman" w:hAnsi="Times New Roman"/>
          <w:bCs/>
          <w:snapToGrid w:val="0"/>
          <w:sz w:val="24"/>
          <w:szCs w:val="20"/>
        </w:rPr>
        <w:t xml:space="preserve"> The </w:t>
      </w:r>
    </w:p>
    <w:p w:rsidR="000D36F0" w:rsidP="003363E7" w14:paraId="63A727E6" w14:textId="77777777">
      <w:pPr>
        <w:tabs>
          <w:tab w:val="left" w:pos="-1440"/>
        </w:tabs>
        <w:spacing w:after="0" w:line="240" w:lineRule="auto"/>
        <w:ind w:left="720"/>
        <w:rPr>
          <w:rFonts w:ascii="Times New Roman" w:eastAsia="Times New Roman" w:hAnsi="Times New Roman"/>
          <w:bCs/>
          <w:snapToGrid w:val="0"/>
          <w:sz w:val="24"/>
          <w:szCs w:val="20"/>
        </w:rPr>
      </w:pPr>
      <w:r>
        <w:rPr>
          <w:rFonts w:ascii="Times New Roman" w:eastAsia="Times New Roman" w:hAnsi="Times New Roman"/>
          <w:bCs/>
          <w:snapToGrid w:val="0"/>
          <w:sz w:val="24"/>
          <w:szCs w:val="20"/>
        </w:rPr>
        <w:t xml:space="preserve">survey may be administered to </w:t>
      </w:r>
      <w:r w:rsidRPr="000D36F0">
        <w:rPr>
          <w:rFonts w:ascii="Times New Roman" w:eastAsia="Times New Roman" w:hAnsi="Times New Roman"/>
          <w:bCs/>
          <w:snapToGrid w:val="0"/>
          <w:sz w:val="24"/>
          <w:szCs w:val="20"/>
        </w:rPr>
        <w:t>one-year alumni</w:t>
      </w:r>
      <w:r>
        <w:rPr>
          <w:rFonts w:ascii="Times New Roman" w:eastAsia="Times New Roman" w:hAnsi="Times New Roman"/>
          <w:bCs/>
          <w:snapToGrid w:val="0"/>
          <w:sz w:val="24"/>
          <w:szCs w:val="20"/>
        </w:rPr>
        <w:t>.  S</w:t>
      </w:r>
      <w:r w:rsidRPr="000D36F0">
        <w:rPr>
          <w:rFonts w:ascii="Times New Roman" w:eastAsia="Times New Roman" w:hAnsi="Times New Roman"/>
          <w:bCs/>
          <w:snapToGrid w:val="0"/>
          <w:sz w:val="24"/>
          <w:szCs w:val="20"/>
        </w:rPr>
        <w:t xml:space="preserve">ubsets of </w:t>
      </w:r>
      <w:r>
        <w:rPr>
          <w:rFonts w:ascii="Times New Roman" w:eastAsia="Times New Roman" w:hAnsi="Times New Roman"/>
          <w:bCs/>
          <w:snapToGrid w:val="0"/>
          <w:sz w:val="24"/>
          <w:szCs w:val="20"/>
        </w:rPr>
        <w:t xml:space="preserve">the survey may be distributed </w:t>
      </w:r>
      <w:r w:rsidRPr="000D36F0">
        <w:rPr>
          <w:rFonts w:ascii="Times New Roman" w:eastAsia="Times New Roman" w:hAnsi="Times New Roman"/>
          <w:bCs/>
          <w:snapToGrid w:val="0"/>
          <w:sz w:val="24"/>
          <w:szCs w:val="20"/>
        </w:rPr>
        <w:t>to the five-year and ten-year graduates</w:t>
      </w:r>
      <w:r>
        <w:rPr>
          <w:rFonts w:ascii="Times New Roman" w:eastAsia="Times New Roman" w:hAnsi="Times New Roman"/>
          <w:bCs/>
          <w:snapToGrid w:val="0"/>
          <w:sz w:val="24"/>
          <w:szCs w:val="20"/>
        </w:rPr>
        <w:t xml:space="preserve"> of the Academy as well</w:t>
      </w:r>
      <w:r w:rsidRPr="000D36F0">
        <w:rPr>
          <w:rFonts w:ascii="Times New Roman" w:eastAsia="Times New Roman" w:hAnsi="Times New Roman"/>
          <w:bCs/>
          <w:snapToGrid w:val="0"/>
          <w:sz w:val="24"/>
          <w:szCs w:val="20"/>
        </w:rPr>
        <w:t xml:space="preserve">. </w:t>
      </w:r>
      <w:r>
        <w:rPr>
          <w:rFonts w:ascii="Times New Roman" w:eastAsia="Times New Roman" w:hAnsi="Times New Roman"/>
          <w:bCs/>
          <w:snapToGrid w:val="0"/>
          <w:sz w:val="24"/>
          <w:szCs w:val="20"/>
        </w:rPr>
        <w:t xml:space="preserve"> </w:t>
      </w:r>
      <w:r w:rsidR="00C91CEA">
        <w:rPr>
          <w:rFonts w:ascii="Times New Roman" w:eastAsia="Times New Roman" w:hAnsi="Times New Roman"/>
          <w:bCs/>
          <w:snapToGrid w:val="0"/>
          <w:sz w:val="24"/>
          <w:szCs w:val="20"/>
        </w:rPr>
        <w:t xml:space="preserve">Each </w:t>
      </w:r>
      <w:r w:rsidR="00C91CEA">
        <w:rPr>
          <w:rFonts w:ascii="Times New Roman" w:eastAsia="Times New Roman" w:hAnsi="Times New Roman"/>
          <w:bCs/>
          <w:snapToGrid w:val="0"/>
          <w:sz w:val="24"/>
          <w:szCs w:val="20"/>
        </w:rPr>
        <w:t xml:space="preserve">respondent will take approximately 15 </w:t>
      </w:r>
      <w:r>
        <w:rPr>
          <w:rFonts w:ascii="Times New Roman" w:eastAsia="Times New Roman" w:hAnsi="Times New Roman"/>
          <w:bCs/>
          <w:snapToGrid w:val="0"/>
          <w:sz w:val="24"/>
          <w:szCs w:val="20"/>
        </w:rPr>
        <w:t>minutes</w:t>
      </w:r>
      <w:r w:rsidR="00C91CEA">
        <w:rPr>
          <w:rFonts w:ascii="Times New Roman" w:eastAsia="Times New Roman" w:hAnsi="Times New Roman"/>
          <w:bCs/>
          <w:snapToGrid w:val="0"/>
          <w:sz w:val="24"/>
          <w:szCs w:val="20"/>
        </w:rPr>
        <w:t xml:space="preserve"> (o</w:t>
      </w:r>
      <w:r>
        <w:rPr>
          <w:rFonts w:ascii="Times New Roman" w:eastAsia="Times New Roman" w:hAnsi="Times New Roman"/>
          <w:bCs/>
          <w:snapToGrid w:val="0"/>
          <w:sz w:val="24"/>
          <w:szCs w:val="20"/>
        </w:rPr>
        <w:t xml:space="preserve">r .25 hours) to respond once to this collection.  Therefore, the total burden hours for this collection are 150, which can be </w:t>
      </w:r>
    </w:p>
    <w:p w:rsidR="005B69A3" w:rsidRPr="003363E7" w:rsidP="003363E7" w14:paraId="1EB28A5F" w14:textId="77777777">
      <w:pPr>
        <w:tabs>
          <w:tab w:val="left" w:pos="-1440"/>
        </w:tabs>
        <w:spacing w:after="0" w:line="240" w:lineRule="auto"/>
        <w:rPr>
          <w:rFonts w:ascii="Times New Roman" w:eastAsia="Times New Roman" w:hAnsi="Times New Roman"/>
          <w:bCs/>
          <w:snapToGrid w:val="0"/>
          <w:sz w:val="24"/>
          <w:szCs w:val="20"/>
        </w:rPr>
      </w:pPr>
      <w:r>
        <w:rPr>
          <w:rFonts w:ascii="Times New Roman" w:eastAsia="Times New Roman" w:hAnsi="Times New Roman"/>
          <w:bCs/>
          <w:snapToGrid w:val="0"/>
          <w:sz w:val="24"/>
          <w:szCs w:val="20"/>
        </w:rPr>
        <w:t xml:space="preserve"> </w:t>
      </w:r>
      <w:r>
        <w:rPr>
          <w:rFonts w:ascii="Times New Roman" w:eastAsia="Times New Roman" w:hAnsi="Times New Roman"/>
          <w:bCs/>
          <w:snapToGrid w:val="0"/>
          <w:sz w:val="24"/>
          <w:szCs w:val="20"/>
        </w:rPr>
        <w:tab/>
        <w:t>calculated as shown in the table below:</w:t>
      </w:r>
    </w:p>
    <w:p w:rsidR="000D36F0" w:rsidP="005B69A3" w14:paraId="42731835" w14:textId="77777777">
      <w:pPr>
        <w:tabs>
          <w:tab w:val="left" w:pos="-1440"/>
        </w:tabs>
        <w:spacing w:after="0" w:line="240" w:lineRule="auto"/>
        <w:ind w:left="1080"/>
        <w:rPr>
          <w:sz w:val="20"/>
          <w:szCs w:val="20"/>
        </w:rPr>
      </w:pPr>
      <w:r>
        <w:rPr>
          <w:snapToGrid w:val="0"/>
        </w:rPr>
        <w:fldChar w:fldCharType="begin"/>
      </w:r>
      <w:r>
        <w:rPr>
          <w:snapToGrid w:val="0"/>
        </w:rPr>
        <w:instrText xml:space="preserve"> LINK Excel.Sheet.12 "C:\\Users\\tamelia.bolton\\Desktop\\IC Program\\MARAD Information Collections Tracker.xlsx" "12a. Annualized Burden Hours!R152C1:R154C9" \a \f 4 \h  \* MERGEFORMAT </w:instrText>
      </w:r>
      <w:r>
        <w:rPr>
          <w:snapToGrid w:val="0"/>
        </w:rPr>
        <w:fldChar w:fldCharType="separate"/>
      </w:r>
    </w:p>
    <w:tbl>
      <w:tblPr>
        <w:tblW w:w="11010" w:type="dxa"/>
        <w:tblInd w:w="-15" w:type="dxa"/>
        <w:tblLook w:val="04A0"/>
      </w:tblPr>
      <w:tblGrid>
        <w:gridCol w:w="1415"/>
        <w:gridCol w:w="583"/>
        <w:gridCol w:w="1652"/>
        <w:gridCol w:w="662"/>
        <w:gridCol w:w="1782"/>
        <w:gridCol w:w="660"/>
        <w:gridCol w:w="1760"/>
        <w:gridCol w:w="510"/>
        <w:gridCol w:w="1056"/>
        <w:gridCol w:w="930"/>
      </w:tblGrid>
      <w:tr w14:paraId="16C6AE1E" w14:textId="77777777" w:rsidTr="003D32B6">
        <w:tblPrEx>
          <w:tblW w:w="11010" w:type="dxa"/>
          <w:tblInd w:w="-15" w:type="dxa"/>
          <w:tblLook w:val="04A0"/>
        </w:tblPrEx>
        <w:trPr>
          <w:gridAfter w:val="1"/>
          <w:wAfter w:w="930" w:type="dxa"/>
          <w:trHeight w:val="708"/>
        </w:trPr>
        <w:tc>
          <w:tcPr>
            <w:tcW w:w="900" w:type="dxa"/>
            <w:tcBorders>
              <w:top w:val="single" w:sz="12" w:space="0" w:color="auto"/>
              <w:left w:val="single" w:sz="12" w:space="0" w:color="auto"/>
              <w:bottom w:val="single" w:sz="12" w:space="0" w:color="auto"/>
              <w:right w:val="single" w:sz="12" w:space="0" w:color="auto"/>
            </w:tcBorders>
            <w:shd w:val="clear" w:color="000000" w:fill="D0CECE"/>
            <w:vAlign w:val="center"/>
            <w:hideMark/>
          </w:tcPr>
          <w:p w:rsidR="000D36F0" w:rsidRPr="003363E7" w:rsidP="003363E7" w14:paraId="54747DD9" w14:textId="77777777">
            <w:pPr>
              <w:spacing w:after="0" w:line="240" w:lineRule="auto"/>
              <w:jc w:val="center"/>
              <w:rPr>
                <w:rFonts w:ascii="Times New Roman" w:eastAsia="Times New Roman" w:hAnsi="Times New Roman"/>
                <w:b/>
                <w:bCs/>
                <w:color w:val="000000"/>
              </w:rPr>
            </w:pPr>
            <w:r w:rsidRPr="003363E7">
              <w:rPr>
                <w:rFonts w:ascii="Times New Roman" w:eastAsia="Times New Roman" w:hAnsi="Times New Roman"/>
                <w:b/>
                <w:bCs/>
                <w:color w:val="000000"/>
              </w:rPr>
              <w:t>Total Respondents</w:t>
            </w:r>
          </w:p>
        </w:tc>
        <w:tc>
          <w:tcPr>
            <w:tcW w:w="630" w:type="dxa"/>
            <w:tcBorders>
              <w:top w:val="single" w:sz="12" w:space="0" w:color="auto"/>
              <w:left w:val="nil"/>
              <w:bottom w:val="single" w:sz="12" w:space="0" w:color="auto"/>
              <w:right w:val="single" w:sz="12" w:space="0" w:color="auto"/>
            </w:tcBorders>
            <w:shd w:val="clear" w:color="000000" w:fill="D0CECE"/>
            <w:vAlign w:val="center"/>
            <w:hideMark/>
          </w:tcPr>
          <w:p w:rsidR="000D36F0" w:rsidRPr="003363E7" w:rsidP="003363E7" w14:paraId="140CCA72" w14:textId="77777777">
            <w:pPr>
              <w:spacing w:after="0" w:line="240" w:lineRule="auto"/>
              <w:rPr>
                <w:rFonts w:ascii="Times New Roman" w:eastAsia="Times New Roman" w:hAnsi="Times New Roman"/>
                <w:color w:val="000000"/>
              </w:rPr>
            </w:pPr>
            <w:r w:rsidRPr="003363E7">
              <w:rPr>
                <w:rFonts w:ascii="Times New Roman" w:eastAsia="Times New Roman" w:hAnsi="Times New Roman"/>
                <w:color w:val="000000"/>
              </w:rPr>
              <w:t> </w:t>
            </w:r>
          </w:p>
        </w:tc>
        <w:tc>
          <w:tcPr>
            <w:tcW w:w="1710" w:type="dxa"/>
            <w:tcBorders>
              <w:top w:val="single" w:sz="12" w:space="0" w:color="auto"/>
              <w:left w:val="nil"/>
              <w:bottom w:val="single" w:sz="12" w:space="0" w:color="auto"/>
              <w:right w:val="single" w:sz="12" w:space="0" w:color="auto"/>
            </w:tcBorders>
            <w:shd w:val="clear" w:color="000000" w:fill="D0CECE"/>
            <w:vAlign w:val="center"/>
            <w:hideMark/>
          </w:tcPr>
          <w:p w:rsidR="000D36F0" w:rsidRPr="003363E7" w:rsidP="003363E7" w14:paraId="49BF3E5F" w14:textId="77777777">
            <w:pPr>
              <w:spacing w:after="0" w:line="240" w:lineRule="auto"/>
              <w:jc w:val="center"/>
              <w:rPr>
                <w:rFonts w:ascii="Times New Roman" w:eastAsia="Times New Roman" w:hAnsi="Times New Roman"/>
                <w:b/>
                <w:bCs/>
                <w:color w:val="000000"/>
              </w:rPr>
            </w:pPr>
            <w:r w:rsidRPr="003363E7">
              <w:rPr>
                <w:rFonts w:ascii="Times New Roman" w:eastAsia="Times New Roman" w:hAnsi="Times New Roman"/>
                <w:b/>
                <w:bCs/>
                <w:color w:val="000000"/>
              </w:rPr>
              <w:t>Total Responses per Respondent</w:t>
            </w:r>
          </w:p>
        </w:tc>
        <w:tc>
          <w:tcPr>
            <w:tcW w:w="720" w:type="dxa"/>
            <w:tcBorders>
              <w:top w:val="single" w:sz="12" w:space="0" w:color="auto"/>
              <w:left w:val="nil"/>
              <w:bottom w:val="single" w:sz="12" w:space="0" w:color="auto"/>
              <w:right w:val="single" w:sz="12" w:space="0" w:color="auto"/>
            </w:tcBorders>
            <w:shd w:val="clear" w:color="000000" w:fill="D0CECE"/>
            <w:vAlign w:val="center"/>
            <w:hideMark/>
          </w:tcPr>
          <w:p w:rsidR="000D36F0" w:rsidRPr="003363E7" w:rsidP="003363E7" w14:paraId="48C89CE0" w14:textId="77777777">
            <w:pPr>
              <w:spacing w:after="0" w:line="240" w:lineRule="auto"/>
              <w:jc w:val="center"/>
              <w:rPr>
                <w:rFonts w:ascii="Times New Roman" w:eastAsia="Times New Roman" w:hAnsi="Times New Roman"/>
                <w:b/>
                <w:bCs/>
                <w:color w:val="000000"/>
              </w:rPr>
            </w:pPr>
            <w:r w:rsidRPr="003363E7">
              <w:rPr>
                <w:rFonts w:ascii="Times New Roman" w:eastAsia="Times New Roman" w:hAnsi="Times New Roman"/>
                <w:b/>
                <w:bCs/>
                <w:color w:val="000000"/>
              </w:rPr>
              <w:t> </w:t>
            </w:r>
          </w:p>
        </w:tc>
        <w:tc>
          <w:tcPr>
            <w:tcW w:w="1890" w:type="dxa"/>
            <w:tcBorders>
              <w:top w:val="single" w:sz="12" w:space="0" w:color="auto"/>
              <w:left w:val="nil"/>
              <w:bottom w:val="single" w:sz="12" w:space="0" w:color="auto"/>
              <w:right w:val="single" w:sz="12" w:space="0" w:color="auto"/>
            </w:tcBorders>
            <w:shd w:val="clear" w:color="000000" w:fill="D0CECE"/>
            <w:vAlign w:val="center"/>
            <w:hideMark/>
          </w:tcPr>
          <w:p w:rsidR="000D36F0" w:rsidRPr="003363E7" w:rsidP="003363E7" w14:paraId="53371976" w14:textId="77777777">
            <w:pPr>
              <w:spacing w:after="0" w:line="240" w:lineRule="auto"/>
              <w:jc w:val="center"/>
              <w:rPr>
                <w:rFonts w:ascii="Times New Roman" w:eastAsia="Times New Roman" w:hAnsi="Times New Roman"/>
                <w:b/>
                <w:bCs/>
                <w:color w:val="000000"/>
              </w:rPr>
            </w:pPr>
            <w:r w:rsidRPr="003363E7">
              <w:rPr>
                <w:rFonts w:ascii="Times New Roman" w:eastAsia="Times New Roman" w:hAnsi="Times New Roman"/>
                <w:b/>
                <w:bCs/>
                <w:color w:val="000000"/>
              </w:rPr>
              <w:t>Total Responses</w:t>
            </w:r>
          </w:p>
        </w:tc>
        <w:tc>
          <w:tcPr>
            <w:tcW w:w="720" w:type="dxa"/>
            <w:tcBorders>
              <w:top w:val="single" w:sz="12" w:space="0" w:color="auto"/>
              <w:left w:val="nil"/>
              <w:bottom w:val="single" w:sz="12" w:space="0" w:color="auto"/>
              <w:right w:val="single" w:sz="12" w:space="0" w:color="auto"/>
            </w:tcBorders>
            <w:shd w:val="clear" w:color="000000" w:fill="D0CECE"/>
            <w:vAlign w:val="center"/>
            <w:hideMark/>
          </w:tcPr>
          <w:p w:rsidR="000D36F0" w:rsidRPr="003363E7" w:rsidP="003363E7" w14:paraId="03D8A6C7" w14:textId="77777777">
            <w:pPr>
              <w:spacing w:after="0" w:line="240" w:lineRule="auto"/>
              <w:jc w:val="center"/>
              <w:rPr>
                <w:rFonts w:ascii="Times New Roman" w:eastAsia="Times New Roman" w:hAnsi="Times New Roman"/>
                <w:b/>
                <w:bCs/>
                <w:color w:val="000000"/>
              </w:rPr>
            </w:pPr>
            <w:r w:rsidRPr="003363E7">
              <w:rPr>
                <w:rFonts w:ascii="Times New Roman" w:eastAsia="Times New Roman" w:hAnsi="Times New Roman"/>
                <w:b/>
                <w:bCs/>
                <w:color w:val="000000"/>
              </w:rPr>
              <w:t> </w:t>
            </w:r>
          </w:p>
        </w:tc>
        <w:tc>
          <w:tcPr>
            <w:tcW w:w="1890" w:type="dxa"/>
            <w:tcBorders>
              <w:top w:val="single" w:sz="12" w:space="0" w:color="auto"/>
              <w:left w:val="nil"/>
              <w:bottom w:val="single" w:sz="12" w:space="0" w:color="auto"/>
              <w:right w:val="single" w:sz="12" w:space="0" w:color="auto"/>
            </w:tcBorders>
            <w:shd w:val="clear" w:color="000000" w:fill="D0CECE"/>
            <w:vAlign w:val="center"/>
            <w:hideMark/>
          </w:tcPr>
          <w:p w:rsidR="000D36F0" w:rsidRPr="003363E7" w:rsidP="003363E7" w14:paraId="2982CAC7" w14:textId="77777777">
            <w:pPr>
              <w:spacing w:after="0" w:line="240" w:lineRule="auto"/>
              <w:jc w:val="center"/>
              <w:rPr>
                <w:rFonts w:ascii="Times New Roman" w:eastAsia="Times New Roman" w:hAnsi="Times New Roman"/>
                <w:b/>
                <w:bCs/>
                <w:color w:val="000000"/>
              </w:rPr>
            </w:pPr>
            <w:r w:rsidRPr="003363E7">
              <w:rPr>
                <w:rFonts w:ascii="Times New Roman" w:eastAsia="Times New Roman" w:hAnsi="Times New Roman"/>
                <w:b/>
                <w:bCs/>
                <w:color w:val="000000"/>
              </w:rPr>
              <w:t>Average Time Taken to Respond (Hour)</w:t>
            </w:r>
          </w:p>
        </w:tc>
        <w:tc>
          <w:tcPr>
            <w:tcW w:w="540" w:type="dxa"/>
            <w:tcBorders>
              <w:top w:val="single" w:sz="12" w:space="0" w:color="auto"/>
              <w:left w:val="nil"/>
              <w:bottom w:val="single" w:sz="12" w:space="0" w:color="auto"/>
              <w:right w:val="single" w:sz="12" w:space="0" w:color="auto"/>
            </w:tcBorders>
            <w:shd w:val="clear" w:color="000000" w:fill="D0CECE"/>
            <w:vAlign w:val="center"/>
            <w:hideMark/>
          </w:tcPr>
          <w:p w:rsidR="000D36F0" w:rsidRPr="003363E7" w:rsidP="003363E7" w14:paraId="19AA0DC3" w14:textId="77777777">
            <w:pPr>
              <w:spacing w:after="0" w:line="240" w:lineRule="auto"/>
              <w:jc w:val="center"/>
              <w:rPr>
                <w:rFonts w:ascii="Times New Roman" w:eastAsia="Times New Roman" w:hAnsi="Times New Roman"/>
                <w:b/>
                <w:bCs/>
                <w:color w:val="000000"/>
              </w:rPr>
            </w:pPr>
            <w:r w:rsidRPr="003363E7">
              <w:rPr>
                <w:rFonts w:ascii="Times New Roman" w:eastAsia="Times New Roman" w:hAnsi="Times New Roman"/>
                <w:b/>
                <w:bCs/>
                <w:color w:val="000000"/>
              </w:rPr>
              <w:t> </w:t>
            </w:r>
          </w:p>
        </w:tc>
        <w:tc>
          <w:tcPr>
            <w:tcW w:w="1080" w:type="dxa"/>
            <w:tcBorders>
              <w:top w:val="single" w:sz="12" w:space="0" w:color="auto"/>
              <w:left w:val="nil"/>
              <w:bottom w:val="single" w:sz="12" w:space="0" w:color="auto"/>
              <w:right w:val="single" w:sz="12" w:space="0" w:color="auto"/>
            </w:tcBorders>
            <w:shd w:val="clear" w:color="000000" w:fill="D0CECE"/>
            <w:vAlign w:val="center"/>
            <w:hideMark/>
          </w:tcPr>
          <w:p w:rsidR="000D36F0" w:rsidRPr="003363E7" w:rsidP="003363E7" w14:paraId="2BDEA0AC" w14:textId="77777777">
            <w:pPr>
              <w:spacing w:after="0" w:line="240" w:lineRule="auto"/>
              <w:jc w:val="center"/>
              <w:rPr>
                <w:rFonts w:ascii="Times New Roman" w:eastAsia="Times New Roman" w:hAnsi="Times New Roman"/>
                <w:b/>
                <w:bCs/>
                <w:color w:val="000000"/>
              </w:rPr>
            </w:pPr>
            <w:r w:rsidRPr="003363E7">
              <w:rPr>
                <w:rFonts w:ascii="Times New Roman" w:eastAsia="Times New Roman" w:hAnsi="Times New Roman"/>
                <w:b/>
                <w:bCs/>
                <w:color w:val="000000"/>
              </w:rPr>
              <w:t>Total Burden Hours</w:t>
            </w:r>
          </w:p>
        </w:tc>
      </w:tr>
      <w:tr w14:paraId="33DA19CB" w14:textId="77777777" w:rsidTr="006D5521">
        <w:tblPrEx>
          <w:tblW w:w="11010" w:type="dxa"/>
          <w:tblInd w:w="-15" w:type="dxa"/>
          <w:tblLook w:val="04A0"/>
        </w:tblPrEx>
        <w:trPr>
          <w:gridAfter w:val="1"/>
          <w:wAfter w:w="930" w:type="dxa"/>
          <w:trHeight w:val="300"/>
        </w:trPr>
        <w:tc>
          <w:tcPr>
            <w:tcW w:w="900" w:type="dxa"/>
            <w:vMerge w:val="restart"/>
            <w:tcBorders>
              <w:top w:val="nil"/>
              <w:left w:val="single" w:sz="12" w:space="0" w:color="auto"/>
              <w:bottom w:val="single" w:sz="12" w:space="0" w:color="000000"/>
              <w:right w:val="single" w:sz="12" w:space="0" w:color="auto"/>
            </w:tcBorders>
            <w:shd w:val="clear" w:color="auto" w:fill="auto"/>
            <w:vAlign w:val="center"/>
            <w:hideMark/>
          </w:tcPr>
          <w:p w:rsidR="000D36F0" w:rsidRPr="003363E7" w:rsidP="003363E7" w14:paraId="5F128140" w14:textId="77777777">
            <w:pPr>
              <w:spacing w:after="0" w:line="240" w:lineRule="auto"/>
              <w:jc w:val="center"/>
              <w:rPr>
                <w:rFonts w:ascii="Times New Roman" w:eastAsia="Times New Roman" w:hAnsi="Times New Roman"/>
                <w:color w:val="000000"/>
              </w:rPr>
            </w:pPr>
            <w:r w:rsidRPr="003363E7">
              <w:rPr>
                <w:rFonts w:ascii="Times New Roman" w:eastAsia="Times New Roman" w:hAnsi="Times New Roman"/>
                <w:color w:val="000000"/>
              </w:rPr>
              <w:t>600</w:t>
            </w:r>
          </w:p>
        </w:tc>
        <w:tc>
          <w:tcPr>
            <w:tcW w:w="630" w:type="dxa"/>
            <w:vMerge w:val="restart"/>
            <w:tcBorders>
              <w:top w:val="nil"/>
              <w:left w:val="single" w:sz="12" w:space="0" w:color="auto"/>
              <w:bottom w:val="single" w:sz="12" w:space="0" w:color="000000"/>
              <w:right w:val="single" w:sz="12" w:space="0" w:color="auto"/>
            </w:tcBorders>
            <w:shd w:val="clear" w:color="auto" w:fill="auto"/>
            <w:vAlign w:val="center"/>
            <w:hideMark/>
          </w:tcPr>
          <w:p w:rsidR="000D36F0" w:rsidRPr="003363E7" w:rsidP="003363E7" w14:paraId="63F5519C" w14:textId="77777777">
            <w:pPr>
              <w:spacing w:after="0" w:line="240" w:lineRule="auto"/>
              <w:jc w:val="center"/>
              <w:rPr>
                <w:rFonts w:ascii="Times New Roman" w:eastAsia="Times New Roman" w:hAnsi="Times New Roman"/>
                <w:color w:val="000000"/>
              </w:rPr>
            </w:pPr>
            <w:r w:rsidRPr="003363E7">
              <w:rPr>
                <w:rFonts w:ascii="Times New Roman" w:eastAsia="Times New Roman" w:hAnsi="Times New Roman"/>
                <w:color w:val="000000"/>
              </w:rPr>
              <w:t>*</w:t>
            </w:r>
          </w:p>
        </w:tc>
        <w:tc>
          <w:tcPr>
            <w:tcW w:w="1710" w:type="dxa"/>
            <w:vMerge w:val="restart"/>
            <w:tcBorders>
              <w:top w:val="nil"/>
              <w:left w:val="single" w:sz="12" w:space="0" w:color="auto"/>
              <w:bottom w:val="single" w:sz="12" w:space="0" w:color="000000"/>
              <w:right w:val="single" w:sz="12" w:space="0" w:color="auto"/>
            </w:tcBorders>
            <w:shd w:val="clear" w:color="auto" w:fill="auto"/>
            <w:vAlign w:val="center"/>
            <w:hideMark/>
          </w:tcPr>
          <w:p w:rsidR="000D36F0" w:rsidRPr="003363E7" w:rsidP="003363E7" w14:paraId="5548B3F3" w14:textId="77777777">
            <w:pPr>
              <w:spacing w:after="0" w:line="240" w:lineRule="auto"/>
              <w:jc w:val="center"/>
              <w:rPr>
                <w:rFonts w:ascii="Times New Roman" w:eastAsia="Times New Roman" w:hAnsi="Times New Roman"/>
                <w:color w:val="000000"/>
              </w:rPr>
            </w:pPr>
            <w:r w:rsidRPr="003363E7">
              <w:rPr>
                <w:rFonts w:ascii="Times New Roman" w:eastAsia="Times New Roman" w:hAnsi="Times New Roman"/>
                <w:color w:val="000000"/>
              </w:rPr>
              <w:t>1</w:t>
            </w:r>
          </w:p>
        </w:tc>
        <w:tc>
          <w:tcPr>
            <w:tcW w:w="720" w:type="dxa"/>
            <w:vMerge w:val="restart"/>
            <w:tcBorders>
              <w:top w:val="nil"/>
              <w:left w:val="single" w:sz="12" w:space="0" w:color="auto"/>
              <w:bottom w:val="single" w:sz="12" w:space="0" w:color="000000"/>
              <w:right w:val="single" w:sz="12" w:space="0" w:color="auto"/>
            </w:tcBorders>
            <w:shd w:val="clear" w:color="auto" w:fill="auto"/>
            <w:vAlign w:val="center"/>
            <w:hideMark/>
          </w:tcPr>
          <w:p w:rsidR="000D36F0" w:rsidRPr="003363E7" w:rsidP="003363E7" w14:paraId="612C48CB" w14:textId="77777777">
            <w:pPr>
              <w:spacing w:after="0" w:line="240" w:lineRule="auto"/>
              <w:jc w:val="center"/>
              <w:rPr>
                <w:rFonts w:ascii="Times New Roman" w:eastAsia="Times New Roman" w:hAnsi="Times New Roman"/>
                <w:color w:val="000000"/>
              </w:rPr>
            </w:pPr>
            <w:r w:rsidRPr="003363E7">
              <w:rPr>
                <w:rFonts w:ascii="Times New Roman" w:eastAsia="Times New Roman" w:hAnsi="Times New Roman"/>
                <w:color w:val="000000"/>
              </w:rPr>
              <w:t>=</w:t>
            </w:r>
          </w:p>
        </w:tc>
        <w:tc>
          <w:tcPr>
            <w:tcW w:w="1890" w:type="dxa"/>
            <w:vMerge w:val="restart"/>
            <w:tcBorders>
              <w:top w:val="nil"/>
              <w:left w:val="single" w:sz="12" w:space="0" w:color="auto"/>
              <w:bottom w:val="single" w:sz="12" w:space="0" w:color="000000"/>
              <w:right w:val="single" w:sz="12" w:space="0" w:color="auto"/>
            </w:tcBorders>
            <w:shd w:val="clear" w:color="auto" w:fill="auto"/>
            <w:vAlign w:val="center"/>
            <w:hideMark/>
          </w:tcPr>
          <w:p w:rsidR="000D36F0" w:rsidRPr="003363E7" w:rsidP="003363E7" w14:paraId="7AF17393" w14:textId="77777777">
            <w:pPr>
              <w:spacing w:after="0" w:line="240" w:lineRule="auto"/>
              <w:jc w:val="center"/>
              <w:rPr>
                <w:rFonts w:ascii="Times New Roman" w:eastAsia="Times New Roman" w:hAnsi="Times New Roman"/>
                <w:color w:val="000000"/>
              </w:rPr>
            </w:pPr>
            <w:r w:rsidRPr="003363E7">
              <w:rPr>
                <w:rFonts w:ascii="Times New Roman" w:eastAsia="Times New Roman" w:hAnsi="Times New Roman"/>
                <w:color w:val="000000"/>
              </w:rPr>
              <w:t>600</w:t>
            </w:r>
          </w:p>
        </w:tc>
        <w:tc>
          <w:tcPr>
            <w:tcW w:w="720" w:type="dxa"/>
            <w:vMerge w:val="restart"/>
            <w:tcBorders>
              <w:top w:val="nil"/>
              <w:left w:val="single" w:sz="12" w:space="0" w:color="auto"/>
              <w:bottom w:val="single" w:sz="12" w:space="0" w:color="000000"/>
              <w:right w:val="single" w:sz="12" w:space="0" w:color="auto"/>
            </w:tcBorders>
            <w:shd w:val="clear" w:color="auto" w:fill="auto"/>
            <w:vAlign w:val="center"/>
            <w:hideMark/>
          </w:tcPr>
          <w:p w:rsidR="000D36F0" w:rsidRPr="003363E7" w:rsidP="003363E7" w14:paraId="1BEBDAD2" w14:textId="77777777">
            <w:pPr>
              <w:spacing w:after="0" w:line="240" w:lineRule="auto"/>
              <w:jc w:val="center"/>
              <w:rPr>
                <w:rFonts w:ascii="Times New Roman" w:eastAsia="Times New Roman" w:hAnsi="Times New Roman"/>
                <w:color w:val="000000"/>
              </w:rPr>
            </w:pPr>
            <w:r w:rsidRPr="003363E7">
              <w:rPr>
                <w:rFonts w:ascii="Times New Roman" w:eastAsia="Times New Roman" w:hAnsi="Times New Roman"/>
                <w:color w:val="000000"/>
              </w:rPr>
              <w:t>*</w:t>
            </w:r>
          </w:p>
        </w:tc>
        <w:tc>
          <w:tcPr>
            <w:tcW w:w="1890" w:type="dxa"/>
            <w:vMerge w:val="restart"/>
            <w:tcBorders>
              <w:top w:val="nil"/>
              <w:left w:val="single" w:sz="12" w:space="0" w:color="auto"/>
              <w:bottom w:val="single" w:sz="12" w:space="0" w:color="000000"/>
              <w:right w:val="single" w:sz="12" w:space="0" w:color="auto"/>
            </w:tcBorders>
            <w:shd w:val="clear" w:color="auto" w:fill="auto"/>
            <w:vAlign w:val="center"/>
            <w:hideMark/>
          </w:tcPr>
          <w:p w:rsidR="000D36F0" w:rsidRPr="003363E7" w:rsidP="003363E7" w14:paraId="42366D0D" w14:textId="77777777">
            <w:pPr>
              <w:spacing w:after="0" w:line="240" w:lineRule="auto"/>
              <w:jc w:val="center"/>
              <w:rPr>
                <w:rFonts w:ascii="Times New Roman" w:eastAsia="Times New Roman" w:hAnsi="Times New Roman"/>
                <w:color w:val="000000"/>
              </w:rPr>
            </w:pPr>
            <w:r w:rsidRPr="003363E7">
              <w:rPr>
                <w:rFonts w:ascii="Times New Roman" w:eastAsia="Times New Roman" w:hAnsi="Times New Roman"/>
                <w:color w:val="000000"/>
              </w:rPr>
              <w:t>0.25</w:t>
            </w:r>
            <w:r>
              <w:rPr>
                <w:rFonts w:ascii="Times New Roman" w:eastAsia="Times New Roman" w:hAnsi="Times New Roman"/>
                <w:color w:val="000000"/>
              </w:rPr>
              <w:t xml:space="preserve"> (15 mins)</w:t>
            </w:r>
          </w:p>
        </w:tc>
        <w:tc>
          <w:tcPr>
            <w:tcW w:w="540" w:type="dxa"/>
            <w:vMerge w:val="restart"/>
            <w:tcBorders>
              <w:top w:val="nil"/>
              <w:left w:val="single" w:sz="12" w:space="0" w:color="auto"/>
              <w:bottom w:val="single" w:sz="12" w:space="0" w:color="000000"/>
              <w:right w:val="single" w:sz="12" w:space="0" w:color="auto"/>
            </w:tcBorders>
            <w:shd w:val="clear" w:color="auto" w:fill="auto"/>
            <w:vAlign w:val="center"/>
            <w:hideMark/>
          </w:tcPr>
          <w:p w:rsidR="000D36F0" w:rsidRPr="003363E7" w:rsidP="003363E7" w14:paraId="3D025F7E" w14:textId="77777777">
            <w:pPr>
              <w:spacing w:after="0" w:line="240" w:lineRule="auto"/>
              <w:jc w:val="center"/>
              <w:rPr>
                <w:rFonts w:ascii="Times New Roman" w:eastAsia="Times New Roman" w:hAnsi="Times New Roman"/>
                <w:color w:val="000000"/>
              </w:rPr>
            </w:pPr>
            <w:r w:rsidRPr="003363E7">
              <w:rPr>
                <w:rFonts w:ascii="Times New Roman" w:eastAsia="Times New Roman" w:hAnsi="Times New Roman"/>
                <w:color w:val="000000"/>
              </w:rPr>
              <w:t>=</w:t>
            </w:r>
          </w:p>
        </w:tc>
        <w:tc>
          <w:tcPr>
            <w:tcW w:w="1080" w:type="dxa"/>
            <w:vMerge w:val="restart"/>
            <w:tcBorders>
              <w:top w:val="nil"/>
              <w:left w:val="single" w:sz="12" w:space="0" w:color="auto"/>
              <w:bottom w:val="single" w:sz="12" w:space="0" w:color="000000"/>
              <w:right w:val="single" w:sz="12" w:space="0" w:color="auto"/>
            </w:tcBorders>
            <w:shd w:val="clear" w:color="auto" w:fill="auto"/>
            <w:vAlign w:val="center"/>
            <w:hideMark/>
          </w:tcPr>
          <w:p w:rsidR="000D36F0" w:rsidRPr="003363E7" w:rsidP="003363E7" w14:paraId="1F164176" w14:textId="77777777">
            <w:pPr>
              <w:spacing w:after="0" w:line="240" w:lineRule="auto"/>
              <w:jc w:val="center"/>
              <w:rPr>
                <w:rFonts w:ascii="Times New Roman" w:eastAsia="Times New Roman" w:hAnsi="Times New Roman"/>
                <w:color w:val="000000"/>
              </w:rPr>
            </w:pPr>
            <w:r w:rsidRPr="003363E7">
              <w:rPr>
                <w:rFonts w:ascii="Times New Roman" w:eastAsia="Times New Roman" w:hAnsi="Times New Roman"/>
                <w:color w:val="000000"/>
              </w:rPr>
              <w:t>150</w:t>
            </w:r>
          </w:p>
        </w:tc>
      </w:tr>
      <w:tr w14:paraId="34B30403" w14:textId="77777777" w:rsidTr="006D5521">
        <w:tblPrEx>
          <w:tblW w:w="11010" w:type="dxa"/>
          <w:tblInd w:w="-15" w:type="dxa"/>
          <w:tblLook w:val="04A0"/>
        </w:tblPrEx>
        <w:trPr>
          <w:trHeight w:val="300"/>
        </w:trPr>
        <w:tc>
          <w:tcPr>
            <w:tcW w:w="900" w:type="dxa"/>
            <w:vMerge/>
            <w:tcBorders>
              <w:top w:val="nil"/>
              <w:left w:val="single" w:sz="12" w:space="0" w:color="auto"/>
              <w:bottom w:val="single" w:sz="12" w:space="0" w:color="000000"/>
              <w:right w:val="single" w:sz="12" w:space="0" w:color="auto"/>
            </w:tcBorders>
            <w:vAlign w:val="center"/>
            <w:hideMark/>
          </w:tcPr>
          <w:p w:rsidR="000D36F0" w:rsidRPr="003363E7" w:rsidP="003363E7" w14:paraId="511C56FD" w14:textId="77777777">
            <w:pPr>
              <w:spacing w:after="0" w:line="240" w:lineRule="auto"/>
              <w:rPr>
                <w:rFonts w:ascii="Times New Roman" w:eastAsia="Times New Roman" w:hAnsi="Times New Roman"/>
                <w:color w:val="000000"/>
              </w:rPr>
            </w:pPr>
          </w:p>
        </w:tc>
        <w:tc>
          <w:tcPr>
            <w:tcW w:w="630" w:type="dxa"/>
            <w:vMerge/>
            <w:tcBorders>
              <w:top w:val="nil"/>
              <w:left w:val="single" w:sz="12" w:space="0" w:color="auto"/>
              <w:bottom w:val="single" w:sz="12" w:space="0" w:color="000000"/>
              <w:right w:val="single" w:sz="12" w:space="0" w:color="auto"/>
            </w:tcBorders>
            <w:vAlign w:val="center"/>
            <w:hideMark/>
          </w:tcPr>
          <w:p w:rsidR="000D36F0" w:rsidRPr="003363E7" w:rsidP="003363E7" w14:paraId="4742045F" w14:textId="77777777">
            <w:pPr>
              <w:spacing w:after="0" w:line="240" w:lineRule="auto"/>
              <w:rPr>
                <w:rFonts w:ascii="Times New Roman" w:eastAsia="Times New Roman" w:hAnsi="Times New Roman"/>
                <w:color w:val="000000"/>
              </w:rPr>
            </w:pPr>
          </w:p>
        </w:tc>
        <w:tc>
          <w:tcPr>
            <w:tcW w:w="1710" w:type="dxa"/>
            <w:vMerge/>
            <w:tcBorders>
              <w:top w:val="nil"/>
              <w:left w:val="single" w:sz="12" w:space="0" w:color="auto"/>
              <w:bottom w:val="single" w:sz="12" w:space="0" w:color="000000"/>
              <w:right w:val="single" w:sz="12" w:space="0" w:color="auto"/>
            </w:tcBorders>
            <w:vAlign w:val="center"/>
            <w:hideMark/>
          </w:tcPr>
          <w:p w:rsidR="000D36F0" w:rsidRPr="003363E7" w:rsidP="003363E7" w14:paraId="4AAE8FE5" w14:textId="77777777">
            <w:pPr>
              <w:spacing w:after="0" w:line="240" w:lineRule="auto"/>
              <w:rPr>
                <w:rFonts w:ascii="Times New Roman" w:eastAsia="Times New Roman" w:hAnsi="Times New Roman"/>
                <w:color w:val="000000"/>
              </w:rPr>
            </w:pPr>
          </w:p>
        </w:tc>
        <w:tc>
          <w:tcPr>
            <w:tcW w:w="720" w:type="dxa"/>
            <w:vMerge/>
            <w:tcBorders>
              <w:top w:val="nil"/>
              <w:left w:val="single" w:sz="12" w:space="0" w:color="auto"/>
              <w:bottom w:val="single" w:sz="12" w:space="0" w:color="000000"/>
              <w:right w:val="single" w:sz="12" w:space="0" w:color="auto"/>
            </w:tcBorders>
            <w:vAlign w:val="center"/>
            <w:hideMark/>
          </w:tcPr>
          <w:p w:rsidR="000D36F0" w:rsidRPr="003363E7" w:rsidP="003363E7" w14:paraId="25D326CD" w14:textId="77777777">
            <w:pPr>
              <w:spacing w:after="0" w:line="240" w:lineRule="auto"/>
              <w:rPr>
                <w:rFonts w:ascii="Times New Roman" w:eastAsia="Times New Roman" w:hAnsi="Times New Roman"/>
                <w:color w:val="000000"/>
              </w:rPr>
            </w:pPr>
          </w:p>
        </w:tc>
        <w:tc>
          <w:tcPr>
            <w:tcW w:w="1890" w:type="dxa"/>
            <w:vMerge/>
            <w:tcBorders>
              <w:top w:val="nil"/>
              <w:left w:val="single" w:sz="12" w:space="0" w:color="auto"/>
              <w:bottom w:val="single" w:sz="12" w:space="0" w:color="000000"/>
              <w:right w:val="single" w:sz="12" w:space="0" w:color="auto"/>
            </w:tcBorders>
            <w:vAlign w:val="center"/>
            <w:hideMark/>
          </w:tcPr>
          <w:p w:rsidR="000D36F0" w:rsidRPr="003363E7" w:rsidP="003363E7" w14:paraId="30843B73" w14:textId="77777777">
            <w:pPr>
              <w:spacing w:after="0" w:line="240" w:lineRule="auto"/>
              <w:rPr>
                <w:rFonts w:ascii="Times New Roman" w:eastAsia="Times New Roman" w:hAnsi="Times New Roman"/>
                <w:color w:val="000000"/>
              </w:rPr>
            </w:pPr>
          </w:p>
        </w:tc>
        <w:tc>
          <w:tcPr>
            <w:tcW w:w="720" w:type="dxa"/>
            <w:vMerge/>
            <w:tcBorders>
              <w:top w:val="nil"/>
              <w:left w:val="single" w:sz="12" w:space="0" w:color="auto"/>
              <w:bottom w:val="single" w:sz="12" w:space="0" w:color="000000"/>
              <w:right w:val="single" w:sz="12" w:space="0" w:color="auto"/>
            </w:tcBorders>
            <w:vAlign w:val="center"/>
            <w:hideMark/>
          </w:tcPr>
          <w:p w:rsidR="000D36F0" w:rsidRPr="003363E7" w:rsidP="003363E7" w14:paraId="5BE96E5C" w14:textId="77777777">
            <w:pPr>
              <w:spacing w:after="0" w:line="240" w:lineRule="auto"/>
              <w:rPr>
                <w:rFonts w:ascii="Times New Roman" w:eastAsia="Times New Roman" w:hAnsi="Times New Roman"/>
                <w:color w:val="000000"/>
              </w:rPr>
            </w:pPr>
          </w:p>
        </w:tc>
        <w:tc>
          <w:tcPr>
            <w:tcW w:w="1890" w:type="dxa"/>
            <w:vMerge/>
            <w:tcBorders>
              <w:top w:val="nil"/>
              <w:left w:val="single" w:sz="12" w:space="0" w:color="auto"/>
              <w:bottom w:val="single" w:sz="12" w:space="0" w:color="000000"/>
              <w:right w:val="single" w:sz="12" w:space="0" w:color="auto"/>
            </w:tcBorders>
            <w:vAlign w:val="center"/>
            <w:hideMark/>
          </w:tcPr>
          <w:p w:rsidR="000D36F0" w:rsidRPr="003363E7" w:rsidP="003363E7" w14:paraId="253BB97B" w14:textId="77777777">
            <w:pPr>
              <w:spacing w:after="0" w:line="240" w:lineRule="auto"/>
              <w:rPr>
                <w:rFonts w:ascii="Times New Roman" w:eastAsia="Times New Roman" w:hAnsi="Times New Roman"/>
                <w:color w:val="000000"/>
              </w:rPr>
            </w:pPr>
          </w:p>
        </w:tc>
        <w:tc>
          <w:tcPr>
            <w:tcW w:w="540" w:type="dxa"/>
            <w:vMerge/>
            <w:tcBorders>
              <w:top w:val="nil"/>
              <w:left w:val="single" w:sz="12" w:space="0" w:color="auto"/>
              <w:bottom w:val="single" w:sz="12" w:space="0" w:color="000000"/>
              <w:right w:val="single" w:sz="12" w:space="0" w:color="auto"/>
            </w:tcBorders>
            <w:vAlign w:val="center"/>
            <w:hideMark/>
          </w:tcPr>
          <w:p w:rsidR="000D36F0" w:rsidRPr="003363E7" w:rsidP="003363E7" w14:paraId="7F477966" w14:textId="77777777">
            <w:pPr>
              <w:spacing w:after="0" w:line="240" w:lineRule="auto"/>
              <w:rPr>
                <w:rFonts w:ascii="Times New Roman" w:eastAsia="Times New Roman" w:hAnsi="Times New Roman"/>
                <w:color w:val="000000"/>
              </w:rPr>
            </w:pPr>
          </w:p>
        </w:tc>
        <w:tc>
          <w:tcPr>
            <w:tcW w:w="1080" w:type="dxa"/>
            <w:vMerge/>
            <w:tcBorders>
              <w:top w:val="nil"/>
              <w:left w:val="single" w:sz="12" w:space="0" w:color="auto"/>
              <w:bottom w:val="single" w:sz="12" w:space="0" w:color="000000"/>
              <w:right w:val="single" w:sz="12" w:space="0" w:color="auto"/>
            </w:tcBorders>
            <w:vAlign w:val="center"/>
            <w:hideMark/>
          </w:tcPr>
          <w:p w:rsidR="000D36F0" w:rsidRPr="003363E7" w:rsidP="003363E7" w14:paraId="74093676" w14:textId="77777777">
            <w:pPr>
              <w:spacing w:after="0" w:line="240" w:lineRule="auto"/>
              <w:rPr>
                <w:rFonts w:ascii="Times New Roman" w:eastAsia="Times New Roman" w:hAnsi="Times New Roman"/>
                <w:color w:val="000000"/>
              </w:rPr>
            </w:pPr>
          </w:p>
        </w:tc>
        <w:tc>
          <w:tcPr>
            <w:tcW w:w="930" w:type="dxa"/>
            <w:tcBorders>
              <w:top w:val="nil"/>
              <w:left w:val="nil"/>
              <w:bottom w:val="nil"/>
              <w:right w:val="nil"/>
            </w:tcBorders>
            <w:shd w:val="clear" w:color="auto" w:fill="auto"/>
            <w:noWrap/>
            <w:vAlign w:val="bottom"/>
            <w:hideMark/>
          </w:tcPr>
          <w:p w:rsidR="000D36F0" w:rsidRPr="003363E7" w:rsidP="003363E7" w14:paraId="207B492D" w14:textId="77777777">
            <w:pPr>
              <w:spacing w:after="0" w:line="240" w:lineRule="auto"/>
              <w:jc w:val="center"/>
              <w:rPr>
                <w:rFonts w:ascii="Times New Roman" w:eastAsia="Times New Roman" w:hAnsi="Times New Roman"/>
                <w:color w:val="000000"/>
              </w:rPr>
            </w:pPr>
          </w:p>
        </w:tc>
      </w:tr>
    </w:tbl>
    <w:p w:rsidR="005B69A3" w:rsidRPr="005B69A3" w:rsidP="003363E7" w14:paraId="52ADB790" w14:textId="77777777">
      <w:pPr>
        <w:tabs>
          <w:tab w:val="left" w:pos="-1440"/>
        </w:tabs>
        <w:spacing w:after="0" w:line="240" w:lineRule="auto"/>
        <w:ind w:left="1080"/>
        <w:rPr>
          <w:rFonts w:ascii="Times New Roman" w:eastAsia="Times New Roman" w:hAnsi="Times New Roman"/>
          <w:b/>
          <w:snapToGrid w:val="0"/>
          <w:sz w:val="24"/>
          <w:szCs w:val="20"/>
        </w:rPr>
      </w:pPr>
      <w:r>
        <w:rPr>
          <w:rFonts w:ascii="Times New Roman" w:eastAsia="Times New Roman" w:hAnsi="Times New Roman"/>
          <w:bCs/>
          <w:snapToGrid w:val="0"/>
          <w:sz w:val="24"/>
          <w:szCs w:val="20"/>
        </w:rPr>
        <w:fldChar w:fldCharType="end"/>
      </w:r>
    </w:p>
    <w:p w:rsidR="00C54591" w:rsidP="00D64550" w14:paraId="6D67EC4C" w14:textId="77777777">
      <w:pPr>
        <w:numPr>
          <w:ilvl w:val="0"/>
          <w:numId w:val="22"/>
        </w:numPr>
        <w:tabs>
          <w:tab w:val="left" w:pos="-1440"/>
        </w:tabs>
        <w:spacing w:after="0" w:line="240" w:lineRule="auto"/>
        <w:ind w:left="720" w:hanging="360"/>
        <w:rPr>
          <w:rFonts w:ascii="Times New Roman" w:hAnsi="Times New Roman"/>
          <w:b/>
          <w:sz w:val="24"/>
          <w:szCs w:val="24"/>
        </w:rPr>
      </w:pPr>
      <w:r w:rsidRPr="006F745E">
        <w:rPr>
          <w:rFonts w:ascii="Times New Roman" w:hAnsi="Times New Roman"/>
          <w:b/>
          <w:sz w:val="24"/>
          <w:szCs w:val="24"/>
        </w:rPr>
        <w:t xml:space="preserve">Estimate of </w:t>
      </w:r>
      <w:r w:rsidR="00116264">
        <w:rPr>
          <w:rFonts w:ascii="Times New Roman" w:hAnsi="Times New Roman"/>
          <w:b/>
          <w:sz w:val="24"/>
          <w:szCs w:val="24"/>
        </w:rPr>
        <w:t>T</w:t>
      </w:r>
      <w:r w:rsidRPr="006F745E" w:rsidR="00116264">
        <w:rPr>
          <w:rFonts w:ascii="Times New Roman" w:hAnsi="Times New Roman"/>
          <w:b/>
          <w:sz w:val="24"/>
          <w:szCs w:val="24"/>
        </w:rPr>
        <w:t xml:space="preserve">otal </w:t>
      </w:r>
      <w:r w:rsidR="00116264">
        <w:rPr>
          <w:rFonts w:ascii="Times New Roman" w:hAnsi="Times New Roman"/>
          <w:b/>
          <w:sz w:val="24"/>
          <w:szCs w:val="24"/>
        </w:rPr>
        <w:t>A</w:t>
      </w:r>
      <w:r w:rsidRPr="006F745E" w:rsidR="00116264">
        <w:rPr>
          <w:rFonts w:ascii="Times New Roman" w:hAnsi="Times New Roman"/>
          <w:b/>
          <w:sz w:val="24"/>
          <w:szCs w:val="24"/>
        </w:rPr>
        <w:t xml:space="preserve">nnual </w:t>
      </w:r>
      <w:r w:rsidR="00116264">
        <w:rPr>
          <w:rFonts w:ascii="Times New Roman" w:hAnsi="Times New Roman"/>
          <w:b/>
          <w:sz w:val="24"/>
          <w:szCs w:val="24"/>
        </w:rPr>
        <w:t>C</w:t>
      </w:r>
      <w:r w:rsidRPr="006F745E" w:rsidR="00116264">
        <w:rPr>
          <w:rFonts w:ascii="Times New Roman" w:hAnsi="Times New Roman"/>
          <w:b/>
          <w:sz w:val="24"/>
          <w:szCs w:val="24"/>
        </w:rPr>
        <w:t xml:space="preserve">osts </w:t>
      </w:r>
      <w:r w:rsidR="00116264">
        <w:rPr>
          <w:rFonts w:ascii="Times New Roman" w:hAnsi="Times New Roman"/>
          <w:b/>
          <w:sz w:val="24"/>
          <w:szCs w:val="24"/>
        </w:rPr>
        <w:t xml:space="preserve">Burden </w:t>
      </w:r>
      <w:r w:rsidRPr="006F745E">
        <w:rPr>
          <w:rFonts w:ascii="Times New Roman" w:hAnsi="Times New Roman"/>
          <w:b/>
          <w:sz w:val="24"/>
          <w:szCs w:val="24"/>
        </w:rPr>
        <w:t xml:space="preserve">to </w:t>
      </w:r>
      <w:r w:rsidR="00116264">
        <w:rPr>
          <w:rFonts w:ascii="Times New Roman" w:hAnsi="Times New Roman"/>
          <w:b/>
          <w:sz w:val="24"/>
          <w:szCs w:val="24"/>
        </w:rPr>
        <w:t>R</w:t>
      </w:r>
      <w:r w:rsidRPr="006F745E" w:rsidR="00116264">
        <w:rPr>
          <w:rFonts w:ascii="Times New Roman" w:hAnsi="Times New Roman"/>
          <w:b/>
          <w:sz w:val="24"/>
          <w:szCs w:val="24"/>
        </w:rPr>
        <w:t>espondents</w:t>
      </w:r>
      <w:r w:rsidR="00116264">
        <w:rPr>
          <w:rFonts w:ascii="Times New Roman" w:hAnsi="Times New Roman"/>
          <w:b/>
          <w:sz w:val="24"/>
          <w:szCs w:val="24"/>
        </w:rPr>
        <w:t xml:space="preserve"> and/or Recordkeeper</w:t>
      </w:r>
    </w:p>
    <w:p w:rsidR="001E4660" w:rsidRPr="006F745E" w:rsidP="00376118" w14:paraId="46E10968" w14:textId="77777777">
      <w:pPr>
        <w:tabs>
          <w:tab w:val="left" w:pos="-1440"/>
        </w:tabs>
        <w:spacing w:after="0" w:line="240" w:lineRule="auto"/>
        <w:ind w:left="720"/>
        <w:rPr>
          <w:rFonts w:ascii="Times New Roman" w:hAnsi="Times New Roman"/>
          <w:b/>
          <w:sz w:val="24"/>
          <w:szCs w:val="24"/>
        </w:rPr>
      </w:pPr>
    </w:p>
    <w:p w:rsidR="006F745E" w:rsidP="00376118" w14:paraId="4232C6E7" w14:textId="6415D2E5">
      <w:pPr>
        <w:pStyle w:val="ListParagraph"/>
        <w:spacing w:after="0" w:line="240" w:lineRule="auto"/>
        <w:rPr>
          <w:rFonts w:ascii="Times New Roman" w:hAnsi="Times New Roman"/>
          <w:sz w:val="24"/>
          <w:szCs w:val="24"/>
        </w:rPr>
      </w:pPr>
      <w:r w:rsidRPr="001064C6">
        <w:rPr>
          <w:rFonts w:ascii="Times New Roman" w:hAnsi="Times New Roman"/>
          <w:sz w:val="24"/>
          <w:szCs w:val="24"/>
        </w:rPr>
        <w:t xml:space="preserve">There </w:t>
      </w:r>
      <w:r w:rsidR="000D36F0">
        <w:rPr>
          <w:rFonts w:ascii="Times New Roman" w:hAnsi="Times New Roman"/>
          <w:sz w:val="24"/>
          <w:szCs w:val="24"/>
        </w:rPr>
        <w:t xml:space="preserve">are not capital, start-up, </w:t>
      </w:r>
      <w:r w:rsidR="00DC45E2">
        <w:rPr>
          <w:rFonts w:ascii="Times New Roman" w:hAnsi="Times New Roman"/>
          <w:sz w:val="24"/>
          <w:szCs w:val="24"/>
        </w:rPr>
        <w:t>operation,</w:t>
      </w:r>
      <w:r w:rsidR="000D36F0">
        <w:rPr>
          <w:rFonts w:ascii="Times New Roman" w:hAnsi="Times New Roman"/>
          <w:sz w:val="24"/>
          <w:szCs w:val="24"/>
        </w:rPr>
        <w:t xml:space="preserve"> </w:t>
      </w:r>
      <w:r w:rsidR="006F2089">
        <w:rPr>
          <w:rFonts w:ascii="Times New Roman" w:hAnsi="Times New Roman"/>
          <w:sz w:val="24"/>
          <w:szCs w:val="24"/>
        </w:rPr>
        <w:t>or</w:t>
      </w:r>
      <w:r w:rsidR="000D36F0">
        <w:rPr>
          <w:rFonts w:ascii="Times New Roman" w:hAnsi="Times New Roman"/>
          <w:sz w:val="24"/>
          <w:szCs w:val="24"/>
        </w:rPr>
        <w:t xml:space="preserve"> maintenance costs </w:t>
      </w:r>
      <w:r w:rsidR="006F2089">
        <w:rPr>
          <w:rFonts w:ascii="Times New Roman" w:hAnsi="Times New Roman"/>
          <w:sz w:val="24"/>
          <w:szCs w:val="24"/>
        </w:rPr>
        <w:t>to</w:t>
      </w:r>
      <w:r w:rsidR="000D36F0">
        <w:rPr>
          <w:rFonts w:ascii="Times New Roman" w:hAnsi="Times New Roman"/>
          <w:sz w:val="24"/>
          <w:szCs w:val="24"/>
        </w:rPr>
        <w:t xml:space="preserve"> respondents and/or recordkeepers for this collection.</w:t>
      </w:r>
    </w:p>
    <w:p w:rsidR="00C006B2" w:rsidP="00376118" w14:paraId="310569E1" w14:textId="77777777">
      <w:pPr>
        <w:pStyle w:val="ListParagraph"/>
        <w:spacing w:after="0" w:line="240" w:lineRule="auto"/>
        <w:rPr>
          <w:rFonts w:ascii="Times New Roman" w:hAnsi="Times New Roman"/>
          <w:sz w:val="24"/>
          <w:szCs w:val="24"/>
        </w:rPr>
      </w:pPr>
    </w:p>
    <w:p w:rsidR="00116264" w:rsidP="00D64550" w14:paraId="37BBAE09" w14:textId="77777777">
      <w:pPr>
        <w:widowControl w:val="0"/>
        <w:numPr>
          <w:ilvl w:val="0"/>
          <w:numId w:val="22"/>
        </w:numPr>
        <w:tabs>
          <w:tab w:val="left" w:pos="540"/>
          <w:tab w:val="left" w:pos="630"/>
        </w:tabs>
        <w:ind w:left="720" w:hanging="360"/>
        <w:rPr>
          <w:rFonts w:ascii="Times New Roman" w:eastAsia="Times New Roman" w:hAnsi="Times New Roman"/>
          <w:b/>
          <w:color w:val="000000"/>
          <w:sz w:val="24"/>
          <w:szCs w:val="24"/>
        </w:rPr>
      </w:pPr>
      <w:r w:rsidRPr="003363E7">
        <w:rPr>
          <w:rFonts w:ascii="Times New Roman" w:eastAsia="Times New Roman" w:hAnsi="Times New Roman"/>
          <w:b/>
          <w:color w:val="000000"/>
          <w:sz w:val="24"/>
          <w:szCs w:val="24"/>
        </w:rPr>
        <w:t>Estimates of Federal Government</w:t>
      </w:r>
      <w:r>
        <w:rPr>
          <w:rFonts w:ascii="Times New Roman" w:eastAsia="Times New Roman" w:hAnsi="Times New Roman"/>
          <w:b/>
          <w:color w:val="000000"/>
          <w:sz w:val="24"/>
          <w:szCs w:val="24"/>
        </w:rPr>
        <w:t xml:space="preserve"> Costs </w:t>
      </w:r>
    </w:p>
    <w:p w:rsidR="003E7A63" w:rsidRPr="003363E7" w:rsidP="003363E7" w14:paraId="36106C2E" w14:textId="3447F8ED">
      <w:pPr>
        <w:widowControl w:val="0"/>
        <w:tabs>
          <w:tab w:val="left" w:pos="540"/>
          <w:tab w:val="left" w:pos="630"/>
        </w:tabs>
        <w:ind w:left="720"/>
        <w:rPr>
          <w:rFonts w:ascii="Times New Roman" w:hAnsi="Times New Roman"/>
          <w:snapToGrid w:val="0"/>
          <w:sz w:val="24"/>
          <w:szCs w:val="24"/>
        </w:rPr>
      </w:pPr>
      <w:r>
        <w:rPr>
          <w:rFonts w:ascii="Times New Roman" w:hAnsi="Times New Roman"/>
          <w:snapToGrid w:val="0"/>
          <w:sz w:val="24"/>
          <w:szCs w:val="24"/>
        </w:rPr>
        <w:t xml:space="preserve">The total annual cost </w:t>
      </w:r>
      <w:r w:rsidRPr="00794B18">
        <w:rPr>
          <w:rFonts w:ascii="Times New Roman" w:hAnsi="Times New Roman"/>
          <w:snapToGrid w:val="0"/>
          <w:sz w:val="24"/>
          <w:szCs w:val="24"/>
        </w:rPr>
        <w:t>to the Federal Government</w:t>
      </w:r>
      <w:r>
        <w:rPr>
          <w:rFonts w:ascii="Times New Roman" w:hAnsi="Times New Roman"/>
          <w:snapToGrid w:val="0"/>
          <w:sz w:val="24"/>
          <w:szCs w:val="24"/>
        </w:rPr>
        <w:t xml:space="preserve"> for processing applications associated with this collection is </w:t>
      </w:r>
      <w:r w:rsidRPr="00656ABE" w:rsidR="00656ABE">
        <w:rPr>
          <w:rFonts w:ascii="Times New Roman" w:hAnsi="Times New Roman"/>
          <w:snapToGrid w:val="0"/>
          <w:sz w:val="24"/>
          <w:szCs w:val="24"/>
        </w:rPr>
        <w:t xml:space="preserve">$ </w:t>
      </w:r>
      <w:r w:rsidR="00794DCA">
        <w:rPr>
          <w:rFonts w:ascii="Times New Roman" w:hAnsi="Times New Roman"/>
          <w:snapToGrid w:val="0"/>
          <w:sz w:val="24"/>
          <w:szCs w:val="24"/>
        </w:rPr>
        <w:t>813,600.00</w:t>
      </w:r>
      <w:r w:rsidRPr="000F04D9">
        <w:rPr>
          <w:rFonts w:ascii="Times New Roman" w:hAnsi="Times New Roman"/>
          <w:snapToGrid w:val="0"/>
          <w:sz w:val="24"/>
          <w:szCs w:val="24"/>
        </w:rPr>
        <w:t>:</w:t>
      </w:r>
    </w:p>
    <w:p w:rsidR="00BD2AF2" w:rsidP="006F2089" w14:paraId="1D268B18" w14:textId="0C2C9AD6">
      <w:pPr>
        <w:widowControl w:val="0"/>
        <w:tabs>
          <w:tab w:val="left" w:pos="630"/>
          <w:tab w:val="left" w:pos="720"/>
        </w:tabs>
        <w:ind w:left="720"/>
        <w:rPr>
          <w:rFonts w:ascii="Times New Roman" w:eastAsia="Times New Roman" w:hAnsi="Times New Roman"/>
          <w:iCs/>
          <w:sz w:val="24"/>
          <w:szCs w:val="24"/>
        </w:rPr>
      </w:pPr>
      <w:r w:rsidRPr="003E7A63">
        <w:rPr>
          <w:rFonts w:ascii="Times New Roman" w:eastAsia="Times New Roman" w:hAnsi="Times New Roman"/>
          <w:iCs/>
          <w:sz w:val="24"/>
          <w:szCs w:val="24"/>
        </w:rPr>
        <w:t>According to the Office of Personnel Management (OPM)</w:t>
      </w:r>
      <w:r>
        <w:rPr>
          <w:rFonts w:ascii="Times New Roman" w:eastAsia="Times New Roman" w:hAnsi="Times New Roman"/>
          <w:iCs/>
          <w:sz w:val="24"/>
          <w:szCs w:val="24"/>
          <w:vertAlign w:val="superscript"/>
        </w:rPr>
        <w:footnoteReference w:id="2"/>
      </w:r>
      <w:r w:rsidRPr="003E7A63">
        <w:rPr>
          <w:rFonts w:ascii="Times New Roman" w:eastAsia="Times New Roman" w:hAnsi="Times New Roman"/>
          <w:iCs/>
          <w:sz w:val="24"/>
          <w:szCs w:val="24"/>
        </w:rPr>
        <w:t xml:space="preserve"> wage tables, the hourly wage rate for the</w:t>
      </w:r>
      <w:r>
        <w:rPr>
          <w:rFonts w:ascii="Times New Roman" w:eastAsia="Times New Roman" w:hAnsi="Times New Roman"/>
          <w:iCs/>
          <w:sz w:val="24"/>
          <w:szCs w:val="24"/>
        </w:rPr>
        <w:t xml:space="preserve"> following Federal Employees with a </w:t>
      </w:r>
      <w:r w:rsidRPr="003E7A63">
        <w:rPr>
          <w:rFonts w:ascii="Times New Roman" w:eastAsia="Times New Roman" w:hAnsi="Times New Roman"/>
          <w:iCs/>
          <w:sz w:val="24"/>
          <w:szCs w:val="24"/>
        </w:rPr>
        <w:t>New York-Newark, NY-NJ-CT-PA</w:t>
      </w:r>
      <w:r>
        <w:rPr>
          <w:rFonts w:ascii="Times New Roman" w:eastAsia="Times New Roman" w:hAnsi="Times New Roman"/>
          <w:iCs/>
          <w:sz w:val="24"/>
          <w:szCs w:val="24"/>
        </w:rPr>
        <w:t xml:space="preserve"> locality pay is as follows: </w:t>
      </w:r>
      <w:bookmarkStart w:id="2" w:name="_Hlk195530762"/>
      <w:r>
        <w:rPr>
          <w:rFonts w:ascii="Times New Roman" w:eastAsia="Times New Roman" w:hAnsi="Times New Roman"/>
          <w:iCs/>
          <w:sz w:val="24"/>
          <w:szCs w:val="24"/>
        </w:rPr>
        <w:t>One Supervisory Personnel (GS-14, Step 10) is $</w:t>
      </w:r>
      <w:r w:rsidR="00F66000">
        <w:rPr>
          <w:rFonts w:ascii="Times New Roman" w:eastAsia="Times New Roman" w:hAnsi="Times New Roman"/>
          <w:iCs/>
          <w:sz w:val="24"/>
          <w:szCs w:val="24"/>
        </w:rPr>
        <w:t xml:space="preserve"> </w:t>
      </w:r>
      <w:r>
        <w:rPr>
          <w:rFonts w:ascii="Times New Roman" w:eastAsia="Times New Roman" w:hAnsi="Times New Roman"/>
          <w:iCs/>
          <w:sz w:val="24"/>
          <w:szCs w:val="24"/>
        </w:rPr>
        <w:t>91.41, Analyst (GS-12, Step 5)</w:t>
      </w:r>
      <w:r w:rsidR="00F66000">
        <w:rPr>
          <w:rFonts w:ascii="Times New Roman" w:eastAsia="Times New Roman" w:hAnsi="Times New Roman"/>
          <w:iCs/>
          <w:sz w:val="24"/>
          <w:szCs w:val="24"/>
        </w:rPr>
        <w:t xml:space="preserve"> is $ 74.29</w:t>
      </w:r>
      <w:r>
        <w:rPr>
          <w:rFonts w:ascii="Times New Roman" w:eastAsia="Times New Roman" w:hAnsi="Times New Roman"/>
          <w:iCs/>
          <w:sz w:val="24"/>
          <w:szCs w:val="24"/>
        </w:rPr>
        <w:t>, and Office Assistant (GS-8, Step 10)</w:t>
      </w:r>
      <w:r w:rsidRPr="003E7A63">
        <w:rPr>
          <w:rFonts w:ascii="Times New Roman" w:eastAsia="Times New Roman" w:hAnsi="Times New Roman"/>
          <w:iCs/>
          <w:sz w:val="24"/>
          <w:szCs w:val="24"/>
        </w:rPr>
        <w:t xml:space="preserve"> </w:t>
      </w:r>
      <w:r w:rsidR="00F66000">
        <w:rPr>
          <w:rFonts w:ascii="Times New Roman" w:eastAsia="Times New Roman" w:hAnsi="Times New Roman"/>
          <w:iCs/>
          <w:sz w:val="24"/>
          <w:szCs w:val="24"/>
        </w:rPr>
        <w:t xml:space="preserve">is $ </w:t>
      </w:r>
      <w:r w:rsidRPr="00F66000" w:rsidR="00F66000">
        <w:rPr>
          <w:rFonts w:ascii="Times New Roman" w:eastAsia="Times New Roman" w:hAnsi="Times New Roman"/>
          <w:iCs/>
          <w:sz w:val="24"/>
          <w:szCs w:val="24"/>
        </w:rPr>
        <w:t>40.62</w:t>
      </w:r>
      <w:r w:rsidR="00F66000">
        <w:rPr>
          <w:rFonts w:ascii="Times New Roman" w:eastAsia="Times New Roman" w:hAnsi="Times New Roman"/>
          <w:iCs/>
          <w:sz w:val="24"/>
          <w:szCs w:val="24"/>
        </w:rPr>
        <w:t>.</w:t>
      </w:r>
      <w:r w:rsidRPr="00F66000" w:rsidR="00F66000">
        <w:rPr>
          <w:rFonts w:ascii="Times New Roman" w:eastAsia="Times New Roman" w:hAnsi="Times New Roman"/>
          <w:iCs/>
          <w:sz w:val="24"/>
          <w:szCs w:val="24"/>
        </w:rPr>
        <w:t xml:space="preserve"> </w:t>
      </w:r>
      <w:bookmarkEnd w:id="2"/>
      <w:r w:rsidRPr="00F66000" w:rsidR="00F66000">
        <w:rPr>
          <w:rFonts w:ascii="Times New Roman" w:eastAsia="Times New Roman" w:hAnsi="Times New Roman"/>
          <w:iCs/>
          <w:sz w:val="24"/>
          <w:szCs w:val="24"/>
        </w:rPr>
        <w:t>When combined with the Federal Employee Compensation rate of 31%</w:t>
      </w:r>
      <w:r>
        <w:rPr>
          <w:rFonts w:ascii="Times New Roman" w:eastAsia="Times New Roman" w:hAnsi="Times New Roman"/>
          <w:iCs/>
          <w:sz w:val="24"/>
          <w:szCs w:val="24"/>
          <w:vertAlign w:val="superscript"/>
        </w:rPr>
        <w:footnoteReference w:id="3"/>
      </w:r>
      <w:r w:rsidRPr="00F66000" w:rsidR="00F66000">
        <w:rPr>
          <w:rFonts w:ascii="Times New Roman" w:eastAsia="Times New Roman" w:hAnsi="Times New Roman"/>
          <w:iCs/>
          <w:sz w:val="24"/>
          <w:szCs w:val="24"/>
        </w:rPr>
        <w:t xml:space="preserve">, </w:t>
      </w:r>
      <w:r w:rsidR="00F66000">
        <w:rPr>
          <w:rFonts w:ascii="Times New Roman" w:eastAsia="Times New Roman" w:hAnsi="Times New Roman"/>
          <w:iCs/>
          <w:sz w:val="24"/>
          <w:szCs w:val="24"/>
        </w:rPr>
        <w:t xml:space="preserve">the hourly wage rate for each professional is: </w:t>
      </w:r>
      <w:r w:rsidRPr="00F66000" w:rsidR="00F66000">
        <w:rPr>
          <w:rFonts w:ascii="Times New Roman" w:eastAsia="Times New Roman" w:hAnsi="Times New Roman"/>
          <w:iCs/>
          <w:sz w:val="24"/>
          <w:szCs w:val="24"/>
        </w:rPr>
        <w:t xml:space="preserve">One Supervisory Personnel (GS-14, Step 10) is $ </w:t>
      </w:r>
      <w:r w:rsidR="00F66000">
        <w:rPr>
          <w:rFonts w:ascii="Times New Roman" w:eastAsia="Times New Roman" w:hAnsi="Times New Roman"/>
          <w:iCs/>
          <w:sz w:val="24"/>
          <w:szCs w:val="24"/>
        </w:rPr>
        <w:t>119.75</w:t>
      </w:r>
      <w:r w:rsidRPr="00F66000" w:rsidR="00F66000">
        <w:rPr>
          <w:rFonts w:ascii="Times New Roman" w:eastAsia="Times New Roman" w:hAnsi="Times New Roman"/>
          <w:iCs/>
          <w:sz w:val="24"/>
          <w:szCs w:val="24"/>
        </w:rPr>
        <w:t xml:space="preserve">, Analyst (GS-12, Step 5) is $ 56.71, and Office Assistant (GS-8, Step 10) is </w:t>
      </w:r>
      <w:r w:rsidRPr="00F66000" w:rsidR="003363E7">
        <w:rPr>
          <w:rFonts w:ascii="Times New Roman" w:eastAsia="Times New Roman" w:hAnsi="Times New Roman"/>
          <w:iCs/>
          <w:sz w:val="24"/>
          <w:szCs w:val="24"/>
        </w:rPr>
        <w:t>$ 53.21.</w:t>
      </w:r>
      <w:r w:rsidR="00F66000">
        <w:rPr>
          <w:rFonts w:ascii="Times New Roman" w:eastAsia="Times New Roman" w:hAnsi="Times New Roman"/>
          <w:iCs/>
          <w:sz w:val="24"/>
          <w:szCs w:val="24"/>
        </w:rPr>
        <w:t xml:space="preserve"> These individuals will spend six (6) hours, five (5) hours, and five (5) hours respectively to review the design and </w:t>
      </w:r>
      <w:r w:rsidR="005836DF">
        <w:rPr>
          <w:rFonts w:ascii="Times New Roman" w:eastAsia="Times New Roman" w:hAnsi="Times New Roman"/>
          <w:iCs/>
          <w:sz w:val="24"/>
          <w:szCs w:val="24"/>
        </w:rPr>
        <w:t>tabulate</w:t>
      </w:r>
      <w:r w:rsidR="00F66000">
        <w:rPr>
          <w:rFonts w:ascii="Times New Roman" w:eastAsia="Times New Roman" w:hAnsi="Times New Roman"/>
          <w:iCs/>
          <w:sz w:val="24"/>
          <w:szCs w:val="24"/>
        </w:rPr>
        <w:t xml:space="preserve"> questions and data require</w:t>
      </w:r>
      <w:r w:rsidR="005836DF">
        <w:rPr>
          <w:rFonts w:ascii="Times New Roman" w:eastAsia="Times New Roman" w:hAnsi="Times New Roman"/>
          <w:iCs/>
          <w:sz w:val="24"/>
          <w:szCs w:val="24"/>
        </w:rPr>
        <w:t>d</w:t>
      </w:r>
      <w:r w:rsidR="00F66000">
        <w:rPr>
          <w:rFonts w:ascii="Times New Roman" w:eastAsia="Times New Roman" w:hAnsi="Times New Roman"/>
          <w:iCs/>
          <w:sz w:val="24"/>
          <w:szCs w:val="24"/>
        </w:rPr>
        <w:t xml:space="preserve">, </w:t>
      </w:r>
      <w:r w:rsidR="005836DF">
        <w:rPr>
          <w:rFonts w:ascii="Times New Roman" w:eastAsia="Times New Roman" w:hAnsi="Times New Roman"/>
          <w:iCs/>
          <w:sz w:val="24"/>
          <w:szCs w:val="24"/>
        </w:rPr>
        <w:t>analyze, and report results</w:t>
      </w:r>
      <w:r w:rsidR="00794DCA">
        <w:rPr>
          <w:rFonts w:ascii="Times New Roman" w:eastAsia="Times New Roman" w:hAnsi="Times New Roman"/>
          <w:iCs/>
          <w:sz w:val="24"/>
          <w:szCs w:val="24"/>
        </w:rPr>
        <w:t xml:space="preserve"> for all 600 surveys</w:t>
      </w:r>
      <w:r w:rsidR="005836DF">
        <w:rPr>
          <w:rFonts w:ascii="Times New Roman" w:eastAsia="Times New Roman" w:hAnsi="Times New Roman"/>
          <w:iCs/>
          <w:sz w:val="24"/>
          <w:szCs w:val="24"/>
        </w:rPr>
        <w:t xml:space="preserve">. The total combined costs for these efforts are </w:t>
      </w:r>
      <w:r w:rsidRPr="003363E7" w:rsidR="003363E7">
        <w:rPr>
          <w:rFonts w:ascii="Times New Roman" w:eastAsia="Times New Roman" w:hAnsi="Times New Roman"/>
          <w:color w:val="000000"/>
        </w:rPr>
        <w:t xml:space="preserve">$ </w:t>
      </w:r>
      <w:r w:rsidR="00794DCA">
        <w:rPr>
          <w:rFonts w:ascii="Times New Roman" w:eastAsia="Times New Roman" w:hAnsi="Times New Roman"/>
          <w:color w:val="000000"/>
        </w:rPr>
        <w:t>813,600.00</w:t>
      </w:r>
      <w:r w:rsidRPr="00656ABE" w:rsidR="005836DF">
        <w:rPr>
          <w:rFonts w:ascii="Times New Roman" w:eastAsia="Times New Roman" w:hAnsi="Times New Roman"/>
          <w:iCs/>
          <w:sz w:val="24"/>
          <w:szCs w:val="24"/>
        </w:rPr>
        <w:t>,</w:t>
      </w:r>
      <w:r w:rsidR="005836DF">
        <w:rPr>
          <w:rFonts w:ascii="Times New Roman" w:eastAsia="Times New Roman" w:hAnsi="Times New Roman"/>
          <w:iCs/>
          <w:sz w:val="24"/>
          <w:szCs w:val="24"/>
        </w:rPr>
        <w:t xml:space="preserve"> which can be calculated as shown in the table below:</w:t>
      </w:r>
    </w:p>
    <w:tbl>
      <w:tblPr>
        <w:tblW w:w="11070" w:type="dxa"/>
        <w:tblInd w:w="-1085" w:type="dxa"/>
        <w:tblLook w:val="04A0"/>
      </w:tblPr>
      <w:tblGrid>
        <w:gridCol w:w="2430"/>
        <w:gridCol w:w="990"/>
        <w:gridCol w:w="1705"/>
        <w:gridCol w:w="1231"/>
        <w:gridCol w:w="1744"/>
        <w:gridCol w:w="1260"/>
        <w:gridCol w:w="1710"/>
      </w:tblGrid>
      <w:tr w14:paraId="720ECECD" w14:textId="77777777" w:rsidTr="003D32B6">
        <w:tblPrEx>
          <w:tblW w:w="11070" w:type="dxa"/>
          <w:tblInd w:w="-1085" w:type="dxa"/>
          <w:tblLook w:val="04A0"/>
        </w:tblPrEx>
        <w:trPr>
          <w:trHeight w:val="980"/>
        </w:trPr>
        <w:tc>
          <w:tcPr>
            <w:tcW w:w="243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5926E6" w:rsidRPr="003D32B6" w:rsidP="00BD2AF2" w14:paraId="6AB2D24F" w14:textId="77777777">
            <w:pPr>
              <w:spacing w:after="0" w:line="240" w:lineRule="auto"/>
              <w:rPr>
                <w:rFonts w:ascii="Times New Roman" w:eastAsia="Times New Roman" w:hAnsi="Times New Roman"/>
                <w:b/>
                <w:bCs/>
                <w:color w:val="000000"/>
                <w:sz w:val="21"/>
                <w:szCs w:val="21"/>
              </w:rPr>
            </w:pPr>
            <w:r w:rsidRPr="003D32B6">
              <w:rPr>
                <w:rFonts w:ascii="Times New Roman" w:eastAsia="Times New Roman" w:hAnsi="Times New Roman"/>
                <w:b/>
                <w:bCs/>
                <w:color w:val="000000"/>
                <w:sz w:val="21"/>
                <w:szCs w:val="21"/>
              </w:rPr>
              <w:t>FTE Grade and Step &amp; Job Title</w:t>
            </w:r>
          </w:p>
        </w:tc>
        <w:tc>
          <w:tcPr>
            <w:tcW w:w="990" w:type="dxa"/>
            <w:tcBorders>
              <w:top w:val="single" w:sz="4" w:space="0" w:color="auto"/>
              <w:left w:val="nil"/>
              <w:bottom w:val="single" w:sz="4" w:space="0" w:color="auto"/>
              <w:right w:val="single" w:sz="4" w:space="0" w:color="auto"/>
            </w:tcBorders>
            <w:shd w:val="clear" w:color="000000" w:fill="D9D9D9"/>
            <w:vAlign w:val="center"/>
            <w:hideMark/>
          </w:tcPr>
          <w:p w:rsidR="005926E6" w:rsidRPr="003D32B6" w:rsidP="00BD2AF2" w14:paraId="693B228C" w14:textId="77777777">
            <w:pPr>
              <w:spacing w:after="0" w:line="240" w:lineRule="auto"/>
              <w:jc w:val="center"/>
              <w:rPr>
                <w:rFonts w:ascii="Times New Roman" w:eastAsia="Times New Roman" w:hAnsi="Times New Roman"/>
                <w:b/>
                <w:bCs/>
                <w:color w:val="000000"/>
                <w:sz w:val="21"/>
                <w:szCs w:val="21"/>
              </w:rPr>
            </w:pPr>
            <w:r w:rsidRPr="003D32B6">
              <w:rPr>
                <w:rFonts w:ascii="Times New Roman" w:eastAsia="Times New Roman" w:hAnsi="Times New Roman"/>
                <w:b/>
                <w:bCs/>
                <w:color w:val="000000"/>
                <w:sz w:val="21"/>
                <w:szCs w:val="21"/>
              </w:rPr>
              <w:t>Hourly Wage</w:t>
            </w:r>
          </w:p>
        </w:tc>
        <w:tc>
          <w:tcPr>
            <w:tcW w:w="1705" w:type="dxa"/>
            <w:tcBorders>
              <w:top w:val="single" w:sz="4" w:space="0" w:color="auto"/>
              <w:left w:val="nil"/>
              <w:bottom w:val="single" w:sz="4" w:space="0" w:color="auto"/>
              <w:right w:val="single" w:sz="4" w:space="0" w:color="auto"/>
            </w:tcBorders>
            <w:shd w:val="clear" w:color="000000" w:fill="D9D9D9"/>
            <w:vAlign w:val="center"/>
            <w:hideMark/>
          </w:tcPr>
          <w:p w:rsidR="005926E6" w:rsidRPr="003D32B6" w:rsidP="00BD2AF2" w14:paraId="1CA94CBF" w14:textId="77777777">
            <w:pPr>
              <w:spacing w:after="0" w:line="240" w:lineRule="auto"/>
              <w:jc w:val="center"/>
              <w:rPr>
                <w:rFonts w:ascii="Times New Roman" w:eastAsia="Times New Roman" w:hAnsi="Times New Roman"/>
                <w:b/>
                <w:bCs/>
                <w:color w:val="000000"/>
                <w:sz w:val="21"/>
                <w:szCs w:val="21"/>
              </w:rPr>
            </w:pPr>
            <w:r w:rsidRPr="003D32B6">
              <w:rPr>
                <w:rFonts w:ascii="Times New Roman" w:eastAsia="Times New Roman" w:hAnsi="Times New Roman"/>
                <w:b/>
                <w:bCs/>
                <w:color w:val="000000"/>
                <w:sz w:val="21"/>
                <w:szCs w:val="21"/>
              </w:rPr>
              <w:t xml:space="preserve">Average Hourly Wage Rate with 31% Compensation   </w:t>
            </w:r>
          </w:p>
        </w:tc>
        <w:tc>
          <w:tcPr>
            <w:tcW w:w="1231" w:type="dxa"/>
            <w:tcBorders>
              <w:top w:val="single" w:sz="4" w:space="0" w:color="auto"/>
              <w:left w:val="nil"/>
              <w:bottom w:val="single" w:sz="4" w:space="0" w:color="auto"/>
              <w:right w:val="single" w:sz="4" w:space="0" w:color="auto"/>
            </w:tcBorders>
            <w:shd w:val="clear" w:color="000000" w:fill="D9D9D9"/>
            <w:vAlign w:val="center"/>
            <w:hideMark/>
          </w:tcPr>
          <w:p w:rsidR="005926E6" w:rsidRPr="003D32B6" w:rsidP="00BD2AF2" w14:paraId="25F206D7" w14:textId="77777777">
            <w:pPr>
              <w:spacing w:after="0" w:line="240" w:lineRule="auto"/>
              <w:jc w:val="center"/>
              <w:rPr>
                <w:rFonts w:ascii="Times New Roman" w:eastAsia="Times New Roman" w:hAnsi="Times New Roman"/>
                <w:b/>
                <w:bCs/>
                <w:color w:val="000000"/>
                <w:sz w:val="21"/>
                <w:szCs w:val="21"/>
              </w:rPr>
            </w:pPr>
            <w:r w:rsidRPr="003D32B6">
              <w:rPr>
                <w:rFonts w:ascii="Times New Roman" w:eastAsia="Times New Roman" w:hAnsi="Times New Roman"/>
                <w:b/>
                <w:bCs/>
                <w:color w:val="000000"/>
                <w:sz w:val="21"/>
                <w:szCs w:val="21"/>
              </w:rPr>
              <w:t xml:space="preserve">Total Employees </w:t>
            </w:r>
          </w:p>
        </w:tc>
        <w:tc>
          <w:tcPr>
            <w:tcW w:w="1744" w:type="dxa"/>
            <w:tcBorders>
              <w:top w:val="single" w:sz="4" w:space="0" w:color="auto"/>
              <w:left w:val="nil"/>
              <w:bottom w:val="single" w:sz="4" w:space="0" w:color="auto"/>
              <w:right w:val="single" w:sz="4" w:space="0" w:color="auto"/>
            </w:tcBorders>
            <w:shd w:val="clear" w:color="000000" w:fill="D9D9D9"/>
            <w:vAlign w:val="center"/>
            <w:hideMark/>
          </w:tcPr>
          <w:p w:rsidR="005926E6" w:rsidRPr="003D32B6" w:rsidP="00BD2AF2" w14:paraId="50FD3C92" w14:textId="77777777">
            <w:pPr>
              <w:spacing w:after="0" w:line="240" w:lineRule="auto"/>
              <w:jc w:val="center"/>
              <w:rPr>
                <w:rFonts w:ascii="Times New Roman" w:eastAsia="Times New Roman" w:hAnsi="Times New Roman"/>
                <w:b/>
                <w:bCs/>
                <w:color w:val="000000"/>
                <w:sz w:val="21"/>
                <w:szCs w:val="21"/>
              </w:rPr>
            </w:pPr>
            <w:r w:rsidRPr="003D32B6">
              <w:rPr>
                <w:rFonts w:ascii="Times New Roman" w:eastAsia="Times New Roman" w:hAnsi="Times New Roman"/>
                <w:b/>
                <w:bCs/>
                <w:color w:val="000000"/>
                <w:sz w:val="21"/>
                <w:szCs w:val="21"/>
              </w:rPr>
              <w:t>Total Time for Per application  (Hours)</w:t>
            </w:r>
          </w:p>
        </w:tc>
        <w:tc>
          <w:tcPr>
            <w:tcW w:w="1260" w:type="dxa"/>
            <w:tcBorders>
              <w:top w:val="single" w:sz="4" w:space="0" w:color="auto"/>
              <w:left w:val="nil"/>
              <w:bottom w:val="single" w:sz="4" w:space="0" w:color="auto"/>
              <w:right w:val="single" w:sz="4" w:space="0" w:color="auto"/>
            </w:tcBorders>
            <w:shd w:val="clear" w:color="000000" w:fill="D9D9D9"/>
          </w:tcPr>
          <w:p w:rsidR="005926E6" w:rsidRPr="003D32B6" w:rsidP="00BD2AF2" w14:paraId="29EFDEB3" w14:textId="1CC6DFD9">
            <w:pPr>
              <w:spacing w:after="0" w:line="240" w:lineRule="auto"/>
              <w:jc w:val="center"/>
              <w:rPr>
                <w:rFonts w:ascii="Times New Roman" w:eastAsia="Times New Roman" w:hAnsi="Times New Roman"/>
                <w:b/>
                <w:bCs/>
                <w:color w:val="000000"/>
                <w:sz w:val="21"/>
                <w:szCs w:val="21"/>
              </w:rPr>
            </w:pPr>
            <w:r w:rsidRPr="003D32B6">
              <w:rPr>
                <w:rFonts w:ascii="Times New Roman" w:eastAsia="Times New Roman" w:hAnsi="Times New Roman"/>
                <w:b/>
                <w:bCs/>
                <w:color w:val="000000"/>
                <w:sz w:val="21"/>
                <w:szCs w:val="21"/>
              </w:rPr>
              <w:t xml:space="preserve">Total </w:t>
            </w:r>
            <w:r w:rsidRPr="003D32B6" w:rsidR="00794DCA">
              <w:rPr>
                <w:rFonts w:ascii="Times New Roman" w:eastAsia="Times New Roman" w:hAnsi="Times New Roman"/>
                <w:b/>
                <w:bCs/>
                <w:color w:val="000000"/>
                <w:sz w:val="21"/>
                <w:szCs w:val="21"/>
              </w:rPr>
              <w:t>Survey</w:t>
            </w:r>
          </w:p>
        </w:tc>
        <w:tc>
          <w:tcPr>
            <w:tcW w:w="171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5926E6" w:rsidRPr="003D32B6" w:rsidP="00BD2AF2" w14:paraId="1E099E68" w14:textId="25438271">
            <w:pPr>
              <w:spacing w:after="0" w:line="240" w:lineRule="auto"/>
              <w:jc w:val="center"/>
              <w:rPr>
                <w:rFonts w:ascii="Times New Roman" w:eastAsia="Times New Roman" w:hAnsi="Times New Roman"/>
                <w:b/>
                <w:bCs/>
                <w:color w:val="000000"/>
                <w:sz w:val="21"/>
                <w:szCs w:val="21"/>
              </w:rPr>
            </w:pPr>
            <w:r w:rsidRPr="003D32B6">
              <w:rPr>
                <w:rFonts w:ascii="Times New Roman" w:eastAsia="Times New Roman" w:hAnsi="Times New Roman"/>
                <w:b/>
                <w:bCs/>
                <w:color w:val="000000"/>
                <w:sz w:val="21"/>
                <w:szCs w:val="21"/>
              </w:rPr>
              <w:t xml:space="preserve">Total Federal Government Wages   </w:t>
            </w:r>
          </w:p>
        </w:tc>
      </w:tr>
      <w:tr w14:paraId="2B20CB81" w14:textId="77777777" w:rsidTr="003D32B6">
        <w:tblPrEx>
          <w:tblW w:w="11070" w:type="dxa"/>
          <w:tblInd w:w="-1085" w:type="dxa"/>
          <w:tblLook w:val="04A0"/>
        </w:tblPrEx>
        <w:trPr>
          <w:trHeight w:val="503"/>
        </w:trPr>
        <w:tc>
          <w:tcPr>
            <w:tcW w:w="2430" w:type="dxa"/>
            <w:tcBorders>
              <w:top w:val="nil"/>
              <w:left w:val="single" w:sz="4" w:space="0" w:color="auto"/>
              <w:bottom w:val="single" w:sz="4" w:space="0" w:color="auto"/>
              <w:right w:val="single" w:sz="4" w:space="0" w:color="auto"/>
            </w:tcBorders>
            <w:shd w:val="clear" w:color="auto" w:fill="auto"/>
            <w:hideMark/>
          </w:tcPr>
          <w:p w:rsidR="005926E6" w:rsidRPr="003D32B6" w:rsidP="00BD2AF2" w14:paraId="3D207234" w14:textId="77777777">
            <w:pPr>
              <w:spacing w:after="0" w:line="240" w:lineRule="auto"/>
              <w:rPr>
                <w:rFonts w:ascii="Times New Roman" w:eastAsia="Times New Roman" w:hAnsi="Times New Roman"/>
                <w:color w:val="000000"/>
                <w:sz w:val="21"/>
                <w:szCs w:val="21"/>
              </w:rPr>
            </w:pPr>
            <w:r w:rsidRPr="003D32B6">
              <w:rPr>
                <w:rFonts w:ascii="Times New Roman" w:eastAsia="Times New Roman" w:hAnsi="Times New Roman"/>
                <w:color w:val="000000"/>
                <w:sz w:val="21"/>
                <w:szCs w:val="21"/>
              </w:rPr>
              <w:t xml:space="preserve">GS 14 (Step 10): Supervisory Personnel </w:t>
            </w:r>
          </w:p>
        </w:tc>
        <w:tc>
          <w:tcPr>
            <w:tcW w:w="990" w:type="dxa"/>
            <w:tcBorders>
              <w:top w:val="nil"/>
              <w:left w:val="nil"/>
              <w:bottom w:val="single" w:sz="4" w:space="0" w:color="auto"/>
              <w:right w:val="single" w:sz="4" w:space="0" w:color="auto"/>
            </w:tcBorders>
            <w:shd w:val="clear" w:color="auto" w:fill="auto"/>
            <w:vAlign w:val="center"/>
            <w:hideMark/>
          </w:tcPr>
          <w:p w:rsidR="005926E6" w:rsidRPr="003D32B6" w:rsidP="00BD2AF2" w14:paraId="20CA05BE" w14:textId="0C86890B">
            <w:pPr>
              <w:spacing w:after="0" w:line="240" w:lineRule="auto"/>
              <w:rPr>
                <w:rFonts w:ascii="Times New Roman" w:eastAsia="Times New Roman" w:hAnsi="Times New Roman"/>
                <w:color w:val="000000"/>
                <w:sz w:val="21"/>
                <w:szCs w:val="21"/>
              </w:rPr>
            </w:pPr>
            <w:r w:rsidRPr="003D32B6">
              <w:rPr>
                <w:rFonts w:ascii="Times New Roman" w:eastAsia="Times New Roman" w:hAnsi="Times New Roman"/>
                <w:color w:val="000000"/>
                <w:sz w:val="21"/>
                <w:szCs w:val="21"/>
              </w:rPr>
              <w:t xml:space="preserve"> $  91.41 </w:t>
            </w:r>
          </w:p>
        </w:tc>
        <w:tc>
          <w:tcPr>
            <w:tcW w:w="1705" w:type="dxa"/>
            <w:tcBorders>
              <w:top w:val="nil"/>
              <w:left w:val="nil"/>
              <w:bottom w:val="single" w:sz="4" w:space="0" w:color="auto"/>
              <w:right w:val="single" w:sz="4" w:space="0" w:color="auto"/>
            </w:tcBorders>
            <w:shd w:val="clear" w:color="auto" w:fill="auto"/>
            <w:vAlign w:val="center"/>
            <w:hideMark/>
          </w:tcPr>
          <w:p w:rsidR="005926E6" w:rsidRPr="003D32B6" w:rsidP="00656ABE" w14:paraId="014AFD21" w14:textId="77777777">
            <w:pPr>
              <w:spacing w:after="0" w:line="240" w:lineRule="auto"/>
              <w:jc w:val="center"/>
              <w:rPr>
                <w:rFonts w:ascii="Times New Roman" w:eastAsia="Times New Roman" w:hAnsi="Times New Roman"/>
                <w:color w:val="000000"/>
                <w:sz w:val="21"/>
                <w:szCs w:val="21"/>
              </w:rPr>
            </w:pPr>
            <w:r w:rsidRPr="003D32B6">
              <w:rPr>
                <w:rFonts w:ascii="Times New Roman" w:eastAsia="Times New Roman" w:hAnsi="Times New Roman"/>
                <w:color w:val="000000"/>
                <w:sz w:val="21"/>
                <w:szCs w:val="21"/>
              </w:rPr>
              <w:t>$  119.75</w:t>
            </w:r>
          </w:p>
        </w:tc>
        <w:tc>
          <w:tcPr>
            <w:tcW w:w="1231" w:type="dxa"/>
            <w:tcBorders>
              <w:top w:val="nil"/>
              <w:left w:val="nil"/>
              <w:bottom w:val="single" w:sz="4" w:space="0" w:color="auto"/>
              <w:right w:val="single" w:sz="4" w:space="0" w:color="auto"/>
            </w:tcBorders>
            <w:shd w:val="clear" w:color="auto" w:fill="auto"/>
            <w:vAlign w:val="center"/>
            <w:hideMark/>
          </w:tcPr>
          <w:p w:rsidR="005926E6" w:rsidRPr="003D32B6" w:rsidP="00BD2AF2" w14:paraId="34DD89D2" w14:textId="77777777">
            <w:pPr>
              <w:spacing w:after="0" w:line="240" w:lineRule="auto"/>
              <w:jc w:val="center"/>
              <w:rPr>
                <w:rFonts w:ascii="Times New Roman" w:eastAsia="Times New Roman" w:hAnsi="Times New Roman"/>
                <w:color w:val="000000"/>
                <w:sz w:val="21"/>
                <w:szCs w:val="21"/>
              </w:rPr>
            </w:pPr>
            <w:r w:rsidRPr="003D32B6">
              <w:rPr>
                <w:rFonts w:ascii="Times New Roman" w:eastAsia="Times New Roman" w:hAnsi="Times New Roman"/>
                <w:color w:val="000000"/>
                <w:sz w:val="21"/>
                <w:szCs w:val="21"/>
              </w:rPr>
              <w:t>1</w:t>
            </w:r>
          </w:p>
        </w:tc>
        <w:tc>
          <w:tcPr>
            <w:tcW w:w="1744" w:type="dxa"/>
            <w:tcBorders>
              <w:top w:val="nil"/>
              <w:left w:val="nil"/>
              <w:bottom w:val="single" w:sz="4" w:space="0" w:color="auto"/>
              <w:right w:val="single" w:sz="4" w:space="0" w:color="auto"/>
            </w:tcBorders>
            <w:shd w:val="clear" w:color="auto" w:fill="auto"/>
            <w:vAlign w:val="center"/>
            <w:hideMark/>
          </w:tcPr>
          <w:p w:rsidR="005926E6" w:rsidRPr="003D32B6" w:rsidP="00BD2AF2" w14:paraId="31FD04EC" w14:textId="77777777">
            <w:pPr>
              <w:spacing w:after="0" w:line="240" w:lineRule="auto"/>
              <w:jc w:val="center"/>
              <w:rPr>
                <w:rFonts w:ascii="Times New Roman" w:eastAsia="Times New Roman" w:hAnsi="Times New Roman"/>
                <w:color w:val="000000"/>
                <w:sz w:val="21"/>
                <w:szCs w:val="21"/>
              </w:rPr>
            </w:pPr>
            <w:r w:rsidRPr="003D32B6">
              <w:rPr>
                <w:rFonts w:ascii="Times New Roman" w:eastAsia="Times New Roman" w:hAnsi="Times New Roman"/>
                <w:color w:val="000000"/>
                <w:sz w:val="21"/>
                <w:szCs w:val="21"/>
              </w:rPr>
              <w:t>6</w:t>
            </w:r>
          </w:p>
        </w:tc>
        <w:tc>
          <w:tcPr>
            <w:tcW w:w="1260" w:type="dxa"/>
            <w:vMerge w:val="restart"/>
            <w:tcBorders>
              <w:top w:val="single" w:sz="4" w:space="0" w:color="auto"/>
              <w:left w:val="nil"/>
              <w:right w:val="single" w:sz="4" w:space="0" w:color="auto"/>
            </w:tcBorders>
            <w:vAlign w:val="center"/>
          </w:tcPr>
          <w:p w:rsidR="005926E6" w:rsidRPr="003D32B6" w:rsidP="005926E6" w14:paraId="02AB5CB4" w14:textId="5F5B532B">
            <w:pPr>
              <w:spacing w:after="0" w:line="240" w:lineRule="auto"/>
              <w:jc w:val="center"/>
              <w:rPr>
                <w:rFonts w:ascii="Times New Roman" w:eastAsia="Times New Roman" w:hAnsi="Times New Roman"/>
                <w:color w:val="000000"/>
                <w:sz w:val="21"/>
                <w:szCs w:val="21"/>
              </w:rPr>
            </w:pPr>
            <w:r w:rsidRPr="003D32B6">
              <w:rPr>
                <w:rFonts w:ascii="Times New Roman" w:eastAsia="Times New Roman" w:hAnsi="Times New Roman"/>
                <w:color w:val="000000"/>
                <w:sz w:val="21"/>
                <w:szCs w:val="21"/>
              </w:rPr>
              <w:t>6</w:t>
            </w:r>
            <w:r w:rsidRPr="003D32B6" w:rsidR="00794DCA">
              <w:rPr>
                <w:rFonts w:ascii="Times New Roman" w:eastAsia="Times New Roman" w:hAnsi="Times New Roman"/>
                <w:color w:val="000000"/>
                <w:sz w:val="21"/>
                <w:szCs w:val="21"/>
              </w:rPr>
              <w:t>00</w:t>
            </w:r>
          </w:p>
        </w:tc>
        <w:tc>
          <w:tcPr>
            <w:tcW w:w="1710" w:type="dxa"/>
            <w:tcBorders>
              <w:top w:val="nil"/>
              <w:left w:val="single" w:sz="4" w:space="0" w:color="auto"/>
              <w:bottom w:val="single" w:sz="4" w:space="0" w:color="auto"/>
              <w:right w:val="single" w:sz="4" w:space="0" w:color="auto"/>
            </w:tcBorders>
            <w:shd w:val="clear" w:color="auto" w:fill="auto"/>
            <w:vAlign w:val="center"/>
            <w:hideMark/>
          </w:tcPr>
          <w:p w:rsidR="005926E6" w:rsidRPr="003D32B6" w:rsidP="00BD2AF2" w14:paraId="52B2A996" w14:textId="286FECD1">
            <w:pPr>
              <w:spacing w:after="0" w:line="240" w:lineRule="auto"/>
              <w:rPr>
                <w:rFonts w:ascii="Times New Roman" w:eastAsia="Times New Roman" w:hAnsi="Times New Roman"/>
                <w:color w:val="000000"/>
                <w:sz w:val="21"/>
                <w:szCs w:val="21"/>
              </w:rPr>
            </w:pPr>
            <w:r w:rsidRPr="003D32B6">
              <w:rPr>
                <w:rFonts w:ascii="Times New Roman" w:eastAsia="Times New Roman" w:hAnsi="Times New Roman"/>
                <w:color w:val="000000"/>
                <w:sz w:val="21"/>
                <w:szCs w:val="21"/>
              </w:rPr>
              <w:t xml:space="preserve"> $   431,1000</w:t>
            </w:r>
            <w:r w:rsidRPr="003D32B6" w:rsidR="00794DCA">
              <w:rPr>
                <w:rFonts w:ascii="Times New Roman" w:eastAsia="Times New Roman" w:hAnsi="Times New Roman"/>
                <w:color w:val="000000"/>
                <w:sz w:val="21"/>
                <w:szCs w:val="21"/>
              </w:rPr>
              <w:t>.00</w:t>
            </w:r>
            <w:r w:rsidRPr="003D32B6">
              <w:rPr>
                <w:rFonts w:ascii="Times New Roman" w:eastAsia="Times New Roman" w:hAnsi="Times New Roman"/>
                <w:color w:val="000000"/>
                <w:sz w:val="21"/>
                <w:szCs w:val="21"/>
              </w:rPr>
              <w:t xml:space="preserve"> </w:t>
            </w:r>
          </w:p>
        </w:tc>
      </w:tr>
      <w:tr w14:paraId="611F8A3A" w14:textId="77777777" w:rsidTr="003D32B6">
        <w:tblPrEx>
          <w:tblW w:w="11070" w:type="dxa"/>
          <w:tblInd w:w="-1085" w:type="dxa"/>
          <w:tblLook w:val="04A0"/>
        </w:tblPrEx>
        <w:trPr>
          <w:trHeight w:val="350"/>
        </w:trPr>
        <w:tc>
          <w:tcPr>
            <w:tcW w:w="2430" w:type="dxa"/>
            <w:tcBorders>
              <w:top w:val="nil"/>
              <w:left w:val="single" w:sz="4" w:space="0" w:color="auto"/>
              <w:bottom w:val="single" w:sz="4" w:space="0" w:color="auto"/>
              <w:right w:val="single" w:sz="4" w:space="0" w:color="auto"/>
            </w:tcBorders>
            <w:shd w:val="clear" w:color="auto" w:fill="auto"/>
            <w:hideMark/>
          </w:tcPr>
          <w:p w:rsidR="005926E6" w:rsidRPr="003D32B6" w:rsidP="00BD2AF2" w14:paraId="242BD427" w14:textId="77777777">
            <w:pPr>
              <w:spacing w:after="0" w:line="240" w:lineRule="auto"/>
              <w:rPr>
                <w:rFonts w:ascii="Times New Roman" w:eastAsia="Times New Roman" w:hAnsi="Times New Roman"/>
                <w:color w:val="000000"/>
                <w:sz w:val="21"/>
                <w:szCs w:val="21"/>
              </w:rPr>
            </w:pPr>
            <w:r w:rsidRPr="003D32B6">
              <w:rPr>
                <w:rFonts w:ascii="Times New Roman" w:eastAsia="Times New Roman" w:hAnsi="Times New Roman"/>
                <w:color w:val="000000"/>
                <w:sz w:val="21"/>
                <w:szCs w:val="21"/>
              </w:rPr>
              <w:t>GS 12 (Step 5): Analyst</w:t>
            </w:r>
          </w:p>
        </w:tc>
        <w:tc>
          <w:tcPr>
            <w:tcW w:w="990" w:type="dxa"/>
            <w:tcBorders>
              <w:top w:val="nil"/>
              <w:left w:val="nil"/>
              <w:bottom w:val="single" w:sz="4" w:space="0" w:color="auto"/>
              <w:right w:val="single" w:sz="4" w:space="0" w:color="auto"/>
            </w:tcBorders>
            <w:shd w:val="clear" w:color="auto" w:fill="auto"/>
            <w:vAlign w:val="center"/>
            <w:hideMark/>
          </w:tcPr>
          <w:p w:rsidR="005926E6" w:rsidRPr="003D32B6" w:rsidP="00BD2AF2" w14:paraId="4076B02A" w14:textId="70A25601">
            <w:pPr>
              <w:spacing w:after="0" w:line="240" w:lineRule="auto"/>
              <w:rPr>
                <w:rFonts w:ascii="Times New Roman" w:eastAsia="Times New Roman" w:hAnsi="Times New Roman"/>
                <w:color w:val="000000"/>
                <w:sz w:val="21"/>
                <w:szCs w:val="21"/>
              </w:rPr>
            </w:pPr>
            <w:r w:rsidRPr="003D32B6">
              <w:rPr>
                <w:rFonts w:ascii="Times New Roman" w:eastAsia="Times New Roman" w:hAnsi="Times New Roman"/>
                <w:color w:val="000000"/>
                <w:sz w:val="21"/>
                <w:szCs w:val="21"/>
              </w:rPr>
              <w:t xml:space="preserve"> $  56.71</w:t>
            </w:r>
          </w:p>
        </w:tc>
        <w:tc>
          <w:tcPr>
            <w:tcW w:w="1705" w:type="dxa"/>
            <w:tcBorders>
              <w:top w:val="nil"/>
              <w:left w:val="nil"/>
              <w:bottom w:val="single" w:sz="4" w:space="0" w:color="auto"/>
              <w:right w:val="single" w:sz="4" w:space="0" w:color="auto"/>
            </w:tcBorders>
            <w:shd w:val="clear" w:color="auto" w:fill="auto"/>
            <w:vAlign w:val="center"/>
            <w:hideMark/>
          </w:tcPr>
          <w:p w:rsidR="005926E6" w:rsidRPr="003D32B6" w:rsidP="003363E7" w14:paraId="2451067D" w14:textId="77777777">
            <w:pPr>
              <w:spacing w:after="0" w:line="240" w:lineRule="auto"/>
              <w:jc w:val="center"/>
              <w:rPr>
                <w:rFonts w:ascii="Times New Roman" w:eastAsia="Times New Roman" w:hAnsi="Times New Roman"/>
                <w:color w:val="000000"/>
                <w:sz w:val="21"/>
                <w:szCs w:val="21"/>
              </w:rPr>
            </w:pPr>
            <w:r w:rsidRPr="003D32B6">
              <w:rPr>
                <w:rFonts w:ascii="Times New Roman" w:eastAsia="Times New Roman" w:hAnsi="Times New Roman"/>
                <w:color w:val="000000"/>
                <w:sz w:val="21"/>
                <w:szCs w:val="21"/>
              </w:rPr>
              <w:t>$    56.71</w:t>
            </w:r>
          </w:p>
        </w:tc>
        <w:tc>
          <w:tcPr>
            <w:tcW w:w="1231" w:type="dxa"/>
            <w:tcBorders>
              <w:top w:val="nil"/>
              <w:left w:val="nil"/>
              <w:bottom w:val="single" w:sz="4" w:space="0" w:color="auto"/>
              <w:right w:val="single" w:sz="4" w:space="0" w:color="auto"/>
            </w:tcBorders>
            <w:shd w:val="clear" w:color="auto" w:fill="auto"/>
            <w:vAlign w:val="center"/>
            <w:hideMark/>
          </w:tcPr>
          <w:p w:rsidR="005926E6" w:rsidRPr="003D32B6" w:rsidP="00BD2AF2" w14:paraId="5372AAF9" w14:textId="77777777">
            <w:pPr>
              <w:spacing w:after="0" w:line="240" w:lineRule="auto"/>
              <w:jc w:val="center"/>
              <w:rPr>
                <w:rFonts w:ascii="Times New Roman" w:eastAsia="Times New Roman" w:hAnsi="Times New Roman"/>
                <w:color w:val="000000"/>
                <w:sz w:val="21"/>
                <w:szCs w:val="21"/>
              </w:rPr>
            </w:pPr>
            <w:r w:rsidRPr="003D32B6">
              <w:rPr>
                <w:rFonts w:ascii="Times New Roman" w:eastAsia="Times New Roman" w:hAnsi="Times New Roman"/>
                <w:color w:val="000000"/>
                <w:sz w:val="21"/>
                <w:szCs w:val="21"/>
              </w:rPr>
              <w:t>1</w:t>
            </w:r>
          </w:p>
        </w:tc>
        <w:tc>
          <w:tcPr>
            <w:tcW w:w="1744" w:type="dxa"/>
            <w:tcBorders>
              <w:top w:val="nil"/>
              <w:left w:val="nil"/>
              <w:bottom w:val="single" w:sz="4" w:space="0" w:color="auto"/>
              <w:right w:val="single" w:sz="4" w:space="0" w:color="auto"/>
            </w:tcBorders>
            <w:shd w:val="clear" w:color="auto" w:fill="auto"/>
            <w:vAlign w:val="center"/>
            <w:hideMark/>
          </w:tcPr>
          <w:p w:rsidR="005926E6" w:rsidRPr="003D32B6" w:rsidP="00BD2AF2" w14:paraId="7115E9D2" w14:textId="77777777">
            <w:pPr>
              <w:spacing w:after="0" w:line="240" w:lineRule="auto"/>
              <w:jc w:val="center"/>
              <w:rPr>
                <w:rFonts w:ascii="Times New Roman" w:eastAsia="Times New Roman" w:hAnsi="Times New Roman"/>
                <w:color w:val="000000"/>
                <w:sz w:val="21"/>
                <w:szCs w:val="21"/>
              </w:rPr>
            </w:pPr>
            <w:r w:rsidRPr="003D32B6">
              <w:rPr>
                <w:rFonts w:ascii="Times New Roman" w:eastAsia="Times New Roman" w:hAnsi="Times New Roman"/>
                <w:color w:val="000000"/>
                <w:sz w:val="21"/>
                <w:szCs w:val="21"/>
              </w:rPr>
              <w:t>5</w:t>
            </w:r>
          </w:p>
        </w:tc>
        <w:tc>
          <w:tcPr>
            <w:tcW w:w="1260" w:type="dxa"/>
            <w:vMerge/>
            <w:tcBorders>
              <w:left w:val="nil"/>
              <w:right w:val="single" w:sz="4" w:space="0" w:color="auto"/>
            </w:tcBorders>
          </w:tcPr>
          <w:p w:rsidR="005926E6" w:rsidRPr="003D32B6" w:rsidP="00BD2AF2" w14:paraId="1B7FCF5C" w14:textId="77777777">
            <w:pPr>
              <w:spacing w:after="0" w:line="240" w:lineRule="auto"/>
              <w:rPr>
                <w:rFonts w:ascii="Times New Roman" w:eastAsia="Times New Roman" w:hAnsi="Times New Roman"/>
                <w:color w:val="000000"/>
                <w:sz w:val="21"/>
                <w:szCs w:val="21"/>
              </w:rPr>
            </w:pPr>
          </w:p>
        </w:tc>
        <w:tc>
          <w:tcPr>
            <w:tcW w:w="1710" w:type="dxa"/>
            <w:tcBorders>
              <w:top w:val="nil"/>
              <w:left w:val="single" w:sz="4" w:space="0" w:color="auto"/>
              <w:bottom w:val="single" w:sz="4" w:space="0" w:color="auto"/>
              <w:right w:val="single" w:sz="4" w:space="0" w:color="auto"/>
            </w:tcBorders>
            <w:shd w:val="clear" w:color="auto" w:fill="auto"/>
            <w:vAlign w:val="center"/>
            <w:hideMark/>
          </w:tcPr>
          <w:p w:rsidR="005926E6" w:rsidRPr="003D32B6" w:rsidP="00BD2AF2" w14:paraId="70B8158C" w14:textId="73A6E5ED">
            <w:pPr>
              <w:spacing w:after="0" w:line="240" w:lineRule="auto"/>
              <w:rPr>
                <w:rFonts w:ascii="Times New Roman" w:eastAsia="Times New Roman" w:hAnsi="Times New Roman"/>
                <w:color w:val="000000"/>
                <w:sz w:val="21"/>
                <w:szCs w:val="21"/>
              </w:rPr>
            </w:pPr>
            <w:r w:rsidRPr="003D32B6">
              <w:rPr>
                <w:rFonts w:ascii="Times New Roman" w:eastAsia="Times New Roman" w:hAnsi="Times New Roman"/>
                <w:color w:val="000000"/>
                <w:sz w:val="21"/>
                <w:szCs w:val="21"/>
              </w:rPr>
              <w:t xml:space="preserve"> $   222,870</w:t>
            </w:r>
            <w:r w:rsidRPr="003D32B6" w:rsidR="00794DCA">
              <w:rPr>
                <w:rFonts w:ascii="Times New Roman" w:eastAsia="Times New Roman" w:hAnsi="Times New Roman"/>
                <w:color w:val="000000"/>
                <w:sz w:val="21"/>
                <w:szCs w:val="21"/>
              </w:rPr>
              <w:t>.00</w:t>
            </w:r>
            <w:r w:rsidRPr="003D32B6">
              <w:rPr>
                <w:rFonts w:ascii="Times New Roman" w:eastAsia="Times New Roman" w:hAnsi="Times New Roman"/>
                <w:color w:val="000000"/>
                <w:sz w:val="21"/>
                <w:szCs w:val="21"/>
              </w:rPr>
              <w:t xml:space="preserve"> </w:t>
            </w:r>
          </w:p>
        </w:tc>
      </w:tr>
      <w:tr w14:paraId="5D32E72C" w14:textId="77777777" w:rsidTr="003D32B6">
        <w:tblPrEx>
          <w:tblW w:w="11070" w:type="dxa"/>
          <w:tblInd w:w="-1085" w:type="dxa"/>
          <w:tblLook w:val="04A0"/>
        </w:tblPrEx>
        <w:trPr>
          <w:trHeight w:val="509"/>
        </w:trPr>
        <w:tc>
          <w:tcPr>
            <w:tcW w:w="2430" w:type="dxa"/>
            <w:tcBorders>
              <w:top w:val="nil"/>
              <w:left w:val="single" w:sz="4" w:space="0" w:color="auto"/>
              <w:bottom w:val="single" w:sz="4" w:space="0" w:color="auto"/>
              <w:right w:val="single" w:sz="4" w:space="0" w:color="auto"/>
            </w:tcBorders>
            <w:shd w:val="clear" w:color="auto" w:fill="auto"/>
            <w:hideMark/>
          </w:tcPr>
          <w:p w:rsidR="005926E6" w:rsidRPr="003D32B6" w:rsidP="00BD2AF2" w14:paraId="1206C258" w14:textId="77777777">
            <w:pPr>
              <w:spacing w:after="0" w:line="240" w:lineRule="auto"/>
              <w:rPr>
                <w:rFonts w:ascii="Times New Roman" w:eastAsia="Times New Roman" w:hAnsi="Times New Roman"/>
                <w:color w:val="000000"/>
                <w:sz w:val="21"/>
                <w:szCs w:val="21"/>
              </w:rPr>
            </w:pPr>
            <w:r w:rsidRPr="003D32B6">
              <w:rPr>
                <w:rFonts w:ascii="Times New Roman" w:eastAsia="Times New Roman" w:hAnsi="Times New Roman"/>
                <w:color w:val="000000"/>
                <w:sz w:val="21"/>
                <w:szCs w:val="21"/>
              </w:rPr>
              <w:t>GS 8 (Step 10):  Office Assistant</w:t>
            </w:r>
          </w:p>
        </w:tc>
        <w:tc>
          <w:tcPr>
            <w:tcW w:w="990" w:type="dxa"/>
            <w:tcBorders>
              <w:top w:val="nil"/>
              <w:left w:val="nil"/>
              <w:bottom w:val="single" w:sz="4" w:space="0" w:color="auto"/>
              <w:right w:val="single" w:sz="4" w:space="0" w:color="auto"/>
            </w:tcBorders>
            <w:shd w:val="clear" w:color="auto" w:fill="auto"/>
            <w:vAlign w:val="center"/>
            <w:hideMark/>
          </w:tcPr>
          <w:p w:rsidR="005926E6" w:rsidRPr="003D32B6" w:rsidP="00BD2AF2" w14:paraId="285A5355" w14:textId="556421B7">
            <w:pPr>
              <w:spacing w:after="0" w:line="240" w:lineRule="auto"/>
              <w:rPr>
                <w:rFonts w:ascii="Times New Roman" w:eastAsia="Times New Roman" w:hAnsi="Times New Roman"/>
                <w:color w:val="000000"/>
                <w:sz w:val="21"/>
                <w:szCs w:val="21"/>
              </w:rPr>
            </w:pPr>
            <w:r w:rsidRPr="003D32B6">
              <w:rPr>
                <w:rFonts w:ascii="Times New Roman" w:eastAsia="Times New Roman" w:hAnsi="Times New Roman"/>
                <w:color w:val="000000"/>
                <w:sz w:val="21"/>
                <w:szCs w:val="21"/>
              </w:rPr>
              <w:t xml:space="preserve"> $  40.62 </w:t>
            </w:r>
          </w:p>
        </w:tc>
        <w:tc>
          <w:tcPr>
            <w:tcW w:w="1705" w:type="dxa"/>
            <w:tcBorders>
              <w:top w:val="nil"/>
              <w:left w:val="nil"/>
              <w:bottom w:val="single" w:sz="4" w:space="0" w:color="auto"/>
              <w:right w:val="single" w:sz="4" w:space="0" w:color="auto"/>
            </w:tcBorders>
            <w:shd w:val="clear" w:color="auto" w:fill="auto"/>
            <w:vAlign w:val="center"/>
            <w:hideMark/>
          </w:tcPr>
          <w:p w:rsidR="005926E6" w:rsidRPr="003D32B6" w:rsidP="003363E7" w14:paraId="2C3BA18C" w14:textId="77777777">
            <w:pPr>
              <w:spacing w:after="0" w:line="240" w:lineRule="auto"/>
              <w:jc w:val="center"/>
              <w:rPr>
                <w:rFonts w:ascii="Times New Roman" w:eastAsia="Times New Roman" w:hAnsi="Times New Roman"/>
                <w:color w:val="000000"/>
                <w:sz w:val="21"/>
                <w:szCs w:val="21"/>
              </w:rPr>
            </w:pPr>
            <w:r w:rsidRPr="003D32B6">
              <w:rPr>
                <w:rFonts w:ascii="Times New Roman" w:eastAsia="Times New Roman" w:hAnsi="Times New Roman"/>
                <w:color w:val="000000"/>
                <w:sz w:val="21"/>
                <w:szCs w:val="21"/>
              </w:rPr>
              <w:t>$    53.21</w:t>
            </w:r>
          </w:p>
        </w:tc>
        <w:tc>
          <w:tcPr>
            <w:tcW w:w="1231" w:type="dxa"/>
            <w:tcBorders>
              <w:top w:val="nil"/>
              <w:left w:val="nil"/>
              <w:bottom w:val="single" w:sz="4" w:space="0" w:color="auto"/>
              <w:right w:val="single" w:sz="4" w:space="0" w:color="auto"/>
            </w:tcBorders>
            <w:shd w:val="clear" w:color="auto" w:fill="auto"/>
            <w:vAlign w:val="center"/>
            <w:hideMark/>
          </w:tcPr>
          <w:p w:rsidR="005926E6" w:rsidRPr="003D32B6" w:rsidP="00BD2AF2" w14:paraId="06B13E25" w14:textId="77777777">
            <w:pPr>
              <w:spacing w:after="0" w:line="240" w:lineRule="auto"/>
              <w:jc w:val="center"/>
              <w:rPr>
                <w:rFonts w:ascii="Times New Roman" w:eastAsia="Times New Roman" w:hAnsi="Times New Roman"/>
                <w:color w:val="000000"/>
                <w:sz w:val="21"/>
                <w:szCs w:val="21"/>
              </w:rPr>
            </w:pPr>
            <w:r w:rsidRPr="003D32B6">
              <w:rPr>
                <w:rFonts w:ascii="Times New Roman" w:eastAsia="Times New Roman" w:hAnsi="Times New Roman"/>
                <w:color w:val="000000"/>
                <w:sz w:val="21"/>
                <w:szCs w:val="21"/>
              </w:rPr>
              <w:t>1</w:t>
            </w:r>
          </w:p>
        </w:tc>
        <w:tc>
          <w:tcPr>
            <w:tcW w:w="1744" w:type="dxa"/>
            <w:tcBorders>
              <w:top w:val="nil"/>
              <w:left w:val="nil"/>
              <w:bottom w:val="single" w:sz="4" w:space="0" w:color="auto"/>
              <w:right w:val="single" w:sz="4" w:space="0" w:color="auto"/>
            </w:tcBorders>
            <w:shd w:val="clear" w:color="auto" w:fill="auto"/>
            <w:vAlign w:val="center"/>
            <w:hideMark/>
          </w:tcPr>
          <w:p w:rsidR="005926E6" w:rsidRPr="003D32B6" w:rsidP="00BD2AF2" w14:paraId="58A9D374" w14:textId="77777777">
            <w:pPr>
              <w:spacing w:after="0" w:line="240" w:lineRule="auto"/>
              <w:jc w:val="center"/>
              <w:rPr>
                <w:rFonts w:ascii="Times New Roman" w:eastAsia="Times New Roman" w:hAnsi="Times New Roman"/>
                <w:color w:val="000000"/>
                <w:sz w:val="21"/>
                <w:szCs w:val="21"/>
              </w:rPr>
            </w:pPr>
            <w:r w:rsidRPr="003D32B6">
              <w:rPr>
                <w:rFonts w:ascii="Times New Roman" w:eastAsia="Times New Roman" w:hAnsi="Times New Roman"/>
                <w:color w:val="000000"/>
                <w:sz w:val="21"/>
                <w:szCs w:val="21"/>
              </w:rPr>
              <w:t>5</w:t>
            </w:r>
          </w:p>
        </w:tc>
        <w:tc>
          <w:tcPr>
            <w:tcW w:w="1260" w:type="dxa"/>
            <w:vMerge/>
            <w:tcBorders>
              <w:left w:val="nil"/>
              <w:bottom w:val="single" w:sz="4" w:space="0" w:color="auto"/>
              <w:right w:val="single" w:sz="4" w:space="0" w:color="auto"/>
            </w:tcBorders>
          </w:tcPr>
          <w:p w:rsidR="005926E6" w:rsidRPr="003D32B6" w:rsidP="00BD2AF2" w14:paraId="48F4F09B" w14:textId="77777777">
            <w:pPr>
              <w:spacing w:after="0" w:line="240" w:lineRule="auto"/>
              <w:rPr>
                <w:rFonts w:ascii="Times New Roman" w:eastAsia="Times New Roman" w:hAnsi="Times New Roman"/>
                <w:color w:val="000000"/>
                <w:sz w:val="21"/>
                <w:szCs w:val="21"/>
              </w:rPr>
            </w:pPr>
          </w:p>
        </w:tc>
        <w:tc>
          <w:tcPr>
            <w:tcW w:w="1710" w:type="dxa"/>
            <w:tcBorders>
              <w:top w:val="nil"/>
              <w:left w:val="single" w:sz="4" w:space="0" w:color="auto"/>
              <w:bottom w:val="single" w:sz="4" w:space="0" w:color="auto"/>
              <w:right w:val="single" w:sz="4" w:space="0" w:color="auto"/>
            </w:tcBorders>
            <w:shd w:val="clear" w:color="auto" w:fill="auto"/>
            <w:vAlign w:val="center"/>
            <w:hideMark/>
          </w:tcPr>
          <w:p w:rsidR="005926E6" w:rsidRPr="003D32B6" w:rsidP="00BD2AF2" w14:paraId="0621E3F5" w14:textId="2E3B402E">
            <w:pPr>
              <w:spacing w:after="0" w:line="240" w:lineRule="auto"/>
              <w:rPr>
                <w:rFonts w:ascii="Times New Roman" w:eastAsia="Times New Roman" w:hAnsi="Times New Roman"/>
                <w:color w:val="000000"/>
                <w:sz w:val="21"/>
                <w:szCs w:val="21"/>
              </w:rPr>
            </w:pPr>
            <w:r w:rsidRPr="003D32B6">
              <w:rPr>
                <w:rFonts w:ascii="Times New Roman" w:eastAsia="Times New Roman" w:hAnsi="Times New Roman"/>
                <w:color w:val="000000"/>
                <w:sz w:val="21"/>
                <w:szCs w:val="21"/>
              </w:rPr>
              <w:t xml:space="preserve"> $   </w:t>
            </w:r>
            <w:r w:rsidRPr="003D32B6" w:rsidR="00794DCA">
              <w:rPr>
                <w:rFonts w:ascii="Times New Roman" w:eastAsia="Times New Roman" w:hAnsi="Times New Roman"/>
                <w:color w:val="000000"/>
                <w:sz w:val="21"/>
                <w:szCs w:val="21"/>
              </w:rPr>
              <w:t>159,630.00</w:t>
            </w:r>
          </w:p>
        </w:tc>
      </w:tr>
      <w:tr w14:paraId="7F5C8A69" w14:textId="77777777" w:rsidTr="003D32B6">
        <w:tblPrEx>
          <w:tblW w:w="11070" w:type="dxa"/>
          <w:tblInd w:w="-1085" w:type="dxa"/>
          <w:tblLook w:val="04A0"/>
        </w:tblPrEx>
        <w:trPr>
          <w:trHeight w:val="260"/>
        </w:trPr>
        <w:tc>
          <w:tcPr>
            <w:tcW w:w="8100" w:type="dxa"/>
            <w:gridSpan w:val="5"/>
            <w:tcBorders>
              <w:top w:val="single" w:sz="4" w:space="0" w:color="auto"/>
              <w:left w:val="single" w:sz="4" w:space="0" w:color="auto"/>
              <w:bottom w:val="single" w:sz="4" w:space="0" w:color="auto"/>
              <w:right w:val="nil"/>
            </w:tcBorders>
            <w:shd w:val="clear" w:color="000000" w:fill="D0CECE"/>
            <w:vAlign w:val="center"/>
            <w:hideMark/>
          </w:tcPr>
          <w:p w:rsidR="005926E6" w:rsidRPr="003D32B6" w:rsidP="00BD2AF2" w14:paraId="04DB7388" w14:textId="77777777">
            <w:pPr>
              <w:spacing w:after="0" w:line="240" w:lineRule="auto"/>
              <w:jc w:val="center"/>
              <w:rPr>
                <w:rFonts w:ascii="Times New Roman" w:eastAsia="Times New Roman" w:hAnsi="Times New Roman"/>
                <w:b/>
                <w:bCs/>
                <w:color w:val="000000"/>
                <w:sz w:val="21"/>
                <w:szCs w:val="21"/>
              </w:rPr>
            </w:pPr>
            <w:r w:rsidRPr="003D32B6">
              <w:rPr>
                <w:rFonts w:ascii="Times New Roman" w:eastAsia="Times New Roman" w:hAnsi="Times New Roman"/>
                <w:b/>
                <w:bCs/>
                <w:color w:val="000000"/>
                <w:sz w:val="21"/>
                <w:szCs w:val="21"/>
              </w:rPr>
              <w:t>TOTAL COMBINED FEDERAL WAGES</w:t>
            </w:r>
          </w:p>
        </w:tc>
        <w:tc>
          <w:tcPr>
            <w:tcW w:w="1260" w:type="dxa"/>
            <w:tcBorders>
              <w:top w:val="nil"/>
              <w:left w:val="single" w:sz="4" w:space="0" w:color="auto"/>
              <w:bottom w:val="single" w:sz="4" w:space="0" w:color="auto"/>
              <w:right w:val="single" w:sz="4" w:space="0" w:color="auto"/>
            </w:tcBorders>
          </w:tcPr>
          <w:p w:rsidR="005926E6" w:rsidRPr="003D32B6" w:rsidP="00DA7FF5" w14:paraId="7EDA20A8" w14:textId="77777777">
            <w:pPr>
              <w:spacing w:after="0" w:line="240" w:lineRule="auto"/>
              <w:rPr>
                <w:rFonts w:ascii="Times New Roman" w:eastAsia="Times New Roman" w:hAnsi="Times New Roman"/>
                <w:b/>
                <w:bCs/>
                <w:color w:val="000000"/>
                <w:sz w:val="21"/>
                <w:szCs w:val="21"/>
              </w:rPr>
            </w:pP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5926E6" w:rsidRPr="003D32B6" w:rsidP="00DA7FF5" w14:paraId="71EBD523" w14:textId="05D7BFC9">
            <w:pPr>
              <w:spacing w:after="0" w:line="240" w:lineRule="auto"/>
              <w:rPr>
                <w:rFonts w:ascii="Times New Roman" w:eastAsia="Times New Roman" w:hAnsi="Times New Roman"/>
                <w:b/>
                <w:bCs/>
                <w:color w:val="000000"/>
                <w:sz w:val="21"/>
                <w:szCs w:val="21"/>
              </w:rPr>
            </w:pPr>
            <w:r w:rsidRPr="003D32B6">
              <w:rPr>
                <w:rFonts w:ascii="Times New Roman" w:eastAsia="Times New Roman" w:hAnsi="Times New Roman"/>
                <w:b/>
                <w:bCs/>
                <w:color w:val="000000"/>
                <w:sz w:val="21"/>
                <w:szCs w:val="21"/>
              </w:rPr>
              <w:t xml:space="preserve">$   </w:t>
            </w:r>
            <w:r w:rsidRPr="003D32B6" w:rsidR="00794DCA">
              <w:rPr>
                <w:rFonts w:ascii="Times New Roman" w:eastAsia="Times New Roman" w:hAnsi="Times New Roman"/>
                <w:b/>
                <w:bCs/>
                <w:color w:val="000000"/>
                <w:sz w:val="21"/>
                <w:szCs w:val="21"/>
              </w:rPr>
              <w:t>813,600.00</w:t>
            </w:r>
          </w:p>
        </w:tc>
      </w:tr>
    </w:tbl>
    <w:p w:rsidR="008D5A15" w:rsidRPr="008D5A15" w:rsidP="00376118" w14:paraId="1C36D129" w14:textId="77777777">
      <w:pPr>
        <w:pStyle w:val="ListParagraph"/>
        <w:spacing w:after="0" w:line="240" w:lineRule="auto"/>
        <w:rPr>
          <w:rFonts w:ascii="Times New Roman" w:hAnsi="Times New Roman"/>
          <w:color w:val="FF0000"/>
          <w:sz w:val="24"/>
          <w:szCs w:val="24"/>
        </w:rPr>
      </w:pPr>
    </w:p>
    <w:p w:rsidR="00C54591" w:rsidRPr="003363E7" w:rsidP="00D64550" w14:paraId="7E02E4D6" w14:textId="77777777">
      <w:pPr>
        <w:numPr>
          <w:ilvl w:val="0"/>
          <w:numId w:val="22"/>
        </w:numPr>
        <w:tabs>
          <w:tab w:val="left" w:pos="-1440"/>
        </w:tabs>
        <w:spacing w:after="0" w:line="240" w:lineRule="auto"/>
        <w:ind w:left="720" w:hanging="360"/>
        <w:rPr>
          <w:rFonts w:ascii="Times New Roman" w:hAnsi="Times New Roman"/>
          <w:b/>
          <w:color w:val="000000"/>
          <w:sz w:val="24"/>
          <w:szCs w:val="24"/>
        </w:rPr>
      </w:pPr>
      <w:r w:rsidRPr="003363E7">
        <w:rPr>
          <w:rFonts w:ascii="Times New Roman" w:hAnsi="Times New Roman"/>
          <w:b/>
          <w:color w:val="000000"/>
          <w:sz w:val="24"/>
          <w:szCs w:val="24"/>
        </w:rPr>
        <w:t xml:space="preserve">Explanation of </w:t>
      </w:r>
      <w:r w:rsidR="004670A7">
        <w:rPr>
          <w:rFonts w:ascii="Times New Roman" w:hAnsi="Times New Roman"/>
          <w:b/>
          <w:color w:val="000000"/>
          <w:sz w:val="24"/>
          <w:szCs w:val="24"/>
        </w:rPr>
        <w:t>P</w:t>
      </w:r>
      <w:r w:rsidRPr="003363E7" w:rsidR="004670A7">
        <w:rPr>
          <w:rFonts w:ascii="Times New Roman" w:hAnsi="Times New Roman"/>
          <w:b/>
          <w:color w:val="000000"/>
          <w:sz w:val="24"/>
          <w:szCs w:val="24"/>
        </w:rPr>
        <w:t xml:space="preserve">rogram </w:t>
      </w:r>
      <w:r w:rsidR="004670A7">
        <w:rPr>
          <w:rFonts w:ascii="Times New Roman" w:hAnsi="Times New Roman"/>
          <w:b/>
          <w:color w:val="000000"/>
          <w:sz w:val="24"/>
          <w:szCs w:val="24"/>
        </w:rPr>
        <w:t>C</w:t>
      </w:r>
      <w:r w:rsidRPr="003363E7" w:rsidR="004670A7">
        <w:rPr>
          <w:rFonts w:ascii="Times New Roman" w:hAnsi="Times New Roman"/>
          <w:b/>
          <w:color w:val="000000"/>
          <w:sz w:val="24"/>
          <w:szCs w:val="24"/>
        </w:rPr>
        <w:t xml:space="preserve">hanges </w:t>
      </w:r>
      <w:r w:rsidRPr="003363E7">
        <w:rPr>
          <w:rFonts w:ascii="Times New Roman" w:hAnsi="Times New Roman"/>
          <w:b/>
          <w:color w:val="000000"/>
          <w:sz w:val="24"/>
          <w:szCs w:val="24"/>
        </w:rPr>
        <w:t xml:space="preserve">or </w:t>
      </w:r>
      <w:r w:rsidR="004670A7">
        <w:rPr>
          <w:rFonts w:ascii="Times New Roman" w:hAnsi="Times New Roman"/>
          <w:b/>
          <w:color w:val="000000"/>
          <w:sz w:val="24"/>
          <w:szCs w:val="24"/>
        </w:rPr>
        <w:t>A</w:t>
      </w:r>
      <w:r w:rsidRPr="003363E7" w:rsidR="004670A7">
        <w:rPr>
          <w:rFonts w:ascii="Times New Roman" w:hAnsi="Times New Roman"/>
          <w:b/>
          <w:color w:val="000000"/>
          <w:sz w:val="24"/>
          <w:szCs w:val="24"/>
        </w:rPr>
        <w:t>djustments</w:t>
      </w:r>
    </w:p>
    <w:p w:rsidR="00A22040" w:rsidRPr="008D5A15" w:rsidP="00376118" w14:paraId="5011E8DE" w14:textId="77777777">
      <w:pPr>
        <w:tabs>
          <w:tab w:val="left" w:pos="-1440"/>
        </w:tabs>
        <w:spacing w:after="0" w:line="240" w:lineRule="auto"/>
        <w:ind w:left="720" w:hanging="720"/>
        <w:rPr>
          <w:rFonts w:ascii="Times New Roman" w:hAnsi="Times New Roman"/>
          <w:b/>
          <w:color w:val="FF0000"/>
          <w:sz w:val="24"/>
          <w:szCs w:val="24"/>
        </w:rPr>
      </w:pPr>
    </w:p>
    <w:p w:rsidR="00D76288" w:rsidRPr="003363E7" w:rsidP="00376118" w14:paraId="5A1F61B1" w14:textId="6CA0655D">
      <w:pPr>
        <w:pStyle w:val="ListParagraph"/>
        <w:spacing w:after="0" w:line="240" w:lineRule="auto"/>
        <w:rPr>
          <w:rFonts w:ascii="Times New Roman" w:hAnsi="Times New Roman"/>
          <w:color w:val="000000"/>
          <w:sz w:val="24"/>
          <w:szCs w:val="24"/>
        </w:rPr>
      </w:pPr>
      <w:bookmarkStart w:id="3" w:name="_Hlk195524957"/>
      <w:r>
        <w:rPr>
          <w:rFonts w:ascii="Times New Roman" w:hAnsi="Times New Roman"/>
          <w:color w:val="000000"/>
          <w:sz w:val="24"/>
          <w:szCs w:val="24"/>
        </w:rPr>
        <w:t xml:space="preserve">Since the last renewal, there are minor changes to this survey. </w:t>
      </w:r>
      <w:r w:rsidR="00DA7FF5">
        <w:rPr>
          <w:rFonts w:ascii="Times New Roman" w:hAnsi="Times New Roman"/>
          <w:color w:val="000000"/>
          <w:sz w:val="24"/>
          <w:szCs w:val="24"/>
        </w:rPr>
        <w:t xml:space="preserve"> </w:t>
      </w:r>
      <w:r>
        <w:rPr>
          <w:rFonts w:ascii="Times New Roman" w:hAnsi="Times New Roman"/>
          <w:color w:val="000000"/>
          <w:sz w:val="24"/>
          <w:szCs w:val="24"/>
        </w:rPr>
        <w:t xml:space="preserve">For instance, </w:t>
      </w:r>
      <w:r w:rsidRPr="003363E7" w:rsidR="00053837">
        <w:rPr>
          <w:rFonts w:ascii="Times New Roman" w:hAnsi="Times New Roman"/>
          <w:color w:val="000000"/>
          <w:sz w:val="24"/>
          <w:szCs w:val="24"/>
        </w:rPr>
        <w:t xml:space="preserve">the questions related to learning outcomes assessment </w:t>
      </w:r>
      <w:r>
        <w:rPr>
          <w:rFonts w:ascii="Times New Roman" w:hAnsi="Times New Roman"/>
          <w:color w:val="000000"/>
          <w:sz w:val="24"/>
          <w:szCs w:val="24"/>
        </w:rPr>
        <w:t xml:space="preserve">were </w:t>
      </w:r>
      <w:r w:rsidRPr="003363E7" w:rsidR="00053837">
        <w:rPr>
          <w:rFonts w:ascii="Times New Roman" w:hAnsi="Times New Roman"/>
          <w:color w:val="000000"/>
          <w:sz w:val="24"/>
          <w:szCs w:val="24"/>
        </w:rPr>
        <w:t>updated to reflect wording changes in the academic program over time</w:t>
      </w:r>
      <w:r w:rsidRPr="003363E7" w:rsidR="00A80230">
        <w:rPr>
          <w:rFonts w:ascii="Times New Roman" w:hAnsi="Times New Roman"/>
          <w:color w:val="000000"/>
          <w:sz w:val="24"/>
          <w:szCs w:val="24"/>
        </w:rPr>
        <w:t>.</w:t>
      </w:r>
      <w:r w:rsidRPr="003363E7" w:rsidR="00053837">
        <w:rPr>
          <w:rFonts w:ascii="Times New Roman" w:hAnsi="Times New Roman"/>
          <w:color w:val="000000"/>
          <w:sz w:val="24"/>
          <w:szCs w:val="24"/>
        </w:rPr>
        <w:t xml:space="preserve">  Salary ranges were also adjusted to align with increasing salaries over time.  Questions were slightly reworded for clarity and reordered in order to make skip logic more effective, thereby showing appropriate questions to respondents based on responses to prior questions.</w:t>
      </w:r>
    </w:p>
    <w:bookmarkEnd w:id="3"/>
    <w:p w:rsidR="00C54591" w:rsidRPr="008D5A15" w:rsidP="00376118" w14:paraId="00F3A35D" w14:textId="77777777">
      <w:pPr>
        <w:pStyle w:val="ListParagraph"/>
        <w:spacing w:after="0" w:line="240" w:lineRule="auto"/>
        <w:ind w:left="360" w:firstLine="360"/>
        <w:rPr>
          <w:rFonts w:ascii="Times New Roman" w:hAnsi="Times New Roman"/>
          <w:color w:val="FF0000"/>
          <w:sz w:val="24"/>
          <w:szCs w:val="24"/>
        </w:rPr>
      </w:pPr>
    </w:p>
    <w:p w:rsidR="00C54591" w:rsidP="00D64550" w14:paraId="1DCED505" w14:textId="77777777">
      <w:pPr>
        <w:numPr>
          <w:ilvl w:val="0"/>
          <w:numId w:val="22"/>
        </w:numPr>
        <w:tabs>
          <w:tab w:val="left" w:pos="-1440"/>
        </w:tabs>
        <w:spacing w:after="0" w:line="240" w:lineRule="auto"/>
        <w:ind w:left="720" w:hanging="360"/>
        <w:rPr>
          <w:rFonts w:ascii="Times New Roman" w:hAnsi="Times New Roman"/>
          <w:b/>
          <w:sz w:val="24"/>
          <w:szCs w:val="24"/>
        </w:rPr>
      </w:pPr>
      <w:r w:rsidRPr="006F745E">
        <w:rPr>
          <w:rFonts w:ascii="Times New Roman" w:hAnsi="Times New Roman"/>
          <w:b/>
          <w:sz w:val="24"/>
          <w:szCs w:val="24"/>
        </w:rPr>
        <w:t xml:space="preserve">Publication of </w:t>
      </w:r>
      <w:r w:rsidR="004670A7">
        <w:rPr>
          <w:rFonts w:ascii="Times New Roman" w:hAnsi="Times New Roman"/>
          <w:b/>
          <w:sz w:val="24"/>
          <w:szCs w:val="24"/>
        </w:rPr>
        <w:t>D</w:t>
      </w:r>
      <w:r w:rsidRPr="006F745E">
        <w:rPr>
          <w:rFonts w:ascii="Times New Roman" w:hAnsi="Times New Roman"/>
          <w:b/>
          <w:sz w:val="24"/>
          <w:szCs w:val="24"/>
        </w:rPr>
        <w:t xml:space="preserve">ata </w:t>
      </w:r>
      <w:r w:rsidR="004670A7">
        <w:rPr>
          <w:rFonts w:ascii="Times New Roman" w:hAnsi="Times New Roman"/>
          <w:b/>
          <w:sz w:val="24"/>
          <w:szCs w:val="24"/>
        </w:rPr>
        <w:t>C</w:t>
      </w:r>
      <w:r w:rsidRPr="006F745E" w:rsidR="004670A7">
        <w:rPr>
          <w:rFonts w:ascii="Times New Roman" w:hAnsi="Times New Roman"/>
          <w:b/>
          <w:sz w:val="24"/>
          <w:szCs w:val="24"/>
        </w:rPr>
        <w:t>ollection</w:t>
      </w:r>
      <w:r w:rsidR="004670A7">
        <w:rPr>
          <w:rFonts w:ascii="Times New Roman" w:hAnsi="Times New Roman"/>
          <w:b/>
          <w:sz w:val="24"/>
          <w:szCs w:val="24"/>
        </w:rPr>
        <w:t xml:space="preserve"> Results</w:t>
      </w:r>
    </w:p>
    <w:p w:rsidR="00D76288" w:rsidRPr="006F745E" w:rsidP="00376118" w14:paraId="22CED711" w14:textId="77777777">
      <w:pPr>
        <w:tabs>
          <w:tab w:val="left" w:pos="-1440"/>
        </w:tabs>
        <w:spacing w:after="0" w:line="240" w:lineRule="auto"/>
        <w:ind w:left="720" w:hanging="720"/>
        <w:rPr>
          <w:rFonts w:ascii="Times New Roman" w:hAnsi="Times New Roman"/>
          <w:b/>
          <w:sz w:val="24"/>
          <w:szCs w:val="24"/>
        </w:rPr>
      </w:pPr>
    </w:p>
    <w:p w:rsidR="00C54591" w:rsidP="00376118" w14:paraId="741D79A2" w14:textId="2CA88274">
      <w:pPr>
        <w:pStyle w:val="ListParagraph"/>
        <w:spacing w:after="0" w:line="240" w:lineRule="auto"/>
        <w:rPr>
          <w:rFonts w:ascii="Times New Roman" w:hAnsi="Times New Roman"/>
          <w:sz w:val="24"/>
          <w:szCs w:val="24"/>
        </w:rPr>
      </w:pPr>
      <w:r w:rsidRPr="001064C6">
        <w:rPr>
          <w:rFonts w:ascii="Times New Roman" w:hAnsi="Times New Roman"/>
          <w:sz w:val="24"/>
          <w:szCs w:val="24"/>
        </w:rPr>
        <w:t xml:space="preserve">Collected data will be analyzed and relevant results shared with internal program managers.  Summary findings will be included in the self-study </w:t>
      </w:r>
      <w:r w:rsidR="00053837">
        <w:rPr>
          <w:rFonts w:ascii="Times New Roman" w:hAnsi="Times New Roman"/>
          <w:sz w:val="24"/>
          <w:szCs w:val="24"/>
        </w:rPr>
        <w:t>and follow</w:t>
      </w:r>
      <w:r w:rsidR="00374987">
        <w:rPr>
          <w:rFonts w:ascii="Times New Roman" w:hAnsi="Times New Roman"/>
          <w:sz w:val="24"/>
          <w:szCs w:val="24"/>
        </w:rPr>
        <w:t>-</w:t>
      </w:r>
      <w:r w:rsidR="00053837">
        <w:rPr>
          <w:rFonts w:ascii="Times New Roman" w:hAnsi="Times New Roman"/>
          <w:sz w:val="24"/>
          <w:szCs w:val="24"/>
        </w:rPr>
        <w:t xml:space="preserve">up </w:t>
      </w:r>
      <w:r w:rsidRPr="001064C6">
        <w:rPr>
          <w:rFonts w:ascii="Times New Roman" w:hAnsi="Times New Roman"/>
          <w:sz w:val="24"/>
          <w:szCs w:val="24"/>
        </w:rPr>
        <w:t>report</w:t>
      </w:r>
      <w:r w:rsidR="00053837">
        <w:rPr>
          <w:rFonts w:ascii="Times New Roman" w:hAnsi="Times New Roman"/>
          <w:sz w:val="24"/>
          <w:szCs w:val="24"/>
        </w:rPr>
        <w:t>s</w:t>
      </w:r>
      <w:r w:rsidRPr="001064C6">
        <w:rPr>
          <w:rFonts w:ascii="Times New Roman" w:hAnsi="Times New Roman"/>
          <w:sz w:val="24"/>
          <w:szCs w:val="24"/>
        </w:rPr>
        <w:t xml:space="preserve"> </w:t>
      </w:r>
      <w:r w:rsidR="00374987">
        <w:rPr>
          <w:rFonts w:ascii="Times New Roman" w:hAnsi="Times New Roman"/>
          <w:sz w:val="24"/>
          <w:szCs w:val="24"/>
        </w:rPr>
        <w:t>will</w:t>
      </w:r>
      <w:r w:rsidRPr="001064C6">
        <w:rPr>
          <w:rFonts w:ascii="Times New Roman" w:hAnsi="Times New Roman"/>
          <w:sz w:val="24"/>
          <w:szCs w:val="24"/>
        </w:rPr>
        <w:t xml:space="preserve"> be submitted to</w:t>
      </w:r>
      <w:r w:rsidR="00053837">
        <w:rPr>
          <w:rFonts w:ascii="Times New Roman" w:hAnsi="Times New Roman"/>
          <w:sz w:val="24"/>
          <w:szCs w:val="24"/>
        </w:rPr>
        <w:t xml:space="preserve"> regional and programmatic accreditors, </w:t>
      </w:r>
      <w:r w:rsidR="00F8269E">
        <w:rPr>
          <w:rFonts w:ascii="Times New Roman" w:hAnsi="Times New Roman"/>
          <w:sz w:val="24"/>
          <w:szCs w:val="24"/>
        </w:rPr>
        <w:t>as required</w:t>
      </w:r>
      <w:r w:rsidR="00053837">
        <w:rPr>
          <w:rFonts w:ascii="Times New Roman" w:hAnsi="Times New Roman"/>
          <w:sz w:val="24"/>
          <w:szCs w:val="24"/>
        </w:rPr>
        <w:t>,</w:t>
      </w:r>
      <w:r w:rsidR="00F8269E">
        <w:rPr>
          <w:rFonts w:ascii="Times New Roman" w:hAnsi="Times New Roman"/>
          <w:sz w:val="24"/>
          <w:szCs w:val="24"/>
        </w:rPr>
        <w:t xml:space="preserve"> to maintain </w:t>
      </w:r>
      <w:r w:rsidR="00C76BA3">
        <w:rPr>
          <w:rFonts w:ascii="Times New Roman" w:hAnsi="Times New Roman"/>
          <w:sz w:val="24"/>
          <w:szCs w:val="24"/>
        </w:rPr>
        <w:t>accreditation</w:t>
      </w:r>
      <w:r w:rsidRPr="001064C6">
        <w:rPr>
          <w:rFonts w:ascii="Times New Roman" w:hAnsi="Times New Roman"/>
          <w:sz w:val="24"/>
          <w:szCs w:val="24"/>
        </w:rPr>
        <w:t>.</w:t>
      </w:r>
    </w:p>
    <w:p w:rsidR="00D76288" w:rsidRPr="001064C6" w:rsidP="00376118" w14:paraId="29D024DE" w14:textId="77777777">
      <w:pPr>
        <w:pStyle w:val="ListParagraph"/>
        <w:spacing w:after="0" w:line="240" w:lineRule="auto"/>
        <w:rPr>
          <w:rFonts w:ascii="Times New Roman" w:hAnsi="Times New Roman"/>
          <w:sz w:val="24"/>
          <w:szCs w:val="24"/>
        </w:rPr>
      </w:pPr>
    </w:p>
    <w:p w:rsidR="00E83364" w:rsidP="00D64550" w14:paraId="31230ED3" w14:textId="77777777">
      <w:pPr>
        <w:numPr>
          <w:ilvl w:val="0"/>
          <w:numId w:val="22"/>
        </w:numPr>
        <w:tabs>
          <w:tab w:val="left" w:pos="-1440"/>
          <w:tab w:val="left" w:pos="720"/>
        </w:tabs>
        <w:spacing w:after="0" w:line="240" w:lineRule="auto"/>
        <w:rPr>
          <w:rFonts w:ascii="Times New Roman" w:hAnsi="Times New Roman"/>
          <w:b/>
          <w:sz w:val="24"/>
          <w:szCs w:val="24"/>
        </w:rPr>
      </w:pPr>
      <w:r>
        <w:rPr>
          <w:rFonts w:ascii="Times New Roman" w:hAnsi="Times New Roman"/>
          <w:b/>
          <w:sz w:val="24"/>
          <w:szCs w:val="24"/>
        </w:rPr>
        <w:t>D</w:t>
      </w:r>
      <w:r w:rsidRPr="006F745E">
        <w:rPr>
          <w:rFonts w:ascii="Times New Roman" w:hAnsi="Times New Roman"/>
          <w:b/>
          <w:sz w:val="24"/>
          <w:szCs w:val="24"/>
        </w:rPr>
        <w:t>isplay</w:t>
      </w:r>
      <w:r>
        <w:rPr>
          <w:rFonts w:ascii="Times New Roman" w:hAnsi="Times New Roman"/>
          <w:b/>
          <w:sz w:val="24"/>
          <w:szCs w:val="24"/>
        </w:rPr>
        <w:t xml:space="preserve"> of the OMB E</w:t>
      </w:r>
      <w:r w:rsidRPr="006F745E">
        <w:rPr>
          <w:rFonts w:ascii="Times New Roman" w:hAnsi="Times New Roman"/>
          <w:b/>
          <w:sz w:val="24"/>
          <w:szCs w:val="24"/>
        </w:rPr>
        <w:t xml:space="preserve">xpiration </w:t>
      </w:r>
      <w:r>
        <w:rPr>
          <w:rFonts w:ascii="Times New Roman" w:hAnsi="Times New Roman"/>
          <w:b/>
          <w:sz w:val="24"/>
          <w:szCs w:val="24"/>
        </w:rPr>
        <w:t>D</w:t>
      </w:r>
      <w:r w:rsidRPr="006F745E">
        <w:rPr>
          <w:rFonts w:ascii="Times New Roman" w:hAnsi="Times New Roman"/>
          <w:b/>
          <w:sz w:val="24"/>
          <w:szCs w:val="24"/>
        </w:rPr>
        <w:t xml:space="preserve">ate </w:t>
      </w:r>
    </w:p>
    <w:p w:rsidR="00D76288" w:rsidRPr="006F745E" w:rsidP="00376118" w14:paraId="28FC74A5" w14:textId="77777777">
      <w:pPr>
        <w:tabs>
          <w:tab w:val="left" w:pos="-1440"/>
        </w:tabs>
        <w:spacing w:after="0" w:line="240" w:lineRule="auto"/>
        <w:ind w:left="720" w:hanging="720"/>
        <w:rPr>
          <w:rFonts w:ascii="Times New Roman" w:hAnsi="Times New Roman"/>
          <w:b/>
          <w:sz w:val="24"/>
          <w:szCs w:val="24"/>
        </w:rPr>
      </w:pPr>
    </w:p>
    <w:p w:rsidR="006F745E" w:rsidP="00376118" w14:paraId="7813960F" w14:textId="52B05EBE">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ascii="Times New Roman" w:hAnsi="Times New Roman"/>
          <w:sz w:val="24"/>
          <w:szCs w:val="24"/>
        </w:rPr>
      </w:pPr>
      <w:r w:rsidRPr="008B2968">
        <w:rPr>
          <w:rFonts w:ascii="Times New Roman" w:hAnsi="Times New Roman"/>
          <w:sz w:val="24"/>
          <w:szCs w:val="24"/>
        </w:rPr>
        <w:t>MARAD is not seeking approval</w:t>
      </w:r>
      <w:r w:rsidR="00656ABE">
        <w:rPr>
          <w:rFonts w:ascii="Times New Roman" w:hAnsi="Times New Roman"/>
          <w:sz w:val="24"/>
          <w:szCs w:val="24"/>
        </w:rPr>
        <w:t xml:space="preserve"> to avoid displaying the OMB expiration date</w:t>
      </w:r>
      <w:r w:rsidRPr="008B2968">
        <w:rPr>
          <w:rFonts w:ascii="Times New Roman" w:hAnsi="Times New Roman"/>
          <w:sz w:val="24"/>
          <w:szCs w:val="24"/>
        </w:rPr>
        <w:t xml:space="preserve">.  </w:t>
      </w:r>
    </w:p>
    <w:p w:rsidR="00D76288" w:rsidRPr="008B2968" w:rsidP="00376118" w14:paraId="2270BF87" w14:textId="77777777">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ascii="Times New Roman" w:hAnsi="Times New Roman"/>
          <w:sz w:val="24"/>
          <w:szCs w:val="24"/>
        </w:rPr>
      </w:pPr>
    </w:p>
    <w:p w:rsidR="00E83364" w:rsidP="00D64550" w14:paraId="5A705E1B" w14:textId="77777777">
      <w:pPr>
        <w:numPr>
          <w:ilvl w:val="0"/>
          <w:numId w:val="22"/>
        </w:numPr>
        <w:tabs>
          <w:tab w:val="left" w:pos="-1440"/>
        </w:tabs>
        <w:spacing w:after="0" w:line="240" w:lineRule="auto"/>
        <w:ind w:left="720" w:hanging="360"/>
        <w:rPr>
          <w:rFonts w:ascii="Times New Roman" w:hAnsi="Times New Roman"/>
          <w:b/>
          <w:sz w:val="24"/>
          <w:szCs w:val="24"/>
        </w:rPr>
      </w:pPr>
      <w:r w:rsidRPr="006F745E">
        <w:rPr>
          <w:rFonts w:ascii="Times New Roman" w:hAnsi="Times New Roman"/>
          <w:b/>
          <w:sz w:val="24"/>
          <w:szCs w:val="24"/>
        </w:rPr>
        <w:t xml:space="preserve">Exceptions to </w:t>
      </w:r>
      <w:r w:rsidR="004670A7">
        <w:rPr>
          <w:rFonts w:ascii="Times New Roman" w:hAnsi="Times New Roman"/>
          <w:b/>
          <w:sz w:val="24"/>
          <w:szCs w:val="24"/>
        </w:rPr>
        <w:t>the C</w:t>
      </w:r>
      <w:r w:rsidRPr="006F745E" w:rsidR="004670A7">
        <w:rPr>
          <w:rFonts w:ascii="Times New Roman" w:hAnsi="Times New Roman"/>
          <w:b/>
          <w:sz w:val="24"/>
          <w:szCs w:val="24"/>
        </w:rPr>
        <w:t xml:space="preserve">ertification </w:t>
      </w:r>
      <w:r w:rsidR="004670A7">
        <w:rPr>
          <w:rFonts w:ascii="Times New Roman" w:hAnsi="Times New Roman"/>
          <w:b/>
          <w:sz w:val="24"/>
          <w:szCs w:val="24"/>
        </w:rPr>
        <w:t>S</w:t>
      </w:r>
      <w:r w:rsidRPr="006F745E" w:rsidR="004670A7">
        <w:rPr>
          <w:rFonts w:ascii="Times New Roman" w:hAnsi="Times New Roman"/>
          <w:b/>
          <w:sz w:val="24"/>
          <w:szCs w:val="24"/>
        </w:rPr>
        <w:t>tatement</w:t>
      </w:r>
    </w:p>
    <w:p w:rsidR="00D76288" w:rsidRPr="006F745E" w:rsidP="00376118" w14:paraId="23D71743" w14:textId="77777777">
      <w:pPr>
        <w:tabs>
          <w:tab w:val="left" w:pos="-1440"/>
        </w:tabs>
        <w:spacing w:after="0" w:line="240" w:lineRule="auto"/>
        <w:ind w:left="720" w:hanging="720"/>
        <w:rPr>
          <w:rFonts w:ascii="Times New Roman" w:hAnsi="Times New Roman"/>
          <w:b/>
          <w:sz w:val="24"/>
          <w:szCs w:val="24"/>
        </w:rPr>
      </w:pPr>
    </w:p>
    <w:p w:rsidR="00907E71" w:rsidP="003363E7" w14:paraId="0DA43CEF" w14:textId="77777777">
      <w:pPr>
        <w:pStyle w:val="ListParagraph"/>
        <w:spacing w:after="0" w:line="240" w:lineRule="auto"/>
        <w:ind w:left="360" w:firstLine="360"/>
        <w:rPr>
          <w:rFonts w:ascii="Times New Roman" w:hAnsi="Times New Roman"/>
          <w:sz w:val="24"/>
          <w:szCs w:val="24"/>
        </w:rPr>
      </w:pPr>
      <w:r w:rsidRPr="006C17C2">
        <w:rPr>
          <w:rFonts w:ascii="Times New Roman" w:eastAsia="Times New Roman" w:hAnsi="Times New Roman"/>
          <w:snapToGrid w:val="0"/>
          <w:sz w:val="24"/>
          <w:szCs w:val="24"/>
        </w:rPr>
        <w:t>There are no exceptions to the certificat</w:t>
      </w:r>
      <w:r w:rsidR="00656ABE">
        <w:rPr>
          <w:rFonts w:ascii="Times New Roman" w:eastAsia="Times New Roman" w:hAnsi="Times New Roman"/>
          <w:snapToGrid w:val="0"/>
          <w:sz w:val="24"/>
          <w:szCs w:val="24"/>
        </w:rPr>
        <w:t>ion</w:t>
      </w:r>
      <w:r w:rsidRPr="006C17C2">
        <w:rPr>
          <w:rFonts w:ascii="Times New Roman" w:eastAsia="Times New Roman" w:hAnsi="Times New Roman"/>
          <w:snapToGrid w:val="0"/>
          <w:sz w:val="24"/>
          <w:szCs w:val="24"/>
        </w:rPr>
        <w:t xml:space="preserve"> statement.</w:t>
      </w:r>
    </w:p>
    <w:p w:rsidR="001F4908" w:rsidP="00376118" w14:paraId="70C25D43" w14:textId="77777777">
      <w:pPr>
        <w:pStyle w:val="ListParagraph"/>
        <w:spacing w:after="0" w:line="240" w:lineRule="auto"/>
        <w:ind w:left="360"/>
        <w:rPr>
          <w:rFonts w:ascii="Times New Roman" w:hAnsi="Times New Roman"/>
          <w:sz w:val="24"/>
          <w:szCs w:val="24"/>
        </w:rPr>
      </w:pPr>
    </w:p>
    <w:p w:rsidR="00C54591" w:rsidRPr="001064C6" w:rsidP="00356F7F" w14:paraId="6B80B545" w14:textId="77777777">
      <w:pPr>
        <w:tabs>
          <w:tab w:val="left" w:pos="-1440"/>
        </w:tabs>
        <w:spacing w:after="0" w:line="240" w:lineRule="auto"/>
        <w:ind w:left="720" w:hanging="720"/>
        <w:rPr>
          <w:rFonts w:ascii="Times New Roman" w:hAnsi="Times New Roman"/>
          <w:sz w:val="24"/>
          <w:szCs w:val="24"/>
        </w:rPr>
      </w:pPr>
    </w:p>
    <w:sectPr w:rsidSect="00F9767E">
      <w:footerReference w:type="even" r:id="rId6"/>
      <w:footerReference w:type="default" r:id="rId7"/>
      <w:pgSz w:w="12240" w:h="15840"/>
      <w:pgMar w:top="144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6989" w:rsidP="00774CF0" w14:paraId="13FF3BA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D6989" w14:paraId="419FD8B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6989" w:rsidP="00774CF0" w14:paraId="516E573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D5A15">
      <w:rPr>
        <w:rStyle w:val="PageNumber"/>
        <w:noProof/>
      </w:rPr>
      <w:t>1</w:t>
    </w:r>
    <w:r>
      <w:rPr>
        <w:rStyle w:val="PageNumber"/>
      </w:rPr>
      <w:fldChar w:fldCharType="end"/>
    </w:r>
  </w:p>
  <w:p w:rsidR="006D6989" w14:paraId="1115C7C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F0325" w:rsidP="007F5F2A" w14:paraId="44A5930B" w14:textId="77777777">
      <w:pPr>
        <w:spacing w:after="0" w:line="240" w:lineRule="auto"/>
      </w:pPr>
      <w:r>
        <w:separator/>
      </w:r>
    </w:p>
  </w:footnote>
  <w:footnote w:type="continuationSeparator" w:id="1">
    <w:p w:rsidR="001F0325" w:rsidP="007F5F2A" w14:paraId="68A43377" w14:textId="77777777">
      <w:pPr>
        <w:spacing w:after="0" w:line="240" w:lineRule="auto"/>
      </w:pPr>
      <w:r>
        <w:continuationSeparator/>
      </w:r>
    </w:p>
  </w:footnote>
  <w:footnote w:id="2">
    <w:p w:rsidR="003E7A63" w:rsidP="003E7A63" w14:paraId="3024B721" w14:textId="77777777">
      <w:pPr>
        <w:pStyle w:val="FootnoteText"/>
      </w:pPr>
      <w:r>
        <w:rPr>
          <w:rStyle w:val="FootnoteReference"/>
        </w:rPr>
        <w:footnoteRef/>
      </w:r>
      <w:r>
        <w:t xml:space="preserve"> The hourly Federal Government wage is taken from OPM 2025 wage tables: </w:t>
      </w:r>
      <w:hyperlink r:id="rId1" w:history="1">
        <w:r w:rsidRPr="00C93DCA">
          <w:rPr>
            <w:rStyle w:val="Hyperlink"/>
          </w:rPr>
          <w:t>https://www.opm.gov/policy-data-oversight/pay-leave/salaries-wages/salary-tables/25Tables/html/NY_h.aspx</w:t>
        </w:r>
      </w:hyperlink>
    </w:p>
  </w:footnote>
  <w:footnote w:id="3">
    <w:p w:rsidR="00F66000" w:rsidP="00F66000" w14:paraId="0B922DF4" w14:textId="77777777">
      <w:pPr>
        <w:pStyle w:val="FootnoteText"/>
      </w:pPr>
      <w:r>
        <w:rPr>
          <w:rStyle w:val="FootnoteReference"/>
        </w:rPr>
        <w:footnoteRef/>
      </w:r>
      <w:r>
        <w:t xml:space="preserve"> </w:t>
      </w:r>
      <w:r w:rsidRPr="007C21F2">
        <w:t xml:space="preserve">Per BLS Employee Compensation Memo, the total compensation rate for the </w:t>
      </w:r>
      <w:r>
        <w:t xml:space="preserve">Federal </w:t>
      </w:r>
      <w:r w:rsidR="003363E7">
        <w:t xml:space="preserve">Government </w:t>
      </w:r>
      <w:r w:rsidRPr="007C21F2" w:rsidR="003363E7">
        <w:t>is</w:t>
      </w:r>
      <w:r w:rsidRPr="007C21F2">
        <w:t xml:space="preserve"> </w:t>
      </w:r>
      <w:r>
        <w:t>31</w:t>
      </w:r>
      <w:r w:rsidRPr="007C21F2">
        <w:t>%,  :</w:t>
      </w:r>
      <w:hyperlink r:id="rId2" w:history="1">
        <w:r w:rsidRPr="007C21F2">
          <w:rPr>
            <w:rStyle w:val="Hyperlink"/>
          </w:rPr>
          <w:t>https://www.bls.gov/news.release/pdf/ecec.pdf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9542394"/>
    <w:lvl w:ilvl="0">
      <w:start w:val="1"/>
      <w:numFmt w:val="decimal"/>
      <w:lvlText w:val="%1."/>
      <w:lvlJc w:val="left"/>
      <w:pPr>
        <w:tabs>
          <w:tab w:val="num" w:pos="1890"/>
        </w:tabs>
        <w:ind w:left="1890" w:hanging="360"/>
      </w:pPr>
    </w:lvl>
  </w:abstractNum>
  <w:abstractNum w:abstractNumId="1">
    <w:nsid w:val="FFFFFF7D"/>
    <w:multiLevelType w:val="singleLevel"/>
    <w:tmpl w:val="C5FCF476"/>
    <w:lvl w:ilvl="0">
      <w:start w:val="1"/>
      <w:numFmt w:val="decimal"/>
      <w:lvlText w:val="%1."/>
      <w:lvlJc w:val="left"/>
      <w:pPr>
        <w:tabs>
          <w:tab w:val="num" w:pos="1440"/>
        </w:tabs>
        <w:ind w:left="1440" w:hanging="360"/>
      </w:pPr>
    </w:lvl>
  </w:abstractNum>
  <w:abstractNum w:abstractNumId="2">
    <w:nsid w:val="FFFFFF7E"/>
    <w:multiLevelType w:val="singleLevel"/>
    <w:tmpl w:val="960014EA"/>
    <w:lvl w:ilvl="0">
      <w:start w:val="1"/>
      <w:numFmt w:val="decimal"/>
      <w:lvlText w:val="%1."/>
      <w:lvlJc w:val="left"/>
      <w:pPr>
        <w:tabs>
          <w:tab w:val="num" w:pos="1080"/>
        </w:tabs>
        <w:ind w:left="1080" w:hanging="360"/>
      </w:pPr>
    </w:lvl>
  </w:abstractNum>
  <w:abstractNum w:abstractNumId="3">
    <w:nsid w:val="FFFFFF7F"/>
    <w:multiLevelType w:val="singleLevel"/>
    <w:tmpl w:val="E8DE104C"/>
    <w:lvl w:ilvl="0">
      <w:start w:val="1"/>
      <w:numFmt w:val="decimal"/>
      <w:lvlText w:val="%1."/>
      <w:lvlJc w:val="left"/>
      <w:pPr>
        <w:tabs>
          <w:tab w:val="num" w:pos="720"/>
        </w:tabs>
        <w:ind w:left="720" w:hanging="360"/>
      </w:pPr>
    </w:lvl>
  </w:abstractNum>
  <w:abstractNum w:abstractNumId="4">
    <w:nsid w:val="FFFFFF80"/>
    <w:multiLevelType w:val="singleLevel"/>
    <w:tmpl w:val="4B66E8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098F18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CAC256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FC42CD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6A6B24E"/>
    <w:lvl w:ilvl="0">
      <w:start w:val="1"/>
      <w:numFmt w:val="decimal"/>
      <w:lvlText w:val="%1."/>
      <w:lvlJc w:val="left"/>
      <w:pPr>
        <w:tabs>
          <w:tab w:val="num" w:pos="360"/>
        </w:tabs>
        <w:ind w:left="360" w:hanging="360"/>
      </w:pPr>
    </w:lvl>
  </w:abstractNum>
  <w:abstractNum w:abstractNumId="9">
    <w:nsid w:val="FFFFFF89"/>
    <w:multiLevelType w:val="singleLevel"/>
    <w:tmpl w:val="0D164CB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start w:val="0"/>
      <w:numFmt w:val="decimal"/>
      <w:lvlText w:val="*"/>
      <w:lvlJc w:val="left"/>
    </w:lvl>
  </w:abstractNum>
  <w:abstractNum w:abstractNumId="11">
    <w:nsid w:val="0D2D39E5"/>
    <w:multiLevelType w:val="singleLevel"/>
    <w:tmpl w:val="944CC5F2"/>
    <w:lvl w:ilvl="0">
      <w:start w:val="10"/>
      <w:numFmt w:val="decimal"/>
      <w:lvlText w:val="%1."/>
      <w:lvlJc w:val="left"/>
      <w:pPr>
        <w:tabs>
          <w:tab w:val="num" w:pos="810"/>
        </w:tabs>
        <w:ind w:left="810" w:hanging="720"/>
      </w:pPr>
      <w:rPr>
        <w:rFonts w:hint="default"/>
      </w:rPr>
    </w:lvl>
  </w:abstractNum>
  <w:abstractNum w:abstractNumId="12">
    <w:nsid w:val="129641C9"/>
    <w:multiLevelType w:val="hybridMultilevel"/>
    <w:tmpl w:val="D638A606"/>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1BCD3DFC"/>
    <w:multiLevelType w:val="hybridMultilevel"/>
    <w:tmpl w:val="729663E6"/>
    <w:lvl w:ilvl="0">
      <w:start w:val="1"/>
      <w:numFmt w:val="upperLetter"/>
      <w:lvlText w:val="%1."/>
      <w:lvlJc w:val="left"/>
      <w:pPr>
        <w:ind w:left="360" w:hanging="360"/>
      </w:pPr>
      <w:rPr>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1E1962F0"/>
    <w:multiLevelType w:val="hybridMultilevel"/>
    <w:tmpl w:val="4A9A435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5">
    <w:nsid w:val="246E51CD"/>
    <w:multiLevelType w:val="singleLevel"/>
    <w:tmpl w:val="7CD207E0"/>
    <w:lvl w:ilvl="0">
      <w:start w:val="1"/>
      <w:numFmt w:val="decimal"/>
      <w:lvlText w:val="%1."/>
      <w:lvlJc w:val="left"/>
      <w:pPr>
        <w:tabs>
          <w:tab w:val="num" w:pos="720"/>
        </w:tabs>
        <w:ind w:left="720" w:hanging="720"/>
      </w:pPr>
      <w:rPr>
        <w:rFonts w:hint="default"/>
      </w:rPr>
    </w:lvl>
  </w:abstractNum>
  <w:abstractNum w:abstractNumId="16">
    <w:nsid w:val="3018559A"/>
    <w:multiLevelType w:val="hybridMultilevel"/>
    <w:tmpl w:val="68FE60B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3FE16760"/>
    <w:multiLevelType w:val="hybridMultilevel"/>
    <w:tmpl w:val="73AC32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8D54FF5"/>
    <w:multiLevelType w:val="hybridMultilevel"/>
    <w:tmpl w:val="492EF44A"/>
    <w:lvl w:ilvl="0">
      <w:start w:val="1"/>
      <w:numFmt w:val="decimal"/>
      <w:lvlText w:val="%1."/>
      <w:lvlJc w:val="left"/>
      <w:pPr>
        <w:ind w:left="1170" w:hanging="72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9">
    <w:nsid w:val="499A4BEF"/>
    <w:multiLevelType w:val="singleLevel"/>
    <w:tmpl w:val="C7300BA8"/>
    <w:lvl w:ilvl="0">
      <w:start w:val="9"/>
      <w:numFmt w:val="decimal"/>
      <w:lvlText w:val="%1."/>
      <w:lvlJc w:val="left"/>
      <w:pPr>
        <w:tabs>
          <w:tab w:val="num" w:pos="720"/>
        </w:tabs>
        <w:ind w:left="720" w:hanging="720"/>
      </w:pPr>
      <w:rPr>
        <w:rFonts w:hint="default"/>
      </w:rPr>
    </w:lvl>
  </w:abstractNum>
  <w:abstractNum w:abstractNumId="20">
    <w:nsid w:val="4FB64231"/>
    <w:multiLevelType w:val="hybridMultilevel"/>
    <w:tmpl w:val="71FA0B5A"/>
    <w:lvl w:ilvl="0">
      <w:start w:val="1"/>
      <w:numFmt w:val="lowerLetter"/>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6121630"/>
    <w:multiLevelType w:val="hybridMultilevel"/>
    <w:tmpl w:val="04021B10"/>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C763DBA"/>
    <w:multiLevelType w:val="hybridMultilevel"/>
    <w:tmpl w:val="7840C80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72D80D0E"/>
    <w:multiLevelType w:val="singleLevel"/>
    <w:tmpl w:val="EB00E02C"/>
    <w:lvl w:ilvl="0">
      <w:start w:val="3"/>
      <w:numFmt w:val="decimal"/>
      <w:lvlText w:val="%1."/>
      <w:lvlJc w:val="left"/>
      <w:pPr>
        <w:tabs>
          <w:tab w:val="num" w:pos="720"/>
        </w:tabs>
        <w:ind w:left="720" w:hanging="720"/>
      </w:pPr>
      <w:rPr>
        <w:rFonts w:hint="default"/>
      </w:rPr>
    </w:lvl>
  </w:abstractNum>
  <w:abstractNum w:abstractNumId="24">
    <w:nsid w:val="7B0E2AC8"/>
    <w:multiLevelType w:val="hybridMultilevel"/>
    <w:tmpl w:val="81449E0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BA00EE7"/>
    <w:multiLevelType w:val="hybridMultilevel"/>
    <w:tmpl w:val="D4A2E7E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16366725">
    <w:abstractNumId w:val="22"/>
  </w:num>
  <w:num w:numId="2" w16cid:durableId="471749628">
    <w:abstractNumId w:val="16"/>
  </w:num>
  <w:num w:numId="3" w16cid:durableId="1141576657">
    <w:abstractNumId w:val="17"/>
  </w:num>
  <w:num w:numId="4" w16cid:durableId="1790080718">
    <w:abstractNumId w:val="15"/>
  </w:num>
  <w:num w:numId="5" w16cid:durableId="15889930">
    <w:abstractNumId w:val="23"/>
  </w:num>
  <w:num w:numId="6" w16cid:durableId="690373681">
    <w:abstractNumId w:val="10"/>
    <w:lvlOverride w:ilvl="0">
      <w:lvl w:ilvl="0">
        <w:start w:val="0"/>
        <w:numFmt w:val="bullet"/>
        <w:lvlText w:val=""/>
        <w:legacy w:legacy="1" w:legacySpace="0" w:legacyIndent="720"/>
        <w:lvlJc w:val="left"/>
        <w:pPr>
          <w:ind w:left="1440" w:hanging="720"/>
        </w:pPr>
        <w:rPr>
          <w:rFonts w:ascii="Symbol" w:hAnsi="Symbol" w:hint="default"/>
        </w:rPr>
      </w:lvl>
    </w:lvlOverride>
  </w:num>
  <w:num w:numId="7" w16cid:durableId="995495586">
    <w:abstractNumId w:val="11"/>
  </w:num>
  <w:num w:numId="8" w16cid:durableId="262079826">
    <w:abstractNumId w:val="19"/>
  </w:num>
  <w:num w:numId="9" w16cid:durableId="997727029">
    <w:abstractNumId w:val="9"/>
  </w:num>
  <w:num w:numId="10" w16cid:durableId="1923369782">
    <w:abstractNumId w:val="7"/>
  </w:num>
  <w:num w:numId="11" w16cid:durableId="477768973">
    <w:abstractNumId w:val="6"/>
  </w:num>
  <w:num w:numId="12" w16cid:durableId="2106997728">
    <w:abstractNumId w:val="5"/>
  </w:num>
  <w:num w:numId="13" w16cid:durableId="1290747361">
    <w:abstractNumId w:val="4"/>
  </w:num>
  <w:num w:numId="14" w16cid:durableId="520436558">
    <w:abstractNumId w:val="8"/>
  </w:num>
  <w:num w:numId="15" w16cid:durableId="1807509064">
    <w:abstractNumId w:val="3"/>
  </w:num>
  <w:num w:numId="16" w16cid:durableId="903494649">
    <w:abstractNumId w:val="2"/>
  </w:num>
  <w:num w:numId="17" w16cid:durableId="36711324">
    <w:abstractNumId w:val="1"/>
  </w:num>
  <w:num w:numId="18" w16cid:durableId="1112629665">
    <w:abstractNumId w:val="0"/>
  </w:num>
  <w:num w:numId="19" w16cid:durableId="944774034">
    <w:abstractNumId w:val="14"/>
  </w:num>
  <w:num w:numId="20" w16cid:durableId="1538473227">
    <w:abstractNumId w:val="21"/>
  </w:num>
  <w:num w:numId="21" w16cid:durableId="228813570">
    <w:abstractNumId w:val="13"/>
  </w:num>
  <w:num w:numId="22" w16cid:durableId="1873692106">
    <w:abstractNumId w:val="24"/>
  </w:num>
  <w:num w:numId="23" w16cid:durableId="565381628">
    <w:abstractNumId w:val="25"/>
  </w:num>
  <w:num w:numId="24" w16cid:durableId="1127622163">
    <w:abstractNumId w:val="12"/>
  </w:num>
  <w:num w:numId="25" w16cid:durableId="1495610694">
    <w:abstractNumId w:val="18"/>
  </w:num>
  <w:num w:numId="26" w16cid:durableId="17681676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1" w:formatting="1" w:inkAnnotations="0" w:insDel="1" w:markup="1"/>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F2A"/>
    <w:rsid w:val="000014B1"/>
    <w:rsid w:val="00033D4E"/>
    <w:rsid w:val="00053837"/>
    <w:rsid w:val="00076990"/>
    <w:rsid w:val="000B1EA9"/>
    <w:rsid w:val="000C498D"/>
    <w:rsid w:val="000D17D6"/>
    <w:rsid w:val="000D36F0"/>
    <w:rsid w:val="000E0CE8"/>
    <w:rsid w:val="000F04D9"/>
    <w:rsid w:val="00101605"/>
    <w:rsid w:val="00103750"/>
    <w:rsid w:val="00105AA5"/>
    <w:rsid w:val="001064C6"/>
    <w:rsid w:val="00110A78"/>
    <w:rsid w:val="00116264"/>
    <w:rsid w:val="00135203"/>
    <w:rsid w:val="00137AF8"/>
    <w:rsid w:val="00155116"/>
    <w:rsid w:val="00156256"/>
    <w:rsid w:val="0016687C"/>
    <w:rsid w:val="00173699"/>
    <w:rsid w:val="00173A15"/>
    <w:rsid w:val="00173BA0"/>
    <w:rsid w:val="0019128A"/>
    <w:rsid w:val="001A298C"/>
    <w:rsid w:val="001C0F27"/>
    <w:rsid w:val="001C2167"/>
    <w:rsid w:val="001E4660"/>
    <w:rsid w:val="001F0325"/>
    <w:rsid w:val="001F4908"/>
    <w:rsid w:val="00204724"/>
    <w:rsid w:val="0021682B"/>
    <w:rsid w:val="0024503B"/>
    <w:rsid w:val="0026048B"/>
    <w:rsid w:val="00264210"/>
    <w:rsid w:val="00280A60"/>
    <w:rsid w:val="002922FF"/>
    <w:rsid w:val="002A7EA1"/>
    <w:rsid w:val="002F130B"/>
    <w:rsid w:val="002F65C2"/>
    <w:rsid w:val="00304946"/>
    <w:rsid w:val="003062DF"/>
    <w:rsid w:val="00314886"/>
    <w:rsid w:val="003209EE"/>
    <w:rsid w:val="00325C7C"/>
    <w:rsid w:val="003363E7"/>
    <w:rsid w:val="0034561C"/>
    <w:rsid w:val="00351A7D"/>
    <w:rsid w:val="00356F7F"/>
    <w:rsid w:val="003707EE"/>
    <w:rsid w:val="00374987"/>
    <w:rsid w:val="00375AD9"/>
    <w:rsid w:val="00376118"/>
    <w:rsid w:val="003A72F7"/>
    <w:rsid w:val="003B1B7A"/>
    <w:rsid w:val="003B33CC"/>
    <w:rsid w:val="003D32B6"/>
    <w:rsid w:val="003E7A63"/>
    <w:rsid w:val="00401A60"/>
    <w:rsid w:val="00440EA4"/>
    <w:rsid w:val="00455D21"/>
    <w:rsid w:val="00463549"/>
    <w:rsid w:val="004670A7"/>
    <w:rsid w:val="00470672"/>
    <w:rsid w:val="0047201F"/>
    <w:rsid w:val="004A1BAE"/>
    <w:rsid w:val="004B3D14"/>
    <w:rsid w:val="004B7F7B"/>
    <w:rsid w:val="004C25F2"/>
    <w:rsid w:val="004D5886"/>
    <w:rsid w:val="004F36C1"/>
    <w:rsid w:val="005120FF"/>
    <w:rsid w:val="005127D0"/>
    <w:rsid w:val="00540D97"/>
    <w:rsid w:val="00555F44"/>
    <w:rsid w:val="005836DF"/>
    <w:rsid w:val="005926E6"/>
    <w:rsid w:val="005A25EF"/>
    <w:rsid w:val="005B530C"/>
    <w:rsid w:val="005B69A3"/>
    <w:rsid w:val="005C0463"/>
    <w:rsid w:val="005C0EF4"/>
    <w:rsid w:val="005C111A"/>
    <w:rsid w:val="005C222F"/>
    <w:rsid w:val="005E7173"/>
    <w:rsid w:val="005F3F19"/>
    <w:rsid w:val="005F61D7"/>
    <w:rsid w:val="00614A41"/>
    <w:rsid w:val="00622A9C"/>
    <w:rsid w:val="006361FB"/>
    <w:rsid w:val="00640E0B"/>
    <w:rsid w:val="00656ABE"/>
    <w:rsid w:val="00680065"/>
    <w:rsid w:val="0068006C"/>
    <w:rsid w:val="006B07F5"/>
    <w:rsid w:val="006B2160"/>
    <w:rsid w:val="006C1450"/>
    <w:rsid w:val="006C17C2"/>
    <w:rsid w:val="006D5521"/>
    <w:rsid w:val="006D6989"/>
    <w:rsid w:val="006F2089"/>
    <w:rsid w:val="006F369A"/>
    <w:rsid w:val="006F745E"/>
    <w:rsid w:val="00702BEF"/>
    <w:rsid w:val="007113F7"/>
    <w:rsid w:val="007219A0"/>
    <w:rsid w:val="00724066"/>
    <w:rsid w:val="007316D9"/>
    <w:rsid w:val="00742449"/>
    <w:rsid w:val="00746494"/>
    <w:rsid w:val="0075704B"/>
    <w:rsid w:val="00774CF0"/>
    <w:rsid w:val="00793E0C"/>
    <w:rsid w:val="00794B18"/>
    <w:rsid w:val="00794DCA"/>
    <w:rsid w:val="007C21F2"/>
    <w:rsid w:val="007D3748"/>
    <w:rsid w:val="007D6046"/>
    <w:rsid w:val="007E0EAB"/>
    <w:rsid w:val="007E1B2C"/>
    <w:rsid w:val="007F083C"/>
    <w:rsid w:val="007F5F2A"/>
    <w:rsid w:val="008050D3"/>
    <w:rsid w:val="008475B7"/>
    <w:rsid w:val="008721F6"/>
    <w:rsid w:val="00886A54"/>
    <w:rsid w:val="00895A5E"/>
    <w:rsid w:val="008A5A42"/>
    <w:rsid w:val="008A7721"/>
    <w:rsid w:val="008B2968"/>
    <w:rsid w:val="008D2CEA"/>
    <w:rsid w:val="008D5A15"/>
    <w:rsid w:val="008E3747"/>
    <w:rsid w:val="008F4B5E"/>
    <w:rsid w:val="00901FC3"/>
    <w:rsid w:val="009038D4"/>
    <w:rsid w:val="00904B04"/>
    <w:rsid w:val="00907E71"/>
    <w:rsid w:val="00912792"/>
    <w:rsid w:val="00917BD3"/>
    <w:rsid w:val="00924311"/>
    <w:rsid w:val="0092463E"/>
    <w:rsid w:val="00927EF0"/>
    <w:rsid w:val="009303AA"/>
    <w:rsid w:val="009577C3"/>
    <w:rsid w:val="00962F14"/>
    <w:rsid w:val="009D1261"/>
    <w:rsid w:val="009D61AB"/>
    <w:rsid w:val="009E2319"/>
    <w:rsid w:val="00A1212E"/>
    <w:rsid w:val="00A21245"/>
    <w:rsid w:val="00A22040"/>
    <w:rsid w:val="00A26E3B"/>
    <w:rsid w:val="00A31AD0"/>
    <w:rsid w:val="00A34DC9"/>
    <w:rsid w:val="00A80230"/>
    <w:rsid w:val="00A92599"/>
    <w:rsid w:val="00AA42B1"/>
    <w:rsid w:val="00AD22F8"/>
    <w:rsid w:val="00AF7E0B"/>
    <w:rsid w:val="00B270BD"/>
    <w:rsid w:val="00B3210A"/>
    <w:rsid w:val="00B33C99"/>
    <w:rsid w:val="00B37653"/>
    <w:rsid w:val="00B71474"/>
    <w:rsid w:val="00BB7203"/>
    <w:rsid w:val="00BD2256"/>
    <w:rsid w:val="00BD2AF2"/>
    <w:rsid w:val="00C006B2"/>
    <w:rsid w:val="00C01894"/>
    <w:rsid w:val="00C066EE"/>
    <w:rsid w:val="00C154CA"/>
    <w:rsid w:val="00C35811"/>
    <w:rsid w:val="00C43AD9"/>
    <w:rsid w:val="00C50271"/>
    <w:rsid w:val="00C506B3"/>
    <w:rsid w:val="00C54591"/>
    <w:rsid w:val="00C76BA3"/>
    <w:rsid w:val="00C91CEA"/>
    <w:rsid w:val="00C93DCA"/>
    <w:rsid w:val="00CA0397"/>
    <w:rsid w:val="00CE3E20"/>
    <w:rsid w:val="00CF1C57"/>
    <w:rsid w:val="00CF5B01"/>
    <w:rsid w:val="00D177F0"/>
    <w:rsid w:val="00D32FDA"/>
    <w:rsid w:val="00D41A27"/>
    <w:rsid w:val="00D51B33"/>
    <w:rsid w:val="00D64550"/>
    <w:rsid w:val="00D76288"/>
    <w:rsid w:val="00D80B86"/>
    <w:rsid w:val="00DA7FF5"/>
    <w:rsid w:val="00DB2D72"/>
    <w:rsid w:val="00DC45E2"/>
    <w:rsid w:val="00DD4C12"/>
    <w:rsid w:val="00DD5CFD"/>
    <w:rsid w:val="00E37F85"/>
    <w:rsid w:val="00E46C69"/>
    <w:rsid w:val="00E51B67"/>
    <w:rsid w:val="00E534D7"/>
    <w:rsid w:val="00E664E8"/>
    <w:rsid w:val="00E83364"/>
    <w:rsid w:val="00EB238B"/>
    <w:rsid w:val="00EB5294"/>
    <w:rsid w:val="00ED4E2B"/>
    <w:rsid w:val="00ED6660"/>
    <w:rsid w:val="00ED76E8"/>
    <w:rsid w:val="00EF504B"/>
    <w:rsid w:val="00F135BB"/>
    <w:rsid w:val="00F15CE5"/>
    <w:rsid w:val="00F47158"/>
    <w:rsid w:val="00F65A69"/>
    <w:rsid w:val="00F66000"/>
    <w:rsid w:val="00F722F1"/>
    <w:rsid w:val="00F8269E"/>
    <w:rsid w:val="00F833AC"/>
    <w:rsid w:val="00F9280E"/>
    <w:rsid w:val="00F9767E"/>
    <w:rsid w:val="00FB5634"/>
    <w:rsid w:val="00FC48D1"/>
    <w:rsid w:val="00FD3AB6"/>
    <w:rsid w:val="00FD738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223A6C"/>
  <w15:chartTrackingRefBased/>
  <w15:docId w15:val="{DD35AE6C-B5CA-417E-945B-0925DFFFF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4B04"/>
    <w:pPr>
      <w:spacing w:after="200" w:line="276" w:lineRule="auto"/>
    </w:pPr>
    <w:rPr>
      <w:sz w:val="22"/>
      <w:szCs w:val="22"/>
    </w:rPr>
  </w:style>
  <w:style w:type="paragraph" w:styleId="Heading1">
    <w:name w:val="heading 1"/>
    <w:basedOn w:val="Normal"/>
    <w:next w:val="Normal"/>
    <w:link w:val="Heading1Char"/>
    <w:uiPriority w:val="9"/>
    <w:qFormat/>
    <w:rsid w:val="007F5F2A"/>
    <w:pPr>
      <w:keepNext/>
      <w:keepLines/>
      <w:spacing w:before="480" w:after="0"/>
      <w:outlineLvl w:val="0"/>
    </w:pPr>
    <w:rPr>
      <w:rFonts w:ascii="Cambria" w:eastAsia="Times New Roman" w:hAnsi="Cambria"/>
      <w:b/>
      <w:bCs/>
      <w:color w:val="365F91"/>
      <w:sz w:val="28"/>
      <w:szCs w:val="28"/>
    </w:rPr>
  </w:style>
  <w:style w:type="paragraph" w:styleId="Heading7">
    <w:name w:val="heading 7"/>
    <w:basedOn w:val="Normal"/>
    <w:next w:val="Normal"/>
    <w:qFormat/>
    <w:rsid w:val="00B33C99"/>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F5F2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7F5F2A"/>
    <w:rPr>
      <w:rFonts w:ascii="Cambria" w:eastAsia="Times New Roman" w:hAnsi="Cambria" w:cs="Times New Roman"/>
      <w:color w:val="17365D"/>
      <w:spacing w:val="5"/>
      <w:kern w:val="28"/>
      <w:sz w:val="52"/>
      <w:szCs w:val="52"/>
    </w:rPr>
  </w:style>
  <w:style w:type="character" w:customStyle="1" w:styleId="Heading1Char">
    <w:name w:val="Heading 1 Char"/>
    <w:link w:val="Heading1"/>
    <w:uiPriority w:val="9"/>
    <w:rsid w:val="007F5F2A"/>
    <w:rPr>
      <w:rFonts w:ascii="Cambria" w:eastAsia="Times New Roman" w:hAnsi="Cambria" w:cs="Times New Roman"/>
      <w:b/>
      <w:bCs/>
      <w:color w:val="365F91"/>
      <w:sz w:val="28"/>
      <w:szCs w:val="28"/>
    </w:rPr>
  </w:style>
  <w:style w:type="paragraph" w:styleId="Header">
    <w:name w:val="header"/>
    <w:basedOn w:val="Normal"/>
    <w:link w:val="HeaderChar"/>
    <w:uiPriority w:val="99"/>
    <w:unhideWhenUsed/>
    <w:rsid w:val="007F5F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F2A"/>
  </w:style>
  <w:style w:type="paragraph" w:styleId="Footer">
    <w:name w:val="footer"/>
    <w:basedOn w:val="Normal"/>
    <w:link w:val="FooterChar"/>
    <w:uiPriority w:val="99"/>
    <w:unhideWhenUsed/>
    <w:rsid w:val="007F5F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F2A"/>
  </w:style>
  <w:style w:type="paragraph" w:styleId="ListParagraph">
    <w:name w:val="List Paragraph"/>
    <w:basedOn w:val="Normal"/>
    <w:uiPriority w:val="34"/>
    <w:qFormat/>
    <w:rsid w:val="007F5F2A"/>
    <w:pPr>
      <w:ind w:left="720"/>
      <w:contextualSpacing/>
    </w:pPr>
  </w:style>
  <w:style w:type="paragraph" w:customStyle="1" w:styleId="TableText">
    <w:name w:val="Table Text"/>
    <w:basedOn w:val="Normal"/>
    <w:rsid w:val="007F5F2A"/>
    <w:pPr>
      <w:spacing w:before="60" w:after="0" w:line="240" w:lineRule="auto"/>
    </w:pPr>
    <w:rPr>
      <w:rFonts w:ascii="Arial" w:eastAsia="Times New Roman" w:hAnsi="Arial"/>
      <w:spacing w:val="-5"/>
      <w:sz w:val="16"/>
      <w:szCs w:val="20"/>
    </w:rPr>
  </w:style>
  <w:style w:type="paragraph" w:styleId="BodyTextIndent">
    <w:name w:val="Body Text Indent"/>
    <w:basedOn w:val="Normal"/>
    <w:rsid w:val="00DD4C12"/>
    <w:pPr>
      <w:widowControl w:val="0"/>
      <w:tabs>
        <w:tab w:val="left" w:pos="-1440"/>
      </w:tabs>
      <w:spacing w:after="0" w:line="240" w:lineRule="auto"/>
      <w:ind w:left="720" w:hanging="720"/>
    </w:pPr>
    <w:rPr>
      <w:rFonts w:ascii="Times New Roman" w:eastAsia="Times New Roman" w:hAnsi="Times New Roman"/>
      <w:snapToGrid w:val="0"/>
      <w:sz w:val="24"/>
      <w:szCs w:val="20"/>
    </w:rPr>
  </w:style>
  <w:style w:type="paragraph" w:styleId="BodyTextIndent2">
    <w:name w:val="Body Text Indent 2"/>
    <w:basedOn w:val="Normal"/>
    <w:rsid w:val="00622A9C"/>
    <w:pPr>
      <w:spacing w:after="120" w:line="480" w:lineRule="auto"/>
      <w:ind w:left="360"/>
    </w:pPr>
  </w:style>
  <w:style w:type="paragraph" w:styleId="PlainText">
    <w:name w:val="Plain Text"/>
    <w:basedOn w:val="Normal"/>
    <w:rsid w:val="00622A9C"/>
    <w:pPr>
      <w:spacing w:after="0" w:line="240" w:lineRule="auto"/>
    </w:pPr>
    <w:rPr>
      <w:rFonts w:ascii="Courier New" w:eastAsia="Times New Roman" w:hAnsi="Courier New"/>
      <w:sz w:val="20"/>
      <w:szCs w:val="20"/>
    </w:rPr>
  </w:style>
  <w:style w:type="paragraph" w:customStyle="1" w:styleId="a">
    <w:name w:val="_"/>
    <w:basedOn w:val="Normal"/>
    <w:rsid w:val="008050D3"/>
    <w:pPr>
      <w:widowControl w:val="0"/>
      <w:spacing w:after="0" w:line="240" w:lineRule="auto"/>
      <w:ind w:left="1440" w:hanging="720"/>
    </w:pPr>
    <w:rPr>
      <w:rFonts w:ascii="Times New Roman" w:eastAsia="Times New Roman" w:hAnsi="Times New Roman"/>
      <w:snapToGrid w:val="0"/>
      <w:sz w:val="24"/>
      <w:szCs w:val="20"/>
    </w:rPr>
  </w:style>
  <w:style w:type="character" w:styleId="FootnoteReference">
    <w:name w:val="footnote reference"/>
    <w:semiHidden/>
    <w:rsid w:val="0026048B"/>
  </w:style>
  <w:style w:type="paragraph" w:styleId="FootnoteText">
    <w:name w:val="footnote text"/>
    <w:basedOn w:val="Normal"/>
    <w:semiHidden/>
    <w:rsid w:val="0026048B"/>
    <w:pPr>
      <w:widowControl w:val="0"/>
      <w:spacing w:after="0" w:line="240" w:lineRule="auto"/>
    </w:pPr>
    <w:rPr>
      <w:rFonts w:ascii="Times New Roman" w:eastAsia="Times New Roman" w:hAnsi="Times New Roman"/>
      <w:snapToGrid w:val="0"/>
      <w:sz w:val="20"/>
      <w:szCs w:val="20"/>
    </w:rPr>
  </w:style>
  <w:style w:type="paragraph" w:styleId="BodyText">
    <w:name w:val="Body Text"/>
    <w:basedOn w:val="Normal"/>
    <w:rsid w:val="00B33C99"/>
    <w:pPr>
      <w:spacing w:after="120"/>
    </w:pPr>
  </w:style>
  <w:style w:type="paragraph" w:styleId="BodyText2">
    <w:name w:val="Body Text 2"/>
    <w:basedOn w:val="Normal"/>
    <w:rsid w:val="00907E71"/>
    <w:pPr>
      <w:spacing w:after="120" w:line="480" w:lineRule="auto"/>
    </w:pPr>
  </w:style>
  <w:style w:type="paragraph" w:styleId="NormalWeb">
    <w:name w:val="Normal (Web)"/>
    <w:basedOn w:val="Normal"/>
    <w:rsid w:val="00907E71"/>
    <w:pPr>
      <w:spacing w:before="100" w:beforeAutospacing="1" w:after="100" w:afterAutospacing="1" w:line="240" w:lineRule="auto"/>
    </w:pPr>
    <w:rPr>
      <w:rFonts w:ascii="Arial Unicode MS" w:eastAsia="Arial Unicode MS" w:hAnsi="Arial Unicode MS" w:cs="Arial Unicode MS"/>
      <w:sz w:val="24"/>
      <w:szCs w:val="24"/>
    </w:rPr>
  </w:style>
  <w:style w:type="character" w:styleId="PageNumber">
    <w:name w:val="page number"/>
    <w:basedOn w:val="DefaultParagraphFont"/>
    <w:rsid w:val="004D5886"/>
  </w:style>
  <w:style w:type="character" w:styleId="CommentReference">
    <w:name w:val="annotation reference"/>
    <w:uiPriority w:val="99"/>
    <w:semiHidden/>
    <w:unhideWhenUsed/>
    <w:rsid w:val="00724066"/>
    <w:rPr>
      <w:sz w:val="16"/>
      <w:szCs w:val="16"/>
    </w:rPr>
  </w:style>
  <w:style w:type="paragraph" w:styleId="CommentText">
    <w:name w:val="annotation text"/>
    <w:basedOn w:val="Normal"/>
    <w:link w:val="CommentTextChar"/>
    <w:uiPriority w:val="99"/>
    <w:semiHidden/>
    <w:unhideWhenUsed/>
    <w:rsid w:val="00724066"/>
    <w:rPr>
      <w:sz w:val="20"/>
      <w:szCs w:val="20"/>
    </w:rPr>
  </w:style>
  <w:style w:type="character" w:customStyle="1" w:styleId="CommentTextChar">
    <w:name w:val="Comment Text Char"/>
    <w:basedOn w:val="DefaultParagraphFont"/>
    <w:link w:val="CommentText"/>
    <w:uiPriority w:val="99"/>
    <w:semiHidden/>
    <w:rsid w:val="00724066"/>
  </w:style>
  <w:style w:type="paragraph" w:styleId="CommentSubject">
    <w:name w:val="annotation subject"/>
    <w:basedOn w:val="CommentText"/>
    <w:next w:val="CommentText"/>
    <w:link w:val="CommentSubjectChar"/>
    <w:uiPriority w:val="99"/>
    <w:semiHidden/>
    <w:unhideWhenUsed/>
    <w:rsid w:val="00724066"/>
    <w:rPr>
      <w:b/>
      <w:bCs/>
    </w:rPr>
  </w:style>
  <w:style w:type="character" w:customStyle="1" w:styleId="CommentSubjectChar">
    <w:name w:val="Comment Subject Char"/>
    <w:link w:val="CommentSubject"/>
    <w:uiPriority w:val="99"/>
    <w:semiHidden/>
    <w:rsid w:val="00724066"/>
    <w:rPr>
      <w:b/>
      <w:bCs/>
    </w:rPr>
  </w:style>
  <w:style w:type="paragraph" w:styleId="BalloonText">
    <w:name w:val="Balloon Text"/>
    <w:basedOn w:val="Normal"/>
    <w:link w:val="BalloonTextChar"/>
    <w:uiPriority w:val="99"/>
    <w:semiHidden/>
    <w:unhideWhenUsed/>
    <w:rsid w:val="007240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4066"/>
    <w:rPr>
      <w:rFonts w:ascii="Tahoma" w:hAnsi="Tahoma" w:cs="Tahoma"/>
      <w:sz w:val="16"/>
      <w:szCs w:val="16"/>
    </w:rPr>
  </w:style>
  <w:style w:type="character" w:styleId="Hyperlink">
    <w:name w:val="Hyperlink"/>
    <w:uiPriority w:val="99"/>
    <w:unhideWhenUsed/>
    <w:rsid w:val="00C506B3"/>
    <w:rPr>
      <w:color w:val="0000FF"/>
      <w:u w:val="single"/>
    </w:rPr>
  </w:style>
  <w:style w:type="paragraph" w:styleId="Revision">
    <w:name w:val="Revision"/>
    <w:hidden/>
    <w:uiPriority w:val="99"/>
    <w:semiHidden/>
    <w:rsid w:val="00440EA4"/>
    <w:rPr>
      <w:sz w:val="22"/>
      <w:szCs w:val="22"/>
    </w:rPr>
  </w:style>
  <w:style w:type="character" w:styleId="UnresolvedMention">
    <w:name w:val="Unresolved Mention"/>
    <w:uiPriority w:val="99"/>
    <w:semiHidden/>
    <w:unhideWhenUsed/>
    <w:rsid w:val="003E7A63"/>
    <w:rPr>
      <w:color w:val="605E5C"/>
      <w:shd w:val="clear" w:color="auto" w:fill="E1DFDD"/>
    </w:rPr>
  </w:style>
  <w:style w:type="table" w:styleId="TableGrid">
    <w:name w:val="Table Grid"/>
    <w:basedOn w:val="TableNormal"/>
    <w:uiPriority w:val="59"/>
    <w:rsid w:val="00BD2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F20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_rels/footnotes.xml.rels><?xml version="1.0" encoding="utf-8" standalone="yes"?><Relationships xmlns="http://schemas.openxmlformats.org/package/2006/relationships"><Relationship Id="rId1" Type="http://schemas.openxmlformats.org/officeDocument/2006/relationships/hyperlink" Target="https://www.opm.gov/policy-data-oversight/pay-leave/salaries-wages/salary-tables/25Tables/html/NY_h.aspx" TargetMode="External" /><Relationship Id="rId2" Type="http://schemas.openxmlformats.org/officeDocument/2006/relationships/hyperlink" Target="https://www.bls.gov/news.release/pdf/ecec.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B614B-951E-4DC3-BCD9-54DA6E56C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1652</Words>
  <Characters>9419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USMMA</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Bolton, Tamelia (MARAD)</dc:creator>
  <cp:lastModifiedBy>Bolton, Tamelia (MARAD)</cp:lastModifiedBy>
  <cp:revision>4</cp:revision>
  <cp:lastPrinted>2016-05-25T15:11:00Z</cp:lastPrinted>
  <dcterms:created xsi:type="dcterms:W3CDTF">2025-07-02T16:39:00Z</dcterms:created>
  <dcterms:modified xsi:type="dcterms:W3CDTF">2025-07-02T16:42:00Z</dcterms:modified>
</cp:coreProperties>
</file>