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79A2" w:rsidRPr="004F6C7A" w:rsidP="004B2277" w14:paraId="6387EDE1" w14:textId="77777777">
      <w:pPr>
        <w:jc w:val="center"/>
        <w:rPr>
          <w:b/>
          <w:sz w:val="24"/>
          <w:szCs w:val="24"/>
        </w:rPr>
      </w:pPr>
      <w:r w:rsidRPr="004F6C7A">
        <w:rPr>
          <w:b/>
          <w:sz w:val="24"/>
          <w:szCs w:val="24"/>
        </w:rPr>
        <w:t>Department of Transportation</w:t>
      </w:r>
    </w:p>
    <w:p w:rsidR="005F727D" w:rsidRPr="004F6C7A" w:rsidP="004B2277" w14:paraId="70BDB1BB" w14:textId="77777777">
      <w:pPr>
        <w:jc w:val="center"/>
        <w:rPr>
          <w:b/>
          <w:sz w:val="24"/>
          <w:szCs w:val="24"/>
        </w:rPr>
      </w:pPr>
      <w:r w:rsidRPr="004F6C7A">
        <w:rPr>
          <w:b/>
          <w:sz w:val="24"/>
          <w:szCs w:val="24"/>
        </w:rPr>
        <w:t>Office of the Chief Information Officer</w:t>
      </w:r>
    </w:p>
    <w:p w:rsidR="005F727D" w:rsidP="004B2277" w14:paraId="38584520" w14:textId="77777777">
      <w:pPr>
        <w:jc w:val="center"/>
        <w:rPr>
          <w:b/>
          <w:sz w:val="24"/>
          <w:szCs w:val="24"/>
        </w:rPr>
      </w:pPr>
      <w:r w:rsidRPr="004F6C7A">
        <w:rPr>
          <w:b/>
          <w:sz w:val="24"/>
          <w:szCs w:val="24"/>
        </w:rPr>
        <w:t>Supporting Statement</w:t>
      </w:r>
    </w:p>
    <w:p w:rsidR="00DD53FF" w:rsidRPr="00444FB9" w:rsidP="004B2277" w14:paraId="2D60AF92" w14:textId="77777777">
      <w:pPr>
        <w:jc w:val="center"/>
        <w:rPr>
          <w:b/>
          <w:bCs/>
          <w:sz w:val="24"/>
          <w:szCs w:val="24"/>
        </w:rPr>
      </w:pPr>
    </w:p>
    <w:p w:rsidR="00306881" w:rsidRPr="007D7192" w:rsidP="004B2277" w14:paraId="713C50CC" w14:textId="77777777">
      <w:pPr>
        <w:jc w:val="center"/>
        <w:rPr>
          <w:b/>
          <w:bCs/>
          <w:sz w:val="24"/>
          <w:szCs w:val="24"/>
        </w:rPr>
      </w:pPr>
      <w:r w:rsidRPr="007D7192">
        <w:rPr>
          <w:b/>
          <w:bCs/>
          <w:sz w:val="24"/>
        </w:rPr>
        <w:t>Flammable Hazardous Materials by Rail Transportation</w:t>
      </w:r>
      <w:r w:rsidRPr="007D7192">
        <w:rPr>
          <w:b/>
          <w:bCs/>
          <w:sz w:val="24"/>
          <w:szCs w:val="24"/>
        </w:rPr>
        <w:t xml:space="preserve"> </w:t>
      </w:r>
    </w:p>
    <w:p w:rsidR="00013785" w:rsidRPr="007D7192" w:rsidP="004B2277" w14:paraId="31F49D5E" w14:textId="77777777">
      <w:pPr>
        <w:jc w:val="center"/>
        <w:rPr>
          <w:b/>
          <w:bCs/>
          <w:sz w:val="24"/>
          <w:szCs w:val="24"/>
        </w:rPr>
      </w:pPr>
      <w:r w:rsidRPr="007D7192">
        <w:rPr>
          <w:b/>
          <w:bCs/>
          <w:sz w:val="24"/>
          <w:szCs w:val="24"/>
        </w:rPr>
        <w:t>OMB Control No. 2137-</w:t>
      </w:r>
      <w:r w:rsidRPr="007D7192" w:rsidR="00792608">
        <w:rPr>
          <w:b/>
          <w:bCs/>
          <w:sz w:val="24"/>
          <w:szCs w:val="24"/>
        </w:rPr>
        <w:t>0628</w:t>
      </w:r>
    </w:p>
    <w:p w:rsidR="004F6C7A" w:rsidRPr="00AB7E18" w:rsidP="004B2277" w14:paraId="1045F159" w14:textId="77777777">
      <w:pPr>
        <w:jc w:val="center"/>
        <w:rPr>
          <w:sz w:val="24"/>
          <w:szCs w:val="24"/>
        </w:rPr>
      </w:pPr>
    </w:p>
    <w:p w:rsidR="004F6C7A" w:rsidRPr="008F65C8" w:rsidP="004B2277" w14:paraId="6648A0C5" w14:textId="26C0E60B">
      <w:pPr>
        <w:jc w:val="center"/>
        <w:rPr>
          <w:sz w:val="24"/>
          <w:szCs w:val="24"/>
        </w:rPr>
      </w:pPr>
      <w:r w:rsidRPr="008F65C8">
        <w:rPr>
          <w:sz w:val="24"/>
          <w:szCs w:val="24"/>
        </w:rPr>
        <w:t xml:space="preserve">(Expiration Date: </w:t>
      </w:r>
      <w:r w:rsidR="00516FCB">
        <w:rPr>
          <w:sz w:val="24"/>
          <w:szCs w:val="24"/>
        </w:rPr>
        <w:t>September</w:t>
      </w:r>
      <w:r w:rsidRPr="008F65C8" w:rsidR="00516FCB">
        <w:rPr>
          <w:sz w:val="24"/>
          <w:szCs w:val="24"/>
        </w:rPr>
        <w:t xml:space="preserve"> </w:t>
      </w:r>
      <w:r w:rsidRPr="008F65C8" w:rsidR="00951A29">
        <w:rPr>
          <w:sz w:val="24"/>
          <w:szCs w:val="24"/>
        </w:rPr>
        <w:t>3</w:t>
      </w:r>
      <w:r w:rsidR="00167578">
        <w:rPr>
          <w:sz w:val="24"/>
          <w:szCs w:val="24"/>
        </w:rPr>
        <w:t>0</w:t>
      </w:r>
      <w:r w:rsidRPr="008F65C8" w:rsidR="00951A29">
        <w:rPr>
          <w:sz w:val="24"/>
          <w:szCs w:val="24"/>
        </w:rPr>
        <w:t>, 202</w:t>
      </w:r>
      <w:r w:rsidRPr="00E91533" w:rsidR="00323A9A">
        <w:rPr>
          <w:sz w:val="24"/>
          <w:szCs w:val="24"/>
        </w:rPr>
        <w:t>5</w:t>
      </w:r>
      <w:r w:rsidRPr="008F65C8">
        <w:rPr>
          <w:sz w:val="24"/>
          <w:szCs w:val="24"/>
        </w:rPr>
        <w:t>)</w:t>
      </w:r>
    </w:p>
    <w:p w:rsidR="00013785" w:rsidRPr="007133B3" w:rsidP="004B2277" w14:paraId="0B4CA3AD" w14:textId="77777777">
      <w:pPr>
        <w:rPr>
          <w:sz w:val="24"/>
          <w:szCs w:val="24"/>
        </w:rPr>
      </w:pPr>
    </w:p>
    <w:p w:rsidR="00991017" w:rsidRPr="004F6C7A" w:rsidP="004B2277" w14:paraId="162FCBDD" w14:textId="77777777">
      <w:pPr>
        <w:jc w:val="both"/>
        <w:rPr>
          <w:b/>
          <w:sz w:val="24"/>
          <w:szCs w:val="24"/>
          <w:u w:val="single"/>
        </w:rPr>
      </w:pPr>
      <w:r w:rsidRPr="004F6C7A">
        <w:rPr>
          <w:b/>
          <w:sz w:val="24"/>
          <w:szCs w:val="24"/>
          <w:u w:val="single"/>
        </w:rPr>
        <w:t>Introduction</w:t>
      </w:r>
    </w:p>
    <w:p w:rsidR="00013785" w:rsidRPr="007133B3" w:rsidP="004B2277" w14:paraId="42AC909C" w14:textId="77777777">
      <w:pPr>
        <w:jc w:val="both"/>
        <w:rPr>
          <w:sz w:val="24"/>
          <w:szCs w:val="24"/>
        </w:rPr>
      </w:pPr>
    </w:p>
    <w:p w:rsidR="000D429B" w:rsidP="007D7192" w14:paraId="32162408" w14:textId="468E7AB2">
      <w:pPr>
        <w:rPr>
          <w:sz w:val="24"/>
          <w:szCs w:val="24"/>
        </w:rPr>
      </w:pPr>
      <w:r w:rsidRPr="00087B17">
        <w:rPr>
          <w:sz w:val="24"/>
          <w:szCs w:val="24"/>
        </w:rPr>
        <w:t xml:space="preserve">This is to request the Office of Management and Budget’s (OMB) renewed three-year approved clearance for the information collection titled </w:t>
      </w:r>
      <w:r w:rsidRPr="2B68A60F" w:rsidR="004F6C7A">
        <w:rPr>
          <w:sz w:val="24"/>
          <w:szCs w:val="24"/>
        </w:rPr>
        <w:t>“</w:t>
      </w:r>
      <w:r w:rsidRPr="2B68A60F" w:rsidR="00306881">
        <w:rPr>
          <w:sz w:val="24"/>
          <w:szCs w:val="24"/>
        </w:rPr>
        <w:t>Flammable Hazardous Materials by Rail Transportation</w:t>
      </w:r>
      <w:r w:rsidRPr="2B68A60F" w:rsidR="00C33031">
        <w:rPr>
          <w:sz w:val="24"/>
          <w:szCs w:val="24"/>
        </w:rPr>
        <w:t>.</w:t>
      </w:r>
      <w:r w:rsidRPr="2B68A60F" w:rsidR="004F6C7A">
        <w:rPr>
          <w:sz w:val="24"/>
          <w:szCs w:val="24"/>
        </w:rPr>
        <w:t>”</w:t>
      </w:r>
      <w:r w:rsidRPr="2B68A60F" w:rsidR="00476CCD">
        <w:rPr>
          <w:sz w:val="24"/>
          <w:szCs w:val="24"/>
        </w:rPr>
        <w:t xml:space="preserve"> </w:t>
      </w:r>
      <w:r w:rsidR="00337C0E">
        <w:rPr>
          <w:sz w:val="24"/>
          <w:szCs w:val="24"/>
        </w:rPr>
        <w:t xml:space="preserve"> </w:t>
      </w:r>
      <w:r w:rsidRPr="2B68A60F" w:rsidR="00D1120B">
        <w:rPr>
          <w:sz w:val="24"/>
          <w:szCs w:val="24"/>
        </w:rPr>
        <w:t xml:space="preserve">This information collection </w:t>
      </w:r>
      <w:r w:rsidRPr="2B68A60F" w:rsidR="00476CCD">
        <w:rPr>
          <w:sz w:val="24"/>
          <w:szCs w:val="24"/>
        </w:rPr>
        <w:t>originated from the</w:t>
      </w:r>
      <w:r w:rsidRPr="2B68A60F" w:rsidR="00F51E10">
        <w:rPr>
          <w:sz w:val="24"/>
          <w:szCs w:val="24"/>
        </w:rPr>
        <w:t xml:space="preserve"> </w:t>
      </w:r>
      <w:r w:rsidR="00F40637">
        <w:rPr>
          <w:sz w:val="24"/>
          <w:szCs w:val="24"/>
        </w:rPr>
        <w:t>HM-251</w:t>
      </w:r>
      <w:r w:rsidRPr="2B68A60F" w:rsidR="00574D2A">
        <w:rPr>
          <w:sz w:val="24"/>
          <w:szCs w:val="24"/>
        </w:rPr>
        <w:t xml:space="preserve"> </w:t>
      </w:r>
      <w:r w:rsidRPr="2B68A60F" w:rsidR="00476CCD">
        <w:rPr>
          <w:sz w:val="24"/>
          <w:szCs w:val="24"/>
        </w:rPr>
        <w:t>f</w:t>
      </w:r>
      <w:r w:rsidRPr="2B68A60F" w:rsidR="00574D2A">
        <w:rPr>
          <w:sz w:val="24"/>
          <w:szCs w:val="24"/>
        </w:rPr>
        <w:t xml:space="preserve">inal </w:t>
      </w:r>
      <w:r w:rsidRPr="2B68A60F" w:rsidR="00476CCD">
        <w:rPr>
          <w:sz w:val="24"/>
          <w:szCs w:val="24"/>
        </w:rPr>
        <w:t>rule</w:t>
      </w:r>
      <w:r>
        <w:rPr>
          <w:rStyle w:val="FootnoteReference"/>
          <w:sz w:val="24"/>
          <w:szCs w:val="24"/>
        </w:rPr>
        <w:footnoteReference w:id="3"/>
      </w:r>
      <w:r w:rsidRPr="2B68A60F" w:rsidR="00476CCD">
        <w:rPr>
          <w:sz w:val="24"/>
          <w:szCs w:val="24"/>
        </w:rPr>
        <w:t xml:space="preserve"> </w:t>
      </w:r>
      <w:r w:rsidRPr="2B68A60F" w:rsidR="00F51E10">
        <w:rPr>
          <w:sz w:val="24"/>
          <w:szCs w:val="24"/>
        </w:rPr>
        <w:t>titled</w:t>
      </w:r>
      <w:r w:rsidRPr="2B68A60F" w:rsidR="00657B05">
        <w:rPr>
          <w:sz w:val="24"/>
          <w:szCs w:val="24"/>
        </w:rPr>
        <w:t>,</w:t>
      </w:r>
      <w:r w:rsidRPr="2B68A60F" w:rsidR="00F51E10">
        <w:rPr>
          <w:sz w:val="24"/>
          <w:szCs w:val="24"/>
        </w:rPr>
        <w:t xml:space="preserve"> “Enhanced Tank Car Standards and Operational Controls for High-Hazard Flammable Trains</w:t>
      </w:r>
      <w:r w:rsidRPr="2B68A60F" w:rsidR="005D5CA1">
        <w:rPr>
          <w:sz w:val="24"/>
          <w:szCs w:val="24"/>
        </w:rPr>
        <w:t xml:space="preserve"> (HHFTs)</w:t>
      </w:r>
      <w:r w:rsidR="002833CA">
        <w:rPr>
          <w:sz w:val="24"/>
          <w:szCs w:val="24"/>
        </w:rPr>
        <w:t>.</w:t>
      </w:r>
      <w:r w:rsidRPr="2B68A60F" w:rsidR="00F51E10">
        <w:rPr>
          <w:sz w:val="24"/>
          <w:szCs w:val="24"/>
        </w:rPr>
        <w:t>”</w:t>
      </w:r>
    </w:p>
    <w:p w:rsidR="00180362" w:rsidRPr="007133B3" w:rsidP="004B2277" w14:paraId="1671119D" w14:textId="77777777">
      <w:pPr>
        <w:jc w:val="both"/>
        <w:rPr>
          <w:sz w:val="24"/>
          <w:szCs w:val="24"/>
        </w:rPr>
      </w:pPr>
    </w:p>
    <w:p w:rsidR="00991017" w:rsidRPr="0078178F" w:rsidP="004B2277" w14:paraId="0ABD6B30" w14:textId="79840C96">
      <w:pPr>
        <w:jc w:val="both"/>
        <w:rPr>
          <w:b/>
          <w:sz w:val="24"/>
          <w:szCs w:val="24"/>
        </w:rPr>
      </w:pPr>
      <w:r w:rsidRPr="0078178F">
        <w:rPr>
          <w:b/>
          <w:sz w:val="24"/>
          <w:szCs w:val="24"/>
          <w:u w:val="single"/>
        </w:rPr>
        <w:t>Part A. J</w:t>
      </w:r>
      <w:r w:rsidRPr="0078178F">
        <w:rPr>
          <w:b/>
          <w:sz w:val="24"/>
          <w:szCs w:val="24"/>
          <w:u w:val="single"/>
        </w:rPr>
        <w:t>ustification</w:t>
      </w:r>
      <w:r w:rsidRPr="0078178F">
        <w:rPr>
          <w:b/>
          <w:sz w:val="24"/>
          <w:szCs w:val="24"/>
        </w:rPr>
        <w:tab/>
      </w:r>
    </w:p>
    <w:p w:rsidR="00991017" w:rsidRPr="007133B3" w:rsidP="004B2277" w14:paraId="1FC5B7ED" w14:textId="77777777">
      <w:pPr>
        <w:jc w:val="both"/>
        <w:rPr>
          <w:sz w:val="24"/>
          <w:szCs w:val="24"/>
        </w:rPr>
      </w:pPr>
    </w:p>
    <w:p w:rsidR="00112AD0" w:rsidRPr="007133B3" w:rsidP="004B2277" w14:paraId="7F2DCE5E" w14:textId="77777777">
      <w:pPr>
        <w:jc w:val="both"/>
        <w:rPr>
          <w:sz w:val="24"/>
          <w:szCs w:val="24"/>
        </w:rPr>
      </w:pPr>
      <w:r w:rsidRPr="007133B3">
        <w:rPr>
          <w:sz w:val="24"/>
          <w:szCs w:val="24"/>
        </w:rPr>
        <w:t>1</w:t>
      </w:r>
      <w:r w:rsidRPr="007133B3" w:rsidR="004F2567">
        <w:rPr>
          <w:sz w:val="24"/>
          <w:szCs w:val="24"/>
        </w:rPr>
        <w:t>.</w:t>
      </w:r>
      <w:r w:rsidRPr="007133B3" w:rsidR="004F2567">
        <w:rPr>
          <w:sz w:val="24"/>
          <w:szCs w:val="24"/>
        </w:rPr>
        <w:tab/>
      </w:r>
      <w:r w:rsidRPr="007133B3" w:rsidR="004F2567">
        <w:rPr>
          <w:sz w:val="24"/>
          <w:szCs w:val="24"/>
          <w:u w:val="single"/>
        </w:rPr>
        <w:t>Circumstances that make collection of information necessary.</w:t>
      </w:r>
      <w:r w:rsidRPr="007133B3" w:rsidR="004F2567">
        <w:rPr>
          <w:sz w:val="24"/>
          <w:szCs w:val="24"/>
        </w:rPr>
        <w:t xml:space="preserve">  </w:t>
      </w:r>
    </w:p>
    <w:p w:rsidR="00112AD0" w:rsidRPr="007133B3" w:rsidP="004B2277" w14:paraId="1B52F319" w14:textId="77777777">
      <w:pPr>
        <w:jc w:val="both"/>
        <w:rPr>
          <w:sz w:val="24"/>
          <w:szCs w:val="24"/>
        </w:rPr>
      </w:pPr>
    </w:p>
    <w:p w:rsidR="0027016F" w:rsidP="004B2277" w14:paraId="5844BECD" w14:textId="6E862942">
      <w:pPr>
        <w:rPr>
          <w:sz w:val="24"/>
          <w:szCs w:val="24"/>
        </w:rPr>
      </w:pPr>
      <w:r w:rsidRPr="32E8BC75">
        <w:rPr>
          <w:sz w:val="24"/>
          <w:szCs w:val="24"/>
        </w:rPr>
        <w:t xml:space="preserve">This is a request for a </w:t>
      </w:r>
      <w:r w:rsidRPr="32E8BC75" w:rsidR="0771A4CD">
        <w:rPr>
          <w:sz w:val="24"/>
          <w:szCs w:val="24"/>
        </w:rPr>
        <w:t xml:space="preserve">3-year renewal </w:t>
      </w:r>
      <w:r w:rsidRPr="32E8BC75" w:rsidR="2C0DD0EF">
        <w:rPr>
          <w:sz w:val="24"/>
          <w:szCs w:val="24"/>
        </w:rPr>
        <w:t>without change</w:t>
      </w:r>
      <w:r w:rsidRPr="32E8BC75" w:rsidR="0771A4CD">
        <w:rPr>
          <w:sz w:val="24"/>
          <w:szCs w:val="24"/>
        </w:rPr>
        <w:t xml:space="preserve"> </w:t>
      </w:r>
      <w:r w:rsidRPr="32E8BC75" w:rsidR="69178097">
        <w:rPr>
          <w:sz w:val="24"/>
          <w:szCs w:val="24"/>
        </w:rPr>
        <w:t>for</w:t>
      </w:r>
      <w:r w:rsidRPr="32E8BC75">
        <w:rPr>
          <w:sz w:val="24"/>
          <w:szCs w:val="24"/>
        </w:rPr>
        <w:t xml:space="preserve"> </w:t>
      </w:r>
      <w:r w:rsidRPr="32E8BC75" w:rsidR="0771A4CD">
        <w:rPr>
          <w:sz w:val="24"/>
          <w:szCs w:val="24"/>
        </w:rPr>
        <w:t xml:space="preserve">reporting </w:t>
      </w:r>
      <w:r w:rsidRPr="32E8BC75">
        <w:rPr>
          <w:sz w:val="24"/>
          <w:szCs w:val="24"/>
        </w:rPr>
        <w:t xml:space="preserve">and recordkeeping requirements pertaining to </w:t>
      </w:r>
      <w:r w:rsidRPr="32E8BC75" w:rsidR="32D4E036">
        <w:rPr>
          <w:sz w:val="24"/>
          <w:szCs w:val="24"/>
        </w:rPr>
        <w:t>the creation of oil spill response plans and notification requirements for the movement of flammable liquids by rail.</w:t>
      </w:r>
      <w:r w:rsidRPr="32E8BC75" w:rsidR="3CB69647">
        <w:rPr>
          <w:sz w:val="24"/>
          <w:szCs w:val="24"/>
        </w:rPr>
        <w:t xml:space="preserve">  </w:t>
      </w:r>
    </w:p>
    <w:p w:rsidR="0027016F" w:rsidP="004B2277" w14:paraId="6058AB91" w14:textId="77777777">
      <w:pPr>
        <w:rPr>
          <w:sz w:val="24"/>
          <w:szCs w:val="24"/>
        </w:rPr>
      </w:pPr>
    </w:p>
    <w:p w:rsidR="00180362" w:rsidP="004B2277" w14:paraId="6AE88575" w14:textId="20FA3AB0">
      <w:pPr>
        <w:rPr>
          <w:sz w:val="24"/>
          <w:szCs w:val="24"/>
        </w:rPr>
      </w:pPr>
      <w:r w:rsidRPr="2B68A60F">
        <w:rPr>
          <w:sz w:val="24"/>
          <w:szCs w:val="24"/>
        </w:rPr>
        <w:t>Expansion in United States</w:t>
      </w:r>
      <w:r w:rsidRPr="2B68A60F" w:rsidR="00193853">
        <w:rPr>
          <w:sz w:val="24"/>
          <w:szCs w:val="24"/>
        </w:rPr>
        <w:t xml:space="preserve"> </w:t>
      </w:r>
      <w:r w:rsidRPr="2B68A60F">
        <w:rPr>
          <w:sz w:val="24"/>
          <w:szCs w:val="24"/>
        </w:rPr>
        <w:t xml:space="preserve">energy production has led to significant challenges in the transportation system. </w:t>
      </w:r>
      <w:r w:rsidR="00337C0E">
        <w:rPr>
          <w:sz w:val="24"/>
          <w:szCs w:val="24"/>
        </w:rPr>
        <w:t xml:space="preserve"> </w:t>
      </w:r>
      <w:r w:rsidRPr="2B68A60F" w:rsidR="00790D39">
        <w:rPr>
          <w:sz w:val="24"/>
          <w:szCs w:val="24"/>
        </w:rPr>
        <w:t>Specifically</w:t>
      </w:r>
      <w:r w:rsidRPr="2B68A60F" w:rsidR="00EF30FA">
        <w:rPr>
          <w:sz w:val="24"/>
          <w:szCs w:val="24"/>
        </w:rPr>
        <w:t xml:space="preserve">, </w:t>
      </w:r>
      <w:r w:rsidRPr="2B68A60F" w:rsidR="00790D39">
        <w:rPr>
          <w:sz w:val="24"/>
          <w:szCs w:val="24"/>
        </w:rPr>
        <w:t xml:space="preserve">the </w:t>
      </w:r>
      <w:r w:rsidRPr="2B68A60F" w:rsidR="00EF30FA">
        <w:rPr>
          <w:sz w:val="24"/>
          <w:szCs w:val="24"/>
        </w:rPr>
        <w:t>e</w:t>
      </w:r>
      <w:r w:rsidRPr="2B68A60F">
        <w:rPr>
          <w:sz w:val="24"/>
          <w:szCs w:val="24"/>
        </w:rPr>
        <w:t>xpansion in oil production has led to increas</w:t>
      </w:r>
      <w:r w:rsidRPr="2B68A60F" w:rsidR="6A65FDF2">
        <w:rPr>
          <w:sz w:val="24"/>
          <w:szCs w:val="24"/>
        </w:rPr>
        <w:t>ed</w:t>
      </w:r>
      <w:r w:rsidRPr="2B68A60F">
        <w:rPr>
          <w:sz w:val="24"/>
          <w:szCs w:val="24"/>
        </w:rPr>
        <w:t xml:space="preserve"> volumes of product</w:t>
      </w:r>
      <w:r w:rsidRPr="2B68A60F" w:rsidR="00546F7B">
        <w:rPr>
          <w:sz w:val="24"/>
          <w:szCs w:val="24"/>
        </w:rPr>
        <w:t xml:space="preserve"> being</w:t>
      </w:r>
      <w:r w:rsidRPr="2B68A60F">
        <w:rPr>
          <w:sz w:val="24"/>
          <w:szCs w:val="24"/>
        </w:rPr>
        <w:t xml:space="preserve"> transported to refineries. </w:t>
      </w:r>
      <w:r w:rsidR="00337C0E">
        <w:rPr>
          <w:sz w:val="24"/>
          <w:szCs w:val="24"/>
        </w:rPr>
        <w:t xml:space="preserve"> </w:t>
      </w:r>
      <w:r w:rsidRPr="2B68A60F">
        <w:rPr>
          <w:sz w:val="24"/>
          <w:szCs w:val="24"/>
        </w:rPr>
        <w:t xml:space="preserve">With a growing domestic supply, rail transportation has emerged as a flexible alternative to transportation by pipeline or vessel. </w:t>
      </w:r>
      <w:r w:rsidR="00337C0E">
        <w:rPr>
          <w:sz w:val="24"/>
          <w:szCs w:val="24"/>
        </w:rPr>
        <w:t xml:space="preserve"> </w:t>
      </w:r>
      <w:r w:rsidRPr="2B68A60F" w:rsidR="00790D39">
        <w:rPr>
          <w:sz w:val="24"/>
          <w:szCs w:val="24"/>
        </w:rPr>
        <w:t>However, t</w:t>
      </w:r>
      <w:r w:rsidRPr="2B68A60F">
        <w:rPr>
          <w:sz w:val="24"/>
          <w:szCs w:val="24"/>
        </w:rPr>
        <w:t xml:space="preserve">he increase in shipments of large quantities of flammable liquids by rail has led to an increase in the number of train accidents, </w:t>
      </w:r>
      <w:r w:rsidRPr="2B68A60F" w:rsidR="00F37359">
        <w:rPr>
          <w:sz w:val="24"/>
          <w:szCs w:val="24"/>
        </w:rPr>
        <w:t xml:space="preserve">which poses </w:t>
      </w:r>
      <w:r w:rsidRPr="2B68A60F">
        <w:rPr>
          <w:sz w:val="24"/>
          <w:szCs w:val="24"/>
        </w:rPr>
        <w:t>a significant safety and environmental concern.</w:t>
      </w:r>
      <w:r w:rsidRPr="2B68A60F" w:rsidR="00193853">
        <w:rPr>
          <w:sz w:val="24"/>
          <w:szCs w:val="24"/>
        </w:rPr>
        <w:t xml:space="preserve"> </w:t>
      </w:r>
      <w:r w:rsidR="00337C0E">
        <w:rPr>
          <w:sz w:val="24"/>
          <w:szCs w:val="24"/>
        </w:rPr>
        <w:t xml:space="preserve"> </w:t>
      </w:r>
      <w:r w:rsidRPr="2B68A60F" w:rsidR="00193853">
        <w:rPr>
          <w:sz w:val="24"/>
          <w:szCs w:val="24"/>
        </w:rPr>
        <w:t xml:space="preserve">This increase in the number of shipments </w:t>
      </w:r>
      <w:r w:rsidRPr="2B68A60F" w:rsidR="007D5AE9">
        <w:rPr>
          <w:sz w:val="24"/>
          <w:szCs w:val="24"/>
        </w:rPr>
        <w:t xml:space="preserve">transporting oil </w:t>
      </w:r>
      <w:r w:rsidRPr="2B68A60F" w:rsidR="00193853">
        <w:rPr>
          <w:sz w:val="24"/>
          <w:szCs w:val="24"/>
        </w:rPr>
        <w:t>by rail</w:t>
      </w:r>
      <w:r w:rsidRPr="2B68A60F" w:rsidR="00F37359">
        <w:rPr>
          <w:sz w:val="24"/>
          <w:szCs w:val="24"/>
        </w:rPr>
        <w:t>—and the corresponding increase in train accidents—makes</w:t>
      </w:r>
      <w:r w:rsidRPr="2B68A60F" w:rsidR="007D5AE9">
        <w:rPr>
          <w:sz w:val="24"/>
          <w:szCs w:val="24"/>
        </w:rPr>
        <w:t xml:space="preserve"> </w:t>
      </w:r>
      <w:r w:rsidRPr="2B68A60F" w:rsidR="00193853">
        <w:rPr>
          <w:sz w:val="24"/>
          <w:szCs w:val="24"/>
        </w:rPr>
        <w:t xml:space="preserve">it necessary for PHMSA to </w:t>
      </w:r>
      <w:r w:rsidRPr="2B68A60F" w:rsidR="007D5AE9">
        <w:rPr>
          <w:sz w:val="24"/>
          <w:szCs w:val="24"/>
        </w:rPr>
        <w:t xml:space="preserve">adopt </w:t>
      </w:r>
      <w:r w:rsidRPr="2B68A60F" w:rsidR="00193853">
        <w:rPr>
          <w:sz w:val="24"/>
          <w:szCs w:val="24"/>
        </w:rPr>
        <w:t xml:space="preserve">regulations that collect </w:t>
      </w:r>
      <w:r w:rsidRPr="2B68A60F" w:rsidR="00D1120B">
        <w:rPr>
          <w:sz w:val="24"/>
          <w:szCs w:val="24"/>
        </w:rPr>
        <w:t xml:space="preserve">specific </w:t>
      </w:r>
      <w:r w:rsidRPr="2B68A60F" w:rsidR="00193853">
        <w:rPr>
          <w:sz w:val="24"/>
          <w:szCs w:val="24"/>
        </w:rPr>
        <w:t>information about shipments of oil by rail to ensure public</w:t>
      </w:r>
      <w:r w:rsidRPr="2B68A60F" w:rsidR="004A1467">
        <w:rPr>
          <w:sz w:val="24"/>
          <w:szCs w:val="24"/>
        </w:rPr>
        <w:t xml:space="preserve"> safety</w:t>
      </w:r>
      <w:r w:rsidRPr="2B68A60F" w:rsidR="00193853">
        <w:rPr>
          <w:sz w:val="24"/>
          <w:szCs w:val="24"/>
        </w:rPr>
        <w:t>.</w:t>
      </w:r>
      <w:r w:rsidRPr="2B68A60F" w:rsidR="00482CF1">
        <w:rPr>
          <w:sz w:val="24"/>
          <w:szCs w:val="24"/>
        </w:rPr>
        <w:t xml:space="preserve"> </w:t>
      </w:r>
      <w:r w:rsidR="00337C0E">
        <w:rPr>
          <w:sz w:val="24"/>
          <w:szCs w:val="24"/>
        </w:rPr>
        <w:t xml:space="preserve"> </w:t>
      </w:r>
      <w:r w:rsidRPr="007133B3" w:rsidR="00112AD0">
        <w:rPr>
          <w:sz w:val="24"/>
          <w:szCs w:val="24"/>
        </w:rPr>
        <w:t>T</w:t>
      </w:r>
      <w:r w:rsidRPr="007133B3" w:rsidR="00991017">
        <w:rPr>
          <w:sz w:val="24"/>
          <w:szCs w:val="24"/>
        </w:rPr>
        <w:t xml:space="preserve">hese regulations are promulgated under the Federal hazardous materials transportation law, </w:t>
      </w:r>
      <w:r w:rsidRPr="007133B3" w:rsidR="005E2ABE">
        <w:rPr>
          <w:sz w:val="24"/>
          <w:szCs w:val="24"/>
        </w:rPr>
        <w:t>49</w:t>
      </w:r>
      <w:r w:rsidR="005E2ABE">
        <w:rPr>
          <w:sz w:val="24"/>
          <w:szCs w:val="24"/>
        </w:rPr>
        <w:t> </w:t>
      </w:r>
      <w:r w:rsidRPr="007133B3" w:rsidR="00991017">
        <w:rPr>
          <w:sz w:val="24"/>
          <w:szCs w:val="24"/>
        </w:rPr>
        <w:t>U.S.C. 5101</w:t>
      </w:r>
      <w:r w:rsidR="005E2ABE">
        <w:rPr>
          <w:sz w:val="24"/>
          <w:szCs w:val="24"/>
        </w:rPr>
        <w:t>–</w:t>
      </w:r>
      <w:r w:rsidRPr="007133B3" w:rsidR="00991017">
        <w:rPr>
          <w:sz w:val="24"/>
          <w:szCs w:val="24"/>
        </w:rPr>
        <w:t xml:space="preserve">5127.  </w:t>
      </w:r>
    </w:p>
    <w:p w:rsidR="00E61FCE" w:rsidP="004B2277" w14:paraId="4C581B5A" w14:textId="77777777">
      <w:pPr>
        <w:rPr>
          <w:sz w:val="24"/>
          <w:szCs w:val="24"/>
        </w:rPr>
      </w:pPr>
    </w:p>
    <w:p w:rsidR="00991017" w:rsidRPr="007133B3" w:rsidP="004B2277" w14:paraId="7554BA4F" w14:textId="77777777">
      <w:pPr>
        <w:rPr>
          <w:sz w:val="24"/>
          <w:szCs w:val="24"/>
          <w:u w:val="single"/>
        </w:rPr>
      </w:pPr>
      <w:r w:rsidRPr="2B68A60F">
        <w:rPr>
          <w:sz w:val="24"/>
          <w:szCs w:val="24"/>
        </w:rPr>
        <w:t>2.</w:t>
      </w:r>
      <w:r>
        <w:tab/>
      </w:r>
      <w:r w:rsidRPr="2B68A60F">
        <w:rPr>
          <w:sz w:val="24"/>
          <w:szCs w:val="24"/>
          <w:u w:val="single"/>
        </w:rPr>
        <w:t>How</w:t>
      </w:r>
      <w:r w:rsidRPr="00DA399E">
        <w:rPr>
          <w:sz w:val="24"/>
          <w:szCs w:val="24"/>
        </w:rPr>
        <w:t>,</w:t>
      </w:r>
      <w:r w:rsidRPr="2B68A60F">
        <w:rPr>
          <w:sz w:val="24"/>
          <w:szCs w:val="24"/>
          <w:u w:val="single"/>
        </w:rPr>
        <w:t xml:space="preserve"> by whom, and for what purpose the information is to be used.</w:t>
      </w:r>
    </w:p>
    <w:p w:rsidR="00991017" w:rsidRPr="007133B3" w:rsidP="004B2277" w14:paraId="4E7C5C9D" w14:textId="77777777">
      <w:pPr>
        <w:rPr>
          <w:sz w:val="24"/>
          <w:szCs w:val="24"/>
        </w:rPr>
      </w:pPr>
    </w:p>
    <w:p w:rsidR="00991017" w:rsidRPr="007133B3" w:rsidP="004B2277" w14:paraId="13F9CCE1" w14:textId="5983B767">
      <w:pPr>
        <w:rPr>
          <w:sz w:val="24"/>
          <w:szCs w:val="24"/>
        </w:rPr>
      </w:pPr>
      <w:r w:rsidRPr="2B68A60F">
        <w:rPr>
          <w:sz w:val="24"/>
          <w:szCs w:val="24"/>
        </w:rPr>
        <w:t xml:space="preserve">Rail carriers, shippers, </w:t>
      </w:r>
      <w:r w:rsidRPr="2B68A60F" w:rsidR="007D5AE9">
        <w:rPr>
          <w:sz w:val="24"/>
          <w:szCs w:val="24"/>
        </w:rPr>
        <w:t>PHMSA</w:t>
      </w:r>
      <w:r w:rsidRPr="2B68A60F">
        <w:rPr>
          <w:sz w:val="24"/>
          <w:szCs w:val="24"/>
        </w:rPr>
        <w:t>’s Office of Hazardous Materials Safety</w:t>
      </w:r>
      <w:r w:rsidRPr="2B68A60F" w:rsidR="00567F14">
        <w:rPr>
          <w:sz w:val="24"/>
          <w:szCs w:val="24"/>
        </w:rPr>
        <w:t xml:space="preserve"> (OHMS)</w:t>
      </w:r>
      <w:r w:rsidRPr="2B68A60F">
        <w:rPr>
          <w:sz w:val="24"/>
          <w:szCs w:val="24"/>
        </w:rPr>
        <w:t xml:space="preserve">, </w:t>
      </w:r>
      <w:r w:rsidRPr="2B68A60F" w:rsidR="00567F14">
        <w:rPr>
          <w:sz w:val="24"/>
          <w:szCs w:val="24"/>
        </w:rPr>
        <w:t xml:space="preserve">the </w:t>
      </w:r>
      <w:r w:rsidRPr="2B68A60F" w:rsidR="005C7826">
        <w:rPr>
          <w:sz w:val="24"/>
          <w:szCs w:val="24"/>
        </w:rPr>
        <w:t>Federal Railroad Association (</w:t>
      </w:r>
      <w:r w:rsidRPr="2B68A60F" w:rsidR="00567F14">
        <w:rPr>
          <w:sz w:val="24"/>
          <w:szCs w:val="24"/>
        </w:rPr>
        <w:t>FRA</w:t>
      </w:r>
      <w:r w:rsidRPr="2B68A60F" w:rsidR="005C7826">
        <w:rPr>
          <w:sz w:val="24"/>
          <w:szCs w:val="24"/>
        </w:rPr>
        <w:t>)</w:t>
      </w:r>
      <w:r w:rsidRPr="2B68A60F">
        <w:rPr>
          <w:sz w:val="24"/>
          <w:szCs w:val="24"/>
        </w:rPr>
        <w:t xml:space="preserve">, and the Association of American Railroads (AAR) </w:t>
      </w:r>
      <w:r w:rsidRPr="2B68A60F" w:rsidR="00DD53FF">
        <w:rPr>
          <w:sz w:val="24"/>
          <w:szCs w:val="24"/>
        </w:rPr>
        <w:t xml:space="preserve">may use this information </w:t>
      </w:r>
      <w:r w:rsidRPr="2B68A60F">
        <w:rPr>
          <w:sz w:val="24"/>
          <w:szCs w:val="24"/>
        </w:rPr>
        <w:t xml:space="preserve">to ensure rail tank cars </w:t>
      </w:r>
      <w:r w:rsidRPr="2B68A60F" w:rsidR="00DD53FF">
        <w:rPr>
          <w:sz w:val="24"/>
          <w:szCs w:val="24"/>
        </w:rPr>
        <w:t>transporting flammable liquids are properly classed</w:t>
      </w:r>
      <w:r w:rsidRPr="2B68A60F" w:rsidR="00C06791">
        <w:rPr>
          <w:sz w:val="24"/>
          <w:szCs w:val="24"/>
        </w:rPr>
        <w:t xml:space="preserve">, ensure trains are routed appropriately, and </w:t>
      </w:r>
      <w:r w:rsidRPr="2B68A60F" w:rsidR="001F00B1">
        <w:rPr>
          <w:sz w:val="24"/>
          <w:szCs w:val="24"/>
        </w:rPr>
        <w:t>ensure all</w:t>
      </w:r>
      <w:r w:rsidRPr="2B68A60F" w:rsidR="00C06791">
        <w:rPr>
          <w:sz w:val="24"/>
          <w:szCs w:val="24"/>
        </w:rPr>
        <w:t xml:space="preserve"> relevant incident data</w:t>
      </w:r>
      <w:r w:rsidRPr="2B68A60F" w:rsidR="001F00B1">
        <w:rPr>
          <w:sz w:val="24"/>
          <w:szCs w:val="24"/>
        </w:rPr>
        <w:t xml:space="preserve"> is collected</w:t>
      </w:r>
      <w:r w:rsidRPr="2B68A60F">
        <w:rPr>
          <w:sz w:val="24"/>
          <w:szCs w:val="24"/>
        </w:rPr>
        <w:t>.</w:t>
      </w:r>
    </w:p>
    <w:p w:rsidR="00991017" w:rsidRPr="007133B3" w:rsidP="004B2277" w14:paraId="71357F0B" w14:textId="77777777">
      <w:pPr>
        <w:rPr>
          <w:sz w:val="24"/>
          <w:szCs w:val="24"/>
        </w:rPr>
      </w:pPr>
    </w:p>
    <w:p w:rsidR="00F606B8" w:rsidP="004B2277" w14:paraId="2C57C8C0" w14:textId="77777777">
      <w:pPr>
        <w:rPr>
          <w:sz w:val="24"/>
          <w:szCs w:val="24"/>
          <w:u w:val="single"/>
        </w:rPr>
      </w:pPr>
      <w:r>
        <w:rPr>
          <w:sz w:val="24"/>
          <w:szCs w:val="24"/>
          <w:u w:val="single"/>
        </w:rPr>
        <w:t xml:space="preserve">49 CFR </w:t>
      </w:r>
      <w:r w:rsidR="004022C6">
        <w:rPr>
          <w:sz w:val="24"/>
          <w:szCs w:val="24"/>
          <w:u w:val="single"/>
        </w:rPr>
        <w:t>Part 130 Subpart C:  Comprehensive Oil Spill Response Plans</w:t>
      </w:r>
    </w:p>
    <w:p w:rsidR="00F606B8" w:rsidP="004B2277" w14:paraId="3EBD3C0D" w14:textId="77777777">
      <w:pPr>
        <w:rPr>
          <w:sz w:val="24"/>
          <w:szCs w:val="24"/>
          <w:u w:val="single"/>
        </w:rPr>
      </w:pPr>
    </w:p>
    <w:p w:rsidR="004022C6" w:rsidP="004B2277" w14:paraId="7CB59171" w14:textId="27E56809">
      <w:pPr>
        <w:rPr>
          <w:sz w:val="24"/>
          <w:szCs w:val="24"/>
        </w:rPr>
      </w:pPr>
      <w:r w:rsidRPr="32E8BC75">
        <w:rPr>
          <w:sz w:val="24"/>
          <w:szCs w:val="24"/>
        </w:rPr>
        <w:t xml:space="preserve">This subpart details the requirements for a comprehensive oil spill response plan (COSRP). </w:t>
      </w:r>
      <w:r w:rsidR="00337C0E">
        <w:rPr>
          <w:sz w:val="24"/>
          <w:szCs w:val="24"/>
        </w:rPr>
        <w:t xml:space="preserve"> </w:t>
      </w:r>
      <w:r w:rsidRPr="32E8BC75">
        <w:rPr>
          <w:sz w:val="24"/>
          <w:szCs w:val="24"/>
        </w:rPr>
        <w:t xml:space="preserve">This is required for railroads that transport any liquid petroleum oil or other non-petroleum oil subject </w:t>
      </w:r>
      <w:r w:rsidRPr="32E8BC75" w:rsidR="040384D4">
        <w:rPr>
          <w:sz w:val="24"/>
          <w:szCs w:val="24"/>
        </w:rPr>
        <w:t xml:space="preserve">to </w:t>
      </w:r>
      <w:r w:rsidR="00975E99">
        <w:rPr>
          <w:sz w:val="24"/>
          <w:szCs w:val="24"/>
        </w:rPr>
        <w:t>P</w:t>
      </w:r>
      <w:r w:rsidRPr="32E8BC75" w:rsidR="00975E99">
        <w:rPr>
          <w:sz w:val="24"/>
          <w:szCs w:val="24"/>
        </w:rPr>
        <w:t xml:space="preserve">art </w:t>
      </w:r>
      <w:r w:rsidRPr="32E8BC75">
        <w:rPr>
          <w:sz w:val="24"/>
          <w:szCs w:val="24"/>
        </w:rPr>
        <w:t>130 in a quantity greater than 42,000 gallon</w:t>
      </w:r>
      <w:r w:rsidRPr="32E8BC75" w:rsidR="040384D4">
        <w:rPr>
          <w:sz w:val="24"/>
          <w:szCs w:val="24"/>
        </w:rPr>
        <w:t xml:space="preserve">s (1,000 barrels) per packaging, </w:t>
      </w:r>
      <w:r w:rsidRPr="32E8BC75">
        <w:rPr>
          <w:sz w:val="24"/>
          <w:szCs w:val="24"/>
        </w:rPr>
        <w:t>a single train carrying 20 or more loaded tank cars of liquid petroleum oil in a continuous block</w:t>
      </w:r>
      <w:r w:rsidRPr="32E8BC75" w:rsidR="040384D4">
        <w:rPr>
          <w:sz w:val="24"/>
          <w:szCs w:val="24"/>
        </w:rPr>
        <w:t>,</w:t>
      </w:r>
      <w:r w:rsidRPr="32E8BC75">
        <w:rPr>
          <w:sz w:val="24"/>
          <w:szCs w:val="24"/>
        </w:rPr>
        <w:t xml:space="preserve"> or </w:t>
      </w:r>
      <w:r w:rsidRPr="32E8BC75" w:rsidR="040384D4">
        <w:rPr>
          <w:sz w:val="24"/>
          <w:szCs w:val="24"/>
        </w:rPr>
        <w:t xml:space="preserve">a </w:t>
      </w:r>
      <w:r w:rsidRPr="32E8BC75">
        <w:rPr>
          <w:sz w:val="24"/>
          <w:szCs w:val="24"/>
        </w:rPr>
        <w:t>single train carrying 35 or more loaded tank cars of liquid petroleum oil throughout the train consist.</w:t>
      </w:r>
    </w:p>
    <w:p w:rsidR="004022C6" w:rsidP="004B2277" w14:paraId="5C998A45" w14:textId="77777777">
      <w:pPr>
        <w:rPr>
          <w:sz w:val="24"/>
          <w:szCs w:val="24"/>
        </w:rPr>
      </w:pPr>
    </w:p>
    <w:p w:rsidR="00F606B8" w:rsidP="004B2277" w14:paraId="095A5A67" w14:textId="0B578B91">
      <w:pPr>
        <w:rPr>
          <w:sz w:val="24"/>
          <w:szCs w:val="24"/>
        </w:rPr>
      </w:pPr>
      <w:r w:rsidRPr="2B68A60F">
        <w:rPr>
          <w:sz w:val="24"/>
          <w:szCs w:val="24"/>
        </w:rPr>
        <w:t>T</w:t>
      </w:r>
      <w:r w:rsidRPr="2B68A60F" w:rsidR="0B0254A6">
        <w:rPr>
          <w:sz w:val="24"/>
          <w:szCs w:val="24"/>
        </w:rPr>
        <w:t xml:space="preserve">he </w:t>
      </w:r>
      <w:r w:rsidRPr="2B68A60F">
        <w:rPr>
          <w:sz w:val="24"/>
          <w:szCs w:val="24"/>
        </w:rPr>
        <w:t xml:space="preserve">COSRP, as specified in § 130.105, </w:t>
      </w:r>
      <w:r w:rsidRPr="2B68A60F" w:rsidR="40297137">
        <w:rPr>
          <w:sz w:val="24"/>
          <w:szCs w:val="24"/>
        </w:rPr>
        <w:t xml:space="preserve">must include resources and procedures for responding, to the maximum extent practicable, a worst-case discharge, and a substantial threat of such a discharge of oil. </w:t>
      </w:r>
      <w:r w:rsidR="00337C0E">
        <w:rPr>
          <w:sz w:val="24"/>
          <w:szCs w:val="24"/>
        </w:rPr>
        <w:t xml:space="preserve"> </w:t>
      </w:r>
      <w:r w:rsidRPr="2B68A60F" w:rsidR="40297137">
        <w:rPr>
          <w:sz w:val="24"/>
          <w:szCs w:val="24"/>
        </w:rPr>
        <w:t>The plan must use and be consistent with the core principle of the National Incident Management System (NIMS) including the utilization of the Incident Command System (ICS).</w:t>
      </w:r>
    </w:p>
    <w:p w:rsidR="00F606B8" w:rsidP="004B2277" w14:paraId="6A4AD305" w14:textId="77777777">
      <w:pPr>
        <w:rPr>
          <w:sz w:val="24"/>
          <w:szCs w:val="24"/>
        </w:rPr>
      </w:pPr>
    </w:p>
    <w:p w:rsidR="00F606B8" w:rsidP="004B2277" w14:paraId="538E4A18" w14:textId="77777777">
      <w:pPr>
        <w:rPr>
          <w:sz w:val="24"/>
          <w:szCs w:val="24"/>
        </w:rPr>
      </w:pPr>
      <w:r>
        <w:rPr>
          <w:sz w:val="24"/>
          <w:szCs w:val="24"/>
        </w:rPr>
        <w:t xml:space="preserve">If a plan has more than one response zone, the COSRP </w:t>
      </w:r>
      <w:r>
        <w:rPr>
          <w:sz w:val="24"/>
          <w:szCs w:val="24"/>
        </w:rPr>
        <w:t>must include a core plan with an information summary and information that does not change between response zone</w:t>
      </w:r>
      <w:r>
        <w:rPr>
          <w:sz w:val="24"/>
          <w:szCs w:val="24"/>
        </w:rPr>
        <w:t>s</w:t>
      </w:r>
      <w:r>
        <w:rPr>
          <w:sz w:val="24"/>
          <w:szCs w:val="24"/>
        </w:rPr>
        <w:t>.  Section</w:t>
      </w:r>
      <w:r>
        <w:rPr>
          <w:sz w:val="24"/>
          <w:szCs w:val="24"/>
        </w:rPr>
        <w:t> </w:t>
      </w:r>
      <w:r>
        <w:rPr>
          <w:sz w:val="24"/>
          <w:szCs w:val="24"/>
        </w:rPr>
        <w:t>173.120 requires the core plan include:</w:t>
      </w:r>
    </w:p>
    <w:p w:rsidR="007439D4" w:rsidRPr="004A4F84" w:rsidP="004B2277" w14:paraId="14BD6E69" w14:textId="77777777">
      <w:pPr>
        <w:rPr>
          <w:sz w:val="24"/>
          <w:szCs w:val="24"/>
        </w:rPr>
      </w:pPr>
    </w:p>
    <w:p w:rsidR="00F606B8" w:rsidP="004B2277" w14:paraId="42417701" w14:textId="77777777">
      <w:pPr>
        <w:numPr>
          <w:ilvl w:val="0"/>
          <w:numId w:val="12"/>
        </w:numPr>
        <w:rPr>
          <w:sz w:val="24"/>
          <w:szCs w:val="24"/>
        </w:rPr>
      </w:pPr>
      <w:r w:rsidRPr="00F606B8">
        <w:rPr>
          <w:sz w:val="24"/>
          <w:szCs w:val="24"/>
        </w:rPr>
        <w:t>The name and mailing address of the railroad;</w:t>
      </w:r>
    </w:p>
    <w:p w:rsidR="00F606B8" w:rsidP="004B2277" w14:paraId="647F386E" w14:textId="455F4520">
      <w:pPr>
        <w:numPr>
          <w:ilvl w:val="0"/>
          <w:numId w:val="12"/>
        </w:numPr>
        <w:rPr>
          <w:sz w:val="24"/>
          <w:szCs w:val="24"/>
        </w:rPr>
      </w:pPr>
      <w:r w:rsidRPr="32E8BC75">
        <w:rPr>
          <w:sz w:val="24"/>
          <w:szCs w:val="24"/>
        </w:rPr>
        <w:t>A listing and description of each response zone, including county(</w:t>
      </w:r>
      <w:r w:rsidRPr="32E8BC75" w:rsidR="740E1806">
        <w:rPr>
          <w:sz w:val="24"/>
          <w:szCs w:val="24"/>
        </w:rPr>
        <w:t>ie</w:t>
      </w:r>
      <w:r w:rsidRPr="32E8BC75">
        <w:rPr>
          <w:sz w:val="24"/>
          <w:szCs w:val="24"/>
        </w:rPr>
        <w:t>s) and state(s); and</w:t>
      </w:r>
    </w:p>
    <w:p w:rsidR="004022C6" w:rsidP="004B2277" w14:paraId="7FA4B058" w14:textId="77777777">
      <w:pPr>
        <w:numPr>
          <w:ilvl w:val="0"/>
          <w:numId w:val="12"/>
        </w:numPr>
        <w:rPr>
          <w:sz w:val="24"/>
          <w:szCs w:val="24"/>
        </w:rPr>
      </w:pPr>
      <w:r w:rsidRPr="00F606B8">
        <w:rPr>
          <w:sz w:val="24"/>
          <w:szCs w:val="24"/>
        </w:rPr>
        <w:t>The name or title of the qualified individual(s) and alternate(s) for each response zone, with telephone numbers at which they can be contacted on a 24-hour basis.</w:t>
      </w:r>
    </w:p>
    <w:p w:rsidR="004022C6" w:rsidP="004B2277" w14:paraId="6C0E1EBF" w14:textId="77777777">
      <w:pPr>
        <w:rPr>
          <w:sz w:val="24"/>
          <w:szCs w:val="24"/>
        </w:rPr>
      </w:pPr>
    </w:p>
    <w:p w:rsidR="004022C6" w:rsidP="004B2277" w14:paraId="74BE6C1C" w14:textId="565832D1">
      <w:pPr>
        <w:rPr>
          <w:sz w:val="24"/>
          <w:szCs w:val="24"/>
        </w:rPr>
      </w:pPr>
      <w:r>
        <w:rPr>
          <w:sz w:val="24"/>
          <w:szCs w:val="24"/>
        </w:rPr>
        <w:t xml:space="preserve">For each response zone included in the response plan, a response zone appendix must be included that provides the information summary and any additional information that differs between response zones or is not included in the core plan. </w:t>
      </w:r>
      <w:r w:rsidR="00337C0E">
        <w:rPr>
          <w:sz w:val="24"/>
          <w:szCs w:val="24"/>
        </w:rPr>
        <w:t xml:space="preserve"> </w:t>
      </w:r>
      <w:r>
        <w:rPr>
          <w:sz w:val="24"/>
          <w:szCs w:val="24"/>
        </w:rPr>
        <w:t>Section 173.120 requires the response zone appendix or appendices include:</w:t>
      </w:r>
    </w:p>
    <w:p w:rsidR="007439D4" w:rsidP="004B2277" w14:paraId="48466F93" w14:textId="77777777">
      <w:pPr>
        <w:rPr>
          <w:sz w:val="24"/>
          <w:szCs w:val="24"/>
        </w:rPr>
      </w:pPr>
    </w:p>
    <w:p w:rsidR="004022C6" w:rsidP="004B2277" w14:paraId="5133288D" w14:textId="77777777">
      <w:pPr>
        <w:numPr>
          <w:ilvl w:val="0"/>
          <w:numId w:val="13"/>
        </w:numPr>
        <w:rPr>
          <w:sz w:val="24"/>
          <w:szCs w:val="24"/>
        </w:rPr>
      </w:pPr>
      <w:r w:rsidRPr="00F606B8">
        <w:rPr>
          <w:sz w:val="24"/>
          <w:szCs w:val="24"/>
        </w:rPr>
        <w:t>The name and mailing address of the railroad;</w:t>
      </w:r>
    </w:p>
    <w:p w:rsidR="004022C6" w:rsidP="004B2277" w14:paraId="32A7945F" w14:textId="72EBBE1B">
      <w:pPr>
        <w:numPr>
          <w:ilvl w:val="0"/>
          <w:numId w:val="13"/>
        </w:numPr>
        <w:rPr>
          <w:sz w:val="24"/>
          <w:szCs w:val="24"/>
        </w:rPr>
      </w:pPr>
      <w:r w:rsidRPr="32E8BC75">
        <w:rPr>
          <w:sz w:val="24"/>
          <w:szCs w:val="24"/>
        </w:rPr>
        <w:t>A description of the response zone, including county(</w:t>
      </w:r>
      <w:r w:rsidRPr="32E8BC75" w:rsidR="018BFAC1">
        <w:rPr>
          <w:sz w:val="24"/>
          <w:szCs w:val="24"/>
        </w:rPr>
        <w:t>ie</w:t>
      </w:r>
      <w:r w:rsidRPr="32E8BC75">
        <w:rPr>
          <w:sz w:val="24"/>
          <w:szCs w:val="24"/>
        </w:rPr>
        <w:t>s) and state(s);</w:t>
      </w:r>
    </w:p>
    <w:p w:rsidR="004022C6" w:rsidP="004B2277" w14:paraId="61F3D09C" w14:textId="77777777">
      <w:pPr>
        <w:numPr>
          <w:ilvl w:val="0"/>
          <w:numId w:val="13"/>
        </w:numPr>
        <w:rPr>
          <w:sz w:val="24"/>
          <w:szCs w:val="24"/>
        </w:rPr>
      </w:pPr>
      <w:r w:rsidRPr="00F606B8">
        <w:rPr>
          <w:sz w:val="24"/>
          <w:szCs w:val="24"/>
        </w:rPr>
        <w:t>The name or title of the qualified individual(s) and alternate(s) for the response zone, with telephone numbers at which they can be contacted on a 24-hour basis</w:t>
      </w:r>
      <w:r>
        <w:rPr>
          <w:sz w:val="24"/>
          <w:szCs w:val="24"/>
        </w:rPr>
        <w:t>;</w:t>
      </w:r>
    </w:p>
    <w:p w:rsidR="004022C6" w:rsidP="004B2277" w14:paraId="6196D12E" w14:textId="77777777">
      <w:pPr>
        <w:numPr>
          <w:ilvl w:val="0"/>
          <w:numId w:val="13"/>
        </w:numPr>
        <w:rPr>
          <w:sz w:val="24"/>
          <w:szCs w:val="24"/>
        </w:rPr>
      </w:pPr>
      <w:r w:rsidRPr="00F606B8">
        <w:rPr>
          <w:sz w:val="24"/>
          <w:szCs w:val="24"/>
        </w:rPr>
        <w:t>The type(s) of oil expected to be carried; and</w:t>
      </w:r>
    </w:p>
    <w:p w:rsidR="004022C6" w:rsidP="004B2277" w14:paraId="71E3A9C0" w14:textId="77777777">
      <w:pPr>
        <w:numPr>
          <w:ilvl w:val="0"/>
          <w:numId w:val="13"/>
        </w:numPr>
        <w:rPr>
          <w:sz w:val="24"/>
          <w:szCs w:val="24"/>
        </w:rPr>
      </w:pPr>
      <w:r w:rsidRPr="00F606B8">
        <w:rPr>
          <w:sz w:val="24"/>
          <w:szCs w:val="24"/>
        </w:rPr>
        <w:t>Determination of the worst-case discharge and supporting calculations.</w:t>
      </w:r>
    </w:p>
    <w:p w:rsidR="007439D4" w:rsidP="004B2277" w14:paraId="45F41500" w14:textId="77777777">
      <w:pPr>
        <w:rPr>
          <w:sz w:val="24"/>
          <w:szCs w:val="24"/>
        </w:rPr>
      </w:pPr>
    </w:p>
    <w:p w:rsidR="004022C6" w:rsidP="004B2277" w14:paraId="3FD66A5B" w14:textId="77777777">
      <w:pPr>
        <w:rPr>
          <w:sz w:val="24"/>
          <w:szCs w:val="24"/>
        </w:rPr>
      </w:pPr>
      <w:r>
        <w:rPr>
          <w:sz w:val="24"/>
          <w:szCs w:val="24"/>
        </w:rPr>
        <w:t>Furthermore, each response zone appendix must identify the following:</w:t>
      </w:r>
    </w:p>
    <w:p w:rsidR="007439D4" w:rsidP="004B2277" w14:paraId="1FBAF83B" w14:textId="77777777">
      <w:pPr>
        <w:rPr>
          <w:sz w:val="24"/>
          <w:szCs w:val="24"/>
        </w:rPr>
      </w:pPr>
    </w:p>
    <w:p w:rsidR="004022C6" w:rsidP="004B2277" w14:paraId="62D1BABC" w14:textId="0F4DB81D">
      <w:pPr>
        <w:numPr>
          <w:ilvl w:val="0"/>
          <w:numId w:val="14"/>
        </w:numPr>
        <w:rPr>
          <w:sz w:val="24"/>
          <w:szCs w:val="24"/>
        </w:rPr>
      </w:pPr>
      <w:r w:rsidRPr="2DA08347">
        <w:rPr>
          <w:sz w:val="24"/>
          <w:szCs w:val="24"/>
        </w:rPr>
        <w:t>A description of the response zone, including county(</w:t>
      </w:r>
      <w:r w:rsidRPr="2DA08347" w:rsidR="764EE6C1">
        <w:rPr>
          <w:sz w:val="24"/>
          <w:szCs w:val="24"/>
        </w:rPr>
        <w:t>ie</w:t>
      </w:r>
      <w:r w:rsidRPr="2DA08347">
        <w:rPr>
          <w:sz w:val="24"/>
          <w:szCs w:val="24"/>
        </w:rPr>
        <w:t>s) and state(s);</w:t>
      </w:r>
    </w:p>
    <w:p w:rsidR="004022C6" w:rsidP="004B2277" w14:paraId="22F5AD31" w14:textId="77777777">
      <w:pPr>
        <w:numPr>
          <w:ilvl w:val="0"/>
          <w:numId w:val="14"/>
        </w:numPr>
        <w:rPr>
          <w:sz w:val="24"/>
          <w:szCs w:val="24"/>
        </w:rPr>
      </w:pPr>
      <w:r w:rsidRPr="00011FFF">
        <w:rPr>
          <w:sz w:val="24"/>
          <w:szCs w:val="24"/>
        </w:rPr>
        <w:t>A list of route sections contained in the response zone, identified by railroad milepost or other identifier;</w:t>
      </w:r>
    </w:p>
    <w:p w:rsidR="004022C6" w:rsidP="004B2277" w14:paraId="4602040C" w14:textId="77777777">
      <w:pPr>
        <w:numPr>
          <w:ilvl w:val="0"/>
          <w:numId w:val="14"/>
        </w:numPr>
        <w:rPr>
          <w:sz w:val="24"/>
          <w:szCs w:val="24"/>
        </w:rPr>
      </w:pPr>
      <w:r w:rsidRPr="00011FFF">
        <w:rPr>
          <w:sz w:val="24"/>
          <w:szCs w:val="24"/>
        </w:rPr>
        <w:t>Identification of environmentally sensitive or significant areas per route section as determined by § 130.115; and</w:t>
      </w:r>
    </w:p>
    <w:p w:rsidR="004022C6" w:rsidRPr="00011FFF" w:rsidP="004B2277" w14:paraId="566212A1" w14:textId="77777777">
      <w:pPr>
        <w:numPr>
          <w:ilvl w:val="0"/>
          <w:numId w:val="14"/>
        </w:numPr>
        <w:rPr>
          <w:sz w:val="24"/>
          <w:szCs w:val="24"/>
        </w:rPr>
      </w:pPr>
      <w:r w:rsidRPr="00011FFF">
        <w:rPr>
          <w:sz w:val="24"/>
          <w:szCs w:val="24"/>
        </w:rPr>
        <w:t>The location from which the Oil Spill Removal Organization will deploy, and the location and description of the response equipment required by § 130.130(c)(6).</w:t>
      </w:r>
    </w:p>
    <w:p w:rsidR="004022C6" w:rsidP="004B2277" w14:paraId="0B719544" w14:textId="77777777">
      <w:pPr>
        <w:rPr>
          <w:sz w:val="24"/>
          <w:szCs w:val="24"/>
        </w:rPr>
      </w:pPr>
    </w:p>
    <w:p w:rsidR="004022C6" w:rsidP="004B2277" w14:paraId="1F77FEF6" w14:textId="7C73DC27">
      <w:pPr>
        <w:rPr>
          <w:sz w:val="24"/>
          <w:szCs w:val="24"/>
        </w:rPr>
      </w:pPr>
      <w:r w:rsidRPr="2B68A60F">
        <w:rPr>
          <w:sz w:val="24"/>
          <w:szCs w:val="24"/>
        </w:rPr>
        <w:t>The COSRP must comply with state law or regulation as well as including a list of the names or titles and 24-hour telephone numbers of the qualified individual(s) and at least one alternate qualified individual(s) and a certification and documentation that the railroad has identified and secured, through contract or other approved means, the private personnel and equipment necessary to respond to a worst-case discharge or a substantial threat of such a discharge.</w:t>
      </w:r>
    </w:p>
    <w:p w:rsidR="00953E6F" w:rsidP="004B2277" w14:paraId="597CF21E" w14:textId="77777777">
      <w:pPr>
        <w:rPr>
          <w:sz w:val="24"/>
          <w:szCs w:val="24"/>
        </w:rPr>
      </w:pPr>
    </w:p>
    <w:p w:rsidR="00953E6F" w:rsidP="004B2277" w14:paraId="29613F11" w14:textId="4FD6F183">
      <w:pPr>
        <w:rPr>
          <w:sz w:val="24"/>
          <w:szCs w:val="24"/>
        </w:rPr>
      </w:pPr>
      <w:r w:rsidRPr="2B68A60F">
        <w:rPr>
          <w:sz w:val="24"/>
          <w:szCs w:val="24"/>
        </w:rPr>
        <w:t xml:space="preserve">Lastly, in accordance with § 130.145, each railroad must maintain </w:t>
      </w:r>
      <w:r w:rsidRPr="2B68A60F" w:rsidR="318A3916">
        <w:rPr>
          <w:sz w:val="24"/>
          <w:szCs w:val="24"/>
        </w:rPr>
        <w:t>its</w:t>
      </w:r>
      <w:r w:rsidRPr="2B68A60F">
        <w:rPr>
          <w:sz w:val="24"/>
          <w:szCs w:val="24"/>
        </w:rPr>
        <w:t xml:space="preserve"> COSRP either in a hardcopy or electronic format at </w:t>
      </w:r>
      <w:r w:rsidRPr="2B68A60F" w:rsidR="4D1B50C3">
        <w:rPr>
          <w:sz w:val="24"/>
          <w:szCs w:val="24"/>
        </w:rPr>
        <w:t>its</w:t>
      </w:r>
      <w:r w:rsidRPr="2B68A60F">
        <w:rPr>
          <w:sz w:val="24"/>
          <w:szCs w:val="24"/>
        </w:rPr>
        <w:t xml:space="preserve"> principal place of business, a copy with each qualified individual and alternate, and with each </w:t>
      </w:r>
      <w:r w:rsidRPr="2B68A60F" w:rsidR="00011FFF">
        <w:rPr>
          <w:sz w:val="24"/>
          <w:szCs w:val="24"/>
        </w:rPr>
        <w:t>dispatcher</w:t>
      </w:r>
      <w:r w:rsidRPr="2B68A60F">
        <w:rPr>
          <w:sz w:val="24"/>
          <w:szCs w:val="24"/>
        </w:rPr>
        <w:t xml:space="preserve"> in response zones identified in the plan. </w:t>
      </w:r>
      <w:r w:rsidR="00337C0E">
        <w:rPr>
          <w:sz w:val="24"/>
          <w:szCs w:val="24"/>
        </w:rPr>
        <w:t xml:space="preserve"> </w:t>
      </w:r>
      <w:r w:rsidRPr="2B68A60F">
        <w:rPr>
          <w:sz w:val="24"/>
          <w:szCs w:val="24"/>
        </w:rPr>
        <w:t>The plan must be updated to address new or different conditions or information and review its plan in full at least every 5 years from th</w:t>
      </w:r>
      <w:r w:rsidRPr="2B68A60F" w:rsidR="00011FFF">
        <w:rPr>
          <w:sz w:val="24"/>
          <w:szCs w:val="24"/>
        </w:rPr>
        <w:t>e date of the last approval.</w:t>
      </w:r>
      <w:r w:rsidR="00337C0E">
        <w:rPr>
          <w:sz w:val="24"/>
          <w:szCs w:val="24"/>
        </w:rPr>
        <w:t xml:space="preserve"> </w:t>
      </w:r>
      <w:r w:rsidRPr="2B68A60F" w:rsidR="00011FFF">
        <w:rPr>
          <w:sz w:val="24"/>
          <w:szCs w:val="24"/>
        </w:rPr>
        <w:t xml:space="preserve"> PHMSA requires submission and approval of the COSRP as outlined in § 173.150.</w:t>
      </w:r>
    </w:p>
    <w:p w:rsidR="00953E6F" w:rsidP="004B2277" w14:paraId="12BD44AC" w14:textId="77777777">
      <w:pPr>
        <w:rPr>
          <w:sz w:val="24"/>
          <w:szCs w:val="24"/>
          <w:u w:val="single"/>
        </w:rPr>
      </w:pPr>
    </w:p>
    <w:p w:rsidR="00180362" w:rsidRPr="00EF30FA" w:rsidP="004B2277" w14:paraId="020037A1" w14:textId="77777777">
      <w:pPr>
        <w:rPr>
          <w:sz w:val="24"/>
          <w:szCs w:val="24"/>
          <w:u w:val="single"/>
        </w:rPr>
      </w:pPr>
      <w:r w:rsidRPr="00EF30FA">
        <w:rPr>
          <w:sz w:val="24"/>
          <w:szCs w:val="24"/>
          <w:u w:val="single"/>
        </w:rPr>
        <w:t>49 CFR 171.16</w:t>
      </w:r>
      <w:r>
        <w:rPr>
          <w:sz w:val="24"/>
          <w:szCs w:val="24"/>
          <w:u w:val="single"/>
        </w:rPr>
        <w:t xml:space="preserve">: </w:t>
      </w:r>
      <w:r w:rsidRPr="00EF30FA">
        <w:rPr>
          <w:sz w:val="24"/>
          <w:szCs w:val="24"/>
          <w:u w:val="single"/>
        </w:rPr>
        <w:t xml:space="preserve"> Incident </w:t>
      </w:r>
      <w:r>
        <w:rPr>
          <w:sz w:val="24"/>
          <w:szCs w:val="24"/>
          <w:u w:val="single"/>
        </w:rPr>
        <w:t>r</w:t>
      </w:r>
      <w:r w:rsidRPr="00EF30FA">
        <w:rPr>
          <w:sz w:val="24"/>
          <w:szCs w:val="24"/>
          <w:u w:val="single"/>
        </w:rPr>
        <w:t>eporting</w:t>
      </w:r>
    </w:p>
    <w:p w:rsidR="00180362" w:rsidP="004B2277" w14:paraId="5D62D75B" w14:textId="77777777">
      <w:pPr>
        <w:rPr>
          <w:sz w:val="24"/>
          <w:szCs w:val="24"/>
        </w:rPr>
      </w:pPr>
    </w:p>
    <w:p w:rsidR="002C631E" w:rsidP="004B2277" w14:paraId="33EC9CEC" w14:textId="45BA3722">
      <w:pPr>
        <w:rPr>
          <w:sz w:val="24"/>
          <w:szCs w:val="24"/>
        </w:rPr>
      </w:pPr>
      <w:r w:rsidRPr="2DA08347">
        <w:rPr>
          <w:sz w:val="24"/>
          <w:szCs w:val="24"/>
        </w:rPr>
        <w:t>The HMR currently require incident reports to be submitted in accordance with § 171.16, which includes requiring carriers of HHFTs to file an incident report for a release of product during transportation.</w:t>
      </w:r>
    </w:p>
    <w:p w:rsidR="00180362" w:rsidP="004B2277" w14:paraId="174CD291" w14:textId="77777777">
      <w:pPr>
        <w:rPr>
          <w:sz w:val="24"/>
          <w:szCs w:val="24"/>
          <w:u w:val="single"/>
        </w:rPr>
      </w:pPr>
    </w:p>
    <w:p w:rsidR="00193853" w:rsidRPr="00EF30FA" w:rsidP="004B2277" w14:paraId="7936CD6E" w14:textId="77777777">
      <w:pPr>
        <w:keepNext/>
        <w:keepLines/>
        <w:rPr>
          <w:sz w:val="24"/>
          <w:szCs w:val="24"/>
          <w:u w:val="single"/>
        </w:rPr>
      </w:pPr>
      <w:r w:rsidRPr="00EF30FA">
        <w:rPr>
          <w:sz w:val="24"/>
          <w:szCs w:val="24"/>
          <w:u w:val="single"/>
        </w:rPr>
        <w:t xml:space="preserve">49 CFR </w:t>
      </w:r>
      <w:r w:rsidR="00011FFF">
        <w:rPr>
          <w:sz w:val="24"/>
          <w:szCs w:val="24"/>
          <w:u w:val="single"/>
        </w:rPr>
        <w:t xml:space="preserve">Part </w:t>
      </w:r>
      <w:r w:rsidRPr="00EF30FA" w:rsidR="00ED14CC">
        <w:rPr>
          <w:sz w:val="24"/>
          <w:szCs w:val="24"/>
          <w:u w:val="single"/>
        </w:rPr>
        <w:t>173.</w:t>
      </w:r>
      <w:r w:rsidRPr="00EF30FA" w:rsidR="00B642B8">
        <w:rPr>
          <w:sz w:val="24"/>
          <w:szCs w:val="24"/>
          <w:u w:val="single"/>
        </w:rPr>
        <w:t>41</w:t>
      </w:r>
      <w:r w:rsidRPr="00EF30FA" w:rsidR="00E97E50">
        <w:rPr>
          <w:sz w:val="24"/>
          <w:szCs w:val="24"/>
          <w:u w:val="single"/>
        </w:rPr>
        <w:t>:</w:t>
      </w:r>
      <w:r w:rsidRPr="00EF30FA" w:rsidR="0027016F">
        <w:rPr>
          <w:sz w:val="24"/>
          <w:szCs w:val="24"/>
          <w:u w:val="single"/>
        </w:rPr>
        <w:t xml:space="preserve">  </w:t>
      </w:r>
      <w:r w:rsidRPr="00EF30FA">
        <w:rPr>
          <w:sz w:val="24"/>
          <w:szCs w:val="24"/>
          <w:u w:val="single"/>
        </w:rPr>
        <w:t xml:space="preserve">Sampling and testing program for </w:t>
      </w:r>
      <w:r w:rsidR="00011FFF">
        <w:rPr>
          <w:sz w:val="24"/>
          <w:szCs w:val="24"/>
          <w:u w:val="single"/>
        </w:rPr>
        <w:t>unrefined petroleum-based products</w:t>
      </w:r>
    </w:p>
    <w:p w:rsidR="00193853" w:rsidP="004B2277" w14:paraId="4673DD1C" w14:textId="77777777">
      <w:pPr>
        <w:keepNext/>
        <w:keepLines/>
        <w:rPr>
          <w:sz w:val="24"/>
          <w:szCs w:val="24"/>
          <w:u w:val="single"/>
        </w:rPr>
      </w:pPr>
    </w:p>
    <w:p w:rsidR="00011FFF" w:rsidP="004B2277" w14:paraId="65F66797" w14:textId="7943AAB2">
      <w:pPr>
        <w:rPr>
          <w:sz w:val="24"/>
          <w:szCs w:val="24"/>
        </w:rPr>
      </w:pPr>
      <w:r>
        <w:rPr>
          <w:sz w:val="24"/>
          <w:szCs w:val="24"/>
        </w:rPr>
        <w:t>Section</w:t>
      </w:r>
      <w:r w:rsidR="005E2ABE">
        <w:rPr>
          <w:sz w:val="24"/>
          <w:szCs w:val="24"/>
        </w:rPr>
        <w:t> </w:t>
      </w:r>
      <w:r w:rsidRPr="00193853" w:rsidR="00193853">
        <w:rPr>
          <w:bCs/>
          <w:sz w:val="24"/>
          <w:szCs w:val="24"/>
        </w:rPr>
        <w:t>173.41</w:t>
      </w:r>
      <w:r w:rsidR="007D5AE9">
        <w:rPr>
          <w:bCs/>
          <w:sz w:val="24"/>
          <w:szCs w:val="24"/>
        </w:rPr>
        <w:t xml:space="preserve"> requires </w:t>
      </w:r>
      <w:r w:rsidRPr="00193853" w:rsidR="00193853">
        <w:rPr>
          <w:bCs/>
          <w:sz w:val="24"/>
          <w:szCs w:val="24"/>
        </w:rPr>
        <w:t xml:space="preserve">a sampling and testing program for mined gases and liquids, including crude oil. </w:t>
      </w:r>
      <w:r w:rsidR="00337C0E">
        <w:rPr>
          <w:bCs/>
          <w:sz w:val="24"/>
          <w:szCs w:val="24"/>
        </w:rPr>
        <w:t xml:space="preserve"> </w:t>
      </w:r>
      <w:r w:rsidR="00193853">
        <w:rPr>
          <w:bCs/>
          <w:sz w:val="24"/>
          <w:szCs w:val="24"/>
        </w:rPr>
        <w:t xml:space="preserve">A sampling and testing program </w:t>
      </w:r>
      <w:r w:rsidR="000822E4">
        <w:rPr>
          <w:bCs/>
          <w:sz w:val="24"/>
          <w:szCs w:val="24"/>
        </w:rPr>
        <w:t>is used to ensure</w:t>
      </w:r>
      <w:r w:rsidR="00193853">
        <w:rPr>
          <w:bCs/>
          <w:sz w:val="24"/>
          <w:szCs w:val="24"/>
        </w:rPr>
        <w:t xml:space="preserve"> that shipments of </w:t>
      </w:r>
      <w:r w:rsidRPr="00193853" w:rsidR="00193853">
        <w:rPr>
          <w:bCs/>
          <w:sz w:val="24"/>
          <w:szCs w:val="24"/>
        </w:rPr>
        <w:t>mined gases and liquids, including crude oil</w:t>
      </w:r>
      <w:r w:rsidR="000822E4">
        <w:rPr>
          <w:bCs/>
          <w:sz w:val="24"/>
          <w:szCs w:val="24"/>
        </w:rPr>
        <w:t>,</w:t>
      </w:r>
      <w:r w:rsidRPr="00193853" w:rsidR="00193853">
        <w:rPr>
          <w:bCs/>
          <w:sz w:val="24"/>
          <w:szCs w:val="24"/>
        </w:rPr>
        <w:t xml:space="preserve"> </w:t>
      </w:r>
      <w:r w:rsidR="00193853">
        <w:rPr>
          <w:bCs/>
          <w:sz w:val="24"/>
          <w:szCs w:val="24"/>
        </w:rPr>
        <w:t>are shipped in the approp</w:t>
      </w:r>
      <w:r w:rsidR="00E97E50">
        <w:rPr>
          <w:bCs/>
          <w:sz w:val="24"/>
          <w:szCs w:val="24"/>
        </w:rPr>
        <w:t>riate rail car.</w:t>
      </w:r>
      <w:r w:rsidR="00EF30FA">
        <w:rPr>
          <w:bCs/>
          <w:sz w:val="24"/>
          <w:szCs w:val="24"/>
        </w:rPr>
        <w:t xml:space="preserve"> </w:t>
      </w:r>
      <w:r w:rsidR="00337C0E">
        <w:rPr>
          <w:bCs/>
          <w:sz w:val="24"/>
          <w:szCs w:val="24"/>
        </w:rPr>
        <w:t xml:space="preserve"> </w:t>
      </w:r>
      <w:r w:rsidR="007D5AE9">
        <w:rPr>
          <w:bCs/>
          <w:sz w:val="24"/>
          <w:szCs w:val="24"/>
        </w:rPr>
        <w:t xml:space="preserve">This </w:t>
      </w:r>
      <w:r w:rsidR="00A05162">
        <w:rPr>
          <w:bCs/>
          <w:sz w:val="24"/>
          <w:szCs w:val="24"/>
        </w:rPr>
        <w:t xml:space="preserve">section </w:t>
      </w:r>
      <w:r w:rsidR="007D5AE9">
        <w:rPr>
          <w:bCs/>
          <w:sz w:val="24"/>
          <w:szCs w:val="24"/>
        </w:rPr>
        <w:t xml:space="preserve">requires </w:t>
      </w:r>
      <w:r w:rsidR="00A05162">
        <w:rPr>
          <w:bCs/>
          <w:sz w:val="24"/>
          <w:szCs w:val="24"/>
        </w:rPr>
        <w:t xml:space="preserve">a </w:t>
      </w:r>
      <w:r w:rsidRPr="00ED14CC" w:rsidR="00ED14CC">
        <w:rPr>
          <w:sz w:val="24"/>
          <w:szCs w:val="24"/>
        </w:rPr>
        <w:t xml:space="preserve">sampling and testing program </w:t>
      </w:r>
      <w:r w:rsidR="00196A7A">
        <w:rPr>
          <w:sz w:val="24"/>
          <w:szCs w:val="24"/>
        </w:rPr>
        <w:t>that</w:t>
      </w:r>
      <w:r w:rsidRPr="00ED14CC" w:rsidR="00196A7A">
        <w:rPr>
          <w:sz w:val="24"/>
          <w:szCs w:val="24"/>
        </w:rPr>
        <w:t xml:space="preserve"> </w:t>
      </w:r>
      <w:r w:rsidRPr="00ED14CC" w:rsidR="00ED14CC">
        <w:rPr>
          <w:sz w:val="24"/>
          <w:szCs w:val="24"/>
        </w:rPr>
        <w:t>specifies</w:t>
      </w:r>
      <w:r w:rsidR="001F4662">
        <w:rPr>
          <w:sz w:val="24"/>
          <w:szCs w:val="24"/>
        </w:rPr>
        <w:t xml:space="preserve"> the following</w:t>
      </w:r>
      <w:r w:rsidR="00196A7A">
        <w:rPr>
          <w:sz w:val="24"/>
          <w:szCs w:val="24"/>
        </w:rPr>
        <w:t>,</w:t>
      </w:r>
      <w:r w:rsidRPr="00ED14CC" w:rsidR="00ED14CC">
        <w:rPr>
          <w:sz w:val="24"/>
          <w:szCs w:val="24"/>
        </w:rPr>
        <w:t xml:space="preserve"> at a minimum</w:t>
      </w:r>
      <w:r>
        <w:rPr>
          <w:sz w:val="24"/>
          <w:szCs w:val="24"/>
        </w:rPr>
        <w:t>:</w:t>
      </w:r>
    </w:p>
    <w:p w:rsidR="00011FFF" w:rsidP="004B2277" w14:paraId="38F105B1" w14:textId="77777777">
      <w:pPr>
        <w:rPr>
          <w:sz w:val="24"/>
          <w:szCs w:val="24"/>
        </w:rPr>
      </w:pPr>
    </w:p>
    <w:p w:rsidR="00011FFF" w:rsidP="004B2277" w14:paraId="1174181E" w14:textId="77777777">
      <w:pPr>
        <w:numPr>
          <w:ilvl w:val="0"/>
          <w:numId w:val="17"/>
        </w:numPr>
        <w:rPr>
          <w:sz w:val="24"/>
          <w:szCs w:val="24"/>
        </w:rPr>
      </w:pPr>
      <w:r w:rsidRPr="00011FFF">
        <w:rPr>
          <w:sz w:val="24"/>
          <w:szCs w:val="24"/>
        </w:rPr>
        <w:t>A frequency of sampling and testing that accounts for any appreciable variability of the material (</w:t>
      </w:r>
      <w:r w:rsidRPr="00011FFF">
        <w:rPr>
          <w:i/>
          <w:iCs/>
          <w:sz w:val="24"/>
          <w:szCs w:val="24"/>
        </w:rPr>
        <w:t>e.g.,</w:t>
      </w:r>
      <w:r w:rsidR="007C663A">
        <w:rPr>
          <w:i/>
          <w:iCs/>
          <w:sz w:val="24"/>
          <w:szCs w:val="24"/>
        </w:rPr>
        <w:t xml:space="preserve"> </w:t>
      </w:r>
      <w:r w:rsidRPr="00011FFF">
        <w:rPr>
          <w:sz w:val="24"/>
          <w:szCs w:val="24"/>
        </w:rPr>
        <w:t>history, temperature, method of extraction [including chemical use], location of extraction, time of year, length of time between shipments);</w:t>
      </w:r>
    </w:p>
    <w:p w:rsidR="00011FFF" w:rsidP="004B2277" w14:paraId="2DCDEEF2" w14:textId="77777777">
      <w:pPr>
        <w:numPr>
          <w:ilvl w:val="0"/>
          <w:numId w:val="17"/>
        </w:numPr>
        <w:rPr>
          <w:sz w:val="24"/>
          <w:szCs w:val="24"/>
        </w:rPr>
      </w:pPr>
      <w:r w:rsidRPr="00011FFF">
        <w:rPr>
          <w:sz w:val="24"/>
          <w:szCs w:val="24"/>
        </w:rPr>
        <w:t>Sampling prior to the initial offering of the material for transportation and when changes that may affect the properties of the material occur (</w:t>
      </w:r>
      <w:r w:rsidRPr="00011FFF">
        <w:rPr>
          <w:i/>
          <w:iCs/>
          <w:sz w:val="24"/>
          <w:szCs w:val="24"/>
        </w:rPr>
        <w:t>i.e.,</w:t>
      </w:r>
      <w:r w:rsidRPr="00011FFF">
        <w:rPr>
          <w:sz w:val="24"/>
          <w:szCs w:val="24"/>
        </w:rPr>
        <w:t> mixing of the material from multiple sources, or further processing and then subsequent transportation);</w:t>
      </w:r>
    </w:p>
    <w:p w:rsidR="00011FFF" w:rsidP="004B2277" w14:paraId="50548EA8" w14:textId="77777777">
      <w:pPr>
        <w:numPr>
          <w:ilvl w:val="0"/>
          <w:numId w:val="17"/>
        </w:numPr>
        <w:rPr>
          <w:sz w:val="24"/>
          <w:szCs w:val="24"/>
        </w:rPr>
      </w:pPr>
      <w:r w:rsidRPr="00011FFF">
        <w:rPr>
          <w:sz w:val="24"/>
          <w:szCs w:val="24"/>
        </w:rPr>
        <w:t>Sampling methods that ensure a representative sample of the entire mixture, as offered, is collected;</w:t>
      </w:r>
    </w:p>
    <w:p w:rsidR="00011FFF" w:rsidP="004B2277" w14:paraId="56F1AD94" w14:textId="77777777">
      <w:pPr>
        <w:numPr>
          <w:ilvl w:val="0"/>
          <w:numId w:val="17"/>
        </w:numPr>
        <w:rPr>
          <w:sz w:val="24"/>
          <w:szCs w:val="24"/>
        </w:rPr>
      </w:pPr>
      <w:r w:rsidRPr="00011FFF">
        <w:rPr>
          <w:sz w:val="24"/>
          <w:szCs w:val="24"/>
        </w:rPr>
        <w:t>Testing methods that enable classification of the material under the HMR;</w:t>
      </w:r>
    </w:p>
    <w:p w:rsidR="00011FFF" w:rsidP="004B2277" w14:paraId="109CEBD9" w14:textId="77777777">
      <w:pPr>
        <w:numPr>
          <w:ilvl w:val="0"/>
          <w:numId w:val="17"/>
        </w:numPr>
        <w:rPr>
          <w:sz w:val="24"/>
          <w:szCs w:val="24"/>
        </w:rPr>
      </w:pPr>
      <w:r w:rsidRPr="00011FFF">
        <w:rPr>
          <w:sz w:val="24"/>
          <w:szCs w:val="24"/>
        </w:rPr>
        <w:t>Quality control measures for sample frequencies;</w:t>
      </w:r>
    </w:p>
    <w:p w:rsidR="00011FFF" w:rsidP="004B2277" w14:paraId="6F109894" w14:textId="77777777">
      <w:pPr>
        <w:numPr>
          <w:ilvl w:val="0"/>
          <w:numId w:val="17"/>
        </w:numPr>
        <w:rPr>
          <w:sz w:val="24"/>
          <w:szCs w:val="24"/>
        </w:rPr>
      </w:pPr>
      <w:r w:rsidRPr="00011FFF">
        <w:rPr>
          <w:sz w:val="24"/>
          <w:szCs w:val="24"/>
        </w:rPr>
        <w:t>Duplicate sampling methods or equivalent measures for quality assurance;</w:t>
      </w:r>
    </w:p>
    <w:p w:rsidR="00011FFF" w:rsidP="004B2277" w14:paraId="6ABA612C" w14:textId="77777777">
      <w:pPr>
        <w:numPr>
          <w:ilvl w:val="0"/>
          <w:numId w:val="17"/>
        </w:numPr>
        <w:rPr>
          <w:sz w:val="24"/>
          <w:szCs w:val="24"/>
        </w:rPr>
      </w:pPr>
      <w:r w:rsidRPr="00011FFF">
        <w:rPr>
          <w:sz w:val="24"/>
          <w:szCs w:val="24"/>
        </w:rPr>
        <w:t>Criteria for modifying the sampling and testing program; and</w:t>
      </w:r>
    </w:p>
    <w:p w:rsidR="00011FFF" w:rsidP="004B2277" w14:paraId="0B2EB51F" w14:textId="77777777">
      <w:pPr>
        <w:numPr>
          <w:ilvl w:val="0"/>
          <w:numId w:val="17"/>
        </w:numPr>
        <w:rPr>
          <w:sz w:val="24"/>
          <w:szCs w:val="24"/>
        </w:rPr>
      </w:pPr>
      <w:r w:rsidRPr="00011FFF">
        <w:rPr>
          <w:sz w:val="24"/>
          <w:szCs w:val="24"/>
        </w:rPr>
        <w:t>Testing or other appropriate methods used to identify properties of the mixture relevant to packaging requirements (</w:t>
      </w:r>
      <w:r w:rsidRPr="00011FFF">
        <w:rPr>
          <w:i/>
          <w:iCs/>
          <w:sz w:val="24"/>
          <w:szCs w:val="24"/>
        </w:rPr>
        <w:t>e.g.,</w:t>
      </w:r>
      <w:r w:rsidRPr="00011FFF">
        <w:rPr>
          <w:sz w:val="24"/>
          <w:szCs w:val="24"/>
        </w:rPr>
        <w:t> compatibility with packaging, identifying specific gravity for filling packages).</w:t>
      </w:r>
    </w:p>
    <w:p w:rsidR="00991017" w:rsidP="004B2277" w14:paraId="19E71B77" w14:textId="77777777">
      <w:pPr>
        <w:rPr>
          <w:sz w:val="24"/>
          <w:szCs w:val="24"/>
        </w:rPr>
      </w:pPr>
    </w:p>
    <w:p w:rsidR="00992AAC" w:rsidRPr="00E97E50" w:rsidP="004B2277" w14:paraId="5215565B" w14:textId="77777777">
      <w:pPr>
        <w:rPr>
          <w:sz w:val="24"/>
          <w:szCs w:val="24"/>
          <w:u w:val="single"/>
        </w:rPr>
      </w:pPr>
      <w:r w:rsidRPr="00E97E50">
        <w:rPr>
          <w:sz w:val="24"/>
          <w:szCs w:val="24"/>
          <w:u w:val="single"/>
        </w:rPr>
        <w:t>49 CFR</w:t>
      </w:r>
      <w:r w:rsidR="00011FFF">
        <w:rPr>
          <w:sz w:val="24"/>
          <w:szCs w:val="24"/>
          <w:u w:val="single"/>
        </w:rPr>
        <w:t xml:space="preserve"> Part </w:t>
      </w:r>
      <w:r w:rsidRPr="00E97E50" w:rsidR="008427DC">
        <w:rPr>
          <w:sz w:val="24"/>
          <w:szCs w:val="24"/>
          <w:u w:val="single"/>
        </w:rPr>
        <w:t>174</w:t>
      </w:r>
      <w:r w:rsidRPr="00E97E50">
        <w:rPr>
          <w:sz w:val="24"/>
          <w:szCs w:val="24"/>
          <w:u w:val="single"/>
        </w:rPr>
        <w:t>.</w:t>
      </w:r>
      <w:r w:rsidRPr="00E97E50" w:rsidR="00B642B8">
        <w:rPr>
          <w:sz w:val="24"/>
          <w:szCs w:val="24"/>
          <w:u w:val="single"/>
        </w:rPr>
        <w:t>3</w:t>
      </w:r>
      <w:r w:rsidRPr="00E97E50">
        <w:rPr>
          <w:sz w:val="24"/>
          <w:szCs w:val="24"/>
          <w:u w:val="single"/>
        </w:rPr>
        <w:t>10(</w:t>
      </w:r>
      <w:r w:rsidR="002C631E">
        <w:rPr>
          <w:sz w:val="24"/>
          <w:szCs w:val="24"/>
          <w:u w:val="single"/>
        </w:rPr>
        <w:t>a</w:t>
      </w:r>
      <w:r w:rsidRPr="00E97E50">
        <w:rPr>
          <w:sz w:val="24"/>
          <w:szCs w:val="24"/>
          <w:u w:val="single"/>
        </w:rPr>
        <w:t>)(</w:t>
      </w:r>
      <w:r w:rsidRPr="00E97E50" w:rsidR="00B642B8">
        <w:rPr>
          <w:sz w:val="24"/>
          <w:szCs w:val="24"/>
          <w:u w:val="single"/>
        </w:rPr>
        <w:t>1</w:t>
      </w:r>
      <w:r w:rsidRPr="00E97E50">
        <w:rPr>
          <w:sz w:val="24"/>
          <w:szCs w:val="24"/>
          <w:u w:val="single"/>
        </w:rPr>
        <w:t>)</w:t>
      </w:r>
      <w:r w:rsidR="00E97E50">
        <w:rPr>
          <w:sz w:val="24"/>
          <w:szCs w:val="24"/>
          <w:u w:val="single"/>
        </w:rPr>
        <w:t>:</w:t>
      </w:r>
      <w:r w:rsidRPr="00E97E50" w:rsidR="0027016F">
        <w:rPr>
          <w:sz w:val="24"/>
          <w:szCs w:val="24"/>
          <w:u w:val="single"/>
        </w:rPr>
        <w:t xml:space="preserve"> </w:t>
      </w:r>
      <w:r w:rsidR="007439D4">
        <w:rPr>
          <w:sz w:val="24"/>
          <w:szCs w:val="24"/>
          <w:u w:val="single"/>
        </w:rPr>
        <w:t xml:space="preserve"> Requirements for the operation of high-hazard flammable trains - Routing </w:t>
      </w:r>
    </w:p>
    <w:p w:rsidR="00C6790F" w:rsidP="004B2277" w14:paraId="179ECEC2" w14:textId="77777777">
      <w:pPr>
        <w:rPr>
          <w:sz w:val="24"/>
          <w:szCs w:val="24"/>
        </w:rPr>
      </w:pPr>
    </w:p>
    <w:p w:rsidR="00C06791" w:rsidP="004B2277" w14:paraId="426E98F5" w14:textId="6EF2A2F2">
      <w:pPr>
        <w:rPr>
          <w:sz w:val="24"/>
          <w:szCs w:val="24"/>
        </w:rPr>
      </w:pPr>
      <w:r w:rsidRPr="32E8BC75">
        <w:rPr>
          <w:sz w:val="24"/>
          <w:szCs w:val="24"/>
        </w:rPr>
        <w:t>Section</w:t>
      </w:r>
      <w:r w:rsidRPr="32E8BC75" w:rsidR="36E9E4CD">
        <w:rPr>
          <w:sz w:val="24"/>
          <w:szCs w:val="24"/>
        </w:rPr>
        <w:t> </w:t>
      </w:r>
      <w:r w:rsidRPr="32E8BC75" w:rsidR="24DFB0A7">
        <w:rPr>
          <w:sz w:val="24"/>
          <w:szCs w:val="24"/>
        </w:rPr>
        <w:t>174.310(</w:t>
      </w:r>
      <w:r w:rsidRPr="32E8BC75" w:rsidR="240E5FD5">
        <w:rPr>
          <w:sz w:val="24"/>
          <w:szCs w:val="24"/>
        </w:rPr>
        <w:t>a</w:t>
      </w:r>
      <w:r w:rsidRPr="32E8BC75" w:rsidR="24DFB0A7">
        <w:rPr>
          <w:sz w:val="24"/>
          <w:szCs w:val="24"/>
        </w:rPr>
        <w:t>)(1) requir</w:t>
      </w:r>
      <w:r w:rsidRPr="32E8BC75" w:rsidR="582AC115">
        <w:rPr>
          <w:sz w:val="24"/>
          <w:szCs w:val="24"/>
        </w:rPr>
        <w:t>e</w:t>
      </w:r>
      <w:r w:rsidRPr="32E8BC75" w:rsidR="294FCB70">
        <w:rPr>
          <w:sz w:val="24"/>
          <w:szCs w:val="24"/>
        </w:rPr>
        <w:t>s</w:t>
      </w:r>
      <w:r w:rsidRPr="32E8BC75" w:rsidR="582AC115">
        <w:rPr>
          <w:sz w:val="24"/>
          <w:szCs w:val="24"/>
        </w:rPr>
        <w:t xml:space="preserve"> </w:t>
      </w:r>
      <w:r w:rsidRPr="32E8BC75" w:rsidR="24DFB0A7">
        <w:rPr>
          <w:sz w:val="24"/>
          <w:szCs w:val="24"/>
        </w:rPr>
        <w:t xml:space="preserve">rail </w:t>
      </w:r>
      <w:r w:rsidRPr="32E8BC75" w:rsidR="6F8F5FDC">
        <w:rPr>
          <w:sz w:val="24"/>
          <w:szCs w:val="24"/>
        </w:rPr>
        <w:t xml:space="preserve">carriers </w:t>
      </w:r>
      <w:r w:rsidRPr="32E8BC75" w:rsidR="24DFB0A7">
        <w:rPr>
          <w:sz w:val="24"/>
          <w:szCs w:val="24"/>
        </w:rPr>
        <w:t>to conduct</w:t>
      </w:r>
      <w:r w:rsidRPr="32E8BC75" w:rsidR="36D2979C">
        <w:rPr>
          <w:sz w:val="24"/>
          <w:szCs w:val="24"/>
        </w:rPr>
        <w:t xml:space="preserve"> </w:t>
      </w:r>
      <w:r w:rsidRPr="32E8BC75" w:rsidR="24DFB0A7">
        <w:rPr>
          <w:sz w:val="24"/>
          <w:szCs w:val="24"/>
        </w:rPr>
        <w:t xml:space="preserve">a </w:t>
      </w:r>
      <w:r w:rsidRPr="32E8BC75" w:rsidR="61DB60E7">
        <w:rPr>
          <w:sz w:val="24"/>
          <w:szCs w:val="24"/>
        </w:rPr>
        <w:t>routing and safety security analysis for HHFTs related to crude oil transportation</w:t>
      </w:r>
      <w:r w:rsidRPr="32E8BC75" w:rsidR="240E5FD5">
        <w:rPr>
          <w:sz w:val="24"/>
          <w:szCs w:val="24"/>
        </w:rPr>
        <w:t xml:space="preserve"> in accordance with part 172, subpart I</w:t>
      </w:r>
      <w:r w:rsidRPr="32E8BC75" w:rsidR="61DB60E7">
        <w:rPr>
          <w:sz w:val="24"/>
          <w:szCs w:val="24"/>
        </w:rPr>
        <w:t xml:space="preserve">. </w:t>
      </w:r>
      <w:r w:rsidR="00337C0E">
        <w:rPr>
          <w:sz w:val="24"/>
          <w:szCs w:val="24"/>
        </w:rPr>
        <w:t xml:space="preserve"> </w:t>
      </w:r>
      <w:r w:rsidRPr="32E8BC75" w:rsidR="36D2979C">
        <w:rPr>
          <w:sz w:val="24"/>
          <w:szCs w:val="24"/>
        </w:rPr>
        <w:t xml:space="preserve">Specifically, PHMSA </w:t>
      </w:r>
      <w:r w:rsidRPr="32E8BC75" w:rsidR="582AC115">
        <w:rPr>
          <w:sz w:val="24"/>
          <w:szCs w:val="24"/>
        </w:rPr>
        <w:t xml:space="preserve">requires </w:t>
      </w:r>
      <w:r w:rsidRPr="32E8BC75" w:rsidR="36D2979C">
        <w:rPr>
          <w:sz w:val="24"/>
          <w:szCs w:val="24"/>
        </w:rPr>
        <w:t xml:space="preserve">rail carriers </w:t>
      </w:r>
      <w:r w:rsidRPr="32E8BC75" w:rsidR="582AC115">
        <w:rPr>
          <w:sz w:val="24"/>
          <w:szCs w:val="24"/>
        </w:rPr>
        <w:t xml:space="preserve">to </w:t>
      </w:r>
      <w:r w:rsidRPr="32E8BC75" w:rsidR="36D2979C">
        <w:rPr>
          <w:sz w:val="24"/>
          <w:szCs w:val="24"/>
        </w:rPr>
        <w:t>compile annual data on specified shipments of hazardous materials</w:t>
      </w:r>
      <w:r w:rsidRPr="4084E444" w:rsidR="70074720">
        <w:rPr>
          <w:sz w:val="24"/>
          <w:szCs w:val="24"/>
        </w:rPr>
        <w:t>,</w:t>
      </w:r>
      <w:r w:rsidRPr="32E8BC75" w:rsidR="56FF71E8">
        <w:rPr>
          <w:sz w:val="24"/>
          <w:szCs w:val="24"/>
        </w:rPr>
        <w:t xml:space="preserve"> </w:t>
      </w:r>
      <w:r w:rsidRPr="32E8BC75" w:rsidR="36D2979C">
        <w:rPr>
          <w:sz w:val="24"/>
          <w:szCs w:val="24"/>
        </w:rPr>
        <w:t>use the data to analyze safety and security risks along rail routes where those materials are transported</w:t>
      </w:r>
      <w:r w:rsidRPr="4084E444" w:rsidR="70074720">
        <w:rPr>
          <w:sz w:val="24"/>
          <w:szCs w:val="24"/>
        </w:rPr>
        <w:t>,</w:t>
      </w:r>
      <w:r w:rsidRPr="32E8BC75" w:rsidR="56FF71E8">
        <w:rPr>
          <w:sz w:val="24"/>
          <w:szCs w:val="24"/>
        </w:rPr>
        <w:t xml:space="preserve"> </w:t>
      </w:r>
      <w:r w:rsidRPr="32E8BC75" w:rsidR="36D2979C">
        <w:rPr>
          <w:sz w:val="24"/>
          <w:szCs w:val="24"/>
        </w:rPr>
        <w:t>assess alternative routing options</w:t>
      </w:r>
      <w:r w:rsidRPr="4084E444" w:rsidR="70074720">
        <w:rPr>
          <w:sz w:val="24"/>
          <w:szCs w:val="24"/>
        </w:rPr>
        <w:t>,</w:t>
      </w:r>
      <w:r w:rsidRPr="32E8BC75" w:rsidR="56FF71E8">
        <w:rPr>
          <w:sz w:val="24"/>
          <w:szCs w:val="24"/>
        </w:rPr>
        <w:t xml:space="preserve"> </w:t>
      </w:r>
      <w:r w:rsidRPr="32E8BC75" w:rsidR="36D2979C">
        <w:rPr>
          <w:sz w:val="24"/>
          <w:szCs w:val="24"/>
        </w:rPr>
        <w:t xml:space="preserve">and make routing decisions based on those assessments. </w:t>
      </w:r>
      <w:r w:rsidR="00337C0E">
        <w:rPr>
          <w:sz w:val="24"/>
          <w:szCs w:val="24"/>
        </w:rPr>
        <w:t xml:space="preserve"> </w:t>
      </w:r>
      <w:r w:rsidRPr="32E8BC75" w:rsidR="36D2979C">
        <w:rPr>
          <w:sz w:val="24"/>
          <w:szCs w:val="24"/>
        </w:rPr>
        <w:t xml:space="preserve">This data will in turn be used by </w:t>
      </w:r>
      <w:r w:rsidRPr="4084E444" w:rsidR="70074720">
        <w:rPr>
          <w:sz w:val="24"/>
          <w:szCs w:val="24"/>
        </w:rPr>
        <w:t>states</w:t>
      </w:r>
      <w:r w:rsidRPr="32E8BC75" w:rsidR="36D2979C">
        <w:rPr>
          <w:sz w:val="24"/>
          <w:szCs w:val="24"/>
        </w:rPr>
        <w:t xml:space="preserve"> and/or regional Fusion Centers that</w:t>
      </w:r>
      <w:r w:rsidRPr="32E8BC75" w:rsidR="2FA84C69">
        <w:rPr>
          <w:sz w:val="24"/>
          <w:szCs w:val="24"/>
        </w:rPr>
        <w:t>:</w:t>
      </w:r>
      <w:r w:rsidR="00FC1467">
        <w:rPr>
          <w:sz w:val="24"/>
          <w:szCs w:val="24"/>
        </w:rPr>
        <w:t xml:space="preserve"> </w:t>
      </w:r>
      <w:r w:rsidRPr="32E8BC75" w:rsidR="7E65F574">
        <w:rPr>
          <w:sz w:val="24"/>
          <w:szCs w:val="24"/>
        </w:rPr>
        <w:t xml:space="preserve">(1) </w:t>
      </w:r>
      <w:r w:rsidRPr="32E8BC75" w:rsidR="36D2979C">
        <w:rPr>
          <w:sz w:val="24"/>
          <w:szCs w:val="24"/>
        </w:rPr>
        <w:t>have been established to coordinate with s</w:t>
      </w:r>
      <w:r w:rsidRPr="32E8BC75" w:rsidR="3D7B9F19">
        <w:rPr>
          <w:sz w:val="24"/>
          <w:szCs w:val="24"/>
        </w:rPr>
        <w:t>tate</w:t>
      </w:r>
      <w:r w:rsidRPr="32E8BC75" w:rsidR="36D2979C">
        <w:rPr>
          <w:sz w:val="24"/>
          <w:szCs w:val="24"/>
        </w:rPr>
        <w:t>, local, and tribal officials on security issues</w:t>
      </w:r>
      <w:r w:rsidRPr="32E8BC75" w:rsidR="2FA84C69">
        <w:rPr>
          <w:sz w:val="24"/>
          <w:szCs w:val="24"/>
        </w:rPr>
        <w:t>;</w:t>
      </w:r>
      <w:r w:rsidRPr="32E8BC75" w:rsidR="36D2979C">
        <w:rPr>
          <w:sz w:val="24"/>
          <w:szCs w:val="24"/>
        </w:rPr>
        <w:t xml:space="preserve"> and </w:t>
      </w:r>
      <w:r w:rsidRPr="32E8BC75" w:rsidR="7E65F574">
        <w:rPr>
          <w:sz w:val="24"/>
          <w:szCs w:val="24"/>
        </w:rPr>
        <w:t>(2)</w:t>
      </w:r>
      <w:r w:rsidRPr="32E8BC75" w:rsidR="50029CFE">
        <w:rPr>
          <w:sz w:val="24"/>
          <w:szCs w:val="24"/>
        </w:rPr>
        <w:t xml:space="preserve"> </w:t>
      </w:r>
      <w:r w:rsidRPr="32E8BC75" w:rsidR="36D2979C">
        <w:rPr>
          <w:sz w:val="24"/>
          <w:szCs w:val="24"/>
        </w:rPr>
        <w:t xml:space="preserve">are located within the area encompassed by the rail </w:t>
      </w:r>
      <w:r w:rsidRPr="32E8BC75" w:rsidR="6F8F5FDC">
        <w:rPr>
          <w:sz w:val="24"/>
          <w:szCs w:val="24"/>
        </w:rPr>
        <w:t>carriers</w:t>
      </w:r>
      <w:r w:rsidRPr="32E8BC75" w:rsidR="3D7B9F19">
        <w:rPr>
          <w:sz w:val="24"/>
          <w:szCs w:val="24"/>
        </w:rPr>
        <w:t xml:space="preserve"> </w:t>
      </w:r>
      <w:r w:rsidRPr="32E8BC75" w:rsidR="36D2979C">
        <w:rPr>
          <w:sz w:val="24"/>
          <w:szCs w:val="24"/>
        </w:rPr>
        <w:t xml:space="preserve">rail system. </w:t>
      </w:r>
    </w:p>
    <w:p w:rsidR="00676D18" w:rsidP="004B2277" w14:paraId="27EEB67D" w14:textId="77777777">
      <w:pPr>
        <w:rPr>
          <w:sz w:val="24"/>
          <w:szCs w:val="24"/>
        </w:rPr>
      </w:pPr>
    </w:p>
    <w:p w:rsidR="007439D4" w:rsidRPr="00E97E50" w:rsidP="004B2277" w14:paraId="0BDB97D4" w14:textId="77777777">
      <w:pPr>
        <w:rPr>
          <w:sz w:val="24"/>
          <w:szCs w:val="24"/>
          <w:u w:val="single"/>
        </w:rPr>
      </w:pPr>
      <w:r>
        <w:rPr>
          <w:sz w:val="24"/>
          <w:szCs w:val="24"/>
          <w:u w:val="single"/>
        </w:rPr>
        <w:t>49 CFR</w:t>
      </w:r>
      <w:r w:rsidRPr="000D5148" w:rsidR="00630501">
        <w:rPr>
          <w:sz w:val="24"/>
          <w:szCs w:val="24"/>
          <w:u w:val="single"/>
        </w:rPr>
        <w:t> </w:t>
      </w:r>
      <w:r>
        <w:rPr>
          <w:sz w:val="24"/>
          <w:szCs w:val="24"/>
          <w:u w:val="single"/>
        </w:rPr>
        <w:t xml:space="preserve">Part </w:t>
      </w:r>
      <w:r w:rsidRPr="000D5148" w:rsidR="00E82363">
        <w:rPr>
          <w:sz w:val="24"/>
          <w:szCs w:val="24"/>
          <w:u w:val="single"/>
        </w:rPr>
        <w:t>173.</w:t>
      </w:r>
      <w:r w:rsidR="002C631E">
        <w:rPr>
          <w:sz w:val="24"/>
          <w:szCs w:val="24"/>
          <w:u w:val="single"/>
        </w:rPr>
        <w:t>310(a)(5)</w:t>
      </w:r>
      <w:r>
        <w:rPr>
          <w:sz w:val="24"/>
          <w:szCs w:val="24"/>
          <w:u w:val="single"/>
        </w:rPr>
        <w:t xml:space="preserve">: </w:t>
      </w:r>
      <w:r>
        <w:rPr>
          <w:sz w:val="24"/>
          <w:szCs w:val="24"/>
          <w:u w:val="single"/>
        </w:rPr>
        <w:t xml:space="preserve">Requirements for the operation of high-hazard flammable trains – Retrofitting Progress </w:t>
      </w:r>
    </w:p>
    <w:p w:rsidR="00E82363" w:rsidP="004B2277" w14:paraId="025C5F42" w14:textId="77777777">
      <w:pPr>
        <w:rPr>
          <w:sz w:val="24"/>
          <w:szCs w:val="24"/>
        </w:rPr>
      </w:pPr>
    </w:p>
    <w:p w:rsidR="002A49C7" w:rsidP="004B2277" w14:paraId="2CBF2625" w14:textId="50AA6BD4">
      <w:pPr>
        <w:rPr>
          <w:sz w:val="24"/>
          <w:szCs w:val="24"/>
        </w:rPr>
      </w:pPr>
      <w:r w:rsidRPr="2DA08347">
        <w:rPr>
          <w:sz w:val="24"/>
          <w:szCs w:val="24"/>
        </w:rPr>
        <w:t>The HM-2</w:t>
      </w:r>
      <w:r w:rsidRPr="2DA08347" w:rsidR="00B54171">
        <w:rPr>
          <w:sz w:val="24"/>
          <w:szCs w:val="24"/>
        </w:rPr>
        <w:t>51</w:t>
      </w:r>
      <w:r w:rsidRPr="2DA08347">
        <w:rPr>
          <w:sz w:val="24"/>
          <w:szCs w:val="24"/>
        </w:rPr>
        <w:t xml:space="preserve"> Final Rule [80 FR 71952</w:t>
      </w:r>
      <w:r w:rsidRPr="2DA08347" w:rsidR="00FE4771">
        <w:rPr>
          <w:sz w:val="24"/>
          <w:szCs w:val="24"/>
        </w:rPr>
        <w:t>]</w:t>
      </w:r>
      <w:r w:rsidRPr="2DA08347">
        <w:rPr>
          <w:sz w:val="24"/>
          <w:szCs w:val="24"/>
        </w:rPr>
        <w:t xml:space="preserve"> published on November 18, 2015</w:t>
      </w:r>
      <w:r w:rsidRPr="2DA08347" w:rsidR="00180362">
        <w:rPr>
          <w:sz w:val="24"/>
          <w:szCs w:val="24"/>
        </w:rPr>
        <w:t>,</w:t>
      </w:r>
      <w:r w:rsidRPr="2DA08347">
        <w:rPr>
          <w:sz w:val="24"/>
          <w:szCs w:val="24"/>
        </w:rPr>
        <w:t xml:space="preserve"> </w:t>
      </w:r>
      <w:r w:rsidRPr="2DA08347" w:rsidR="00FE4771">
        <w:rPr>
          <w:sz w:val="24"/>
          <w:szCs w:val="24"/>
        </w:rPr>
        <w:t xml:space="preserve">established </w:t>
      </w:r>
      <w:r w:rsidRPr="2DA08347">
        <w:rPr>
          <w:sz w:val="24"/>
          <w:szCs w:val="24"/>
        </w:rPr>
        <w:t xml:space="preserve">a </w:t>
      </w:r>
      <w:r w:rsidRPr="2DA08347" w:rsidR="00180362">
        <w:rPr>
          <w:sz w:val="24"/>
          <w:szCs w:val="24"/>
        </w:rPr>
        <w:t>January </w:t>
      </w:r>
      <w:r w:rsidRPr="2DA08347">
        <w:rPr>
          <w:sz w:val="24"/>
          <w:szCs w:val="24"/>
        </w:rPr>
        <w:t>1, 2017</w:t>
      </w:r>
      <w:r w:rsidRPr="2DA08347" w:rsidR="00180362">
        <w:rPr>
          <w:sz w:val="24"/>
          <w:szCs w:val="24"/>
        </w:rPr>
        <w:t>,</w:t>
      </w:r>
      <w:r w:rsidRPr="2DA08347">
        <w:rPr>
          <w:sz w:val="24"/>
          <w:szCs w:val="24"/>
        </w:rPr>
        <w:t xml:space="preserve"> deadline for retrofitting non-jacketed DOT-111 tank cars in </w:t>
      </w:r>
      <w:r w:rsidRPr="4084E444" w:rsidR="466371DE">
        <w:rPr>
          <w:sz w:val="24"/>
          <w:szCs w:val="24"/>
        </w:rPr>
        <w:t>Packing Group (</w:t>
      </w:r>
      <w:r w:rsidRPr="2DA08347">
        <w:rPr>
          <w:sz w:val="24"/>
          <w:szCs w:val="24"/>
        </w:rPr>
        <w:t>PG</w:t>
      </w:r>
      <w:r w:rsidRPr="4084E444" w:rsidR="466371DE">
        <w:rPr>
          <w:sz w:val="24"/>
          <w:szCs w:val="24"/>
        </w:rPr>
        <w:t>)</w:t>
      </w:r>
      <w:r w:rsidRPr="2DA08347">
        <w:rPr>
          <w:sz w:val="24"/>
          <w:szCs w:val="24"/>
        </w:rPr>
        <w:t xml:space="preserve"> I service.</w:t>
      </w:r>
      <w:r w:rsidRPr="2DA08347">
        <w:rPr>
          <w:sz w:val="24"/>
          <w:szCs w:val="24"/>
        </w:rPr>
        <w:t xml:space="preserve"> </w:t>
      </w:r>
      <w:r w:rsidR="00337C0E">
        <w:rPr>
          <w:sz w:val="24"/>
          <w:szCs w:val="24"/>
        </w:rPr>
        <w:t xml:space="preserve"> </w:t>
      </w:r>
      <w:r w:rsidRPr="2DA08347">
        <w:rPr>
          <w:sz w:val="24"/>
          <w:szCs w:val="24"/>
        </w:rPr>
        <w:t>O</w:t>
      </w:r>
      <w:r w:rsidRPr="2DA08347">
        <w:rPr>
          <w:sz w:val="24"/>
          <w:szCs w:val="24"/>
        </w:rPr>
        <w:t xml:space="preserve">wners of non-jacketed DOT-111 tank cars in </w:t>
      </w:r>
      <w:r w:rsidRPr="4084E444" w:rsidR="15ABB0A9">
        <w:rPr>
          <w:sz w:val="24"/>
          <w:szCs w:val="24"/>
        </w:rPr>
        <w:t xml:space="preserve">PG </w:t>
      </w:r>
      <w:r w:rsidRPr="2DA08347">
        <w:rPr>
          <w:sz w:val="24"/>
          <w:szCs w:val="24"/>
        </w:rPr>
        <w:t xml:space="preserve">I service in an HHFT </w:t>
      </w:r>
      <w:r w:rsidRPr="2DA08347" w:rsidR="00542D46">
        <w:rPr>
          <w:sz w:val="24"/>
          <w:szCs w:val="24"/>
        </w:rPr>
        <w:t>who are unable to meet the January 1, 2017</w:t>
      </w:r>
      <w:r w:rsidRPr="2DA08347" w:rsidR="00180362">
        <w:rPr>
          <w:sz w:val="24"/>
          <w:szCs w:val="24"/>
        </w:rPr>
        <w:t>,</w:t>
      </w:r>
      <w:r w:rsidRPr="2DA08347" w:rsidR="00542D46">
        <w:rPr>
          <w:sz w:val="24"/>
          <w:szCs w:val="24"/>
        </w:rPr>
        <w:t xml:space="preserve"> deadline </w:t>
      </w:r>
      <w:r w:rsidRPr="2DA08347">
        <w:rPr>
          <w:sz w:val="24"/>
          <w:szCs w:val="24"/>
        </w:rPr>
        <w:t xml:space="preserve">are required </w:t>
      </w:r>
      <w:r w:rsidRPr="2DA08347">
        <w:rPr>
          <w:sz w:val="24"/>
          <w:szCs w:val="24"/>
        </w:rPr>
        <w:t xml:space="preserve">to </w:t>
      </w:r>
      <w:r w:rsidRPr="2DA08347" w:rsidR="00542D46">
        <w:rPr>
          <w:sz w:val="24"/>
          <w:szCs w:val="24"/>
        </w:rPr>
        <w:t xml:space="preserve">submit a </w:t>
      </w:r>
      <w:r w:rsidRPr="2DA08347">
        <w:rPr>
          <w:sz w:val="24"/>
          <w:szCs w:val="24"/>
        </w:rPr>
        <w:t xml:space="preserve">report to DOT </w:t>
      </w:r>
      <w:r w:rsidRPr="2DA08347" w:rsidR="00DD2DC4">
        <w:rPr>
          <w:sz w:val="24"/>
          <w:szCs w:val="24"/>
        </w:rPr>
        <w:t xml:space="preserve">with </w:t>
      </w:r>
      <w:r w:rsidRPr="2DA08347">
        <w:rPr>
          <w:sz w:val="24"/>
          <w:szCs w:val="24"/>
        </w:rPr>
        <w:t>the following information regarding the retrofitting progress:</w:t>
      </w:r>
    </w:p>
    <w:p w:rsidR="00180362" w:rsidRPr="002A49C7" w:rsidP="004B2277" w14:paraId="3C2711A4" w14:textId="77777777">
      <w:pPr>
        <w:rPr>
          <w:sz w:val="24"/>
          <w:szCs w:val="24"/>
        </w:rPr>
      </w:pPr>
    </w:p>
    <w:p w:rsidR="002A49C7" w:rsidRPr="002A49C7" w:rsidP="004B2277" w14:paraId="41DC93E6" w14:textId="77777777">
      <w:pPr>
        <w:numPr>
          <w:ilvl w:val="0"/>
          <w:numId w:val="11"/>
        </w:numPr>
        <w:tabs>
          <w:tab w:val="clear" w:pos="720"/>
        </w:tabs>
        <w:rPr>
          <w:sz w:val="24"/>
          <w:szCs w:val="24"/>
        </w:rPr>
      </w:pPr>
      <w:r w:rsidRPr="002A49C7">
        <w:rPr>
          <w:sz w:val="24"/>
          <w:szCs w:val="24"/>
        </w:rPr>
        <w:t>The total number of tank cars retrofitted to meet the DOT-117R specification;</w:t>
      </w:r>
    </w:p>
    <w:p w:rsidR="002A49C7" w:rsidRPr="002A49C7" w:rsidP="004B2277" w14:paraId="4622B7CB" w14:textId="77777777">
      <w:pPr>
        <w:numPr>
          <w:ilvl w:val="0"/>
          <w:numId w:val="11"/>
        </w:numPr>
        <w:tabs>
          <w:tab w:val="clear" w:pos="720"/>
        </w:tabs>
        <w:rPr>
          <w:sz w:val="24"/>
          <w:szCs w:val="24"/>
        </w:rPr>
      </w:pPr>
      <w:r w:rsidRPr="002A49C7">
        <w:rPr>
          <w:sz w:val="24"/>
          <w:szCs w:val="24"/>
        </w:rPr>
        <w:t>The total number of tank cars built or retrofitted to meet the DOT-117P specification;</w:t>
      </w:r>
    </w:p>
    <w:p w:rsidR="002A49C7" w:rsidRPr="002A49C7" w:rsidP="004B2277" w14:paraId="3CF1CD66" w14:textId="77777777">
      <w:pPr>
        <w:numPr>
          <w:ilvl w:val="0"/>
          <w:numId w:val="11"/>
        </w:numPr>
        <w:tabs>
          <w:tab w:val="clear" w:pos="720"/>
        </w:tabs>
        <w:rPr>
          <w:sz w:val="24"/>
          <w:szCs w:val="24"/>
        </w:rPr>
      </w:pPr>
      <w:r w:rsidRPr="002A49C7">
        <w:rPr>
          <w:sz w:val="24"/>
          <w:szCs w:val="24"/>
        </w:rPr>
        <w:t>The total number of DOT-111 tank cars (including those built to CPC-1232 industry standard) that have not been modified;</w:t>
      </w:r>
      <w:r w:rsidR="007439D4">
        <w:rPr>
          <w:sz w:val="24"/>
          <w:szCs w:val="24"/>
        </w:rPr>
        <w:t xml:space="preserve"> and </w:t>
      </w:r>
    </w:p>
    <w:p w:rsidR="002A49C7" w:rsidRPr="002A49C7" w:rsidP="004B2277" w14:paraId="2361960D" w14:textId="77777777">
      <w:pPr>
        <w:numPr>
          <w:ilvl w:val="0"/>
          <w:numId w:val="11"/>
        </w:numPr>
        <w:tabs>
          <w:tab w:val="clear" w:pos="720"/>
        </w:tabs>
        <w:rPr>
          <w:sz w:val="24"/>
          <w:szCs w:val="24"/>
        </w:rPr>
      </w:pPr>
      <w:r w:rsidRPr="002A49C7">
        <w:rPr>
          <w:sz w:val="24"/>
          <w:szCs w:val="24"/>
        </w:rPr>
        <w:t>The total number of tank cars built to meet the DOT-117 specification</w:t>
      </w:r>
      <w:r w:rsidR="007439D4">
        <w:rPr>
          <w:sz w:val="24"/>
          <w:szCs w:val="24"/>
        </w:rPr>
        <w:t>.</w:t>
      </w:r>
    </w:p>
    <w:p w:rsidR="00E82363" w:rsidP="004B2277" w14:paraId="71C63BF3" w14:textId="77777777">
      <w:pPr>
        <w:rPr>
          <w:sz w:val="24"/>
          <w:szCs w:val="24"/>
        </w:rPr>
      </w:pPr>
    </w:p>
    <w:p w:rsidR="00A05162" w:rsidP="004B2277" w14:paraId="5CF6C134" w14:textId="3E7DF0B2">
      <w:pPr>
        <w:rPr>
          <w:sz w:val="24"/>
          <w:szCs w:val="24"/>
        </w:rPr>
      </w:pPr>
      <w:r w:rsidRPr="2DA08347">
        <w:rPr>
          <w:sz w:val="24"/>
          <w:szCs w:val="24"/>
        </w:rPr>
        <w:t xml:space="preserve">PHMSA </w:t>
      </w:r>
      <w:r w:rsidRPr="2DA08347" w:rsidR="007479D1">
        <w:rPr>
          <w:sz w:val="24"/>
          <w:szCs w:val="24"/>
        </w:rPr>
        <w:t xml:space="preserve">uses this information </w:t>
      </w:r>
      <w:r w:rsidRPr="2DA08347">
        <w:rPr>
          <w:sz w:val="24"/>
          <w:szCs w:val="24"/>
        </w:rPr>
        <w:t>to ensure that the transition of tank cars to the new specification occur</w:t>
      </w:r>
      <w:r w:rsidRPr="2DA08347" w:rsidR="00BD6E26">
        <w:rPr>
          <w:sz w:val="24"/>
          <w:szCs w:val="24"/>
        </w:rPr>
        <w:t>s</w:t>
      </w:r>
      <w:r w:rsidRPr="2DA08347">
        <w:rPr>
          <w:sz w:val="24"/>
          <w:szCs w:val="24"/>
        </w:rPr>
        <w:t xml:space="preserve"> in a timely manner.</w:t>
      </w:r>
      <w:r w:rsidR="00341502">
        <w:rPr>
          <w:sz w:val="24"/>
          <w:szCs w:val="24"/>
        </w:rPr>
        <w:t xml:space="preserve"> </w:t>
      </w:r>
      <w:r w:rsidR="00337C0E">
        <w:rPr>
          <w:sz w:val="24"/>
          <w:szCs w:val="24"/>
        </w:rPr>
        <w:t xml:space="preserve"> </w:t>
      </w:r>
      <w:r w:rsidR="00341502">
        <w:rPr>
          <w:sz w:val="24"/>
          <w:szCs w:val="24"/>
        </w:rPr>
        <w:t>These reports are compiled by th</w:t>
      </w:r>
      <w:r w:rsidR="00872D5C">
        <w:rPr>
          <w:sz w:val="24"/>
          <w:szCs w:val="24"/>
        </w:rPr>
        <w:t xml:space="preserve">e </w:t>
      </w:r>
      <w:r w:rsidR="00341502">
        <w:rPr>
          <w:sz w:val="24"/>
          <w:szCs w:val="24"/>
        </w:rPr>
        <w:t>AAR and submitted to the FRA and PHMSA.</w:t>
      </w:r>
    </w:p>
    <w:p w:rsidR="002C631E" w:rsidP="004B2277" w14:paraId="015EBF56" w14:textId="77777777">
      <w:pPr>
        <w:rPr>
          <w:sz w:val="24"/>
          <w:szCs w:val="24"/>
        </w:rPr>
      </w:pPr>
    </w:p>
    <w:p w:rsidR="002C631E" w:rsidP="000B4715" w14:paraId="2ADEF8BF" w14:textId="51327FE2">
      <w:pPr>
        <w:keepNext/>
        <w:keepLines/>
        <w:rPr>
          <w:sz w:val="24"/>
          <w:szCs w:val="24"/>
          <w:u w:val="single"/>
        </w:rPr>
      </w:pPr>
      <w:r w:rsidRPr="004A4F84">
        <w:rPr>
          <w:sz w:val="24"/>
          <w:szCs w:val="24"/>
          <w:u w:val="single"/>
        </w:rPr>
        <w:t xml:space="preserve">49 CFR </w:t>
      </w:r>
      <w:r w:rsidRPr="004A4F84" w:rsidR="007439D4">
        <w:rPr>
          <w:sz w:val="24"/>
          <w:szCs w:val="24"/>
          <w:u w:val="single"/>
        </w:rPr>
        <w:t xml:space="preserve">Part </w:t>
      </w:r>
      <w:r w:rsidRPr="004A4F84">
        <w:rPr>
          <w:sz w:val="24"/>
          <w:szCs w:val="24"/>
          <w:u w:val="single"/>
        </w:rPr>
        <w:t xml:space="preserve">174.312: </w:t>
      </w:r>
      <w:r w:rsidRPr="004A4F84" w:rsidR="007439D4">
        <w:rPr>
          <w:sz w:val="24"/>
          <w:szCs w:val="24"/>
          <w:u w:val="single"/>
        </w:rPr>
        <w:t xml:space="preserve"> HHFT information sharing notificat</w:t>
      </w:r>
      <w:r w:rsidRPr="000A4202" w:rsidR="007439D4">
        <w:rPr>
          <w:sz w:val="24"/>
          <w:szCs w:val="24"/>
          <w:u w:val="single"/>
        </w:rPr>
        <w:t>ion for emergency response plan</w:t>
      </w:r>
      <w:r w:rsidRPr="004A4F84" w:rsidR="007439D4">
        <w:rPr>
          <w:sz w:val="24"/>
          <w:szCs w:val="24"/>
          <w:u w:val="single"/>
        </w:rPr>
        <w:t>ning</w:t>
      </w:r>
    </w:p>
    <w:p w:rsidR="007439D4" w:rsidP="000B4715" w14:paraId="46F97B33" w14:textId="77777777">
      <w:pPr>
        <w:keepNext/>
        <w:keepLines/>
        <w:rPr>
          <w:sz w:val="24"/>
          <w:szCs w:val="24"/>
          <w:u w:val="single"/>
        </w:rPr>
      </w:pPr>
    </w:p>
    <w:p w:rsidR="007439D4" w:rsidP="004B2277" w14:paraId="6BF82143" w14:textId="01B9DC99">
      <w:pPr>
        <w:rPr>
          <w:sz w:val="24"/>
          <w:szCs w:val="24"/>
        </w:rPr>
      </w:pPr>
      <w:r w:rsidRPr="32E8BC75">
        <w:rPr>
          <w:sz w:val="24"/>
          <w:szCs w:val="24"/>
        </w:rPr>
        <w:t>Section 174.312 requires railroads operating HHFT to notify each State Emergency Response Commission (SERC), Tribal Emergency Response Commission (TERC), or other appropriate state-delegated agency with the following information:</w:t>
      </w:r>
    </w:p>
    <w:p w:rsidR="007439D4" w:rsidP="004B2277" w14:paraId="292105AC" w14:textId="77777777">
      <w:pPr>
        <w:rPr>
          <w:sz w:val="24"/>
          <w:szCs w:val="24"/>
        </w:rPr>
      </w:pPr>
    </w:p>
    <w:p w:rsidR="007439D4" w:rsidRPr="007439D4" w:rsidP="004B2277" w14:paraId="72E3548C" w14:textId="52507E25">
      <w:pPr>
        <w:numPr>
          <w:ilvl w:val="0"/>
          <w:numId w:val="18"/>
        </w:numPr>
        <w:rPr>
          <w:sz w:val="24"/>
          <w:szCs w:val="24"/>
        </w:rPr>
      </w:pPr>
      <w:r w:rsidRPr="32E8BC75">
        <w:rPr>
          <w:sz w:val="24"/>
          <w:szCs w:val="24"/>
        </w:rPr>
        <w:t>A reasonable estimate of the number of HHFTs that the railroad expects to operate each week, through each county within the state or through each tribal jurisdiction;</w:t>
      </w:r>
    </w:p>
    <w:p w:rsidR="007439D4" w:rsidRPr="007439D4" w:rsidP="004B2277" w14:paraId="162F807D" w14:textId="77777777">
      <w:pPr>
        <w:numPr>
          <w:ilvl w:val="0"/>
          <w:numId w:val="18"/>
        </w:numPr>
        <w:rPr>
          <w:sz w:val="24"/>
          <w:szCs w:val="24"/>
        </w:rPr>
      </w:pPr>
      <w:r w:rsidRPr="007439D4">
        <w:rPr>
          <w:sz w:val="24"/>
          <w:szCs w:val="24"/>
        </w:rPr>
        <w:t>The routes over which the HHFTs will operate;</w:t>
      </w:r>
    </w:p>
    <w:p w:rsidR="007439D4" w:rsidRPr="007439D4" w:rsidP="004B2277" w14:paraId="3760F82E" w14:textId="6D621BB7">
      <w:pPr>
        <w:numPr>
          <w:ilvl w:val="0"/>
          <w:numId w:val="18"/>
        </w:numPr>
        <w:rPr>
          <w:sz w:val="24"/>
          <w:szCs w:val="24"/>
        </w:rPr>
      </w:pPr>
      <w:r w:rsidRPr="2DA08347">
        <w:rPr>
          <w:sz w:val="24"/>
          <w:szCs w:val="24"/>
        </w:rPr>
        <w:t xml:space="preserve">A description of the hazardous materials being </w:t>
      </w:r>
      <w:r w:rsidRPr="2DA08347" w:rsidR="00FC1467">
        <w:rPr>
          <w:sz w:val="24"/>
          <w:szCs w:val="24"/>
        </w:rPr>
        <w:t>transported,</w:t>
      </w:r>
      <w:r w:rsidRPr="2DA08347">
        <w:rPr>
          <w:sz w:val="24"/>
          <w:szCs w:val="24"/>
        </w:rPr>
        <w:t xml:space="preserve"> and all applicable emergency response information required by subparts C and G of part 172 of th</w:t>
      </w:r>
      <w:r w:rsidRPr="2DA08347" w:rsidR="628B3A72">
        <w:rPr>
          <w:sz w:val="24"/>
          <w:szCs w:val="24"/>
        </w:rPr>
        <w:t>e HMR</w:t>
      </w:r>
      <w:r w:rsidRPr="2DA08347">
        <w:rPr>
          <w:sz w:val="24"/>
          <w:szCs w:val="24"/>
        </w:rPr>
        <w:t>;</w:t>
      </w:r>
    </w:p>
    <w:p w:rsidR="007439D4" w:rsidRPr="007439D4" w:rsidP="004B2277" w14:paraId="1E1DBC1A" w14:textId="36069143">
      <w:pPr>
        <w:numPr>
          <w:ilvl w:val="0"/>
          <w:numId w:val="18"/>
        </w:numPr>
        <w:rPr>
          <w:sz w:val="24"/>
          <w:szCs w:val="24"/>
        </w:rPr>
      </w:pPr>
      <w:r w:rsidRPr="32E8BC75">
        <w:rPr>
          <w:sz w:val="24"/>
          <w:szCs w:val="24"/>
        </w:rPr>
        <w:t xml:space="preserve">An HHFT point of contact: </w:t>
      </w:r>
      <w:r w:rsidR="00337C0E">
        <w:rPr>
          <w:sz w:val="24"/>
          <w:szCs w:val="24"/>
        </w:rPr>
        <w:t xml:space="preserve"> </w:t>
      </w:r>
      <w:r w:rsidRPr="32E8BC75">
        <w:rPr>
          <w:sz w:val="24"/>
          <w:szCs w:val="24"/>
        </w:rPr>
        <w:t>At least one point of contact at the railroad (including name or email address, title, phone number and address) who has knowledge of the railroad's transportation of affected trains and who is responsible for serving as the point of contact for the SERC, TERC, or other State or tribal agency responsible for receiving the information; and</w:t>
      </w:r>
    </w:p>
    <w:p w:rsidR="007439D4" w:rsidRPr="007439D4" w:rsidP="2DA08347" w14:paraId="75C5FE8B" w14:textId="1E46F0B0">
      <w:pPr>
        <w:numPr>
          <w:ilvl w:val="0"/>
          <w:numId w:val="18"/>
        </w:numPr>
        <w:rPr>
          <w:sz w:val="24"/>
          <w:szCs w:val="24"/>
        </w:rPr>
      </w:pPr>
      <w:r w:rsidRPr="32E8BC75">
        <w:rPr>
          <w:sz w:val="24"/>
          <w:szCs w:val="24"/>
        </w:rPr>
        <w:t xml:space="preserve">If a route identified in paragraph (b)(2) of </w:t>
      </w:r>
      <w:r w:rsidRPr="32E8BC75" w:rsidR="20F65948">
        <w:rPr>
          <w:sz w:val="24"/>
          <w:szCs w:val="24"/>
        </w:rPr>
        <w:t>§</w:t>
      </w:r>
      <w:r w:rsidR="000A6501">
        <w:rPr>
          <w:sz w:val="24"/>
          <w:szCs w:val="24"/>
        </w:rPr>
        <w:t> </w:t>
      </w:r>
      <w:r w:rsidRPr="32E8BC75" w:rsidR="20F65948">
        <w:rPr>
          <w:sz w:val="24"/>
          <w:szCs w:val="24"/>
        </w:rPr>
        <w:t>17</w:t>
      </w:r>
      <w:r w:rsidRPr="32E8BC75" w:rsidR="50DF876D">
        <w:rPr>
          <w:sz w:val="24"/>
          <w:szCs w:val="24"/>
        </w:rPr>
        <w:t>4</w:t>
      </w:r>
      <w:r w:rsidRPr="32E8BC75" w:rsidR="20F65948">
        <w:rPr>
          <w:sz w:val="24"/>
          <w:szCs w:val="24"/>
        </w:rPr>
        <w:t>.412</w:t>
      </w:r>
      <w:r w:rsidRPr="32E8BC75">
        <w:rPr>
          <w:sz w:val="24"/>
          <w:szCs w:val="24"/>
        </w:rPr>
        <w:t xml:space="preserve"> is additionally subject to the comprehensive spill plan requirements in subpart C of part 130 of </w:t>
      </w:r>
      <w:r w:rsidRPr="32E8BC75" w:rsidR="14EE360B">
        <w:rPr>
          <w:sz w:val="24"/>
          <w:szCs w:val="24"/>
        </w:rPr>
        <w:t>the HMR</w:t>
      </w:r>
      <w:r w:rsidRPr="32E8BC75">
        <w:rPr>
          <w:sz w:val="24"/>
          <w:szCs w:val="24"/>
        </w:rPr>
        <w:t>, the information must include a description of the response zones (including counties and states) and the contact information for the qualified individual and alternate as specified under §</w:t>
      </w:r>
      <w:r w:rsidR="00FD13FB">
        <w:rPr>
          <w:sz w:val="24"/>
          <w:szCs w:val="24"/>
        </w:rPr>
        <w:t> </w:t>
      </w:r>
      <w:r w:rsidRPr="32E8BC75">
        <w:rPr>
          <w:sz w:val="24"/>
          <w:szCs w:val="24"/>
        </w:rPr>
        <w:t>130.120(c).</w:t>
      </w:r>
    </w:p>
    <w:p w:rsidR="007439D4" w:rsidP="004B2277" w14:paraId="47C3172D" w14:textId="77777777">
      <w:pPr>
        <w:rPr>
          <w:sz w:val="24"/>
          <w:szCs w:val="24"/>
        </w:rPr>
      </w:pPr>
    </w:p>
    <w:p w:rsidR="007439D4" w:rsidRPr="000A4202" w:rsidP="004B2277" w14:paraId="225CFCC8" w14:textId="77777777">
      <w:pPr>
        <w:rPr>
          <w:sz w:val="24"/>
          <w:szCs w:val="24"/>
        </w:rPr>
      </w:pPr>
      <w:r w:rsidRPr="000A4202">
        <w:rPr>
          <w:sz w:val="24"/>
          <w:szCs w:val="24"/>
        </w:rPr>
        <w:t>The HHFT notification must be maintained and transmitted in accordance with the following:</w:t>
      </w:r>
    </w:p>
    <w:p w:rsidR="007439D4" w:rsidRPr="007439D4" w:rsidP="004B2277" w14:paraId="645A398E" w14:textId="77777777">
      <w:pPr>
        <w:rPr>
          <w:sz w:val="24"/>
          <w:szCs w:val="24"/>
        </w:rPr>
      </w:pPr>
    </w:p>
    <w:p w:rsidR="007439D4" w:rsidRPr="007439D4" w:rsidP="004B2277" w14:paraId="745EDF90" w14:textId="77777777">
      <w:pPr>
        <w:numPr>
          <w:ilvl w:val="0"/>
          <w:numId w:val="18"/>
        </w:numPr>
        <w:rPr>
          <w:sz w:val="24"/>
          <w:szCs w:val="24"/>
        </w:rPr>
      </w:pPr>
      <w:r w:rsidRPr="007439D4">
        <w:rPr>
          <w:sz w:val="24"/>
          <w:szCs w:val="24"/>
        </w:rPr>
        <w:t>Railroads must update the notifications for changes in volume greater than 25%.</w:t>
      </w:r>
    </w:p>
    <w:p w:rsidR="007439D4" w:rsidRPr="007439D4" w:rsidP="004B2277" w14:paraId="76B3957D" w14:textId="77777777">
      <w:pPr>
        <w:numPr>
          <w:ilvl w:val="0"/>
          <w:numId w:val="18"/>
        </w:numPr>
        <w:rPr>
          <w:sz w:val="24"/>
          <w:szCs w:val="24"/>
        </w:rPr>
      </w:pPr>
      <w:r w:rsidRPr="007439D4">
        <w:rPr>
          <w:sz w:val="24"/>
          <w:szCs w:val="24"/>
        </w:rPr>
        <w:t>Notifications and updates may be transmitted electronically or by hard copy.</w:t>
      </w:r>
    </w:p>
    <w:p w:rsidR="007439D4" w:rsidRPr="007439D4" w:rsidP="004B2277" w14:paraId="627AD81D" w14:textId="50B3DD55">
      <w:pPr>
        <w:numPr>
          <w:ilvl w:val="0"/>
          <w:numId w:val="18"/>
        </w:numPr>
        <w:rPr>
          <w:sz w:val="24"/>
          <w:szCs w:val="24"/>
        </w:rPr>
      </w:pPr>
      <w:r w:rsidRPr="007439D4">
        <w:rPr>
          <w:sz w:val="24"/>
          <w:szCs w:val="24"/>
        </w:rPr>
        <w:t xml:space="preserve">If the disclosure includes information that a railroad believes is security sensitive or proprietary </w:t>
      </w:r>
      <w:r w:rsidRPr="4084E444" w:rsidR="364AB944">
        <w:rPr>
          <w:sz w:val="24"/>
          <w:szCs w:val="24"/>
        </w:rPr>
        <w:t xml:space="preserve">information </w:t>
      </w:r>
      <w:r w:rsidRPr="007439D4">
        <w:rPr>
          <w:sz w:val="24"/>
          <w:szCs w:val="24"/>
        </w:rPr>
        <w:t>and exempt from public disclosure, the railroad should indicate that in the notification.</w:t>
      </w:r>
    </w:p>
    <w:p w:rsidR="007439D4" w:rsidRPr="007439D4" w:rsidP="004B2277" w14:paraId="1DC1CC8B" w14:textId="77777777">
      <w:pPr>
        <w:numPr>
          <w:ilvl w:val="0"/>
          <w:numId w:val="18"/>
        </w:numPr>
        <w:rPr>
          <w:sz w:val="24"/>
          <w:szCs w:val="24"/>
        </w:rPr>
      </w:pPr>
      <w:r w:rsidRPr="007439D4">
        <w:rPr>
          <w:sz w:val="24"/>
          <w:szCs w:val="24"/>
        </w:rPr>
        <w:t>Each point of contact must be clearly identified by name or title, and contact role (e.g., qualified individual, HHFT point of contact) in association with the telephone number. One point of contact may fulfill multiple roles.</w:t>
      </w:r>
    </w:p>
    <w:p w:rsidR="007439D4" w:rsidRPr="000A4202" w:rsidP="004B2277" w14:paraId="2ED0BB93" w14:textId="228C4836">
      <w:pPr>
        <w:numPr>
          <w:ilvl w:val="0"/>
          <w:numId w:val="18"/>
        </w:numPr>
        <w:rPr>
          <w:sz w:val="24"/>
          <w:szCs w:val="24"/>
        </w:rPr>
      </w:pPr>
      <w:r w:rsidRPr="2DA08347">
        <w:rPr>
          <w:sz w:val="24"/>
          <w:szCs w:val="24"/>
        </w:rPr>
        <w:t xml:space="preserve">Copies of the railroad's notifications made under </w:t>
      </w:r>
      <w:r w:rsidRPr="0040336C" w:rsidR="0040336C">
        <w:rPr>
          <w:sz w:val="24"/>
          <w:szCs w:val="24"/>
        </w:rPr>
        <w:t>§</w:t>
      </w:r>
      <w:r w:rsidR="00FD13FB">
        <w:rPr>
          <w:sz w:val="24"/>
          <w:szCs w:val="24"/>
        </w:rPr>
        <w:t> </w:t>
      </w:r>
      <w:r w:rsidRPr="0040336C" w:rsidR="0040336C">
        <w:rPr>
          <w:sz w:val="24"/>
          <w:szCs w:val="24"/>
        </w:rPr>
        <w:t>174.412</w:t>
      </w:r>
      <w:r w:rsidR="0040336C">
        <w:rPr>
          <w:sz w:val="24"/>
          <w:szCs w:val="24"/>
        </w:rPr>
        <w:t xml:space="preserve"> </w:t>
      </w:r>
      <w:r w:rsidRPr="2DA08347">
        <w:rPr>
          <w:sz w:val="24"/>
          <w:szCs w:val="24"/>
        </w:rPr>
        <w:t>must be made available to the Department of Transportation upon request.</w:t>
      </w:r>
    </w:p>
    <w:p w:rsidR="00180362" w:rsidP="004B2277" w14:paraId="051F6BF1" w14:textId="77777777">
      <w:pPr>
        <w:rPr>
          <w:sz w:val="24"/>
          <w:szCs w:val="24"/>
        </w:rPr>
      </w:pPr>
    </w:p>
    <w:p w:rsidR="007567D8" w:rsidRPr="007567D8" w:rsidP="004B2277" w14:paraId="217CA756" w14:textId="77777777">
      <w:pPr>
        <w:rPr>
          <w:sz w:val="24"/>
          <w:szCs w:val="24"/>
        </w:rPr>
      </w:pPr>
      <w:r w:rsidRPr="007567D8">
        <w:rPr>
          <w:sz w:val="24"/>
          <w:szCs w:val="24"/>
        </w:rPr>
        <w:t>3.</w:t>
      </w:r>
      <w:r w:rsidR="007439D4">
        <w:rPr>
          <w:sz w:val="24"/>
          <w:szCs w:val="24"/>
        </w:rPr>
        <w:tab/>
      </w:r>
      <w:r w:rsidRPr="0062027C">
        <w:rPr>
          <w:sz w:val="24"/>
          <w:szCs w:val="24"/>
          <w:u w:val="single"/>
        </w:rPr>
        <w:t>Extent of automated information collection</w:t>
      </w:r>
      <w:r w:rsidRPr="007567D8">
        <w:rPr>
          <w:sz w:val="24"/>
          <w:szCs w:val="24"/>
        </w:rPr>
        <w:t xml:space="preserve">.  </w:t>
      </w:r>
    </w:p>
    <w:p w:rsidR="007567D8" w:rsidRPr="007567D8" w:rsidP="004B2277" w14:paraId="462C5D37" w14:textId="77777777">
      <w:pPr>
        <w:rPr>
          <w:sz w:val="24"/>
          <w:szCs w:val="24"/>
        </w:rPr>
      </w:pPr>
    </w:p>
    <w:p w:rsidR="00676D18" w:rsidP="004B2277" w14:paraId="2F00F20E" w14:textId="0A6798D5">
      <w:pPr>
        <w:rPr>
          <w:sz w:val="24"/>
          <w:szCs w:val="24"/>
        </w:rPr>
      </w:pPr>
      <w:r w:rsidRPr="32E8BC75">
        <w:rPr>
          <w:sz w:val="24"/>
          <w:szCs w:val="24"/>
        </w:rPr>
        <w:t xml:space="preserve">PHMSA has made this </w:t>
      </w:r>
      <w:r w:rsidRPr="32E8BC75" w:rsidR="2FCDD90F">
        <w:rPr>
          <w:sz w:val="24"/>
          <w:szCs w:val="24"/>
        </w:rPr>
        <w:t>burden as simple as possible</w:t>
      </w:r>
      <w:r w:rsidRPr="32E8BC75" w:rsidR="01C33D52">
        <w:rPr>
          <w:sz w:val="24"/>
          <w:szCs w:val="24"/>
        </w:rPr>
        <w:t xml:space="preserve"> and requests</w:t>
      </w:r>
      <w:r w:rsidRPr="32E8BC75" w:rsidR="2FCDD90F">
        <w:rPr>
          <w:sz w:val="24"/>
          <w:szCs w:val="24"/>
        </w:rPr>
        <w:t xml:space="preserve"> information </w:t>
      </w:r>
      <w:r w:rsidRPr="32E8BC75" w:rsidR="01C33D52">
        <w:rPr>
          <w:sz w:val="24"/>
          <w:szCs w:val="24"/>
        </w:rPr>
        <w:t xml:space="preserve">that </w:t>
      </w:r>
      <w:r w:rsidRPr="32E8BC75" w:rsidR="2FCDD90F">
        <w:rPr>
          <w:sz w:val="24"/>
          <w:szCs w:val="24"/>
        </w:rPr>
        <w:t xml:space="preserve">is necessary to ensure safe operation. </w:t>
      </w:r>
      <w:r w:rsidR="00860E21">
        <w:rPr>
          <w:sz w:val="24"/>
          <w:szCs w:val="24"/>
        </w:rPr>
        <w:t xml:space="preserve"> </w:t>
      </w:r>
      <w:r w:rsidRPr="32E8BC75" w:rsidR="01C33D52">
        <w:rPr>
          <w:sz w:val="24"/>
          <w:szCs w:val="24"/>
        </w:rPr>
        <w:t>Specifically, this i</w:t>
      </w:r>
      <w:r w:rsidRPr="32E8BC75" w:rsidR="2FCDD90F">
        <w:rPr>
          <w:sz w:val="24"/>
          <w:szCs w:val="24"/>
        </w:rPr>
        <w:t xml:space="preserve">nformation is considered critical in ensuring that rail cars containing crude oil are transported safely. </w:t>
      </w:r>
      <w:r w:rsidR="00860E21">
        <w:rPr>
          <w:sz w:val="24"/>
          <w:szCs w:val="24"/>
        </w:rPr>
        <w:t xml:space="preserve"> </w:t>
      </w:r>
      <w:r w:rsidRPr="32E8BC75" w:rsidR="2FCDD90F">
        <w:rPr>
          <w:sz w:val="24"/>
          <w:szCs w:val="24"/>
        </w:rPr>
        <w:t xml:space="preserve">The Government Paperwork Elimination Act directs agencies to allow the option of electronic filing and recordkeeping by October 2003, when practicable. </w:t>
      </w:r>
      <w:r w:rsidR="00860E21">
        <w:rPr>
          <w:sz w:val="24"/>
          <w:szCs w:val="24"/>
        </w:rPr>
        <w:t xml:space="preserve"> </w:t>
      </w:r>
      <w:r w:rsidRPr="32E8BC75" w:rsidR="1BA965C8">
        <w:rPr>
          <w:sz w:val="24"/>
          <w:szCs w:val="24"/>
        </w:rPr>
        <w:t>PHMSA and the FRA authorize e</w:t>
      </w:r>
      <w:r w:rsidRPr="32E8BC75" w:rsidR="2FCDD90F">
        <w:rPr>
          <w:sz w:val="24"/>
          <w:szCs w:val="24"/>
        </w:rPr>
        <w:t xml:space="preserve">lectronic filing and recordkeeping although these records must be </w:t>
      </w:r>
      <w:r w:rsidRPr="3EC31CDF" w:rsidR="2FCDD90F">
        <w:rPr>
          <w:sz w:val="24"/>
          <w:szCs w:val="24"/>
        </w:rPr>
        <w:t xml:space="preserve">made </w:t>
      </w:r>
      <w:r w:rsidRPr="32E8BC75" w:rsidR="5D8FCBF3">
        <w:rPr>
          <w:sz w:val="24"/>
          <w:szCs w:val="24"/>
        </w:rPr>
        <w:t>available upon request</w:t>
      </w:r>
      <w:r w:rsidRPr="32E8BC75" w:rsidR="2FCDD90F">
        <w:rPr>
          <w:sz w:val="24"/>
          <w:szCs w:val="24"/>
        </w:rPr>
        <w:t>.</w:t>
      </w:r>
    </w:p>
    <w:p w:rsidR="00180362" w:rsidP="004B2277" w14:paraId="4D713E9C" w14:textId="77777777">
      <w:pPr>
        <w:rPr>
          <w:sz w:val="24"/>
          <w:szCs w:val="24"/>
        </w:rPr>
      </w:pPr>
    </w:p>
    <w:p w:rsidR="00991017" w:rsidRPr="007133B3" w:rsidP="004B2277" w14:paraId="0C7BBE57" w14:textId="77777777">
      <w:pPr>
        <w:rPr>
          <w:sz w:val="24"/>
          <w:szCs w:val="24"/>
        </w:rPr>
      </w:pPr>
      <w:r w:rsidRPr="007133B3">
        <w:rPr>
          <w:sz w:val="24"/>
          <w:szCs w:val="24"/>
        </w:rPr>
        <w:t>4.</w:t>
      </w:r>
      <w:r w:rsidRPr="007133B3">
        <w:rPr>
          <w:sz w:val="24"/>
          <w:szCs w:val="24"/>
        </w:rPr>
        <w:tab/>
      </w:r>
      <w:r w:rsidRPr="007133B3">
        <w:rPr>
          <w:sz w:val="24"/>
          <w:szCs w:val="24"/>
          <w:u w:val="single"/>
        </w:rPr>
        <w:t>Efforts to identify duplication.</w:t>
      </w:r>
    </w:p>
    <w:p w:rsidR="00991017" w:rsidRPr="007133B3" w:rsidP="004B2277" w14:paraId="0241D704" w14:textId="77777777">
      <w:pPr>
        <w:rPr>
          <w:sz w:val="24"/>
          <w:szCs w:val="24"/>
        </w:rPr>
      </w:pPr>
    </w:p>
    <w:p w:rsidR="00991017" w:rsidP="004B2277" w14:paraId="32E26BE7" w14:textId="78256C74">
      <w:pPr>
        <w:rPr>
          <w:sz w:val="24"/>
          <w:szCs w:val="24"/>
        </w:rPr>
      </w:pPr>
      <w:r w:rsidRPr="32E8BC75">
        <w:rPr>
          <w:sz w:val="24"/>
          <w:szCs w:val="24"/>
        </w:rPr>
        <w:t xml:space="preserve">There is no duplication as the information is unique to specific situations. </w:t>
      </w:r>
      <w:r w:rsidR="00860E21">
        <w:rPr>
          <w:sz w:val="24"/>
          <w:szCs w:val="24"/>
        </w:rPr>
        <w:t xml:space="preserve"> </w:t>
      </w:r>
      <w:r w:rsidRPr="32E8BC75">
        <w:rPr>
          <w:sz w:val="24"/>
          <w:szCs w:val="24"/>
        </w:rPr>
        <w:t>Each response is unique</w:t>
      </w:r>
      <w:r w:rsidRPr="32E8BC75" w:rsidR="6DAD1A59">
        <w:rPr>
          <w:sz w:val="24"/>
          <w:szCs w:val="24"/>
        </w:rPr>
        <w:t>,</w:t>
      </w:r>
      <w:r w:rsidRPr="32E8BC75">
        <w:rPr>
          <w:sz w:val="24"/>
          <w:szCs w:val="24"/>
        </w:rPr>
        <w:t xml:space="preserve"> and information derived from one may not be inferred to another.</w:t>
      </w:r>
      <w:r w:rsidRPr="32E8BC75" w:rsidR="5D9FC4EF">
        <w:rPr>
          <w:sz w:val="24"/>
          <w:szCs w:val="24"/>
        </w:rPr>
        <w:t xml:space="preserve"> </w:t>
      </w:r>
      <w:r w:rsidR="00860E21">
        <w:rPr>
          <w:sz w:val="24"/>
          <w:szCs w:val="24"/>
        </w:rPr>
        <w:t xml:space="preserve"> </w:t>
      </w:r>
      <w:r w:rsidRPr="32E8BC75" w:rsidR="5D9FC4EF">
        <w:rPr>
          <w:sz w:val="24"/>
          <w:szCs w:val="24"/>
        </w:rPr>
        <w:t xml:space="preserve">PHMSA has </w:t>
      </w:r>
      <w:r w:rsidRPr="32E8BC75" w:rsidR="245D0BB1">
        <w:rPr>
          <w:sz w:val="24"/>
          <w:szCs w:val="24"/>
        </w:rPr>
        <w:t xml:space="preserve">attempted </w:t>
      </w:r>
      <w:r w:rsidRPr="32E8BC75" w:rsidR="5D9FC4EF">
        <w:rPr>
          <w:sz w:val="24"/>
          <w:szCs w:val="24"/>
        </w:rPr>
        <w:t xml:space="preserve">to avoid duplication, while still ensuring that all requirements comply with applicable state requirements. </w:t>
      </w:r>
    </w:p>
    <w:p w:rsidR="00180362" w:rsidP="004B2277" w14:paraId="7578DFF2" w14:textId="77777777">
      <w:pPr>
        <w:rPr>
          <w:sz w:val="24"/>
          <w:szCs w:val="24"/>
        </w:rPr>
      </w:pPr>
    </w:p>
    <w:p w:rsidR="00991017" w:rsidRPr="007133B3" w:rsidP="004B2277" w14:paraId="3934464B" w14:textId="77777777">
      <w:pPr>
        <w:rPr>
          <w:sz w:val="24"/>
          <w:szCs w:val="24"/>
        </w:rPr>
      </w:pPr>
      <w:r w:rsidRPr="007133B3">
        <w:rPr>
          <w:sz w:val="24"/>
          <w:szCs w:val="24"/>
        </w:rPr>
        <w:t>5.</w:t>
      </w:r>
      <w:r w:rsidRPr="007133B3">
        <w:rPr>
          <w:sz w:val="24"/>
          <w:szCs w:val="24"/>
        </w:rPr>
        <w:tab/>
      </w:r>
      <w:r w:rsidRPr="007133B3" w:rsidR="00013785">
        <w:rPr>
          <w:sz w:val="24"/>
          <w:szCs w:val="24"/>
          <w:u w:val="single"/>
        </w:rPr>
        <w:t>Efforts</w:t>
      </w:r>
      <w:r w:rsidRPr="007133B3">
        <w:rPr>
          <w:sz w:val="24"/>
          <w:szCs w:val="24"/>
          <w:u w:val="single"/>
        </w:rPr>
        <w:t xml:space="preserve"> to minimize </w:t>
      </w:r>
      <w:r w:rsidRPr="007133B3" w:rsidR="00013785">
        <w:rPr>
          <w:sz w:val="24"/>
          <w:szCs w:val="24"/>
          <w:u w:val="single"/>
        </w:rPr>
        <w:t xml:space="preserve">the </w:t>
      </w:r>
      <w:r w:rsidRPr="007133B3">
        <w:rPr>
          <w:sz w:val="24"/>
          <w:szCs w:val="24"/>
          <w:u w:val="single"/>
        </w:rPr>
        <w:t>burden on small businesses</w:t>
      </w:r>
      <w:r w:rsidRPr="007133B3" w:rsidR="00013785">
        <w:rPr>
          <w:sz w:val="24"/>
          <w:szCs w:val="24"/>
          <w:u w:val="single"/>
        </w:rPr>
        <w:t>.</w:t>
      </w:r>
      <w:r w:rsidRPr="007133B3">
        <w:rPr>
          <w:sz w:val="24"/>
          <w:szCs w:val="24"/>
        </w:rPr>
        <w:t xml:space="preserve"> </w:t>
      </w:r>
    </w:p>
    <w:p w:rsidR="00991017" w:rsidRPr="007133B3" w:rsidP="004B2277" w14:paraId="25797CFF" w14:textId="77777777">
      <w:pPr>
        <w:rPr>
          <w:sz w:val="24"/>
          <w:szCs w:val="24"/>
        </w:rPr>
      </w:pPr>
    </w:p>
    <w:p w:rsidR="003846D3" w:rsidP="004B2277" w14:paraId="40BCFCA2" w14:textId="77777777">
      <w:pPr>
        <w:rPr>
          <w:sz w:val="24"/>
          <w:szCs w:val="24"/>
        </w:rPr>
      </w:pPr>
      <w:r>
        <w:rPr>
          <w:sz w:val="24"/>
          <w:szCs w:val="24"/>
        </w:rPr>
        <w:t>PHMSA periodically reviews t</w:t>
      </w:r>
      <w:r w:rsidRPr="00A30804" w:rsidR="00A30804">
        <w:rPr>
          <w:sz w:val="24"/>
          <w:szCs w:val="24"/>
        </w:rPr>
        <w:t>he collection of this information to ensure that the amount of information needed is kept to a minimum.</w:t>
      </w:r>
    </w:p>
    <w:p w:rsidR="00180362" w:rsidP="004B2277" w14:paraId="56762F21" w14:textId="77777777">
      <w:pPr>
        <w:rPr>
          <w:sz w:val="24"/>
          <w:szCs w:val="24"/>
        </w:rPr>
      </w:pPr>
    </w:p>
    <w:p w:rsidR="00991017" w:rsidRPr="007133B3" w:rsidP="004B2277" w14:paraId="0EFAF3CF" w14:textId="77777777">
      <w:pPr>
        <w:rPr>
          <w:sz w:val="24"/>
          <w:szCs w:val="24"/>
        </w:rPr>
      </w:pPr>
      <w:r w:rsidRPr="007133B3">
        <w:rPr>
          <w:sz w:val="24"/>
          <w:szCs w:val="24"/>
        </w:rPr>
        <w:t>6.</w:t>
      </w:r>
      <w:r w:rsidRPr="007133B3">
        <w:rPr>
          <w:sz w:val="24"/>
          <w:szCs w:val="24"/>
        </w:rPr>
        <w:tab/>
      </w:r>
      <w:r w:rsidRPr="007133B3" w:rsidR="00013785">
        <w:rPr>
          <w:sz w:val="24"/>
          <w:szCs w:val="24"/>
          <w:u w:val="single"/>
        </w:rPr>
        <w:t>Impact of</w:t>
      </w:r>
      <w:r w:rsidRPr="007133B3">
        <w:rPr>
          <w:sz w:val="24"/>
          <w:szCs w:val="24"/>
          <w:u w:val="single"/>
        </w:rPr>
        <w:t xml:space="preserve"> less frequent</w:t>
      </w:r>
      <w:r w:rsidRPr="007133B3" w:rsidR="00013785">
        <w:rPr>
          <w:sz w:val="24"/>
          <w:szCs w:val="24"/>
          <w:u w:val="single"/>
        </w:rPr>
        <w:t xml:space="preserve"> collection of information</w:t>
      </w:r>
      <w:r w:rsidRPr="007133B3">
        <w:rPr>
          <w:sz w:val="24"/>
          <w:szCs w:val="24"/>
          <w:u w:val="single"/>
        </w:rPr>
        <w:t>.</w:t>
      </w:r>
      <w:r w:rsidRPr="007133B3">
        <w:rPr>
          <w:sz w:val="24"/>
          <w:szCs w:val="24"/>
        </w:rPr>
        <w:t xml:space="preserve">  </w:t>
      </w:r>
    </w:p>
    <w:p w:rsidR="00991017" w:rsidRPr="007133B3" w:rsidP="004B2277" w14:paraId="4C68187A" w14:textId="77777777">
      <w:pPr>
        <w:rPr>
          <w:sz w:val="24"/>
          <w:szCs w:val="24"/>
        </w:rPr>
      </w:pPr>
    </w:p>
    <w:p w:rsidR="00991017" w:rsidRPr="007133B3" w:rsidP="004B2277" w14:paraId="507FD6B6" w14:textId="2DA24CDA">
      <w:pPr>
        <w:rPr>
          <w:sz w:val="24"/>
          <w:szCs w:val="24"/>
        </w:rPr>
      </w:pPr>
      <w:r w:rsidRPr="32E8BC75">
        <w:rPr>
          <w:sz w:val="24"/>
          <w:szCs w:val="24"/>
        </w:rPr>
        <w:t>Those most affected (i.e., the offerors and shippers of crude oil by rail) determine t</w:t>
      </w:r>
      <w:r w:rsidRPr="32E8BC75" w:rsidR="11A31512">
        <w:rPr>
          <w:sz w:val="24"/>
          <w:szCs w:val="24"/>
        </w:rPr>
        <w:t>he frequency</w:t>
      </w:r>
      <w:r w:rsidRPr="32E8BC75" w:rsidR="05C59308">
        <w:rPr>
          <w:sz w:val="24"/>
          <w:szCs w:val="24"/>
        </w:rPr>
        <w:t xml:space="preserve"> of the collection of information</w:t>
      </w:r>
      <w:r w:rsidRPr="32E8BC75" w:rsidR="11A31512">
        <w:rPr>
          <w:sz w:val="24"/>
          <w:szCs w:val="24"/>
        </w:rPr>
        <w:t>.</w:t>
      </w:r>
      <w:r w:rsidR="00860E21">
        <w:rPr>
          <w:sz w:val="24"/>
          <w:szCs w:val="24"/>
        </w:rPr>
        <w:t xml:space="preserve"> </w:t>
      </w:r>
      <w:r w:rsidRPr="32E8BC75" w:rsidR="11A31512">
        <w:rPr>
          <w:sz w:val="24"/>
          <w:szCs w:val="24"/>
        </w:rPr>
        <w:t xml:space="preserve"> It is not possible to conduct the collection less frequently and still </w:t>
      </w:r>
      <w:r w:rsidRPr="32E8BC75" w:rsidR="4F1C0F1E">
        <w:rPr>
          <w:sz w:val="24"/>
          <w:szCs w:val="24"/>
        </w:rPr>
        <w:t>en</w:t>
      </w:r>
      <w:r w:rsidRPr="32E8BC75" w:rsidR="11A31512">
        <w:rPr>
          <w:sz w:val="24"/>
          <w:szCs w:val="24"/>
        </w:rPr>
        <w:t xml:space="preserve">sure the necessary level of safety to life and property inherent in transporting hazardous </w:t>
      </w:r>
      <w:r w:rsidRPr="32E8BC75" w:rsidR="11A31512">
        <w:rPr>
          <w:sz w:val="24"/>
          <w:szCs w:val="24"/>
        </w:rPr>
        <w:t>materials.</w:t>
      </w:r>
      <w:r w:rsidRPr="32E8BC75" w:rsidR="5059EFF0">
        <w:rPr>
          <w:sz w:val="24"/>
          <w:szCs w:val="24"/>
        </w:rPr>
        <w:t xml:space="preserve"> </w:t>
      </w:r>
      <w:r w:rsidR="00860E21">
        <w:rPr>
          <w:sz w:val="24"/>
          <w:szCs w:val="24"/>
        </w:rPr>
        <w:t xml:space="preserve"> </w:t>
      </w:r>
      <w:r w:rsidRPr="32E8BC75" w:rsidR="5059EFF0">
        <w:rPr>
          <w:sz w:val="24"/>
          <w:szCs w:val="24"/>
        </w:rPr>
        <w:t xml:space="preserve">The information collected is essential for both PHMSA and </w:t>
      </w:r>
      <w:r w:rsidRPr="32E8BC75" w:rsidR="488AA3B4">
        <w:rPr>
          <w:sz w:val="24"/>
          <w:szCs w:val="24"/>
        </w:rPr>
        <w:t xml:space="preserve">the </w:t>
      </w:r>
      <w:r w:rsidRPr="32E8BC75" w:rsidR="5059EFF0">
        <w:rPr>
          <w:sz w:val="24"/>
          <w:szCs w:val="24"/>
        </w:rPr>
        <w:t>FRA to ensure the safe transportation of crude oil by rail.</w:t>
      </w:r>
      <w:r w:rsidRPr="32E8BC75" w:rsidR="27C5C5AB">
        <w:rPr>
          <w:sz w:val="24"/>
          <w:szCs w:val="24"/>
        </w:rPr>
        <w:t xml:space="preserve"> </w:t>
      </w:r>
      <w:r w:rsidR="00614200">
        <w:rPr>
          <w:sz w:val="24"/>
          <w:szCs w:val="24"/>
        </w:rPr>
        <w:t xml:space="preserve"> </w:t>
      </w:r>
      <w:r w:rsidRPr="32E8BC75" w:rsidR="27C5C5AB">
        <w:rPr>
          <w:sz w:val="24"/>
          <w:szCs w:val="24"/>
        </w:rPr>
        <w:t xml:space="preserve">Without adequate data, PHMSA and </w:t>
      </w:r>
      <w:r w:rsidRPr="32E8BC75" w:rsidR="488AA3B4">
        <w:rPr>
          <w:sz w:val="24"/>
          <w:szCs w:val="24"/>
        </w:rPr>
        <w:t xml:space="preserve">the </w:t>
      </w:r>
      <w:r w:rsidRPr="32E8BC75" w:rsidR="27C5C5AB">
        <w:rPr>
          <w:sz w:val="24"/>
          <w:szCs w:val="24"/>
        </w:rPr>
        <w:t xml:space="preserve">FRA </w:t>
      </w:r>
      <w:r w:rsidRPr="32E8BC75" w:rsidR="36F27CCA">
        <w:rPr>
          <w:sz w:val="24"/>
          <w:szCs w:val="24"/>
        </w:rPr>
        <w:t>cannot</w:t>
      </w:r>
      <w:r w:rsidRPr="32E8BC75" w:rsidR="27C5C5AB">
        <w:rPr>
          <w:sz w:val="24"/>
          <w:szCs w:val="24"/>
        </w:rPr>
        <w:t xml:space="preserve"> </w:t>
      </w:r>
      <w:r w:rsidRPr="32E8BC75" w:rsidR="47C099A0">
        <w:rPr>
          <w:sz w:val="24"/>
          <w:szCs w:val="24"/>
        </w:rPr>
        <w:t xml:space="preserve">ensure </w:t>
      </w:r>
      <w:r w:rsidRPr="32E8BC75" w:rsidR="27C5C5AB">
        <w:rPr>
          <w:sz w:val="24"/>
          <w:szCs w:val="24"/>
        </w:rPr>
        <w:t>that crude oil is properly class</w:t>
      </w:r>
      <w:r w:rsidRPr="32E8BC75" w:rsidR="446D5D76">
        <w:rPr>
          <w:sz w:val="24"/>
          <w:szCs w:val="24"/>
        </w:rPr>
        <w:t>ed</w:t>
      </w:r>
      <w:r w:rsidRPr="32E8BC75" w:rsidR="27C5C5AB">
        <w:rPr>
          <w:sz w:val="24"/>
          <w:szCs w:val="24"/>
        </w:rPr>
        <w:t xml:space="preserve"> and packaged in accordance with the HMR. </w:t>
      </w:r>
      <w:r w:rsidR="00614200">
        <w:rPr>
          <w:sz w:val="24"/>
          <w:szCs w:val="24"/>
        </w:rPr>
        <w:t xml:space="preserve"> </w:t>
      </w:r>
      <w:r w:rsidRPr="32E8BC75" w:rsidR="05C59308">
        <w:rPr>
          <w:sz w:val="24"/>
          <w:szCs w:val="24"/>
        </w:rPr>
        <w:t>In addition, w</w:t>
      </w:r>
      <w:r w:rsidRPr="32E8BC75" w:rsidR="27C5C5AB">
        <w:rPr>
          <w:sz w:val="24"/>
          <w:szCs w:val="24"/>
        </w:rPr>
        <w:t>ithout proper routing analysis, s</w:t>
      </w:r>
      <w:r w:rsidRPr="32E8BC75" w:rsidR="488AA3B4">
        <w:rPr>
          <w:sz w:val="24"/>
          <w:szCs w:val="24"/>
        </w:rPr>
        <w:t xml:space="preserve">tates </w:t>
      </w:r>
      <w:r w:rsidRPr="32E8BC75" w:rsidR="27C5C5AB">
        <w:rPr>
          <w:sz w:val="24"/>
          <w:szCs w:val="24"/>
        </w:rPr>
        <w:t xml:space="preserve">and local emergency responders </w:t>
      </w:r>
      <w:r w:rsidRPr="32E8BC75" w:rsidR="36F27CCA">
        <w:rPr>
          <w:sz w:val="24"/>
          <w:szCs w:val="24"/>
        </w:rPr>
        <w:t>may</w:t>
      </w:r>
      <w:r w:rsidRPr="32E8BC75" w:rsidR="27C5C5AB">
        <w:rPr>
          <w:sz w:val="24"/>
          <w:szCs w:val="24"/>
        </w:rPr>
        <w:t xml:space="preserve"> not have the adequate information to respond to a major incident involving crude oil transportation.</w:t>
      </w:r>
    </w:p>
    <w:p w:rsidR="00180362" w:rsidP="004B2277" w14:paraId="2F371519" w14:textId="77777777">
      <w:pPr>
        <w:rPr>
          <w:sz w:val="24"/>
          <w:szCs w:val="24"/>
        </w:rPr>
      </w:pPr>
    </w:p>
    <w:p w:rsidR="00991017" w:rsidRPr="007133B3" w:rsidP="004B2277" w14:paraId="6F311D12" w14:textId="77777777">
      <w:pPr>
        <w:rPr>
          <w:bCs/>
          <w:sz w:val="24"/>
          <w:szCs w:val="24"/>
        </w:rPr>
      </w:pPr>
      <w:r w:rsidRPr="007133B3">
        <w:rPr>
          <w:sz w:val="24"/>
          <w:szCs w:val="24"/>
        </w:rPr>
        <w:t>7.</w:t>
      </w:r>
      <w:r w:rsidRPr="007133B3">
        <w:rPr>
          <w:sz w:val="24"/>
          <w:szCs w:val="24"/>
        </w:rPr>
        <w:tab/>
      </w:r>
      <w:r w:rsidRPr="007133B3">
        <w:rPr>
          <w:sz w:val="24"/>
          <w:szCs w:val="24"/>
          <w:u w:val="single"/>
        </w:rPr>
        <w:t>Special circumstances</w:t>
      </w:r>
      <w:r w:rsidRPr="007133B3" w:rsidR="00013785">
        <w:rPr>
          <w:sz w:val="24"/>
          <w:szCs w:val="24"/>
          <w:u w:val="single"/>
        </w:rPr>
        <w:t>.</w:t>
      </w:r>
    </w:p>
    <w:p w:rsidR="00991017" w:rsidRPr="007133B3" w:rsidP="004B2277" w14:paraId="4A353632" w14:textId="77777777">
      <w:pPr>
        <w:rPr>
          <w:bCs/>
          <w:sz w:val="24"/>
          <w:szCs w:val="24"/>
        </w:rPr>
      </w:pPr>
    </w:p>
    <w:p w:rsidR="003A5FD2" w:rsidP="004B2277" w14:paraId="766D0356" w14:textId="5A3DDCB6">
      <w:pPr>
        <w:rPr>
          <w:sz w:val="24"/>
          <w:szCs w:val="24"/>
        </w:rPr>
      </w:pPr>
      <w:r w:rsidRPr="00A30804">
        <w:rPr>
          <w:sz w:val="24"/>
          <w:szCs w:val="24"/>
        </w:rPr>
        <w:t>This collection of information is generally conducted in a manner consistent with the guidelines in 5</w:t>
      </w:r>
      <w:r w:rsidR="00FD13FB">
        <w:rPr>
          <w:sz w:val="24"/>
          <w:szCs w:val="24"/>
        </w:rPr>
        <w:t> </w:t>
      </w:r>
      <w:r w:rsidRPr="00A30804">
        <w:rPr>
          <w:sz w:val="24"/>
          <w:szCs w:val="24"/>
        </w:rPr>
        <w:t>CFR</w:t>
      </w:r>
      <w:r w:rsidR="00FD13FB">
        <w:rPr>
          <w:sz w:val="24"/>
          <w:szCs w:val="24"/>
        </w:rPr>
        <w:t> </w:t>
      </w:r>
      <w:r w:rsidRPr="00A30804">
        <w:rPr>
          <w:sz w:val="24"/>
          <w:szCs w:val="24"/>
        </w:rPr>
        <w:t xml:space="preserve">11320.5(d)(2).  </w:t>
      </w:r>
    </w:p>
    <w:p w:rsidR="00180362" w:rsidP="004B2277" w14:paraId="7FB51132" w14:textId="77777777">
      <w:pPr>
        <w:rPr>
          <w:sz w:val="24"/>
          <w:szCs w:val="24"/>
        </w:rPr>
      </w:pPr>
    </w:p>
    <w:p w:rsidR="00991017" w:rsidP="004B2277" w14:paraId="606195B6" w14:textId="77777777">
      <w:pPr>
        <w:rPr>
          <w:sz w:val="24"/>
          <w:szCs w:val="24"/>
        </w:rPr>
      </w:pPr>
      <w:r w:rsidRPr="007133B3">
        <w:rPr>
          <w:sz w:val="24"/>
          <w:szCs w:val="24"/>
        </w:rPr>
        <w:t>8.</w:t>
      </w:r>
      <w:r w:rsidRPr="007133B3">
        <w:rPr>
          <w:sz w:val="24"/>
          <w:szCs w:val="24"/>
        </w:rPr>
        <w:tab/>
      </w:r>
      <w:r w:rsidRPr="007133B3" w:rsidR="008852F5">
        <w:rPr>
          <w:sz w:val="24"/>
          <w:szCs w:val="24"/>
          <w:u w:val="single"/>
        </w:rPr>
        <w:t>Compliance with 5 CFR 1320.8</w:t>
      </w:r>
      <w:r w:rsidRPr="007133B3">
        <w:rPr>
          <w:sz w:val="24"/>
          <w:szCs w:val="24"/>
          <w:u w:val="single"/>
        </w:rPr>
        <w:t>.</w:t>
      </w:r>
      <w:r w:rsidRPr="007133B3">
        <w:rPr>
          <w:sz w:val="24"/>
          <w:szCs w:val="24"/>
        </w:rPr>
        <w:t xml:space="preserve"> </w:t>
      </w:r>
    </w:p>
    <w:p w:rsidR="005D70FF" w:rsidP="004B2277" w14:paraId="1AB94C59" w14:textId="77777777">
      <w:pPr>
        <w:rPr>
          <w:sz w:val="24"/>
          <w:szCs w:val="24"/>
        </w:rPr>
      </w:pPr>
    </w:p>
    <w:p w:rsidR="005347A7" w:rsidRPr="005347A7" w:rsidP="00A13DD4" w14:paraId="75E79D7C" w14:textId="29CC326D">
      <w:pPr>
        <w:widowControl w:val="0"/>
        <w:rPr>
          <w:sz w:val="24"/>
          <w:szCs w:val="24"/>
        </w:rPr>
      </w:pPr>
      <w:r w:rsidRPr="005347A7">
        <w:rPr>
          <w:sz w:val="24"/>
          <w:szCs w:val="24"/>
        </w:rPr>
        <w:t xml:space="preserve">A 60-Day Notice and Request for comments was published in the Federal Register on March 10, 2025 [90 FR 11649] under Docket No. PHMSA-2025-0008 (Notice No. 25-02). </w:t>
      </w:r>
      <w:r w:rsidR="00614200">
        <w:rPr>
          <w:sz w:val="24"/>
          <w:szCs w:val="24"/>
        </w:rPr>
        <w:t xml:space="preserve"> </w:t>
      </w:r>
      <w:r w:rsidRPr="005347A7">
        <w:rPr>
          <w:sz w:val="24"/>
          <w:szCs w:val="24"/>
        </w:rPr>
        <w:t xml:space="preserve">The comment period closed on May 8, 2025. </w:t>
      </w:r>
      <w:r w:rsidR="00614200">
        <w:rPr>
          <w:sz w:val="24"/>
          <w:szCs w:val="24"/>
        </w:rPr>
        <w:t xml:space="preserve"> </w:t>
      </w:r>
      <w:r w:rsidRPr="00A13DD4" w:rsidR="00A13DD4">
        <w:rPr>
          <w:sz w:val="24"/>
          <w:szCs w:val="24"/>
        </w:rPr>
        <w:t>PHMSA received one comment in</w:t>
      </w:r>
      <w:r w:rsidR="00A13DD4">
        <w:rPr>
          <w:sz w:val="24"/>
          <w:szCs w:val="24"/>
        </w:rPr>
        <w:t xml:space="preserve"> </w:t>
      </w:r>
      <w:r w:rsidRPr="00A13DD4" w:rsidR="00A13DD4">
        <w:rPr>
          <w:sz w:val="24"/>
          <w:szCs w:val="24"/>
        </w:rPr>
        <w:t>response to this notice; however, the</w:t>
      </w:r>
      <w:r w:rsidR="00A13DD4">
        <w:rPr>
          <w:sz w:val="24"/>
          <w:szCs w:val="24"/>
        </w:rPr>
        <w:t xml:space="preserve"> </w:t>
      </w:r>
      <w:r w:rsidRPr="00A13DD4" w:rsidR="00A13DD4">
        <w:rPr>
          <w:sz w:val="24"/>
          <w:szCs w:val="24"/>
        </w:rPr>
        <w:t>comment was outside the scope of the</w:t>
      </w:r>
      <w:r w:rsidR="00A13DD4">
        <w:rPr>
          <w:sz w:val="24"/>
          <w:szCs w:val="24"/>
        </w:rPr>
        <w:t xml:space="preserve"> </w:t>
      </w:r>
      <w:r w:rsidRPr="00A13DD4" w:rsidR="00A13DD4">
        <w:rPr>
          <w:sz w:val="24"/>
          <w:szCs w:val="24"/>
        </w:rPr>
        <w:t>ICRs listed for renewal.</w:t>
      </w:r>
    </w:p>
    <w:p w:rsidR="005347A7" w:rsidRPr="005347A7" w:rsidP="005347A7" w14:paraId="5191A19F" w14:textId="77777777">
      <w:pPr>
        <w:widowControl w:val="0"/>
        <w:rPr>
          <w:sz w:val="24"/>
          <w:szCs w:val="24"/>
          <w:highlight w:val="yellow"/>
        </w:rPr>
      </w:pPr>
    </w:p>
    <w:p w:rsidR="005347A7" w:rsidRPr="005347A7" w:rsidP="005347A7" w14:paraId="5AF2291A" w14:textId="28FC2B39">
      <w:pPr>
        <w:widowControl w:val="0"/>
        <w:rPr>
          <w:sz w:val="24"/>
          <w:szCs w:val="24"/>
        </w:rPr>
      </w:pPr>
      <w:r w:rsidRPr="005347A7">
        <w:rPr>
          <w:sz w:val="24"/>
          <w:szCs w:val="24"/>
        </w:rPr>
        <w:t xml:space="preserve">A 30-Day Notice and Request for comments on the renewal of this information collection was published in the Federal Register on </w:t>
      </w:r>
      <w:r w:rsidR="00784A46">
        <w:rPr>
          <w:sz w:val="24"/>
          <w:szCs w:val="24"/>
        </w:rPr>
        <w:t>July 11, 2025</w:t>
      </w:r>
      <w:r w:rsidRPr="005347A7">
        <w:rPr>
          <w:sz w:val="24"/>
          <w:szCs w:val="24"/>
        </w:rPr>
        <w:t xml:space="preserve"> [</w:t>
      </w:r>
      <w:r w:rsidR="00784A46">
        <w:rPr>
          <w:sz w:val="24"/>
          <w:szCs w:val="24"/>
        </w:rPr>
        <w:t>90 FR 31109</w:t>
      </w:r>
      <w:r w:rsidRPr="005347A7">
        <w:rPr>
          <w:sz w:val="24"/>
          <w:szCs w:val="24"/>
        </w:rPr>
        <w:t>] under Docket No. 2025-0008 (Notice No. 2025-</w:t>
      </w:r>
      <w:r w:rsidR="00D86EE7">
        <w:rPr>
          <w:sz w:val="24"/>
          <w:szCs w:val="24"/>
        </w:rPr>
        <w:t>04</w:t>
      </w:r>
      <w:r w:rsidRPr="005347A7">
        <w:rPr>
          <w:sz w:val="24"/>
          <w:szCs w:val="24"/>
        </w:rPr>
        <w:t xml:space="preserve">). </w:t>
      </w:r>
      <w:r w:rsidR="00D86EE7">
        <w:rPr>
          <w:sz w:val="24"/>
          <w:szCs w:val="24"/>
        </w:rPr>
        <w:t xml:space="preserve"> </w:t>
      </w:r>
      <w:r w:rsidRPr="005347A7">
        <w:rPr>
          <w:sz w:val="24"/>
          <w:szCs w:val="24"/>
        </w:rPr>
        <w:t xml:space="preserve">The comment period closed on </w:t>
      </w:r>
      <w:r w:rsidR="0066446E">
        <w:rPr>
          <w:sz w:val="24"/>
          <w:szCs w:val="24"/>
        </w:rPr>
        <w:t>August 11, 2025.</w:t>
      </w:r>
      <w:r w:rsidRPr="005347A7">
        <w:rPr>
          <w:sz w:val="24"/>
          <w:szCs w:val="24"/>
        </w:rPr>
        <w:t xml:space="preserve">  </w:t>
      </w:r>
    </w:p>
    <w:p w:rsidR="00DF5342" w:rsidP="004B2277" w14:paraId="7ECEBD99" w14:textId="77777777">
      <w:pPr>
        <w:rPr>
          <w:sz w:val="24"/>
          <w:szCs w:val="24"/>
        </w:rPr>
      </w:pPr>
    </w:p>
    <w:p w:rsidR="00991017" w:rsidRPr="007133B3" w:rsidP="004B2277" w14:paraId="5C4C87CC" w14:textId="77777777">
      <w:pPr>
        <w:rPr>
          <w:sz w:val="24"/>
          <w:szCs w:val="24"/>
        </w:rPr>
      </w:pPr>
      <w:r w:rsidRPr="007133B3">
        <w:rPr>
          <w:sz w:val="24"/>
          <w:szCs w:val="24"/>
        </w:rPr>
        <w:t>9.</w:t>
      </w:r>
      <w:r w:rsidRPr="007133B3">
        <w:rPr>
          <w:sz w:val="24"/>
          <w:szCs w:val="24"/>
        </w:rPr>
        <w:tab/>
      </w:r>
      <w:r w:rsidRPr="007133B3" w:rsidR="008852F5">
        <w:rPr>
          <w:sz w:val="24"/>
          <w:szCs w:val="24"/>
          <w:u w:val="single"/>
        </w:rPr>
        <w:t>P</w:t>
      </w:r>
      <w:r w:rsidRPr="007133B3">
        <w:rPr>
          <w:sz w:val="24"/>
          <w:szCs w:val="24"/>
          <w:u w:val="single"/>
        </w:rPr>
        <w:t>ayment</w:t>
      </w:r>
      <w:r w:rsidRPr="007133B3" w:rsidR="008852F5">
        <w:rPr>
          <w:sz w:val="24"/>
          <w:szCs w:val="24"/>
          <w:u w:val="single"/>
        </w:rPr>
        <w:t>s</w:t>
      </w:r>
      <w:r w:rsidRPr="007133B3">
        <w:rPr>
          <w:sz w:val="24"/>
          <w:szCs w:val="24"/>
          <w:u w:val="single"/>
        </w:rPr>
        <w:t xml:space="preserve"> or gift to respondents.</w:t>
      </w:r>
      <w:r w:rsidRPr="007133B3">
        <w:rPr>
          <w:sz w:val="24"/>
          <w:szCs w:val="24"/>
        </w:rPr>
        <w:t xml:space="preserve">  </w:t>
      </w:r>
    </w:p>
    <w:p w:rsidR="00991017" w:rsidRPr="007133B3" w:rsidP="004B2277" w14:paraId="7F0288A1" w14:textId="77777777">
      <w:pPr>
        <w:rPr>
          <w:sz w:val="24"/>
          <w:szCs w:val="24"/>
        </w:rPr>
      </w:pPr>
    </w:p>
    <w:p w:rsidR="00991017" w:rsidRPr="007133B3" w:rsidP="004B2277" w14:paraId="1F407B6E" w14:textId="77777777">
      <w:pPr>
        <w:rPr>
          <w:sz w:val="24"/>
          <w:szCs w:val="24"/>
        </w:rPr>
      </w:pPr>
      <w:r>
        <w:rPr>
          <w:sz w:val="24"/>
          <w:szCs w:val="24"/>
        </w:rPr>
        <w:t>This collection of information provides</w:t>
      </w:r>
      <w:r w:rsidRPr="007133B3">
        <w:rPr>
          <w:sz w:val="24"/>
          <w:szCs w:val="24"/>
        </w:rPr>
        <w:t xml:space="preserve"> no payment or gift to respondents.</w:t>
      </w:r>
    </w:p>
    <w:p w:rsidR="00DF5342" w:rsidP="004B2277" w14:paraId="36D015F1" w14:textId="77777777">
      <w:pPr>
        <w:rPr>
          <w:sz w:val="24"/>
          <w:szCs w:val="24"/>
        </w:rPr>
      </w:pPr>
    </w:p>
    <w:p w:rsidR="00991017" w:rsidRPr="007133B3" w:rsidP="004B2277" w14:paraId="67E68EF2" w14:textId="77777777">
      <w:pPr>
        <w:rPr>
          <w:sz w:val="24"/>
          <w:szCs w:val="24"/>
        </w:rPr>
      </w:pPr>
      <w:r w:rsidRPr="007133B3">
        <w:rPr>
          <w:sz w:val="24"/>
          <w:szCs w:val="24"/>
        </w:rPr>
        <w:t>10.</w:t>
      </w:r>
      <w:r w:rsidRPr="007133B3">
        <w:rPr>
          <w:sz w:val="24"/>
          <w:szCs w:val="24"/>
        </w:rPr>
        <w:tab/>
      </w:r>
      <w:r w:rsidRPr="007133B3">
        <w:rPr>
          <w:sz w:val="24"/>
          <w:szCs w:val="24"/>
          <w:u w:val="single"/>
        </w:rPr>
        <w:t>Assurance of confidentiality</w:t>
      </w:r>
      <w:r w:rsidRPr="007133B3" w:rsidR="008852F5">
        <w:rPr>
          <w:sz w:val="24"/>
          <w:szCs w:val="24"/>
          <w:u w:val="single"/>
        </w:rPr>
        <w:t>.</w:t>
      </w:r>
      <w:r w:rsidRPr="007133B3">
        <w:rPr>
          <w:sz w:val="24"/>
          <w:szCs w:val="24"/>
        </w:rPr>
        <w:t xml:space="preserve"> </w:t>
      </w:r>
    </w:p>
    <w:p w:rsidR="00991017" w:rsidRPr="007133B3" w:rsidP="004B2277" w14:paraId="1306D64C" w14:textId="77777777">
      <w:pPr>
        <w:rPr>
          <w:sz w:val="24"/>
          <w:szCs w:val="24"/>
        </w:rPr>
      </w:pPr>
    </w:p>
    <w:p w:rsidR="00354963" w:rsidRPr="007133B3" w:rsidP="004B2277" w14:paraId="0857E92B" w14:textId="233D7907">
      <w:pPr>
        <w:rPr>
          <w:sz w:val="24"/>
          <w:szCs w:val="24"/>
        </w:rPr>
      </w:pPr>
      <w:r w:rsidRPr="007133B3">
        <w:rPr>
          <w:sz w:val="24"/>
          <w:szCs w:val="24"/>
        </w:rPr>
        <w:t xml:space="preserve">None of the data collected </w:t>
      </w:r>
      <w:r w:rsidRPr="4084E444" w:rsidR="0FE82F6D">
        <w:rPr>
          <w:sz w:val="24"/>
          <w:szCs w:val="24"/>
        </w:rPr>
        <w:t>contains</w:t>
      </w:r>
      <w:r w:rsidRPr="007133B3">
        <w:rPr>
          <w:sz w:val="24"/>
          <w:szCs w:val="24"/>
        </w:rPr>
        <w:t xml:space="preserve"> personally identifiable information (PII) or business confidential information. </w:t>
      </w:r>
      <w:r w:rsidR="00614200">
        <w:rPr>
          <w:sz w:val="24"/>
          <w:szCs w:val="24"/>
        </w:rPr>
        <w:t xml:space="preserve"> </w:t>
      </w:r>
      <w:r w:rsidRPr="007133B3">
        <w:rPr>
          <w:sz w:val="24"/>
          <w:szCs w:val="24"/>
        </w:rPr>
        <w:t xml:space="preserve">Therefore, </w:t>
      </w:r>
      <w:r w:rsidR="00997754">
        <w:rPr>
          <w:sz w:val="24"/>
          <w:szCs w:val="24"/>
        </w:rPr>
        <w:t xml:space="preserve">PHMSA provides </w:t>
      </w:r>
      <w:r w:rsidRPr="007133B3">
        <w:rPr>
          <w:sz w:val="24"/>
          <w:szCs w:val="24"/>
        </w:rPr>
        <w:t>no guarantees of confidentiality to applicants.</w:t>
      </w:r>
    </w:p>
    <w:p w:rsidR="00DF5342" w:rsidP="004B2277" w14:paraId="163CF3D9" w14:textId="77777777">
      <w:pPr>
        <w:rPr>
          <w:sz w:val="24"/>
          <w:szCs w:val="24"/>
        </w:rPr>
      </w:pPr>
    </w:p>
    <w:p w:rsidR="00991017" w:rsidRPr="007133B3" w:rsidP="004B2277" w14:paraId="3B638B5F" w14:textId="77777777">
      <w:pPr>
        <w:rPr>
          <w:sz w:val="24"/>
          <w:szCs w:val="24"/>
        </w:rPr>
      </w:pPr>
      <w:r w:rsidRPr="007133B3">
        <w:rPr>
          <w:sz w:val="24"/>
          <w:szCs w:val="24"/>
        </w:rPr>
        <w:t>11.</w:t>
      </w:r>
      <w:r w:rsidRPr="007133B3">
        <w:rPr>
          <w:sz w:val="24"/>
          <w:szCs w:val="24"/>
        </w:rPr>
        <w:tab/>
      </w:r>
      <w:r w:rsidRPr="007133B3" w:rsidR="008852F5">
        <w:rPr>
          <w:sz w:val="24"/>
          <w:szCs w:val="24"/>
          <w:u w:val="single"/>
        </w:rPr>
        <w:t>Justification for collection of sensitive information</w:t>
      </w:r>
      <w:r w:rsidRPr="007133B3">
        <w:rPr>
          <w:sz w:val="24"/>
          <w:szCs w:val="24"/>
          <w:u w:val="single"/>
        </w:rPr>
        <w:t>.</w:t>
      </w:r>
      <w:r w:rsidRPr="007133B3">
        <w:rPr>
          <w:sz w:val="24"/>
          <w:szCs w:val="24"/>
        </w:rPr>
        <w:t xml:space="preserve"> </w:t>
      </w:r>
    </w:p>
    <w:p w:rsidR="00991017" w:rsidRPr="007133B3" w:rsidP="004B2277" w14:paraId="74E6968C" w14:textId="77777777">
      <w:pPr>
        <w:rPr>
          <w:sz w:val="24"/>
          <w:szCs w:val="24"/>
        </w:rPr>
      </w:pPr>
    </w:p>
    <w:p w:rsidR="00020E38" w:rsidRPr="007133B3" w:rsidP="004B2277" w14:paraId="4D2A6D4C" w14:textId="75B2AB08">
      <w:pPr>
        <w:rPr>
          <w:sz w:val="24"/>
          <w:szCs w:val="24"/>
        </w:rPr>
      </w:pPr>
      <w:r w:rsidRPr="007133B3">
        <w:rPr>
          <w:sz w:val="24"/>
          <w:szCs w:val="24"/>
        </w:rPr>
        <w:t xml:space="preserve">Not applicable. </w:t>
      </w:r>
      <w:r w:rsidR="00614200">
        <w:rPr>
          <w:sz w:val="24"/>
          <w:szCs w:val="24"/>
        </w:rPr>
        <w:t xml:space="preserve"> </w:t>
      </w:r>
      <w:r w:rsidR="00B560E1">
        <w:rPr>
          <w:sz w:val="24"/>
          <w:szCs w:val="24"/>
        </w:rPr>
        <w:t>This collection of information requires n</w:t>
      </w:r>
      <w:r w:rsidRPr="007133B3" w:rsidR="00B560E1">
        <w:rPr>
          <w:sz w:val="24"/>
          <w:szCs w:val="24"/>
        </w:rPr>
        <w:t xml:space="preserve">o </w:t>
      </w:r>
      <w:r w:rsidRPr="007133B3" w:rsidR="00354963">
        <w:rPr>
          <w:sz w:val="24"/>
          <w:szCs w:val="24"/>
        </w:rPr>
        <w:t>sensitive i</w:t>
      </w:r>
      <w:r w:rsidRPr="007133B3">
        <w:rPr>
          <w:sz w:val="24"/>
          <w:szCs w:val="24"/>
        </w:rPr>
        <w:t>nformation</w:t>
      </w:r>
      <w:r w:rsidRPr="007133B3" w:rsidR="00354963">
        <w:rPr>
          <w:sz w:val="24"/>
          <w:szCs w:val="24"/>
        </w:rPr>
        <w:t>.</w:t>
      </w:r>
    </w:p>
    <w:p w:rsidR="00DF5342" w:rsidP="004B2277" w14:paraId="49553958" w14:textId="77777777">
      <w:pPr>
        <w:rPr>
          <w:sz w:val="24"/>
          <w:szCs w:val="24"/>
        </w:rPr>
      </w:pPr>
    </w:p>
    <w:p w:rsidR="00887664" w:rsidP="004B2277" w14:paraId="6585BD02" w14:textId="77777777">
      <w:pPr>
        <w:rPr>
          <w:sz w:val="24"/>
          <w:szCs w:val="24"/>
          <w:u w:val="single"/>
        </w:rPr>
      </w:pPr>
      <w:r w:rsidRPr="007133B3">
        <w:rPr>
          <w:sz w:val="24"/>
          <w:szCs w:val="24"/>
        </w:rPr>
        <w:t>12.</w:t>
      </w:r>
      <w:r w:rsidRPr="007133B3">
        <w:rPr>
          <w:sz w:val="24"/>
          <w:szCs w:val="24"/>
        </w:rPr>
        <w:tab/>
      </w:r>
      <w:r w:rsidRPr="007133B3">
        <w:rPr>
          <w:sz w:val="24"/>
          <w:szCs w:val="24"/>
          <w:u w:val="single"/>
        </w:rPr>
        <w:t>Estimate of burden hours for information requested.</w:t>
      </w:r>
    </w:p>
    <w:p w:rsidR="001C0C76" w:rsidP="004B2277" w14:paraId="56B0DFF9" w14:textId="77777777">
      <w:pPr>
        <w:rPr>
          <w:sz w:val="24"/>
          <w:szCs w:val="24"/>
          <w:u w:val="single"/>
        </w:rPr>
      </w:pPr>
    </w:p>
    <w:tbl>
      <w:tblPr>
        <w:tblW w:w="0" w:type="auto"/>
        <w:jc w:val="center"/>
        <w:tblLayout w:type="fixed"/>
        <w:tblLook w:val="04A0"/>
      </w:tblPr>
      <w:tblGrid>
        <w:gridCol w:w="1710"/>
        <w:gridCol w:w="1599"/>
        <w:gridCol w:w="1605"/>
        <w:gridCol w:w="1746"/>
      </w:tblGrid>
      <w:tr w14:paraId="4C86B6A0" w14:textId="77777777" w:rsidTr="004F45EB">
        <w:tblPrEx>
          <w:tblW w:w="0" w:type="auto"/>
          <w:jc w:val="center"/>
          <w:tblLayout w:type="fixed"/>
          <w:tblLook w:val="04A0"/>
        </w:tblPrEx>
        <w:trPr>
          <w:trHeight w:val="552"/>
          <w:jc w:val="center"/>
        </w:trPr>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0879" w:rsidRPr="00AC0879" w:rsidP="004B2277" w14:paraId="5A8D4306" w14:textId="77777777">
            <w:pPr>
              <w:autoSpaceDE/>
              <w:autoSpaceDN/>
              <w:adjustRightInd/>
              <w:jc w:val="center"/>
              <w:rPr>
                <w:b/>
                <w:bCs/>
                <w:color w:val="000000"/>
                <w:sz w:val="22"/>
                <w:szCs w:val="22"/>
                <w:u w:val="single"/>
              </w:rPr>
            </w:pPr>
            <w:r w:rsidRPr="00AC0879">
              <w:rPr>
                <w:b/>
                <w:bCs/>
                <w:color w:val="000000"/>
                <w:sz w:val="22"/>
                <w:szCs w:val="22"/>
                <w:u w:val="single"/>
              </w:rPr>
              <w:t>Total Annual Responses</w:t>
            </w:r>
          </w:p>
        </w:tc>
        <w:tc>
          <w:tcPr>
            <w:tcW w:w="1599" w:type="dxa"/>
            <w:tcBorders>
              <w:top w:val="single" w:sz="4" w:space="0" w:color="auto"/>
              <w:left w:val="nil"/>
              <w:bottom w:val="single" w:sz="4" w:space="0" w:color="auto"/>
              <w:right w:val="single" w:sz="4" w:space="0" w:color="auto"/>
            </w:tcBorders>
            <w:shd w:val="clear" w:color="auto" w:fill="auto"/>
            <w:vAlign w:val="bottom"/>
            <w:hideMark/>
          </w:tcPr>
          <w:p w:rsidR="00AC0879" w:rsidRPr="00AC0879" w:rsidP="004B2277" w14:paraId="785128C6" w14:textId="77777777">
            <w:pPr>
              <w:autoSpaceDE/>
              <w:autoSpaceDN/>
              <w:adjustRightInd/>
              <w:jc w:val="center"/>
              <w:rPr>
                <w:b/>
                <w:bCs/>
                <w:color w:val="000000"/>
                <w:sz w:val="22"/>
                <w:szCs w:val="22"/>
                <w:u w:val="single"/>
              </w:rPr>
            </w:pPr>
            <w:r w:rsidRPr="00AC0879">
              <w:rPr>
                <w:b/>
                <w:bCs/>
                <w:color w:val="000000"/>
                <w:sz w:val="22"/>
                <w:szCs w:val="22"/>
                <w:u w:val="single"/>
              </w:rPr>
              <w:t>Total Burden Hours</w:t>
            </w:r>
          </w:p>
        </w:tc>
        <w:tc>
          <w:tcPr>
            <w:tcW w:w="1605" w:type="dxa"/>
            <w:tcBorders>
              <w:top w:val="single" w:sz="4" w:space="0" w:color="auto"/>
              <w:left w:val="nil"/>
              <w:bottom w:val="single" w:sz="4" w:space="0" w:color="auto"/>
              <w:right w:val="single" w:sz="4" w:space="0" w:color="auto"/>
            </w:tcBorders>
            <w:shd w:val="clear" w:color="auto" w:fill="auto"/>
            <w:vAlign w:val="bottom"/>
            <w:hideMark/>
          </w:tcPr>
          <w:p w:rsidR="00AC0879" w:rsidRPr="00AC0879" w:rsidP="004B2277" w14:paraId="5C962DD6" w14:textId="77777777">
            <w:pPr>
              <w:autoSpaceDE/>
              <w:autoSpaceDN/>
              <w:adjustRightInd/>
              <w:jc w:val="center"/>
              <w:rPr>
                <w:b/>
                <w:bCs/>
                <w:color w:val="000000"/>
                <w:sz w:val="22"/>
                <w:szCs w:val="22"/>
                <w:u w:val="single"/>
              </w:rPr>
            </w:pPr>
            <w:r w:rsidRPr="00AC0879">
              <w:rPr>
                <w:b/>
                <w:bCs/>
                <w:color w:val="000000"/>
                <w:sz w:val="22"/>
                <w:szCs w:val="22"/>
                <w:u w:val="single"/>
              </w:rPr>
              <w:t>Total Burden Cost</w:t>
            </w:r>
          </w:p>
        </w:tc>
        <w:tc>
          <w:tcPr>
            <w:tcW w:w="1746" w:type="dxa"/>
            <w:tcBorders>
              <w:top w:val="single" w:sz="4" w:space="0" w:color="auto"/>
              <w:left w:val="nil"/>
              <w:bottom w:val="single" w:sz="4" w:space="0" w:color="auto"/>
              <w:right w:val="single" w:sz="4" w:space="0" w:color="auto"/>
            </w:tcBorders>
            <w:shd w:val="clear" w:color="auto" w:fill="auto"/>
            <w:vAlign w:val="bottom"/>
            <w:hideMark/>
          </w:tcPr>
          <w:p w:rsidR="00AC0879" w:rsidRPr="00AC0879" w:rsidP="004B2277" w14:paraId="086958F7" w14:textId="77777777">
            <w:pPr>
              <w:autoSpaceDE/>
              <w:autoSpaceDN/>
              <w:adjustRightInd/>
              <w:jc w:val="center"/>
              <w:rPr>
                <w:b/>
                <w:bCs/>
                <w:color w:val="000000"/>
                <w:sz w:val="22"/>
                <w:szCs w:val="22"/>
                <w:u w:val="single"/>
              </w:rPr>
            </w:pPr>
            <w:r w:rsidRPr="00AC0879">
              <w:rPr>
                <w:b/>
                <w:bCs/>
                <w:color w:val="000000"/>
                <w:sz w:val="22"/>
                <w:szCs w:val="22"/>
                <w:u w:val="single"/>
              </w:rPr>
              <w:t>Total Salary Cost</w:t>
            </w:r>
          </w:p>
        </w:tc>
      </w:tr>
      <w:tr w14:paraId="2948F4CF" w14:textId="77777777" w:rsidTr="004F45EB">
        <w:tblPrEx>
          <w:tblW w:w="0" w:type="auto"/>
          <w:jc w:val="center"/>
          <w:tblLayout w:type="fixed"/>
          <w:tblLook w:val="04A0"/>
        </w:tblPrEx>
        <w:trPr>
          <w:trHeight w:val="260"/>
          <w:jc w:val="center"/>
        </w:trPr>
        <w:tc>
          <w:tcPr>
            <w:tcW w:w="1710" w:type="dxa"/>
            <w:tcBorders>
              <w:top w:val="nil"/>
              <w:left w:val="single" w:sz="4" w:space="0" w:color="auto"/>
              <w:bottom w:val="single" w:sz="4" w:space="0" w:color="auto"/>
              <w:right w:val="single" w:sz="4" w:space="0" w:color="auto"/>
            </w:tcBorders>
            <w:shd w:val="clear" w:color="auto" w:fill="auto"/>
            <w:vAlign w:val="bottom"/>
            <w:hideMark/>
          </w:tcPr>
          <w:p w:rsidR="00AC0879" w:rsidRPr="00AC0879" w:rsidP="004B2277" w14:paraId="6718E91F" w14:textId="1E210A78">
            <w:pPr>
              <w:autoSpaceDE/>
              <w:autoSpaceDN/>
              <w:adjustRightInd/>
              <w:jc w:val="center"/>
              <w:rPr>
                <w:color w:val="000000"/>
                <w:sz w:val="22"/>
                <w:szCs w:val="22"/>
              </w:rPr>
            </w:pPr>
            <w:r>
              <w:rPr>
                <w:color w:val="000000"/>
                <w:sz w:val="22"/>
                <w:szCs w:val="22"/>
              </w:rPr>
              <w:t>4,</w:t>
            </w:r>
            <w:r w:rsidR="008D2520">
              <w:rPr>
                <w:color w:val="000000"/>
                <w:sz w:val="22"/>
                <w:szCs w:val="22"/>
              </w:rPr>
              <w:t>77</w:t>
            </w:r>
            <w:r w:rsidR="00AD656E">
              <w:rPr>
                <w:color w:val="000000"/>
                <w:sz w:val="22"/>
                <w:szCs w:val="22"/>
              </w:rPr>
              <w:t>3</w:t>
            </w:r>
          </w:p>
        </w:tc>
        <w:tc>
          <w:tcPr>
            <w:tcW w:w="1599" w:type="dxa"/>
            <w:tcBorders>
              <w:top w:val="nil"/>
              <w:left w:val="nil"/>
              <w:bottom w:val="single" w:sz="4" w:space="0" w:color="auto"/>
              <w:right w:val="single" w:sz="4" w:space="0" w:color="auto"/>
            </w:tcBorders>
            <w:shd w:val="clear" w:color="auto" w:fill="auto"/>
            <w:vAlign w:val="bottom"/>
            <w:hideMark/>
          </w:tcPr>
          <w:p w:rsidR="00AC0879" w:rsidRPr="00AC0879" w:rsidP="004B2277" w14:paraId="41B431AA" w14:textId="50C4AF3D">
            <w:pPr>
              <w:autoSpaceDE/>
              <w:autoSpaceDN/>
              <w:adjustRightInd/>
              <w:jc w:val="center"/>
              <w:rPr>
                <w:color w:val="000000"/>
                <w:sz w:val="22"/>
                <w:szCs w:val="22"/>
              </w:rPr>
            </w:pPr>
            <w:r>
              <w:rPr>
                <w:color w:val="000000"/>
                <w:sz w:val="22"/>
                <w:szCs w:val="22"/>
              </w:rPr>
              <w:t>34,</w:t>
            </w:r>
            <w:r w:rsidR="00AD656E">
              <w:rPr>
                <w:color w:val="000000"/>
                <w:sz w:val="22"/>
                <w:szCs w:val="22"/>
              </w:rPr>
              <w:t>758</w:t>
            </w:r>
          </w:p>
        </w:tc>
        <w:tc>
          <w:tcPr>
            <w:tcW w:w="1605" w:type="dxa"/>
            <w:tcBorders>
              <w:top w:val="nil"/>
              <w:left w:val="nil"/>
              <w:bottom w:val="single" w:sz="4" w:space="0" w:color="auto"/>
              <w:right w:val="single" w:sz="4" w:space="0" w:color="auto"/>
            </w:tcBorders>
            <w:shd w:val="clear" w:color="auto" w:fill="auto"/>
            <w:vAlign w:val="bottom"/>
            <w:hideMark/>
          </w:tcPr>
          <w:p w:rsidR="00AC0879" w:rsidRPr="00AC0879" w:rsidP="004B2277" w14:paraId="38E213B6" w14:textId="77777777">
            <w:pPr>
              <w:autoSpaceDE/>
              <w:autoSpaceDN/>
              <w:adjustRightInd/>
              <w:jc w:val="center"/>
              <w:rPr>
                <w:color w:val="000000"/>
                <w:sz w:val="22"/>
                <w:szCs w:val="22"/>
              </w:rPr>
            </w:pPr>
            <w:r w:rsidRPr="00AC0879">
              <w:rPr>
                <w:color w:val="000000"/>
                <w:sz w:val="22"/>
                <w:szCs w:val="22"/>
              </w:rPr>
              <w:t>$0</w:t>
            </w:r>
          </w:p>
        </w:tc>
        <w:tc>
          <w:tcPr>
            <w:tcW w:w="1746" w:type="dxa"/>
            <w:tcBorders>
              <w:top w:val="nil"/>
              <w:left w:val="nil"/>
              <w:bottom w:val="single" w:sz="4" w:space="0" w:color="auto"/>
              <w:right w:val="single" w:sz="4" w:space="0" w:color="auto"/>
            </w:tcBorders>
            <w:shd w:val="clear" w:color="auto" w:fill="auto"/>
            <w:vAlign w:val="bottom"/>
            <w:hideMark/>
          </w:tcPr>
          <w:p w:rsidR="00AC0879" w:rsidRPr="00AC0879" w:rsidP="004B2277" w14:paraId="541AF57F" w14:textId="1B18F6C3">
            <w:pPr>
              <w:autoSpaceDE/>
              <w:autoSpaceDN/>
              <w:adjustRightInd/>
              <w:jc w:val="center"/>
              <w:rPr>
                <w:color w:val="000000"/>
                <w:sz w:val="22"/>
                <w:szCs w:val="22"/>
              </w:rPr>
            </w:pPr>
            <w:r w:rsidRPr="00AC0879">
              <w:rPr>
                <w:color w:val="000000"/>
                <w:sz w:val="22"/>
                <w:szCs w:val="22"/>
              </w:rPr>
              <w:t>$</w:t>
            </w:r>
            <w:r w:rsidR="008D2520">
              <w:rPr>
                <w:color w:val="000000"/>
                <w:sz w:val="22"/>
                <w:szCs w:val="22"/>
              </w:rPr>
              <w:t>3,</w:t>
            </w:r>
            <w:r w:rsidR="001054FC">
              <w:rPr>
                <w:color w:val="000000"/>
                <w:sz w:val="22"/>
                <w:szCs w:val="22"/>
              </w:rPr>
              <w:t>256</w:t>
            </w:r>
            <w:r w:rsidR="006D6324">
              <w:rPr>
                <w:color w:val="000000"/>
                <w:sz w:val="22"/>
                <w:szCs w:val="22"/>
              </w:rPr>
              <w:t>,</w:t>
            </w:r>
            <w:r w:rsidR="001054FC">
              <w:rPr>
                <w:color w:val="000000"/>
                <w:sz w:val="22"/>
                <w:szCs w:val="22"/>
              </w:rPr>
              <w:t>502</w:t>
            </w:r>
          </w:p>
        </w:tc>
      </w:tr>
    </w:tbl>
    <w:p w:rsidR="00AC0879" w:rsidP="004B2277" w14:paraId="4F9DC724" w14:textId="77777777">
      <w:pPr>
        <w:rPr>
          <w:sz w:val="24"/>
          <w:szCs w:val="24"/>
          <w:u w:val="single"/>
        </w:rPr>
      </w:pPr>
    </w:p>
    <w:p w:rsidR="00AC0879" w:rsidP="004B2277" w14:paraId="1DF34C7E" w14:textId="34AF831B">
      <w:pPr>
        <w:autoSpaceDE/>
        <w:autoSpaceDN/>
        <w:adjustRightInd/>
        <w:rPr>
          <w:rFonts w:eastAsia="Calibri"/>
          <w:b/>
          <w:sz w:val="24"/>
          <w:szCs w:val="24"/>
        </w:rPr>
      </w:pPr>
      <w:r>
        <w:rPr>
          <w:rFonts w:eastAsia="Calibri"/>
          <w:b/>
          <w:sz w:val="24"/>
          <w:szCs w:val="24"/>
        </w:rPr>
        <w:t xml:space="preserve">Part 130, Subpart C – </w:t>
      </w:r>
      <w:r>
        <w:rPr>
          <w:rFonts w:eastAsia="Calibri"/>
          <w:b/>
          <w:sz w:val="24"/>
          <w:szCs w:val="24"/>
        </w:rPr>
        <w:t>Comprehensive Oil Spill Response Plans</w:t>
      </w:r>
      <w:r w:rsidR="00FC3159">
        <w:rPr>
          <w:rFonts w:eastAsia="Calibri"/>
          <w:b/>
          <w:sz w:val="24"/>
          <w:szCs w:val="24"/>
        </w:rPr>
        <w:t xml:space="preserve"> (COSRP)</w:t>
      </w:r>
    </w:p>
    <w:p w:rsidR="00B9661E" w:rsidP="004B2277" w14:paraId="32C01DDA" w14:textId="77777777">
      <w:pPr>
        <w:autoSpaceDE/>
        <w:autoSpaceDN/>
        <w:adjustRightInd/>
        <w:rPr>
          <w:rFonts w:eastAsia="Calibri"/>
          <w:b/>
          <w:sz w:val="24"/>
          <w:szCs w:val="24"/>
        </w:rPr>
      </w:pPr>
    </w:p>
    <w:p w:rsidR="00021370" w:rsidP="004F45EB" w14:paraId="1F6F8766" w14:textId="497FDC8D">
      <w:pPr>
        <w:autoSpaceDE/>
        <w:autoSpaceDN/>
        <w:adjustRightInd/>
        <w:rPr>
          <w:rFonts w:eastAsia="Calibri"/>
          <w:sz w:val="24"/>
          <w:szCs w:val="24"/>
        </w:rPr>
      </w:pPr>
      <w:r>
        <w:rPr>
          <w:rFonts w:eastAsia="Calibri"/>
          <w:sz w:val="24"/>
          <w:szCs w:val="24"/>
        </w:rPr>
        <w:t xml:space="preserve">Section 130.120 details requirements for </w:t>
      </w:r>
      <w:r w:rsidR="77567BF5">
        <w:rPr>
          <w:rFonts w:eastAsia="Calibri"/>
          <w:sz w:val="24"/>
          <w:szCs w:val="24"/>
        </w:rPr>
        <w:t>the</w:t>
      </w:r>
      <w:r>
        <w:rPr>
          <w:rFonts w:eastAsia="Calibri"/>
          <w:sz w:val="24"/>
          <w:szCs w:val="24"/>
        </w:rPr>
        <w:t xml:space="preserve"> COSRP. </w:t>
      </w:r>
      <w:r w:rsidR="00614200">
        <w:rPr>
          <w:rFonts w:eastAsia="Calibri"/>
          <w:sz w:val="24"/>
          <w:szCs w:val="24"/>
        </w:rPr>
        <w:t xml:space="preserve"> </w:t>
      </w:r>
      <w:r w:rsidRPr="2DA08347" w:rsidR="152D2B9F">
        <w:rPr>
          <w:rFonts w:eastAsia="Calibri"/>
          <w:sz w:val="24"/>
          <w:szCs w:val="24"/>
        </w:rPr>
        <w:t>R</w:t>
      </w:r>
      <w:r w:rsidR="77567BF5">
        <w:rPr>
          <w:rFonts w:eastAsia="Calibri"/>
          <w:sz w:val="24"/>
          <w:szCs w:val="24"/>
        </w:rPr>
        <w:t xml:space="preserve">ailroads </w:t>
      </w:r>
      <w:r w:rsidR="409FDFAA">
        <w:rPr>
          <w:rFonts w:eastAsia="Calibri"/>
          <w:sz w:val="24"/>
          <w:szCs w:val="24"/>
        </w:rPr>
        <w:t xml:space="preserve">that </w:t>
      </w:r>
      <w:r w:rsidR="77567BF5">
        <w:rPr>
          <w:rFonts w:eastAsia="Calibri"/>
          <w:sz w:val="24"/>
          <w:szCs w:val="24"/>
        </w:rPr>
        <w:t xml:space="preserve">have already developed a COSRP will only be required to maintain and periodically review their plan. </w:t>
      </w:r>
      <w:r w:rsidR="00614200">
        <w:rPr>
          <w:rFonts w:eastAsia="Calibri"/>
          <w:sz w:val="24"/>
          <w:szCs w:val="24"/>
        </w:rPr>
        <w:t xml:space="preserve"> </w:t>
      </w:r>
      <w:r w:rsidR="38CC14BC">
        <w:rPr>
          <w:rFonts w:eastAsia="Calibri"/>
          <w:sz w:val="24"/>
          <w:szCs w:val="24"/>
        </w:rPr>
        <w:t xml:space="preserve">PHMSA estimates </w:t>
      </w:r>
      <w:r w:rsidR="77567BF5">
        <w:rPr>
          <w:rFonts w:eastAsia="Calibri"/>
          <w:sz w:val="24"/>
          <w:szCs w:val="24"/>
        </w:rPr>
        <w:t xml:space="preserve">that currently </w:t>
      </w:r>
      <w:r w:rsidR="38CC14BC">
        <w:rPr>
          <w:rFonts w:eastAsia="Calibri"/>
          <w:sz w:val="24"/>
          <w:szCs w:val="24"/>
        </w:rPr>
        <w:t>there are 7 Class I railroads, 11 Class II railroads, and 55 Class III railroads subject to the COSRP requirements.</w:t>
      </w:r>
      <w:r>
        <w:rPr>
          <w:rStyle w:val="FootnoteReference"/>
          <w:rFonts w:eastAsia="Calibri"/>
          <w:sz w:val="24"/>
          <w:szCs w:val="24"/>
        </w:rPr>
        <w:footnoteReference w:id="4"/>
      </w:r>
      <w:r w:rsidR="38CC14BC">
        <w:rPr>
          <w:rFonts w:eastAsia="Calibri"/>
          <w:sz w:val="24"/>
          <w:szCs w:val="24"/>
        </w:rPr>
        <w:t xml:space="preserve">  </w:t>
      </w:r>
    </w:p>
    <w:p w:rsidR="00B9661E" w:rsidP="004F45EB" w14:paraId="5CBEBFC2" w14:textId="77777777">
      <w:pPr>
        <w:autoSpaceDE/>
        <w:autoSpaceDN/>
        <w:adjustRightInd/>
        <w:rPr>
          <w:rFonts w:eastAsia="Calibri"/>
          <w:sz w:val="24"/>
          <w:szCs w:val="24"/>
        </w:rPr>
      </w:pPr>
    </w:p>
    <w:p w:rsidR="00021370" w:rsidP="0090438C" w14:paraId="2812E49B" w14:textId="48113F3E">
      <w:pPr>
        <w:keepNext/>
        <w:keepLines/>
        <w:autoSpaceDE/>
        <w:autoSpaceDN/>
        <w:adjustRightInd/>
        <w:rPr>
          <w:rFonts w:eastAsia="Calibri"/>
          <w:sz w:val="24"/>
          <w:szCs w:val="24"/>
          <w:u w:val="single"/>
        </w:rPr>
      </w:pPr>
      <w:r>
        <w:rPr>
          <w:rFonts w:eastAsia="Calibri"/>
          <w:sz w:val="24"/>
          <w:szCs w:val="24"/>
          <w:u w:val="single"/>
        </w:rPr>
        <w:t>Maintenance</w:t>
      </w:r>
    </w:p>
    <w:p w:rsidR="00021370" w:rsidRPr="004F45EB" w:rsidP="004F45EB" w14:paraId="0C41A537" w14:textId="77777777">
      <w:pPr>
        <w:autoSpaceDE/>
        <w:autoSpaceDN/>
        <w:adjustRightInd/>
        <w:rPr>
          <w:rFonts w:eastAsia="Calibri"/>
          <w:sz w:val="24"/>
          <w:szCs w:val="24"/>
          <w:u w:val="single"/>
        </w:rPr>
      </w:pPr>
    </w:p>
    <w:p w:rsidR="00FC3159" w:rsidP="004B2277" w14:paraId="22662C54" w14:textId="60188575">
      <w:pPr>
        <w:autoSpaceDE/>
        <w:autoSpaceDN/>
        <w:adjustRightInd/>
        <w:rPr>
          <w:rFonts w:eastAsia="Calibri"/>
          <w:sz w:val="24"/>
          <w:szCs w:val="24"/>
        </w:rPr>
      </w:pPr>
      <w:r>
        <w:rPr>
          <w:rFonts w:eastAsia="Calibri"/>
          <w:sz w:val="24"/>
          <w:szCs w:val="24"/>
        </w:rPr>
        <w:t xml:space="preserve">PHMSA estimates, after consultation with various stakeholders, that </w:t>
      </w:r>
      <w:r w:rsidR="1DDB6DB7">
        <w:rPr>
          <w:rFonts w:eastAsia="Calibri"/>
          <w:sz w:val="24"/>
          <w:szCs w:val="24"/>
        </w:rPr>
        <w:t>Class I railroad</w:t>
      </w:r>
      <w:r w:rsidR="495811F8">
        <w:rPr>
          <w:rFonts w:eastAsia="Calibri"/>
          <w:sz w:val="24"/>
          <w:szCs w:val="24"/>
        </w:rPr>
        <w:t xml:space="preserve">s spend 162 hours per year on maintenance for a total of 1,134 burden hours (7 Class I railroads x 162 hours). </w:t>
      </w:r>
      <w:r w:rsidR="00614200">
        <w:rPr>
          <w:rFonts w:eastAsia="Calibri"/>
          <w:sz w:val="24"/>
          <w:szCs w:val="24"/>
        </w:rPr>
        <w:t xml:space="preserve"> </w:t>
      </w:r>
      <w:r w:rsidR="495811F8">
        <w:rPr>
          <w:rFonts w:eastAsia="Calibri"/>
          <w:sz w:val="24"/>
          <w:szCs w:val="24"/>
        </w:rPr>
        <w:t xml:space="preserve">PHMSA estimates that Class II railroads spend 54 hours per year on maintenance for a total of 594 burden hours (11 Class II railroads x 54 hours). </w:t>
      </w:r>
      <w:r w:rsidR="00614200">
        <w:rPr>
          <w:rFonts w:eastAsia="Calibri"/>
          <w:sz w:val="24"/>
          <w:szCs w:val="24"/>
        </w:rPr>
        <w:t xml:space="preserve"> </w:t>
      </w:r>
      <w:r w:rsidR="495811F8">
        <w:rPr>
          <w:rFonts w:eastAsia="Calibri"/>
          <w:sz w:val="24"/>
          <w:szCs w:val="24"/>
        </w:rPr>
        <w:t xml:space="preserve">Class III railroads spend an estimated </w:t>
      </w:r>
      <w:r w:rsidR="298CE88B">
        <w:rPr>
          <w:rFonts w:eastAsia="Calibri"/>
          <w:sz w:val="24"/>
          <w:szCs w:val="24"/>
        </w:rPr>
        <w:t xml:space="preserve">36 hours per year on maintenance for a total of 1,980 burden hours (55 Class III railroads x </w:t>
      </w:r>
      <w:r w:rsidR="7D08DD27">
        <w:rPr>
          <w:rFonts w:eastAsia="Calibri"/>
          <w:sz w:val="24"/>
          <w:szCs w:val="24"/>
        </w:rPr>
        <w:t>36</w:t>
      </w:r>
      <w:r w:rsidR="298CE88B">
        <w:rPr>
          <w:rFonts w:eastAsia="Calibri"/>
          <w:sz w:val="24"/>
          <w:szCs w:val="24"/>
        </w:rPr>
        <w:t xml:space="preserve"> hours). </w:t>
      </w:r>
      <w:r w:rsidR="0AD7D204">
        <w:rPr>
          <w:rFonts w:eastAsia="Calibri"/>
          <w:sz w:val="24"/>
          <w:szCs w:val="24"/>
        </w:rPr>
        <w:t>PHMSA does not estimate any out-of-pocket expenses.</w:t>
      </w:r>
      <w:r w:rsidR="00614200">
        <w:rPr>
          <w:rFonts w:eastAsia="Calibri"/>
          <w:sz w:val="24"/>
          <w:szCs w:val="24"/>
        </w:rPr>
        <w:t xml:space="preserve"> </w:t>
      </w:r>
      <w:r w:rsidR="0AD7D204">
        <w:rPr>
          <w:rFonts w:eastAsia="Calibri"/>
          <w:sz w:val="24"/>
          <w:szCs w:val="24"/>
        </w:rPr>
        <w:t xml:space="preserve"> A Senior Management salary of </w:t>
      </w:r>
      <w:r w:rsidRPr="00512D5E" w:rsidR="00512D5E">
        <w:rPr>
          <w:rFonts w:eastAsia="Calibri"/>
          <w:sz w:val="24"/>
          <w:szCs w:val="24"/>
        </w:rPr>
        <w:t xml:space="preserve">$93.70 </w:t>
      </w:r>
      <w:r>
        <w:rPr>
          <w:rStyle w:val="FootnoteReference"/>
          <w:rFonts w:eastAsia="Calibri"/>
          <w:sz w:val="24"/>
          <w:szCs w:val="24"/>
        </w:rPr>
        <w:footnoteReference w:id="5"/>
      </w:r>
      <w:r w:rsidR="0AD7D204">
        <w:rPr>
          <w:rFonts w:eastAsia="Calibri"/>
          <w:sz w:val="24"/>
          <w:szCs w:val="24"/>
        </w:rPr>
        <w:t xml:space="preserve"> per hour, costs a total of $</w:t>
      </w:r>
      <w:r w:rsidR="00341EDC">
        <w:rPr>
          <w:rFonts w:eastAsia="Calibri"/>
          <w:sz w:val="24"/>
          <w:szCs w:val="24"/>
        </w:rPr>
        <w:t>106,256</w:t>
      </w:r>
      <w:r w:rsidR="0AD7D204">
        <w:rPr>
          <w:rFonts w:eastAsia="Calibri"/>
          <w:sz w:val="24"/>
          <w:szCs w:val="24"/>
        </w:rPr>
        <w:t xml:space="preserve"> for all Class</w:t>
      </w:r>
      <w:r w:rsidR="77567BF5">
        <w:rPr>
          <w:rFonts w:eastAsia="Calibri"/>
          <w:sz w:val="24"/>
          <w:szCs w:val="24"/>
        </w:rPr>
        <w:t> </w:t>
      </w:r>
      <w:r w:rsidR="0AD7D204">
        <w:rPr>
          <w:rFonts w:eastAsia="Calibri"/>
          <w:sz w:val="24"/>
          <w:szCs w:val="24"/>
        </w:rPr>
        <w:t>I railroads (</w:t>
      </w:r>
      <w:r w:rsidR="298CE88B">
        <w:rPr>
          <w:rFonts w:eastAsia="Calibri"/>
          <w:sz w:val="24"/>
          <w:szCs w:val="24"/>
        </w:rPr>
        <w:t>1,134 </w:t>
      </w:r>
      <w:r w:rsidR="0AD7D204">
        <w:rPr>
          <w:rFonts w:eastAsia="Calibri"/>
          <w:sz w:val="24"/>
          <w:szCs w:val="24"/>
        </w:rPr>
        <w:t>burden hours x $</w:t>
      </w:r>
      <w:r w:rsidRPr="00512D5E" w:rsidR="00512D5E">
        <w:rPr>
          <w:rFonts w:eastAsia="Calibri"/>
          <w:sz w:val="24"/>
          <w:szCs w:val="24"/>
        </w:rPr>
        <w:t>$93.70</w:t>
      </w:r>
      <w:r w:rsidR="0AD7D204">
        <w:rPr>
          <w:rFonts w:eastAsia="Calibri"/>
          <w:sz w:val="24"/>
          <w:szCs w:val="24"/>
        </w:rPr>
        <w:t xml:space="preserve">). </w:t>
      </w:r>
      <w:r w:rsidR="00614200">
        <w:rPr>
          <w:rFonts w:eastAsia="Calibri"/>
          <w:sz w:val="24"/>
          <w:szCs w:val="24"/>
        </w:rPr>
        <w:t xml:space="preserve"> </w:t>
      </w:r>
      <w:r w:rsidR="298CE88B">
        <w:rPr>
          <w:rFonts w:eastAsia="Calibri"/>
          <w:sz w:val="24"/>
          <w:szCs w:val="24"/>
        </w:rPr>
        <w:t>For Class II railroads, PHMSA estimates $</w:t>
      </w:r>
      <w:r w:rsidR="00341EDC">
        <w:rPr>
          <w:rFonts w:eastAsia="Calibri"/>
          <w:sz w:val="24"/>
          <w:szCs w:val="24"/>
        </w:rPr>
        <w:t>55,658</w:t>
      </w:r>
      <w:r w:rsidR="298CE88B">
        <w:rPr>
          <w:rFonts w:eastAsia="Calibri"/>
          <w:sz w:val="24"/>
          <w:szCs w:val="24"/>
        </w:rPr>
        <w:t xml:space="preserve"> in salary cost (594 burden hours x </w:t>
      </w:r>
      <w:r w:rsidRPr="00512D5E" w:rsidR="00512D5E">
        <w:rPr>
          <w:rFonts w:eastAsia="Calibri"/>
          <w:sz w:val="24"/>
          <w:szCs w:val="24"/>
        </w:rPr>
        <w:t>$93.70</w:t>
      </w:r>
      <w:r w:rsidR="298CE88B">
        <w:rPr>
          <w:rFonts w:eastAsia="Calibri"/>
          <w:sz w:val="24"/>
          <w:szCs w:val="24"/>
        </w:rPr>
        <w:t>) and $</w:t>
      </w:r>
      <w:r w:rsidR="00FD49F3">
        <w:rPr>
          <w:rFonts w:eastAsia="Calibri"/>
          <w:sz w:val="24"/>
          <w:szCs w:val="24"/>
        </w:rPr>
        <w:t>18</w:t>
      </w:r>
      <w:r w:rsidR="00C76762">
        <w:rPr>
          <w:rFonts w:eastAsia="Calibri"/>
          <w:sz w:val="24"/>
          <w:szCs w:val="24"/>
        </w:rPr>
        <w:t>5</w:t>
      </w:r>
      <w:r w:rsidR="00FD49F3">
        <w:rPr>
          <w:rFonts w:eastAsia="Calibri"/>
          <w:sz w:val="24"/>
          <w:szCs w:val="24"/>
        </w:rPr>
        <w:t>,</w:t>
      </w:r>
      <w:r w:rsidR="00C76762">
        <w:rPr>
          <w:rFonts w:eastAsia="Calibri"/>
          <w:sz w:val="24"/>
          <w:szCs w:val="24"/>
        </w:rPr>
        <w:t>526</w:t>
      </w:r>
      <w:r w:rsidR="298CE88B">
        <w:rPr>
          <w:rFonts w:eastAsia="Calibri"/>
          <w:sz w:val="24"/>
          <w:szCs w:val="24"/>
        </w:rPr>
        <w:t xml:space="preserve"> for class III railroads (1,980 burden hours x </w:t>
      </w:r>
      <w:r w:rsidRPr="00512D5E" w:rsidR="00512D5E">
        <w:rPr>
          <w:rFonts w:eastAsia="Calibri"/>
          <w:sz w:val="24"/>
          <w:szCs w:val="24"/>
        </w:rPr>
        <w:t>$93.70</w:t>
      </w:r>
      <w:r w:rsidR="298CE88B">
        <w:rPr>
          <w:rFonts w:eastAsia="Calibri"/>
          <w:sz w:val="24"/>
          <w:szCs w:val="24"/>
        </w:rPr>
        <w:t>).</w:t>
      </w:r>
    </w:p>
    <w:p w:rsidR="00021370" w:rsidP="004B2277" w14:paraId="6A3746E6" w14:textId="182FDE4D">
      <w:pPr>
        <w:autoSpaceDE/>
        <w:autoSpaceDN/>
        <w:adjustRightInd/>
        <w:rPr>
          <w:rFonts w:eastAsia="Calibri"/>
          <w:sz w:val="24"/>
          <w:szCs w:val="24"/>
        </w:rPr>
      </w:pPr>
    </w:p>
    <w:tbl>
      <w:tblPr>
        <w:tblW w:w="10980" w:type="dxa"/>
        <w:jc w:val="center"/>
        <w:tblLayout w:type="fixed"/>
        <w:tblCellMar>
          <w:top w:w="15" w:type="dxa"/>
          <w:bottom w:w="15" w:type="dxa"/>
        </w:tblCellMar>
        <w:tblLook w:val="04A0"/>
      </w:tblPr>
      <w:tblGrid>
        <w:gridCol w:w="2070"/>
        <w:gridCol w:w="1345"/>
        <w:gridCol w:w="1440"/>
        <w:gridCol w:w="1170"/>
        <w:gridCol w:w="1080"/>
        <w:gridCol w:w="900"/>
        <w:gridCol w:w="900"/>
        <w:gridCol w:w="1085"/>
        <w:gridCol w:w="990"/>
      </w:tblGrid>
      <w:tr w14:paraId="7C2CA792" w14:textId="77777777" w:rsidTr="00BA4BC1">
        <w:tblPrEx>
          <w:tblW w:w="10980" w:type="dxa"/>
          <w:jc w:val="center"/>
          <w:tblLayout w:type="fixed"/>
          <w:tblCellMar>
            <w:top w:w="15" w:type="dxa"/>
            <w:bottom w:w="15" w:type="dxa"/>
          </w:tblCellMar>
          <w:tblLook w:val="04A0"/>
        </w:tblPrEx>
        <w:trPr>
          <w:trHeight w:val="407"/>
          <w:jc w:val="center"/>
        </w:trPr>
        <w:tc>
          <w:tcPr>
            <w:tcW w:w="207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63B39DB5" w14:textId="75817C06">
            <w:pPr>
              <w:autoSpaceDE/>
              <w:autoSpaceDN/>
              <w:adjustRightInd/>
              <w:rPr>
                <w:b/>
                <w:bCs/>
                <w:color w:val="000000"/>
                <w:u w:val="single"/>
              </w:rPr>
            </w:pPr>
            <w:r>
              <w:rPr>
                <w:b/>
                <w:bCs/>
                <w:color w:val="000000"/>
                <w:u w:val="single"/>
              </w:rPr>
              <w:t xml:space="preserve">OSRP </w:t>
            </w:r>
            <w:r w:rsidRPr="004F45EB">
              <w:rPr>
                <w:b/>
                <w:bCs/>
                <w:color w:val="000000"/>
                <w:u w:val="single"/>
              </w:rPr>
              <w:t>Maintenanc</w:t>
            </w:r>
            <w:r>
              <w:rPr>
                <w:b/>
                <w:bCs/>
                <w:color w:val="000000"/>
                <w:u w:val="single"/>
              </w:rPr>
              <w:t>e – Part 130 Subpart C</w:t>
            </w:r>
          </w:p>
        </w:tc>
        <w:tc>
          <w:tcPr>
            <w:tcW w:w="1345"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6DB69114" w14:textId="77777777">
            <w:pPr>
              <w:autoSpaceDE/>
              <w:autoSpaceDN/>
              <w:adjustRightInd/>
              <w:jc w:val="center"/>
              <w:rPr>
                <w:b/>
                <w:bCs/>
                <w:color w:val="000000"/>
                <w:u w:val="single"/>
              </w:rPr>
            </w:pPr>
            <w:r w:rsidRPr="004F45EB">
              <w:rPr>
                <w:b/>
                <w:bCs/>
                <w:color w:val="000000"/>
                <w:u w:val="single"/>
              </w:rPr>
              <w:t>Respondents</w:t>
            </w:r>
          </w:p>
        </w:tc>
        <w:tc>
          <w:tcPr>
            <w:tcW w:w="144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0FE898B1" w14:textId="77777777">
            <w:pPr>
              <w:autoSpaceDE/>
              <w:autoSpaceDN/>
              <w:adjustRightInd/>
              <w:jc w:val="center"/>
              <w:rPr>
                <w:b/>
                <w:bCs/>
                <w:color w:val="000000"/>
                <w:u w:val="single"/>
              </w:rPr>
            </w:pPr>
            <w:r w:rsidRPr="004F45EB">
              <w:rPr>
                <w:b/>
                <w:bCs/>
                <w:color w:val="000000"/>
                <w:u w:val="single"/>
              </w:rPr>
              <w:t>Annual Responses per 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69366B7B" w14:textId="77777777">
            <w:pPr>
              <w:autoSpaceDE/>
              <w:autoSpaceDN/>
              <w:adjustRightInd/>
              <w:jc w:val="center"/>
              <w:rPr>
                <w:b/>
                <w:bCs/>
                <w:color w:val="000000"/>
                <w:u w:val="single"/>
              </w:rPr>
            </w:pPr>
            <w:r w:rsidRPr="004F45EB">
              <w:rPr>
                <w:b/>
                <w:bCs/>
                <w:color w:val="000000"/>
                <w:u w:val="single"/>
              </w:rPr>
              <w:t>Annual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67C63BD3" w14:textId="77777777">
            <w:pPr>
              <w:autoSpaceDE/>
              <w:autoSpaceDN/>
              <w:adjustRightInd/>
              <w:jc w:val="center"/>
              <w:rPr>
                <w:b/>
                <w:bCs/>
                <w:color w:val="000000"/>
                <w:u w:val="single"/>
              </w:rPr>
            </w:pPr>
            <w:r w:rsidRPr="004F45EB">
              <w:rPr>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3AF20E4E" w14:textId="77777777">
            <w:pPr>
              <w:autoSpaceDE/>
              <w:autoSpaceDN/>
              <w:adjustRightInd/>
              <w:jc w:val="center"/>
              <w:rPr>
                <w:b/>
                <w:bCs/>
                <w:color w:val="000000"/>
                <w:u w:val="single"/>
              </w:rPr>
            </w:pPr>
            <w:r w:rsidRPr="004F45EB">
              <w:rPr>
                <w:b/>
                <w:bCs/>
                <w:color w:val="000000"/>
                <w:u w:val="single"/>
              </w:rPr>
              <w:t>Total Burden Hours</w:t>
            </w:r>
          </w:p>
        </w:tc>
        <w:tc>
          <w:tcPr>
            <w:tcW w:w="90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731B9B74" w14:textId="77777777">
            <w:pPr>
              <w:autoSpaceDE/>
              <w:autoSpaceDN/>
              <w:adjustRightInd/>
              <w:jc w:val="center"/>
              <w:rPr>
                <w:b/>
                <w:bCs/>
                <w:color w:val="000000"/>
                <w:u w:val="single"/>
              </w:rPr>
            </w:pPr>
            <w:r w:rsidRPr="004F45EB">
              <w:rPr>
                <w:b/>
                <w:bCs/>
                <w:color w:val="000000"/>
                <w:u w:val="single"/>
              </w:rPr>
              <w:t>Burden Cost</w:t>
            </w:r>
          </w:p>
        </w:tc>
        <w:tc>
          <w:tcPr>
            <w:tcW w:w="1085"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0527982C" w14:textId="77777777">
            <w:pPr>
              <w:autoSpaceDE/>
              <w:autoSpaceDN/>
              <w:adjustRightInd/>
              <w:jc w:val="center"/>
              <w:rPr>
                <w:b/>
                <w:bCs/>
                <w:color w:val="000000"/>
                <w:u w:val="single"/>
              </w:rPr>
            </w:pPr>
            <w:r w:rsidRPr="004F45EB">
              <w:rPr>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5B057A2B" w14:textId="77777777">
            <w:pPr>
              <w:autoSpaceDE/>
              <w:autoSpaceDN/>
              <w:adjustRightInd/>
              <w:jc w:val="center"/>
              <w:rPr>
                <w:b/>
                <w:bCs/>
                <w:color w:val="000000"/>
                <w:u w:val="single"/>
              </w:rPr>
            </w:pPr>
            <w:r w:rsidRPr="004F45EB">
              <w:rPr>
                <w:b/>
                <w:bCs/>
                <w:color w:val="000000"/>
                <w:u w:val="single"/>
              </w:rPr>
              <w:t>Total Salary Cost</w:t>
            </w:r>
          </w:p>
        </w:tc>
      </w:tr>
      <w:tr w14:paraId="148565B7" w14:textId="77777777" w:rsidTr="00BA4BC1">
        <w:tblPrEx>
          <w:tblW w:w="10980" w:type="dxa"/>
          <w:jc w:val="center"/>
          <w:tblLayout w:type="fixed"/>
          <w:tblCellMar>
            <w:top w:w="15" w:type="dxa"/>
            <w:bottom w:w="15" w:type="dxa"/>
          </w:tblCellMar>
          <w:tblLook w:val="04A0"/>
        </w:tblPrEx>
        <w:trPr>
          <w:trHeight w:val="128"/>
          <w:jc w:val="center"/>
        </w:trPr>
        <w:tc>
          <w:tcPr>
            <w:tcW w:w="207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58259814" w14:textId="77777777">
            <w:pPr>
              <w:autoSpaceDE/>
              <w:autoSpaceDN/>
              <w:adjustRightInd/>
              <w:rPr>
                <w:color w:val="000000"/>
              </w:rPr>
            </w:pPr>
            <w:r w:rsidRPr="004F45EB">
              <w:rPr>
                <w:color w:val="000000"/>
              </w:rPr>
              <w:t>Class I Railroads</w:t>
            </w:r>
          </w:p>
        </w:tc>
        <w:tc>
          <w:tcPr>
            <w:tcW w:w="1345"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2B93AA27" w14:textId="77777777">
            <w:pPr>
              <w:autoSpaceDE/>
              <w:autoSpaceDN/>
              <w:adjustRightInd/>
              <w:jc w:val="right"/>
              <w:rPr>
                <w:color w:val="000000"/>
              </w:rPr>
            </w:pPr>
            <w:r w:rsidRPr="004F45EB">
              <w:rPr>
                <w:color w:val="000000"/>
              </w:rPr>
              <w:t>7</w:t>
            </w:r>
          </w:p>
        </w:tc>
        <w:tc>
          <w:tcPr>
            <w:tcW w:w="144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5AF352BD" w14:textId="77777777">
            <w:pPr>
              <w:autoSpaceDE/>
              <w:autoSpaceDN/>
              <w:adjustRightInd/>
              <w:jc w:val="right"/>
              <w:rPr>
                <w:color w:val="000000"/>
              </w:rPr>
            </w:pPr>
            <w:r w:rsidRPr="004F45EB">
              <w:rPr>
                <w:color w:val="000000"/>
              </w:rPr>
              <w:t>1</w:t>
            </w:r>
          </w:p>
        </w:tc>
        <w:tc>
          <w:tcPr>
            <w:tcW w:w="117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43B9FBD2" w14:textId="77777777">
            <w:pPr>
              <w:autoSpaceDE/>
              <w:autoSpaceDN/>
              <w:adjustRightInd/>
              <w:jc w:val="right"/>
              <w:rPr>
                <w:color w:val="000000"/>
              </w:rPr>
            </w:pPr>
            <w:r w:rsidRPr="004F45EB">
              <w:rPr>
                <w:color w:val="000000"/>
              </w:rPr>
              <w:t>7</w:t>
            </w:r>
          </w:p>
        </w:tc>
        <w:tc>
          <w:tcPr>
            <w:tcW w:w="108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50FE74FD" w14:textId="77777777">
            <w:pPr>
              <w:autoSpaceDE/>
              <w:autoSpaceDN/>
              <w:adjustRightInd/>
              <w:jc w:val="right"/>
              <w:rPr>
                <w:color w:val="000000"/>
              </w:rPr>
            </w:pPr>
            <w:r w:rsidRPr="004F45EB">
              <w:rPr>
                <w:color w:val="000000"/>
              </w:rPr>
              <w:t>162</w:t>
            </w:r>
          </w:p>
        </w:tc>
        <w:tc>
          <w:tcPr>
            <w:tcW w:w="90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4CDAF59C" w14:textId="77777777">
            <w:pPr>
              <w:autoSpaceDE/>
              <w:autoSpaceDN/>
              <w:adjustRightInd/>
              <w:jc w:val="right"/>
              <w:rPr>
                <w:color w:val="000000"/>
              </w:rPr>
            </w:pPr>
            <w:r w:rsidRPr="004F45EB">
              <w:rPr>
                <w:color w:val="000000"/>
              </w:rPr>
              <w:t xml:space="preserve"> 1,134 </w:t>
            </w:r>
          </w:p>
        </w:tc>
        <w:tc>
          <w:tcPr>
            <w:tcW w:w="90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070D4A80" w14:textId="77777777">
            <w:pPr>
              <w:autoSpaceDE/>
              <w:autoSpaceDN/>
              <w:adjustRightInd/>
              <w:jc w:val="right"/>
              <w:rPr>
                <w:color w:val="000000"/>
              </w:rPr>
            </w:pPr>
            <w:r w:rsidRPr="004F45EB">
              <w:rPr>
                <w:color w:val="000000"/>
              </w:rPr>
              <w:t xml:space="preserve">$0 </w:t>
            </w:r>
          </w:p>
        </w:tc>
        <w:tc>
          <w:tcPr>
            <w:tcW w:w="1085"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23EFC866" w14:textId="7E453AE6">
            <w:pPr>
              <w:autoSpaceDE/>
              <w:autoSpaceDN/>
              <w:adjustRightInd/>
              <w:jc w:val="right"/>
              <w:rPr>
                <w:color w:val="000000"/>
              </w:rPr>
            </w:pPr>
            <w:r w:rsidRPr="004F45EB">
              <w:rPr>
                <w:color w:val="000000"/>
              </w:rPr>
              <w:t>$</w:t>
            </w:r>
            <w:r w:rsidR="00F00F9A">
              <w:rPr>
                <w:color w:val="000000"/>
              </w:rPr>
              <w:t>93.70</w:t>
            </w:r>
            <w:r w:rsidRPr="004F45EB">
              <w:rPr>
                <w:color w:val="000000"/>
              </w:rPr>
              <w:t xml:space="preserve"> </w:t>
            </w:r>
          </w:p>
        </w:tc>
        <w:tc>
          <w:tcPr>
            <w:tcW w:w="99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40E7B7DD" w14:textId="72D6E27B">
            <w:pPr>
              <w:autoSpaceDE/>
              <w:autoSpaceDN/>
              <w:adjustRightInd/>
              <w:jc w:val="right"/>
              <w:rPr>
                <w:color w:val="000000"/>
              </w:rPr>
            </w:pPr>
            <w:r w:rsidRPr="004F45EB">
              <w:rPr>
                <w:color w:val="000000"/>
              </w:rPr>
              <w:t>$</w:t>
            </w:r>
            <w:r w:rsidR="00F00F9A">
              <w:rPr>
                <w:color w:val="000000"/>
              </w:rPr>
              <w:t>106,256</w:t>
            </w:r>
          </w:p>
        </w:tc>
      </w:tr>
      <w:tr w14:paraId="64713B2F" w14:textId="77777777" w:rsidTr="00BA4BC1">
        <w:tblPrEx>
          <w:tblW w:w="10980" w:type="dxa"/>
          <w:jc w:val="center"/>
          <w:tblLayout w:type="fixed"/>
          <w:tblCellMar>
            <w:top w:w="15" w:type="dxa"/>
            <w:bottom w:w="15" w:type="dxa"/>
          </w:tblCellMar>
          <w:tblLook w:val="04A0"/>
        </w:tblPrEx>
        <w:trPr>
          <w:trHeight w:val="38"/>
          <w:jc w:val="center"/>
        </w:trPr>
        <w:tc>
          <w:tcPr>
            <w:tcW w:w="207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5C9BDB72" w14:textId="77777777">
            <w:pPr>
              <w:autoSpaceDE/>
              <w:autoSpaceDN/>
              <w:adjustRightInd/>
              <w:rPr>
                <w:color w:val="000000"/>
              </w:rPr>
            </w:pPr>
            <w:r w:rsidRPr="004F45EB">
              <w:rPr>
                <w:color w:val="000000"/>
              </w:rPr>
              <w:t>Class II Railroads</w:t>
            </w:r>
          </w:p>
        </w:tc>
        <w:tc>
          <w:tcPr>
            <w:tcW w:w="1345"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13BD66EF" w14:textId="77777777">
            <w:pPr>
              <w:autoSpaceDE/>
              <w:autoSpaceDN/>
              <w:adjustRightInd/>
              <w:jc w:val="right"/>
              <w:rPr>
                <w:color w:val="000000"/>
              </w:rPr>
            </w:pPr>
            <w:r w:rsidRPr="004F45EB">
              <w:rPr>
                <w:color w:val="000000"/>
              </w:rPr>
              <w:t>11</w:t>
            </w:r>
          </w:p>
        </w:tc>
        <w:tc>
          <w:tcPr>
            <w:tcW w:w="144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642294C5" w14:textId="77777777">
            <w:pPr>
              <w:autoSpaceDE/>
              <w:autoSpaceDN/>
              <w:adjustRightInd/>
              <w:jc w:val="right"/>
              <w:rPr>
                <w:color w:val="000000"/>
              </w:rPr>
            </w:pPr>
            <w:r w:rsidRPr="004F45EB">
              <w:rPr>
                <w:color w:val="000000"/>
              </w:rPr>
              <w:t>1</w:t>
            </w:r>
          </w:p>
        </w:tc>
        <w:tc>
          <w:tcPr>
            <w:tcW w:w="117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1DB24161" w14:textId="77777777">
            <w:pPr>
              <w:autoSpaceDE/>
              <w:autoSpaceDN/>
              <w:adjustRightInd/>
              <w:jc w:val="right"/>
              <w:rPr>
                <w:color w:val="000000"/>
              </w:rPr>
            </w:pPr>
            <w:r w:rsidRPr="004F45EB">
              <w:rPr>
                <w:color w:val="000000"/>
              </w:rPr>
              <w:t>11</w:t>
            </w:r>
          </w:p>
        </w:tc>
        <w:tc>
          <w:tcPr>
            <w:tcW w:w="108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5A82EAB9" w14:textId="77777777">
            <w:pPr>
              <w:autoSpaceDE/>
              <w:autoSpaceDN/>
              <w:adjustRightInd/>
              <w:jc w:val="right"/>
              <w:rPr>
                <w:color w:val="000000"/>
              </w:rPr>
            </w:pPr>
            <w:r w:rsidRPr="004F45EB">
              <w:rPr>
                <w:color w:val="000000"/>
              </w:rPr>
              <w:t>54</w:t>
            </w:r>
          </w:p>
        </w:tc>
        <w:tc>
          <w:tcPr>
            <w:tcW w:w="90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6B7395CB" w14:textId="77777777">
            <w:pPr>
              <w:autoSpaceDE/>
              <w:autoSpaceDN/>
              <w:adjustRightInd/>
              <w:jc w:val="right"/>
              <w:rPr>
                <w:color w:val="000000"/>
              </w:rPr>
            </w:pPr>
            <w:r w:rsidRPr="004F45EB">
              <w:rPr>
                <w:color w:val="000000"/>
              </w:rPr>
              <w:t xml:space="preserve"> 594 </w:t>
            </w:r>
          </w:p>
        </w:tc>
        <w:tc>
          <w:tcPr>
            <w:tcW w:w="90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4C467DBD" w14:textId="77777777">
            <w:pPr>
              <w:autoSpaceDE/>
              <w:autoSpaceDN/>
              <w:adjustRightInd/>
              <w:jc w:val="right"/>
              <w:rPr>
                <w:color w:val="000000"/>
              </w:rPr>
            </w:pPr>
            <w:r w:rsidRPr="004F45EB">
              <w:rPr>
                <w:color w:val="000000"/>
              </w:rPr>
              <w:t xml:space="preserve">$0 </w:t>
            </w:r>
          </w:p>
        </w:tc>
        <w:tc>
          <w:tcPr>
            <w:tcW w:w="1085"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47529234" w14:textId="301E5309">
            <w:pPr>
              <w:autoSpaceDE/>
              <w:autoSpaceDN/>
              <w:adjustRightInd/>
              <w:jc w:val="right"/>
              <w:rPr>
                <w:color w:val="000000"/>
              </w:rPr>
            </w:pPr>
            <w:r w:rsidRPr="004F45EB">
              <w:rPr>
                <w:color w:val="000000"/>
              </w:rPr>
              <w:t>$</w:t>
            </w:r>
            <w:r>
              <w:rPr>
                <w:color w:val="000000"/>
              </w:rPr>
              <w:t>93.70</w:t>
            </w:r>
            <w:r w:rsidRPr="004F45EB">
              <w:rPr>
                <w:color w:val="000000"/>
              </w:rPr>
              <w:t xml:space="preserve"> </w:t>
            </w:r>
          </w:p>
        </w:tc>
        <w:tc>
          <w:tcPr>
            <w:tcW w:w="99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45BFA6DD" w14:textId="4F84E240">
            <w:pPr>
              <w:autoSpaceDE/>
              <w:autoSpaceDN/>
              <w:adjustRightInd/>
              <w:jc w:val="right"/>
              <w:rPr>
                <w:color w:val="000000"/>
              </w:rPr>
            </w:pPr>
            <w:r w:rsidRPr="004F45EB">
              <w:rPr>
                <w:color w:val="000000"/>
              </w:rPr>
              <w:t>$</w:t>
            </w:r>
            <w:r w:rsidR="00F00F9A">
              <w:rPr>
                <w:color w:val="000000"/>
              </w:rPr>
              <w:t>55,658</w:t>
            </w:r>
          </w:p>
        </w:tc>
      </w:tr>
      <w:tr w14:paraId="51D5DF8B" w14:textId="77777777" w:rsidTr="004F45EB">
        <w:tblPrEx>
          <w:tblW w:w="10980" w:type="dxa"/>
          <w:jc w:val="center"/>
          <w:tblLayout w:type="fixed"/>
          <w:tblCellMar>
            <w:top w:w="15" w:type="dxa"/>
            <w:bottom w:w="15" w:type="dxa"/>
          </w:tblCellMar>
          <w:tblLook w:val="04A0"/>
        </w:tblPrEx>
        <w:trPr>
          <w:trHeight w:val="45"/>
          <w:jc w:val="center"/>
        </w:trPr>
        <w:tc>
          <w:tcPr>
            <w:tcW w:w="207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66F85E2D" w14:textId="77777777">
            <w:pPr>
              <w:autoSpaceDE/>
              <w:autoSpaceDN/>
              <w:adjustRightInd/>
              <w:rPr>
                <w:color w:val="000000"/>
              </w:rPr>
            </w:pPr>
            <w:r w:rsidRPr="004F45EB">
              <w:rPr>
                <w:color w:val="000000"/>
              </w:rPr>
              <w:t>Class III Railroads</w:t>
            </w:r>
          </w:p>
        </w:tc>
        <w:tc>
          <w:tcPr>
            <w:tcW w:w="1345"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3606DC9F" w14:textId="77777777">
            <w:pPr>
              <w:autoSpaceDE/>
              <w:autoSpaceDN/>
              <w:adjustRightInd/>
              <w:jc w:val="right"/>
              <w:rPr>
                <w:color w:val="000000"/>
              </w:rPr>
            </w:pPr>
            <w:r w:rsidRPr="004F45EB">
              <w:rPr>
                <w:color w:val="000000"/>
              </w:rPr>
              <w:t>55</w:t>
            </w:r>
          </w:p>
        </w:tc>
        <w:tc>
          <w:tcPr>
            <w:tcW w:w="144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404A9AF3" w14:textId="77777777">
            <w:pPr>
              <w:autoSpaceDE/>
              <w:autoSpaceDN/>
              <w:adjustRightInd/>
              <w:jc w:val="right"/>
              <w:rPr>
                <w:color w:val="000000"/>
              </w:rPr>
            </w:pPr>
            <w:r w:rsidRPr="004F45EB">
              <w:rPr>
                <w:color w:val="000000"/>
              </w:rPr>
              <w:t>1</w:t>
            </w:r>
          </w:p>
        </w:tc>
        <w:tc>
          <w:tcPr>
            <w:tcW w:w="117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0927384B" w14:textId="77777777">
            <w:pPr>
              <w:autoSpaceDE/>
              <w:autoSpaceDN/>
              <w:adjustRightInd/>
              <w:jc w:val="right"/>
              <w:rPr>
                <w:color w:val="000000"/>
              </w:rPr>
            </w:pPr>
            <w:r w:rsidRPr="004F45EB">
              <w:rPr>
                <w:color w:val="000000"/>
              </w:rPr>
              <w:t>55</w:t>
            </w:r>
          </w:p>
        </w:tc>
        <w:tc>
          <w:tcPr>
            <w:tcW w:w="108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40A74AD2" w14:textId="77777777">
            <w:pPr>
              <w:autoSpaceDE/>
              <w:autoSpaceDN/>
              <w:adjustRightInd/>
              <w:jc w:val="right"/>
              <w:rPr>
                <w:color w:val="000000"/>
              </w:rPr>
            </w:pPr>
            <w:r w:rsidRPr="004F45EB">
              <w:rPr>
                <w:color w:val="000000"/>
              </w:rPr>
              <w:t>36</w:t>
            </w:r>
          </w:p>
        </w:tc>
        <w:tc>
          <w:tcPr>
            <w:tcW w:w="90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6CEE2F41" w14:textId="77777777">
            <w:pPr>
              <w:autoSpaceDE/>
              <w:autoSpaceDN/>
              <w:adjustRightInd/>
              <w:jc w:val="right"/>
              <w:rPr>
                <w:color w:val="000000"/>
              </w:rPr>
            </w:pPr>
            <w:r w:rsidRPr="004F45EB">
              <w:rPr>
                <w:color w:val="000000"/>
              </w:rPr>
              <w:t xml:space="preserve"> 1,980 </w:t>
            </w:r>
          </w:p>
        </w:tc>
        <w:tc>
          <w:tcPr>
            <w:tcW w:w="90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0897D012" w14:textId="77777777">
            <w:pPr>
              <w:autoSpaceDE/>
              <w:autoSpaceDN/>
              <w:adjustRightInd/>
              <w:jc w:val="right"/>
              <w:rPr>
                <w:color w:val="000000"/>
              </w:rPr>
            </w:pPr>
            <w:r w:rsidRPr="004F45EB">
              <w:rPr>
                <w:color w:val="000000"/>
              </w:rPr>
              <w:t xml:space="preserve">$0 </w:t>
            </w:r>
          </w:p>
        </w:tc>
        <w:tc>
          <w:tcPr>
            <w:tcW w:w="1085"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4315F4F7" w14:textId="15495D6E">
            <w:pPr>
              <w:autoSpaceDE/>
              <w:autoSpaceDN/>
              <w:adjustRightInd/>
              <w:jc w:val="right"/>
              <w:rPr>
                <w:color w:val="000000"/>
              </w:rPr>
            </w:pPr>
            <w:r w:rsidRPr="004F45EB">
              <w:rPr>
                <w:color w:val="000000"/>
              </w:rPr>
              <w:t>$</w:t>
            </w:r>
            <w:r>
              <w:rPr>
                <w:color w:val="000000"/>
              </w:rPr>
              <w:t>93.70</w:t>
            </w:r>
            <w:r w:rsidRPr="004F45EB">
              <w:rPr>
                <w:color w:val="000000"/>
              </w:rPr>
              <w:t xml:space="preserve"> </w:t>
            </w:r>
          </w:p>
        </w:tc>
        <w:tc>
          <w:tcPr>
            <w:tcW w:w="990" w:type="dxa"/>
            <w:tcBorders>
              <w:top w:val="single" w:sz="4" w:space="0" w:color="auto"/>
              <w:left w:val="single" w:sz="4" w:space="0" w:color="auto"/>
              <w:bottom w:val="single" w:sz="4" w:space="0" w:color="auto"/>
              <w:right w:val="single" w:sz="4" w:space="0" w:color="auto"/>
            </w:tcBorders>
            <w:vAlign w:val="bottom"/>
            <w:hideMark/>
          </w:tcPr>
          <w:p w:rsidR="004768DE" w:rsidRPr="004F45EB" w:rsidP="00021370" w14:paraId="3C638AF0" w14:textId="2F26418F">
            <w:pPr>
              <w:autoSpaceDE/>
              <w:autoSpaceDN/>
              <w:adjustRightInd/>
              <w:jc w:val="right"/>
              <w:rPr>
                <w:color w:val="000000"/>
              </w:rPr>
            </w:pPr>
            <w:r w:rsidRPr="004F45EB">
              <w:rPr>
                <w:color w:val="000000"/>
              </w:rPr>
              <w:t>$</w:t>
            </w:r>
            <w:r w:rsidR="00F00F9A">
              <w:rPr>
                <w:color w:val="000000"/>
              </w:rPr>
              <w:t>185</w:t>
            </w:r>
            <w:r w:rsidR="00512D5E">
              <w:rPr>
                <w:color w:val="000000"/>
              </w:rPr>
              <w:t>,526</w:t>
            </w:r>
          </w:p>
        </w:tc>
      </w:tr>
    </w:tbl>
    <w:p w:rsidR="00322272" w:rsidP="004B2277" w14:paraId="546C4793" w14:textId="77777777">
      <w:pPr>
        <w:rPr>
          <w:rFonts w:eastAsia="Calibri"/>
          <w:sz w:val="24"/>
          <w:szCs w:val="24"/>
        </w:rPr>
      </w:pPr>
    </w:p>
    <w:p w:rsidR="00322272" w:rsidP="004B2277" w14:paraId="5902C4D1" w14:textId="77777777">
      <w:pPr>
        <w:keepNext/>
        <w:keepLines/>
        <w:rPr>
          <w:rFonts w:eastAsia="Calibri"/>
          <w:sz w:val="24"/>
          <w:szCs w:val="24"/>
        </w:rPr>
      </w:pPr>
      <w:r>
        <w:rPr>
          <w:rFonts w:eastAsia="Calibri"/>
          <w:sz w:val="24"/>
          <w:szCs w:val="24"/>
          <w:u w:val="single"/>
        </w:rPr>
        <w:t>Submission</w:t>
      </w:r>
    </w:p>
    <w:p w:rsidR="00322272" w:rsidP="004B2277" w14:paraId="5A456DC6" w14:textId="77777777">
      <w:pPr>
        <w:rPr>
          <w:rFonts w:eastAsia="Calibri"/>
          <w:sz w:val="24"/>
          <w:szCs w:val="24"/>
        </w:rPr>
      </w:pPr>
    </w:p>
    <w:p w:rsidR="0079049A" w:rsidP="004B2277" w14:paraId="34913BB1" w14:textId="24AA6917">
      <w:pPr>
        <w:rPr>
          <w:rFonts w:eastAsia="Calibri"/>
          <w:sz w:val="24"/>
          <w:szCs w:val="24"/>
        </w:rPr>
      </w:pPr>
      <w:r>
        <w:rPr>
          <w:rFonts w:eastAsia="Calibri"/>
          <w:sz w:val="24"/>
          <w:szCs w:val="24"/>
        </w:rPr>
        <w:t>Section</w:t>
      </w:r>
      <w:r w:rsidR="77B89E37">
        <w:rPr>
          <w:rFonts w:eastAsia="Calibri"/>
          <w:sz w:val="24"/>
          <w:szCs w:val="24"/>
        </w:rPr>
        <w:t>s</w:t>
      </w:r>
      <w:r>
        <w:rPr>
          <w:rFonts w:eastAsia="Calibri"/>
          <w:sz w:val="24"/>
          <w:szCs w:val="24"/>
        </w:rPr>
        <w:t xml:space="preserve"> 173.</w:t>
      </w:r>
      <w:r w:rsidR="77B89E37">
        <w:rPr>
          <w:rFonts w:eastAsia="Calibri"/>
          <w:sz w:val="24"/>
          <w:szCs w:val="24"/>
        </w:rPr>
        <w:t>145 and 173.</w:t>
      </w:r>
      <w:r>
        <w:rPr>
          <w:rFonts w:eastAsia="Calibri"/>
          <w:sz w:val="24"/>
          <w:szCs w:val="24"/>
        </w:rPr>
        <w:t xml:space="preserve">150 require </w:t>
      </w:r>
      <w:r w:rsidR="77B89E37">
        <w:rPr>
          <w:rFonts w:eastAsia="Calibri"/>
          <w:sz w:val="24"/>
          <w:szCs w:val="24"/>
        </w:rPr>
        <w:t xml:space="preserve">the electronic submission of each plan following development, as any major changes are made, and at least every five years from the date of approval. </w:t>
      </w:r>
      <w:r w:rsidR="00614200">
        <w:rPr>
          <w:rFonts w:eastAsia="Calibri"/>
          <w:sz w:val="24"/>
          <w:szCs w:val="24"/>
        </w:rPr>
        <w:t xml:space="preserve"> </w:t>
      </w:r>
      <w:r w:rsidR="1394F418">
        <w:rPr>
          <w:rFonts w:eastAsia="Calibri"/>
          <w:sz w:val="24"/>
          <w:szCs w:val="24"/>
        </w:rPr>
        <w:t xml:space="preserve">For purposes of information collection, PHMSA averages the burden over 5 years. PHMSA estimates there are </w:t>
      </w:r>
      <w:r w:rsidR="75D19647">
        <w:rPr>
          <w:rFonts w:eastAsia="Calibri"/>
          <w:sz w:val="24"/>
          <w:szCs w:val="24"/>
        </w:rPr>
        <w:t>73</w:t>
      </w:r>
      <w:r w:rsidR="1394F418">
        <w:rPr>
          <w:rFonts w:eastAsia="Calibri"/>
          <w:sz w:val="24"/>
          <w:szCs w:val="24"/>
        </w:rPr>
        <w:t xml:space="preserve"> railroads </w:t>
      </w:r>
      <w:r w:rsidR="1B39C7FE">
        <w:rPr>
          <w:rFonts w:eastAsia="Calibri"/>
          <w:sz w:val="24"/>
          <w:szCs w:val="24"/>
        </w:rPr>
        <w:t xml:space="preserve">(7 Class I + 11 Class II + 55 Class III) </w:t>
      </w:r>
      <w:r w:rsidR="1394F418">
        <w:rPr>
          <w:rFonts w:eastAsia="Calibri"/>
          <w:sz w:val="24"/>
          <w:szCs w:val="24"/>
        </w:rPr>
        <w:t xml:space="preserve">submitting 0.2 COSRPs each year (1 response / 5 years) for a total of </w:t>
      </w:r>
      <w:r w:rsidR="1B39C7FE">
        <w:rPr>
          <w:rFonts w:eastAsia="Calibri"/>
          <w:sz w:val="24"/>
          <w:szCs w:val="24"/>
        </w:rPr>
        <w:t>14.6</w:t>
      </w:r>
      <w:r w:rsidR="1394F418">
        <w:rPr>
          <w:rFonts w:eastAsia="Calibri"/>
          <w:sz w:val="24"/>
          <w:szCs w:val="24"/>
        </w:rPr>
        <w:t xml:space="preserve"> annual response (</w:t>
      </w:r>
      <w:r w:rsidR="1B39C7FE">
        <w:rPr>
          <w:rFonts w:eastAsia="Calibri"/>
          <w:sz w:val="24"/>
          <w:szCs w:val="24"/>
        </w:rPr>
        <w:t>73</w:t>
      </w:r>
      <w:r w:rsidR="1394F418">
        <w:rPr>
          <w:rFonts w:eastAsia="Calibri"/>
          <w:sz w:val="24"/>
          <w:szCs w:val="24"/>
        </w:rPr>
        <w:t xml:space="preserve"> railroads x 0.2 response). Each submission is estimated to take 0.5 hours, for a total of </w:t>
      </w:r>
      <w:r w:rsidR="1B39C7FE">
        <w:rPr>
          <w:rFonts w:eastAsia="Calibri"/>
          <w:sz w:val="24"/>
          <w:szCs w:val="24"/>
        </w:rPr>
        <w:t>7</w:t>
      </w:r>
      <w:r w:rsidR="1394F418">
        <w:rPr>
          <w:rFonts w:eastAsia="Calibri"/>
          <w:sz w:val="24"/>
          <w:szCs w:val="24"/>
        </w:rPr>
        <w:t xml:space="preserve"> burden hours (</w:t>
      </w:r>
      <w:r w:rsidR="1B39C7FE">
        <w:rPr>
          <w:rFonts w:eastAsia="Calibri"/>
          <w:sz w:val="24"/>
          <w:szCs w:val="24"/>
        </w:rPr>
        <w:t>14.6</w:t>
      </w:r>
      <w:r w:rsidR="1394F418">
        <w:rPr>
          <w:rFonts w:eastAsia="Calibri"/>
          <w:sz w:val="24"/>
          <w:szCs w:val="24"/>
        </w:rPr>
        <w:t xml:space="preserve"> response x 0.5</w:t>
      </w:r>
      <w:r w:rsidR="1B39C7FE">
        <w:rPr>
          <w:rFonts w:eastAsia="Calibri"/>
          <w:sz w:val="24"/>
          <w:szCs w:val="24"/>
        </w:rPr>
        <w:t> </w:t>
      </w:r>
      <w:r w:rsidR="1394F418">
        <w:rPr>
          <w:rFonts w:eastAsia="Calibri"/>
          <w:sz w:val="24"/>
          <w:szCs w:val="24"/>
        </w:rPr>
        <w:t xml:space="preserve">hours). </w:t>
      </w:r>
      <w:r w:rsidR="00614200">
        <w:rPr>
          <w:rFonts w:eastAsia="Calibri"/>
          <w:sz w:val="24"/>
          <w:szCs w:val="24"/>
        </w:rPr>
        <w:t xml:space="preserve"> </w:t>
      </w:r>
      <w:r w:rsidR="1394F418">
        <w:rPr>
          <w:rFonts w:eastAsia="Calibri"/>
          <w:sz w:val="24"/>
          <w:szCs w:val="24"/>
        </w:rPr>
        <w:t xml:space="preserve">PHMSA does not estimate any out-of-pocket expenses. </w:t>
      </w:r>
      <w:r w:rsidR="00614200">
        <w:rPr>
          <w:rFonts w:eastAsia="Calibri"/>
          <w:sz w:val="24"/>
          <w:szCs w:val="24"/>
        </w:rPr>
        <w:t xml:space="preserve"> </w:t>
      </w:r>
      <w:r w:rsidR="1394F418">
        <w:rPr>
          <w:rFonts w:eastAsia="Calibri"/>
          <w:sz w:val="24"/>
          <w:szCs w:val="24"/>
        </w:rPr>
        <w:t xml:space="preserve">To complete the </w:t>
      </w:r>
      <w:r w:rsidR="1394F418">
        <w:rPr>
          <w:rFonts w:eastAsia="Calibri"/>
          <w:sz w:val="24"/>
          <w:szCs w:val="24"/>
        </w:rPr>
        <w:t>submission, Administrative Support with a salary of $</w:t>
      </w:r>
      <w:r w:rsidR="00CF6D35">
        <w:rPr>
          <w:rFonts w:eastAsia="Calibri"/>
          <w:sz w:val="24"/>
          <w:szCs w:val="24"/>
        </w:rPr>
        <w:t>54.25</w:t>
      </w:r>
      <w:r>
        <w:rPr>
          <w:rStyle w:val="FootnoteReference"/>
          <w:rFonts w:eastAsia="Calibri"/>
          <w:sz w:val="24"/>
          <w:szCs w:val="24"/>
        </w:rPr>
        <w:footnoteReference w:id="6"/>
      </w:r>
      <w:r w:rsidR="1394F418">
        <w:rPr>
          <w:rFonts w:eastAsia="Calibri"/>
          <w:sz w:val="24"/>
          <w:szCs w:val="24"/>
        </w:rPr>
        <w:t xml:space="preserve"> per hour, costs a total of $</w:t>
      </w:r>
      <w:r w:rsidR="00FD49F3">
        <w:rPr>
          <w:rFonts w:eastAsia="Calibri"/>
          <w:sz w:val="24"/>
          <w:szCs w:val="24"/>
        </w:rPr>
        <w:t xml:space="preserve">378 </w:t>
      </w:r>
      <w:r w:rsidR="1394F418">
        <w:rPr>
          <w:rFonts w:eastAsia="Calibri"/>
          <w:sz w:val="24"/>
          <w:szCs w:val="24"/>
        </w:rPr>
        <w:t xml:space="preserve">for the submission of </w:t>
      </w:r>
      <w:r w:rsidR="1B39C7FE">
        <w:rPr>
          <w:rFonts w:eastAsia="Calibri"/>
          <w:sz w:val="24"/>
          <w:szCs w:val="24"/>
        </w:rPr>
        <w:t>COSRPs (</w:t>
      </w:r>
      <w:r w:rsidR="1394F418">
        <w:rPr>
          <w:rFonts w:eastAsia="Calibri"/>
          <w:sz w:val="24"/>
          <w:szCs w:val="24"/>
        </w:rPr>
        <w:t>7 burden hours x $</w:t>
      </w:r>
      <w:r w:rsidR="00CF6D35">
        <w:rPr>
          <w:rFonts w:eastAsia="Calibri"/>
          <w:sz w:val="24"/>
          <w:szCs w:val="24"/>
        </w:rPr>
        <w:t>54.25</w:t>
      </w:r>
      <w:r w:rsidR="1394F418">
        <w:rPr>
          <w:rFonts w:eastAsia="Calibri"/>
          <w:sz w:val="24"/>
          <w:szCs w:val="24"/>
        </w:rPr>
        <w:t xml:space="preserve">).  </w:t>
      </w:r>
    </w:p>
    <w:p w:rsidR="0079049A" w:rsidP="004B2277" w14:paraId="42ABCB52" w14:textId="77777777">
      <w:pPr>
        <w:rPr>
          <w:rFonts w:eastAsia="Calibri"/>
          <w:sz w:val="24"/>
          <w:szCs w:val="24"/>
        </w:rPr>
      </w:pPr>
    </w:p>
    <w:tbl>
      <w:tblPr>
        <w:tblW w:w="11515" w:type="dxa"/>
        <w:jc w:val="center"/>
        <w:tblLayout w:type="fixed"/>
        <w:tblLook w:val="04A0"/>
      </w:tblPr>
      <w:tblGrid>
        <w:gridCol w:w="1525"/>
        <w:gridCol w:w="1330"/>
        <w:gridCol w:w="1370"/>
        <w:gridCol w:w="1440"/>
        <w:gridCol w:w="1170"/>
        <w:gridCol w:w="1080"/>
        <w:gridCol w:w="900"/>
        <w:gridCol w:w="900"/>
        <w:gridCol w:w="900"/>
        <w:gridCol w:w="900"/>
      </w:tblGrid>
      <w:tr w14:paraId="3895F635" w14:textId="77777777" w:rsidTr="007D7192">
        <w:tblPrEx>
          <w:tblW w:w="11515" w:type="dxa"/>
          <w:jc w:val="center"/>
          <w:tblLayout w:type="fixed"/>
          <w:tblLook w:val="04A0"/>
        </w:tblPrEx>
        <w:trPr>
          <w:trHeight w:val="552"/>
          <w:jc w:val="center"/>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6DB4" w:rsidRPr="004F45EB" w:rsidP="004F45EB" w14:paraId="53A3D058" w14:textId="0CF10F0D">
            <w:pPr>
              <w:keepNext/>
              <w:keepLines/>
              <w:autoSpaceDE/>
              <w:autoSpaceDN/>
              <w:adjustRightInd/>
              <w:rPr>
                <w:b/>
                <w:bCs/>
                <w:color w:val="000000"/>
                <w:u w:val="single"/>
              </w:rPr>
            </w:pPr>
            <w:r w:rsidRPr="004F45EB">
              <w:rPr>
                <w:b/>
                <w:bCs/>
                <w:color w:val="000000"/>
                <w:u w:val="single"/>
              </w:rPr>
              <w:t>Submission – Part 130, Subpart C</w:t>
            </w:r>
          </w:p>
        </w:tc>
        <w:tc>
          <w:tcPr>
            <w:tcW w:w="1330" w:type="dxa"/>
            <w:tcBorders>
              <w:top w:val="single" w:sz="4" w:space="0" w:color="auto"/>
              <w:left w:val="nil"/>
              <w:bottom w:val="single" w:sz="4" w:space="0" w:color="auto"/>
              <w:right w:val="single" w:sz="4" w:space="0" w:color="auto"/>
            </w:tcBorders>
            <w:shd w:val="clear" w:color="auto" w:fill="auto"/>
            <w:vAlign w:val="bottom"/>
            <w:hideMark/>
          </w:tcPr>
          <w:p w:rsidR="00C76DB4" w:rsidRPr="004F45EB" w:rsidP="004F45EB" w14:paraId="1FD46CF7" w14:textId="77777777">
            <w:pPr>
              <w:keepNext/>
              <w:keepLines/>
              <w:autoSpaceDE/>
              <w:autoSpaceDN/>
              <w:adjustRightInd/>
              <w:jc w:val="center"/>
              <w:rPr>
                <w:b/>
                <w:bCs/>
                <w:color w:val="000000"/>
                <w:u w:val="single"/>
              </w:rPr>
            </w:pPr>
            <w:r w:rsidRPr="004F45EB">
              <w:rPr>
                <w:b/>
                <w:bCs/>
                <w:color w:val="000000"/>
                <w:u w:val="single"/>
              </w:rPr>
              <w:t>Respondents</w:t>
            </w:r>
          </w:p>
        </w:tc>
        <w:tc>
          <w:tcPr>
            <w:tcW w:w="1370" w:type="dxa"/>
            <w:tcBorders>
              <w:top w:val="single" w:sz="4" w:space="0" w:color="auto"/>
              <w:left w:val="nil"/>
              <w:bottom w:val="single" w:sz="4" w:space="0" w:color="auto"/>
              <w:right w:val="single" w:sz="4" w:space="0" w:color="auto"/>
            </w:tcBorders>
            <w:shd w:val="clear" w:color="auto" w:fill="auto"/>
            <w:vAlign w:val="bottom"/>
            <w:hideMark/>
          </w:tcPr>
          <w:p w:rsidR="00C76DB4" w:rsidRPr="004F45EB" w:rsidP="004F45EB" w14:paraId="3364FF45" w14:textId="77777777">
            <w:pPr>
              <w:keepNext/>
              <w:keepLines/>
              <w:autoSpaceDE/>
              <w:autoSpaceDN/>
              <w:adjustRightInd/>
              <w:jc w:val="center"/>
              <w:rPr>
                <w:b/>
                <w:bCs/>
                <w:color w:val="000000"/>
                <w:u w:val="single"/>
              </w:rPr>
            </w:pPr>
            <w:r w:rsidRPr="004F45EB">
              <w:rPr>
                <w:b/>
                <w:bCs/>
                <w:color w:val="000000"/>
                <w:u w:val="single"/>
              </w:rPr>
              <w:t>Frequency of Submission (Years)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C76DB4" w:rsidRPr="004F45EB" w:rsidP="004F45EB" w14:paraId="44A1D51B" w14:textId="77777777">
            <w:pPr>
              <w:keepNext/>
              <w:keepLines/>
              <w:autoSpaceDE/>
              <w:autoSpaceDN/>
              <w:adjustRightInd/>
              <w:jc w:val="center"/>
              <w:rPr>
                <w:b/>
                <w:bCs/>
                <w:color w:val="000000"/>
                <w:u w:val="single"/>
              </w:rPr>
            </w:pPr>
            <w:r w:rsidRPr="004F45EB">
              <w:rPr>
                <w:b/>
                <w:bCs/>
                <w:color w:val="000000"/>
                <w:u w:val="single"/>
              </w:rPr>
              <w:t>Annual Responses per Respondent</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C76DB4" w:rsidRPr="004F45EB" w:rsidP="004F45EB" w14:paraId="0F793AE3" w14:textId="77777777">
            <w:pPr>
              <w:keepNext/>
              <w:keepLines/>
              <w:autoSpaceDE/>
              <w:autoSpaceDN/>
              <w:adjustRightInd/>
              <w:jc w:val="center"/>
              <w:rPr>
                <w:b/>
                <w:bCs/>
                <w:color w:val="000000"/>
                <w:u w:val="single"/>
              </w:rPr>
            </w:pPr>
            <w:r w:rsidRPr="004F45EB">
              <w:rPr>
                <w:b/>
                <w:bCs/>
                <w:color w:val="000000"/>
                <w:u w:val="single"/>
              </w:rPr>
              <w:t>Annual Responses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C76DB4" w:rsidRPr="004F45EB" w:rsidP="004F45EB" w14:paraId="38D4D448" w14:textId="77777777">
            <w:pPr>
              <w:keepNext/>
              <w:keepLines/>
              <w:autoSpaceDE/>
              <w:autoSpaceDN/>
              <w:adjustRightInd/>
              <w:jc w:val="center"/>
              <w:rPr>
                <w:b/>
                <w:bCs/>
                <w:color w:val="000000"/>
                <w:u w:val="single"/>
              </w:rPr>
            </w:pPr>
            <w:r w:rsidRPr="004F45EB">
              <w:rPr>
                <w:b/>
                <w:bCs/>
                <w:color w:val="000000"/>
                <w:u w:val="single"/>
              </w:rPr>
              <w:t>Hours per Response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C76DB4" w:rsidRPr="004F45EB" w:rsidP="004F45EB" w14:paraId="57E0A260" w14:textId="77777777">
            <w:pPr>
              <w:keepNext/>
              <w:keepLines/>
              <w:autoSpaceDE/>
              <w:autoSpaceDN/>
              <w:adjustRightInd/>
              <w:jc w:val="center"/>
              <w:rPr>
                <w:b/>
                <w:bCs/>
                <w:color w:val="000000"/>
                <w:u w:val="single"/>
              </w:rPr>
            </w:pPr>
            <w:r w:rsidRPr="004F45EB">
              <w:rPr>
                <w:b/>
                <w:bCs/>
                <w:color w:val="000000"/>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C76DB4" w:rsidRPr="004F45EB" w:rsidP="004F45EB" w14:paraId="5FC21D02" w14:textId="77777777">
            <w:pPr>
              <w:keepNext/>
              <w:keepLines/>
              <w:autoSpaceDE/>
              <w:autoSpaceDN/>
              <w:adjustRightInd/>
              <w:jc w:val="center"/>
              <w:rPr>
                <w:b/>
                <w:bCs/>
                <w:color w:val="000000"/>
                <w:u w:val="single"/>
              </w:rPr>
            </w:pPr>
            <w:r w:rsidRPr="004F45EB">
              <w:rPr>
                <w:b/>
                <w:bCs/>
                <w:color w:val="000000"/>
                <w:u w:val="single"/>
              </w:rPr>
              <w:t>Burden Cost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C76DB4" w:rsidRPr="004F45EB" w:rsidP="004F45EB" w14:paraId="34DFB14A" w14:textId="77777777">
            <w:pPr>
              <w:keepNext/>
              <w:keepLines/>
              <w:autoSpaceDE/>
              <w:autoSpaceDN/>
              <w:adjustRightInd/>
              <w:jc w:val="center"/>
              <w:rPr>
                <w:b/>
                <w:bCs/>
                <w:color w:val="000000"/>
                <w:u w:val="single"/>
              </w:rPr>
            </w:pPr>
            <w:r w:rsidRPr="004F45EB">
              <w:rPr>
                <w:b/>
                <w:bCs/>
                <w:color w:val="000000"/>
                <w:u w:val="single"/>
              </w:rPr>
              <w:t>Salary Cost per Hour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C76DB4" w:rsidRPr="004F45EB" w:rsidP="004F45EB" w14:paraId="04A13C61" w14:textId="77777777">
            <w:pPr>
              <w:keepNext/>
              <w:keepLines/>
              <w:autoSpaceDE/>
              <w:autoSpaceDN/>
              <w:adjustRightInd/>
              <w:jc w:val="center"/>
              <w:rPr>
                <w:b/>
                <w:bCs/>
                <w:color w:val="000000"/>
                <w:u w:val="single"/>
              </w:rPr>
            </w:pPr>
            <w:r w:rsidRPr="004F45EB">
              <w:rPr>
                <w:b/>
                <w:bCs/>
                <w:color w:val="000000"/>
                <w:u w:val="single"/>
              </w:rPr>
              <w:t>Total Salary Cost</w:t>
            </w:r>
          </w:p>
        </w:tc>
      </w:tr>
      <w:tr w14:paraId="3F83F014" w14:textId="77777777" w:rsidTr="007D7192">
        <w:tblPrEx>
          <w:tblW w:w="11515" w:type="dxa"/>
          <w:jc w:val="center"/>
          <w:tblLayout w:type="fixed"/>
          <w:tblLook w:val="04A0"/>
        </w:tblPrEx>
        <w:trPr>
          <w:trHeight w:val="62"/>
          <w:jc w:val="center"/>
        </w:trPr>
        <w:tc>
          <w:tcPr>
            <w:tcW w:w="1525" w:type="dxa"/>
            <w:tcBorders>
              <w:top w:val="nil"/>
              <w:left w:val="single" w:sz="4" w:space="0" w:color="auto"/>
              <w:bottom w:val="single" w:sz="4" w:space="0" w:color="auto"/>
              <w:right w:val="single" w:sz="4" w:space="0" w:color="auto"/>
            </w:tcBorders>
            <w:shd w:val="clear" w:color="auto" w:fill="auto"/>
            <w:vAlign w:val="bottom"/>
          </w:tcPr>
          <w:p w:rsidR="00C76DB4" w:rsidRPr="004F45EB" w:rsidP="004F45EB" w14:paraId="6C132618" w14:textId="16DB111C">
            <w:pPr>
              <w:keepNext/>
              <w:keepLines/>
              <w:autoSpaceDE/>
              <w:autoSpaceDN/>
              <w:adjustRightInd/>
              <w:rPr>
                <w:bCs/>
                <w:color w:val="000000"/>
              </w:rPr>
            </w:pPr>
            <w:r w:rsidRPr="004F45EB">
              <w:rPr>
                <w:bCs/>
                <w:color w:val="000000"/>
              </w:rPr>
              <w:t>Reporting</w:t>
            </w:r>
          </w:p>
        </w:tc>
        <w:tc>
          <w:tcPr>
            <w:tcW w:w="1330" w:type="dxa"/>
            <w:tcBorders>
              <w:top w:val="nil"/>
              <w:left w:val="nil"/>
              <w:bottom w:val="single" w:sz="4" w:space="0" w:color="auto"/>
              <w:right w:val="single" w:sz="4" w:space="0" w:color="auto"/>
            </w:tcBorders>
            <w:shd w:val="clear" w:color="auto" w:fill="auto"/>
            <w:vAlign w:val="bottom"/>
            <w:hideMark/>
          </w:tcPr>
          <w:p w:rsidR="00C76DB4" w:rsidRPr="004F45EB" w:rsidP="004F45EB" w14:paraId="3C1DFD3E" w14:textId="77777777">
            <w:pPr>
              <w:keepNext/>
              <w:keepLines/>
              <w:autoSpaceDE/>
              <w:autoSpaceDN/>
              <w:adjustRightInd/>
              <w:jc w:val="right"/>
              <w:rPr>
                <w:color w:val="000000"/>
              </w:rPr>
            </w:pPr>
            <w:r w:rsidRPr="004F45EB">
              <w:rPr>
                <w:color w:val="000000"/>
              </w:rPr>
              <w:t>73</w:t>
            </w:r>
          </w:p>
        </w:tc>
        <w:tc>
          <w:tcPr>
            <w:tcW w:w="1370" w:type="dxa"/>
            <w:tcBorders>
              <w:top w:val="nil"/>
              <w:left w:val="nil"/>
              <w:bottom w:val="single" w:sz="4" w:space="0" w:color="auto"/>
              <w:right w:val="single" w:sz="4" w:space="0" w:color="auto"/>
            </w:tcBorders>
            <w:shd w:val="clear" w:color="auto" w:fill="auto"/>
            <w:vAlign w:val="bottom"/>
            <w:hideMark/>
          </w:tcPr>
          <w:p w:rsidR="00C76DB4" w:rsidRPr="004F45EB" w:rsidP="004F45EB" w14:paraId="658900B3" w14:textId="77777777">
            <w:pPr>
              <w:keepNext/>
              <w:keepLines/>
              <w:autoSpaceDE/>
              <w:autoSpaceDN/>
              <w:adjustRightInd/>
              <w:jc w:val="right"/>
              <w:rPr>
                <w:color w:val="000000"/>
              </w:rPr>
            </w:pPr>
            <w:r w:rsidRPr="004F45EB">
              <w:rPr>
                <w:color w:val="000000"/>
              </w:rPr>
              <w:t>5</w:t>
            </w:r>
          </w:p>
        </w:tc>
        <w:tc>
          <w:tcPr>
            <w:tcW w:w="1440" w:type="dxa"/>
            <w:tcBorders>
              <w:top w:val="nil"/>
              <w:left w:val="nil"/>
              <w:bottom w:val="single" w:sz="4" w:space="0" w:color="auto"/>
              <w:right w:val="single" w:sz="4" w:space="0" w:color="auto"/>
            </w:tcBorders>
            <w:shd w:val="clear" w:color="auto" w:fill="auto"/>
            <w:vAlign w:val="bottom"/>
            <w:hideMark/>
          </w:tcPr>
          <w:p w:rsidR="00C76DB4" w:rsidRPr="004F45EB" w:rsidP="004F45EB" w14:paraId="53ECB050" w14:textId="77777777">
            <w:pPr>
              <w:keepNext/>
              <w:keepLines/>
              <w:autoSpaceDE/>
              <w:autoSpaceDN/>
              <w:adjustRightInd/>
              <w:jc w:val="right"/>
              <w:rPr>
                <w:color w:val="000000"/>
              </w:rPr>
            </w:pPr>
            <w:r w:rsidRPr="004F45EB">
              <w:rPr>
                <w:color w:val="000000"/>
              </w:rPr>
              <w:t>0.2</w:t>
            </w:r>
          </w:p>
        </w:tc>
        <w:tc>
          <w:tcPr>
            <w:tcW w:w="1170" w:type="dxa"/>
            <w:tcBorders>
              <w:top w:val="nil"/>
              <w:left w:val="nil"/>
              <w:bottom w:val="single" w:sz="4" w:space="0" w:color="auto"/>
              <w:right w:val="single" w:sz="4" w:space="0" w:color="auto"/>
            </w:tcBorders>
            <w:shd w:val="clear" w:color="auto" w:fill="auto"/>
            <w:vAlign w:val="bottom"/>
            <w:hideMark/>
          </w:tcPr>
          <w:p w:rsidR="00C76DB4" w:rsidRPr="004F45EB" w:rsidP="004F45EB" w14:paraId="3A34CC5F" w14:textId="77777777">
            <w:pPr>
              <w:keepNext/>
              <w:keepLines/>
              <w:autoSpaceDE/>
              <w:autoSpaceDN/>
              <w:adjustRightInd/>
              <w:jc w:val="right"/>
              <w:rPr>
                <w:color w:val="000000"/>
              </w:rPr>
            </w:pPr>
            <w:r w:rsidRPr="004F45EB">
              <w:rPr>
                <w:color w:val="000000"/>
              </w:rPr>
              <w:t>14.6</w:t>
            </w:r>
          </w:p>
        </w:tc>
        <w:tc>
          <w:tcPr>
            <w:tcW w:w="1080" w:type="dxa"/>
            <w:tcBorders>
              <w:top w:val="nil"/>
              <w:left w:val="nil"/>
              <w:bottom w:val="single" w:sz="4" w:space="0" w:color="auto"/>
              <w:right w:val="single" w:sz="4" w:space="0" w:color="auto"/>
            </w:tcBorders>
            <w:shd w:val="clear" w:color="auto" w:fill="auto"/>
            <w:vAlign w:val="bottom"/>
            <w:hideMark/>
          </w:tcPr>
          <w:p w:rsidR="00C76DB4" w:rsidRPr="004F45EB" w:rsidP="004F45EB" w14:paraId="16913427" w14:textId="77777777">
            <w:pPr>
              <w:keepNext/>
              <w:keepLines/>
              <w:autoSpaceDE/>
              <w:autoSpaceDN/>
              <w:adjustRightInd/>
              <w:jc w:val="right"/>
              <w:rPr>
                <w:color w:val="000000"/>
              </w:rPr>
            </w:pPr>
            <w:r w:rsidRPr="004F45EB">
              <w:rPr>
                <w:color w:val="000000"/>
              </w:rPr>
              <w:t>0.5</w:t>
            </w:r>
          </w:p>
        </w:tc>
        <w:tc>
          <w:tcPr>
            <w:tcW w:w="900" w:type="dxa"/>
            <w:tcBorders>
              <w:top w:val="nil"/>
              <w:left w:val="nil"/>
              <w:bottom w:val="single" w:sz="4" w:space="0" w:color="auto"/>
              <w:right w:val="single" w:sz="4" w:space="0" w:color="auto"/>
            </w:tcBorders>
            <w:shd w:val="clear" w:color="auto" w:fill="auto"/>
            <w:vAlign w:val="bottom"/>
            <w:hideMark/>
          </w:tcPr>
          <w:p w:rsidR="00C76DB4" w:rsidRPr="004F45EB" w:rsidP="004F45EB" w14:paraId="5B8A7543" w14:textId="293271AC">
            <w:pPr>
              <w:keepNext/>
              <w:keepLines/>
              <w:autoSpaceDE/>
              <w:autoSpaceDN/>
              <w:adjustRightInd/>
              <w:jc w:val="right"/>
              <w:rPr>
                <w:color w:val="000000"/>
              </w:rPr>
            </w:pPr>
            <w:r w:rsidRPr="004F45EB">
              <w:rPr>
                <w:color w:val="000000"/>
              </w:rPr>
              <w:t>7</w:t>
            </w:r>
            <w:r w:rsidR="00030B4B">
              <w:rPr>
                <w:color w:val="000000"/>
              </w:rPr>
              <w:t>.3</w:t>
            </w:r>
          </w:p>
        </w:tc>
        <w:tc>
          <w:tcPr>
            <w:tcW w:w="900" w:type="dxa"/>
            <w:tcBorders>
              <w:top w:val="nil"/>
              <w:left w:val="nil"/>
              <w:bottom w:val="single" w:sz="4" w:space="0" w:color="auto"/>
              <w:right w:val="single" w:sz="4" w:space="0" w:color="auto"/>
            </w:tcBorders>
            <w:shd w:val="clear" w:color="auto" w:fill="auto"/>
            <w:vAlign w:val="bottom"/>
            <w:hideMark/>
          </w:tcPr>
          <w:p w:rsidR="00C76DB4" w:rsidRPr="004F45EB" w:rsidP="004F45EB" w14:paraId="69C174E9" w14:textId="77777777">
            <w:pPr>
              <w:keepNext/>
              <w:keepLines/>
              <w:autoSpaceDE/>
              <w:autoSpaceDN/>
              <w:adjustRightInd/>
              <w:jc w:val="right"/>
              <w:rPr>
                <w:color w:val="000000"/>
              </w:rPr>
            </w:pPr>
            <w:r w:rsidRPr="004F45EB">
              <w:rPr>
                <w:color w:val="000000"/>
              </w:rPr>
              <w:t xml:space="preserve">$0 </w:t>
            </w:r>
          </w:p>
        </w:tc>
        <w:tc>
          <w:tcPr>
            <w:tcW w:w="900" w:type="dxa"/>
            <w:tcBorders>
              <w:top w:val="nil"/>
              <w:left w:val="nil"/>
              <w:bottom w:val="single" w:sz="4" w:space="0" w:color="auto"/>
              <w:right w:val="single" w:sz="4" w:space="0" w:color="auto"/>
            </w:tcBorders>
            <w:shd w:val="clear" w:color="auto" w:fill="auto"/>
            <w:vAlign w:val="bottom"/>
            <w:hideMark/>
          </w:tcPr>
          <w:p w:rsidR="00C76DB4" w:rsidRPr="004F45EB" w:rsidP="004F45EB" w14:paraId="3DAF0C3A" w14:textId="1DD2B529">
            <w:pPr>
              <w:keepNext/>
              <w:keepLines/>
              <w:autoSpaceDE/>
              <w:autoSpaceDN/>
              <w:adjustRightInd/>
              <w:jc w:val="right"/>
              <w:rPr>
                <w:color w:val="000000"/>
              </w:rPr>
            </w:pPr>
            <w:r w:rsidRPr="004F45EB">
              <w:rPr>
                <w:color w:val="000000"/>
              </w:rPr>
              <w:t>$</w:t>
            </w:r>
            <w:r w:rsidRPr="00CF6D35" w:rsidR="00CF6D35">
              <w:rPr>
                <w:color w:val="000000"/>
              </w:rPr>
              <w:t>54.25</w:t>
            </w:r>
          </w:p>
        </w:tc>
        <w:tc>
          <w:tcPr>
            <w:tcW w:w="900" w:type="dxa"/>
            <w:tcBorders>
              <w:top w:val="nil"/>
              <w:left w:val="nil"/>
              <w:bottom w:val="single" w:sz="4" w:space="0" w:color="auto"/>
              <w:right w:val="single" w:sz="4" w:space="0" w:color="auto"/>
            </w:tcBorders>
            <w:shd w:val="clear" w:color="auto" w:fill="auto"/>
            <w:vAlign w:val="bottom"/>
            <w:hideMark/>
          </w:tcPr>
          <w:p w:rsidR="00C76DB4" w:rsidRPr="004F45EB" w:rsidP="004F45EB" w14:paraId="7F74D107" w14:textId="41AD3ED8">
            <w:pPr>
              <w:keepNext/>
              <w:keepLines/>
              <w:autoSpaceDE/>
              <w:autoSpaceDN/>
              <w:adjustRightInd/>
              <w:jc w:val="right"/>
              <w:rPr>
                <w:color w:val="000000"/>
              </w:rPr>
            </w:pPr>
            <w:r w:rsidRPr="004F45EB">
              <w:rPr>
                <w:color w:val="000000"/>
              </w:rPr>
              <w:t>$</w:t>
            </w:r>
            <w:r w:rsidR="00CF6D35">
              <w:rPr>
                <w:color w:val="000000"/>
              </w:rPr>
              <w:t>396.03</w:t>
            </w:r>
          </w:p>
        </w:tc>
      </w:tr>
    </w:tbl>
    <w:p w:rsidR="00881F2E" w:rsidP="004B2277" w14:paraId="22E10AB0" w14:textId="77777777">
      <w:pPr>
        <w:rPr>
          <w:rFonts w:eastAsia="Calibri"/>
          <w:sz w:val="24"/>
          <w:szCs w:val="24"/>
        </w:rPr>
      </w:pPr>
    </w:p>
    <w:p w:rsidR="00881F2E" w:rsidRPr="004A4F84" w:rsidP="2DA08347" w14:paraId="2E63BDF5" w14:textId="77777777">
      <w:pPr>
        <w:rPr>
          <w:b/>
          <w:bCs/>
          <w:sz w:val="24"/>
          <w:szCs w:val="24"/>
        </w:rPr>
      </w:pPr>
      <w:r w:rsidRPr="2DA08347">
        <w:rPr>
          <w:b/>
          <w:bCs/>
          <w:sz w:val="24"/>
          <w:szCs w:val="24"/>
        </w:rPr>
        <w:t>Section</w:t>
      </w:r>
      <w:r w:rsidRPr="2DA08347" w:rsidR="001C1ED9">
        <w:rPr>
          <w:b/>
          <w:bCs/>
          <w:sz w:val="24"/>
          <w:szCs w:val="24"/>
        </w:rPr>
        <w:t xml:space="preserve"> 171.16 – </w:t>
      </w:r>
      <w:r w:rsidRPr="2DA08347">
        <w:rPr>
          <w:b/>
          <w:bCs/>
          <w:sz w:val="24"/>
          <w:szCs w:val="24"/>
        </w:rPr>
        <w:t>Incident reporting</w:t>
      </w:r>
    </w:p>
    <w:p w:rsidR="00881F2E" w:rsidP="004B2277" w14:paraId="437B2670" w14:textId="77777777">
      <w:pPr>
        <w:rPr>
          <w:sz w:val="24"/>
          <w:szCs w:val="24"/>
        </w:rPr>
      </w:pPr>
    </w:p>
    <w:p w:rsidR="00071531" w:rsidP="004B2277" w14:paraId="667E66A2" w14:textId="27C4C5A1">
      <w:pPr>
        <w:rPr>
          <w:sz w:val="24"/>
          <w:szCs w:val="24"/>
        </w:rPr>
      </w:pPr>
      <w:r w:rsidRPr="001B3578">
        <w:rPr>
          <w:sz w:val="24"/>
          <w:szCs w:val="24"/>
        </w:rPr>
        <w:t xml:space="preserve">From </w:t>
      </w:r>
      <w:r w:rsidR="1DAC1B46">
        <w:rPr>
          <w:sz w:val="24"/>
          <w:szCs w:val="24"/>
        </w:rPr>
        <w:t>2018</w:t>
      </w:r>
      <w:r>
        <w:rPr>
          <w:sz w:val="24"/>
          <w:szCs w:val="24"/>
        </w:rPr>
        <w:t xml:space="preserve"> to </w:t>
      </w:r>
      <w:r w:rsidR="1DAC1B46">
        <w:rPr>
          <w:sz w:val="24"/>
          <w:szCs w:val="24"/>
        </w:rPr>
        <w:t>2021</w:t>
      </w:r>
      <w:r w:rsidRPr="001B3578">
        <w:rPr>
          <w:sz w:val="24"/>
          <w:szCs w:val="24"/>
        </w:rPr>
        <w:t xml:space="preserve">, PHMSA identified </w:t>
      </w:r>
      <w:r w:rsidR="52226837">
        <w:rPr>
          <w:sz w:val="24"/>
          <w:szCs w:val="24"/>
        </w:rPr>
        <w:t>51</w:t>
      </w:r>
      <w:r w:rsidRPr="001B3578">
        <w:rPr>
          <w:sz w:val="24"/>
          <w:szCs w:val="24"/>
        </w:rPr>
        <w:t xml:space="preserve"> incidents, for an average of </w:t>
      </w:r>
      <w:r w:rsidR="52226837">
        <w:rPr>
          <w:sz w:val="24"/>
          <w:szCs w:val="24"/>
        </w:rPr>
        <w:t>17</w:t>
      </w:r>
      <w:r w:rsidRPr="001B3578">
        <w:rPr>
          <w:sz w:val="24"/>
          <w:szCs w:val="24"/>
        </w:rPr>
        <w:t xml:space="preserve"> incidents per year, involving the derailment and</w:t>
      </w:r>
      <w:r w:rsidR="6564E2D0">
        <w:rPr>
          <w:sz w:val="24"/>
          <w:szCs w:val="24"/>
        </w:rPr>
        <w:t xml:space="preserve"> release of crude oil/ethanol. </w:t>
      </w:r>
      <w:r w:rsidR="00614200">
        <w:rPr>
          <w:sz w:val="24"/>
          <w:szCs w:val="24"/>
        </w:rPr>
        <w:t xml:space="preserve"> </w:t>
      </w:r>
      <w:r w:rsidRPr="001B3578">
        <w:rPr>
          <w:sz w:val="24"/>
          <w:szCs w:val="24"/>
        </w:rPr>
        <w:t xml:space="preserve">Each report </w:t>
      </w:r>
      <w:r w:rsidR="44E78689">
        <w:rPr>
          <w:sz w:val="24"/>
          <w:szCs w:val="24"/>
        </w:rPr>
        <w:t>is s</w:t>
      </w:r>
      <w:r w:rsidRPr="001B3578">
        <w:rPr>
          <w:sz w:val="24"/>
          <w:szCs w:val="24"/>
        </w:rPr>
        <w:t>ubmitted by a single respo</w:t>
      </w:r>
      <w:r w:rsidR="44E78689">
        <w:rPr>
          <w:sz w:val="24"/>
          <w:szCs w:val="24"/>
        </w:rPr>
        <w:t xml:space="preserve">ndent </w:t>
      </w:r>
      <w:r w:rsidR="00F217EB">
        <w:rPr>
          <w:sz w:val="24"/>
          <w:szCs w:val="24"/>
        </w:rPr>
        <w:t>and</w:t>
      </w:r>
      <w:r w:rsidR="44E78689">
        <w:rPr>
          <w:sz w:val="24"/>
          <w:szCs w:val="24"/>
        </w:rPr>
        <w:t xml:space="preserve"> based on stakeholder feedback, </w:t>
      </w:r>
      <w:r w:rsidRPr="001B3578">
        <w:rPr>
          <w:sz w:val="24"/>
          <w:szCs w:val="24"/>
        </w:rPr>
        <w:t>take</w:t>
      </w:r>
      <w:r w:rsidR="6A9E187D">
        <w:rPr>
          <w:sz w:val="24"/>
          <w:szCs w:val="24"/>
        </w:rPr>
        <w:t>s</w:t>
      </w:r>
      <w:r w:rsidRPr="001B3578">
        <w:rPr>
          <w:sz w:val="24"/>
          <w:szCs w:val="24"/>
        </w:rPr>
        <w:t xml:space="preserve"> approximately 2 hours to submit </w:t>
      </w:r>
      <w:r w:rsidR="6A9E187D">
        <w:rPr>
          <w:sz w:val="24"/>
          <w:szCs w:val="24"/>
        </w:rPr>
        <w:t xml:space="preserve">for a total of </w:t>
      </w:r>
      <w:r w:rsidR="52226837">
        <w:rPr>
          <w:sz w:val="24"/>
          <w:szCs w:val="24"/>
        </w:rPr>
        <w:t>34</w:t>
      </w:r>
      <w:r w:rsidR="6A9E187D">
        <w:rPr>
          <w:sz w:val="24"/>
          <w:szCs w:val="24"/>
        </w:rPr>
        <w:t xml:space="preserve"> burden hour (</w:t>
      </w:r>
      <w:r w:rsidR="52226837">
        <w:rPr>
          <w:sz w:val="24"/>
          <w:szCs w:val="24"/>
        </w:rPr>
        <w:t>17</w:t>
      </w:r>
      <w:r w:rsidR="6A9E187D">
        <w:rPr>
          <w:sz w:val="24"/>
          <w:szCs w:val="24"/>
        </w:rPr>
        <w:t xml:space="preserve"> responses x 2 hour</w:t>
      </w:r>
      <w:r w:rsidR="6564E2D0">
        <w:rPr>
          <w:sz w:val="24"/>
          <w:szCs w:val="24"/>
        </w:rPr>
        <w:t>s</w:t>
      </w:r>
      <w:r w:rsidR="6A9E187D">
        <w:rPr>
          <w:sz w:val="24"/>
          <w:szCs w:val="24"/>
        </w:rPr>
        <w:t>)</w:t>
      </w:r>
      <w:r w:rsidRPr="001B3578">
        <w:rPr>
          <w:sz w:val="24"/>
          <w:szCs w:val="24"/>
        </w:rPr>
        <w:t xml:space="preserve">. </w:t>
      </w:r>
      <w:r w:rsidR="00614200">
        <w:rPr>
          <w:sz w:val="24"/>
          <w:szCs w:val="24"/>
        </w:rPr>
        <w:t xml:space="preserve"> </w:t>
      </w:r>
      <w:r w:rsidR="6A9E187D">
        <w:rPr>
          <w:sz w:val="24"/>
          <w:szCs w:val="24"/>
        </w:rPr>
        <w:t xml:space="preserve">PHMSA does not estimate any out-of-pocket expenses. </w:t>
      </w:r>
      <w:r w:rsidR="00614200">
        <w:rPr>
          <w:sz w:val="24"/>
          <w:szCs w:val="24"/>
        </w:rPr>
        <w:t xml:space="preserve"> </w:t>
      </w:r>
      <w:r w:rsidR="6A9E187D">
        <w:rPr>
          <w:sz w:val="24"/>
          <w:szCs w:val="24"/>
        </w:rPr>
        <w:t xml:space="preserve">For the salary of a Senior Management employee of </w:t>
      </w:r>
      <w:r w:rsidR="6A9E187D">
        <w:rPr>
          <w:rFonts w:eastAsia="Calibri"/>
          <w:sz w:val="24"/>
          <w:szCs w:val="24"/>
        </w:rPr>
        <w:t>$</w:t>
      </w:r>
      <w:r w:rsidR="00E854E5">
        <w:rPr>
          <w:rFonts w:eastAsia="Calibri"/>
          <w:sz w:val="24"/>
          <w:szCs w:val="24"/>
        </w:rPr>
        <w:t>93.70</w:t>
      </w:r>
      <w:r>
        <w:rPr>
          <w:rStyle w:val="FootnoteReference"/>
          <w:rFonts w:eastAsia="Calibri"/>
          <w:sz w:val="24"/>
          <w:szCs w:val="24"/>
        </w:rPr>
        <w:footnoteReference w:id="7"/>
      </w:r>
      <w:r w:rsidR="6A9E187D">
        <w:rPr>
          <w:rFonts w:eastAsia="Calibri"/>
          <w:sz w:val="24"/>
          <w:szCs w:val="24"/>
        </w:rPr>
        <w:t xml:space="preserve"> per hour</w:t>
      </w:r>
      <w:r w:rsidR="6A9E187D">
        <w:rPr>
          <w:sz w:val="24"/>
          <w:szCs w:val="24"/>
        </w:rPr>
        <w:t xml:space="preserve">, </w:t>
      </w:r>
      <w:r w:rsidRPr="00125E20">
        <w:rPr>
          <w:sz w:val="24"/>
          <w:szCs w:val="24"/>
        </w:rPr>
        <w:t>PHMSA estimates</w:t>
      </w:r>
      <w:r w:rsidR="6A9E187D">
        <w:rPr>
          <w:sz w:val="24"/>
          <w:szCs w:val="24"/>
        </w:rPr>
        <w:t xml:space="preserve"> a total salary cost of $2,</w:t>
      </w:r>
      <w:r w:rsidR="072E9728">
        <w:rPr>
          <w:sz w:val="24"/>
          <w:szCs w:val="24"/>
        </w:rPr>
        <w:t xml:space="preserve">655 </w:t>
      </w:r>
      <w:r w:rsidR="6A9E187D">
        <w:rPr>
          <w:sz w:val="24"/>
          <w:szCs w:val="24"/>
        </w:rPr>
        <w:t>(</w:t>
      </w:r>
      <w:r w:rsidR="00431441">
        <w:rPr>
          <w:sz w:val="24"/>
          <w:szCs w:val="24"/>
        </w:rPr>
        <w:t>34 </w:t>
      </w:r>
      <w:r w:rsidR="6A9E187D">
        <w:rPr>
          <w:sz w:val="24"/>
          <w:szCs w:val="24"/>
        </w:rPr>
        <w:t>burden hours x $</w:t>
      </w:r>
      <w:r w:rsidR="00E854E5">
        <w:rPr>
          <w:rFonts w:eastAsia="Calibri"/>
          <w:sz w:val="24"/>
          <w:szCs w:val="24"/>
        </w:rPr>
        <w:t>93.70</w:t>
      </w:r>
      <w:r w:rsidR="6A9E187D">
        <w:rPr>
          <w:sz w:val="24"/>
          <w:szCs w:val="24"/>
        </w:rPr>
        <w:t>).</w:t>
      </w:r>
    </w:p>
    <w:p w:rsidR="00881F2E" w:rsidP="004B2277" w14:paraId="1A344DCA" w14:textId="77777777">
      <w:pPr>
        <w:rPr>
          <w:sz w:val="24"/>
          <w:szCs w:val="24"/>
        </w:rPr>
      </w:pPr>
      <w:r>
        <w:rPr>
          <w:sz w:val="24"/>
          <w:szCs w:val="24"/>
        </w:rPr>
        <w:t xml:space="preserve"> </w:t>
      </w:r>
    </w:p>
    <w:tbl>
      <w:tblPr>
        <w:tblW w:w="10885" w:type="dxa"/>
        <w:jc w:val="center"/>
        <w:tblLayout w:type="fixed"/>
        <w:tblLook w:val="04A0"/>
      </w:tblPr>
      <w:tblGrid>
        <w:gridCol w:w="2210"/>
        <w:gridCol w:w="1350"/>
        <w:gridCol w:w="1440"/>
        <w:gridCol w:w="1115"/>
        <w:gridCol w:w="1080"/>
        <w:gridCol w:w="900"/>
        <w:gridCol w:w="900"/>
        <w:gridCol w:w="990"/>
        <w:gridCol w:w="900"/>
      </w:tblGrid>
      <w:tr w14:paraId="3F82BCE4" w14:textId="77777777" w:rsidTr="004F45EB">
        <w:tblPrEx>
          <w:tblW w:w="10885" w:type="dxa"/>
          <w:jc w:val="center"/>
          <w:tblLayout w:type="fixed"/>
          <w:tblLook w:val="04A0"/>
        </w:tblPrEx>
        <w:trPr>
          <w:trHeight w:val="552"/>
          <w:jc w:val="center"/>
        </w:trPr>
        <w:tc>
          <w:tcPr>
            <w:tcW w:w="22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B457F" w:rsidRPr="000C1E67" w:rsidP="004B2277" w14:paraId="6398F84D" w14:textId="7733DF43">
            <w:pPr>
              <w:autoSpaceDE/>
              <w:autoSpaceDN/>
              <w:adjustRightInd/>
              <w:rPr>
                <w:color w:val="000000"/>
                <w:u w:val="single"/>
              </w:rPr>
            </w:pPr>
            <w:r w:rsidRPr="000C1E67">
              <w:rPr>
                <w:b/>
                <w:bCs/>
                <w:color w:val="000000"/>
                <w:u w:val="single"/>
              </w:rPr>
              <w:t xml:space="preserve">Incident Reporting for Flammable Liquids by Rail – </w:t>
            </w:r>
            <w:r w:rsidR="00BD525D">
              <w:rPr>
                <w:b/>
                <w:bCs/>
                <w:color w:val="000000"/>
                <w:u w:val="single"/>
              </w:rPr>
              <w:t>§ </w:t>
            </w:r>
            <w:r w:rsidRPr="000C1E67">
              <w:rPr>
                <w:b/>
                <w:bCs/>
                <w:color w:val="000000"/>
                <w:u w:val="single"/>
              </w:rPr>
              <w:t>171.16</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3B457F" w:rsidRPr="004A4F84" w:rsidP="004B2277" w14:paraId="3E457135" w14:textId="77777777">
            <w:pPr>
              <w:autoSpaceDE/>
              <w:autoSpaceDN/>
              <w:adjustRightInd/>
              <w:jc w:val="center"/>
              <w:rPr>
                <w:b/>
                <w:bCs/>
                <w:color w:val="000000"/>
                <w:u w:val="single"/>
              </w:rPr>
            </w:pPr>
            <w:r w:rsidRPr="004A4F84">
              <w:rPr>
                <w:b/>
                <w:bCs/>
                <w:color w:val="000000"/>
                <w:u w:val="single"/>
              </w:rPr>
              <w:t>Respondents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3B457F" w:rsidRPr="004A4F84" w:rsidP="004B2277" w14:paraId="0914C66A" w14:textId="77777777">
            <w:pPr>
              <w:autoSpaceDE/>
              <w:autoSpaceDN/>
              <w:adjustRightInd/>
              <w:jc w:val="center"/>
              <w:rPr>
                <w:b/>
                <w:bCs/>
                <w:color w:val="000000"/>
                <w:u w:val="single"/>
              </w:rPr>
            </w:pPr>
            <w:r w:rsidRPr="004A4F84">
              <w:rPr>
                <w:b/>
                <w:bCs/>
                <w:color w:val="000000"/>
                <w:u w:val="single"/>
              </w:rPr>
              <w:t>Annual Responses per Respondent</w:t>
            </w:r>
          </w:p>
        </w:tc>
        <w:tc>
          <w:tcPr>
            <w:tcW w:w="1115" w:type="dxa"/>
            <w:tcBorders>
              <w:top w:val="single" w:sz="4" w:space="0" w:color="auto"/>
              <w:left w:val="nil"/>
              <w:bottom w:val="single" w:sz="4" w:space="0" w:color="auto"/>
              <w:right w:val="single" w:sz="4" w:space="0" w:color="auto"/>
            </w:tcBorders>
            <w:shd w:val="clear" w:color="auto" w:fill="auto"/>
            <w:vAlign w:val="bottom"/>
            <w:hideMark/>
          </w:tcPr>
          <w:p w:rsidR="003B457F" w:rsidRPr="004A4F84" w:rsidP="004B2277" w14:paraId="7D0C80E8" w14:textId="77777777">
            <w:pPr>
              <w:autoSpaceDE/>
              <w:autoSpaceDN/>
              <w:adjustRightInd/>
              <w:jc w:val="center"/>
              <w:rPr>
                <w:b/>
                <w:bCs/>
                <w:color w:val="000000"/>
                <w:u w:val="single"/>
              </w:rPr>
            </w:pPr>
            <w:r w:rsidRPr="004A4F84">
              <w:rPr>
                <w:b/>
                <w:bCs/>
                <w:color w:val="000000"/>
                <w:u w:val="single"/>
              </w:rPr>
              <w:t>Annual Responses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3B457F" w:rsidRPr="004A4F84" w:rsidP="004B2277" w14:paraId="63BA5185" w14:textId="77777777">
            <w:pPr>
              <w:autoSpaceDE/>
              <w:autoSpaceDN/>
              <w:adjustRightInd/>
              <w:jc w:val="center"/>
              <w:rPr>
                <w:b/>
                <w:bCs/>
                <w:color w:val="000000"/>
                <w:u w:val="single"/>
              </w:rPr>
            </w:pPr>
            <w:r w:rsidRPr="004A4F84">
              <w:rPr>
                <w:b/>
                <w:bCs/>
                <w:color w:val="000000"/>
                <w:u w:val="single"/>
              </w:rPr>
              <w:t>Hours per Response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3B457F" w:rsidRPr="004A4F84" w:rsidP="004B2277" w14:paraId="7DD6444A" w14:textId="77777777">
            <w:pPr>
              <w:autoSpaceDE/>
              <w:autoSpaceDN/>
              <w:adjustRightInd/>
              <w:jc w:val="center"/>
              <w:rPr>
                <w:b/>
                <w:bCs/>
                <w:color w:val="000000"/>
                <w:u w:val="single"/>
              </w:rPr>
            </w:pPr>
            <w:r w:rsidRPr="004A4F84">
              <w:rPr>
                <w:b/>
                <w:bCs/>
                <w:color w:val="000000"/>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3B457F" w:rsidRPr="004A4F84" w:rsidP="004B2277" w14:paraId="2006B715" w14:textId="77777777">
            <w:pPr>
              <w:autoSpaceDE/>
              <w:autoSpaceDN/>
              <w:adjustRightInd/>
              <w:jc w:val="center"/>
              <w:rPr>
                <w:b/>
                <w:bCs/>
                <w:color w:val="000000"/>
                <w:u w:val="single"/>
              </w:rPr>
            </w:pPr>
            <w:r w:rsidRPr="004A4F84">
              <w:rPr>
                <w:b/>
                <w:bCs/>
                <w:color w:val="000000"/>
                <w:u w:val="single"/>
              </w:rPr>
              <w:t>Burden Cost</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3B457F" w:rsidRPr="004A4F84" w:rsidP="004B2277" w14:paraId="3CAA5F32" w14:textId="77777777">
            <w:pPr>
              <w:autoSpaceDE/>
              <w:autoSpaceDN/>
              <w:adjustRightInd/>
              <w:jc w:val="center"/>
              <w:rPr>
                <w:b/>
                <w:bCs/>
                <w:color w:val="000000"/>
                <w:u w:val="single"/>
              </w:rPr>
            </w:pPr>
            <w:r w:rsidRPr="004A4F84">
              <w:rPr>
                <w:b/>
                <w:bCs/>
                <w:color w:val="000000"/>
                <w:u w:val="single"/>
              </w:rPr>
              <w:t>Salary Cost per Hour</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3B457F" w:rsidRPr="004A4F84" w:rsidP="004B2277" w14:paraId="6F12CE56" w14:textId="77777777">
            <w:pPr>
              <w:autoSpaceDE/>
              <w:autoSpaceDN/>
              <w:adjustRightInd/>
              <w:jc w:val="center"/>
              <w:rPr>
                <w:b/>
                <w:bCs/>
                <w:color w:val="000000"/>
                <w:u w:val="single"/>
              </w:rPr>
            </w:pPr>
            <w:r w:rsidRPr="004A4F84">
              <w:rPr>
                <w:b/>
                <w:bCs/>
                <w:color w:val="000000"/>
                <w:u w:val="single"/>
              </w:rPr>
              <w:t>Total Salary Cost</w:t>
            </w:r>
          </w:p>
        </w:tc>
      </w:tr>
      <w:tr w14:paraId="5FFCECBC" w14:textId="77777777" w:rsidTr="004F45EB">
        <w:tblPrEx>
          <w:tblW w:w="10885" w:type="dxa"/>
          <w:jc w:val="center"/>
          <w:tblLayout w:type="fixed"/>
          <w:tblLook w:val="04A0"/>
        </w:tblPrEx>
        <w:trPr>
          <w:trHeight w:val="260"/>
          <w:jc w:val="center"/>
        </w:trPr>
        <w:tc>
          <w:tcPr>
            <w:tcW w:w="2210" w:type="dxa"/>
            <w:tcBorders>
              <w:top w:val="nil"/>
              <w:left w:val="single" w:sz="4" w:space="0" w:color="auto"/>
              <w:bottom w:val="single" w:sz="4" w:space="0" w:color="auto"/>
              <w:right w:val="single" w:sz="4" w:space="0" w:color="auto"/>
            </w:tcBorders>
            <w:shd w:val="clear" w:color="auto" w:fill="auto"/>
            <w:vAlign w:val="bottom"/>
            <w:hideMark/>
          </w:tcPr>
          <w:p w:rsidR="003B457F" w:rsidRPr="004F45EB" w:rsidP="004B2277" w14:paraId="15955637" w14:textId="1D78A7A8">
            <w:pPr>
              <w:autoSpaceDE/>
              <w:autoSpaceDN/>
              <w:adjustRightInd/>
              <w:rPr>
                <w:bCs/>
                <w:color w:val="000000"/>
              </w:rPr>
            </w:pPr>
            <w:r w:rsidRPr="004F45EB">
              <w:rPr>
                <w:bCs/>
                <w:color w:val="000000"/>
              </w:rPr>
              <w:t>Reporting</w:t>
            </w:r>
          </w:p>
        </w:tc>
        <w:tc>
          <w:tcPr>
            <w:tcW w:w="1350" w:type="dxa"/>
            <w:tcBorders>
              <w:top w:val="nil"/>
              <w:left w:val="nil"/>
              <w:bottom w:val="single" w:sz="4" w:space="0" w:color="auto"/>
              <w:right w:val="single" w:sz="4" w:space="0" w:color="auto"/>
            </w:tcBorders>
            <w:shd w:val="clear" w:color="auto" w:fill="auto"/>
            <w:vAlign w:val="bottom"/>
            <w:hideMark/>
          </w:tcPr>
          <w:p w:rsidR="003B457F" w:rsidRPr="004A4F84" w:rsidP="004B2277" w14:paraId="6B8EBE0B" w14:textId="3A6DD5DC">
            <w:pPr>
              <w:autoSpaceDE/>
              <w:autoSpaceDN/>
              <w:adjustRightInd/>
              <w:jc w:val="right"/>
              <w:rPr>
                <w:color w:val="000000"/>
              </w:rPr>
            </w:pPr>
            <w:r>
              <w:rPr>
                <w:color w:val="000000"/>
              </w:rPr>
              <w:t>17</w:t>
            </w:r>
          </w:p>
        </w:tc>
        <w:tc>
          <w:tcPr>
            <w:tcW w:w="1440" w:type="dxa"/>
            <w:tcBorders>
              <w:top w:val="nil"/>
              <w:left w:val="nil"/>
              <w:bottom w:val="single" w:sz="4" w:space="0" w:color="auto"/>
              <w:right w:val="single" w:sz="4" w:space="0" w:color="auto"/>
            </w:tcBorders>
            <w:shd w:val="clear" w:color="auto" w:fill="auto"/>
            <w:vAlign w:val="bottom"/>
            <w:hideMark/>
          </w:tcPr>
          <w:p w:rsidR="003B457F" w:rsidRPr="004A4F84" w:rsidP="004B2277" w14:paraId="5E1D95F1" w14:textId="77777777">
            <w:pPr>
              <w:autoSpaceDE/>
              <w:autoSpaceDN/>
              <w:adjustRightInd/>
              <w:jc w:val="right"/>
              <w:rPr>
                <w:color w:val="000000"/>
              </w:rPr>
            </w:pPr>
            <w:r w:rsidRPr="004A4F84">
              <w:rPr>
                <w:color w:val="000000"/>
              </w:rPr>
              <w:t>1</w:t>
            </w:r>
          </w:p>
        </w:tc>
        <w:tc>
          <w:tcPr>
            <w:tcW w:w="1115" w:type="dxa"/>
            <w:tcBorders>
              <w:top w:val="nil"/>
              <w:left w:val="nil"/>
              <w:bottom w:val="single" w:sz="4" w:space="0" w:color="auto"/>
              <w:right w:val="single" w:sz="4" w:space="0" w:color="auto"/>
            </w:tcBorders>
            <w:shd w:val="clear" w:color="auto" w:fill="auto"/>
            <w:vAlign w:val="bottom"/>
            <w:hideMark/>
          </w:tcPr>
          <w:p w:rsidR="003B457F" w:rsidRPr="004A4F84" w:rsidP="004B2277" w14:paraId="300E38C3" w14:textId="65179EF0">
            <w:pPr>
              <w:autoSpaceDE/>
              <w:autoSpaceDN/>
              <w:adjustRightInd/>
              <w:jc w:val="right"/>
              <w:rPr>
                <w:color w:val="000000"/>
              </w:rPr>
            </w:pPr>
            <w:r>
              <w:rPr>
                <w:color w:val="000000"/>
              </w:rPr>
              <w:t>17</w:t>
            </w:r>
          </w:p>
        </w:tc>
        <w:tc>
          <w:tcPr>
            <w:tcW w:w="1080" w:type="dxa"/>
            <w:tcBorders>
              <w:top w:val="nil"/>
              <w:left w:val="nil"/>
              <w:bottom w:val="single" w:sz="4" w:space="0" w:color="auto"/>
              <w:right w:val="single" w:sz="4" w:space="0" w:color="auto"/>
            </w:tcBorders>
            <w:shd w:val="clear" w:color="auto" w:fill="auto"/>
            <w:vAlign w:val="bottom"/>
            <w:hideMark/>
          </w:tcPr>
          <w:p w:rsidR="003B457F" w:rsidRPr="004A4F84" w:rsidP="004B2277" w14:paraId="2CA44E22" w14:textId="77777777">
            <w:pPr>
              <w:autoSpaceDE/>
              <w:autoSpaceDN/>
              <w:adjustRightInd/>
              <w:jc w:val="right"/>
              <w:rPr>
                <w:color w:val="000000"/>
              </w:rPr>
            </w:pPr>
            <w:r w:rsidRPr="004A4F84">
              <w:rPr>
                <w:color w:val="000000"/>
              </w:rPr>
              <w:t>2</w:t>
            </w:r>
          </w:p>
        </w:tc>
        <w:tc>
          <w:tcPr>
            <w:tcW w:w="900" w:type="dxa"/>
            <w:tcBorders>
              <w:top w:val="nil"/>
              <w:left w:val="nil"/>
              <w:bottom w:val="single" w:sz="4" w:space="0" w:color="auto"/>
              <w:right w:val="single" w:sz="4" w:space="0" w:color="auto"/>
            </w:tcBorders>
            <w:shd w:val="clear" w:color="auto" w:fill="auto"/>
            <w:vAlign w:val="bottom"/>
            <w:hideMark/>
          </w:tcPr>
          <w:p w:rsidR="003B457F" w:rsidRPr="004A4F84" w:rsidP="004B2277" w14:paraId="36563828" w14:textId="070F4719">
            <w:pPr>
              <w:autoSpaceDE/>
              <w:autoSpaceDN/>
              <w:adjustRightInd/>
              <w:jc w:val="right"/>
              <w:rPr>
                <w:color w:val="000000"/>
              </w:rPr>
            </w:pPr>
            <w:r w:rsidRPr="4084E444">
              <w:rPr>
                <w:color w:val="000000" w:themeColor="text1"/>
              </w:rPr>
              <w:t>34</w:t>
            </w:r>
          </w:p>
        </w:tc>
        <w:tc>
          <w:tcPr>
            <w:tcW w:w="900" w:type="dxa"/>
            <w:tcBorders>
              <w:top w:val="nil"/>
              <w:left w:val="nil"/>
              <w:bottom w:val="single" w:sz="4" w:space="0" w:color="auto"/>
              <w:right w:val="single" w:sz="4" w:space="0" w:color="auto"/>
            </w:tcBorders>
            <w:shd w:val="clear" w:color="auto" w:fill="auto"/>
            <w:vAlign w:val="bottom"/>
            <w:hideMark/>
          </w:tcPr>
          <w:p w:rsidR="003B457F" w:rsidRPr="004A4F84" w:rsidP="004B2277" w14:paraId="24B52D26" w14:textId="77777777">
            <w:pPr>
              <w:autoSpaceDE/>
              <w:autoSpaceDN/>
              <w:adjustRightInd/>
              <w:jc w:val="right"/>
              <w:rPr>
                <w:color w:val="000000"/>
              </w:rPr>
            </w:pPr>
            <w:r w:rsidRPr="004A4F84">
              <w:rPr>
                <w:color w:val="000000"/>
              </w:rPr>
              <w:t xml:space="preserve">$0 </w:t>
            </w:r>
          </w:p>
        </w:tc>
        <w:tc>
          <w:tcPr>
            <w:tcW w:w="990" w:type="dxa"/>
            <w:tcBorders>
              <w:top w:val="nil"/>
              <w:left w:val="nil"/>
              <w:bottom w:val="single" w:sz="4" w:space="0" w:color="auto"/>
              <w:right w:val="single" w:sz="4" w:space="0" w:color="auto"/>
            </w:tcBorders>
            <w:shd w:val="clear" w:color="auto" w:fill="auto"/>
            <w:vAlign w:val="bottom"/>
            <w:hideMark/>
          </w:tcPr>
          <w:p w:rsidR="003B457F" w:rsidRPr="004A4F84" w:rsidP="004B2277" w14:paraId="5591E3BE" w14:textId="586CF463">
            <w:pPr>
              <w:autoSpaceDE/>
              <w:autoSpaceDN/>
              <w:adjustRightInd/>
              <w:jc w:val="right"/>
              <w:rPr>
                <w:color w:val="000000"/>
              </w:rPr>
            </w:pPr>
            <w:r w:rsidRPr="004A4F84">
              <w:rPr>
                <w:color w:val="000000"/>
              </w:rPr>
              <w:t>$</w:t>
            </w:r>
            <w:r w:rsidRPr="00E854E5" w:rsidR="00E854E5">
              <w:rPr>
                <w:color w:val="000000"/>
              </w:rPr>
              <w:t>93.70</w:t>
            </w:r>
          </w:p>
        </w:tc>
        <w:tc>
          <w:tcPr>
            <w:tcW w:w="900" w:type="dxa"/>
            <w:tcBorders>
              <w:top w:val="nil"/>
              <w:left w:val="nil"/>
              <w:bottom w:val="single" w:sz="4" w:space="0" w:color="auto"/>
              <w:right w:val="single" w:sz="4" w:space="0" w:color="auto"/>
            </w:tcBorders>
            <w:shd w:val="clear" w:color="auto" w:fill="auto"/>
            <w:vAlign w:val="bottom"/>
            <w:hideMark/>
          </w:tcPr>
          <w:p w:rsidR="003B457F" w:rsidRPr="004A4F84" w:rsidP="004B2277" w14:paraId="58DAE12A" w14:textId="30CFDD3B">
            <w:pPr>
              <w:autoSpaceDE/>
              <w:autoSpaceDN/>
              <w:adjustRightInd/>
              <w:jc w:val="right"/>
              <w:rPr>
                <w:color w:val="000000"/>
              </w:rPr>
            </w:pPr>
            <w:r w:rsidRPr="4084E444">
              <w:rPr>
                <w:color w:val="000000" w:themeColor="text1"/>
              </w:rPr>
              <w:t>$</w:t>
            </w:r>
            <w:r w:rsidRPr="4084E444" w:rsidR="00ED5BAF">
              <w:rPr>
                <w:color w:val="000000" w:themeColor="text1"/>
              </w:rPr>
              <w:t>3,</w:t>
            </w:r>
            <w:r w:rsidR="00E854E5">
              <w:rPr>
                <w:color w:val="000000" w:themeColor="text1"/>
              </w:rPr>
              <w:t>186</w:t>
            </w:r>
          </w:p>
        </w:tc>
      </w:tr>
    </w:tbl>
    <w:p w:rsidR="00071531" w:rsidP="004B2277" w14:paraId="0512D865" w14:textId="77777777">
      <w:pPr>
        <w:rPr>
          <w:rFonts w:eastAsia="Calibri"/>
          <w:sz w:val="24"/>
          <w:szCs w:val="24"/>
        </w:rPr>
      </w:pPr>
    </w:p>
    <w:p w:rsidR="00B979DC" w:rsidRPr="007133B3" w:rsidP="004B2277" w14:paraId="3F0443FA" w14:textId="77777777">
      <w:pPr>
        <w:rPr>
          <w:sz w:val="24"/>
          <w:szCs w:val="24"/>
        </w:rPr>
      </w:pPr>
    </w:p>
    <w:p w:rsidR="00887664" w:rsidRPr="004A4F84" w:rsidP="004B2277" w14:paraId="21B0AAE2" w14:textId="77777777">
      <w:pPr>
        <w:rPr>
          <w:b/>
          <w:sz w:val="24"/>
          <w:szCs w:val="24"/>
        </w:rPr>
      </w:pPr>
      <w:r w:rsidRPr="004A4F84">
        <w:rPr>
          <w:b/>
          <w:sz w:val="24"/>
          <w:szCs w:val="24"/>
        </w:rPr>
        <w:t>Section</w:t>
      </w:r>
      <w:r w:rsidRPr="004A4F84" w:rsidR="00D5630C">
        <w:rPr>
          <w:b/>
          <w:sz w:val="24"/>
          <w:szCs w:val="24"/>
        </w:rPr>
        <w:t xml:space="preserve"> </w:t>
      </w:r>
      <w:r w:rsidRPr="004A4F84" w:rsidR="00ED14CC">
        <w:rPr>
          <w:b/>
          <w:sz w:val="24"/>
          <w:szCs w:val="24"/>
        </w:rPr>
        <w:t>173.</w:t>
      </w:r>
      <w:r w:rsidRPr="004A4F84" w:rsidR="0074266C">
        <w:rPr>
          <w:b/>
          <w:sz w:val="24"/>
          <w:szCs w:val="24"/>
        </w:rPr>
        <w:t>4</w:t>
      </w:r>
      <w:r w:rsidRPr="00F606B8" w:rsidR="00A82551">
        <w:rPr>
          <w:b/>
          <w:sz w:val="24"/>
          <w:szCs w:val="24"/>
        </w:rPr>
        <w:t xml:space="preserve">1 – </w:t>
      </w:r>
      <w:r w:rsidRPr="004A4F84" w:rsidR="00C06791">
        <w:rPr>
          <w:b/>
          <w:sz w:val="24"/>
          <w:szCs w:val="24"/>
        </w:rPr>
        <w:t xml:space="preserve">Sampling and </w:t>
      </w:r>
      <w:r w:rsidRPr="004A4F84" w:rsidR="002A3758">
        <w:rPr>
          <w:b/>
          <w:sz w:val="24"/>
          <w:szCs w:val="24"/>
        </w:rPr>
        <w:t>testing plans</w:t>
      </w:r>
    </w:p>
    <w:p w:rsidR="00887664" w:rsidRPr="007133B3" w:rsidP="004B2277" w14:paraId="11986A82" w14:textId="77777777">
      <w:pPr>
        <w:rPr>
          <w:sz w:val="24"/>
          <w:szCs w:val="24"/>
        </w:rPr>
      </w:pPr>
    </w:p>
    <w:p w:rsidR="00D85D14" w:rsidP="004B2277" w14:paraId="1F3ABEDE" w14:textId="58BABFA7">
      <w:pPr>
        <w:rPr>
          <w:sz w:val="24"/>
          <w:szCs w:val="24"/>
        </w:rPr>
      </w:pPr>
      <w:r>
        <w:rPr>
          <w:sz w:val="24"/>
          <w:szCs w:val="24"/>
        </w:rPr>
        <w:t xml:space="preserve">Section 173.41 </w:t>
      </w:r>
      <w:r w:rsidRPr="00ED14CC">
        <w:rPr>
          <w:sz w:val="24"/>
          <w:szCs w:val="24"/>
        </w:rPr>
        <w:t>require</w:t>
      </w:r>
      <w:r>
        <w:rPr>
          <w:sz w:val="24"/>
          <w:szCs w:val="24"/>
        </w:rPr>
        <w:t>s</w:t>
      </w:r>
      <w:r w:rsidRPr="00ED14CC">
        <w:rPr>
          <w:sz w:val="24"/>
          <w:szCs w:val="24"/>
        </w:rPr>
        <w:t xml:space="preserve"> companies that offer mined liquids and gases for transportation update their sampling and testing program as necessary to account for changing circumstances.</w:t>
      </w:r>
      <w:r w:rsidR="00614200">
        <w:rPr>
          <w:sz w:val="24"/>
          <w:szCs w:val="24"/>
        </w:rPr>
        <w:t xml:space="preserve"> </w:t>
      </w:r>
      <w:r w:rsidRPr="00ED14CC">
        <w:rPr>
          <w:sz w:val="24"/>
          <w:szCs w:val="24"/>
        </w:rPr>
        <w:t xml:space="preserve"> </w:t>
      </w:r>
      <w:r>
        <w:rPr>
          <w:sz w:val="24"/>
          <w:szCs w:val="24"/>
        </w:rPr>
        <w:t>Based on data from the</w:t>
      </w:r>
      <w:r w:rsidRPr="32E8BC75" w:rsidR="41849C64">
        <w:rPr>
          <w:sz w:val="24"/>
          <w:szCs w:val="24"/>
        </w:rPr>
        <w:t xml:space="preserve"> PHMSA Data Mart,</w:t>
      </w:r>
      <w:r>
        <w:rPr>
          <w:sz w:val="24"/>
          <w:szCs w:val="24"/>
        </w:rPr>
        <w:t xml:space="preserve"> </w:t>
      </w:r>
      <w:r w:rsidRPr="00ED14CC">
        <w:rPr>
          <w:sz w:val="24"/>
          <w:szCs w:val="24"/>
        </w:rPr>
        <w:t>PHMSA estimates there are 1,</w:t>
      </w:r>
      <w:r>
        <w:rPr>
          <w:sz w:val="24"/>
          <w:szCs w:val="24"/>
        </w:rPr>
        <w:t>804</w:t>
      </w:r>
      <w:r w:rsidRPr="00ED14CC">
        <w:rPr>
          <w:sz w:val="24"/>
          <w:szCs w:val="24"/>
        </w:rPr>
        <w:t xml:space="preserve"> entities that offer mined gases and liquids for transportation to which sampling and testing requirement</w:t>
      </w:r>
      <w:r>
        <w:rPr>
          <w:sz w:val="24"/>
          <w:szCs w:val="24"/>
        </w:rPr>
        <w:t>s</w:t>
      </w:r>
      <w:r w:rsidRPr="00ED14CC">
        <w:rPr>
          <w:sz w:val="24"/>
          <w:szCs w:val="24"/>
        </w:rPr>
        <w:t xml:space="preserve"> </w:t>
      </w:r>
      <w:r>
        <w:rPr>
          <w:sz w:val="24"/>
          <w:szCs w:val="24"/>
        </w:rPr>
        <w:t>w</w:t>
      </w:r>
      <w:r w:rsidRPr="00ED14CC">
        <w:rPr>
          <w:sz w:val="24"/>
          <w:szCs w:val="24"/>
        </w:rPr>
        <w:t>ould apply</w:t>
      </w:r>
      <w:r>
        <w:rPr>
          <w:sz w:val="24"/>
          <w:szCs w:val="24"/>
        </w:rPr>
        <w:t xml:space="preserve">.  </w:t>
      </w:r>
      <w:r w:rsidRPr="00ED14CC">
        <w:rPr>
          <w:sz w:val="24"/>
          <w:szCs w:val="24"/>
        </w:rPr>
        <w:t>PHMSA assumes that companies will review and update their sampling and testing programs once a year</w:t>
      </w:r>
      <w:r>
        <w:rPr>
          <w:sz w:val="24"/>
          <w:szCs w:val="24"/>
        </w:rPr>
        <w:t xml:space="preserve">. </w:t>
      </w:r>
      <w:r w:rsidR="00614200">
        <w:rPr>
          <w:sz w:val="24"/>
          <w:szCs w:val="24"/>
        </w:rPr>
        <w:t xml:space="preserve"> </w:t>
      </w:r>
      <w:r>
        <w:rPr>
          <w:sz w:val="24"/>
          <w:szCs w:val="24"/>
        </w:rPr>
        <w:t>Based on stakeholder feedback, it is estimated that it takes 10</w:t>
      </w:r>
      <w:r w:rsidR="22EADEAE">
        <w:rPr>
          <w:sz w:val="24"/>
          <w:szCs w:val="24"/>
        </w:rPr>
        <w:t> </w:t>
      </w:r>
      <w:r>
        <w:rPr>
          <w:sz w:val="24"/>
          <w:szCs w:val="24"/>
        </w:rPr>
        <w:t xml:space="preserve">hours to review and update a sampling and testing plan, for a total of </w:t>
      </w:r>
      <w:r w:rsidRPr="2DA08347" w:rsidR="072E9728">
        <w:rPr>
          <w:sz w:val="24"/>
          <w:szCs w:val="24"/>
        </w:rPr>
        <w:t>18,040</w:t>
      </w:r>
      <w:r>
        <w:rPr>
          <w:sz w:val="24"/>
          <w:szCs w:val="24"/>
        </w:rPr>
        <w:t xml:space="preserve"> burden hours (1,804 responses x 10 hours). </w:t>
      </w:r>
      <w:r w:rsidR="00614200">
        <w:rPr>
          <w:sz w:val="24"/>
          <w:szCs w:val="24"/>
        </w:rPr>
        <w:t xml:space="preserve"> </w:t>
      </w:r>
      <w:r>
        <w:rPr>
          <w:sz w:val="24"/>
          <w:szCs w:val="24"/>
        </w:rPr>
        <w:t xml:space="preserve">PHMSA does not estimate any out-of-pocket expenses. </w:t>
      </w:r>
      <w:r w:rsidR="00614200">
        <w:rPr>
          <w:sz w:val="24"/>
          <w:szCs w:val="24"/>
        </w:rPr>
        <w:t xml:space="preserve"> </w:t>
      </w:r>
      <w:r>
        <w:rPr>
          <w:sz w:val="24"/>
          <w:szCs w:val="24"/>
        </w:rPr>
        <w:t xml:space="preserve">For the salary of a Senior </w:t>
      </w:r>
      <w:r>
        <w:rPr>
          <w:sz w:val="24"/>
          <w:szCs w:val="24"/>
        </w:rPr>
        <w:t xml:space="preserve">Management employee of </w:t>
      </w:r>
      <w:r>
        <w:rPr>
          <w:rFonts w:eastAsia="Calibri"/>
          <w:sz w:val="24"/>
          <w:szCs w:val="24"/>
        </w:rPr>
        <w:t>$</w:t>
      </w:r>
      <w:r w:rsidR="002B1C34">
        <w:rPr>
          <w:rFonts w:eastAsia="Calibri"/>
          <w:sz w:val="24"/>
          <w:szCs w:val="24"/>
        </w:rPr>
        <w:t>93.70</w:t>
      </w:r>
      <w:r>
        <w:rPr>
          <w:rStyle w:val="FootnoteReference"/>
          <w:rFonts w:eastAsia="Calibri"/>
          <w:sz w:val="24"/>
          <w:szCs w:val="24"/>
        </w:rPr>
        <w:footnoteReference w:id="8"/>
      </w:r>
      <w:r>
        <w:rPr>
          <w:rFonts w:eastAsia="Calibri"/>
          <w:sz w:val="24"/>
          <w:szCs w:val="24"/>
        </w:rPr>
        <w:t xml:space="preserve"> per hour</w:t>
      </w:r>
      <w:r>
        <w:rPr>
          <w:sz w:val="24"/>
          <w:szCs w:val="24"/>
        </w:rPr>
        <w:t xml:space="preserve">, </w:t>
      </w:r>
      <w:r w:rsidRPr="00125E20">
        <w:rPr>
          <w:sz w:val="24"/>
          <w:szCs w:val="24"/>
        </w:rPr>
        <w:t>PHMSA estimates</w:t>
      </w:r>
      <w:r>
        <w:rPr>
          <w:sz w:val="24"/>
          <w:szCs w:val="24"/>
        </w:rPr>
        <w:t xml:space="preserve"> a total salary cost of $</w:t>
      </w:r>
      <w:r w:rsidR="002B444B">
        <w:rPr>
          <w:sz w:val="24"/>
          <w:szCs w:val="24"/>
        </w:rPr>
        <w:t>1,639,630</w:t>
      </w:r>
      <w:r w:rsidR="0069505C">
        <w:rPr>
          <w:sz w:val="24"/>
          <w:szCs w:val="24"/>
        </w:rPr>
        <w:t xml:space="preserve"> </w:t>
      </w:r>
      <w:r>
        <w:rPr>
          <w:sz w:val="24"/>
          <w:szCs w:val="24"/>
        </w:rPr>
        <w:t>(</w:t>
      </w:r>
      <w:r w:rsidRPr="2DA08347" w:rsidR="072E9728">
        <w:rPr>
          <w:sz w:val="24"/>
          <w:szCs w:val="24"/>
        </w:rPr>
        <w:t>18,0</w:t>
      </w:r>
      <w:r w:rsidR="006A4225">
        <w:rPr>
          <w:sz w:val="24"/>
          <w:szCs w:val="24"/>
        </w:rPr>
        <w:t>1</w:t>
      </w:r>
      <w:r w:rsidRPr="2DA08347" w:rsidR="072E9728">
        <w:rPr>
          <w:sz w:val="24"/>
          <w:szCs w:val="24"/>
        </w:rPr>
        <w:t>0 </w:t>
      </w:r>
      <w:r>
        <w:rPr>
          <w:sz w:val="24"/>
          <w:szCs w:val="24"/>
        </w:rPr>
        <w:t>burden hours x $</w:t>
      </w:r>
      <w:r w:rsidR="002B1C34">
        <w:rPr>
          <w:rFonts w:eastAsia="Calibri"/>
          <w:sz w:val="24"/>
          <w:szCs w:val="24"/>
        </w:rPr>
        <w:t>93.70</w:t>
      </w:r>
      <w:r>
        <w:rPr>
          <w:sz w:val="24"/>
          <w:szCs w:val="24"/>
        </w:rPr>
        <w:t>).</w:t>
      </w:r>
    </w:p>
    <w:p w:rsidR="0084063A" w:rsidP="004B2277" w14:paraId="2EF3934B" w14:textId="77777777">
      <w:pPr>
        <w:rPr>
          <w:sz w:val="24"/>
          <w:szCs w:val="24"/>
        </w:rPr>
      </w:pPr>
    </w:p>
    <w:p w:rsidR="00071531" w:rsidP="004B2277" w14:paraId="2BB9029F" w14:textId="77777777"/>
    <w:tbl>
      <w:tblPr>
        <w:tblW w:w="11250" w:type="dxa"/>
        <w:jc w:val="center"/>
        <w:tblLayout w:type="fixed"/>
        <w:tblLook w:val="04A0"/>
      </w:tblPr>
      <w:tblGrid>
        <w:gridCol w:w="2264"/>
        <w:gridCol w:w="1336"/>
        <w:gridCol w:w="1440"/>
        <w:gridCol w:w="1170"/>
        <w:gridCol w:w="1080"/>
        <w:gridCol w:w="914"/>
        <w:gridCol w:w="900"/>
        <w:gridCol w:w="990"/>
        <w:gridCol w:w="1156"/>
      </w:tblGrid>
      <w:tr w14:paraId="57FE918C" w14:textId="77777777" w:rsidTr="004F45EB">
        <w:tblPrEx>
          <w:tblW w:w="11250" w:type="dxa"/>
          <w:jc w:val="center"/>
          <w:tblLayout w:type="fixed"/>
          <w:tblLook w:val="04A0"/>
        </w:tblPrEx>
        <w:trPr>
          <w:trHeight w:val="552"/>
          <w:jc w:val="center"/>
        </w:trPr>
        <w:tc>
          <w:tcPr>
            <w:tcW w:w="22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525D" w:rsidRPr="004F45EB" w:rsidP="004B2277" w14:paraId="73A65B89" w14:textId="24A17CB7">
            <w:pPr>
              <w:autoSpaceDE/>
              <w:autoSpaceDN/>
              <w:adjustRightInd/>
              <w:rPr>
                <w:color w:val="000000"/>
                <w:u w:val="single"/>
              </w:rPr>
            </w:pPr>
            <w:r w:rsidRPr="004F45EB">
              <w:rPr>
                <w:b/>
                <w:bCs/>
                <w:color w:val="000000"/>
                <w:u w:val="single"/>
              </w:rPr>
              <w:t xml:space="preserve">Sampling and Testing Plan – </w:t>
            </w:r>
            <w:r>
              <w:rPr>
                <w:b/>
                <w:bCs/>
                <w:color w:val="000000"/>
                <w:u w:val="single"/>
              </w:rPr>
              <w:t>§ </w:t>
            </w:r>
            <w:r w:rsidRPr="004F45EB">
              <w:rPr>
                <w:b/>
                <w:bCs/>
                <w:color w:val="000000"/>
                <w:u w:val="single"/>
              </w:rPr>
              <w:t>173.41</w:t>
            </w:r>
          </w:p>
        </w:tc>
        <w:tc>
          <w:tcPr>
            <w:tcW w:w="1336"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B2277" w14:paraId="7195FE77" w14:textId="77777777">
            <w:pPr>
              <w:autoSpaceDE/>
              <w:autoSpaceDN/>
              <w:adjustRightInd/>
              <w:jc w:val="center"/>
              <w:rPr>
                <w:b/>
                <w:bCs/>
                <w:color w:val="000000"/>
                <w:u w:val="single"/>
              </w:rPr>
            </w:pPr>
            <w:r w:rsidRPr="004A4F84">
              <w:rPr>
                <w:b/>
                <w:bCs/>
                <w:color w:val="000000"/>
                <w:u w:val="single"/>
              </w:rPr>
              <w:t>Respondents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B2277" w14:paraId="225000D6" w14:textId="77777777">
            <w:pPr>
              <w:autoSpaceDE/>
              <w:autoSpaceDN/>
              <w:adjustRightInd/>
              <w:jc w:val="center"/>
              <w:rPr>
                <w:b/>
                <w:bCs/>
                <w:color w:val="000000"/>
                <w:u w:val="single"/>
              </w:rPr>
            </w:pPr>
            <w:r w:rsidRPr="004A4F84">
              <w:rPr>
                <w:b/>
                <w:bCs/>
                <w:color w:val="000000"/>
                <w:u w:val="single"/>
              </w:rPr>
              <w:t>Annual Responses per Respondent</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B2277" w14:paraId="723CD0E7" w14:textId="77777777">
            <w:pPr>
              <w:autoSpaceDE/>
              <w:autoSpaceDN/>
              <w:adjustRightInd/>
              <w:jc w:val="center"/>
              <w:rPr>
                <w:b/>
                <w:bCs/>
                <w:color w:val="000000"/>
                <w:u w:val="single"/>
              </w:rPr>
            </w:pPr>
            <w:r w:rsidRPr="004A4F84">
              <w:rPr>
                <w:b/>
                <w:bCs/>
                <w:color w:val="000000"/>
                <w:u w:val="single"/>
              </w:rPr>
              <w:t>Annual Responses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B2277" w14:paraId="222732D8" w14:textId="77777777">
            <w:pPr>
              <w:autoSpaceDE/>
              <w:autoSpaceDN/>
              <w:adjustRightInd/>
              <w:jc w:val="center"/>
              <w:rPr>
                <w:b/>
                <w:bCs/>
                <w:color w:val="000000"/>
                <w:u w:val="single"/>
              </w:rPr>
            </w:pPr>
            <w:r w:rsidRPr="004A4F84">
              <w:rPr>
                <w:b/>
                <w:bCs/>
                <w:color w:val="000000"/>
                <w:u w:val="single"/>
              </w:rPr>
              <w:t>Hours per Response</w:t>
            </w:r>
          </w:p>
        </w:tc>
        <w:tc>
          <w:tcPr>
            <w:tcW w:w="914"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B2277" w14:paraId="54D644EF" w14:textId="77777777">
            <w:pPr>
              <w:autoSpaceDE/>
              <w:autoSpaceDN/>
              <w:adjustRightInd/>
              <w:jc w:val="center"/>
              <w:rPr>
                <w:b/>
                <w:bCs/>
                <w:color w:val="000000"/>
                <w:u w:val="single"/>
              </w:rPr>
            </w:pPr>
            <w:r w:rsidRPr="004A4F84">
              <w:rPr>
                <w:b/>
                <w:bCs/>
                <w:color w:val="000000"/>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B2277" w14:paraId="3B1F7511" w14:textId="77777777">
            <w:pPr>
              <w:autoSpaceDE/>
              <w:autoSpaceDN/>
              <w:adjustRightInd/>
              <w:jc w:val="center"/>
              <w:rPr>
                <w:b/>
                <w:bCs/>
                <w:color w:val="000000"/>
                <w:u w:val="single"/>
              </w:rPr>
            </w:pPr>
            <w:r w:rsidRPr="004A4F84">
              <w:rPr>
                <w:b/>
                <w:bCs/>
                <w:color w:val="000000"/>
                <w:u w:val="single"/>
              </w:rPr>
              <w:t>Burden Cost</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B2277" w14:paraId="40DAEAC3" w14:textId="77777777">
            <w:pPr>
              <w:autoSpaceDE/>
              <w:autoSpaceDN/>
              <w:adjustRightInd/>
              <w:jc w:val="center"/>
              <w:rPr>
                <w:b/>
                <w:bCs/>
                <w:color w:val="000000"/>
                <w:u w:val="single"/>
              </w:rPr>
            </w:pPr>
            <w:r w:rsidRPr="004A4F84">
              <w:rPr>
                <w:b/>
                <w:bCs/>
                <w:color w:val="000000"/>
                <w:u w:val="single"/>
              </w:rPr>
              <w:t>Salary Cost per Hour</w:t>
            </w:r>
          </w:p>
        </w:tc>
        <w:tc>
          <w:tcPr>
            <w:tcW w:w="1156"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B2277" w14:paraId="296D0FA9" w14:textId="77777777">
            <w:pPr>
              <w:autoSpaceDE/>
              <w:autoSpaceDN/>
              <w:adjustRightInd/>
              <w:jc w:val="center"/>
              <w:rPr>
                <w:b/>
                <w:bCs/>
                <w:color w:val="000000"/>
                <w:u w:val="single"/>
              </w:rPr>
            </w:pPr>
            <w:r w:rsidRPr="004A4F84">
              <w:rPr>
                <w:b/>
                <w:bCs/>
                <w:color w:val="000000"/>
                <w:u w:val="single"/>
              </w:rPr>
              <w:t>Total Salary Cost</w:t>
            </w:r>
          </w:p>
        </w:tc>
      </w:tr>
      <w:tr w14:paraId="6B432D94" w14:textId="77777777" w:rsidTr="004F45EB">
        <w:tblPrEx>
          <w:tblW w:w="11250" w:type="dxa"/>
          <w:jc w:val="center"/>
          <w:tblLayout w:type="fixed"/>
          <w:tblLook w:val="04A0"/>
        </w:tblPrEx>
        <w:trPr>
          <w:trHeight w:val="60"/>
          <w:jc w:val="center"/>
        </w:trPr>
        <w:tc>
          <w:tcPr>
            <w:tcW w:w="2264" w:type="dxa"/>
            <w:tcBorders>
              <w:top w:val="nil"/>
              <w:left w:val="single" w:sz="4" w:space="0" w:color="auto"/>
              <w:bottom w:val="single" w:sz="4" w:space="0" w:color="auto"/>
              <w:right w:val="single" w:sz="4" w:space="0" w:color="auto"/>
            </w:tcBorders>
            <w:shd w:val="clear" w:color="auto" w:fill="auto"/>
            <w:vAlign w:val="bottom"/>
            <w:hideMark/>
          </w:tcPr>
          <w:p w:rsidR="00BD525D" w:rsidRPr="004F45EB" w:rsidP="004B2277" w14:paraId="5C2288D1" w14:textId="0B2FAEB3">
            <w:pPr>
              <w:autoSpaceDE/>
              <w:autoSpaceDN/>
              <w:adjustRightInd/>
              <w:rPr>
                <w:bCs/>
                <w:color w:val="000000"/>
              </w:rPr>
            </w:pPr>
            <w:r w:rsidRPr="004F45EB">
              <w:rPr>
                <w:bCs/>
                <w:color w:val="000000"/>
              </w:rPr>
              <w:t>Reporting</w:t>
            </w:r>
          </w:p>
        </w:tc>
        <w:tc>
          <w:tcPr>
            <w:tcW w:w="1336" w:type="dxa"/>
            <w:tcBorders>
              <w:top w:val="nil"/>
              <w:left w:val="nil"/>
              <w:bottom w:val="single" w:sz="4" w:space="0" w:color="auto"/>
              <w:right w:val="single" w:sz="4" w:space="0" w:color="auto"/>
            </w:tcBorders>
            <w:shd w:val="clear" w:color="auto" w:fill="auto"/>
            <w:vAlign w:val="bottom"/>
            <w:hideMark/>
          </w:tcPr>
          <w:p w:rsidR="00BD525D" w:rsidRPr="004A4F84" w:rsidP="004B2277" w14:paraId="565BD507" w14:textId="104C4674">
            <w:pPr>
              <w:autoSpaceDE/>
              <w:autoSpaceDN/>
              <w:adjustRightInd/>
              <w:jc w:val="right"/>
              <w:rPr>
                <w:color w:val="000000"/>
              </w:rPr>
            </w:pPr>
            <w:r w:rsidRPr="004A4F84">
              <w:rPr>
                <w:color w:val="000000"/>
              </w:rPr>
              <w:t>1,80</w:t>
            </w:r>
            <w:r w:rsidR="00D352DD">
              <w:rPr>
                <w:color w:val="000000"/>
              </w:rPr>
              <w:t>1</w:t>
            </w:r>
          </w:p>
        </w:tc>
        <w:tc>
          <w:tcPr>
            <w:tcW w:w="1440" w:type="dxa"/>
            <w:tcBorders>
              <w:top w:val="nil"/>
              <w:left w:val="nil"/>
              <w:bottom w:val="single" w:sz="4" w:space="0" w:color="auto"/>
              <w:right w:val="single" w:sz="4" w:space="0" w:color="auto"/>
            </w:tcBorders>
            <w:shd w:val="clear" w:color="auto" w:fill="auto"/>
            <w:vAlign w:val="bottom"/>
            <w:hideMark/>
          </w:tcPr>
          <w:p w:rsidR="00BD525D" w:rsidRPr="004A4F84" w:rsidP="004B2277" w14:paraId="1C085F5D" w14:textId="77777777">
            <w:pPr>
              <w:autoSpaceDE/>
              <w:autoSpaceDN/>
              <w:adjustRightInd/>
              <w:jc w:val="right"/>
              <w:rPr>
                <w:color w:val="000000"/>
              </w:rPr>
            </w:pPr>
            <w:r w:rsidRPr="004A4F84">
              <w:rPr>
                <w:color w:val="000000"/>
              </w:rPr>
              <w:t>1</w:t>
            </w:r>
          </w:p>
        </w:tc>
        <w:tc>
          <w:tcPr>
            <w:tcW w:w="1170" w:type="dxa"/>
            <w:tcBorders>
              <w:top w:val="nil"/>
              <w:left w:val="nil"/>
              <w:bottom w:val="single" w:sz="4" w:space="0" w:color="auto"/>
              <w:right w:val="single" w:sz="4" w:space="0" w:color="auto"/>
            </w:tcBorders>
            <w:shd w:val="clear" w:color="auto" w:fill="auto"/>
            <w:vAlign w:val="bottom"/>
            <w:hideMark/>
          </w:tcPr>
          <w:p w:rsidR="00BD525D" w:rsidRPr="004A4F84" w:rsidP="004B2277" w14:paraId="083F22E5" w14:textId="592EC580">
            <w:pPr>
              <w:autoSpaceDE/>
              <w:autoSpaceDN/>
              <w:adjustRightInd/>
              <w:jc w:val="right"/>
              <w:rPr>
                <w:color w:val="000000"/>
              </w:rPr>
            </w:pPr>
            <w:r w:rsidRPr="004A4F84">
              <w:rPr>
                <w:color w:val="000000"/>
              </w:rPr>
              <w:t>1,80</w:t>
            </w:r>
            <w:r w:rsidR="00D352DD">
              <w:rPr>
                <w:color w:val="000000"/>
              </w:rPr>
              <w:t>1</w:t>
            </w:r>
          </w:p>
        </w:tc>
        <w:tc>
          <w:tcPr>
            <w:tcW w:w="1080" w:type="dxa"/>
            <w:tcBorders>
              <w:top w:val="nil"/>
              <w:left w:val="nil"/>
              <w:bottom w:val="single" w:sz="4" w:space="0" w:color="auto"/>
              <w:right w:val="single" w:sz="4" w:space="0" w:color="auto"/>
            </w:tcBorders>
            <w:shd w:val="clear" w:color="auto" w:fill="auto"/>
            <w:vAlign w:val="bottom"/>
            <w:hideMark/>
          </w:tcPr>
          <w:p w:rsidR="00BD525D" w:rsidRPr="004A4F84" w:rsidP="004B2277" w14:paraId="792A4FD4" w14:textId="77777777">
            <w:pPr>
              <w:autoSpaceDE/>
              <w:autoSpaceDN/>
              <w:adjustRightInd/>
              <w:jc w:val="right"/>
              <w:rPr>
                <w:color w:val="000000"/>
              </w:rPr>
            </w:pPr>
            <w:r>
              <w:rPr>
                <w:color w:val="000000"/>
              </w:rPr>
              <w:t>10</w:t>
            </w:r>
          </w:p>
        </w:tc>
        <w:tc>
          <w:tcPr>
            <w:tcW w:w="914" w:type="dxa"/>
            <w:tcBorders>
              <w:top w:val="nil"/>
              <w:left w:val="nil"/>
              <w:bottom w:val="single" w:sz="4" w:space="0" w:color="auto"/>
              <w:right w:val="single" w:sz="4" w:space="0" w:color="auto"/>
            </w:tcBorders>
            <w:shd w:val="clear" w:color="auto" w:fill="auto"/>
            <w:vAlign w:val="bottom"/>
            <w:hideMark/>
          </w:tcPr>
          <w:p w:rsidR="00BD525D" w:rsidRPr="004A4F84" w:rsidP="004B2277" w14:paraId="67457166" w14:textId="725BA33A">
            <w:pPr>
              <w:autoSpaceDE/>
              <w:autoSpaceDN/>
              <w:adjustRightInd/>
              <w:jc w:val="right"/>
              <w:rPr>
                <w:color w:val="000000"/>
              </w:rPr>
            </w:pPr>
            <w:r>
              <w:rPr>
                <w:color w:val="000000"/>
              </w:rPr>
              <w:t>18,0</w:t>
            </w:r>
            <w:r w:rsidR="00D30371">
              <w:rPr>
                <w:color w:val="000000"/>
              </w:rPr>
              <w:t>1</w:t>
            </w:r>
            <w:r>
              <w:rPr>
                <w:color w:val="000000"/>
              </w:rPr>
              <w:t>0</w:t>
            </w:r>
            <w:r w:rsidRPr="004A4F84">
              <w:rPr>
                <w:color w:val="000000"/>
              </w:rPr>
              <w:t xml:space="preserve"> </w:t>
            </w:r>
          </w:p>
        </w:tc>
        <w:tc>
          <w:tcPr>
            <w:tcW w:w="900" w:type="dxa"/>
            <w:tcBorders>
              <w:top w:val="nil"/>
              <w:left w:val="nil"/>
              <w:bottom w:val="single" w:sz="4" w:space="0" w:color="auto"/>
              <w:right w:val="single" w:sz="4" w:space="0" w:color="auto"/>
            </w:tcBorders>
            <w:shd w:val="clear" w:color="auto" w:fill="auto"/>
            <w:vAlign w:val="bottom"/>
            <w:hideMark/>
          </w:tcPr>
          <w:p w:rsidR="00BD525D" w:rsidRPr="004A4F84" w:rsidP="004B2277" w14:paraId="6E1C39C8" w14:textId="77777777">
            <w:pPr>
              <w:autoSpaceDE/>
              <w:autoSpaceDN/>
              <w:adjustRightInd/>
              <w:jc w:val="right"/>
              <w:rPr>
                <w:color w:val="000000"/>
              </w:rPr>
            </w:pPr>
            <w:r w:rsidRPr="004A4F84">
              <w:rPr>
                <w:color w:val="000000"/>
              </w:rPr>
              <w:t xml:space="preserve">$0 </w:t>
            </w:r>
          </w:p>
        </w:tc>
        <w:tc>
          <w:tcPr>
            <w:tcW w:w="990" w:type="dxa"/>
            <w:tcBorders>
              <w:top w:val="nil"/>
              <w:left w:val="nil"/>
              <w:bottom w:val="single" w:sz="4" w:space="0" w:color="auto"/>
              <w:right w:val="single" w:sz="4" w:space="0" w:color="auto"/>
            </w:tcBorders>
            <w:shd w:val="clear" w:color="auto" w:fill="auto"/>
            <w:vAlign w:val="bottom"/>
            <w:hideMark/>
          </w:tcPr>
          <w:p w:rsidR="00BD525D" w:rsidRPr="004A4F84" w:rsidP="004B2277" w14:paraId="4BE1A4CB" w14:textId="43EA4F06">
            <w:pPr>
              <w:autoSpaceDE/>
              <w:autoSpaceDN/>
              <w:adjustRightInd/>
              <w:jc w:val="right"/>
              <w:rPr>
                <w:color w:val="000000"/>
              </w:rPr>
            </w:pPr>
            <w:r w:rsidRPr="004A4F84">
              <w:rPr>
                <w:color w:val="000000"/>
              </w:rPr>
              <w:t>$</w:t>
            </w:r>
            <w:r w:rsidRPr="002B1C34" w:rsidR="002B1C34">
              <w:rPr>
                <w:color w:val="000000"/>
              </w:rPr>
              <w:t>93.70</w:t>
            </w:r>
          </w:p>
        </w:tc>
        <w:tc>
          <w:tcPr>
            <w:tcW w:w="1156" w:type="dxa"/>
            <w:tcBorders>
              <w:top w:val="nil"/>
              <w:left w:val="nil"/>
              <w:bottom w:val="single" w:sz="4" w:space="0" w:color="auto"/>
              <w:right w:val="single" w:sz="4" w:space="0" w:color="auto"/>
            </w:tcBorders>
            <w:shd w:val="clear" w:color="auto" w:fill="auto"/>
            <w:vAlign w:val="bottom"/>
            <w:hideMark/>
          </w:tcPr>
          <w:p w:rsidR="00BD525D" w:rsidRPr="004A4F84" w:rsidP="004B2277" w14:paraId="2A7BD265" w14:textId="42C16E04">
            <w:pPr>
              <w:autoSpaceDE/>
              <w:autoSpaceDN/>
              <w:adjustRightInd/>
              <w:jc w:val="right"/>
              <w:rPr>
                <w:color w:val="000000"/>
              </w:rPr>
            </w:pPr>
            <w:r w:rsidRPr="4084E444">
              <w:rPr>
                <w:color w:val="000000" w:themeColor="text1"/>
              </w:rPr>
              <w:t>$</w:t>
            </w:r>
            <w:r w:rsidR="002B444B">
              <w:rPr>
                <w:color w:val="000000" w:themeColor="text1"/>
              </w:rPr>
              <w:t>1,</w:t>
            </w:r>
            <w:r w:rsidR="00795F04">
              <w:rPr>
                <w:color w:val="000000" w:themeColor="text1"/>
              </w:rPr>
              <w:t>687</w:t>
            </w:r>
            <w:r w:rsidR="002B444B">
              <w:rPr>
                <w:color w:val="000000" w:themeColor="text1"/>
              </w:rPr>
              <w:t>,</w:t>
            </w:r>
            <w:r w:rsidR="00795F04">
              <w:rPr>
                <w:color w:val="000000" w:themeColor="text1"/>
              </w:rPr>
              <w:t>537</w:t>
            </w:r>
          </w:p>
        </w:tc>
      </w:tr>
    </w:tbl>
    <w:p w:rsidR="002E69A3" w:rsidP="004B2277" w14:paraId="0E999824" w14:textId="77777777">
      <w:pPr>
        <w:rPr>
          <w:sz w:val="24"/>
          <w:szCs w:val="24"/>
        </w:rPr>
      </w:pPr>
    </w:p>
    <w:p w:rsidR="00992AAC" w:rsidRPr="004A4F84" w:rsidP="004F45EB" w14:paraId="356E689B" w14:textId="77777777">
      <w:pPr>
        <w:keepNext/>
        <w:keepLines/>
        <w:rPr>
          <w:b/>
          <w:sz w:val="24"/>
          <w:szCs w:val="24"/>
        </w:rPr>
      </w:pPr>
      <w:r w:rsidRPr="004A4F84">
        <w:rPr>
          <w:b/>
          <w:sz w:val="24"/>
          <w:szCs w:val="24"/>
        </w:rPr>
        <w:t>Section</w:t>
      </w:r>
      <w:r w:rsidRPr="004A4F84" w:rsidR="00D5630C">
        <w:rPr>
          <w:b/>
          <w:sz w:val="24"/>
          <w:szCs w:val="24"/>
        </w:rPr>
        <w:t xml:space="preserve"> </w:t>
      </w:r>
      <w:r w:rsidRPr="004A4F84" w:rsidR="008427DC">
        <w:rPr>
          <w:b/>
          <w:sz w:val="24"/>
          <w:szCs w:val="24"/>
        </w:rPr>
        <w:t>174</w:t>
      </w:r>
      <w:r w:rsidRPr="004A4F84">
        <w:rPr>
          <w:b/>
          <w:sz w:val="24"/>
          <w:szCs w:val="24"/>
        </w:rPr>
        <w:t>.</w:t>
      </w:r>
      <w:r w:rsidRPr="004A4F84" w:rsidR="0074266C">
        <w:rPr>
          <w:b/>
          <w:sz w:val="24"/>
          <w:szCs w:val="24"/>
        </w:rPr>
        <w:t>3</w:t>
      </w:r>
      <w:r w:rsidRPr="004A4F84">
        <w:rPr>
          <w:b/>
          <w:sz w:val="24"/>
          <w:szCs w:val="24"/>
        </w:rPr>
        <w:t>10(</w:t>
      </w:r>
      <w:r>
        <w:rPr>
          <w:b/>
          <w:sz w:val="24"/>
          <w:szCs w:val="24"/>
        </w:rPr>
        <w:t>a</w:t>
      </w:r>
      <w:r w:rsidRPr="004A4F84">
        <w:rPr>
          <w:b/>
          <w:sz w:val="24"/>
          <w:szCs w:val="24"/>
        </w:rPr>
        <w:t>)(</w:t>
      </w:r>
      <w:r w:rsidRPr="004A4F84" w:rsidR="0074266C">
        <w:rPr>
          <w:b/>
          <w:sz w:val="24"/>
          <w:szCs w:val="24"/>
        </w:rPr>
        <w:t>1</w:t>
      </w:r>
      <w:r w:rsidRPr="004A4F84">
        <w:rPr>
          <w:b/>
          <w:sz w:val="24"/>
          <w:szCs w:val="24"/>
        </w:rPr>
        <w:t>)</w:t>
      </w:r>
      <w:r w:rsidRPr="004A4F84" w:rsidR="0034355F">
        <w:rPr>
          <w:b/>
          <w:sz w:val="24"/>
          <w:szCs w:val="24"/>
        </w:rPr>
        <w:t xml:space="preserve">: </w:t>
      </w:r>
      <w:r w:rsidRPr="004A4F84" w:rsidR="00BC3775">
        <w:rPr>
          <w:b/>
          <w:sz w:val="24"/>
          <w:szCs w:val="24"/>
        </w:rPr>
        <w:t xml:space="preserve"> </w:t>
      </w:r>
      <w:r w:rsidR="00084C99">
        <w:rPr>
          <w:b/>
          <w:sz w:val="24"/>
          <w:szCs w:val="24"/>
        </w:rPr>
        <w:t>Requirements for the operation of high-hazard flammable trains – Routing analysis</w:t>
      </w:r>
    </w:p>
    <w:p w:rsidR="00A31325" w:rsidP="004B2277" w14:paraId="67AFDFBE" w14:textId="77777777">
      <w:pPr>
        <w:rPr>
          <w:sz w:val="24"/>
          <w:szCs w:val="24"/>
        </w:rPr>
      </w:pPr>
    </w:p>
    <w:p w:rsidR="00A31325" w:rsidRPr="004A4F84" w:rsidP="004B2277" w14:paraId="61276944" w14:textId="77777777">
      <w:pPr>
        <w:rPr>
          <w:sz w:val="24"/>
          <w:szCs w:val="24"/>
          <w:u w:val="single"/>
        </w:rPr>
      </w:pPr>
      <w:r w:rsidRPr="004A4F84">
        <w:rPr>
          <w:sz w:val="24"/>
          <w:szCs w:val="24"/>
          <w:u w:val="single"/>
        </w:rPr>
        <w:t>Collection by Line Segment</w:t>
      </w:r>
    </w:p>
    <w:p w:rsidR="00A31325" w:rsidP="004B2277" w14:paraId="3FFE4F76" w14:textId="77777777">
      <w:pPr>
        <w:rPr>
          <w:sz w:val="24"/>
          <w:szCs w:val="24"/>
        </w:rPr>
      </w:pPr>
    </w:p>
    <w:p w:rsidR="00992AAC" w:rsidP="004B2277" w14:paraId="1A3B4214" w14:textId="0488873B">
      <w:pPr>
        <w:rPr>
          <w:sz w:val="24"/>
          <w:szCs w:val="24"/>
        </w:rPr>
      </w:pPr>
      <w:r>
        <w:rPr>
          <w:sz w:val="24"/>
          <w:szCs w:val="24"/>
        </w:rPr>
        <w:t xml:space="preserve">Section 174.310(a)(1) </w:t>
      </w:r>
      <w:r w:rsidRPr="00992AAC" w:rsidR="3C0BFE33">
        <w:rPr>
          <w:sz w:val="24"/>
          <w:szCs w:val="24"/>
        </w:rPr>
        <w:t>require</w:t>
      </w:r>
      <w:r w:rsidR="0E0C5A5F">
        <w:rPr>
          <w:sz w:val="24"/>
          <w:szCs w:val="24"/>
        </w:rPr>
        <w:t>s</w:t>
      </w:r>
      <w:r w:rsidRPr="00992AAC" w:rsidR="3C0BFE33">
        <w:rPr>
          <w:sz w:val="24"/>
          <w:szCs w:val="24"/>
        </w:rPr>
        <w:t xml:space="preserve"> a rail carrier transporting </w:t>
      </w:r>
      <w:r w:rsidR="1C39AED4">
        <w:rPr>
          <w:sz w:val="24"/>
          <w:szCs w:val="24"/>
        </w:rPr>
        <w:t>HHFTs</w:t>
      </w:r>
      <w:r w:rsidRPr="00992AAC" w:rsidR="3C0BFE33">
        <w:rPr>
          <w:sz w:val="24"/>
          <w:szCs w:val="24"/>
        </w:rPr>
        <w:t xml:space="preserve"> to use the data it compiles annually</w:t>
      </w:r>
      <w:r w:rsidR="5059EFF0">
        <w:rPr>
          <w:sz w:val="24"/>
          <w:szCs w:val="24"/>
        </w:rPr>
        <w:t xml:space="preserve"> to</w:t>
      </w:r>
      <w:r w:rsidRPr="00992AAC" w:rsidR="3C0BFE33">
        <w:rPr>
          <w:sz w:val="24"/>
          <w:szCs w:val="24"/>
        </w:rPr>
        <w:t xml:space="preserve"> analyze the safety and security risks for the transportation route(s) used by </w:t>
      </w:r>
      <w:r w:rsidR="0E0C5A5F">
        <w:rPr>
          <w:sz w:val="24"/>
          <w:szCs w:val="24"/>
        </w:rPr>
        <w:t>its</w:t>
      </w:r>
      <w:r w:rsidRPr="00992AAC" w:rsidR="3C0BFE33">
        <w:rPr>
          <w:sz w:val="24"/>
          <w:szCs w:val="24"/>
        </w:rPr>
        <w:t xml:space="preserve"> trains.</w:t>
      </w:r>
      <w:r w:rsidR="00614200">
        <w:rPr>
          <w:sz w:val="24"/>
          <w:szCs w:val="24"/>
        </w:rPr>
        <w:t xml:space="preserve"> </w:t>
      </w:r>
      <w:r w:rsidR="1BBCEBEC">
        <w:rPr>
          <w:sz w:val="24"/>
          <w:szCs w:val="24"/>
        </w:rPr>
        <w:t xml:space="preserve"> </w:t>
      </w:r>
      <w:r w:rsidRPr="00992AAC" w:rsidR="3C0BFE33">
        <w:rPr>
          <w:sz w:val="24"/>
          <w:szCs w:val="24"/>
        </w:rPr>
        <w:t>In performing this analysis</w:t>
      </w:r>
      <w:r w:rsidR="0E0C5A5F">
        <w:rPr>
          <w:sz w:val="24"/>
          <w:szCs w:val="24"/>
        </w:rPr>
        <w:t>,</w:t>
      </w:r>
      <w:r w:rsidRPr="00992AAC" w:rsidR="3C0BFE33">
        <w:rPr>
          <w:sz w:val="24"/>
          <w:szCs w:val="24"/>
        </w:rPr>
        <w:t xml:space="preserve"> the rail carrier must consult with s</w:t>
      </w:r>
      <w:r w:rsidRPr="00992AAC" w:rsidR="4CCCD7C3">
        <w:rPr>
          <w:sz w:val="24"/>
          <w:szCs w:val="24"/>
        </w:rPr>
        <w:t>tate</w:t>
      </w:r>
      <w:r w:rsidRPr="00992AAC" w:rsidR="3C0BFE33">
        <w:rPr>
          <w:sz w:val="24"/>
          <w:szCs w:val="24"/>
        </w:rPr>
        <w:t>, local, and tribal officials, as appropriate, regarding security risks to high-consequence targets, countermeasures already in place, and the community emergency response capability along, or in proximity to, the route(s) utilized.</w:t>
      </w:r>
      <w:r w:rsidR="26EF3D25">
        <w:rPr>
          <w:sz w:val="24"/>
          <w:szCs w:val="24"/>
        </w:rPr>
        <w:t xml:space="preserve"> </w:t>
      </w:r>
      <w:r w:rsidR="00614200">
        <w:rPr>
          <w:sz w:val="24"/>
          <w:szCs w:val="24"/>
        </w:rPr>
        <w:t xml:space="preserve"> </w:t>
      </w:r>
      <w:r w:rsidR="26EF3D25">
        <w:rPr>
          <w:sz w:val="24"/>
          <w:szCs w:val="24"/>
        </w:rPr>
        <w:t>This analysis will be conducted by both Class II and Class III railroads.</w:t>
      </w:r>
      <w:r w:rsidR="00614200">
        <w:rPr>
          <w:sz w:val="24"/>
          <w:szCs w:val="24"/>
        </w:rPr>
        <w:t xml:space="preserve"> </w:t>
      </w:r>
      <w:r w:rsidR="26EF3D25">
        <w:rPr>
          <w:sz w:val="24"/>
          <w:szCs w:val="24"/>
        </w:rPr>
        <w:t xml:space="preserve"> </w:t>
      </w:r>
      <w:r>
        <w:rPr>
          <w:sz w:val="24"/>
          <w:szCs w:val="24"/>
        </w:rPr>
        <w:t xml:space="preserve">Based on historical data, </w:t>
      </w:r>
      <w:r w:rsidR="4CCCD7C3">
        <w:rPr>
          <w:sz w:val="24"/>
          <w:szCs w:val="24"/>
        </w:rPr>
        <w:t xml:space="preserve">PHMSA </w:t>
      </w:r>
      <w:r w:rsidR="5C83D3B4">
        <w:rPr>
          <w:sz w:val="24"/>
          <w:szCs w:val="24"/>
        </w:rPr>
        <w:t>expect</w:t>
      </w:r>
      <w:r w:rsidR="4CCCD7C3">
        <w:rPr>
          <w:sz w:val="24"/>
          <w:szCs w:val="24"/>
        </w:rPr>
        <w:t>s</w:t>
      </w:r>
      <w:r w:rsidR="5C83D3B4">
        <w:rPr>
          <w:sz w:val="24"/>
          <w:szCs w:val="24"/>
        </w:rPr>
        <w:t xml:space="preserve"> 10 Class II and </w:t>
      </w:r>
      <w:r w:rsidR="5612E492">
        <w:rPr>
          <w:sz w:val="24"/>
          <w:szCs w:val="24"/>
        </w:rPr>
        <w:t>160</w:t>
      </w:r>
      <w:r w:rsidR="5C83D3B4">
        <w:rPr>
          <w:sz w:val="24"/>
          <w:szCs w:val="24"/>
        </w:rPr>
        <w:t xml:space="preserve"> Class III railroads to conduct </w:t>
      </w:r>
      <w:r w:rsidR="7AF6215B">
        <w:rPr>
          <w:sz w:val="24"/>
          <w:szCs w:val="24"/>
        </w:rPr>
        <w:t>assessments</w:t>
      </w:r>
      <w:r w:rsidR="20F348CA">
        <w:rPr>
          <w:sz w:val="24"/>
          <w:szCs w:val="24"/>
        </w:rPr>
        <w:t xml:space="preserve"> of their line segments.</w:t>
      </w:r>
      <w:r w:rsidR="00614200">
        <w:rPr>
          <w:sz w:val="24"/>
          <w:szCs w:val="24"/>
        </w:rPr>
        <w:t xml:space="preserve"> </w:t>
      </w:r>
      <w:r w:rsidR="5C83D3B4">
        <w:rPr>
          <w:sz w:val="24"/>
          <w:szCs w:val="24"/>
        </w:rPr>
        <w:t xml:space="preserve"> </w:t>
      </w:r>
      <w:r>
        <w:rPr>
          <w:sz w:val="24"/>
          <w:szCs w:val="24"/>
        </w:rPr>
        <w:t>It is estimated that each response takes 40 hours</w:t>
      </w:r>
      <w:r w:rsidR="05139738">
        <w:rPr>
          <w:sz w:val="24"/>
          <w:szCs w:val="24"/>
        </w:rPr>
        <w:t xml:space="preserve"> to complete</w:t>
      </w:r>
      <w:r>
        <w:rPr>
          <w:sz w:val="24"/>
          <w:szCs w:val="24"/>
        </w:rPr>
        <w:t>, for</w:t>
      </w:r>
      <w:r w:rsidR="05139738">
        <w:rPr>
          <w:sz w:val="24"/>
          <w:szCs w:val="24"/>
        </w:rPr>
        <w:t xml:space="preserve"> a total of</w:t>
      </w:r>
      <w:r>
        <w:rPr>
          <w:sz w:val="24"/>
          <w:szCs w:val="24"/>
        </w:rPr>
        <w:t xml:space="preserve"> 400 burden hours for Class II Railroads (10 responses x 40 hours) and 6,400 burden hours</w:t>
      </w:r>
      <w:r w:rsidR="05139738">
        <w:rPr>
          <w:sz w:val="24"/>
          <w:szCs w:val="24"/>
        </w:rPr>
        <w:t xml:space="preserve"> for Class III Rail</w:t>
      </w:r>
      <w:r w:rsidR="6DCE2BB2">
        <w:rPr>
          <w:sz w:val="24"/>
          <w:szCs w:val="24"/>
        </w:rPr>
        <w:t>roads (160 responses x 40 hours)</w:t>
      </w:r>
      <w:r w:rsidR="05139738">
        <w:rPr>
          <w:sz w:val="24"/>
          <w:szCs w:val="24"/>
        </w:rPr>
        <w:t>.  PH</w:t>
      </w:r>
      <w:r w:rsidR="6DCE2BB2">
        <w:rPr>
          <w:sz w:val="24"/>
          <w:szCs w:val="24"/>
        </w:rPr>
        <w:t>MSA does not estimate any out-</w:t>
      </w:r>
      <w:r w:rsidR="58586528">
        <w:rPr>
          <w:sz w:val="24"/>
          <w:szCs w:val="24"/>
        </w:rPr>
        <w:t>of-</w:t>
      </w:r>
      <w:r w:rsidR="05139738">
        <w:rPr>
          <w:sz w:val="24"/>
          <w:szCs w:val="24"/>
        </w:rPr>
        <w:t xml:space="preserve">pocket expenses. </w:t>
      </w:r>
      <w:r w:rsidR="00614200">
        <w:rPr>
          <w:sz w:val="24"/>
          <w:szCs w:val="24"/>
        </w:rPr>
        <w:t xml:space="preserve"> </w:t>
      </w:r>
      <w:r w:rsidR="6DCE2BB2">
        <w:rPr>
          <w:sz w:val="24"/>
          <w:szCs w:val="24"/>
        </w:rPr>
        <w:t xml:space="preserve">For the salary of a Senior Management employee of </w:t>
      </w:r>
      <w:r w:rsidR="6DCE2BB2">
        <w:rPr>
          <w:rFonts w:eastAsia="Calibri"/>
          <w:sz w:val="24"/>
          <w:szCs w:val="24"/>
        </w:rPr>
        <w:t>$</w:t>
      </w:r>
      <w:r w:rsidR="00EC5F25">
        <w:rPr>
          <w:sz w:val="24"/>
          <w:szCs w:val="24"/>
        </w:rPr>
        <w:t>93.70</w:t>
      </w:r>
      <w:r>
        <w:rPr>
          <w:rStyle w:val="FootnoteReference"/>
          <w:rFonts w:eastAsia="Calibri"/>
          <w:sz w:val="24"/>
          <w:szCs w:val="24"/>
        </w:rPr>
        <w:footnoteReference w:id="9"/>
      </w:r>
      <w:r w:rsidR="6DCE2BB2">
        <w:rPr>
          <w:rFonts w:eastAsia="Calibri"/>
          <w:sz w:val="24"/>
          <w:szCs w:val="24"/>
        </w:rPr>
        <w:t xml:space="preserve"> per hour</w:t>
      </w:r>
      <w:r w:rsidR="6DCE2BB2">
        <w:rPr>
          <w:sz w:val="24"/>
          <w:szCs w:val="24"/>
        </w:rPr>
        <w:t xml:space="preserve">, </w:t>
      </w:r>
      <w:r w:rsidRPr="00125E20" w:rsidR="6DCE2BB2">
        <w:rPr>
          <w:sz w:val="24"/>
          <w:szCs w:val="24"/>
        </w:rPr>
        <w:t>PHMSA estimates</w:t>
      </w:r>
      <w:r w:rsidR="6DCE2BB2">
        <w:rPr>
          <w:sz w:val="24"/>
          <w:szCs w:val="24"/>
        </w:rPr>
        <w:t xml:space="preserve"> a total salary cost of $</w:t>
      </w:r>
      <w:r w:rsidR="00852701">
        <w:rPr>
          <w:sz w:val="24"/>
          <w:szCs w:val="24"/>
        </w:rPr>
        <w:t>37,480</w:t>
      </w:r>
      <w:r w:rsidR="6DCE2BB2">
        <w:rPr>
          <w:sz w:val="24"/>
          <w:szCs w:val="24"/>
        </w:rPr>
        <w:t xml:space="preserve"> for Class II Railroads (400 burden hours x $</w:t>
      </w:r>
      <w:r w:rsidR="00EC5F25">
        <w:rPr>
          <w:sz w:val="24"/>
          <w:szCs w:val="24"/>
        </w:rPr>
        <w:t>93.70</w:t>
      </w:r>
      <w:r w:rsidR="6DCE2BB2">
        <w:rPr>
          <w:sz w:val="24"/>
          <w:szCs w:val="24"/>
        </w:rPr>
        <w:t>) and $</w:t>
      </w:r>
      <w:r w:rsidR="00852701">
        <w:rPr>
          <w:sz w:val="24"/>
          <w:szCs w:val="24"/>
        </w:rPr>
        <w:t>599,680</w:t>
      </w:r>
      <w:r w:rsidR="6DCE2BB2">
        <w:rPr>
          <w:sz w:val="24"/>
          <w:szCs w:val="24"/>
        </w:rPr>
        <w:t xml:space="preserve"> for Class III Railroads (6,400 burden hours x $</w:t>
      </w:r>
      <w:r w:rsidR="00EC5F25">
        <w:rPr>
          <w:sz w:val="24"/>
          <w:szCs w:val="24"/>
        </w:rPr>
        <w:t>93.70</w:t>
      </w:r>
      <w:r w:rsidR="6DCE2BB2">
        <w:rPr>
          <w:sz w:val="24"/>
          <w:szCs w:val="24"/>
        </w:rPr>
        <w:t>).</w:t>
      </w:r>
    </w:p>
    <w:p w:rsidR="002E69A3" w:rsidRPr="00992AAC" w:rsidP="004B2277" w14:paraId="6E62B56E" w14:textId="77777777">
      <w:pPr>
        <w:rPr>
          <w:sz w:val="24"/>
          <w:szCs w:val="24"/>
        </w:rPr>
      </w:pPr>
    </w:p>
    <w:tbl>
      <w:tblPr>
        <w:tblW w:w="11529" w:type="dxa"/>
        <w:jc w:val="center"/>
        <w:tblLayout w:type="fixed"/>
        <w:tblLook w:val="04A0"/>
      </w:tblPr>
      <w:tblGrid>
        <w:gridCol w:w="2480"/>
        <w:gridCol w:w="1390"/>
        <w:gridCol w:w="1440"/>
        <w:gridCol w:w="1130"/>
        <w:gridCol w:w="1080"/>
        <w:gridCol w:w="900"/>
        <w:gridCol w:w="900"/>
        <w:gridCol w:w="990"/>
        <w:gridCol w:w="1219"/>
      </w:tblGrid>
      <w:tr w14:paraId="3962C2A3" w14:textId="77777777" w:rsidTr="004F45EB">
        <w:tblPrEx>
          <w:tblW w:w="11529" w:type="dxa"/>
          <w:jc w:val="center"/>
          <w:tblLayout w:type="fixed"/>
          <w:tblLook w:val="04A0"/>
        </w:tblPrEx>
        <w:trPr>
          <w:trHeight w:val="552"/>
          <w:jc w:val="center"/>
        </w:trPr>
        <w:tc>
          <w:tcPr>
            <w:tcW w:w="2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525D" w:rsidRPr="008D2520" w:rsidP="004B2277" w14:paraId="5BD737B1" w14:textId="0005DC96">
            <w:pPr>
              <w:autoSpaceDE/>
              <w:autoSpaceDN/>
              <w:adjustRightInd/>
              <w:rPr>
                <w:b/>
                <w:bCs/>
                <w:color w:val="000000"/>
                <w:u w:val="single"/>
              </w:rPr>
            </w:pPr>
            <w:r w:rsidRPr="004F45EB">
              <w:rPr>
                <w:b/>
                <w:bCs/>
                <w:color w:val="000000"/>
                <w:u w:val="single"/>
              </w:rPr>
              <w:t>Collection by Line Segment - § </w:t>
            </w:r>
            <w:r w:rsidRPr="004F45EB">
              <w:rPr>
                <w:b/>
                <w:color w:val="000000"/>
                <w:u w:val="single"/>
              </w:rPr>
              <w:t>174.310(a)(1); Part 172, Subpart I</w:t>
            </w:r>
          </w:p>
        </w:tc>
        <w:tc>
          <w:tcPr>
            <w:tcW w:w="1390"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B2277" w14:paraId="5C432292" w14:textId="77777777">
            <w:pPr>
              <w:autoSpaceDE/>
              <w:autoSpaceDN/>
              <w:adjustRightInd/>
              <w:jc w:val="center"/>
              <w:rPr>
                <w:b/>
                <w:bCs/>
                <w:color w:val="000000"/>
                <w:u w:val="single"/>
              </w:rPr>
            </w:pPr>
            <w:r w:rsidRPr="004A4F84">
              <w:rPr>
                <w:b/>
                <w:bCs/>
                <w:color w:val="000000"/>
                <w:u w:val="single"/>
              </w:rPr>
              <w:t>Respondents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B2277" w14:paraId="16923267" w14:textId="77777777">
            <w:pPr>
              <w:autoSpaceDE/>
              <w:autoSpaceDN/>
              <w:adjustRightInd/>
              <w:jc w:val="center"/>
              <w:rPr>
                <w:b/>
                <w:bCs/>
                <w:color w:val="000000"/>
                <w:u w:val="single"/>
              </w:rPr>
            </w:pPr>
            <w:r w:rsidRPr="004A4F84">
              <w:rPr>
                <w:b/>
                <w:bCs/>
                <w:color w:val="000000"/>
                <w:u w:val="single"/>
              </w:rPr>
              <w:t>Annual Responses per Respondent</w:t>
            </w:r>
          </w:p>
        </w:tc>
        <w:tc>
          <w:tcPr>
            <w:tcW w:w="1130"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B2277" w14:paraId="01A45A76" w14:textId="77777777">
            <w:pPr>
              <w:autoSpaceDE/>
              <w:autoSpaceDN/>
              <w:adjustRightInd/>
              <w:jc w:val="center"/>
              <w:rPr>
                <w:b/>
                <w:bCs/>
                <w:color w:val="000000"/>
                <w:u w:val="single"/>
              </w:rPr>
            </w:pPr>
            <w:r w:rsidRPr="004A4F84">
              <w:rPr>
                <w:b/>
                <w:bCs/>
                <w:color w:val="000000"/>
                <w:u w:val="single"/>
              </w:rPr>
              <w:t>Annual Responses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B2277" w14:paraId="192F0775" w14:textId="77777777">
            <w:pPr>
              <w:autoSpaceDE/>
              <w:autoSpaceDN/>
              <w:adjustRightInd/>
              <w:jc w:val="center"/>
              <w:rPr>
                <w:b/>
                <w:bCs/>
                <w:color w:val="000000"/>
                <w:u w:val="single"/>
              </w:rPr>
            </w:pPr>
            <w:r w:rsidRPr="004A4F84">
              <w:rPr>
                <w:b/>
                <w:bCs/>
                <w:color w:val="000000"/>
                <w:u w:val="single"/>
              </w:rPr>
              <w:t>Hours per Response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B2277" w14:paraId="3C3DDBE3" w14:textId="77777777">
            <w:pPr>
              <w:autoSpaceDE/>
              <w:autoSpaceDN/>
              <w:adjustRightInd/>
              <w:jc w:val="center"/>
              <w:rPr>
                <w:b/>
                <w:bCs/>
                <w:color w:val="000000"/>
                <w:u w:val="single"/>
              </w:rPr>
            </w:pPr>
            <w:r w:rsidRPr="004A4F84">
              <w:rPr>
                <w:b/>
                <w:bCs/>
                <w:color w:val="000000"/>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B2277" w14:paraId="2C296447" w14:textId="77777777">
            <w:pPr>
              <w:autoSpaceDE/>
              <w:autoSpaceDN/>
              <w:adjustRightInd/>
              <w:jc w:val="center"/>
              <w:rPr>
                <w:b/>
                <w:bCs/>
                <w:color w:val="000000"/>
                <w:u w:val="single"/>
              </w:rPr>
            </w:pPr>
            <w:r w:rsidRPr="004A4F84">
              <w:rPr>
                <w:b/>
                <w:bCs/>
                <w:color w:val="000000"/>
                <w:u w:val="single"/>
              </w:rPr>
              <w:t>Burden Cost</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B2277" w14:paraId="4AF8BAA1" w14:textId="77777777">
            <w:pPr>
              <w:autoSpaceDE/>
              <w:autoSpaceDN/>
              <w:adjustRightInd/>
              <w:jc w:val="center"/>
              <w:rPr>
                <w:b/>
                <w:bCs/>
                <w:color w:val="000000"/>
                <w:u w:val="single"/>
              </w:rPr>
            </w:pPr>
            <w:r w:rsidRPr="004A4F84">
              <w:rPr>
                <w:b/>
                <w:bCs/>
                <w:color w:val="000000"/>
                <w:u w:val="single"/>
              </w:rPr>
              <w:t>Salary Cost per Hour</w:t>
            </w:r>
          </w:p>
        </w:tc>
        <w:tc>
          <w:tcPr>
            <w:tcW w:w="1219"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B2277" w14:paraId="431C8D3A" w14:textId="77777777">
            <w:pPr>
              <w:autoSpaceDE/>
              <w:autoSpaceDN/>
              <w:adjustRightInd/>
              <w:jc w:val="center"/>
              <w:rPr>
                <w:b/>
                <w:bCs/>
                <w:color w:val="000000"/>
                <w:u w:val="single"/>
              </w:rPr>
            </w:pPr>
            <w:r w:rsidRPr="004A4F84">
              <w:rPr>
                <w:b/>
                <w:bCs/>
                <w:color w:val="000000"/>
                <w:u w:val="single"/>
              </w:rPr>
              <w:t>Total Salary Cost</w:t>
            </w:r>
          </w:p>
        </w:tc>
      </w:tr>
      <w:tr w14:paraId="565838A2" w14:textId="77777777" w:rsidTr="004F45EB">
        <w:tblPrEx>
          <w:tblW w:w="11529" w:type="dxa"/>
          <w:jc w:val="center"/>
          <w:tblLayout w:type="fixed"/>
          <w:tblLook w:val="04A0"/>
        </w:tblPrEx>
        <w:trPr>
          <w:trHeight w:val="60"/>
          <w:jc w:val="center"/>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BD525D" w:rsidRPr="004A4F84" w:rsidP="004B2277" w14:paraId="1CD1B584" w14:textId="77777777">
            <w:pPr>
              <w:autoSpaceDE/>
              <w:autoSpaceDN/>
              <w:adjustRightInd/>
              <w:rPr>
                <w:bCs/>
                <w:color w:val="000000"/>
              </w:rPr>
            </w:pPr>
            <w:r w:rsidRPr="004A4F84">
              <w:rPr>
                <w:bCs/>
                <w:color w:val="000000"/>
              </w:rPr>
              <w:t>Class II Railroads</w:t>
            </w:r>
          </w:p>
        </w:tc>
        <w:tc>
          <w:tcPr>
            <w:tcW w:w="1390" w:type="dxa"/>
            <w:tcBorders>
              <w:top w:val="nil"/>
              <w:left w:val="nil"/>
              <w:bottom w:val="single" w:sz="4" w:space="0" w:color="auto"/>
              <w:right w:val="single" w:sz="4" w:space="0" w:color="auto"/>
            </w:tcBorders>
            <w:shd w:val="clear" w:color="auto" w:fill="auto"/>
            <w:vAlign w:val="bottom"/>
            <w:hideMark/>
          </w:tcPr>
          <w:p w:rsidR="00BD525D" w:rsidRPr="004A4F84" w:rsidP="004B2277" w14:paraId="4B22C3B4" w14:textId="77777777">
            <w:pPr>
              <w:autoSpaceDE/>
              <w:autoSpaceDN/>
              <w:adjustRightInd/>
              <w:jc w:val="right"/>
              <w:rPr>
                <w:color w:val="000000"/>
              </w:rPr>
            </w:pPr>
            <w:r w:rsidRPr="004A4F84">
              <w:rPr>
                <w:color w:val="000000"/>
              </w:rPr>
              <w:t>10</w:t>
            </w:r>
          </w:p>
        </w:tc>
        <w:tc>
          <w:tcPr>
            <w:tcW w:w="1440" w:type="dxa"/>
            <w:tcBorders>
              <w:top w:val="nil"/>
              <w:left w:val="nil"/>
              <w:bottom w:val="single" w:sz="4" w:space="0" w:color="auto"/>
              <w:right w:val="single" w:sz="4" w:space="0" w:color="auto"/>
            </w:tcBorders>
            <w:shd w:val="clear" w:color="auto" w:fill="auto"/>
            <w:vAlign w:val="bottom"/>
            <w:hideMark/>
          </w:tcPr>
          <w:p w:rsidR="00BD525D" w:rsidRPr="004A4F84" w:rsidP="004B2277" w14:paraId="0FBAB1A7" w14:textId="77777777">
            <w:pPr>
              <w:autoSpaceDE/>
              <w:autoSpaceDN/>
              <w:adjustRightInd/>
              <w:jc w:val="right"/>
              <w:rPr>
                <w:color w:val="000000"/>
              </w:rPr>
            </w:pPr>
            <w:r w:rsidRPr="004A4F84">
              <w:rPr>
                <w:color w:val="000000"/>
              </w:rPr>
              <w:t>1</w:t>
            </w:r>
          </w:p>
        </w:tc>
        <w:tc>
          <w:tcPr>
            <w:tcW w:w="1130" w:type="dxa"/>
            <w:tcBorders>
              <w:top w:val="nil"/>
              <w:left w:val="nil"/>
              <w:bottom w:val="single" w:sz="4" w:space="0" w:color="auto"/>
              <w:right w:val="single" w:sz="4" w:space="0" w:color="auto"/>
            </w:tcBorders>
            <w:shd w:val="clear" w:color="auto" w:fill="auto"/>
            <w:vAlign w:val="bottom"/>
            <w:hideMark/>
          </w:tcPr>
          <w:p w:rsidR="00BD525D" w:rsidRPr="004A4F84" w:rsidP="004B2277" w14:paraId="083DFE4E" w14:textId="77777777">
            <w:pPr>
              <w:autoSpaceDE/>
              <w:autoSpaceDN/>
              <w:adjustRightInd/>
              <w:jc w:val="right"/>
              <w:rPr>
                <w:color w:val="000000"/>
              </w:rPr>
            </w:pPr>
            <w:r w:rsidRPr="004A4F84">
              <w:rPr>
                <w:color w:val="000000"/>
              </w:rPr>
              <w:t>10</w:t>
            </w:r>
          </w:p>
        </w:tc>
        <w:tc>
          <w:tcPr>
            <w:tcW w:w="1080" w:type="dxa"/>
            <w:tcBorders>
              <w:top w:val="nil"/>
              <w:left w:val="nil"/>
              <w:bottom w:val="single" w:sz="4" w:space="0" w:color="auto"/>
              <w:right w:val="single" w:sz="4" w:space="0" w:color="auto"/>
            </w:tcBorders>
            <w:shd w:val="clear" w:color="auto" w:fill="auto"/>
            <w:vAlign w:val="bottom"/>
            <w:hideMark/>
          </w:tcPr>
          <w:p w:rsidR="00BD525D" w:rsidRPr="004A4F84" w:rsidP="004B2277" w14:paraId="4D51B760" w14:textId="77777777">
            <w:pPr>
              <w:autoSpaceDE/>
              <w:autoSpaceDN/>
              <w:adjustRightInd/>
              <w:jc w:val="right"/>
              <w:rPr>
                <w:color w:val="000000"/>
              </w:rPr>
            </w:pPr>
            <w:r w:rsidRPr="004A4F84">
              <w:rPr>
                <w:color w:val="000000"/>
              </w:rPr>
              <w:t>40</w:t>
            </w:r>
          </w:p>
        </w:tc>
        <w:tc>
          <w:tcPr>
            <w:tcW w:w="900" w:type="dxa"/>
            <w:tcBorders>
              <w:top w:val="nil"/>
              <w:left w:val="nil"/>
              <w:bottom w:val="single" w:sz="4" w:space="0" w:color="auto"/>
              <w:right w:val="single" w:sz="4" w:space="0" w:color="auto"/>
            </w:tcBorders>
            <w:shd w:val="clear" w:color="auto" w:fill="auto"/>
            <w:vAlign w:val="bottom"/>
            <w:hideMark/>
          </w:tcPr>
          <w:p w:rsidR="00BD525D" w:rsidRPr="004A4F84" w:rsidP="004B2277" w14:paraId="52F4AAD3" w14:textId="77777777">
            <w:pPr>
              <w:autoSpaceDE/>
              <w:autoSpaceDN/>
              <w:adjustRightInd/>
              <w:jc w:val="right"/>
              <w:rPr>
                <w:color w:val="000000"/>
              </w:rPr>
            </w:pPr>
            <w:r>
              <w:rPr>
                <w:color w:val="000000"/>
              </w:rPr>
              <w:t>400</w:t>
            </w:r>
            <w:r w:rsidRPr="004A4F84">
              <w:rPr>
                <w:color w:val="000000"/>
              </w:rPr>
              <w:t xml:space="preserve"> </w:t>
            </w:r>
          </w:p>
        </w:tc>
        <w:tc>
          <w:tcPr>
            <w:tcW w:w="900" w:type="dxa"/>
            <w:tcBorders>
              <w:top w:val="nil"/>
              <w:left w:val="nil"/>
              <w:bottom w:val="single" w:sz="4" w:space="0" w:color="auto"/>
              <w:right w:val="single" w:sz="4" w:space="0" w:color="auto"/>
            </w:tcBorders>
            <w:shd w:val="clear" w:color="auto" w:fill="auto"/>
            <w:vAlign w:val="bottom"/>
            <w:hideMark/>
          </w:tcPr>
          <w:p w:rsidR="00BD525D" w:rsidRPr="004A4F84" w:rsidP="004B2277" w14:paraId="0F4A4F66" w14:textId="77777777">
            <w:pPr>
              <w:autoSpaceDE/>
              <w:autoSpaceDN/>
              <w:adjustRightInd/>
              <w:jc w:val="right"/>
              <w:rPr>
                <w:color w:val="000000"/>
              </w:rPr>
            </w:pPr>
            <w:r w:rsidRPr="004A4F84">
              <w:rPr>
                <w:color w:val="000000"/>
              </w:rPr>
              <w:t xml:space="preserve">$0 </w:t>
            </w:r>
          </w:p>
        </w:tc>
        <w:tc>
          <w:tcPr>
            <w:tcW w:w="990" w:type="dxa"/>
            <w:tcBorders>
              <w:top w:val="nil"/>
              <w:left w:val="nil"/>
              <w:bottom w:val="single" w:sz="4" w:space="0" w:color="auto"/>
              <w:right w:val="single" w:sz="4" w:space="0" w:color="auto"/>
            </w:tcBorders>
            <w:shd w:val="clear" w:color="auto" w:fill="auto"/>
            <w:vAlign w:val="bottom"/>
            <w:hideMark/>
          </w:tcPr>
          <w:p w:rsidR="00BD525D" w:rsidRPr="004A4F84" w:rsidP="004B2277" w14:paraId="30D4C15D" w14:textId="7B79CAAA">
            <w:pPr>
              <w:autoSpaceDE/>
              <w:autoSpaceDN/>
              <w:adjustRightInd/>
              <w:jc w:val="right"/>
              <w:rPr>
                <w:color w:val="000000"/>
              </w:rPr>
            </w:pPr>
            <w:r w:rsidRPr="004A4F84">
              <w:rPr>
                <w:color w:val="000000"/>
              </w:rPr>
              <w:t>$</w:t>
            </w:r>
            <w:r w:rsidRPr="00EC5F25" w:rsidR="00EC5F25">
              <w:rPr>
                <w:color w:val="000000"/>
              </w:rPr>
              <w:t>93.70</w:t>
            </w:r>
          </w:p>
        </w:tc>
        <w:tc>
          <w:tcPr>
            <w:tcW w:w="1219" w:type="dxa"/>
            <w:tcBorders>
              <w:top w:val="nil"/>
              <w:left w:val="nil"/>
              <w:bottom w:val="single" w:sz="4" w:space="0" w:color="auto"/>
              <w:right w:val="single" w:sz="4" w:space="0" w:color="auto"/>
            </w:tcBorders>
            <w:shd w:val="clear" w:color="auto" w:fill="auto"/>
            <w:vAlign w:val="bottom"/>
            <w:hideMark/>
          </w:tcPr>
          <w:p w:rsidR="00BD525D" w:rsidRPr="004A4F84" w:rsidP="004B2277" w14:paraId="6D0AE74C" w14:textId="2D93F90E">
            <w:pPr>
              <w:autoSpaceDE/>
              <w:autoSpaceDN/>
              <w:adjustRightInd/>
              <w:jc w:val="right"/>
              <w:rPr>
                <w:color w:val="000000"/>
              </w:rPr>
            </w:pPr>
            <w:r w:rsidRPr="004A4F84">
              <w:rPr>
                <w:color w:val="000000"/>
              </w:rPr>
              <w:t>$</w:t>
            </w:r>
            <w:r w:rsidR="00852701">
              <w:rPr>
                <w:color w:val="000000"/>
              </w:rPr>
              <w:t>37,480</w:t>
            </w:r>
          </w:p>
        </w:tc>
      </w:tr>
      <w:tr w14:paraId="76D0DA60" w14:textId="77777777" w:rsidTr="004F45EB">
        <w:tblPrEx>
          <w:tblW w:w="11529" w:type="dxa"/>
          <w:jc w:val="center"/>
          <w:tblLayout w:type="fixed"/>
          <w:tblLook w:val="04A0"/>
        </w:tblPrEx>
        <w:trPr>
          <w:trHeight w:val="60"/>
          <w:jc w:val="center"/>
        </w:trPr>
        <w:tc>
          <w:tcPr>
            <w:tcW w:w="2480" w:type="dxa"/>
            <w:tcBorders>
              <w:top w:val="nil"/>
              <w:left w:val="single" w:sz="4" w:space="0" w:color="auto"/>
              <w:bottom w:val="single" w:sz="4" w:space="0" w:color="auto"/>
              <w:right w:val="single" w:sz="4" w:space="0" w:color="auto"/>
            </w:tcBorders>
            <w:shd w:val="clear" w:color="auto" w:fill="auto"/>
            <w:vAlign w:val="bottom"/>
            <w:hideMark/>
          </w:tcPr>
          <w:p w:rsidR="00BD525D" w:rsidRPr="004A4F84" w:rsidP="004B2277" w14:paraId="11817998" w14:textId="77777777">
            <w:pPr>
              <w:autoSpaceDE/>
              <w:autoSpaceDN/>
              <w:adjustRightInd/>
              <w:rPr>
                <w:bCs/>
                <w:color w:val="000000"/>
              </w:rPr>
            </w:pPr>
            <w:r w:rsidRPr="004A4F84">
              <w:rPr>
                <w:bCs/>
                <w:color w:val="000000"/>
              </w:rPr>
              <w:t>Class III Railroads</w:t>
            </w:r>
          </w:p>
        </w:tc>
        <w:tc>
          <w:tcPr>
            <w:tcW w:w="1390" w:type="dxa"/>
            <w:tcBorders>
              <w:top w:val="nil"/>
              <w:left w:val="nil"/>
              <w:bottom w:val="single" w:sz="4" w:space="0" w:color="auto"/>
              <w:right w:val="single" w:sz="4" w:space="0" w:color="auto"/>
            </w:tcBorders>
            <w:shd w:val="clear" w:color="auto" w:fill="auto"/>
            <w:vAlign w:val="bottom"/>
            <w:hideMark/>
          </w:tcPr>
          <w:p w:rsidR="00BD525D" w:rsidRPr="004A4F84" w:rsidP="004B2277" w14:paraId="56F2F389" w14:textId="77777777">
            <w:pPr>
              <w:autoSpaceDE/>
              <w:autoSpaceDN/>
              <w:adjustRightInd/>
              <w:jc w:val="right"/>
              <w:rPr>
                <w:color w:val="000000"/>
              </w:rPr>
            </w:pPr>
            <w:r w:rsidRPr="004A4F84">
              <w:rPr>
                <w:color w:val="000000"/>
              </w:rPr>
              <w:t>160</w:t>
            </w:r>
          </w:p>
        </w:tc>
        <w:tc>
          <w:tcPr>
            <w:tcW w:w="1440" w:type="dxa"/>
            <w:tcBorders>
              <w:top w:val="nil"/>
              <w:left w:val="nil"/>
              <w:bottom w:val="single" w:sz="4" w:space="0" w:color="auto"/>
              <w:right w:val="single" w:sz="4" w:space="0" w:color="auto"/>
            </w:tcBorders>
            <w:shd w:val="clear" w:color="auto" w:fill="auto"/>
            <w:vAlign w:val="bottom"/>
            <w:hideMark/>
          </w:tcPr>
          <w:p w:rsidR="00BD525D" w:rsidRPr="004A4F84" w:rsidP="004B2277" w14:paraId="4175A17E" w14:textId="77777777">
            <w:pPr>
              <w:autoSpaceDE/>
              <w:autoSpaceDN/>
              <w:adjustRightInd/>
              <w:jc w:val="right"/>
              <w:rPr>
                <w:color w:val="000000"/>
              </w:rPr>
            </w:pPr>
            <w:r w:rsidRPr="004A4F84">
              <w:rPr>
                <w:color w:val="000000"/>
              </w:rPr>
              <w:t>1</w:t>
            </w:r>
          </w:p>
        </w:tc>
        <w:tc>
          <w:tcPr>
            <w:tcW w:w="1130" w:type="dxa"/>
            <w:tcBorders>
              <w:top w:val="nil"/>
              <w:left w:val="nil"/>
              <w:bottom w:val="single" w:sz="4" w:space="0" w:color="auto"/>
              <w:right w:val="single" w:sz="4" w:space="0" w:color="auto"/>
            </w:tcBorders>
            <w:shd w:val="clear" w:color="auto" w:fill="auto"/>
            <w:vAlign w:val="bottom"/>
            <w:hideMark/>
          </w:tcPr>
          <w:p w:rsidR="00BD525D" w:rsidRPr="004A4F84" w:rsidP="004B2277" w14:paraId="58C126A1" w14:textId="77777777">
            <w:pPr>
              <w:autoSpaceDE/>
              <w:autoSpaceDN/>
              <w:adjustRightInd/>
              <w:jc w:val="right"/>
              <w:rPr>
                <w:color w:val="000000"/>
              </w:rPr>
            </w:pPr>
            <w:r w:rsidRPr="004A4F84">
              <w:rPr>
                <w:color w:val="000000"/>
              </w:rPr>
              <w:t>160</w:t>
            </w:r>
          </w:p>
        </w:tc>
        <w:tc>
          <w:tcPr>
            <w:tcW w:w="1080" w:type="dxa"/>
            <w:tcBorders>
              <w:top w:val="nil"/>
              <w:left w:val="nil"/>
              <w:bottom w:val="single" w:sz="4" w:space="0" w:color="auto"/>
              <w:right w:val="single" w:sz="4" w:space="0" w:color="auto"/>
            </w:tcBorders>
            <w:shd w:val="clear" w:color="auto" w:fill="auto"/>
            <w:vAlign w:val="bottom"/>
            <w:hideMark/>
          </w:tcPr>
          <w:p w:rsidR="00BD525D" w:rsidRPr="004A4F84" w:rsidP="004B2277" w14:paraId="04F3CFC0" w14:textId="77777777">
            <w:pPr>
              <w:autoSpaceDE/>
              <w:autoSpaceDN/>
              <w:adjustRightInd/>
              <w:jc w:val="right"/>
              <w:rPr>
                <w:color w:val="000000"/>
              </w:rPr>
            </w:pPr>
            <w:r w:rsidRPr="004A4F84">
              <w:rPr>
                <w:color w:val="000000"/>
              </w:rPr>
              <w:t>40</w:t>
            </w:r>
          </w:p>
        </w:tc>
        <w:tc>
          <w:tcPr>
            <w:tcW w:w="900" w:type="dxa"/>
            <w:tcBorders>
              <w:top w:val="nil"/>
              <w:left w:val="nil"/>
              <w:bottom w:val="single" w:sz="4" w:space="0" w:color="auto"/>
              <w:right w:val="single" w:sz="4" w:space="0" w:color="auto"/>
            </w:tcBorders>
            <w:shd w:val="clear" w:color="auto" w:fill="auto"/>
            <w:vAlign w:val="bottom"/>
            <w:hideMark/>
          </w:tcPr>
          <w:p w:rsidR="00BD525D" w:rsidRPr="004A4F84" w:rsidP="004B2277" w14:paraId="1875A363" w14:textId="77777777">
            <w:pPr>
              <w:autoSpaceDE/>
              <w:autoSpaceDN/>
              <w:adjustRightInd/>
              <w:jc w:val="right"/>
              <w:rPr>
                <w:color w:val="000000"/>
              </w:rPr>
            </w:pPr>
            <w:r>
              <w:rPr>
                <w:color w:val="000000"/>
              </w:rPr>
              <w:t>6,400</w:t>
            </w:r>
          </w:p>
        </w:tc>
        <w:tc>
          <w:tcPr>
            <w:tcW w:w="900" w:type="dxa"/>
            <w:tcBorders>
              <w:top w:val="nil"/>
              <w:left w:val="nil"/>
              <w:bottom w:val="single" w:sz="4" w:space="0" w:color="auto"/>
              <w:right w:val="single" w:sz="4" w:space="0" w:color="auto"/>
            </w:tcBorders>
            <w:shd w:val="clear" w:color="auto" w:fill="auto"/>
            <w:vAlign w:val="bottom"/>
            <w:hideMark/>
          </w:tcPr>
          <w:p w:rsidR="00BD525D" w:rsidRPr="004A4F84" w:rsidP="004B2277" w14:paraId="7409CE00" w14:textId="77777777">
            <w:pPr>
              <w:autoSpaceDE/>
              <w:autoSpaceDN/>
              <w:adjustRightInd/>
              <w:jc w:val="right"/>
              <w:rPr>
                <w:color w:val="000000"/>
              </w:rPr>
            </w:pPr>
            <w:r w:rsidRPr="004A4F84">
              <w:rPr>
                <w:color w:val="000000"/>
              </w:rPr>
              <w:t xml:space="preserve">$0 </w:t>
            </w:r>
          </w:p>
        </w:tc>
        <w:tc>
          <w:tcPr>
            <w:tcW w:w="990" w:type="dxa"/>
            <w:tcBorders>
              <w:top w:val="nil"/>
              <w:left w:val="nil"/>
              <w:bottom w:val="single" w:sz="4" w:space="0" w:color="auto"/>
              <w:right w:val="single" w:sz="4" w:space="0" w:color="auto"/>
            </w:tcBorders>
            <w:shd w:val="clear" w:color="auto" w:fill="auto"/>
            <w:vAlign w:val="bottom"/>
            <w:hideMark/>
          </w:tcPr>
          <w:p w:rsidR="00BD525D" w:rsidRPr="004A4F84" w:rsidP="004B2277" w14:paraId="3730C951" w14:textId="0A0189AF">
            <w:pPr>
              <w:autoSpaceDE/>
              <w:autoSpaceDN/>
              <w:adjustRightInd/>
              <w:jc w:val="right"/>
              <w:rPr>
                <w:color w:val="000000"/>
              </w:rPr>
            </w:pPr>
            <w:r w:rsidRPr="004A4F84">
              <w:rPr>
                <w:color w:val="000000"/>
              </w:rPr>
              <w:t>$</w:t>
            </w:r>
            <w:r w:rsidRPr="00EC5F25" w:rsidR="00EC5F25">
              <w:rPr>
                <w:color w:val="000000"/>
              </w:rPr>
              <w:t>93.70</w:t>
            </w:r>
          </w:p>
        </w:tc>
        <w:tc>
          <w:tcPr>
            <w:tcW w:w="1219" w:type="dxa"/>
            <w:tcBorders>
              <w:top w:val="nil"/>
              <w:left w:val="nil"/>
              <w:bottom w:val="single" w:sz="4" w:space="0" w:color="auto"/>
              <w:right w:val="single" w:sz="4" w:space="0" w:color="auto"/>
            </w:tcBorders>
            <w:shd w:val="clear" w:color="auto" w:fill="auto"/>
            <w:vAlign w:val="bottom"/>
            <w:hideMark/>
          </w:tcPr>
          <w:p w:rsidR="00BD525D" w:rsidRPr="004A4F84" w:rsidP="004B2277" w14:paraId="65A7F0E1" w14:textId="0ADB1335">
            <w:pPr>
              <w:autoSpaceDE/>
              <w:autoSpaceDN/>
              <w:adjustRightInd/>
              <w:jc w:val="right"/>
              <w:rPr>
                <w:color w:val="000000"/>
              </w:rPr>
            </w:pPr>
            <w:r w:rsidRPr="004A4F84">
              <w:rPr>
                <w:color w:val="000000"/>
              </w:rPr>
              <w:t>$</w:t>
            </w:r>
            <w:r w:rsidR="00852701">
              <w:rPr>
                <w:color w:val="000000"/>
              </w:rPr>
              <w:t>599,680</w:t>
            </w:r>
          </w:p>
        </w:tc>
      </w:tr>
    </w:tbl>
    <w:p w:rsidR="002E69A3" w:rsidRPr="00992AAC" w:rsidP="004B2277" w14:paraId="455691A1" w14:textId="77777777">
      <w:pPr>
        <w:rPr>
          <w:sz w:val="24"/>
          <w:szCs w:val="24"/>
        </w:rPr>
      </w:pPr>
    </w:p>
    <w:p w:rsidR="00ED2FF4" w:rsidP="004B2277" w14:paraId="251DB7F7" w14:textId="77777777">
      <w:pPr>
        <w:keepNext/>
        <w:keepLines/>
      </w:pPr>
      <w:r w:rsidRPr="004A4F84">
        <w:rPr>
          <w:sz w:val="24"/>
          <w:szCs w:val="24"/>
          <w:u w:val="single"/>
        </w:rPr>
        <w:t>Routing – Security Analysis</w:t>
      </w:r>
    </w:p>
    <w:p w:rsidR="00ED2FF4" w:rsidP="004B2277" w14:paraId="0027367B" w14:textId="77777777">
      <w:pPr>
        <w:keepNext/>
        <w:keepLines/>
      </w:pPr>
    </w:p>
    <w:p w:rsidR="00ED2FF4" w:rsidP="004B2277" w14:paraId="7B61C58D" w14:textId="6C577EDF">
      <w:pPr>
        <w:rPr>
          <w:sz w:val="24"/>
          <w:szCs w:val="24"/>
        </w:rPr>
      </w:pPr>
      <w:r>
        <w:rPr>
          <w:sz w:val="24"/>
          <w:szCs w:val="24"/>
        </w:rPr>
        <w:t xml:space="preserve">Section 174.310(a)(1) </w:t>
      </w:r>
      <w:r w:rsidRPr="00992AAC">
        <w:rPr>
          <w:sz w:val="24"/>
          <w:szCs w:val="24"/>
        </w:rPr>
        <w:t>require</w:t>
      </w:r>
      <w:r>
        <w:rPr>
          <w:sz w:val="24"/>
          <w:szCs w:val="24"/>
        </w:rPr>
        <w:t>s</w:t>
      </w:r>
      <w:r w:rsidRPr="00992AAC">
        <w:rPr>
          <w:sz w:val="24"/>
          <w:szCs w:val="24"/>
        </w:rPr>
        <w:t xml:space="preserve"> a rail carrier transporting </w:t>
      </w:r>
      <w:r>
        <w:rPr>
          <w:sz w:val="24"/>
          <w:szCs w:val="24"/>
        </w:rPr>
        <w:t>HHFTs</w:t>
      </w:r>
      <w:r w:rsidRPr="00992AAC">
        <w:rPr>
          <w:sz w:val="24"/>
          <w:szCs w:val="24"/>
        </w:rPr>
        <w:t xml:space="preserve"> to </w:t>
      </w:r>
      <w:r>
        <w:rPr>
          <w:sz w:val="24"/>
          <w:szCs w:val="24"/>
        </w:rPr>
        <w:t>conduct a primary route security analysis</w:t>
      </w:r>
      <w:r w:rsidRPr="00992AAC">
        <w:rPr>
          <w:sz w:val="24"/>
          <w:szCs w:val="24"/>
        </w:rPr>
        <w:t>.</w:t>
      </w:r>
      <w:r>
        <w:rPr>
          <w:sz w:val="24"/>
          <w:szCs w:val="24"/>
        </w:rPr>
        <w:t xml:space="preserve"> </w:t>
      </w:r>
      <w:r w:rsidR="00614200">
        <w:rPr>
          <w:sz w:val="24"/>
          <w:szCs w:val="24"/>
        </w:rPr>
        <w:t xml:space="preserve"> </w:t>
      </w:r>
      <w:r>
        <w:rPr>
          <w:sz w:val="24"/>
          <w:szCs w:val="24"/>
        </w:rPr>
        <w:t xml:space="preserve">This analysis will be conducted by both Class II and Class III railroads. </w:t>
      </w:r>
      <w:r w:rsidR="00614200">
        <w:rPr>
          <w:sz w:val="24"/>
          <w:szCs w:val="24"/>
        </w:rPr>
        <w:t xml:space="preserve"> </w:t>
      </w:r>
      <w:r>
        <w:rPr>
          <w:sz w:val="24"/>
          <w:szCs w:val="24"/>
        </w:rPr>
        <w:t xml:space="preserve">Based on historical data, PHMSA expects 10 Class II and 160 Class III railroads to conduct </w:t>
      </w:r>
      <w:r w:rsidR="11094612">
        <w:rPr>
          <w:sz w:val="24"/>
          <w:szCs w:val="24"/>
        </w:rPr>
        <w:t>a security analysis</w:t>
      </w:r>
      <w:r>
        <w:rPr>
          <w:sz w:val="24"/>
          <w:szCs w:val="24"/>
        </w:rPr>
        <w:t xml:space="preserve">. </w:t>
      </w:r>
      <w:r w:rsidR="00614200">
        <w:rPr>
          <w:sz w:val="24"/>
          <w:szCs w:val="24"/>
        </w:rPr>
        <w:t xml:space="preserve"> </w:t>
      </w:r>
      <w:r w:rsidR="11094612">
        <w:rPr>
          <w:sz w:val="24"/>
          <w:szCs w:val="24"/>
        </w:rPr>
        <w:t>I</w:t>
      </w:r>
      <w:r>
        <w:rPr>
          <w:sz w:val="24"/>
          <w:szCs w:val="24"/>
        </w:rPr>
        <w:t xml:space="preserve">t is estimated that </w:t>
      </w:r>
      <w:r w:rsidR="11094612">
        <w:rPr>
          <w:sz w:val="24"/>
          <w:szCs w:val="24"/>
        </w:rPr>
        <w:t>a Clas</w:t>
      </w:r>
      <w:r w:rsidR="011F555C">
        <w:rPr>
          <w:sz w:val="24"/>
          <w:szCs w:val="24"/>
        </w:rPr>
        <w:t xml:space="preserve">s II railroad completes 5 responses per year, each taking </w:t>
      </w:r>
      <w:r w:rsidR="11094612">
        <w:rPr>
          <w:sz w:val="24"/>
          <w:szCs w:val="24"/>
        </w:rPr>
        <w:t>16</w:t>
      </w:r>
      <w:r w:rsidR="011F555C">
        <w:rPr>
          <w:sz w:val="24"/>
          <w:szCs w:val="24"/>
        </w:rPr>
        <w:t> </w:t>
      </w:r>
      <w:r>
        <w:rPr>
          <w:sz w:val="24"/>
          <w:szCs w:val="24"/>
        </w:rPr>
        <w:t xml:space="preserve">hours to complete, for a total of </w:t>
      </w:r>
      <w:r w:rsidR="11094612">
        <w:rPr>
          <w:sz w:val="24"/>
          <w:szCs w:val="24"/>
        </w:rPr>
        <w:t xml:space="preserve">800 burden hours </w:t>
      </w:r>
      <w:r>
        <w:rPr>
          <w:sz w:val="24"/>
          <w:szCs w:val="24"/>
        </w:rPr>
        <w:t>(</w:t>
      </w:r>
      <w:r w:rsidR="011F555C">
        <w:rPr>
          <w:sz w:val="24"/>
          <w:szCs w:val="24"/>
        </w:rPr>
        <w:t>50</w:t>
      </w:r>
      <w:r>
        <w:rPr>
          <w:sz w:val="24"/>
          <w:szCs w:val="24"/>
        </w:rPr>
        <w:t xml:space="preserve"> responses x </w:t>
      </w:r>
      <w:r w:rsidR="11094612">
        <w:rPr>
          <w:sz w:val="24"/>
          <w:szCs w:val="24"/>
        </w:rPr>
        <w:t>16</w:t>
      </w:r>
      <w:r>
        <w:rPr>
          <w:sz w:val="24"/>
          <w:szCs w:val="24"/>
        </w:rPr>
        <w:t xml:space="preserve"> hours) and</w:t>
      </w:r>
      <w:r w:rsidR="11094612">
        <w:rPr>
          <w:sz w:val="24"/>
          <w:szCs w:val="24"/>
        </w:rPr>
        <w:t xml:space="preserve"> a Class III railroad</w:t>
      </w:r>
      <w:r w:rsidR="58586528">
        <w:rPr>
          <w:sz w:val="24"/>
          <w:szCs w:val="24"/>
        </w:rPr>
        <w:t xml:space="preserve"> completes</w:t>
      </w:r>
      <w:r w:rsidR="011F555C">
        <w:rPr>
          <w:sz w:val="24"/>
          <w:szCs w:val="24"/>
        </w:rPr>
        <w:t xml:space="preserve"> 2 response</w:t>
      </w:r>
      <w:r w:rsidR="58586528">
        <w:rPr>
          <w:sz w:val="24"/>
          <w:szCs w:val="24"/>
        </w:rPr>
        <w:t>s</w:t>
      </w:r>
      <w:r w:rsidR="011F555C">
        <w:rPr>
          <w:sz w:val="24"/>
          <w:szCs w:val="24"/>
        </w:rPr>
        <w:t xml:space="preserve"> per year, each </w:t>
      </w:r>
      <w:r w:rsidR="11094612">
        <w:rPr>
          <w:sz w:val="24"/>
          <w:szCs w:val="24"/>
        </w:rPr>
        <w:t>tak</w:t>
      </w:r>
      <w:r w:rsidR="011F555C">
        <w:rPr>
          <w:sz w:val="24"/>
          <w:szCs w:val="24"/>
        </w:rPr>
        <w:t>ing</w:t>
      </w:r>
      <w:r w:rsidR="11094612">
        <w:rPr>
          <w:sz w:val="24"/>
          <w:szCs w:val="24"/>
        </w:rPr>
        <w:t xml:space="preserve"> 8 hours to complete, for a total of 2,560</w:t>
      </w:r>
      <w:r w:rsidR="22EADEAE">
        <w:rPr>
          <w:sz w:val="24"/>
          <w:szCs w:val="24"/>
        </w:rPr>
        <w:t> </w:t>
      </w:r>
      <w:r w:rsidR="11094612">
        <w:rPr>
          <w:sz w:val="24"/>
          <w:szCs w:val="24"/>
        </w:rPr>
        <w:t xml:space="preserve">burden hours </w:t>
      </w:r>
      <w:r>
        <w:rPr>
          <w:sz w:val="24"/>
          <w:szCs w:val="24"/>
        </w:rPr>
        <w:t>(</w:t>
      </w:r>
      <w:r w:rsidR="11094612">
        <w:rPr>
          <w:sz w:val="24"/>
          <w:szCs w:val="24"/>
        </w:rPr>
        <w:t>320</w:t>
      </w:r>
      <w:r>
        <w:rPr>
          <w:sz w:val="24"/>
          <w:szCs w:val="24"/>
        </w:rPr>
        <w:t xml:space="preserve"> responses x </w:t>
      </w:r>
      <w:r w:rsidR="11094612">
        <w:rPr>
          <w:sz w:val="24"/>
          <w:szCs w:val="24"/>
        </w:rPr>
        <w:t>8</w:t>
      </w:r>
      <w:r>
        <w:rPr>
          <w:sz w:val="24"/>
          <w:szCs w:val="24"/>
        </w:rPr>
        <w:t xml:space="preserve"> hours). </w:t>
      </w:r>
      <w:r w:rsidR="00614200">
        <w:rPr>
          <w:sz w:val="24"/>
          <w:szCs w:val="24"/>
        </w:rPr>
        <w:t xml:space="preserve"> </w:t>
      </w:r>
      <w:r>
        <w:rPr>
          <w:sz w:val="24"/>
          <w:szCs w:val="24"/>
        </w:rPr>
        <w:t>PHM</w:t>
      </w:r>
      <w:r w:rsidR="58586528">
        <w:rPr>
          <w:sz w:val="24"/>
          <w:szCs w:val="24"/>
        </w:rPr>
        <w:t>SA does not estimate any out-of-</w:t>
      </w:r>
      <w:r>
        <w:rPr>
          <w:sz w:val="24"/>
          <w:szCs w:val="24"/>
        </w:rPr>
        <w:t xml:space="preserve">pocket </w:t>
      </w:r>
      <w:r>
        <w:rPr>
          <w:sz w:val="24"/>
          <w:szCs w:val="24"/>
        </w:rPr>
        <w:t xml:space="preserve">expenses.  For the salary of a Senior Management employee of </w:t>
      </w:r>
      <w:r>
        <w:rPr>
          <w:rFonts w:eastAsia="Calibri"/>
          <w:sz w:val="24"/>
          <w:szCs w:val="24"/>
        </w:rPr>
        <w:t>$</w:t>
      </w:r>
      <w:r w:rsidR="00B70190">
        <w:rPr>
          <w:sz w:val="24"/>
          <w:szCs w:val="24"/>
        </w:rPr>
        <w:t>93.70</w:t>
      </w:r>
      <w:r>
        <w:rPr>
          <w:rStyle w:val="FootnoteReference"/>
          <w:rFonts w:eastAsia="Calibri"/>
          <w:sz w:val="24"/>
          <w:szCs w:val="24"/>
        </w:rPr>
        <w:footnoteReference w:id="10"/>
      </w:r>
      <w:r>
        <w:rPr>
          <w:rFonts w:eastAsia="Calibri"/>
          <w:sz w:val="24"/>
          <w:szCs w:val="24"/>
        </w:rPr>
        <w:t xml:space="preserve"> per hour</w:t>
      </w:r>
      <w:r>
        <w:rPr>
          <w:sz w:val="24"/>
          <w:szCs w:val="24"/>
        </w:rPr>
        <w:t xml:space="preserve">, </w:t>
      </w:r>
      <w:r w:rsidRPr="00125E20">
        <w:rPr>
          <w:sz w:val="24"/>
          <w:szCs w:val="24"/>
        </w:rPr>
        <w:t>PHMSA estimates</w:t>
      </w:r>
      <w:r>
        <w:rPr>
          <w:sz w:val="24"/>
          <w:szCs w:val="24"/>
        </w:rPr>
        <w:t xml:space="preserve"> a total salary cost of $</w:t>
      </w:r>
      <w:r w:rsidR="00B70190">
        <w:rPr>
          <w:sz w:val="24"/>
          <w:szCs w:val="24"/>
        </w:rPr>
        <w:t>74,960</w:t>
      </w:r>
      <w:r>
        <w:rPr>
          <w:sz w:val="24"/>
          <w:szCs w:val="24"/>
        </w:rPr>
        <w:t xml:space="preserve"> for Class II Railroads (</w:t>
      </w:r>
      <w:r w:rsidR="11094612">
        <w:rPr>
          <w:sz w:val="24"/>
          <w:szCs w:val="24"/>
        </w:rPr>
        <w:t>800</w:t>
      </w:r>
      <w:r>
        <w:rPr>
          <w:sz w:val="24"/>
          <w:szCs w:val="24"/>
        </w:rPr>
        <w:t> burden hours x $</w:t>
      </w:r>
      <w:r w:rsidR="00B70190">
        <w:rPr>
          <w:sz w:val="24"/>
          <w:szCs w:val="24"/>
        </w:rPr>
        <w:t>93.70</w:t>
      </w:r>
      <w:r>
        <w:rPr>
          <w:sz w:val="24"/>
          <w:szCs w:val="24"/>
        </w:rPr>
        <w:t>) and $</w:t>
      </w:r>
      <w:r w:rsidR="00B70190">
        <w:rPr>
          <w:sz w:val="24"/>
          <w:szCs w:val="24"/>
        </w:rPr>
        <w:t>239,872</w:t>
      </w:r>
      <w:r>
        <w:rPr>
          <w:sz w:val="24"/>
          <w:szCs w:val="24"/>
        </w:rPr>
        <w:t xml:space="preserve"> for Class III Railroads (</w:t>
      </w:r>
      <w:r w:rsidR="11094612">
        <w:rPr>
          <w:sz w:val="24"/>
          <w:szCs w:val="24"/>
        </w:rPr>
        <w:t>2,560</w:t>
      </w:r>
      <w:r>
        <w:rPr>
          <w:sz w:val="24"/>
          <w:szCs w:val="24"/>
        </w:rPr>
        <w:t xml:space="preserve"> burden hours x $</w:t>
      </w:r>
      <w:r w:rsidR="00B70190">
        <w:rPr>
          <w:sz w:val="24"/>
          <w:szCs w:val="24"/>
        </w:rPr>
        <w:t>93.70</w:t>
      </w:r>
      <w:r>
        <w:rPr>
          <w:sz w:val="24"/>
          <w:szCs w:val="24"/>
        </w:rPr>
        <w:t>).</w:t>
      </w:r>
    </w:p>
    <w:p w:rsidR="00ED2FF4" w:rsidP="004B2277" w14:paraId="70E4AD41" w14:textId="77777777">
      <w:pPr>
        <w:rPr>
          <w:sz w:val="24"/>
          <w:szCs w:val="24"/>
        </w:rPr>
      </w:pPr>
    </w:p>
    <w:tbl>
      <w:tblPr>
        <w:tblW w:w="11525" w:type="dxa"/>
        <w:jc w:val="center"/>
        <w:tblLayout w:type="fixed"/>
        <w:tblLook w:val="04A0"/>
      </w:tblPr>
      <w:tblGrid>
        <w:gridCol w:w="2456"/>
        <w:gridCol w:w="1350"/>
        <w:gridCol w:w="1440"/>
        <w:gridCol w:w="1170"/>
        <w:gridCol w:w="1080"/>
        <w:gridCol w:w="900"/>
        <w:gridCol w:w="900"/>
        <w:gridCol w:w="990"/>
        <w:gridCol w:w="1239"/>
      </w:tblGrid>
      <w:tr w14:paraId="7F1046DD" w14:textId="77777777" w:rsidTr="004F45EB">
        <w:tblPrEx>
          <w:tblW w:w="11525" w:type="dxa"/>
          <w:jc w:val="center"/>
          <w:tblLayout w:type="fixed"/>
          <w:tblLook w:val="04A0"/>
        </w:tblPrEx>
        <w:trPr>
          <w:trHeight w:val="585"/>
          <w:jc w:val="center"/>
        </w:trPr>
        <w:tc>
          <w:tcPr>
            <w:tcW w:w="24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525D" w:rsidRPr="004F45EB" w:rsidP="004F45EB" w14:paraId="0FD78895" w14:textId="76334274">
            <w:pPr>
              <w:keepNext/>
              <w:keepLines/>
              <w:autoSpaceDE/>
              <w:autoSpaceDN/>
              <w:adjustRightInd/>
              <w:rPr>
                <w:b/>
                <w:bCs/>
                <w:color w:val="000000"/>
                <w:u w:val="single"/>
              </w:rPr>
            </w:pPr>
            <w:r w:rsidRPr="004F45EB">
              <w:rPr>
                <w:b/>
                <w:bCs/>
                <w:color w:val="000000"/>
                <w:u w:val="single"/>
              </w:rPr>
              <w:t>Security Analysis - § </w:t>
            </w:r>
            <w:r w:rsidRPr="004F45EB">
              <w:rPr>
                <w:b/>
                <w:color w:val="000000"/>
                <w:u w:val="single"/>
              </w:rPr>
              <w:t>174.310(a)(1); Part 172, Subpart I</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F45EB" w14:paraId="33218C9E" w14:textId="77777777">
            <w:pPr>
              <w:keepNext/>
              <w:keepLines/>
              <w:autoSpaceDE/>
              <w:autoSpaceDN/>
              <w:adjustRightInd/>
              <w:jc w:val="center"/>
              <w:rPr>
                <w:b/>
                <w:bCs/>
                <w:color w:val="000000"/>
                <w:u w:val="single"/>
              </w:rPr>
            </w:pPr>
            <w:r w:rsidRPr="004A4F84">
              <w:rPr>
                <w:b/>
                <w:bCs/>
                <w:color w:val="000000"/>
                <w:u w:val="single"/>
              </w:rPr>
              <w:t>Respondents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F45EB" w14:paraId="291C590D" w14:textId="77777777">
            <w:pPr>
              <w:keepNext/>
              <w:keepLines/>
              <w:autoSpaceDE/>
              <w:autoSpaceDN/>
              <w:adjustRightInd/>
              <w:jc w:val="center"/>
              <w:rPr>
                <w:b/>
                <w:bCs/>
                <w:color w:val="000000"/>
                <w:u w:val="single"/>
              </w:rPr>
            </w:pPr>
            <w:r w:rsidRPr="004A4F84">
              <w:rPr>
                <w:b/>
                <w:bCs/>
                <w:color w:val="000000"/>
                <w:u w:val="single"/>
              </w:rPr>
              <w:t>Annual Responses per Respondent</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F45EB" w14:paraId="3F90FE6C" w14:textId="77777777">
            <w:pPr>
              <w:keepNext/>
              <w:keepLines/>
              <w:autoSpaceDE/>
              <w:autoSpaceDN/>
              <w:adjustRightInd/>
              <w:jc w:val="center"/>
              <w:rPr>
                <w:b/>
                <w:bCs/>
                <w:color w:val="000000"/>
                <w:u w:val="single"/>
              </w:rPr>
            </w:pPr>
            <w:r w:rsidRPr="004A4F84">
              <w:rPr>
                <w:b/>
                <w:bCs/>
                <w:color w:val="000000"/>
                <w:u w:val="single"/>
              </w:rPr>
              <w:t>Annual Responses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F45EB" w14:paraId="387D3FA4" w14:textId="77777777">
            <w:pPr>
              <w:keepNext/>
              <w:keepLines/>
              <w:autoSpaceDE/>
              <w:autoSpaceDN/>
              <w:adjustRightInd/>
              <w:jc w:val="center"/>
              <w:rPr>
                <w:b/>
                <w:bCs/>
                <w:color w:val="000000"/>
                <w:u w:val="single"/>
              </w:rPr>
            </w:pPr>
            <w:r w:rsidRPr="004A4F84">
              <w:rPr>
                <w:b/>
                <w:bCs/>
                <w:color w:val="000000"/>
                <w:u w:val="single"/>
              </w:rPr>
              <w:t>Hours per Response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F45EB" w14:paraId="37FF3837" w14:textId="77777777">
            <w:pPr>
              <w:keepNext/>
              <w:keepLines/>
              <w:autoSpaceDE/>
              <w:autoSpaceDN/>
              <w:adjustRightInd/>
              <w:jc w:val="center"/>
              <w:rPr>
                <w:b/>
                <w:bCs/>
                <w:color w:val="000000"/>
                <w:u w:val="single"/>
              </w:rPr>
            </w:pPr>
            <w:r w:rsidRPr="004A4F84">
              <w:rPr>
                <w:b/>
                <w:bCs/>
                <w:color w:val="000000"/>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F45EB" w14:paraId="551C7450" w14:textId="77777777">
            <w:pPr>
              <w:keepNext/>
              <w:keepLines/>
              <w:autoSpaceDE/>
              <w:autoSpaceDN/>
              <w:adjustRightInd/>
              <w:jc w:val="center"/>
              <w:rPr>
                <w:b/>
                <w:bCs/>
                <w:color w:val="000000"/>
                <w:u w:val="single"/>
              </w:rPr>
            </w:pPr>
            <w:r w:rsidRPr="004A4F84">
              <w:rPr>
                <w:b/>
                <w:bCs/>
                <w:color w:val="000000"/>
                <w:u w:val="single"/>
              </w:rPr>
              <w:t>Burden Cost</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F45EB" w14:paraId="3FA71534" w14:textId="77777777">
            <w:pPr>
              <w:keepNext/>
              <w:keepLines/>
              <w:autoSpaceDE/>
              <w:autoSpaceDN/>
              <w:adjustRightInd/>
              <w:jc w:val="center"/>
              <w:rPr>
                <w:b/>
                <w:bCs/>
                <w:color w:val="000000"/>
                <w:u w:val="single"/>
              </w:rPr>
            </w:pPr>
            <w:r w:rsidRPr="004A4F84">
              <w:rPr>
                <w:b/>
                <w:bCs/>
                <w:color w:val="000000"/>
                <w:u w:val="single"/>
              </w:rPr>
              <w:t>Salary Cost per Hour</w:t>
            </w:r>
          </w:p>
        </w:tc>
        <w:tc>
          <w:tcPr>
            <w:tcW w:w="1239" w:type="dxa"/>
            <w:tcBorders>
              <w:top w:val="single" w:sz="4" w:space="0" w:color="auto"/>
              <w:left w:val="nil"/>
              <w:bottom w:val="single" w:sz="4" w:space="0" w:color="auto"/>
              <w:right w:val="single" w:sz="4" w:space="0" w:color="auto"/>
            </w:tcBorders>
            <w:shd w:val="clear" w:color="auto" w:fill="auto"/>
            <w:vAlign w:val="bottom"/>
            <w:hideMark/>
          </w:tcPr>
          <w:p w:rsidR="00BD525D" w:rsidRPr="004A4F84" w:rsidP="004F45EB" w14:paraId="07E53433" w14:textId="77777777">
            <w:pPr>
              <w:keepNext/>
              <w:keepLines/>
              <w:autoSpaceDE/>
              <w:autoSpaceDN/>
              <w:adjustRightInd/>
              <w:jc w:val="center"/>
              <w:rPr>
                <w:b/>
                <w:bCs/>
                <w:color w:val="000000"/>
                <w:u w:val="single"/>
              </w:rPr>
            </w:pPr>
            <w:r w:rsidRPr="004A4F84">
              <w:rPr>
                <w:b/>
                <w:bCs/>
                <w:color w:val="000000"/>
                <w:u w:val="single"/>
              </w:rPr>
              <w:t>Total Salary Cost</w:t>
            </w:r>
          </w:p>
        </w:tc>
      </w:tr>
      <w:tr w14:paraId="7381C58B" w14:textId="77777777" w:rsidTr="004F45EB">
        <w:tblPrEx>
          <w:tblW w:w="11525" w:type="dxa"/>
          <w:jc w:val="center"/>
          <w:tblLayout w:type="fixed"/>
          <w:tblLook w:val="04A0"/>
        </w:tblPrEx>
        <w:trPr>
          <w:trHeight w:val="60"/>
          <w:jc w:val="center"/>
        </w:trPr>
        <w:tc>
          <w:tcPr>
            <w:tcW w:w="2456" w:type="dxa"/>
            <w:tcBorders>
              <w:top w:val="nil"/>
              <w:left w:val="single" w:sz="4" w:space="0" w:color="auto"/>
              <w:bottom w:val="single" w:sz="4" w:space="0" w:color="auto"/>
              <w:right w:val="single" w:sz="4" w:space="0" w:color="auto"/>
            </w:tcBorders>
            <w:shd w:val="clear" w:color="auto" w:fill="auto"/>
            <w:vAlign w:val="bottom"/>
            <w:hideMark/>
          </w:tcPr>
          <w:p w:rsidR="00BD525D" w:rsidRPr="004A4F84" w:rsidP="004F45EB" w14:paraId="2E7B9149" w14:textId="77777777">
            <w:pPr>
              <w:keepNext/>
              <w:keepLines/>
              <w:autoSpaceDE/>
              <w:autoSpaceDN/>
              <w:adjustRightInd/>
              <w:rPr>
                <w:bCs/>
                <w:color w:val="000000"/>
              </w:rPr>
            </w:pPr>
            <w:r w:rsidRPr="004A4F84">
              <w:rPr>
                <w:bCs/>
                <w:color w:val="000000"/>
              </w:rPr>
              <w:t>Class II Railroads</w:t>
            </w:r>
          </w:p>
        </w:tc>
        <w:tc>
          <w:tcPr>
            <w:tcW w:w="1350" w:type="dxa"/>
            <w:tcBorders>
              <w:top w:val="nil"/>
              <w:left w:val="nil"/>
              <w:bottom w:val="single" w:sz="4" w:space="0" w:color="auto"/>
              <w:right w:val="single" w:sz="4" w:space="0" w:color="auto"/>
            </w:tcBorders>
            <w:shd w:val="clear" w:color="auto" w:fill="auto"/>
            <w:vAlign w:val="bottom"/>
            <w:hideMark/>
          </w:tcPr>
          <w:p w:rsidR="00BD525D" w:rsidRPr="004A4F84" w:rsidP="004F45EB" w14:paraId="5F6E7CE4" w14:textId="77777777">
            <w:pPr>
              <w:keepNext/>
              <w:keepLines/>
              <w:autoSpaceDE/>
              <w:autoSpaceDN/>
              <w:adjustRightInd/>
              <w:jc w:val="right"/>
              <w:rPr>
                <w:color w:val="000000"/>
              </w:rPr>
            </w:pPr>
            <w:r w:rsidRPr="004A4F84">
              <w:rPr>
                <w:color w:val="000000"/>
              </w:rPr>
              <w:t>10</w:t>
            </w:r>
          </w:p>
        </w:tc>
        <w:tc>
          <w:tcPr>
            <w:tcW w:w="1440" w:type="dxa"/>
            <w:tcBorders>
              <w:top w:val="nil"/>
              <w:left w:val="nil"/>
              <w:bottom w:val="single" w:sz="4" w:space="0" w:color="auto"/>
              <w:right w:val="single" w:sz="4" w:space="0" w:color="auto"/>
            </w:tcBorders>
            <w:shd w:val="clear" w:color="auto" w:fill="auto"/>
            <w:vAlign w:val="bottom"/>
            <w:hideMark/>
          </w:tcPr>
          <w:p w:rsidR="00BD525D" w:rsidRPr="004A4F84" w:rsidP="004F45EB" w14:paraId="2CBA18E9" w14:textId="77777777">
            <w:pPr>
              <w:keepNext/>
              <w:keepLines/>
              <w:autoSpaceDE/>
              <w:autoSpaceDN/>
              <w:adjustRightInd/>
              <w:jc w:val="right"/>
              <w:rPr>
                <w:color w:val="000000"/>
              </w:rPr>
            </w:pPr>
            <w:r w:rsidRPr="004A4F84">
              <w:rPr>
                <w:color w:val="000000"/>
              </w:rPr>
              <w:t>5</w:t>
            </w:r>
          </w:p>
        </w:tc>
        <w:tc>
          <w:tcPr>
            <w:tcW w:w="1170" w:type="dxa"/>
            <w:tcBorders>
              <w:top w:val="nil"/>
              <w:left w:val="nil"/>
              <w:bottom w:val="single" w:sz="4" w:space="0" w:color="auto"/>
              <w:right w:val="single" w:sz="4" w:space="0" w:color="auto"/>
            </w:tcBorders>
            <w:shd w:val="clear" w:color="auto" w:fill="auto"/>
            <w:vAlign w:val="bottom"/>
            <w:hideMark/>
          </w:tcPr>
          <w:p w:rsidR="00BD525D" w:rsidRPr="004A4F84" w:rsidP="004F45EB" w14:paraId="7A5A7390" w14:textId="77777777">
            <w:pPr>
              <w:keepNext/>
              <w:keepLines/>
              <w:autoSpaceDE/>
              <w:autoSpaceDN/>
              <w:adjustRightInd/>
              <w:jc w:val="right"/>
              <w:rPr>
                <w:color w:val="000000"/>
              </w:rPr>
            </w:pPr>
            <w:r w:rsidRPr="004A4F84">
              <w:rPr>
                <w:color w:val="000000"/>
              </w:rPr>
              <w:t>50</w:t>
            </w:r>
          </w:p>
        </w:tc>
        <w:tc>
          <w:tcPr>
            <w:tcW w:w="1080" w:type="dxa"/>
            <w:tcBorders>
              <w:top w:val="nil"/>
              <w:left w:val="nil"/>
              <w:bottom w:val="single" w:sz="4" w:space="0" w:color="auto"/>
              <w:right w:val="single" w:sz="4" w:space="0" w:color="auto"/>
            </w:tcBorders>
            <w:shd w:val="clear" w:color="auto" w:fill="auto"/>
            <w:vAlign w:val="bottom"/>
            <w:hideMark/>
          </w:tcPr>
          <w:p w:rsidR="00BD525D" w:rsidRPr="004A4F84" w:rsidP="004F45EB" w14:paraId="7B10621B" w14:textId="77777777">
            <w:pPr>
              <w:keepNext/>
              <w:keepLines/>
              <w:autoSpaceDE/>
              <w:autoSpaceDN/>
              <w:adjustRightInd/>
              <w:jc w:val="right"/>
              <w:rPr>
                <w:color w:val="000000"/>
              </w:rPr>
            </w:pPr>
            <w:r>
              <w:rPr>
                <w:color w:val="000000"/>
              </w:rPr>
              <w:t>16</w:t>
            </w:r>
          </w:p>
        </w:tc>
        <w:tc>
          <w:tcPr>
            <w:tcW w:w="900" w:type="dxa"/>
            <w:tcBorders>
              <w:top w:val="nil"/>
              <w:left w:val="nil"/>
              <w:bottom w:val="single" w:sz="4" w:space="0" w:color="auto"/>
              <w:right w:val="single" w:sz="4" w:space="0" w:color="auto"/>
            </w:tcBorders>
            <w:shd w:val="clear" w:color="auto" w:fill="auto"/>
            <w:vAlign w:val="bottom"/>
            <w:hideMark/>
          </w:tcPr>
          <w:p w:rsidR="00BD525D" w:rsidRPr="004A4F84" w:rsidP="004F45EB" w14:paraId="3E909D52" w14:textId="77777777">
            <w:pPr>
              <w:keepNext/>
              <w:keepLines/>
              <w:autoSpaceDE/>
              <w:autoSpaceDN/>
              <w:adjustRightInd/>
              <w:jc w:val="right"/>
              <w:rPr>
                <w:color w:val="000000"/>
              </w:rPr>
            </w:pPr>
            <w:r>
              <w:rPr>
                <w:color w:val="000000"/>
              </w:rPr>
              <w:t>800</w:t>
            </w:r>
            <w:r w:rsidRPr="004A4F84">
              <w:rPr>
                <w:color w:val="000000"/>
              </w:rPr>
              <w:t xml:space="preserve"> </w:t>
            </w:r>
          </w:p>
        </w:tc>
        <w:tc>
          <w:tcPr>
            <w:tcW w:w="900" w:type="dxa"/>
            <w:tcBorders>
              <w:top w:val="nil"/>
              <w:left w:val="nil"/>
              <w:bottom w:val="single" w:sz="4" w:space="0" w:color="auto"/>
              <w:right w:val="single" w:sz="4" w:space="0" w:color="auto"/>
            </w:tcBorders>
            <w:shd w:val="clear" w:color="auto" w:fill="auto"/>
            <w:vAlign w:val="bottom"/>
            <w:hideMark/>
          </w:tcPr>
          <w:p w:rsidR="00BD525D" w:rsidRPr="004A4F84" w:rsidP="004F45EB" w14:paraId="4CF021D7" w14:textId="77777777">
            <w:pPr>
              <w:keepNext/>
              <w:keepLines/>
              <w:autoSpaceDE/>
              <w:autoSpaceDN/>
              <w:adjustRightInd/>
              <w:jc w:val="right"/>
              <w:rPr>
                <w:color w:val="000000"/>
              </w:rPr>
            </w:pPr>
            <w:r w:rsidRPr="004A4F84">
              <w:rPr>
                <w:color w:val="000000"/>
              </w:rPr>
              <w:t xml:space="preserve">$0 </w:t>
            </w:r>
          </w:p>
        </w:tc>
        <w:tc>
          <w:tcPr>
            <w:tcW w:w="990" w:type="dxa"/>
            <w:tcBorders>
              <w:top w:val="nil"/>
              <w:left w:val="nil"/>
              <w:bottom w:val="single" w:sz="4" w:space="0" w:color="auto"/>
              <w:right w:val="single" w:sz="4" w:space="0" w:color="auto"/>
            </w:tcBorders>
            <w:shd w:val="clear" w:color="auto" w:fill="auto"/>
            <w:vAlign w:val="bottom"/>
            <w:hideMark/>
          </w:tcPr>
          <w:p w:rsidR="00BD525D" w:rsidRPr="004A4F84" w:rsidP="004F45EB" w14:paraId="334F00C9" w14:textId="02AA49C3">
            <w:pPr>
              <w:keepNext/>
              <w:keepLines/>
              <w:autoSpaceDE/>
              <w:autoSpaceDN/>
              <w:adjustRightInd/>
              <w:jc w:val="right"/>
              <w:rPr>
                <w:color w:val="000000"/>
              </w:rPr>
            </w:pPr>
            <w:r w:rsidRPr="004A4F84">
              <w:rPr>
                <w:color w:val="000000"/>
              </w:rPr>
              <w:t>$</w:t>
            </w:r>
            <w:r w:rsidRPr="00D41EFE" w:rsidR="00D41EFE">
              <w:rPr>
                <w:color w:val="000000"/>
              </w:rPr>
              <w:t>93.70</w:t>
            </w:r>
          </w:p>
        </w:tc>
        <w:tc>
          <w:tcPr>
            <w:tcW w:w="1239" w:type="dxa"/>
            <w:tcBorders>
              <w:top w:val="nil"/>
              <w:left w:val="nil"/>
              <w:bottom w:val="single" w:sz="4" w:space="0" w:color="auto"/>
              <w:right w:val="single" w:sz="4" w:space="0" w:color="auto"/>
            </w:tcBorders>
            <w:shd w:val="clear" w:color="auto" w:fill="auto"/>
            <w:vAlign w:val="bottom"/>
            <w:hideMark/>
          </w:tcPr>
          <w:p w:rsidR="00BD525D" w:rsidRPr="004A4F84" w:rsidP="004F45EB" w14:paraId="78DDE406" w14:textId="7656403B">
            <w:pPr>
              <w:keepNext/>
              <w:keepLines/>
              <w:autoSpaceDE/>
              <w:autoSpaceDN/>
              <w:adjustRightInd/>
              <w:jc w:val="right"/>
              <w:rPr>
                <w:color w:val="000000"/>
              </w:rPr>
            </w:pPr>
            <w:r w:rsidRPr="004A4F84">
              <w:rPr>
                <w:color w:val="000000"/>
              </w:rPr>
              <w:t>$</w:t>
            </w:r>
            <w:r w:rsidR="00D41EFE">
              <w:rPr>
                <w:color w:val="000000"/>
              </w:rPr>
              <w:t>74,960</w:t>
            </w:r>
          </w:p>
        </w:tc>
      </w:tr>
      <w:tr w14:paraId="217EA430" w14:textId="77777777" w:rsidTr="004F45EB">
        <w:tblPrEx>
          <w:tblW w:w="11525" w:type="dxa"/>
          <w:jc w:val="center"/>
          <w:tblLayout w:type="fixed"/>
          <w:tblLook w:val="04A0"/>
        </w:tblPrEx>
        <w:trPr>
          <w:trHeight w:val="60"/>
          <w:jc w:val="center"/>
        </w:trPr>
        <w:tc>
          <w:tcPr>
            <w:tcW w:w="2456" w:type="dxa"/>
            <w:tcBorders>
              <w:top w:val="nil"/>
              <w:left w:val="single" w:sz="4" w:space="0" w:color="auto"/>
              <w:bottom w:val="single" w:sz="4" w:space="0" w:color="auto"/>
              <w:right w:val="single" w:sz="4" w:space="0" w:color="auto"/>
            </w:tcBorders>
            <w:shd w:val="clear" w:color="auto" w:fill="auto"/>
            <w:vAlign w:val="bottom"/>
            <w:hideMark/>
          </w:tcPr>
          <w:p w:rsidR="00BD525D" w:rsidRPr="004A4F84" w:rsidP="004F45EB" w14:paraId="54846001" w14:textId="77777777">
            <w:pPr>
              <w:keepNext/>
              <w:keepLines/>
              <w:autoSpaceDE/>
              <w:autoSpaceDN/>
              <w:adjustRightInd/>
              <w:rPr>
                <w:bCs/>
                <w:color w:val="000000"/>
              </w:rPr>
            </w:pPr>
            <w:r w:rsidRPr="004A4F84">
              <w:rPr>
                <w:bCs/>
                <w:color w:val="000000"/>
              </w:rPr>
              <w:t>Class III Railroads</w:t>
            </w:r>
          </w:p>
        </w:tc>
        <w:tc>
          <w:tcPr>
            <w:tcW w:w="1350" w:type="dxa"/>
            <w:tcBorders>
              <w:top w:val="nil"/>
              <w:left w:val="nil"/>
              <w:bottom w:val="single" w:sz="4" w:space="0" w:color="auto"/>
              <w:right w:val="single" w:sz="4" w:space="0" w:color="auto"/>
            </w:tcBorders>
            <w:shd w:val="clear" w:color="auto" w:fill="auto"/>
            <w:vAlign w:val="bottom"/>
            <w:hideMark/>
          </w:tcPr>
          <w:p w:rsidR="00BD525D" w:rsidRPr="004A4F84" w:rsidP="004F45EB" w14:paraId="1385FD9A" w14:textId="77777777">
            <w:pPr>
              <w:keepNext/>
              <w:keepLines/>
              <w:autoSpaceDE/>
              <w:autoSpaceDN/>
              <w:adjustRightInd/>
              <w:jc w:val="right"/>
              <w:rPr>
                <w:color w:val="000000"/>
              </w:rPr>
            </w:pPr>
            <w:r w:rsidRPr="004A4F84">
              <w:rPr>
                <w:color w:val="000000"/>
              </w:rPr>
              <w:t>160</w:t>
            </w:r>
          </w:p>
        </w:tc>
        <w:tc>
          <w:tcPr>
            <w:tcW w:w="1440" w:type="dxa"/>
            <w:tcBorders>
              <w:top w:val="nil"/>
              <w:left w:val="nil"/>
              <w:bottom w:val="single" w:sz="4" w:space="0" w:color="auto"/>
              <w:right w:val="single" w:sz="4" w:space="0" w:color="auto"/>
            </w:tcBorders>
            <w:shd w:val="clear" w:color="auto" w:fill="auto"/>
            <w:vAlign w:val="bottom"/>
            <w:hideMark/>
          </w:tcPr>
          <w:p w:rsidR="00BD525D" w:rsidRPr="004A4F84" w:rsidP="004F45EB" w14:paraId="165EAABB" w14:textId="77777777">
            <w:pPr>
              <w:keepNext/>
              <w:keepLines/>
              <w:autoSpaceDE/>
              <w:autoSpaceDN/>
              <w:adjustRightInd/>
              <w:jc w:val="right"/>
              <w:rPr>
                <w:color w:val="000000"/>
              </w:rPr>
            </w:pPr>
            <w:r w:rsidRPr="004A4F84">
              <w:rPr>
                <w:color w:val="000000"/>
              </w:rPr>
              <w:t>2</w:t>
            </w:r>
          </w:p>
        </w:tc>
        <w:tc>
          <w:tcPr>
            <w:tcW w:w="1170" w:type="dxa"/>
            <w:tcBorders>
              <w:top w:val="nil"/>
              <w:left w:val="nil"/>
              <w:bottom w:val="single" w:sz="4" w:space="0" w:color="auto"/>
              <w:right w:val="single" w:sz="4" w:space="0" w:color="auto"/>
            </w:tcBorders>
            <w:shd w:val="clear" w:color="auto" w:fill="auto"/>
            <w:vAlign w:val="bottom"/>
            <w:hideMark/>
          </w:tcPr>
          <w:p w:rsidR="00BD525D" w:rsidRPr="004A4F84" w:rsidP="004F45EB" w14:paraId="48C87ABC" w14:textId="77777777">
            <w:pPr>
              <w:keepNext/>
              <w:keepLines/>
              <w:autoSpaceDE/>
              <w:autoSpaceDN/>
              <w:adjustRightInd/>
              <w:jc w:val="right"/>
              <w:rPr>
                <w:color w:val="000000"/>
              </w:rPr>
            </w:pPr>
            <w:r w:rsidRPr="004A4F84">
              <w:rPr>
                <w:color w:val="000000"/>
              </w:rPr>
              <w:t>320</w:t>
            </w:r>
          </w:p>
        </w:tc>
        <w:tc>
          <w:tcPr>
            <w:tcW w:w="1080" w:type="dxa"/>
            <w:tcBorders>
              <w:top w:val="nil"/>
              <w:left w:val="nil"/>
              <w:bottom w:val="single" w:sz="4" w:space="0" w:color="auto"/>
              <w:right w:val="single" w:sz="4" w:space="0" w:color="auto"/>
            </w:tcBorders>
            <w:shd w:val="clear" w:color="auto" w:fill="auto"/>
            <w:vAlign w:val="bottom"/>
            <w:hideMark/>
          </w:tcPr>
          <w:p w:rsidR="00BD525D" w:rsidRPr="004A4F84" w:rsidP="004F45EB" w14:paraId="4E195DFB" w14:textId="77777777">
            <w:pPr>
              <w:keepNext/>
              <w:keepLines/>
              <w:autoSpaceDE/>
              <w:autoSpaceDN/>
              <w:adjustRightInd/>
              <w:jc w:val="right"/>
              <w:rPr>
                <w:color w:val="000000"/>
              </w:rPr>
            </w:pPr>
            <w:r w:rsidRPr="000A4202">
              <w:rPr>
                <w:color w:val="000000"/>
              </w:rPr>
              <w:t>8</w:t>
            </w:r>
          </w:p>
        </w:tc>
        <w:tc>
          <w:tcPr>
            <w:tcW w:w="900" w:type="dxa"/>
            <w:tcBorders>
              <w:top w:val="nil"/>
              <w:left w:val="nil"/>
              <w:bottom w:val="single" w:sz="4" w:space="0" w:color="auto"/>
              <w:right w:val="single" w:sz="4" w:space="0" w:color="auto"/>
            </w:tcBorders>
            <w:shd w:val="clear" w:color="auto" w:fill="auto"/>
            <w:vAlign w:val="bottom"/>
            <w:hideMark/>
          </w:tcPr>
          <w:p w:rsidR="00BD525D" w:rsidRPr="004A4F84" w:rsidP="004F45EB" w14:paraId="3E373E4D" w14:textId="77777777">
            <w:pPr>
              <w:keepNext/>
              <w:keepLines/>
              <w:autoSpaceDE/>
              <w:autoSpaceDN/>
              <w:adjustRightInd/>
              <w:jc w:val="right"/>
              <w:rPr>
                <w:color w:val="000000"/>
              </w:rPr>
            </w:pPr>
            <w:r>
              <w:rPr>
                <w:color w:val="000000"/>
              </w:rPr>
              <w:t>2,560</w:t>
            </w:r>
          </w:p>
        </w:tc>
        <w:tc>
          <w:tcPr>
            <w:tcW w:w="900" w:type="dxa"/>
            <w:tcBorders>
              <w:top w:val="nil"/>
              <w:left w:val="nil"/>
              <w:bottom w:val="single" w:sz="4" w:space="0" w:color="auto"/>
              <w:right w:val="single" w:sz="4" w:space="0" w:color="auto"/>
            </w:tcBorders>
            <w:shd w:val="clear" w:color="auto" w:fill="auto"/>
            <w:vAlign w:val="bottom"/>
            <w:hideMark/>
          </w:tcPr>
          <w:p w:rsidR="00BD525D" w:rsidRPr="004A4F84" w:rsidP="004F45EB" w14:paraId="685DDAD3" w14:textId="77777777">
            <w:pPr>
              <w:keepNext/>
              <w:keepLines/>
              <w:autoSpaceDE/>
              <w:autoSpaceDN/>
              <w:adjustRightInd/>
              <w:jc w:val="right"/>
              <w:rPr>
                <w:color w:val="000000"/>
              </w:rPr>
            </w:pPr>
            <w:r w:rsidRPr="004A4F84">
              <w:rPr>
                <w:color w:val="000000"/>
              </w:rPr>
              <w:t xml:space="preserve">$0 </w:t>
            </w:r>
          </w:p>
        </w:tc>
        <w:tc>
          <w:tcPr>
            <w:tcW w:w="990" w:type="dxa"/>
            <w:tcBorders>
              <w:top w:val="nil"/>
              <w:left w:val="nil"/>
              <w:bottom w:val="single" w:sz="4" w:space="0" w:color="auto"/>
              <w:right w:val="single" w:sz="4" w:space="0" w:color="auto"/>
            </w:tcBorders>
            <w:shd w:val="clear" w:color="auto" w:fill="auto"/>
            <w:vAlign w:val="bottom"/>
            <w:hideMark/>
          </w:tcPr>
          <w:p w:rsidR="00BD525D" w:rsidRPr="004A4F84" w:rsidP="004F45EB" w14:paraId="73A0BC19" w14:textId="056E0BF0">
            <w:pPr>
              <w:keepNext/>
              <w:keepLines/>
              <w:autoSpaceDE/>
              <w:autoSpaceDN/>
              <w:adjustRightInd/>
              <w:jc w:val="right"/>
              <w:rPr>
                <w:color w:val="000000"/>
              </w:rPr>
            </w:pPr>
            <w:r w:rsidRPr="004A4F84">
              <w:rPr>
                <w:color w:val="000000"/>
              </w:rPr>
              <w:t>$</w:t>
            </w:r>
            <w:r w:rsidRPr="00D41EFE" w:rsidR="00D41EFE">
              <w:rPr>
                <w:color w:val="000000"/>
              </w:rPr>
              <w:t>93.70</w:t>
            </w:r>
          </w:p>
        </w:tc>
        <w:tc>
          <w:tcPr>
            <w:tcW w:w="1239" w:type="dxa"/>
            <w:tcBorders>
              <w:top w:val="nil"/>
              <w:left w:val="nil"/>
              <w:bottom w:val="single" w:sz="4" w:space="0" w:color="auto"/>
              <w:right w:val="single" w:sz="4" w:space="0" w:color="auto"/>
            </w:tcBorders>
            <w:shd w:val="clear" w:color="auto" w:fill="auto"/>
            <w:vAlign w:val="bottom"/>
            <w:hideMark/>
          </w:tcPr>
          <w:p w:rsidR="00BD525D" w:rsidRPr="004A4F84" w:rsidP="004F45EB" w14:paraId="785CF70D" w14:textId="5B2EEBCC">
            <w:pPr>
              <w:keepNext/>
              <w:keepLines/>
              <w:autoSpaceDE/>
              <w:autoSpaceDN/>
              <w:adjustRightInd/>
              <w:jc w:val="right"/>
              <w:rPr>
                <w:color w:val="000000"/>
              </w:rPr>
            </w:pPr>
            <w:r w:rsidRPr="004A4F84">
              <w:rPr>
                <w:color w:val="000000"/>
              </w:rPr>
              <w:t>$</w:t>
            </w:r>
            <w:r w:rsidR="00D41EFE">
              <w:rPr>
                <w:color w:val="000000"/>
              </w:rPr>
              <w:t>239,872</w:t>
            </w:r>
          </w:p>
        </w:tc>
      </w:tr>
    </w:tbl>
    <w:p w:rsidR="000A4202" w:rsidP="004B2277" w14:paraId="126D7FA9" w14:textId="77777777">
      <w:pPr>
        <w:rPr>
          <w:sz w:val="24"/>
          <w:szCs w:val="24"/>
        </w:rPr>
      </w:pPr>
    </w:p>
    <w:p w:rsidR="002E69A3" w:rsidRPr="004A4F84" w:rsidP="004B2277" w14:paraId="0DC72F0B" w14:textId="77777777">
      <w:pPr>
        <w:rPr>
          <w:sz w:val="24"/>
          <w:szCs w:val="24"/>
          <w:u w:val="single"/>
        </w:rPr>
      </w:pPr>
      <w:r w:rsidRPr="004A4F84">
        <w:rPr>
          <w:sz w:val="24"/>
          <w:szCs w:val="24"/>
          <w:u w:val="single"/>
        </w:rPr>
        <w:t>Alternate Security Analysis</w:t>
      </w:r>
    </w:p>
    <w:p w:rsidR="009234AF" w:rsidP="004B2277" w14:paraId="2D6478C3" w14:textId="77777777">
      <w:pPr>
        <w:rPr>
          <w:sz w:val="24"/>
          <w:szCs w:val="24"/>
        </w:rPr>
      </w:pPr>
    </w:p>
    <w:p w:rsidR="000A4202" w:rsidP="004B2277" w14:paraId="02799A6C" w14:textId="4F694FFA">
      <w:pPr>
        <w:rPr>
          <w:sz w:val="24"/>
          <w:szCs w:val="24"/>
        </w:rPr>
      </w:pPr>
      <w:r>
        <w:rPr>
          <w:sz w:val="24"/>
          <w:szCs w:val="24"/>
        </w:rPr>
        <w:t xml:space="preserve">Section 174.310(a)(1) </w:t>
      </w:r>
      <w:r w:rsidRPr="00992AAC">
        <w:rPr>
          <w:sz w:val="24"/>
          <w:szCs w:val="24"/>
        </w:rPr>
        <w:t>require</w:t>
      </w:r>
      <w:r>
        <w:rPr>
          <w:sz w:val="24"/>
          <w:szCs w:val="24"/>
        </w:rPr>
        <w:t>s</w:t>
      </w:r>
      <w:r w:rsidRPr="00992AAC">
        <w:rPr>
          <w:sz w:val="24"/>
          <w:szCs w:val="24"/>
        </w:rPr>
        <w:t xml:space="preserve"> a rail carrier transporting </w:t>
      </w:r>
      <w:r>
        <w:rPr>
          <w:sz w:val="24"/>
          <w:szCs w:val="24"/>
        </w:rPr>
        <w:t>HHFTs</w:t>
      </w:r>
      <w:r w:rsidRPr="00992AAC">
        <w:rPr>
          <w:sz w:val="24"/>
          <w:szCs w:val="24"/>
        </w:rPr>
        <w:t xml:space="preserve"> to </w:t>
      </w:r>
      <w:r>
        <w:rPr>
          <w:sz w:val="24"/>
          <w:szCs w:val="24"/>
        </w:rPr>
        <w:t>conduct an alternate route security analysis</w:t>
      </w:r>
      <w:r w:rsidRPr="00992AAC">
        <w:rPr>
          <w:sz w:val="24"/>
          <w:szCs w:val="24"/>
        </w:rPr>
        <w:t>.</w:t>
      </w:r>
      <w:r>
        <w:rPr>
          <w:sz w:val="24"/>
          <w:szCs w:val="24"/>
        </w:rPr>
        <w:t xml:space="preserve"> </w:t>
      </w:r>
      <w:r w:rsidR="00614200">
        <w:rPr>
          <w:sz w:val="24"/>
          <w:szCs w:val="24"/>
        </w:rPr>
        <w:t xml:space="preserve"> </w:t>
      </w:r>
      <w:r>
        <w:rPr>
          <w:sz w:val="24"/>
          <w:szCs w:val="24"/>
        </w:rPr>
        <w:t xml:space="preserve">This analysis will be conducted by both Class II and Class III railroads. </w:t>
      </w:r>
      <w:r w:rsidR="00614200">
        <w:rPr>
          <w:sz w:val="24"/>
          <w:szCs w:val="24"/>
        </w:rPr>
        <w:t xml:space="preserve"> </w:t>
      </w:r>
      <w:r>
        <w:rPr>
          <w:sz w:val="24"/>
          <w:szCs w:val="24"/>
        </w:rPr>
        <w:t xml:space="preserve">Based on historical data, PHMSA expects 10 Class II and </w:t>
      </w:r>
      <w:r w:rsidR="011F555C">
        <w:rPr>
          <w:sz w:val="24"/>
          <w:szCs w:val="24"/>
        </w:rPr>
        <w:t>64</w:t>
      </w:r>
      <w:r>
        <w:rPr>
          <w:sz w:val="24"/>
          <w:szCs w:val="24"/>
        </w:rPr>
        <w:t xml:space="preserve"> Class III railroads to conduct an alternate security analysis. </w:t>
      </w:r>
      <w:r w:rsidR="00614200">
        <w:rPr>
          <w:sz w:val="24"/>
          <w:szCs w:val="24"/>
        </w:rPr>
        <w:t xml:space="preserve"> </w:t>
      </w:r>
      <w:r>
        <w:rPr>
          <w:sz w:val="24"/>
          <w:szCs w:val="24"/>
        </w:rPr>
        <w:t>It is estimated that a Clas</w:t>
      </w:r>
      <w:r w:rsidR="011F555C">
        <w:rPr>
          <w:sz w:val="24"/>
          <w:szCs w:val="24"/>
        </w:rPr>
        <w:t>s II railroad</w:t>
      </w:r>
      <w:r>
        <w:rPr>
          <w:sz w:val="24"/>
          <w:szCs w:val="24"/>
        </w:rPr>
        <w:t xml:space="preserve"> </w:t>
      </w:r>
      <w:r w:rsidR="011F555C">
        <w:rPr>
          <w:sz w:val="24"/>
          <w:szCs w:val="24"/>
        </w:rPr>
        <w:t xml:space="preserve">completes 4 responses per year, each taking </w:t>
      </w:r>
      <w:r w:rsidR="58586528">
        <w:rPr>
          <w:sz w:val="24"/>
          <w:szCs w:val="24"/>
        </w:rPr>
        <w:t>12</w:t>
      </w:r>
      <w:r>
        <w:rPr>
          <w:sz w:val="24"/>
          <w:szCs w:val="24"/>
        </w:rPr>
        <w:t xml:space="preserve"> hours to complete, for a total of </w:t>
      </w:r>
      <w:r w:rsidR="011F555C">
        <w:rPr>
          <w:sz w:val="24"/>
          <w:szCs w:val="24"/>
        </w:rPr>
        <w:t>480</w:t>
      </w:r>
      <w:r>
        <w:rPr>
          <w:sz w:val="24"/>
          <w:szCs w:val="24"/>
        </w:rPr>
        <w:t xml:space="preserve"> burden hours (</w:t>
      </w:r>
      <w:r w:rsidR="011F555C">
        <w:rPr>
          <w:sz w:val="24"/>
          <w:szCs w:val="24"/>
        </w:rPr>
        <w:t>40</w:t>
      </w:r>
      <w:r>
        <w:rPr>
          <w:sz w:val="24"/>
          <w:szCs w:val="24"/>
        </w:rPr>
        <w:t xml:space="preserve"> responses x </w:t>
      </w:r>
      <w:r w:rsidR="58586528">
        <w:rPr>
          <w:sz w:val="24"/>
          <w:szCs w:val="24"/>
        </w:rPr>
        <w:t>12</w:t>
      </w:r>
      <w:r>
        <w:rPr>
          <w:sz w:val="24"/>
          <w:szCs w:val="24"/>
        </w:rPr>
        <w:t xml:space="preserve"> hours) and a Class</w:t>
      </w:r>
      <w:r w:rsidR="011F555C">
        <w:rPr>
          <w:sz w:val="24"/>
          <w:szCs w:val="24"/>
        </w:rPr>
        <w:t> </w:t>
      </w:r>
      <w:r>
        <w:rPr>
          <w:sz w:val="24"/>
          <w:szCs w:val="24"/>
        </w:rPr>
        <w:t>III railroad</w:t>
      </w:r>
      <w:r w:rsidR="011F555C">
        <w:rPr>
          <w:sz w:val="24"/>
          <w:szCs w:val="24"/>
        </w:rPr>
        <w:t xml:space="preserve"> conducts 0.5 responses per year, each</w:t>
      </w:r>
      <w:r>
        <w:rPr>
          <w:sz w:val="24"/>
          <w:szCs w:val="24"/>
        </w:rPr>
        <w:t xml:space="preserve"> tak</w:t>
      </w:r>
      <w:r w:rsidR="011F555C">
        <w:rPr>
          <w:sz w:val="24"/>
          <w:szCs w:val="24"/>
        </w:rPr>
        <w:t>ing</w:t>
      </w:r>
      <w:r>
        <w:rPr>
          <w:sz w:val="24"/>
          <w:szCs w:val="24"/>
        </w:rPr>
        <w:t xml:space="preserve"> </w:t>
      </w:r>
      <w:r w:rsidR="58586528">
        <w:rPr>
          <w:sz w:val="24"/>
          <w:szCs w:val="24"/>
        </w:rPr>
        <w:t>4</w:t>
      </w:r>
      <w:r>
        <w:rPr>
          <w:sz w:val="24"/>
          <w:szCs w:val="24"/>
        </w:rPr>
        <w:t xml:space="preserve"> hours to complete, for a total of </w:t>
      </w:r>
      <w:r w:rsidR="011F555C">
        <w:rPr>
          <w:sz w:val="24"/>
          <w:szCs w:val="24"/>
        </w:rPr>
        <w:t>128</w:t>
      </w:r>
      <w:r>
        <w:rPr>
          <w:sz w:val="24"/>
          <w:szCs w:val="24"/>
        </w:rPr>
        <w:t xml:space="preserve"> burden hours (32 responses x </w:t>
      </w:r>
      <w:r w:rsidR="011F555C">
        <w:rPr>
          <w:sz w:val="24"/>
          <w:szCs w:val="24"/>
        </w:rPr>
        <w:t>4</w:t>
      </w:r>
      <w:r>
        <w:rPr>
          <w:sz w:val="24"/>
          <w:szCs w:val="24"/>
        </w:rPr>
        <w:t xml:space="preserve"> hours).  PHMSA does not estimate any out-of</w:t>
      </w:r>
      <w:r w:rsidR="6564E2D0">
        <w:rPr>
          <w:sz w:val="24"/>
          <w:szCs w:val="24"/>
        </w:rPr>
        <w:t>-</w:t>
      </w:r>
      <w:r>
        <w:rPr>
          <w:sz w:val="24"/>
          <w:szCs w:val="24"/>
        </w:rPr>
        <w:t xml:space="preserve">pocket expenses. </w:t>
      </w:r>
      <w:r w:rsidR="00614200">
        <w:rPr>
          <w:sz w:val="24"/>
          <w:szCs w:val="24"/>
        </w:rPr>
        <w:t xml:space="preserve"> </w:t>
      </w:r>
      <w:r>
        <w:rPr>
          <w:sz w:val="24"/>
          <w:szCs w:val="24"/>
        </w:rPr>
        <w:t xml:space="preserve">For the salary of a Senior Management employee of </w:t>
      </w:r>
      <w:r>
        <w:rPr>
          <w:rFonts w:eastAsia="Calibri"/>
          <w:sz w:val="24"/>
          <w:szCs w:val="24"/>
        </w:rPr>
        <w:t>$</w:t>
      </w:r>
      <w:r w:rsidRPr="00D41EFE" w:rsidR="00D41EFE">
        <w:rPr>
          <w:rFonts w:eastAsia="Calibri"/>
          <w:sz w:val="24"/>
          <w:szCs w:val="24"/>
        </w:rPr>
        <w:t>93.70</w:t>
      </w:r>
      <w:r>
        <w:rPr>
          <w:rStyle w:val="FootnoteReference"/>
          <w:rFonts w:eastAsia="Calibri"/>
          <w:sz w:val="24"/>
          <w:szCs w:val="24"/>
        </w:rPr>
        <w:footnoteReference w:id="11"/>
      </w:r>
      <w:r>
        <w:rPr>
          <w:rFonts w:eastAsia="Calibri"/>
          <w:sz w:val="24"/>
          <w:szCs w:val="24"/>
        </w:rPr>
        <w:t xml:space="preserve"> per hour</w:t>
      </w:r>
      <w:r>
        <w:rPr>
          <w:sz w:val="24"/>
          <w:szCs w:val="24"/>
        </w:rPr>
        <w:t xml:space="preserve">, </w:t>
      </w:r>
      <w:r w:rsidRPr="00125E20">
        <w:rPr>
          <w:sz w:val="24"/>
          <w:szCs w:val="24"/>
        </w:rPr>
        <w:t>PHMSA estimates</w:t>
      </w:r>
      <w:r>
        <w:rPr>
          <w:sz w:val="24"/>
          <w:szCs w:val="24"/>
        </w:rPr>
        <w:t xml:space="preserve"> a total salary cost of $</w:t>
      </w:r>
      <w:r w:rsidR="00D41EFE">
        <w:rPr>
          <w:sz w:val="24"/>
          <w:szCs w:val="24"/>
        </w:rPr>
        <w:t>44,976</w:t>
      </w:r>
      <w:r>
        <w:rPr>
          <w:sz w:val="24"/>
          <w:szCs w:val="24"/>
        </w:rPr>
        <w:t xml:space="preserve"> for Class II Railroads (</w:t>
      </w:r>
      <w:r w:rsidR="011F555C">
        <w:rPr>
          <w:sz w:val="24"/>
          <w:szCs w:val="24"/>
        </w:rPr>
        <w:t>4</w:t>
      </w:r>
      <w:r>
        <w:rPr>
          <w:sz w:val="24"/>
          <w:szCs w:val="24"/>
        </w:rPr>
        <w:t>80 burden hours x $</w:t>
      </w:r>
      <w:r w:rsidR="00D41EFE">
        <w:rPr>
          <w:sz w:val="24"/>
          <w:szCs w:val="24"/>
        </w:rPr>
        <w:t>93.70</w:t>
      </w:r>
      <w:r>
        <w:rPr>
          <w:sz w:val="24"/>
          <w:szCs w:val="24"/>
        </w:rPr>
        <w:t>) and $</w:t>
      </w:r>
      <w:r w:rsidR="00A6694C">
        <w:rPr>
          <w:sz w:val="24"/>
          <w:szCs w:val="24"/>
        </w:rPr>
        <w:t>11,</w:t>
      </w:r>
      <w:r w:rsidR="000243F0">
        <w:rPr>
          <w:sz w:val="24"/>
          <w:szCs w:val="24"/>
        </w:rPr>
        <w:t>994</w:t>
      </w:r>
      <w:r w:rsidR="3A4951BB">
        <w:rPr>
          <w:sz w:val="24"/>
          <w:szCs w:val="24"/>
        </w:rPr>
        <w:t xml:space="preserve"> </w:t>
      </w:r>
      <w:r>
        <w:rPr>
          <w:sz w:val="24"/>
          <w:szCs w:val="24"/>
        </w:rPr>
        <w:t>for Class III Railroads (</w:t>
      </w:r>
      <w:r w:rsidR="011F555C">
        <w:rPr>
          <w:sz w:val="24"/>
          <w:szCs w:val="24"/>
        </w:rPr>
        <w:t xml:space="preserve">128 </w:t>
      </w:r>
      <w:r>
        <w:rPr>
          <w:sz w:val="24"/>
          <w:szCs w:val="24"/>
        </w:rPr>
        <w:t>burden hours x $</w:t>
      </w:r>
      <w:r w:rsidR="00D41EFE">
        <w:rPr>
          <w:sz w:val="24"/>
          <w:szCs w:val="24"/>
        </w:rPr>
        <w:t>93.70</w:t>
      </w:r>
      <w:r>
        <w:rPr>
          <w:sz w:val="24"/>
          <w:szCs w:val="24"/>
        </w:rPr>
        <w:t>).</w:t>
      </w:r>
    </w:p>
    <w:p w:rsidR="000A4202" w:rsidP="004B2277" w14:paraId="0E25E2F3" w14:textId="77777777">
      <w:pPr>
        <w:rPr>
          <w:sz w:val="24"/>
          <w:szCs w:val="24"/>
        </w:rPr>
      </w:pPr>
    </w:p>
    <w:tbl>
      <w:tblPr>
        <w:tblW w:w="11490" w:type="dxa"/>
        <w:jc w:val="center"/>
        <w:tblLayout w:type="fixed"/>
        <w:tblLook w:val="04A0"/>
      </w:tblPr>
      <w:tblGrid>
        <w:gridCol w:w="2795"/>
        <w:gridCol w:w="1350"/>
        <w:gridCol w:w="1440"/>
        <w:gridCol w:w="1127"/>
        <w:gridCol w:w="1033"/>
        <w:gridCol w:w="900"/>
        <w:gridCol w:w="900"/>
        <w:gridCol w:w="990"/>
        <w:gridCol w:w="955"/>
      </w:tblGrid>
      <w:tr w14:paraId="1A2C10D7" w14:textId="77777777" w:rsidTr="004F45EB">
        <w:tblPrEx>
          <w:tblW w:w="11490" w:type="dxa"/>
          <w:jc w:val="center"/>
          <w:tblLayout w:type="fixed"/>
          <w:tblLook w:val="04A0"/>
        </w:tblPrEx>
        <w:trPr>
          <w:trHeight w:val="585"/>
          <w:jc w:val="center"/>
        </w:trPr>
        <w:tc>
          <w:tcPr>
            <w:tcW w:w="27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6B18" w:rsidRPr="004F45EB" w:rsidP="004B2277" w14:paraId="5E804338" w14:textId="26492E51">
            <w:pPr>
              <w:keepNext/>
              <w:keepLines/>
              <w:autoSpaceDE/>
              <w:autoSpaceDN/>
              <w:adjustRightInd/>
              <w:rPr>
                <w:b/>
                <w:bCs/>
                <w:color w:val="000000"/>
                <w:u w:val="single"/>
              </w:rPr>
            </w:pPr>
            <w:r w:rsidRPr="004F45EB">
              <w:rPr>
                <w:b/>
                <w:bCs/>
                <w:color w:val="000000"/>
                <w:u w:val="single"/>
              </w:rPr>
              <w:t>Alternative Routing Security Analysis - § </w:t>
            </w:r>
            <w:r w:rsidRPr="004F45EB">
              <w:rPr>
                <w:b/>
                <w:color w:val="000000"/>
                <w:u w:val="single"/>
              </w:rPr>
              <w:t>174.310(a)(1); Part 172, Subpart I</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7B3091F9" w14:textId="77777777">
            <w:pPr>
              <w:keepNext/>
              <w:keepLines/>
              <w:autoSpaceDE/>
              <w:autoSpaceDN/>
              <w:adjustRightInd/>
              <w:jc w:val="center"/>
              <w:rPr>
                <w:b/>
                <w:bCs/>
                <w:color w:val="000000"/>
                <w:u w:val="single"/>
              </w:rPr>
            </w:pPr>
            <w:r w:rsidRPr="004A4F84">
              <w:rPr>
                <w:b/>
                <w:bCs/>
                <w:color w:val="000000"/>
                <w:u w:val="single"/>
              </w:rPr>
              <w:t>Respondents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115D05E8" w14:textId="77777777">
            <w:pPr>
              <w:keepNext/>
              <w:keepLines/>
              <w:autoSpaceDE/>
              <w:autoSpaceDN/>
              <w:adjustRightInd/>
              <w:jc w:val="center"/>
              <w:rPr>
                <w:b/>
                <w:bCs/>
                <w:color w:val="000000"/>
                <w:u w:val="single"/>
              </w:rPr>
            </w:pPr>
            <w:r w:rsidRPr="004A4F84">
              <w:rPr>
                <w:b/>
                <w:bCs/>
                <w:color w:val="000000"/>
                <w:u w:val="single"/>
              </w:rPr>
              <w:t>Annual Responses per Respondent</w:t>
            </w:r>
          </w:p>
        </w:tc>
        <w:tc>
          <w:tcPr>
            <w:tcW w:w="1127"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38B83FEB" w14:textId="77777777">
            <w:pPr>
              <w:keepNext/>
              <w:keepLines/>
              <w:autoSpaceDE/>
              <w:autoSpaceDN/>
              <w:adjustRightInd/>
              <w:jc w:val="center"/>
              <w:rPr>
                <w:b/>
                <w:bCs/>
                <w:color w:val="000000"/>
                <w:u w:val="single"/>
              </w:rPr>
            </w:pPr>
            <w:r w:rsidRPr="004A4F84">
              <w:rPr>
                <w:b/>
                <w:bCs/>
                <w:color w:val="000000"/>
                <w:u w:val="single"/>
              </w:rPr>
              <w:t>Annual Responses</w:t>
            </w:r>
          </w:p>
        </w:tc>
        <w:tc>
          <w:tcPr>
            <w:tcW w:w="1033"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0F78DB6A" w14:textId="77777777">
            <w:pPr>
              <w:keepNext/>
              <w:keepLines/>
              <w:autoSpaceDE/>
              <w:autoSpaceDN/>
              <w:adjustRightInd/>
              <w:jc w:val="center"/>
              <w:rPr>
                <w:b/>
                <w:bCs/>
                <w:color w:val="000000"/>
                <w:u w:val="single"/>
              </w:rPr>
            </w:pPr>
            <w:r w:rsidRPr="004A4F84">
              <w:rPr>
                <w:b/>
                <w:bCs/>
                <w:color w:val="000000"/>
                <w:u w:val="single"/>
              </w:rPr>
              <w:t>Hours per Response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2A861819" w14:textId="77777777">
            <w:pPr>
              <w:keepNext/>
              <w:keepLines/>
              <w:autoSpaceDE/>
              <w:autoSpaceDN/>
              <w:adjustRightInd/>
              <w:jc w:val="center"/>
              <w:rPr>
                <w:b/>
                <w:bCs/>
                <w:color w:val="000000"/>
                <w:u w:val="single"/>
              </w:rPr>
            </w:pPr>
            <w:r w:rsidRPr="004A4F84">
              <w:rPr>
                <w:b/>
                <w:bCs/>
                <w:color w:val="000000"/>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75573F76" w14:textId="77777777">
            <w:pPr>
              <w:keepNext/>
              <w:keepLines/>
              <w:autoSpaceDE/>
              <w:autoSpaceDN/>
              <w:adjustRightInd/>
              <w:jc w:val="center"/>
              <w:rPr>
                <w:b/>
                <w:bCs/>
                <w:color w:val="000000"/>
                <w:u w:val="single"/>
              </w:rPr>
            </w:pPr>
            <w:r w:rsidRPr="004A4F84">
              <w:rPr>
                <w:b/>
                <w:bCs/>
                <w:color w:val="000000"/>
                <w:u w:val="single"/>
              </w:rPr>
              <w:t>Burden Cost</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2F2A7D8A" w14:textId="77777777">
            <w:pPr>
              <w:keepNext/>
              <w:keepLines/>
              <w:autoSpaceDE/>
              <w:autoSpaceDN/>
              <w:adjustRightInd/>
              <w:jc w:val="center"/>
              <w:rPr>
                <w:b/>
                <w:bCs/>
                <w:color w:val="000000"/>
                <w:u w:val="single"/>
              </w:rPr>
            </w:pPr>
            <w:r w:rsidRPr="004A4F84">
              <w:rPr>
                <w:b/>
                <w:bCs/>
                <w:color w:val="000000"/>
                <w:u w:val="single"/>
              </w:rPr>
              <w:t>Salary Cost per Hour</w:t>
            </w:r>
          </w:p>
        </w:tc>
        <w:tc>
          <w:tcPr>
            <w:tcW w:w="955"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0C1EF1BA" w14:textId="77777777">
            <w:pPr>
              <w:keepNext/>
              <w:keepLines/>
              <w:autoSpaceDE/>
              <w:autoSpaceDN/>
              <w:adjustRightInd/>
              <w:jc w:val="center"/>
              <w:rPr>
                <w:b/>
                <w:bCs/>
                <w:color w:val="000000"/>
                <w:u w:val="single"/>
              </w:rPr>
            </w:pPr>
            <w:r w:rsidRPr="004A4F84">
              <w:rPr>
                <w:b/>
                <w:bCs/>
                <w:color w:val="000000"/>
                <w:u w:val="single"/>
              </w:rPr>
              <w:t>Total Salary Cost</w:t>
            </w:r>
          </w:p>
        </w:tc>
      </w:tr>
      <w:tr w14:paraId="46230C6B" w14:textId="77777777" w:rsidTr="004F45EB">
        <w:tblPrEx>
          <w:tblW w:w="11490" w:type="dxa"/>
          <w:jc w:val="center"/>
          <w:tblLayout w:type="fixed"/>
          <w:tblLook w:val="04A0"/>
        </w:tblPrEx>
        <w:trPr>
          <w:trHeight w:val="60"/>
          <w:jc w:val="center"/>
        </w:trPr>
        <w:tc>
          <w:tcPr>
            <w:tcW w:w="2795" w:type="dxa"/>
            <w:tcBorders>
              <w:top w:val="nil"/>
              <w:left w:val="single" w:sz="4" w:space="0" w:color="auto"/>
              <w:bottom w:val="single" w:sz="4" w:space="0" w:color="auto"/>
              <w:right w:val="single" w:sz="4" w:space="0" w:color="auto"/>
            </w:tcBorders>
            <w:shd w:val="clear" w:color="auto" w:fill="auto"/>
            <w:vAlign w:val="bottom"/>
            <w:hideMark/>
          </w:tcPr>
          <w:p w:rsidR="006A6B18" w:rsidRPr="004A4F84" w:rsidP="004B2277" w14:paraId="278EB849" w14:textId="77777777">
            <w:pPr>
              <w:keepNext/>
              <w:keepLines/>
              <w:autoSpaceDE/>
              <w:autoSpaceDN/>
              <w:adjustRightInd/>
              <w:rPr>
                <w:bCs/>
                <w:color w:val="000000"/>
              </w:rPr>
            </w:pPr>
            <w:r w:rsidRPr="004A4F84">
              <w:rPr>
                <w:bCs/>
                <w:color w:val="000000"/>
              </w:rPr>
              <w:t>Class II Railroads</w:t>
            </w:r>
          </w:p>
        </w:tc>
        <w:tc>
          <w:tcPr>
            <w:tcW w:w="1350" w:type="dxa"/>
            <w:tcBorders>
              <w:top w:val="nil"/>
              <w:left w:val="nil"/>
              <w:bottom w:val="single" w:sz="4" w:space="0" w:color="auto"/>
              <w:right w:val="single" w:sz="4" w:space="0" w:color="auto"/>
            </w:tcBorders>
            <w:shd w:val="clear" w:color="auto" w:fill="auto"/>
            <w:vAlign w:val="bottom"/>
            <w:hideMark/>
          </w:tcPr>
          <w:p w:rsidR="006A6B18" w:rsidRPr="004A4F84" w:rsidP="004B2277" w14:paraId="2E73A2AD" w14:textId="77777777">
            <w:pPr>
              <w:keepNext/>
              <w:keepLines/>
              <w:autoSpaceDE/>
              <w:autoSpaceDN/>
              <w:adjustRightInd/>
              <w:jc w:val="right"/>
              <w:rPr>
                <w:color w:val="000000"/>
              </w:rPr>
            </w:pPr>
            <w:r w:rsidRPr="004A4F84">
              <w:rPr>
                <w:color w:val="000000"/>
              </w:rPr>
              <w:t>10</w:t>
            </w:r>
          </w:p>
        </w:tc>
        <w:tc>
          <w:tcPr>
            <w:tcW w:w="1440" w:type="dxa"/>
            <w:tcBorders>
              <w:top w:val="nil"/>
              <w:left w:val="nil"/>
              <w:bottom w:val="single" w:sz="4" w:space="0" w:color="auto"/>
              <w:right w:val="single" w:sz="4" w:space="0" w:color="auto"/>
            </w:tcBorders>
            <w:shd w:val="clear" w:color="auto" w:fill="auto"/>
            <w:vAlign w:val="bottom"/>
            <w:hideMark/>
          </w:tcPr>
          <w:p w:rsidR="006A6B18" w:rsidRPr="004A4F84" w:rsidP="004B2277" w14:paraId="25348497" w14:textId="77777777">
            <w:pPr>
              <w:keepNext/>
              <w:keepLines/>
              <w:autoSpaceDE/>
              <w:autoSpaceDN/>
              <w:adjustRightInd/>
              <w:jc w:val="right"/>
              <w:rPr>
                <w:color w:val="000000"/>
              </w:rPr>
            </w:pPr>
            <w:r w:rsidRPr="004A4F84">
              <w:rPr>
                <w:color w:val="000000"/>
              </w:rPr>
              <w:t>4</w:t>
            </w:r>
          </w:p>
        </w:tc>
        <w:tc>
          <w:tcPr>
            <w:tcW w:w="1127" w:type="dxa"/>
            <w:tcBorders>
              <w:top w:val="nil"/>
              <w:left w:val="nil"/>
              <w:bottom w:val="single" w:sz="4" w:space="0" w:color="auto"/>
              <w:right w:val="single" w:sz="4" w:space="0" w:color="auto"/>
            </w:tcBorders>
            <w:shd w:val="clear" w:color="auto" w:fill="auto"/>
            <w:vAlign w:val="bottom"/>
            <w:hideMark/>
          </w:tcPr>
          <w:p w:rsidR="006A6B18" w:rsidRPr="004A4F84" w:rsidP="004B2277" w14:paraId="6ACF621B" w14:textId="77777777">
            <w:pPr>
              <w:keepNext/>
              <w:keepLines/>
              <w:autoSpaceDE/>
              <w:autoSpaceDN/>
              <w:adjustRightInd/>
              <w:jc w:val="right"/>
              <w:rPr>
                <w:color w:val="000000"/>
              </w:rPr>
            </w:pPr>
            <w:r w:rsidRPr="004A4F84">
              <w:rPr>
                <w:color w:val="000000"/>
              </w:rPr>
              <w:t>40</w:t>
            </w:r>
          </w:p>
        </w:tc>
        <w:tc>
          <w:tcPr>
            <w:tcW w:w="1033" w:type="dxa"/>
            <w:tcBorders>
              <w:top w:val="nil"/>
              <w:left w:val="nil"/>
              <w:bottom w:val="single" w:sz="4" w:space="0" w:color="auto"/>
              <w:right w:val="single" w:sz="4" w:space="0" w:color="auto"/>
            </w:tcBorders>
            <w:shd w:val="clear" w:color="auto" w:fill="auto"/>
            <w:vAlign w:val="bottom"/>
            <w:hideMark/>
          </w:tcPr>
          <w:p w:rsidR="006A6B18" w:rsidRPr="004A4F84" w:rsidP="004B2277" w14:paraId="30F38A10" w14:textId="77777777">
            <w:pPr>
              <w:keepNext/>
              <w:keepLines/>
              <w:autoSpaceDE/>
              <w:autoSpaceDN/>
              <w:adjustRightInd/>
              <w:jc w:val="right"/>
              <w:rPr>
                <w:color w:val="000000"/>
              </w:rPr>
            </w:pPr>
            <w:r w:rsidRPr="004A4F84">
              <w:rPr>
                <w:color w:val="000000"/>
              </w:rPr>
              <w:t>12</w:t>
            </w:r>
          </w:p>
        </w:tc>
        <w:tc>
          <w:tcPr>
            <w:tcW w:w="900" w:type="dxa"/>
            <w:tcBorders>
              <w:top w:val="nil"/>
              <w:left w:val="nil"/>
              <w:bottom w:val="single" w:sz="4" w:space="0" w:color="auto"/>
              <w:right w:val="single" w:sz="4" w:space="0" w:color="auto"/>
            </w:tcBorders>
            <w:shd w:val="clear" w:color="auto" w:fill="auto"/>
            <w:vAlign w:val="bottom"/>
            <w:hideMark/>
          </w:tcPr>
          <w:p w:rsidR="006A6B18" w:rsidRPr="004A4F84" w:rsidP="004B2277" w14:paraId="0A046327" w14:textId="77777777">
            <w:pPr>
              <w:keepNext/>
              <w:keepLines/>
              <w:autoSpaceDE/>
              <w:autoSpaceDN/>
              <w:adjustRightInd/>
              <w:jc w:val="right"/>
              <w:rPr>
                <w:color w:val="000000"/>
              </w:rPr>
            </w:pPr>
            <w:r>
              <w:rPr>
                <w:color w:val="000000"/>
              </w:rPr>
              <w:t>480</w:t>
            </w:r>
          </w:p>
        </w:tc>
        <w:tc>
          <w:tcPr>
            <w:tcW w:w="900" w:type="dxa"/>
            <w:tcBorders>
              <w:top w:val="nil"/>
              <w:left w:val="nil"/>
              <w:bottom w:val="single" w:sz="4" w:space="0" w:color="auto"/>
              <w:right w:val="single" w:sz="4" w:space="0" w:color="auto"/>
            </w:tcBorders>
            <w:shd w:val="clear" w:color="auto" w:fill="auto"/>
            <w:vAlign w:val="bottom"/>
            <w:hideMark/>
          </w:tcPr>
          <w:p w:rsidR="006A6B18" w:rsidRPr="004A4F84" w:rsidP="004B2277" w14:paraId="655C92C0" w14:textId="77777777">
            <w:pPr>
              <w:keepNext/>
              <w:keepLines/>
              <w:autoSpaceDE/>
              <w:autoSpaceDN/>
              <w:adjustRightInd/>
              <w:jc w:val="right"/>
              <w:rPr>
                <w:color w:val="000000"/>
              </w:rPr>
            </w:pPr>
            <w:r w:rsidRPr="004A4F84">
              <w:rPr>
                <w:color w:val="000000"/>
              </w:rPr>
              <w:t xml:space="preserve">$0 </w:t>
            </w:r>
          </w:p>
        </w:tc>
        <w:tc>
          <w:tcPr>
            <w:tcW w:w="990" w:type="dxa"/>
            <w:tcBorders>
              <w:top w:val="nil"/>
              <w:left w:val="nil"/>
              <w:bottom w:val="single" w:sz="4" w:space="0" w:color="auto"/>
              <w:right w:val="single" w:sz="4" w:space="0" w:color="auto"/>
            </w:tcBorders>
            <w:shd w:val="clear" w:color="auto" w:fill="auto"/>
            <w:vAlign w:val="bottom"/>
            <w:hideMark/>
          </w:tcPr>
          <w:p w:rsidR="006A6B18" w:rsidRPr="004A4F84" w:rsidP="004B2277" w14:paraId="2B76C9CF" w14:textId="5B80C87C">
            <w:pPr>
              <w:keepNext/>
              <w:keepLines/>
              <w:autoSpaceDE/>
              <w:autoSpaceDN/>
              <w:adjustRightInd/>
              <w:jc w:val="right"/>
              <w:rPr>
                <w:color w:val="000000"/>
              </w:rPr>
            </w:pPr>
            <w:r w:rsidRPr="004A4F84">
              <w:rPr>
                <w:color w:val="000000"/>
              </w:rPr>
              <w:t>$</w:t>
            </w:r>
            <w:r w:rsidRPr="00D41EFE" w:rsidR="00D41EFE">
              <w:rPr>
                <w:color w:val="000000"/>
              </w:rPr>
              <w:t>93.70</w:t>
            </w:r>
          </w:p>
        </w:tc>
        <w:tc>
          <w:tcPr>
            <w:tcW w:w="955" w:type="dxa"/>
            <w:tcBorders>
              <w:top w:val="nil"/>
              <w:left w:val="nil"/>
              <w:bottom w:val="single" w:sz="4" w:space="0" w:color="auto"/>
              <w:right w:val="single" w:sz="4" w:space="0" w:color="auto"/>
            </w:tcBorders>
            <w:shd w:val="clear" w:color="auto" w:fill="auto"/>
            <w:vAlign w:val="bottom"/>
            <w:hideMark/>
          </w:tcPr>
          <w:p w:rsidR="006A6B18" w:rsidRPr="004A4F84" w:rsidP="004B2277" w14:paraId="0728DFEC" w14:textId="283F0F4D">
            <w:pPr>
              <w:keepNext/>
              <w:keepLines/>
              <w:autoSpaceDE/>
              <w:autoSpaceDN/>
              <w:adjustRightInd/>
              <w:jc w:val="right"/>
              <w:rPr>
                <w:color w:val="000000"/>
              </w:rPr>
            </w:pPr>
            <w:r w:rsidRPr="004A4F84">
              <w:rPr>
                <w:color w:val="000000"/>
              </w:rPr>
              <w:t>$</w:t>
            </w:r>
            <w:r w:rsidR="000243F0">
              <w:rPr>
                <w:color w:val="000000"/>
              </w:rPr>
              <w:t>44,976</w:t>
            </w:r>
          </w:p>
        </w:tc>
      </w:tr>
      <w:tr w14:paraId="57D9AB64" w14:textId="77777777" w:rsidTr="004F45EB">
        <w:tblPrEx>
          <w:tblW w:w="11490" w:type="dxa"/>
          <w:jc w:val="center"/>
          <w:tblLayout w:type="fixed"/>
          <w:tblLook w:val="04A0"/>
        </w:tblPrEx>
        <w:trPr>
          <w:trHeight w:val="60"/>
          <w:jc w:val="center"/>
        </w:trPr>
        <w:tc>
          <w:tcPr>
            <w:tcW w:w="2795" w:type="dxa"/>
            <w:tcBorders>
              <w:top w:val="nil"/>
              <w:left w:val="single" w:sz="4" w:space="0" w:color="auto"/>
              <w:bottom w:val="single" w:sz="4" w:space="0" w:color="auto"/>
              <w:right w:val="single" w:sz="4" w:space="0" w:color="auto"/>
            </w:tcBorders>
            <w:shd w:val="clear" w:color="auto" w:fill="auto"/>
            <w:vAlign w:val="bottom"/>
            <w:hideMark/>
          </w:tcPr>
          <w:p w:rsidR="006A6B18" w:rsidRPr="004A4F84" w:rsidP="004B2277" w14:paraId="49A03ABD" w14:textId="77777777">
            <w:pPr>
              <w:keepNext/>
              <w:keepLines/>
              <w:autoSpaceDE/>
              <w:autoSpaceDN/>
              <w:adjustRightInd/>
              <w:rPr>
                <w:bCs/>
                <w:color w:val="000000"/>
              </w:rPr>
            </w:pPr>
            <w:r w:rsidRPr="004A4F84">
              <w:rPr>
                <w:bCs/>
                <w:color w:val="000000"/>
              </w:rPr>
              <w:t>Class III Railroads</w:t>
            </w:r>
          </w:p>
        </w:tc>
        <w:tc>
          <w:tcPr>
            <w:tcW w:w="1350" w:type="dxa"/>
            <w:tcBorders>
              <w:top w:val="nil"/>
              <w:left w:val="nil"/>
              <w:bottom w:val="single" w:sz="4" w:space="0" w:color="auto"/>
              <w:right w:val="single" w:sz="4" w:space="0" w:color="auto"/>
            </w:tcBorders>
            <w:shd w:val="clear" w:color="auto" w:fill="auto"/>
            <w:vAlign w:val="bottom"/>
            <w:hideMark/>
          </w:tcPr>
          <w:p w:rsidR="006A6B18" w:rsidRPr="004A4F84" w:rsidP="004B2277" w14:paraId="76283B90" w14:textId="77777777">
            <w:pPr>
              <w:keepNext/>
              <w:keepLines/>
              <w:autoSpaceDE/>
              <w:autoSpaceDN/>
              <w:adjustRightInd/>
              <w:jc w:val="right"/>
              <w:rPr>
                <w:color w:val="000000"/>
              </w:rPr>
            </w:pPr>
            <w:r w:rsidRPr="004A4F84">
              <w:rPr>
                <w:color w:val="000000"/>
              </w:rPr>
              <w:t>64</w:t>
            </w:r>
          </w:p>
        </w:tc>
        <w:tc>
          <w:tcPr>
            <w:tcW w:w="1440" w:type="dxa"/>
            <w:tcBorders>
              <w:top w:val="nil"/>
              <w:left w:val="nil"/>
              <w:bottom w:val="single" w:sz="4" w:space="0" w:color="auto"/>
              <w:right w:val="single" w:sz="4" w:space="0" w:color="auto"/>
            </w:tcBorders>
            <w:shd w:val="clear" w:color="auto" w:fill="auto"/>
            <w:vAlign w:val="bottom"/>
            <w:hideMark/>
          </w:tcPr>
          <w:p w:rsidR="006A6B18" w:rsidRPr="004A4F84" w:rsidP="004B2277" w14:paraId="00820A6A" w14:textId="77777777">
            <w:pPr>
              <w:keepNext/>
              <w:keepLines/>
              <w:autoSpaceDE/>
              <w:autoSpaceDN/>
              <w:adjustRightInd/>
              <w:jc w:val="right"/>
              <w:rPr>
                <w:color w:val="000000"/>
              </w:rPr>
            </w:pPr>
            <w:r w:rsidRPr="004A4F84">
              <w:rPr>
                <w:color w:val="000000"/>
              </w:rPr>
              <w:t>0.5</w:t>
            </w:r>
          </w:p>
        </w:tc>
        <w:tc>
          <w:tcPr>
            <w:tcW w:w="1127" w:type="dxa"/>
            <w:tcBorders>
              <w:top w:val="nil"/>
              <w:left w:val="nil"/>
              <w:bottom w:val="single" w:sz="4" w:space="0" w:color="auto"/>
              <w:right w:val="single" w:sz="4" w:space="0" w:color="auto"/>
            </w:tcBorders>
            <w:shd w:val="clear" w:color="auto" w:fill="auto"/>
            <w:vAlign w:val="bottom"/>
            <w:hideMark/>
          </w:tcPr>
          <w:p w:rsidR="006A6B18" w:rsidRPr="004A4F84" w:rsidP="004B2277" w14:paraId="17D624CE" w14:textId="77777777">
            <w:pPr>
              <w:keepNext/>
              <w:keepLines/>
              <w:autoSpaceDE/>
              <w:autoSpaceDN/>
              <w:adjustRightInd/>
              <w:jc w:val="right"/>
              <w:rPr>
                <w:color w:val="000000"/>
              </w:rPr>
            </w:pPr>
            <w:r w:rsidRPr="004A4F84">
              <w:rPr>
                <w:color w:val="000000"/>
              </w:rPr>
              <w:t>32</w:t>
            </w:r>
          </w:p>
        </w:tc>
        <w:tc>
          <w:tcPr>
            <w:tcW w:w="1033" w:type="dxa"/>
            <w:tcBorders>
              <w:top w:val="nil"/>
              <w:left w:val="nil"/>
              <w:bottom w:val="single" w:sz="4" w:space="0" w:color="auto"/>
              <w:right w:val="single" w:sz="4" w:space="0" w:color="auto"/>
            </w:tcBorders>
            <w:shd w:val="clear" w:color="auto" w:fill="auto"/>
            <w:vAlign w:val="bottom"/>
            <w:hideMark/>
          </w:tcPr>
          <w:p w:rsidR="006A6B18" w:rsidRPr="004A4F84" w:rsidP="004B2277" w14:paraId="0D4EB155" w14:textId="77777777">
            <w:pPr>
              <w:keepNext/>
              <w:keepLines/>
              <w:autoSpaceDE/>
              <w:autoSpaceDN/>
              <w:adjustRightInd/>
              <w:jc w:val="right"/>
              <w:rPr>
                <w:color w:val="000000"/>
              </w:rPr>
            </w:pPr>
            <w:r w:rsidRPr="004A4F84">
              <w:rPr>
                <w:color w:val="000000"/>
              </w:rPr>
              <w:t>4</w:t>
            </w:r>
          </w:p>
        </w:tc>
        <w:tc>
          <w:tcPr>
            <w:tcW w:w="900" w:type="dxa"/>
            <w:tcBorders>
              <w:top w:val="nil"/>
              <w:left w:val="nil"/>
              <w:bottom w:val="single" w:sz="4" w:space="0" w:color="auto"/>
              <w:right w:val="single" w:sz="4" w:space="0" w:color="auto"/>
            </w:tcBorders>
            <w:shd w:val="clear" w:color="auto" w:fill="auto"/>
            <w:vAlign w:val="bottom"/>
            <w:hideMark/>
          </w:tcPr>
          <w:p w:rsidR="006A6B18" w:rsidRPr="004A4F84" w:rsidP="004B2277" w14:paraId="1EF5B53A" w14:textId="77777777">
            <w:pPr>
              <w:keepNext/>
              <w:keepLines/>
              <w:autoSpaceDE/>
              <w:autoSpaceDN/>
              <w:adjustRightInd/>
              <w:jc w:val="right"/>
              <w:rPr>
                <w:color w:val="000000"/>
              </w:rPr>
            </w:pPr>
            <w:r>
              <w:rPr>
                <w:color w:val="000000"/>
              </w:rPr>
              <w:t>128</w:t>
            </w:r>
          </w:p>
        </w:tc>
        <w:tc>
          <w:tcPr>
            <w:tcW w:w="900" w:type="dxa"/>
            <w:tcBorders>
              <w:top w:val="nil"/>
              <w:left w:val="nil"/>
              <w:bottom w:val="single" w:sz="4" w:space="0" w:color="auto"/>
              <w:right w:val="single" w:sz="4" w:space="0" w:color="auto"/>
            </w:tcBorders>
            <w:shd w:val="clear" w:color="auto" w:fill="auto"/>
            <w:vAlign w:val="bottom"/>
            <w:hideMark/>
          </w:tcPr>
          <w:p w:rsidR="006A6B18" w:rsidRPr="004A4F84" w:rsidP="004B2277" w14:paraId="53363BC3" w14:textId="77777777">
            <w:pPr>
              <w:keepNext/>
              <w:keepLines/>
              <w:autoSpaceDE/>
              <w:autoSpaceDN/>
              <w:adjustRightInd/>
              <w:jc w:val="right"/>
              <w:rPr>
                <w:color w:val="000000"/>
              </w:rPr>
            </w:pPr>
            <w:r w:rsidRPr="004A4F84">
              <w:rPr>
                <w:color w:val="000000"/>
              </w:rPr>
              <w:t xml:space="preserve">$0 </w:t>
            </w:r>
          </w:p>
        </w:tc>
        <w:tc>
          <w:tcPr>
            <w:tcW w:w="990" w:type="dxa"/>
            <w:tcBorders>
              <w:top w:val="nil"/>
              <w:left w:val="nil"/>
              <w:bottom w:val="single" w:sz="4" w:space="0" w:color="auto"/>
              <w:right w:val="single" w:sz="4" w:space="0" w:color="auto"/>
            </w:tcBorders>
            <w:shd w:val="clear" w:color="auto" w:fill="auto"/>
            <w:vAlign w:val="bottom"/>
            <w:hideMark/>
          </w:tcPr>
          <w:p w:rsidR="006A6B18" w:rsidRPr="004A4F84" w:rsidP="004B2277" w14:paraId="629F872F" w14:textId="00B0FD0F">
            <w:pPr>
              <w:keepNext/>
              <w:keepLines/>
              <w:autoSpaceDE/>
              <w:autoSpaceDN/>
              <w:adjustRightInd/>
              <w:jc w:val="right"/>
              <w:rPr>
                <w:color w:val="000000"/>
              </w:rPr>
            </w:pPr>
            <w:r w:rsidRPr="004A4F84">
              <w:rPr>
                <w:color w:val="000000"/>
              </w:rPr>
              <w:t>$</w:t>
            </w:r>
            <w:r w:rsidRPr="00D41EFE" w:rsidR="00D41EFE">
              <w:rPr>
                <w:color w:val="000000"/>
              </w:rPr>
              <w:t>93.70</w:t>
            </w:r>
          </w:p>
        </w:tc>
        <w:tc>
          <w:tcPr>
            <w:tcW w:w="955" w:type="dxa"/>
            <w:tcBorders>
              <w:top w:val="nil"/>
              <w:left w:val="nil"/>
              <w:bottom w:val="single" w:sz="4" w:space="0" w:color="auto"/>
              <w:right w:val="single" w:sz="4" w:space="0" w:color="auto"/>
            </w:tcBorders>
            <w:shd w:val="clear" w:color="auto" w:fill="auto"/>
            <w:vAlign w:val="bottom"/>
            <w:hideMark/>
          </w:tcPr>
          <w:p w:rsidR="006A6B18" w:rsidRPr="004A4F84" w:rsidP="004B2277" w14:paraId="1D12086B" w14:textId="0EECCD99">
            <w:pPr>
              <w:keepNext/>
              <w:keepLines/>
              <w:autoSpaceDE/>
              <w:autoSpaceDN/>
              <w:adjustRightInd/>
              <w:jc w:val="right"/>
              <w:rPr>
                <w:color w:val="000000"/>
              </w:rPr>
            </w:pPr>
            <w:r w:rsidRPr="004A4F84">
              <w:rPr>
                <w:color w:val="000000"/>
              </w:rPr>
              <w:t>$</w:t>
            </w:r>
            <w:r w:rsidR="006D41C0">
              <w:rPr>
                <w:color w:val="000000"/>
              </w:rPr>
              <w:t>11,</w:t>
            </w:r>
            <w:r w:rsidR="000243F0">
              <w:rPr>
                <w:color w:val="000000"/>
              </w:rPr>
              <w:t>994</w:t>
            </w:r>
          </w:p>
        </w:tc>
      </w:tr>
    </w:tbl>
    <w:p w:rsidR="000A4202" w:rsidP="004B2277" w14:paraId="5490EFD9" w14:textId="77777777">
      <w:pPr>
        <w:rPr>
          <w:sz w:val="24"/>
          <w:szCs w:val="24"/>
        </w:rPr>
      </w:pPr>
    </w:p>
    <w:p w:rsidR="000320F1" w:rsidP="004B2277" w14:paraId="574E2D79" w14:textId="77777777">
      <w:pPr>
        <w:rPr>
          <w:sz w:val="24"/>
          <w:szCs w:val="24"/>
          <w:u w:val="single"/>
        </w:rPr>
      </w:pPr>
    </w:p>
    <w:p w:rsidR="00084C99" w:rsidRPr="00657D96" w:rsidP="004B2277" w14:paraId="6D336C65" w14:textId="77777777">
      <w:pPr>
        <w:rPr>
          <w:b/>
          <w:sz w:val="24"/>
          <w:szCs w:val="24"/>
        </w:rPr>
      </w:pPr>
      <w:r w:rsidRPr="00657D96">
        <w:rPr>
          <w:b/>
          <w:sz w:val="24"/>
          <w:szCs w:val="24"/>
        </w:rPr>
        <w:t>Section 174.310(</w:t>
      </w:r>
      <w:r>
        <w:rPr>
          <w:b/>
          <w:sz w:val="24"/>
          <w:szCs w:val="24"/>
        </w:rPr>
        <w:t>a</w:t>
      </w:r>
      <w:r w:rsidRPr="00657D96">
        <w:rPr>
          <w:b/>
          <w:sz w:val="24"/>
          <w:szCs w:val="24"/>
        </w:rPr>
        <w:t xml:space="preserve">)(1):  </w:t>
      </w:r>
      <w:r>
        <w:rPr>
          <w:b/>
          <w:sz w:val="24"/>
          <w:szCs w:val="24"/>
        </w:rPr>
        <w:t>Requirements for the operation of high-hazard flammable trains – Tank car retrofitting</w:t>
      </w:r>
    </w:p>
    <w:p w:rsidR="00E82363" w:rsidP="004B2277" w14:paraId="68D25F0B" w14:textId="77777777">
      <w:pPr>
        <w:rPr>
          <w:sz w:val="24"/>
          <w:szCs w:val="24"/>
        </w:rPr>
      </w:pPr>
    </w:p>
    <w:p w:rsidR="000D6530" w:rsidP="004B2277" w14:paraId="699508AD" w14:textId="28F6B9B8">
      <w:pPr>
        <w:rPr>
          <w:sz w:val="24"/>
          <w:szCs w:val="24"/>
        </w:rPr>
      </w:pPr>
      <w:r>
        <w:rPr>
          <w:sz w:val="24"/>
          <w:szCs w:val="24"/>
        </w:rPr>
        <w:t xml:space="preserve">Section 174.310(a)(1) requires owners of DOT-111 tank cars in PG I service in an HHFT who are </w:t>
      </w:r>
      <w:r w:rsidRPr="00084C99">
        <w:rPr>
          <w:sz w:val="24"/>
          <w:szCs w:val="24"/>
        </w:rPr>
        <w:t>unable to meet the January 1, 2017, retrofit deadline specified in §</w:t>
      </w:r>
      <w:r>
        <w:rPr>
          <w:sz w:val="24"/>
          <w:szCs w:val="24"/>
        </w:rPr>
        <w:t> 173.243(a)(1)</w:t>
      </w:r>
      <w:r w:rsidR="00A549F9">
        <w:rPr>
          <w:sz w:val="24"/>
          <w:szCs w:val="24"/>
        </w:rPr>
        <w:t xml:space="preserve"> to provide details on retrofitting progress</w:t>
      </w:r>
      <w:r>
        <w:rPr>
          <w:sz w:val="24"/>
          <w:szCs w:val="24"/>
        </w:rPr>
        <w:t xml:space="preserve">. </w:t>
      </w:r>
      <w:r w:rsidR="00614200">
        <w:rPr>
          <w:sz w:val="24"/>
          <w:szCs w:val="24"/>
        </w:rPr>
        <w:t xml:space="preserve"> </w:t>
      </w:r>
      <w:r w:rsidRPr="00E82363" w:rsidR="00E82363">
        <w:rPr>
          <w:sz w:val="24"/>
          <w:szCs w:val="24"/>
        </w:rPr>
        <w:t>PHMSA identified 50 respondents</w:t>
      </w:r>
      <w:r>
        <w:rPr>
          <w:sz w:val="24"/>
          <w:szCs w:val="24"/>
        </w:rPr>
        <w:t xml:space="preserve"> who </w:t>
      </w:r>
      <w:r w:rsidRPr="00E82363" w:rsidR="00E82363">
        <w:rPr>
          <w:sz w:val="24"/>
          <w:szCs w:val="24"/>
        </w:rPr>
        <w:t xml:space="preserve">submit one response per year.  PHMSA expects each report to take approximately </w:t>
      </w:r>
      <w:r>
        <w:rPr>
          <w:sz w:val="24"/>
          <w:szCs w:val="24"/>
        </w:rPr>
        <w:t xml:space="preserve">30 minutes to complete, for a total of 25 burden hours (50 responses x 30 minutes). </w:t>
      </w:r>
      <w:r w:rsidR="00614200">
        <w:rPr>
          <w:sz w:val="24"/>
          <w:szCs w:val="24"/>
        </w:rPr>
        <w:t xml:space="preserve"> </w:t>
      </w:r>
      <w:r>
        <w:rPr>
          <w:sz w:val="24"/>
          <w:szCs w:val="24"/>
        </w:rPr>
        <w:t xml:space="preserve">PHMSA does not estimate any out-of-pocket expenses. </w:t>
      </w:r>
      <w:r w:rsidR="00614200">
        <w:rPr>
          <w:sz w:val="24"/>
          <w:szCs w:val="24"/>
        </w:rPr>
        <w:t xml:space="preserve"> </w:t>
      </w:r>
      <w:r>
        <w:rPr>
          <w:sz w:val="24"/>
          <w:szCs w:val="24"/>
        </w:rPr>
        <w:t xml:space="preserve">For the salary of a Senior Management employee of </w:t>
      </w:r>
      <w:r>
        <w:rPr>
          <w:rFonts w:eastAsia="Calibri"/>
          <w:sz w:val="24"/>
          <w:szCs w:val="24"/>
        </w:rPr>
        <w:t>$</w:t>
      </w:r>
      <w:r w:rsidRPr="006B0AC8" w:rsidR="006B0AC8">
        <w:rPr>
          <w:rFonts w:eastAsia="Calibri"/>
          <w:sz w:val="24"/>
          <w:szCs w:val="24"/>
        </w:rPr>
        <w:t>93.70</w:t>
      </w:r>
      <w:r>
        <w:rPr>
          <w:rStyle w:val="FootnoteReference"/>
          <w:rFonts w:eastAsia="Calibri"/>
          <w:sz w:val="24"/>
          <w:szCs w:val="24"/>
        </w:rPr>
        <w:footnoteReference w:id="12"/>
      </w:r>
      <w:r>
        <w:rPr>
          <w:rFonts w:eastAsia="Calibri"/>
          <w:sz w:val="24"/>
          <w:szCs w:val="24"/>
        </w:rPr>
        <w:t xml:space="preserve"> per hour</w:t>
      </w:r>
      <w:r>
        <w:rPr>
          <w:sz w:val="24"/>
          <w:szCs w:val="24"/>
        </w:rPr>
        <w:t xml:space="preserve">, </w:t>
      </w:r>
      <w:r w:rsidRPr="00125E20">
        <w:rPr>
          <w:sz w:val="24"/>
          <w:szCs w:val="24"/>
        </w:rPr>
        <w:t>PHMSA estimates</w:t>
      </w:r>
      <w:r>
        <w:rPr>
          <w:sz w:val="24"/>
          <w:szCs w:val="24"/>
        </w:rPr>
        <w:t xml:space="preserve"> a total salary cost of $</w:t>
      </w:r>
      <w:r w:rsidR="00DC098D">
        <w:rPr>
          <w:sz w:val="24"/>
          <w:szCs w:val="24"/>
        </w:rPr>
        <w:t>2,276</w:t>
      </w:r>
      <w:r>
        <w:rPr>
          <w:sz w:val="24"/>
          <w:szCs w:val="24"/>
        </w:rPr>
        <w:t xml:space="preserve"> for submission of the retrofitting progress (25 burden hours x $</w:t>
      </w:r>
      <w:r w:rsidRPr="006B0AC8" w:rsidR="006B0AC8">
        <w:rPr>
          <w:sz w:val="24"/>
          <w:szCs w:val="24"/>
        </w:rPr>
        <w:t>93.70</w:t>
      </w:r>
      <w:r>
        <w:rPr>
          <w:sz w:val="24"/>
          <w:szCs w:val="24"/>
        </w:rPr>
        <w:t>).</w:t>
      </w:r>
    </w:p>
    <w:p w:rsidR="00084C99" w:rsidP="004B2277" w14:paraId="157AD354" w14:textId="77777777">
      <w:pPr>
        <w:rPr>
          <w:sz w:val="24"/>
          <w:szCs w:val="24"/>
        </w:rPr>
      </w:pPr>
    </w:p>
    <w:tbl>
      <w:tblPr>
        <w:tblW w:w="10800" w:type="dxa"/>
        <w:jc w:val="center"/>
        <w:tblLayout w:type="fixed"/>
        <w:tblLook w:val="04A0"/>
      </w:tblPr>
      <w:tblGrid>
        <w:gridCol w:w="2058"/>
        <w:gridCol w:w="1350"/>
        <w:gridCol w:w="1440"/>
        <w:gridCol w:w="1170"/>
        <w:gridCol w:w="1080"/>
        <w:gridCol w:w="900"/>
        <w:gridCol w:w="900"/>
        <w:gridCol w:w="1006"/>
        <w:gridCol w:w="896"/>
      </w:tblGrid>
      <w:tr w14:paraId="03DCB6F0" w14:textId="77777777" w:rsidTr="004F45EB">
        <w:tblPrEx>
          <w:tblW w:w="10800" w:type="dxa"/>
          <w:jc w:val="center"/>
          <w:tblLayout w:type="fixed"/>
          <w:tblLook w:val="04A0"/>
        </w:tblPrEx>
        <w:trPr>
          <w:trHeight w:val="585"/>
          <w:jc w:val="center"/>
        </w:trPr>
        <w:tc>
          <w:tcPr>
            <w:tcW w:w="20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6B18" w:rsidRPr="004F45EB" w:rsidP="004F45EB" w14:paraId="240A085F" w14:textId="21D9799C">
            <w:pPr>
              <w:keepNext/>
              <w:keepLines/>
              <w:autoSpaceDE/>
              <w:autoSpaceDN/>
              <w:adjustRightInd/>
              <w:rPr>
                <w:color w:val="000000"/>
                <w:u w:val="single"/>
              </w:rPr>
            </w:pPr>
            <w:r w:rsidRPr="004F45EB">
              <w:rPr>
                <w:b/>
                <w:bCs/>
                <w:color w:val="000000"/>
                <w:u w:val="single"/>
              </w:rPr>
              <w:t>Retrofitting Progress</w:t>
            </w:r>
            <w:r>
              <w:rPr>
                <w:b/>
                <w:bCs/>
                <w:color w:val="000000"/>
                <w:u w:val="single"/>
              </w:rPr>
              <w:t xml:space="preserve"> - § 174.310(a)(5)</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F45EB" w14:paraId="21E15831" w14:textId="77777777">
            <w:pPr>
              <w:keepNext/>
              <w:keepLines/>
              <w:autoSpaceDE/>
              <w:autoSpaceDN/>
              <w:adjustRightInd/>
              <w:jc w:val="center"/>
              <w:rPr>
                <w:b/>
                <w:bCs/>
                <w:color w:val="000000"/>
                <w:u w:val="single"/>
              </w:rPr>
            </w:pPr>
            <w:r w:rsidRPr="004A4F84">
              <w:rPr>
                <w:b/>
                <w:bCs/>
                <w:color w:val="000000"/>
                <w:u w:val="single"/>
              </w:rPr>
              <w:t>Respondents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F45EB" w14:paraId="5D011FD3" w14:textId="77777777">
            <w:pPr>
              <w:keepNext/>
              <w:keepLines/>
              <w:autoSpaceDE/>
              <w:autoSpaceDN/>
              <w:adjustRightInd/>
              <w:jc w:val="center"/>
              <w:rPr>
                <w:b/>
                <w:bCs/>
                <w:color w:val="000000"/>
                <w:u w:val="single"/>
              </w:rPr>
            </w:pPr>
            <w:r w:rsidRPr="004A4F84">
              <w:rPr>
                <w:b/>
                <w:bCs/>
                <w:color w:val="000000"/>
                <w:u w:val="single"/>
              </w:rPr>
              <w:t>Annual Responses per Respondent</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F45EB" w14:paraId="0F2EBB32" w14:textId="77777777">
            <w:pPr>
              <w:keepNext/>
              <w:keepLines/>
              <w:autoSpaceDE/>
              <w:autoSpaceDN/>
              <w:adjustRightInd/>
              <w:jc w:val="center"/>
              <w:rPr>
                <w:b/>
                <w:bCs/>
                <w:color w:val="000000"/>
                <w:u w:val="single"/>
              </w:rPr>
            </w:pPr>
            <w:r w:rsidRPr="004A4F84">
              <w:rPr>
                <w:b/>
                <w:bCs/>
                <w:color w:val="000000"/>
                <w:u w:val="single"/>
              </w:rPr>
              <w:t>Annual Responses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F45EB" w14:paraId="0ED022F7" w14:textId="77777777">
            <w:pPr>
              <w:keepNext/>
              <w:keepLines/>
              <w:autoSpaceDE/>
              <w:autoSpaceDN/>
              <w:adjustRightInd/>
              <w:jc w:val="center"/>
              <w:rPr>
                <w:b/>
                <w:bCs/>
                <w:color w:val="000000"/>
                <w:u w:val="single"/>
              </w:rPr>
            </w:pPr>
            <w:r w:rsidRPr="004A4F84">
              <w:rPr>
                <w:b/>
                <w:bCs/>
                <w:color w:val="000000"/>
                <w:u w:val="single"/>
              </w:rPr>
              <w:t>Minutes per Response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F45EB" w14:paraId="61DA213D" w14:textId="77777777">
            <w:pPr>
              <w:keepNext/>
              <w:keepLines/>
              <w:autoSpaceDE/>
              <w:autoSpaceDN/>
              <w:adjustRightInd/>
              <w:jc w:val="center"/>
              <w:rPr>
                <w:b/>
                <w:bCs/>
                <w:color w:val="000000"/>
                <w:u w:val="single"/>
              </w:rPr>
            </w:pPr>
            <w:r w:rsidRPr="004A4F84">
              <w:rPr>
                <w:b/>
                <w:bCs/>
                <w:color w:val="000000"/>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F45EB" w14:paraId="083A1441" w14:textId="77777777">
            <w:pPr>
              <w:keepNext/>
              <w:keepLines/>
              <w:autoSpaceDE/>
              <w:autoSpaceDN/>
              <w:adjustRightInd/>
              <w:jc w:val="center"/>
              <w:rPr>
                <w:b/>
                <w:bCs/>
                <w:color w:val="000000"/>
                <w:u w:val="single"/>
              </w:rPr>
            </w:pPr>
            <w:r w:rsidRPr="004A4F84">
              <w:rPr>
                <w:b/>
                <w:bCs/>
                <w:color w:val="000000"/>
                <w:u w:val="single"/>
              </w:rPr>
              <w:t>Burden Cost</w:t>
            </w:r>
          </w:p>
        </w:tc>
        <w:tc>
          <w:tcPr>
            <w:tcW w:w="1006"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F45EB" w14:paraId="3727B517" w14:textId="77777777">
            <w:pPr>
              <w:keepNext/>
              <w:keepLines/>
              <w:autoSpaceDE/>
              <w:autoSpaceDN/>
              <w:adjustRightInd/>
              <w:jc w:val="center"/>
              <w:rPr>
                <w:b/>
                <w:bCs/>
                <w:color w:val="000000"/>
                <w:u w:val="single"/>
              </w:rPr>
            </w:pPr>
            <w:r w:rsidRPr="004A4F84">
              <w:rPr>
                <w:b/>
                <w:bCs/>
                <w:color w:val="000000"/>
                <w:u w:val="single"/>
              </w:rPr>
              <w:t>Salary Cost per Hour</w:t>
            </w:r>
          </w:p>
        </w:tc>
        <w:tc>
          <w:tcPr>
            <w:tcW w:w="896"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F45EB" w14:paraId="095B0508" w14:textId="77777777">
            <w:pPr>
              <w:keepNext/>
              <w:keepLines/>
              <w:autoSpaceDE/>
              <w:autoSpaceDN/>
              <w:adjustRightInd/>
              <w:jc w:val="center"/>
              <w:rPr>
                <w:b/>
                <w:bCs/>
                <w:color w:val="000000"/>
                <w:u w:val="single"/>
              </w:rPr>
            </w:pPr>
            <w:r w:rsidRPr="004A4F84">
              <w:rPr>
                <w:b/>
                <w:bCs/>
                <w:color w:val="000000"/>
                <w:u w:val="single"/>
              </w:rPr>
              <w:t>Total Salary Cost</w:t>
            </w:r>
          </w:p>
        </w:tc>
      </w:tr>
      <w:tr w14:paraId="4ACB5C63" w14:textId="77777777" w:rsidTr="004F45EB">
        <w:tblPrEx>
          <w:tblW w:w="10800" w:type="dxa"/>
          <w:jc w:val="center"/>
          <w:tblLayout w:type="fixed"/>
          <w:tblLook w:val="04A0"/>
        </w:tblPrEx>
        <w:trPr>
          <w:trHeight w:val="60"/>
          <w:jc w:val="center"/>
        </w:trPr>
        <w:tc>
          <w:tcPr>
            <w:tcW w:w="2058" w:type="dxa"/>
            <w:tcBorders>
              <w:top w:val="nil"/>
              <w:left w:val="single" w:sz="4" w:space="0" w:color="auto"/>
              <w:bottom w:val="single" w:sz="4" w:space="0" w:color="auto"/>
              <w:right w:val="single" w:sz="4" w:space="0" w:color="auto"/>
            </w:tcBorders>
            <w:shd w:val="clear" w:color="auto" w:fill="auto"/>
            <w:vAlign w:val="bottom"/>
          </w:tcPr>
          <w:p w:rsidR="006A6B18" w:rsidRPr="004F45EB" w:rsidP="004F45EB" w14:paraId="4562BD0D" w14:textId="2F1B0BC5">
            <w:pPr>
              <w:keepNext/>
              <w:keepLines/>
              <w:autoSpaceDE/>
              <w:autoSpaceDN/>
              <w:adjustRightInd/>
              <w:rPr>
                <w:bCs/>
                <w:color w:val="000000"/>
              </w:rPr>
            </w:pPr>
            <w:r w:rsidRPr="004F45EB">
              <w:rPr>
                <w:bCs/>
                <w:color w:val="000000"/>
              </w:rPr>
              <w:t>Reporting</w:t>
            </w:r>
          </w:p>
        </w:tc>
        <w:tc>
          <w:tcPr>
            <w:tcW w:w="1350" w:type="dxa"/>
            <w:tcBorders>
              <w:top w:val="nil"/>
              <w:left w:val="nil"/>
              <w:bottom w:val="single" w:sz="4" w:space="0" w:color="auto"/>
              <w:right w:val="single" w:sz="4" w:space="0" w:color="auto"/>
            </w:tcBorders>
            <w:shd w:val="clear" w:color="auto" w:fill="auto"/>
            <w:vAlign w:val="bottom"/>
            <w:hideMark/>
          </w:tcPr>
          <w:p w:rsidR="006A6B18" w:rsidRPr="004A4F84" w:rsidP="004F45EB" w14:paraId="02BD7F4D" w14:textId="77777777">
            <w:pPr>
              <w:keepNext/>
              <w:keepLines/>
              <w:autoSpaceDE/>
              <w:autoSpaceDN/>
              <w:adjustRightInd/>
              <w:jc w:val="right"/>
              <w:rPr>
                <w:color w:val="000000"/>
              </w:rPr>
            </w:pPr>
            <w:r w:rsidRPr="004A4F84">
              <w:rPr>
                <w:color w:val="000000"/>
              </w:rPr>
              <w:t>50</w:t>
            </w:r>
          </w:p>
        </w:tc>
        <w:tc>
          <w:tcPr>
            <w:tcW w:w="1440" w:type="dxa"/>
            <w:tcBorders>
              <w:top w:val="nil"/>
              <w:left w:val="nil"/>
              <w:bottom w:val="single" w:sz="4" w:space="0" w:color="auto"/>
              <w:right w:val="single" w:sz="4" w:space="0" w:color="auto"/>
            </w:tcBorders>
            <w:shd w:val="clear" w:color="auto" w:fill="auto"/>
            <w:vAlign w:val="bottom"/>
            <w:hideMark/>
          </w:tcPr>
          <w:p w:rsidR="006A6B18" w:rsidRPr="004A4F84" w:rsidP="004F45EB" w14:paraId="3AC967A4" w14:textId="77777777">
            <w:pPr>
              <w:keepNext/>
              <w:keepLines/>
              <w:autoSpaceDE/>
              <w:autoSpaceDN/>
              <w:adjustRightInd/>
              <w:jc w:val="right"/>
              <w:rPr>
                <w:color w:val="000000"/>
              </w:rPr>
            </w:pPr>
            <w:r w:rsidRPr="004A4F84">
              <w:rPr>
                <w:color w:val="000000"/>
              </w:rPr>
              <w:t>1</w:t>
            </w:r>
          </w:p>
        </w:tc>
        <w:tc>
          <w:tcPr>
            <w:tcW w:w="1170" w:type="dxa"/>
            <w:tcBorders>
              <w:top w:val="nil"/>
              <w:left w:val="nil"/>
              <w:bottom w:val="single" w:sz="4" w:space="0" w:color="auto"/>
              <w:right w:val="single" w:sz="4" w:space="0" w:color="auto"/>
            </w:tcBorders>
            <w:shd w:val="clear" w:color="auto" w:fill="auto"/>
            <w:vAlign w:val="bottom"/>
            <w:hideMark/>
          </w:tcPr>
          <w:p w:rsidR="006A6B18" w:rsidRPr="004A4F84" w:rsidP="004F45EB" w14:paraId="5B99E109" w14:textId="77777777">
            <w:pPr>
              <w:keepNext/>
              <w:keepLines/>
              <w:autoSpaceDE/>
              <w:autoSpaceDN/>
              <w:adjustRightInd/>
              <w:jc w:val="right"/>
              <w:rPr>
                <w:color w:val="000000"/>
              </w:rPr>
            </w:pPr>
            <w:r w:rsidRPr="004A4F84">
              <w:rPr>
                <w:color w:val="000000"/>
              </w:rPr>
              <w:t>50</w:t>
            </w:r>
          </w:p>
        </w:tc>
        <w:tc>
          <w:tcPr>
            <w:tcW w:w="1080" w:type="dxa"/>
            <w:tcBorders>
              <w:top w:val="nil"/>
              <w:left w:val="nil"/>
              <w:bottom w:val="single" w:sz="4" w:space="0" w:color="auto"/>
              <w:right w:val="single" w:sz="4" w:space="0" w:color="auto"/>
            </w:tcBorders>
            <w:shd w:val="clear" w:color="auto" w:fill="auto"/>
            <w:vAlign w:val="bottom"/>
            <w:hideMark/>
          </w:tcPr>
          <w:p w:rsidR="006A6B18" w:rsidRPr="004A4F84" w:rsidP="004F45EB" w14:paraId="395AFAAD" w14:textId="77777777">
            <w:pPr>
              <w:keepNext/>
              <w:keepLines/>
              <w:autoSpaceDE/>
              <w:autoSpaceDN/>
              <w:adjustRightInd/>
              <w:jc w:val="right"/>
              <w:rPr>
                <w:color w:val="000000"/>
              </w:rPr>
            </w:pPr>
            <w:r w:rsidRPr="004A4F84">
              <w:rPr>
                <w:color w:val="000000"/>
              </w:rPr>
              <w:t>30</w:t>
            </w:r>
          </w:p>
        </w:tc>
        <w:tc>
          <w:tcPr>
            <w:tcW w:w="900" w:type="dxa"/>
            <w:tcBorders>
              <w:top w:val="nil"/>
              <w:left w:val="nil"/>
              <w:bottom w:val="single" w:sz="4" w:space="0" w:color="auto"/>
              <w:right w:val="single" w:sz="4" w:space="0" w:color="auto"/>
            </w:tcBorders>
            <w:shd w:val="clear" w:color="auto" w:fill="auto"/>
            <w:vAlign w:val="bottom"/>
            <w:hideMark/>
          </w:tcPr>
          <w:p w:rsidR="006A6B18" w:rsidRPr="004A4F84" w:rsidP="004F45EB" w14:paraId="724F819B" w14:textId="77777777">
            <w:pPr>
              <w:keepNext/>
              <w:keepLines/>
              <w:autoSpaceDE/>
              <w:autoSpaceDN/>
              <w:adjustRightInd/>
              <w:jc w:val="right"/>
              <w:rPr>
                <w:color w:val="000000"/>
              </w:rPr>
            </w:pPr>
            <w:r>
              <w:rPr>
                <w:color w:val="000000"/>
              </w:rPr>
              <w:t>25</w:t>
            </w:r>
          </w:p>
        </w:tc>
        <w:tc>
          <w:tcPr>
            <w:tcW w:w="900" w:type="dxa"/>
            <w:tcBorders>
              <w:top w:val="nil"/>
              <w:left w:val="nil"/>
              <w:bottom w:val="single" w:sz="4" w:space="0" w:color="auto"/>
              <w:right w:val="single" w:sz="4" w:space="0" w:color="auto"/>
            </w:tcBorders>
            <w:shd w:val="clear" w:color="auto" w:fill="auto"/>
            <w:vAlign w:val="bottom"/>
            <w:hideMark/>
          </w:tcPr>
          <w:p w:rsidR="006A6B18" w:rsidRPr="004A4F84" w:rsidP="004F45EB" w14:paraId="6F2C1170" w14:textId="77777777">
            <w:pPr>
              <w:keepNext/>
              <w:keepLines/>
              <w:autoSpaceDE/>
              <w:autoSpaceDN/>
              <w:adjustRightInd/>
              <w:jc w:val="right"/>
              <w:rPr>
                <w:color w:val="000000"/>
              </w:rPr>
            </w:pPr>
            <w:r w:rsidRPr="004A4F84">
              <w:rPr>
                <w:color w:val="000000"/>
              </w:rPr>
              <w:t xml:space="preserve">$0 </w:t>
            </w:r>
          </w:p>
        </w:tc>
        <w:tc>
          <w:tcPr>
            <w:tcW w:w="1006" w:type="dxa"/>
            <w:tcBorders>
              <w:top w:val="nil"/>
              <w:left w:val="nil"/>
              <w:bottom w:val="single" w:sz="4" w:space="0" w:color="auto"/>
              <w:right w:val="single" w:sz="4" w:space="0" w:color="auto"/>
            </w:tcBorders>
            <w:shd w:val="clear" w:color="auto" w:fill="auto"/>
            <w:vAlign w:val="bottom"/>
            <w:hideMark/>
          </w:tcPr>
          <w:p w:rsidR="006A6B18" w:rsidRPr="004A4F84" w:rsidP="004F45EB" w14:paraId="08A5F8E4" w14:textId="7D68D96F">
            <w:pPr>
              <w:keepNext/>
              <w:keepLines/>
              <w:autoSpaceDE/>
              <w:autoSpaceDN/>
              <w:adjustRightInd/>
              <w:jc w:val="right"/>
              <w:rPr>
                <w:color w:val="000000"/>
              </w:rPr>
            </w:pPr>
            <w:r w:rsidRPr="004A4F84">
              <w:rPr>
                <w:color w:val="000000"/>
              </w:rPr>
              <w:t>$</w:t>
            </w:r>
            <w:r w:rsidRPr="00D41EFE" w:rsidR="006B0AC8">
              <w:rPr>
                <w:color w:val="000000"/>
              </w:rPr>
              <w:t>93.70</w:t>
            </w:r>
          </w:p>
        </w:tc>
        <w:tc>
          <w:tcPr>
            <w:tcW w:w="896" w:type="dxa"/>
            <w:tcBorders>
              <w:top w:val="nil"/>
              <w:left w:val="nil"/>
              <w:bottom w:val="single" w:sz="4" w:space="0" w:color="auto"/>
              <w:right w:val="single" w:sz="4" w:space="0" w:color="auto"/>
            </w:tcBorders>
            <w:shd w:val="clear" w:color="auto" w:fill="auto"/>
            <w:vAlign w:val="bottom"/>
            <w:hideMark/>
          </w:tcPr>
          <w:p w:rsidR="006A6B18" w:rsidRPr="004A4F84" w:rsidP="004F45EB" w14:paraId="6249F866" w14:textId="2A7AFD06">
            <w:pPr>
              <w:keepNext/>
              <w:keepLines/>
              <w:autoSpaceDE/>
              <w:autoSpaceDN/>
              <w:adjustRightInd/>
              <w:jc w:val="right"/>
              <w:rPr>
                <w:color w:val="000000"/>
              </w:rPr>
            </w:pPr>
            <w:r w:rsidRPr="004A4F84">
              <w:rPr>
                <w:color w:val="000000"/>
              </w:rPr>
              <w:t>$</w:t>
            </w:r>
            <w:r w:rsidR="00DC098D">
              <w:rPr>
                <w:color w:val="000000"/>
              </w:rPr>
              <w:t>2,</w:t>
            </w:r>
            <w:r w:rsidR="006B0AC8">
              <w:rPr>
                <w:color w:val="000000"/>
              </w:rPr>
              <w:t>343</w:t>
            </w:r>
          </w:p>
        </w:tc>
      </w:tr>
    </w:tbl>
    <w:p w:rsidR="00084C99" w:rsidP="004B2277" w14:paraId="76A41B0D" w14:textId="77777777">
      <w:pPr>
        <w:rPr>
          <w:sz w:val="24"/>
          <w:szCs w:val="24"/>
        </w:rPr>
      </w:pPr>
    </w:p>
    <w:p w:rsidR="000D6530" w:rsidP="004B2277" w14:paraId="10AEC0CE" w14:textId="77777777">
      <w:pPr>
        <w:rPr>
          <w:sz w:val="24"/>
          <w:szCs w:val="24"/>
        </w:rPr>
      </w:pPr>
    </w:p>
    <w:p w:rsidR="000D6530" w:rsidP="004B2277" w14:paraId="1B2754B6" w14:textId="1D0D1A69">
      <w:pPr>
        <w:keepNext/>
        <w:keepLines/>
        <w:rPr>
          <w:b/>
          <w:sz w:val="24"/>
          <w:szCs w:val="24"/>
        </w:rPr>
      </w:pPr>
      <w:r>
        <w:rPr>
          <w:b/>
          <w:sz w:val="24"/>
          <w:szCs w:val="24"/>
        </w:rPr>
        <w:t>Section 174.312:  HHFT information sharing notification for emergency response planning</w:t>
      </w:r>
    </w:p>
    <w:p w:rsidR="006A6B18" w:rsidP="004B2277" w14:paraId="1ABAF541" w14:textId="77777777">
      <w:pPr>
        <w:keepNext/>
        <w:keepLines/>
        <w:rPr>
          <w:b/>
          <w:sz w:val="24"/>
          <w:szCs w:val="24"/>
        </w:rPr>
      </w:pPr>
    </w:p>
    <w:p w:rsidR="00164BC1" w:rsidP="004B2277" w14:paraId="45CB33A6" w14:textId="77777777">
      <w:pPr>
        <w:rPr>
          <w:sz w:val="24"/>
          <w:szCs w:val="24"/>
          <w:u w:val="single"/>
        </w:rPr>
      </w:pPr>
      <w:r>
        <w:rPr>
          <w:sz w:val="24"/>
          <w:szCs w:val="24"/>
          <w:u w:val="single"/>
        </w:rPr>
        <w:t>Notification Plans – Maintenance</w:t>
      </w:r>
    </w:p>
    <w:p w:rsidR="00164BC1" w:rsidP="004B2277" w14:paraId="1F893096" w14:textId="77777777">
      <w:pPr>
        <w:rPr>
          <w:sz w:val="24"/>
          <w:szCs w:val="24"/>
          <w:u w:val="single"/>
        </w:rPr>
      </w:pPr>
    </w:p>
    <w:p w:rsidR="00164BC1" w:rsidP="004B2277" w14:paraId="6D19B6B1" w14:textId="558C8A1C">
      <w:pPr>
        <w:rPr>
          <w:sz w:val="24"/>
          <w:szCs w:val="24"/>
        </w:rPr>
      </w:pPr>
      <w:r>
        <w:rPr>
          <w:rFonts w:eastAsia="Calibri"/>
          <w:sz w:val="24"/>
          <w:szCs w:val="24"/>
        </w:rPr>
        <w:t>Sections 174.312 requires the HHFT notification for SERC, TERC, and other appropriate state-delegated agenc</w:t>
      </w:r>
      <w:r w:rsidR="3B28FAC5">
        <w:rPr>
          <w:rFonts w:eastAsia="Calibri"/>
          <w:sz w:val="24"/>
          <w:szCs w:val="24"/>
        </w:rPr>
        <w:t>ies</w:t>
      </w:r>
      <w:r>
        <w:rPr>
          <w:rFonts w:eastAsia="Calibri"/>
          <w:sz w:val="24"/>
          <w:szCs w:val="24"/>
        </w:rPr>
        <w:t xml:space="preserve">. </w:t>
      </w:r>
      <w:r w:rsidR="00614200">
        <w:rPr>
          <w:rFonts w:eastAsia="Calibri"/>
          <w:sz w:val="24"/>
          <w:szCs w:val="24"/>
        </w:rPr>
        <w:t xml:space="preserve"> </w:t>
      </w:r>
      <w:r>
        <w:rPr>
          <w:rFonts w:eastAsia="Calibri"/>
          <w:sz w:val="24"/>
          <w:szCs w:val="24"/>
        </w:rPr>
        <w:t xml:space="preserve">All railroads subject to the COSRP are subject to maintenance of their reporting. </w:t>
      </w:r>
      <w:r w:rsidR="00614200">
        <w:rPr>
          <w:rFonts w:eastAsia="Calibri"/>
          <w:sz w:val="24"/>
          <w:szCs w:val="24"/>
        </w:rPr>
        <w:t xml:space="preserve"> </w:t>
      </w:r>
      <w:r>
        <w:rPr>
          <w:rFonts w:eastAsia="Calibri"/>
          <w:sz w:val="24"/>
          <w:szCs w:val="24"/>
        </w:rPr>
        <w:t xml:space="preserve">PHMSA estimates there are currently </w:t>
      </w:r>
      <w:r w:rsidRPr="2DA08347" w:rsidR="22E8B35A">
        <w:rPr>
          <w:rFonts w:eastAsia="Calibri"/>
          <w:sz w:val="24"/>
          <w:szCs w:val="24"/>
        </w:rPr>
        <w:t>73 </w:t>
      </w:r>
      <w:r>
        <w:rPr>
          <w:rFonts w:eastAsia="Calibri"/>
          <w:sz w:val="24"/>
          <w:szCs w:val="24"/>
        </w:rPr>
        <w:t xml:space="preserve">railroads subject to this requirement. PHMSA’s historical estimate and economic analysis supports that there are approximately 2.5 notifications per railroad per month, for a total of </w:t>
      </w:r>
      <w:r w:rsidRPr="2DA08347" w:rsidR="22E8B35A">
        <w:rPr>
          <w:rFonts w:eastAsia="Calibri"/>
          <w:sz w:val="24"/>
          <w:szCs w:val="24"/>
        </w:rPr>
        <w:t>2,190</w:t>
      </w:r>
      <w:r w:rsidR="3B28FAC5">
        <w:rPr>
          <w:rFonts w:eastAsia="Calibri"/>
          <w:sz w:val="24"/>
          <w:szCs w:val="24"/>
        </w:rPr>
        <w:t xml:space="preserve"> </w:t>
      </w:r>
      <w:r>
        <w:rPr>
          <w:rFonts w:eastAsia="Calibri"/>
          <w:sz w:val="24"/>
          <w:szCs w:val="24"/>
        </w:rPr>
        <w:t>annual responses (</w:t>
      </w:r>
      <w:r w:rsidRPr="2DA08347" w:rsidR="22E8B35A">
        <w:rPr>
          <w:rFonts w:eastAsia="Calibri"/>
          <w:sz w:val="24"/>
          <w:szCs w:val="24"/>
        </w:rPr>
        <w:t xml:space="preserve">73 </w:t>
      </w:r>
      <w:r>
        <w:rPr>
          <w:rFonts w:eastAsia="Calibri"/>
          <w:sz w:val="24"/>
          <w:szCs w:val="24"/>
        </w:rPr>
        <w:t xml:space="preserve">respondents x 2.5 responses x 12 months). </w:t>
      </w:r>
      <w:r w:rsidR="00614200">
        <w:rPr>
          <w:rFonts w:eastAsia="Calibri"/>
          <w:sz w:val="24"/>
          <w:szCs w:val="24"/>
        </w:rPr>
        <w:t xml:space="preserve"> </w:t>
      </w:r>
      <w:r>
        <w:rPr>
          <w:rFonts w:eastAsia="Calibri"/>
          <w:sz w:val="24"/>
          <w:szCs w:val="24"/>
        </w:rPr>
        <w:t>Furthermore, PHMSA estimates it takes 1 hour for the notification for a total of</w:t>
      </w:r>
      <w:r w:rsidRPr="2DA08347" w:rsidR="22E8B35A">
        <w:rPr>
          <w:rFonts w:eastAsia="Calibri"/>
          <w:sz w:val="24"/>
          <w:szCs w:val="24"/>
        </w:rPr>
        <w:t xml:space="preserve"> 2,190 </w:t>
      </w:r>
      <w:r>
        <w:rPr>
          <w:rFonts w:eastAsia="Calibri"/>
          <w:sz w:val="24"/>
          <w:szCs w:val="24"/>
        </w:rPr>
        <w:t>burden hours (</w:t>
      </w:r>
      <w:r w:rsidRPr="2DA08347" w:rsidR="22E8B35A">
        <w:rPr>
          <w:rFonts w:eastAsia="Calibri"/>
          <w:sz w:val="24"/>
          <w:szCs w:val="24"/>
        </w:rPr>
        <w:t>2,190</w:t>
      </w:r>
      <w:r>
        <w:rPr>
          <w:rFonts w:eastAsia="Calibri"/>
          <w:sz w:val="24"/>
          <w:szCs w:val="24"/>
        </w:rPr>
        <w:t xml:space="preserve"> response x 1 hour). </w:t>
      </w:r>
      <w:r w:rsidR="00614200">
        <w:rPr>
          <w:rFonts w:eastAsia="Calibri"/>
          <w:sz w:val="24"/>
          <w:szCs w:val="24"/>
        </w:rPr>
        <w:t xml:space="preserve"> </w:t>
      </w:r>
      <w:r>
        <w:rPr>
          <w:rFonts w:eastAsia="Calibri"/>
          <w:sz w:val="24"/>
          <w:szCs w:val="24"/>
        </w:rPr>
        <w:t xml:space="preserve">PHMSA does not estimate any out-of-pocket expenses. </w:t>
      </w:r>
      <w:r w:rsidR="00614200">
        <w:rPr>
          <w:rFonts w:eastAsia="Calibri"/>
          <w:sz w:val="24"/>
          <w:szCs w:val="24"/>
        </w:rPr>
        <w:t xml:space="preserve"> </w:t>
      </w:r>
      <w:r>
        <w:rPr>
          <w:sz w:val="24"/>
          <w:szCs w:val="24"/>
        </w:rPr>
        <w:t xml:space="preserve">For the salary of a Senior Management employee of </w:t>
      </w:r>
      <w:r>
        <w:rPr>
          <w:rFonts w:eastAsia="Calibri"/>
          <w:sz w:val="24"/>
          <w:szCs w:val="24"/>
        </w:rPr>
        <w:t>$</w:t>
      </w:r>
      <w:r w:rsidRPr="006B0AC8" w:rsidR="006B0AC8">
        <w:rPr>
          <w:rFonts w:eastAsia="Calibri"/>
          <w:sz w:val="24"/>
          <w:szCs w:val="24"/>
        </w:rPr>
        <w:t>93.70</w:t>
      </w:r>
      <w:r>
        <w:rPr>
          <w:rStyle w:val="FootnoteReference"/>
          <w:rFonts w:eastAsia="Calibri"/>
          <w:sz w:val="24"/>
          <w:szCs w:val="24"/>
        </w:rPr>
        <w:footnoteReference w:id="13"/>
      </w:r>
      <w:r>
        <w:rPr>
          <w:rFonts w:eastAsia="Calibri"/>
          <w:sz w:val="24"/>
          <w:szCs w:val="24"/>
        </w:rPr>
        <w:t xml:space="preserve"> per hour</w:t>
      </w:r>
      <w:r>
        <w:rPr>
          <w:sz w:val="24"/>
          <w:szCs w:val="24"/>
        </w:rPr>
        <w:t xml:space="preserve">, </w:t>
      </w:r>
      <w:r w:rsidRPr="00125E20">
        <w:rPr>
          <w:sz w:val="24"/>
          <w:szCs w:val="24"/>
        </w:rPr>
        <w:t>PHMSA estimates</w:t>
      </w:r>
      <w:r>
        <w:rPr>
          <w:sz w:val="24"/>
          <w:szCs w:val="24"/>
        </w:rPr>
        <w:t xml:space="preserve"> a total salary cost of $</w:t>
      </w:r>
      <w:r w:rsidR="00AC393D">
        <w:rPr>
          <w:sz w:val="24"/>
          <w:szCs w:val="24"/>
        </w:rPr>
        <w:t>199,378</w:t>
      </w:r>
      <w:r>
        <w:rPr>
          <w:sz w:val="24"/>
          <w:szCs w:val="24"/>
        </w:rPr>
        <w:t xml:space="preserve"> (</w:t>
      </w:r>
      <w:r w:rsidRPr="2DA08347" w:rsidR="22E8B35A">
        <w:rPr>
          <w:sz w:val="24"/>
          <w:szCs w:val="24"/>
        </w:rPr>
        <w:t>2,190</w:t>
      </w:r>
      <w:r>
        <w:rPr>
          <w:sz w:val="24"/>
          <w:szCs w:val="24"/>
        </w:rPr>
        <w:t> burden hours x $</w:t>
      </w:r>
      <w:r w:rsidRPr="006B0AC8" w:rsidR="006B0AC8">
        <w:rPr>
          <w:sz w:val="24"/>
          <w:szCs w:val="24"/>
        </w:rPr>
        <w:t>93.70</w:t>
      </w:r>
      <w:r>
        <w:rPr>
          <w:sz w:val="24"/>
          <w:szCs w:val="24"/>
        </w:rPr>
        <w:t>).</w:t>
      </w:r>
    </w:p>
    <w:p w:rsidR="00164BC1" w:rsidP="004B2277" w14:paraId="0E829A17" w14:textId="77777777">
      <w:pPr>
        <w:rPr>
          <w:sz w:val="24"/>
          <w:szCs w:val="24"/>
        </w:rPr>
      </w:pPr>
    </w:p>
    <w:tbl>
      <w:tblPr>
        <w:tblW w:w="10525" w:type="dxa"/>
        <w:jc w:val="center"/>
        <w:tblLayout w:type="fixed"/>
        <w:tblLook w:val="04A0"/>
      </w:tblPr>
      <w:tblGrid>
        <w:gridCol w:w="1525"/>
        <w:gridCol w:w="1350"/>
        <w:gridCol w:w="1530"/>
        <w:gridCol w:w="1170"/>
        <w:gridCol w:w="1080"/>
        <w:gridCol w:w="990"/>
        <w:gridCol w:w="900"/>
        <w:gridCol w:w="990"/>
        <w:gridCol w:w="990"/>
      </w:tblGrid>
      <w:tr w14:paraId="08EFE4A3" w14:textId="77777777" w:rsidTr="004F45EB">
        <w:tblPrEx>
          <w:tblW w:w="10525" w:type="dxa"/>
          <w:jc w:val="center"/>
          <w:tblLayout w:type="fixed"/>
          <w:tblLook w:val="04A0"/>
        </w:tblPrEx>
        <w:trPr>
          <w:trHeight w:val="585"/>
          <w:jc w:val="center"/>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6B18" w:rsidRPr="004A4F84" w:rsidP="004B2277" w14:paraId="435E2C83" w14:textId="49F237DE">
            <w:pPr>
              <w:keepNext/>
              <w:keepLines/>
              <w:autoSpaceDE/>
              <w:autoSpaceDN/>
              <w:adjustRightInd/>
              <w:rPr>
                <w:b/>
                <w:bCs/>
                <w:color w:val="000000"/>
                <w:u w:val="single"/>
              </w:rPr>
            </w:pPr>
            <w:r w:rsidRPr="004A4F84">
              <w:rPr>
                <w:b/>
                <w:bCs/>
                <w:color w:val="000000"/>
                <w:u w:val="single"/>
              </w:rPr>
              <w:t>Maintenance</w:t>
            </w:r>
            <w:r>
              <w:rPr>
                <w:b/>
                <w:bCs/>
                <w:color w:val="000000"/>
                <w:u w:val="single"/>
              </w:rPr>
              <w:t xml:space="preserve"> - § 174.312</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0722ADF0" w14:textId="77777777">
            <w:pPr>
              <w:keepNext/>
              <w:keepLines/>
              <w:autoSpaceDE/>
              <w:autoSpaceDN/>
              <w:adjustRightInd/>
              <w:jc w:val="center"/>
              <w:rPr>
                <w:b/>
                <w:bCs/>
                <w:color w:val="000000"/>
                <w:u w:val="single"/>
              </w:rPr>
            </w:pPr>
            <w:r w:rsidRPr="004A4F84">
              <w:rPr>
                <w:b/>
                <w:bCs/>
                <w:color w:val="000000"/>
                <w:u w:val="single"/>
              </w:rPr>
              <w:t>Respondents</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587792B9" w14:textId="77777777">
            <w:pPr>
              <w:keepNext/>
              <w:keepLines/>
              <w:autoSpaceDE/>
              <w:autoSpaceDN/>
              <w:adjustRightInd/>
              <w:jc w:val="center"/>
              <w:rPr>
                <w:b/>
                <w:bCs/>
                <w:color w:val="000000"/>
                <w:u w:val="single"/>
              </w:rPr>
            </w:pPr>
            <w:r w:rsidRPr="004A4F84">
              <w:rPr>
                <w:b/>
                <w:bCs/>
                <w:color w:val="000000"/>
                <w:u w:val="single"/>
              </w:rPr>
              <w:t>Monthly Responses per Respondent</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7E44A86F" w14:textId="77777777">
            <w:pPr>
              <w:keepNext/>
              <w:keepLines/>
              <w:autoSpaceDE/>
              <w:autoSpaceDN/>
              <w:adjustRightInd/>
              <w:jc w:val="center"/>
              <w:rPr>
                <w:b/>
                <w:bCs/>
                <w:color w:val="000000"/>
                <w:u w:val="single"/>
              </w:rPr>
            </w:pPr>
            <w:r w:rsidRPr="004A4F84">
              <w:rPr>
                <w:b/>
                <w:bCs/>
                <w:color w:val="000000"/>
                <w:u w:val="single"/>
              </w:rPr>
              <w:t>Annual Responses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2AFE9360" w14:textId="77777777">
            <w:pPr>
              <w:keepNext/>
              <w:keepLines/>
              <w:autoSpaceDE/>
              <w:autoSpaceDN/>
              <w:adjustRightInd/>
              <w:jc w:val="center"/>
              <w:rPr>
                <w:b/>
                <w:bCs/>
                <w:color w:val="000000"/>
                <w:u w:val="single"/>
              </w:rPr>
            </w:pPr>
            <w:r w:rsidRPr="004A4F84">
              <w:rPr>
                <w:b/>
                <w:bCs/>
                <w:color w:val="000000"/>
                <w:u w:val="single"/>
              </w:rPr>
              <w:t>Hours per Response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036896D5" w14:textId="77777777">
            <w:pPr>
              <w:keepNext/>
              <w:keepLines/>
              <w:autoSpaceDE/>
              <w:autoSpaceDN/>
              <w:adjustRightInd/>
              <w:jc w:val="center"/>
              <w:rPr>
                <w:b/>
                <w:bCs/>
                <w:color w:val="000000"/>
                <w:u w:val="single"/>
              </w:rPr>
            </w:pPr>
            <w:r w:rsidRPr="004A4F84">
              <w:rPr>
                <w:b/>
                <w:bCs/>
                <w:color w:val="000000"/>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5E6F0B65" w14:textId="77777777">
            <w:pPr>
              <w:keepNext/>
              <w:keepLines/>
              <w:autoSpaceDE/>
              <w:autoSpaceDN/>
              <w:adjustRightInd/>
              <w:jc w:val="center"/>
              <w:rPr>
                <w:b/>
                <w:bCs/>
                <w:color w:val="000000"/>
                <w:u w:val="single"/>
              </w:rPr>
            </w:pPr>
            <w:r w:rsidRPr="004A4F84">
              <w:rPr>
                <w:b/>
                <w:bCs/>
                <w:color w:val="000000"/>
                <w:u w:val="single"/>
              </w:rPr>
              <w:t>Burden Cost</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65150D5D" w14:textId="77777777">
            <w:pPr>
              <w:keepNext/>
              <w:keepLines/>
              <w:autoSpaceDE/>
              <w:autoSpaceDN/>
              <w:adjustRightInd/>
              <w:jc w:val="center"/>
              <w:rPr>
                <w:b/>
                <w:bCs/>
                <w:color w:val="000000"/>
                <w:u w:val="single"/>
              </w:rPr>
            </w:pPr>
            <w:r w:rsidRPr="004A4F84">
              <w:rPr>
                <w:b/>
                <w:bCs/>
                <w:color w:val="000000"/>
                <w:u w:val="single"/>
              </w:rPr>
              <w:t>Salary Cost per Hour</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73AE834C" w14:textId="77777777">
            <w:pPr>
              <w:keepNext/>
              <w:keepLines/>
              <w:autoSpaceDE/>
              <w:autoSpaceDN/>
              <w:adjustRightInd/>
              <w:jc w:val="center"/>
              <w:rPr>
                <w:b/>
                <w:bCs/>
                <w:color w:val="000000"/>
                <w:u w:val="single"/>
              </w:rPr>
            </w:pPr>
            <w:r w:rsidRPr="004A4F84">
              <w:rPr>
                <w:b/>
                <w:bCs/>
                <w:color w:val="000000"/>
                <w:u w:val="single"/>
              </w:rPr>
              <w:t>Total Salary Cost</w:t>
            </w:r>
          </w:p>
        </w:tc>
      </w:tr>
      <w:tr w14:paraId="5677A21A" w14:textId="77777777" w:rsidTr="004F45EB">
        <w:tblPrEx>
          <w:tblW w:w="10525" w:type="dxa"/>
          <w:jc w:val="center"/>
          <w:tblLayout w:type="fixed"/>
          <w:tblLook w:val="04A0"/>
        </w:tblPrEx>
        <w:trPr>
          <w:trHeight w:val="60"/>
          <w:jc w:val="center"/>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6A6B18" w:rsidRPr="004A4F84" w:rsidP="004B2277" w14:paraId="7622F596" w14:textId="52020999">
            <w:pPr>
              <w:keepNext/>
              <w:keepLines/>
              <w:autoSpaceDE/>
              <w:autoSpaceDN/>
              <w:adjustRightInd/>
              <w:rPr>
                <w:color w:val="000000"/>
              </w:rPr>
            </w:pPr>
            <w:r>
              <w:rPr>
                <w:color w:val="000000"/>
              </w:rPr>
              <w:t>Reporting</w:t>
            </w:r>
          </w:p>
        </w:tc>
        <w:tc>
          <w:tcPr>
            <w:tcW w:w="1350" w:type="dxa"/>
            <w:tcBorders>
              <w:top w:val="nil"/>
              <w:left w:val="nil"/>
              <w:bottom w:val="single" w:sz="4" w:space="0" w:color="auto"/>
              <w:right w:val="single" w:sz="4" w:space="0" w:color="auto"/>
            </w:tcBorders>
            <w:shd w:val="clear" w:color="auto" w:fill="auto"/>
            <w:vAlign w:val="bottom"/>
            <w:hideMark/>
          </w:tcPr>
          <w:p w:rsidR="006A6B18" w:rsidRPr="004A4F84" w:rsidP="004B2277" w14:paraId="16494FB0" w14:textId="33371D5B">
            <w:pPr>
              <w:keepNext/>
              <w:keepLines/>
              <w:autoSpaceDE/>
              <w:autoSpaceDN/>
              <w:adjustRightInd/>
              <w:jc w:val="right"/>
              <w:rPr>
                <w:color w:val="000000"/>
              </w:rPr>
            </w:pPr>
            <w:r>
              <w:rPr>
                <w:color w:val="000000"/>
              </w:rPr>
              <w:t>73</w:t>
            </w:r>
          </w:p>
        </w:tc>
        <w:tc>
          <w:tcPr>
            <w:tcW w:w="1530" w:type="dxa"/>
            <w:tcBorders>
              <w:top w:val="nil"/>
              <w:left w:val="nil"/>
              <w:bottom w:val="single" w:sz="4" w:space="0" w:color="auto"/>
              <w:right w:val="single" w:sz="4" w:space="0" w:color="auto"/>
            </w:tcBorders>
            <w:shd w:val="clear" w:color="auto" w:fill="auto"/>
            <w:vAlign w:val="bottom"/>
            <w:hideMark/>
          </w:tcPr>
          <w:p w:rsidR="006A6B18" w:rsidRPr="004A4F84" w:rsidP="004B2277" w14:paraId="1582CD3C" w14:textId="77777777">
            <w:pPr>
              <w:keepNext/>
              <w:keepLines/>
              <w:autoSpaceDE/>
              <w:autoSpaceDN/>
              <w:adjustRightInd/>
              <w:jc w:val="right"/>
              <w:rPr>
                <w:color w:val="000000"/>
              </w:rPr>
            </w:pPr>
            <w:r w:rsidRPr="004A4F84">
              <w:rPr>
                <w:color w:val="000000"/>
              </w:rPr>
              <w:t>2.5</w:t>
            </w:r>
          </w:p>
        </w:tc>
        <w:tc>
          <w:tcPr>
            <w:tcW w:w="1170" w:type="dxa"/>
            <w:tcBorders>
              <w:top w:val="nil"/>
              <w:left w:val="nil"/>
              <w:bottom w:val="single" w:sz="4" w:space="0" w:color="auto"/>
              <w:right w:val="single" w:sz="4" w:space="0" w:color="auto"/>
            </w:tcBorders>
            <w:shd w:val="clear" w:color="auto" w:fill="auto"/>
            <w:vAlign w:val="bottom"/>
            <w:hideMark/>
          </w:tcPr>
          <w:p w:rsidR="006A6B18" w:rsidRPr="004A4F84" w:rsidP="004B2277" w14:paraId="56083669" w14:textId="646DFFAD">
            <w:pPr>
              <w:keepNext/>
              <w:keepLines/>
              <w:autoSpaceDE/>
              <w:autoSpaceDN/>
              <w:adjustRightInd/>
              <w:jc w:val="right"/>
              <w:rPr>
                <w:color w:val="000000"/>
              </w:rPr>
            </w:pPr>
            <w:r>
              <w:rPr>
                <w:color w:val="000000"/>
              </w:rPr>
              <w:t>2,190</w:t>
            </w:r>
          </w:p>
        </w:tc>
        <w:tc>
          <w:tcPr>
            <w:tcW w:w="1080" w:type="dxa"/>
            <w:tcBorders>
              <w:top w:val="nil"/>
              <w:left w:val="nil"/>
              <w:bottom w:val="single" w:sz="4" w:space="0" w:color="auto"/>
              <w:right w:val="single" w:sz="4" w:space="0" w:color="auto"/>
            </w:tcBorders>
            <w:shd w:val="clear" w:color="auto" w:fill="auto"/>
            <w:vAlign w:val="bottom"/>
            <w:hideMark/>
          </w:tcPr>
          <w:p w:rsidR="006A6B18" w:rsidRPr="004A4F84" w:rsidP="004B2277" w14:paraId="141C3C27" w14:textId="77777777">
            <w:pPr>
              <w:keepNext/>
              <w:keepLines/>
              <w:autoSpaceDE/>
              <w:autoSpaceDN/>
              <w:adjustRightInd/>
              <w:jc w:val="right"/>
              <w:rPr>
                <w:color w:val="000000"/>
              </w:rPr>
            </w:pPr>
            <w:r w:rsidRPr="004A4F84">
              <w:rPr>
                <w:color w:val="000000"/>
              </w:rPr>
              <w:t>1</w:t>
            </w:r>
          </w:p>
        </w:tc>
        <w:tc>
          <w:tcPr>
            <w:tcW w:w="990" w:type="dxa"/>
            <w:tcBorders>
              <w:top w:val="nil"/>
              <w:left w:val="nil"/>
              <w:bottom w:val="single" w:sz="4" w:space="0" w:color="auto"/>
              <w:right w:val="single" w:sz="4" w:space="0" w:color="auto"/>
            </w:tcBorders>
            <w:shd w:val="clear" w:color="auto" w:fill="auto"/>
            <w:vAlign w:val="bottom"/>
            <w:hideMark/>
          </w:tcPr>
          <w:p w:rsidR="006A6B18" w:rsidRPr="004A4F84" w:rsidP="004B2277" w14:paraId="1A3C6E20" w14:textId="6AF684F5">
            <w:pPr>
              <w:keepNext/>
              <w:keepLines/>
              <w:autoSpaceDE/>
              <w:autoSpaceDN/>
              <w:adjustRightInd/>
              <w:jc w:val="right"/>
              <w:rPr>
                <w:color w:val="000000"/>
              </w:rPr>
            </w:pPr>
            <w:r>
              <w:rPr>
                <w:color w:val="000000"/>
              </w:rPr>
              <w:t>2,190</w:t>
            </w:r>
          </w:p>
        </w:tc>
        <w:tc>
          <w:tcPr>
            <w:tcW w:w="900" w:type="dxa"/>
            <w:tcBorders>
              <w:top w:val="nil"/>
              <w:left w:val="nil"/>
              <w:bottom w:val="single" w:sz="4" w:space="0" w:color="auto"/>
              <w:right w:val="single" w:sz="4" w:space="0" w:color="auto"/>
            </w:tcBorders>
            <w:shd w:val="clear" w:color="auto" w:fill="auto"/>
            <w:vAlign w:val="bottom"/>
            <w:hideMark/>
          </w:tcPr>
          <w:p w:rsidR="006A6B18" w:rsidRPr="004A4F84" w:rsidP="004B2277" w14:paraId="1B597FD1" w14:textId="77777777">
            <w:pPr>
              <w:keepNext/>
              <w:keepLines/>
              <w:autoSpaceDE/>
              <w:autoSpaceDN/>
              <w:adjustRightInd/>
              <w:jc w:val="right"/>
              <w:rPr>
                <w:color w:val="000000"/>
              </w:rPr>
            </w:pPr>
            <w:r w:rsidRPr="004A4F84">
              <w:rPr>
                <w:color w:val="000000"/>
              </w:rPr>
              <w:t xml:space="preserve">$0 </w:t>
            </w:r>
          </w:p>
        </w:tc>
        <w:tc>
          <w:tcPr>
            <w:tcW w:w="990" w:type="dxa"/>
            <w:tcBorders>
              <w:top w:val="nil"/>
              <w:left w:val="nil"/>
              <w:bottom w:val="single" w:sz="4" w:space="0" w:color="auto"/>
              <w:right w:val="single" w:sz="4" w:space="0" w:color="auto"/>
            </w:tcBorders>
            <w:shd w:val="clear" w:color="auto" w:fill="auto"/>
            <w:vAlign w:val="bottom"/>
            <w:hideMark/>
          </w:tcPr>
          <w:p w:rsidR="006A6B18" w:rsidRPr="004A4F84" w:rsidP="004B2277" w14:paraId="5389459F" w14:textId="0757473F">
            <w:pPr>
              <w:keepNext/>
              <w:keepLines/>
              <w:autoSpaceDE/>
              <w:autoSpaceDN/>
              <w:adjustRightInd/>
              <w:jc w:val="right"/>
              <w:rPr>
                <w:color w:val="000000"/>
              </w:rPr>
            </w:pPr>
            <w:r w:rsidRPr="004A4F84">
              <w:rPr>
                <w:color w:val="000000"/>
              </w:rPr>
              <w:t>$</w:t>
            </w:r>
            <w:r w:rsidRPr="00D41EFE" w:rsidR="006B0AC8">
              <w:rPr>
                <w:color w:val="000000"/>
              </w:rPr>
              <w:t>93.70</w:t>
            </w:r>
          </w:p>
        </w:tc>
        <w:tc>
          <w:tcPr>
            <w:tcW w:w="990" w:type="dxa"/>
            <w:tcBorders>
              <w:top w:val="nil"/>
              <w:left w:val="nil"/>
              <w:bottom w:val="single" w:sz="4" w:space="0" w:color="auto"/>
              <w:right w:val="single" w:sz="4" w:space="0" w:color="auto"/>
            </w:tcBorders>
            <w:shd w:val="clear" w:color="auto" w:fill="auto"/>
            <w:vAlign w:val="bottom"/>
            <w:hideMark/>
          </w:tcPr>
          <w:p w:rsidR="006A6B18" w:rsidRPr="004A4F84" w:rsidP="004B2277" w14:paraId="5440D6A7" w14:textId="6658C100">
            <w:pPr>
              <w:keepNext/>
              <w:keepLines/>
              <w:autoSpaceDE/>
              <w:autoSpaceDN/>
              <w:adjustRightInd/>
              <w:jc w:val="right"/>
              <w:rPr>
                <w:color w:val="000000"/>
              </w:rPr>
            </w:pPr>
            <w:r w:rsidRPr="004A4F84">
              <w:rPr>
                <w:color w:val="000000"/>
              </w:rPr>
              <w:t>$</w:t>
            </w:r>
            <w:r w:rsidR="0086587C">
              <w:rPr>
                <w:color w:val="000000"/>
              </w:rPr>
              <w:t>205,203</w:t>
            </w:r>
          </w:p>
        </w:tc>
      </w:tr>
    </w:tbl>
    <w:p w:rsidR="00164BC1" w:rsidP="004B2277" w14:paraId="4692ACB1" w14:textId="77777777">
      <w:pPr>
        <w:rPr>
          <w:sz w:val="24"/>
          <w:szCs w:val="24"/>
        </w:rPr>
      </w:pPr>
    </w:p>
    <w:p w:rsidR="000E6FB4" w:rsidP="004F45EB" w14:paraId="03F7D5B3" w14:textId="77777777">
      <w:pPr>
        <w:keepNext/>
        <w:keepLines/>
        <w:rPr>
          <w:sz w:val="24"/>
          <w:szCs w:val="24"/>
          <w:u w:val="single"/>
        </w:rPr>
      </w:pPr>
      <w:r>
        <w:rPr>
          <w:sz w:val="24"/>
          <w:szCs w:val="24"/>
          <w:u w:val="single"/>
        </w:rPr>
        <w:t>Notification Plans – DOT Request</w:t>
      </w:r>
    </w:p>
    <w:p w:rsidR="000E6FB4" w:rsidP="004B2277" w14:paraId="55CDEDDF" w14:textId="77777777">
      <w:pPr>
        <w:rPr>
          <w:sz w:val="24"/>
          <w:szCs w:val="24"/>
          <w:u w:val="single"/>
        </w:rPr>
      </w:pPr>
    </w:p>
    <w:p w:rsidR="000E6FB4" w:rsidP="004B2277" w14:paraId="582B668B" w14:textId="5CBEDDF0">
      <w:pPr>
        <w:rPr>
          <w:sz w:val="24"/>
          <w:szCs w:val="24"/>
        </w:rPr>
      </w:pPr>
      <w:r>
        <w:rPr>
          <w:rFonts w:eastAsia="Calibri"/>
          <w:sz w:val="24"/>
          <w:szCs w:val="24"/>
        </w:rPr>
        <w:t xml:space="preserve">Sections 174.312 requires </w:t>
      </w:r>
      <w:r w:rsidR="6D8C1083">
        <w:rPr>
          <w:rFonts w:eastAsia="Calibri"/>
          <w:sz w:val="24"/>
          <w:szCs w:val="24"/>
        </w:rPr>
        <w:t>that</w:t>
      </w:r>
      <w:r>
        <w:rPr>
          <w:rFonts w:eastAsia="Calibri"/>
          <w:sz w:val="24"/>
          <w:szCs w:val="24"/>
        </w:rPr>
        <w:t xml:space="preserve"> copies of the HHFT notification for SERC, TERC, and other appropriate state-delegated agenc</w:t>
      </w:r>
      <w:r w:rsidR="3B28FAC5">
        <w:rPr>
          <w:rFonts w:eastAsia="Calibri"/>
          <w:sz w:val="24"/>
          <w:szCs w:val="24"/>
        </w:rPr>
        <w:t>ies</w:t>
      </w:r>
      <w:r>
        <w:rPr>
          <w:rFonts w:eastAsia="Calibri"/>
          <w:sz w:val="24"/>
          <w:szCs w:val="24"/>
        </w:rPr>
        <w:t xml:space="preserve"> be made available to the Department of Transportation upon request. </w:t>
      </w:r>
      <w:r w:rsidR="00614200">
        <w:rPr>
          <w:rFonts w:eastAsia="Calibri"/>
          <w:sz w:val="24"/>
          <w:szCs w:val="24"/>
        </w:rPr>
        <w:t xml:space="preserve"> </w:t>
      </w:r>
      <w:r>
        <w:rPr>
          <w:rFonts w:eastAsia="Calibri"/>
          <w:sz w:val="24"/>
          <w:szCs w:val="24"/>
        </w:rPr>
        <w:t xml:space="preserve">PHMSA estimates there are currently </w:t>
      </w:r>
      <w:r w:rsidR="22E8B35A">
        <w:rPr>
          <w:rFonts w:eastAsia="Calibri"/>
          <w:sz w:val="24"/>
          <w:szCs w:val="24"/>
        </w:rPr>
        <w:t>73 </w:t>
      </w:r>
      <w:r>
        <w:rPr>
          <w:rFonts w:eastAsia="Calibri"/>
          <w:sz w:val="24"/>
          <w:szCs w:val="24"/>
        </w:rPr>
        <w:t xml:space="preserve">railroads subject to this requirement. </w:t>
      </w:r>
      <w:r w:rsidR="00614200">
        <w:rPr>
          <w:rFonts w:eastAsia="Calibri"/>
          <w:sz w:val="24"/>
          <w:szCs w:val="24"/>
        </w:rPr>
        <w:t xml:space="preserve"> </w:t>
      </w:r>
      <w:r>
        <w:rPr>
          <w:rFonts w:eastAsia="Calibri"/>
          <w:sz w:val="24"/>
          <w:szCs w:val="24"/>
        </w:rPr>
        <w:t>PHMSA’s historical estimate and economic analysis supports that there are approximately 0.</w:t>
      </w:r>
      <w:r w:rsidR="22E8B35A">
        <w:rPr>
          <w:rFonts w:eastAsia="Calibri"/>
          <w:sz w:val="24"/>
          <w:szCs w:val="24"/>
        </w:rPr>
        <w:t>21 </w:t>
      </w:r>
      <w:r>
        <w:rPr>
          <w:rFonts w:eastAsia="Calibri"/>
          <w:sz w:val="24"/>
          <w:szCs w:val="24"/>
        </w:rPr>
        <w:t>notification per railroad per year for this request (8.33</w:t>
      </w:r>
      <w:r w:rsidR="3B28FAC5">
        <w:rPr>
          <w:rFonts w:eastAsia="Calibri"/>
          <w:sz w:val="24"/>
          <w:szCs w:val="24"/>
        </w:rPr>
        <w:t> </w:t>
      </w:r>
      <w:r>
        <w:rPr>
          <w:rFonts w:eastAsia="Calibri"/>
          <w:sz w:val="24"/>
          <w:szCs w:val="24"/>
        </w:rPr>
        <w:t xml:space="preserve">percent x 2.5 notifications) for a total </w:t>
      </w:r>
      <w:r w:rsidR="22E8B35A">
        <w:rPr>
          <w:rFonts w:eastAsia="Calibri"/>
          <w:sz w:val="24"/>
          <w:szCs w:val="24"/>
        </w:rPr>
        <w:t>15.33</w:t>
      </w:r>
      <w:r>
        <w:rPr>
          <w:rFonts w:eastAsia="Calibri"/>
          <w:sz w:val="24"/>
          <w:szCs w:val="24"/>
        </w:rPr>
        <w:t> annual responses (</w:t>
      </w:r>
      <w:r w:rsidR="22E8B35A">
        <w:rPr>
          <w:rFonts w:eastAsia="Calibri"/>
          <w:sz w:val="24"/>
          <w:szCs w:val="24"/>
        </w:rPr>
        <w:t xml:space="preserve">73 </w:t>
      </w:r>
      <w:r>
        <w:rPr>
          <w:rFonts w:eastAsia="Calibri"/>
          <w:sz w:val="24"/>
          <w:szCs w:val="24"/>
        </w:rPr>
        <w:t xml:space="preserve">respondents x 0.21 annual responses). </w:t>
      </w:r>
      <w:r w:rsidR="00614200">
        <w:rPr>
          <w:rFonts w:eastAsia="Calibri"/>
          <w:sz w:val="24"/>
          <w:szCs w:val="24"/>
        </w:rPr>
        <w:t xml:space="preserve"> </w:t>
      </w:r>
      <w:r>
        <w:rPr>
          <w:rFonts w:eastAsia="Calibri"/>
          <w:sz w:val="24"/>
          <w:szCs w:val="24"/>
        </w:rPr>
        <w:t xml:space="preserve">Furthermore, PHMSA estimates it takes 1 hour for the notification for </w:t>
      </w:r>
      <w:r w:rsidR="22E8B35A">
        <w:rPr>
          <w:rFonts w:eastAsia="Calibri"/>
          <w:sz w:val="24"/>
          <w:szCs w:val="24"/>
        </w:rPr>
        <w:t>approximately</w:t>
      </w:r>
      <w:r>
        <w:rPr>
          <w:rFonts w:eastAsia="Calibri"/>
          <w:sz w:val="24"/>
          <w:szCs w:val="24"/>
        </w:rPr>
        <w:t xml:space="preserve"> </w:t>
      </w:r>
      <w:r w:rsidR="22E8B35A">
        <w:rPr>
          <w:rFonts w:eastAsia="Calibri"/>
          <w:sz w:val="24"/>
          <w:szCs w:val="24"/>
        </w:rPr>
        <w:t>15 </w:t>
      </w:r>
      <w:r>
        <w:rPr>
          <w:rFonts w:eastAsia="Calibri"/>
          <w:sz w:val="24"/>
          <w:szCs w:val="24"/>
        </w:rPr>
        <w:t>burden hours (</w:t>
      </w:r>
      <w:r w:rsidR="22E8B35A">
        <w:rPr>
          <w:rFonts w:eastAsia="Calibri"/>
          <w:sz w:val="24"/>
          <w:szCs w:val="24"/>
        </w:rPr>
        <w:t>15.33</w:t>
      </w:r>
      <w:r>
        <w:rPr>
          <w:rFonts w:eastAsia="Calibri"/>
          <w:sz w:val="24"/>
          <w:szCs w:val="24"/>
        </w:rPr>
        <w:t xml:space="preserve"> responses x 1 hour). </w:t>
      </w:r>
      <w:r w:rsidR="00614200">
        <w:rPr>
          <w:rFonts w:eastAsia="Calibri"/>
          <w:sz w:val="24"/>
          <w:szCs w:val="24"/>
        </w:rPr>
        <w:t xml:space="preserve"> </w:t>
      </w:r>
      <w:r>
        <w:rPr>
          <w:rFonts w:eastAsia="Calibri"/>
          <w:sz w:val="24"/>
          <w:szCs w:val="24"/>
        </w:rPr>
        <w:t xml:space="preserve">PHMSA does not estimate any out-of-pocket expenses. </w:t>
      </w:r>
      <w:r w:rsidR="00614200">
        <w:rPr>
          <w:rFonts w:eastAsia="Calibri"/>
          <w:sz w:val="24"/>
          <w:szCs w:val="24"/>
        </w:rPr>
        <w:t xml:space="preserve"> </w:t>
      </w:r>
      <w:r>
        <w:rPr>
          <w:sz w:val="24"/>
          <w:szCs w:val="24"/>
        </w:rPr>
        <w:t xml:space="preserve">For the salary of a Senior Management employee of </w:t>
      </w:r>
      <w:r>
        <w:rPr>
          <w:rFonts w:eastAsia="Calibri"/>
          <w:sz w:val="24"/>
          <w:szCs w:val="24"/>
        </w:rPr>
        <w:t>$</w:t>
      </w:r>
      <w:r w:rsidR="00FD49F3">
        <w:rPr>
          <w:rFonts w:eastAsia="Calibri"/>
          <w:sz w:val="24"/>
          <w:szCs w:val="24"/>
        </w:rPr>
        <w:t>91.04</w:t>
      </w:r>
      <w:r>
        <w:rPr>
          <w:rStyle w:val="FootnoteReference"/>
          <w:rFonts w:eastAsia="Calibri"/>
          <w:sz w:val="24"/>
          <w:szCs w:val="24"/>
        </w:rPr>
        <w:footnoteReference w:id="14"/>
      </w:r>
      <w:r>
        <w:rPr>
          <w:rFonts w:eastAsia="Calibri"/>
          <w:sz w:val="24"/>
          <w:szCs w:val="24"/>
        </w:rPr>
        <w:t xml:space="preserve"> per hour</w:t>
      </w:r>
      <w:r>
        <w:rPr>
          <w:sz w:val="24"/>
          <w:szCs w:val="24"/>
        </w:rPr>
        <w:t xml:space="preserve">, </w:t>
      </w:r>
      <w:r w:rsidRPr="00125E20">
        <w:rPr>
          <w:sz w:val="24"/>
          <w:szCs w:val="24"/>
        </w:rPr>
        <w:t>PHMSA estimates</w:t>
      </w:r>
      <w:r>
        <w:rPr>
          <w:sz w:val="24"/>
          <w:szCs w:val="24"/>
        </w:rPr>
        <w:t xml:space="preserve"> a total salary cost of $</w:t>
      </w:r>
      <w:r w:rsidR="001D722C">
        <w:rPr>
          <w:sz w:val="24"/>
          <w:szCs w:val="24"/>
        </w:rPr>
        <w:t>1,396</w:t>
      </w:r>
      <w:r>
        <w:rPr>
          <w:sz w:val="24"/>
          <w:szCs w:val="24"/>
        </w:rPr>
        <w:t xml:space="preserve"> (</w:t>
      </w:r>
      <w:r w:rsidR="22E8B35A">
        <w:rPr>
          <w:sz w:val="24"/>
          <w:szCs w:val="24"/>
        </w:rPr>
        <w:t>15</w:t>
      </w:r>
      <w:r w:rsidR="00C906A9">
        <w:rPr>
          <w:sz w:val="24"/>
          <w:szCs w:val="24"/>
        </w:rPr>
        <w:t>.33</w:t>
      </w:r>
      <w:r>
        <w:rPr>
          <w:sz w:val="24"/>
          <w:szCs w:val="24"/>
        </w:rPr>
        <w:t> burden hours x $</w:t>
      </w:r>
      <w:r w:rsidR="00FD49F3">
        <w:rPr>
          <w:sz w:val="24"/>
          <w:szCs w:val="24"/>
        </w:rPr>
        <w:t>91.04</w:t>
      </w:r>
      <w:r>
        <w:rPr>
          <w:sz w:val="24"/>
          <w:szCs w:val="24"/>
        </w:rPr>
        <w:t>).</w:t>
      </w:r>
    </w:p>
    <w:p w:rsidR="000E6FB4" w:rsidP="004B2277" w14:paraId="1409B6DE" w14:textId="77777777">
      <w:pPr>
        <w:rPr>
          <w:sz w:val="24"/>
          <w:szCs w:val="24"/>
        </w:rPr>
      </w:pPr>
    </w:p>
    <w:tbl>
      <w:tblPr>
        <w:tblW w:w="10260" w:type="dxa"/>
        <w:jc w:val="center"/>
        <w:tblLayout w:type="fixed"/>
        <w:tblLook w:val="04A0"/>
      </w:tblPr>
      <w:tblGrid>
        <w:gridCol w:w="1535"/>
        <w:gridCol w:w="1390"/>
        <w:gridCol w:w="1440"/>
        <w:gridCol w:w="1170"/>
        <w:gridCol w:w="1080"/>
        <w:gridCol w:w="900"/>
        <w:gridCol w:w="900"/>
        <w:gridCol w:w="1033"/>
        <w:gridCol w:w="812"/>
      </w:tblGrid>
      <w:tr w14:paraId="2FD9F6C9" w14:textId="77777777" w:rsidTr="004F45EB">
        <w:tblPrEx>
          <w:tblW w:w="10260" w:type="dxa"/>
          <w:jc w:val="center"/>
          <w:tblLayout w:type="fixed"/>
          <w:tblLook w:val="04A0"/>
        </w:tblPrEx>
        <w:trPr>
          <w:trHeight w:val="530"/>
          <w:jc w:val="center"/>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6B18" w:rsidRPr="004A4F84" w:rsidP="004B2277" w14:paraId="53B92A5B" w14:textId="1AFF14A4">
            <w:pPr>
              <w:autoSpaceDE/>
              <w:autoSpaceDN/>
              <w:adjustRightInd/>
              <w:rPr>
                <w:b/>
                <w:bCs/>
                <w:color w:val="000000"/>
                <w:u w:val="single"/>
              </w:rPr>
            </w:pPr>
            <w:r w:rsidRPr="004A4F84">
              <w:rPr>
                <w:b/>
                <w:bCs/>
                <w:color w:val="000000"/>
                <w:u w:val="single"/>
              </w:rPr>
              <w:t>DOT Request</w:t>
            </w:r>
            <w:r>
              <w:rPr>
                <w:b/>
                <w:bCs/>
                <w:color w:val="000000"/>
                <w:u w:val="single"/>
              </w:rPr>
              <w:t xml:space="preserve"> - § 174.312</w:t>
            </w:r>
          </w:p>
        </w:tc>
        <w:tc>
          <w:tcPr>
            <w:tcW w:w="139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27A03A7B" w14:textId="77777777">
            <w:pPr>
              <w:autoSpaceDE/>
              <w:autoSpaceDN/>
              <w:adjustRightInd/>
              <w:jc w:val="center"/>
              <w:rPr>
                <w:b/>
                <w:bCs/>
                <w:color w:val="000000"/>
                <w:u w:val="single"/>
              </w:rPr>
            </w:pPr>
            <w:r w:rsidRPr="004A4F84">
              <w:rPr>
                <w:b/>
                <w:bCs/>
                <w:color w:val="000000"/>
                <w:u w:val="single"/>
              </w:rPr>
              <w:t>Respondents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48F040F9" w14:textId="77777777">
            <w:pPr>
              <w:autoSpaceDE/>
              <w:autoSpaceDN/>
              <w:adjustRightInd/>
              <w:jc w:val="center"/>
              <w:rPr>
                <w:b/>
                <w:bCs/>
                <w:color w:val="000000"/>
                <w:u w:val="single"/>
              </w:rPr>
            </w:pPr>
            <w:r w:rsidRPr="004A4F84">
              <w:rPr>
                <w:b/>
                <w:bCs/>
                <w:color w:val="000000"/>
                <w:u w:val="single"/>
              </w:rPr>
              <w:t>Annual Responses per Respondent</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43F96FF4" w14:textId="77777777">
            <w:pPr>
              <w:autoSpaceDE/>
              <w:autoSpaceDN/>
              <w:adjustRightInd/>
              <w:jc w:val="center"/>
              <w:rPr>
                <w:b/>
                <w:bCs/>
                <w:color w:val="000000"/>
                <w:u w:val="single"/>
              </w:rPr>
            </w:pPr>
            <w:r w:rsidRPr="004A4F84">
              <w:rPr>
                <w:b/>
                <w:bCs/>
                <w:color w:val="000000"/>
                <w:u w:val="single"/>
              </w:rPr>
              <w:t>Annual Responses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5348BD8E" w14:textId="77777777">
            <w:pPr>
              <w:autoSpaceDE/>
              <w:autoSpaceDN/>
              <w:adjustRightInd/>
              <w:jc w:val="center"/>
              <w:rPr>
                <w:b/>
                <w:bCs/>
                <w:color w:val="000000"/>
                <w:u w:val="single"/>
              </w:rPr>
            </w:pPr>
            <w:r w:rsidRPr="004A4F84">
              <w:rPr>
                <w:b/>
                <w:bCs/>
                <w:color w:val="000000"/>
                <w:u w:val="single"/>
              </w:rPr>
              <w:t>Hours per Response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289CC93A" w14:textId="77777777">
            <w:pPr>
              <w:autoSpaceDE/>
              <w:autoSpaceDN/>
              <w:adjustRightInd/>
              <w:jc w:val="center"/>
              <w:rPr>
                <w:b/>
                <w:bCs/>
                <w:color w:val="000000"/>
                <w:u w:val="single"/>
              </w:rPr>
            </w:pPr>
            <w:r w:rsidRPr="004A4F84">
              <w:rPr>
                <w:b/>
                <w:bCs/>
                <w:color w:val="000000"/>
                <w:u w:val="single"/>
              </w:rPr>
              <w:t>Total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21E08B57" w14:textId="77777777">
            <w:pPr>
              <w:autoSpaceDE/>
              <w:autoSpaceDN/>
              <w:adjustRightInd/>
              <w:jc w:val="center"/>
              <w:rPr>
                <w:b/>
                <w:bCs/>
                <w:color w:val="000000"/>
                <w:u w:val="single"/>
              </w:rPr>
            </w:pPr>
            <w:r w:rsidRPr="004A4F84">
              <w:rPr>
                <w:b/>
                <w:bCs/>
                <w:color w:val="000000"/>
                <w:u w:val="single"/>
              </w:rPr>
              <w:t>Burden Cost</w:t>
            </w:r>
          </w:p>
        </w:tc>
        <w:tc>
          <w:tcPr>
            <w:tcW w:w="1033"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3E4E5735" w14:textId="77777777">
            <w:pPr>
              <w:autoSpaceDE/>
              <w:autoSpaceDN/>
              <w:adjustRightInd/>
              <w:jc w:val="center"/>
              <w:rPr>
                <w:b/>
                <w:bCs/>
                <w:color w:val="000000"/>
                <w:u w:val="single"/>
              </w:rPr>
            </w:pPr>
            <w:r w:rsidRPr="004A4F84">
              <w:rPr>
                <w:b/>
                <w:bCs/>
                <w:color w:val="000000"/>
                <w:u w:val="single"/>
              </w:rPr>
              <w:t>Salary Cost per Hour</w:t>
            </w:r>
          </w:p>
        </w:tc>
        <w:tc>
          <w:tcPr>
            <w:tcW w:w="812" w:type="dxa"/>
            <w:tcBorders>
              <w:top w:val="single" w:sz="4" w:space="0" w:color="auto"/>
              <w:left w:val="nil"/>
              <w:bottom w:val="single" w:sz="4" w:space="0" w:color="auto"/>
              <w:right w:val="single" w:sz="4" w:space="0" w:color="auto"/>
            </w:tcBorders>
            <w:shd w:val="clear" w:color="auto" w:fill="auto"/>
            <w:vAlign w:val="bottom"/>
            <w:hideMark/>
          </w:tcPr>
          <w:p w:rsidR="006A6B18" w:rsidRPr="004A4F84" w:rsidP="004B2277" w14:paraId="5E74547C" w14:textId="77777777">
            <w:pPr>
              <w:autoSpaceDE/>
              <w:autoSpaceDN/>
              <w:adjustRightInd/>
              <w:jc w:val="center"/>
              <w:rPr>
                <w:b/>
                <w:bCs/>
                <w:color w:val="000000"/>
                <w:u w:val="single"/>
              </w:rPr>
            </w:pPr>
            <w:r w:rsidRPr="004A4F84">
              <w:rPr>
                <w:b/>
                <w:bCs/>
                <w:color w:val="000000"/>
                <w:u w:val="single"/>
              </w:rPr>
              <w:t>Total Salary Cost</w:t>
            </w:r>
          </w:p>
        </w:tc>
      </w:tr>
      <w:tr w14:paraId="47E229F0" w14:textId="77777777" w:rsidTr="004F45EB">
        <w:tblPrEx>
          <w:tblW w:w="10260" w:type="dxa"/>
          <w:jc w:val="center"/>
          <w:tblLayout w:type="fixed"/>
          <w:tblLook w:val="04A0"/>
        </w:tblPrEx>
        <w:trPr>
          <w:trHeight w:val="107"/>
          <w:jc w:val="center"/>
        </w:trPr>
        <w:tc>
          <w:tcPr>
            <w:tcW w:w="1535" w:type="dxa"/>
            <w:tcBorders>
              <w:top w:val="nil"/>
              <w:left w:val="single" w:sz="4" w:space="0" w:color="auto"/>
              <w:bottom w:val="single" w:sz="4" w:space="0" w:color="auto"/>
              <w:right w:val="single" w:sz="4" w:space="0" w:color="auto"/>
            </w:tcBorders>
            <w:shd w:val="clear" w:color="auto" w:fill="auto"/>
            <w:vAlign w:val="bottom"/>
            <w:hideMark/>
          </w:tcPr>
          <w:p w:rsidR="006A6B18" w:rsidRPr="004A4F84" w:rsidP="004B2277" w14:paraId="57DD3969" w14:textId="66F0CBE4">
            <w:pPr>
              <w:autoSpaceDE/>
              <w:autoSpaceDN/>
              <w:adjustRightInd/>
              <w:rPr>
                <w:color w:val="000000"/>
              </w:rPr>
            </w:pPr>
            <w:r>
              <w:rPr>
                <w:color w:val="000000"/>
              </w:rPr>
              <w:t>Recordkeeping</w:t>
            </w:r>
          </w:p>
        </w:tc>
        <w:tc>
          <w:tcPr>
            <w:tcW w:w="1390" w:type="dxa"/>
            <w:tcBorders>
              <w:top w:val="nil"/>
              <w:left w:val="nil"/>
              <w:bottom w:val="single" w:sz="4" w:space="0" w:color="auto"/>
              <w:right w:val="single" w:sz="4" w:space="0" w:color="auto"/>
            </w:tcBorders>
            <w:shd w:val="clear" w:color="auto" w:fill="auto"/>
            <w:vAlign w:val="bottom"/>
            <w:hideMark/>
          </w:tcPr>
          <w:p w:rsidR="006A6B18" w:rsidRPr="004A4F84" w:rsidP="004B2277" w14:paraId="0BC99C95" w14:textId="043163C1">
            <w:pPr>
              <w:autoSpaceDE/>
              <w:autoSpaceDN/>
              <w:adjustRightInd/>
              <w:jc w:val="right"/>
              <w:rPr>
                <w:color w:val="000000"/>
              </w:rPr>
            </w:pPr>
            <w:r>
              <w:rPr>
                <w:color w:val="000000"/>
              </w:rPr>
              <w:t>73</w:t>
            </w:r>
          </w:p>
        </w:tc>
        <w:tc>
          <w:tcPr>
            <w:tcW w:w="1440" w:type="dxa"/>
            <w:tcBorders>
              <w:top w:val="nil"/>
              <w:left w:val="nil"/>
              <w:bottom w:val="single" w:sz="4" w:space="0" w:color="auto"/>
              <w:right w:val="single" w:sz="4" w:space="0" w:color="auto"/>
            </w:tcBorders>
            <w:shd w:val="clear" w:color="auto" w:fill="auto"/>
            <w:vAlign w:val="bottom"/>
            <w:hideMark/>
          </w:tcPr>
          <w:p w:rsidR="006A6B18" w:rsidRPr="004A4F84" w:rsidP="004B2277" w14:paraId="5088AE36" w14:textId="77777777">
            <w:pPr>
              <w:autoSpaceDE/>
              <w:autoSpaceDN/>
              <w:adjustRightInd/>
              <w:jc w:val="right"/>
              <w:rPr>
                <w:color w:val="000000"/>
              </w:rPr>
            </w:pPr>
            <w:r w:rsidRPr="004A4F84">
              <w:rPr>
                <w:color w:val="000000"/>
              </w:rPr>
              <w:t>0.21</w:t>
            </w:r>
          </w:p>
        </w:tc>
        <w:tc>
          <w:tcPr>
            <w:tcW w:w="1170" w:type="dxa"/>
            <w:tcBorders>
              <w:top w:val="nil"/>
              <w:left w:val="nil"/>
              <w:bottom w:val="single" w:sz="4" w:space="0" w:color="auto"/>
              <w:right w:val="single" w:sz="4" w:space="0" w:color="auto"/>
            </w:tcBorders>
            <w:shd w:val="clear" w:color="auto" w:fill="auto"/>
            <w:vAlign w:val="bottom"/>
            <w:hideMark/>
          </w:tcPr>
          <w:p w:rsidR="006A6B18" w:rsidRPr="004A4F84" w:rsidP="004B2277" w14:paraId="26901C4B" w14:textId="75CC8EDE">
            <w:pPr>
              <w:autoSpaceDE/>
              <w:autoSpaceDN/>
              <w:adjustRightInd/>
              <w:jc w:val="right"/>
              <w:rPr>
                <w:color w:val="000000"/>
              </w:rPr>
            </w:pPr>
            <w:r>
              <w:rPr>
                <w:color w:val="000000"/>
              </w:rPr>
              <w:t>15.33</w:t>
            </w:r>
          </w:p>
        </w:tc>
        <w:tc>
          <w:tcPr>
            <w:tcW w:w="1080" w:type="dxa"/>
            <w:tcBorders>
              <w:top w:val="nil"/>
              <w:left w:val="nil"/>
              <w:bottom w:val="single" w:sz="4" w:space="0" w:color="auto"/>
              <w:right w:val="single" w:sz="4" w:space="0" w:color="auto"/>
            </w:tcBorders>
            <w:shd w:val="clear" w:color="auto" w:fill="auto"/>
            <w:vAlign w:val="bottom"/>
            <w:hideMark/>
          </w:tcPr>
          <w:p w:rsidR="006A6B18" w:rsidRPr="004A4F84" w:rsidP="004B2277" w14:paraId="019A3873" w14:textId="77777777">
            <w:pPr>
              <w:autoSpaceDE/>
              <w:autoSpaceDN/>
              <w:adjustRightInd/>
              <w:jc w:val="right"/>
              <w:rPr>
                <w:color w:val="000000"/>
              </w:rPr>
            </w:pPr>
            <w:r w:rsidRPr="004A4F84">
              <w:rPr>
                <w:color w:val="000000"/>
              </w:rPr>
              <w:t>1</w:t>
            </w:r>
          </w:p>
        </w:tc>
        <w:tc>
          <w:tcPr>
            <w:tcW w:w="900" w:type="dxa"/>
            <w:tcBorders>
              <w:top w:val="nil"/>
              <w:left w:val="nil"/>
              <w:bottom w:val="single" w:sz="4" w:space="0" w:color="auto"/>
              <w:right w:val="single" w:sz="4" w:space="0" w:color="auto"/>
            </w:tcBorders>
            <w:shd w:val="clear" w:color="auto" w:fill="auto"/>
            <w:vAlign w:val="bottom"/>
            <w:hideMark/>
          </w:tcPr>
          <w:p w:rsidR="006A6B18" w:rsidRPr="004A4F84" w:rsidP="004B2277" w14:paraId="14744708" w14:textId="4391DDD9">
            <w:pPr>
              <w:autoSpaceDE/>
              <w:autoSpaceDN/>
              <w:adjustRightInd/>
              <w:jc w:val="right"/>
              <w:rPr>
                <w:color w:val="000000"/>
              </w:rPr>
            </w:pPr>
            <w:r>
              <w:rPr>
                <w:color w:val="000000"/>
              </w:rPr>
              <w:t>15</w:t>
            </w:r>
          </w:p>
        </w:tc>
        <w:tc>
          <w:tcPr>
            <w:tcW w:w="900" w:type="dxa"/>
            <w:tcBorders>
              <w:top w:val="nil"/>
              <w:left w:val="nil"/>
              <w:bottom w:val="single" w:sz="4" w:space="0" w:color="auto"/>
              <w:right w:val="single" w:sz="4" w:space="0" w:color="auto"/>
            </w:tcBorders>
            <w:shd w:val="clear" w:color="auto" w:fill="auto"/>
            <w:vAlign w:val="bottom"/>
            <w:hideMark/>
          </w:tcPr>
          <w:p w:rsidR="006A6B18" w:rsidRPr="004A4F84" w:rsidP="004B2277" w14:paraId="4BD5BAAD" w14:textId="77777777">
            <w:pPr>
              <w:autoSpaceDE/>
              <w:autoSpaceDN/>
              <w:adjustRightInd/>
              <w:jc w:val="right"/>
              <w:rPr>
                <w:color w:val="000000"/>
              </w:rPr>
            </w:pPr>
            <w:r w:rsidRPr="004A4F84">
              <w:rPr>
                <w:color w:val="000000"/>
              </w:rPr>
              <w:t xml:space="preserve">$0 </w:t>
            </w:r>
          </w:p>
        </w:tc>
        <w:tc>
          <w:tcPr>
            <w:tcW w:w="1033" w:type="dxa"/>
            <w:tcBorders>
              <w:top w:val="nil"/>
              <w:left w:val="nil"/>
              <w:bottom w:val="single" w:sz="4" w:space="0" w:color="auto"/>
              <w:right w:val="single" w:sz="4" w:space="0" w:color="auto"/>
            </w:tcBorders>
            <w:shd w:val="clear" w:color="auto" w:fill="auto"/>
            <w:vAlign w:val="bottom"/>
            <w:hideMark/>
          </w:tcPr>
          <w:p w:rsidR="006A6B18" w:rsidRPr="004A4F84" w:rsidP="004B2277" w14:paraId="616749BD" w14:textId="54037E4E">
            <w:pPr>
              <w:autoSpaceDE/>
              <w:autoSpaceDN/>
              <w:adjustRightInd/>
              <w:jc w:val="right"/>
              <w:rPr>
                <w:color w:val="000000"/>
              </w:rPr>
            </w:pPr>
            <w:r w:rsidRPr="004A4F84">
              <w:rPr>
                <w:color w:val="000000"/>
              </w:rPr>
              <w:t>$</w:t>
            </w:r>
            <w:r w:rsidRPr="00D41EFE" w:rsidR="0086587C">
              <w:rPr>
                <w:color w:val="000000"/>
              </w:rPr>
              <w:t>93.70</w:t>
            </w:r>
          </w:p>
        </w:tc>
        <w:tc>
          <w:tcPr>
            <w:tcW w:w="812" w:type="dxa"/>
            <w:tcBorders>
              <w:top w:val="nil"/>
              <w:left w:val="nil"/>
              <w:bottom w:val="single" w:sz="4" w:space="0" w:color="auto"/>
              <w:right w:val="single" w:sz="4" w:space="0" w:color="auto"/>
            </w:tcBorders>
            <w:shd w:val="clear" w:color="auto" w:fill="auto"/>
            <w:vAlign w:val="bottom"/>
            <w:hideMark/>
          </w:tcPr>
          <w:p w:rsidR="006A6B18" w:rsidRPr="004A4F84" w:rsidP="004B2277" w14:paraId="5284B35F" w14:textId="23B3A63B">
            <w:pPr>
              <w:autoSpaceDE/>
              <w:autoSpaceDN/>
              <w:adjustRightInd/>
              <w:jc w:val="right"/>
              <w:rPr>
                <w:color w:val="000000"/>
              </w:rPr>
            </w:pPr>
            <w:r w:rsidRPr="004A4F84">
              <w:rPr>
                <w:color w:val="000000"/>
              </w:rPr>
              <w:t>$</w:t>
            </w:r>
            <w:r w:rsidR="001D722C">
              <w:rPr>
                <w:color w:val="000000"/>
              </w:rPr>
              <w:t>1,</w:t>
            </w:r>
            <w:r w:rsidR="0086587C">
              <w:rPr>
                <w:color w:val="000000"/>
              </w:rPr>
              <w:t>436</w:t>
            </w:r>
          </w:p>
        </w:tc>
      </w:tr>
    </w:tbl>
    <w:p w:rsidR="00164BC1" w:rsidRPr="004A4F84" w:rsidP="004B2277" w14:paraId="4A6FC1A4" w14:textId="77777777">
      <w:pPr>
        <w:rPr>
          <w:sz w:val="24"/>
          <w:szCs w:val="24"/>
          <w:u w:val="single"/>
        </w:rPr>
      </w:pPr>
    </w:p>
    <w:p w:rsidR="00DF5342" w:rsidRPr="007133B3" w:rsidP="004B2277" w14:paraId="3C64882B" w14:textId="77777777">
      <w:pPr>
        <w:rPr>
          <w:sz w:val="24"/>
          <w:szCs w:val="24"/>
          <w:u w:val="single"/>
        </w:rPr>
      </w:pPr>
    </w:p>
    <w:p w:rsidR="00991017" w:rsidRPr="007133B3" w:rsidP="004B2277" w14:paraId="77C8C06B" w14:textId="77777777">
      <w:pPr>
        <w:keepNext/>
        <w:keepLines/>
        <w:rPr>
          <w:sz w:val="24"/>
          <w:szCs w:val="24"/>
        </w:rPr>
      </w:pPr>
      <w:r w:rsidRPr="007133B3">
        <w:rPr>
          <w:sz w:val="24"/>
          <w:szCs w:val="24"/>
        </w:rPr>
        <w:t xml:space="preserve">13.     </w:t>
      </w:r>
      <w:r w:rsidR="00B979DC">
        <w:rPr>
          <w:sz w:val="24"/>
          <w:szCs w:val="24"/>
        </w:rPr>
        <w:tab/>
      </w:r>
      <w:r w:rsidRPr="007133B3" w:rsidR="008852F5">
        <w:rPr>
          <w:sz w:val="24"/>
          <w:szCs w:val="24"/>
          <w:u w:val="single"/>
        </w:rPr>
        <w:t>Estimate of t</w:t>
      </w:r>
      <w:r w:rsidRPr="007133B3">
        <w:rPr>
          <w:sz w:val="24"/>
          <w:szCs w:val="24"/>
          <w:u w:val="single"/>
        </w:rPr>
        <w:t>otal annual cost</w:t>
      </w:r>
      <w:r w:rsidRPr="007133B3" w:rsidR="008852F5">
        <w:rPr>
          <w:sz w:val="24"/>
          <w:szCs w:val="24"/>
          <w:u w:val="single"/>
        </w:rPr>
        <w:t>s</w:t>
      </w:r>
      <w:r w:rsidRPr="007133B3">
        <w:rPr>
          <w:sz w:val="24"/>
          <w:szCs w:val="24"/>
          <w:u w:val="single"/>
        </w:rPr>
        <w:t xml:space="preserve"> to respondents</w:t>
      </w:r>
      <w:r w:rsidRPr="007133B3" w:rsidR="008852F5">
        <w:rPr>
          <w:sz w:val="24"/>
          <w:szCs w:val="24"/>
          <w:u w:val="single"/>
        </w:rPr>
        <w:t>.</w:t>
      </w:r>
    </w:p>
    <w:p w:rsidR="00991017" w:rsidRPr="007133B3" w:rsidP="004B2277" w14:paraId="6B8AD12A" w14:textId="77777777">
      <w:pPr>
        <w:rPr>
          <w:sz w:val="24"/>
          <w:szCs w:val="24"/>
        </w:rPr>
      </w:pPr>
    </w:p>
    <w:p w:rsidR="00020E38" w:rsidP="004B2277" w14:paraId="478721AF" w14:textId="77777777">
      <w:pPr>
        <w:rPr>
          <w:sz w:val="24"/>
          <w:szCs w:val="24"/>
        </w:rPr>
      </w:pPr>
      <w:r>
        <w:rPr>
          <w:sz w:val="24"/>
          <w:szCs w:val="24"/>
        </w:rPr>
        <w:t>PHMSA does not estimate any out-of-pocket expenses as identified above.</w:t>
      </w:r>
    </w:p>
    <w:p w:rsidR="00DF5342" w:rsidRPr="007133B3" w:rsidP="004B2277" w14:paraId="4E1E20A1" w14:textId="77777777">
      <w:pPr>
        <w:rPr>
          <w:sz w:val="24"/>
          <w:szCs w:val="24"/>
        </w:rPr>
      </w:pPr>
    </w:p>
    <w:p w:rsidR="00991017" w:rsidRPr="007133B3" w:rsidP="004B2277" w14:paraId="74D6B227" w14:textId="77777777">
      <w:pPr>
        <w:rPr>
          <w:sz w:val="24"/>
          <w:szCs w:val="24"/>
          <w:u w:val="single"/>
        </w:rPr>
      </w:pPr>
      <w:r w:rsidRPr="007133B3">
        <w:rPr>
          <w:sz w:val="24"/>
          <w:szCs w:val="24"/>
        </w:rPr>
        <w:t>14.</w:t>
      </w:r>
      <w:r w:rsidRPr="007133B3">
        <w:rPr>
          <w:sz w:val="24"/>
          <w:szCs w:val="24"/>
        </w:rPr>
        <w:tab/>
      </w:r>
      <w:r w:rsidRPr="007133B3">
        <w:rPr>
          <w:sz w:val="24"/>
          <w:szCs w:val="24"/>
          <w:u w:val="single"/>
        </w:rPr>
        <w:t xml:space="preserve">Estimate of </w:t>
      </w:r>
      <w:r w:rsidRPr="007133B3" w:rsidR="008852F5">
        <w:rPr>
          <w:sz w:val="24"/>
          <w:szCs w:val="24"/>
          <w:u w:val="single"/>
        </w:rPr>
        <w:t xml:space="preserve">cost to the Federal </w:t>
      </w:r>
      <w:r w:rsidR="00BB23B1">
        <w:rPr>
          <w:sz w:val="24"/>
          <w:szCs w:val="24"/>
          <w:u w:val="single"/>
        </w:rPr>
        <w:t>G</w:t>
      </w:r>
      <w:r w:rsidRPr="007133B3" w:rsidR="00BB23B1">
        <w:rPr>
          <w:sz w:val="24"/>
          <w:szCs w:val="24"/>
          <w:u w:val="single"/>
        </w:rPr>
        <w:t>overnment</w:t>
      </w:r>
      <w:r w:rsidRPr="007133B3">
        <w:rPr>
          <w:sz w:val="24"/>
          <w:szCs w:val="24"/>
          <w:u w:val="single"/>
        </w:rPr>
        <w:t>.</w:t>
      </w:r>
    </w:p>
    <w:p w:rsidR="00DF50C6" w:rsidRPr="007133B3" w:rsidP="004B2277" w14:paraId="6B7D710F" w14:textId="77777777">
      <w:pPr>
        <w:rPr>
          <w:sz w:val="24"/>
          <w:szCs w:val="24"/>
          <w:u w:val="single"/>
        </w:rPr>
      </w:pPr>
    </w:p>
    <w:p w:rsidR="000D338E" w:rsidP="004B2277" w14:paraId="4667460F" w14:textId="70B07CB9">
      <w:pPr>
        <w:rPr>
          <w:sz w:val="24"/>
          <w:szCs w:val="24"/>
        </w:rPr>
      </w:pPr>
      <w:r>
        <w:rPr>
          <w:sz w:val="24"/>
          <w:szCs w:val="24"/>
        </w:rPr>
        <w:t>PHMSA estimates a total of $</w:t>
      </w:r>
      <w:r w:rsidR="005F6314">
        <w:rPr>
          <w:sz w:val="24"/>
          <w:szCs w:val="24"/>
        </w:rPr>
        <w:t>227,</w:t>
      </w:r>
      <w:r w:rsidR="00592BDC">
        <w:rPr>
          <w:sz w:val="24"/>
          <w:szCs w:val="24"/>
        </w:rPr>
        <w:t>223</w:t>
      </w:r>
      <w:r w:rsidR="00A549F9">
        <w:rPr>
          <w:sz w:val="24"/>
          <w:szCs w:val="24"/>
        </w:rPr>
        <w:t xml:space="preserve"> in cost to the Federal Government</w:t>
      </w:r>
      <w:r>
        <w:rPr>
          <w:sz w:val="24"/>
          <w:szCs w:val="24"/>
        </w:rPr>
        <w:t xml:space="preserve">.  </w:t>
      </w:r>
    </w:p>
    <w:p w:rsidR="000D338E" w:rsidP="004B2277" w14:paraId="02F77FCD" w14:textId="77777777">
      <w:pPr>
        <w:rPr>
          <w:sz w:val="24"/>
          <w:szCs w:val="24"/>
        </w:rPr>
      </w:pPr>
    </w:p>
    <w:p w:rsidR="00CE20CC" w:rsidRPr="00B97E6D" w:rsidP="004B2277" w14:paraId="6BEE807C" w14:textId="77777777">
      <w:pPr>
        <w:rPr>
          <w:sz w:val="24"/>
          <w:szCs w:val="24"/>
          <w:u w:val="single"/>
        </w:rPr>
      </w:pPr>
      <w:r>
        <w:rPr>
          <w:sz w:val="24"/>
          <w:szCs w:val="24"/>
          <w:u w:val="single"/>
        </w:rPr>
        <w:t>Enforcement</w:t>
      </w:r>
    </w:p>
    <w:p w:rsidR="00CE20CC" w:rsidP="004B2277" w14:paraId="37C40AEA" w14:textId="77777777">
      <w:pPr>
        <w:rPr>
          <w:sz w:val="24"/>
          <w:szCs w:val="24"/>
        </w:rPr>
      </w:pPr>
    </w:p>
    <w:p w:rsidR="00ED422D" w:rsidP="004B2277" w14:paraId="76E372C5" w14:textId="666F8247">
      <w:pPr>
        <w:rPr>
          <w:sz w:val="24"/>
          <w:szCs w:val="24"/>
        </w:rPr>
      </w:pPr>
      <w:r>
        <w:rPr>
          <w:sz w:val="24"/>
          <w:szCs w:val="24"/>
        </w:rPr>
        <w:t xml:space="preserve">Various information </w:t>
      </w:r>
      <w:r w:rsidR="5905FA0A">
        <w:rPr>
          <w:sz w:val="24"/>
          <w:szCs w:val="24"/>
        </w:rPr>
        <w:t>collections</w:t>
      </w:r>
      <w:r>
        <w:rPr>
          <w:sz w:val="24"/>
          <w:szCs w:val="24"/>
        </w:rPr>
        <w:t xml:space="preserve"> under this burden may be reviewed by enforcement personnel at a reasonable time. </w:t>
      </w:r>
      <w:r w:rsidR="00614200">
        <w:rPr>
          <w:sz w:val="24"/>
          <w:szCs w:val="24"/>
        </w:rPr>
        <w:t xml:space="preserve"> </w:t>
      </w:r>
      <w:r w:rsidR="00C53B9C">
        <w:rPr>
          <w:sz w:val="24"/>
          <w:szCs w:val="24"/>
        </w:rPr>
        <w:t>PHMSA expect</w:t>
      </w:r>
      <w:r w:rsidR="001149C1">
        <w:rPr>
          <w:sz w:val="24"/>
          <w:szCs w:val="24"/>
        </w:rPr>
        <w:t>s</w:t>
      </w:r>
      <w:r w:rsidR="00C53B9C">
        <w:rPr>
          <w:sz w:val="24"/>
          <w:szCs w:val="24"/>
        </w:rPr>
        <w:t xml:space="preserve"> enforcement </w:t>
      </w:r>
      <w:r w:rsidR="001149C1">
        <w:rPr>
          <w:sz w:val="24"/>
          <w:szCs w:val="24"/>
        </w:rPr>
        <w:t>personnel</w:t>
      </w:r>
      <w:r w:rsidR="00C53B9C">
        <w:rPr>
          <w:sz w:val="24"/>
          <w:szCs w:val="24"/>
        </w:rPr>
        <w:t xml:space="preserve"> to spend up to </w:t>
      </w:r>
      <w:r w:rsidR="0073155A">
        <w:rPr>
          <w:sz w:val="24"/>
          <w:szCs w:val="24"/>
        </w:rPr>
        <w:t xml:space="preserve">416 </w:t>
      </w:r>
      <w:r w:rsidR="00C53B9C">
        <w:rPr>
          <w:sz w:val="24"/>
          <w:szCs w:val="24"/>
        </w:rPr>
        <w:t xml:space="preserve">hours per year reviewing this data. </w:t>
      </w:r>
      <w:r w:rsidR="00614200">
        <w:rPr>
          <w:sz w:val="24"/>
          <w:szCs w:val="24"/>
        </w:rPr>
        <w:t xml:space="preserve"> </w:t>
      </w:r>
      <w:r>
        <w:rPr>
          <w:sz w:val="24"/>
          <w:szCs w:val="24"/>
        </w:rPr>
        <w:t>At a salary of $</w:t>
      </w:r>
      <w:r w:rsidR="00FE0532">
        <w:rPr>
          <w:sz w:val="24"/>
          <w:szCs w:val="24"/>
        </w:rPr>
        <w:t>79.10</w:t>
      </w:r>
      <w:r>
        <w:rPr>
          <w:sz w:val="24"/>
          <w:szCs w:val="24"/>
        </w:rPr>
        <w:t xml:space="preserve"> per hour</w:t>
      </w:r>
      <w:r>
        <w:rPr>
          <w:rStyle w:val="FootnoteReference"/>
          <w:sz w:val="24"/>
          <w:szCs w:val="24"/>
        </w:rPr>
        <w:footnoteReference w:id="15"/>
      </w:r>
      <w:r>
        <w:rPr>
          <w:sz w:val="24"/>
          <w:szCs w:val="24"/>
        </w:rPr>
        <w:t>, it is estimated this burden costs the Federal Government $</w:t>
      </w:r>
      <w:r w:rsidR="003E07D3">
        <w:rPr>
          <w:sz w:val="24"/>
          <w:szCs w:val="24"/>
        </w:rPr>
        <w:t>32,</w:t>
      </w:r>
      <w:r w:rsidR="00FE0532">
        <w:rPr>
          <w:sz w:val="24"/>
          <w:szCs w:val="24"/>
        </w:rPr>
        <w:t>906</w:t>
      </w:r>
      <w:r>
        <w:rPr>
          <w:sz w:val="24"/>
          <w:szCs w:val="24"/>
        </w:rPr>
        <w:t>.</w:t>
      </w:r>
      <w:r w:rsidR="00C53B9C">
        <w:rPr>
          <w:sz w:val="24"/>
          <w:szCs w:val="24"/>
        </w:rPr>
        <w:t xml:space="preserve"> </w:t>
      </w:r>
    </w:p>
    <w:p w:rsidR="000D338E" w:rsidP="004B2277" w14:paraId="0EB6DF83" w14:textId="77777777">
      <w:pPr>
        <w:rPr>
          <w:sz w:val="24"/>
          <w:szCs w:val="24"/>
        </w:rPr>
      </w:pPr>
    </w:p>
    <w:tbl>
      <w:tblPr>
        <w:tblW w:w="6700" w:type="dxa"/>
        <w:jc w:val="center"/>
        <w:tblLook w:val="04A0"/>
      </w:tblPr>
      <w:tblGrid>
        <w:gridCol w:w="2340"/>
        <w:gridCol w:w="2560"/>
        <w:gridCol w:w="1800"/>
      </w:tblGrid>
      <w:tr w14:paraId="798862DC" w14:textId="77777777" w:rsidTr="000D338E">
        <w:tblPrEx>
          <w:tblW w:w="6700" w:type="dxa"/>
          <w:jc w:val="center"/>
          <w:tblLook w:val="04A0"/>
        </w:tblPrEx>
        <w:trPr>
          <w:trHeight w:val="332"/>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338E" w:rsidRPr="004A4F84" w:rsidP="004B2277" w14:paraId="18A96674" w14:textId="77777777">
            <w:pPr>
              <w:autoSpaceDE/>
              <w:autoSpaceDN/>
              <w:adjustRightInd/>
              <w:jc w:val="center"/>
              <w:rPr>
                <w:b/>
                <w:bCs/>
                <w:color w:val="000000"/>
                <w:u w:val="single"/>
              </w:rPr>
            </w:pPr>
            <w:r w:rsidRPr="004A4F84">
              <w:rPr>
                <w:b/>
                <w:bCs/>
                <w:color w:val="000000"/>
                <w:u w:val="single"/>
              </w:rPr>
              <w:t>Total Enforcement Hours</w:t>
            </w:r>
          </w:p>
        </w:tc>
        <w:tc>
          <w:tcPr>
            <w:tcW w:w="2560" w:type="dxa"/>
            <w:tcBorders>
              <w:top w:val="single" w:sz="4" w:space="0" w:color="auto"/>
              <w:left w:val="nil"/>
              <w:bottom w:val="single" w:sz="4" w:space="0" w:color="auto"/>
              <w:right w:val="single" w:sz="4" w:space="0" w:color="auto"/>
            </w:tcBorders>
            <w:shd w:val="clear" w:color="auto" w:fill="auto"/>
            <w:vAlign w:val="bottom"/>
            <w:hideMark/>
          </w:tcPr>
          <w:p w:rsidR="000D338E" w:rsidRPr="004A4F84" w:rsidP="004B2277" w14:paraId="35CC3D05" w14:textId="77777777">
            <w:pPr>
              <w:autoSpaceDE/>
              <w:autoSpaceDN/>
              <w:adjustRightInd/>
              <w:jc w:val="center"/>
              <w:rPr>
                <w:b/>
                <w:bCs/>
                <w:color w:val="000000"/>
                <w:u w:val="single"/>
              </w:rPr>
            </w:pPr>
            <w:r w:rsidRPr="004A4F84">
              <w:rPr>
                <w:b/>
                <w:bCs/>
                <w:color w:val="000000"/>
                <w:u w:val="single"/>
              </w:rPr>
              <w:t>Salary + Fringe and Overhead Per Hour</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0D338E" w:rsidRPr="004A4F84" w:rsidP="004B2277" w14:paraId="774DAA3A" w14:textId="77777777">
            <w:pPr>
              <w:autoSpaceDE/>
              <w:autoSpaceDN/>
              <w:adjustRightInd/>
              <w:jc w:val="center"/>
              <w:rPr>
                <w:b/>
                <w:bCs/>
                <w:color w:val="000000"/>
                <w:u w:val="single"/>
              </w:rPr>
            </w:pPr>
            <w:r w:rsidRPr="004A4F84">
              <w:rPr>
                <w:b/>
                <w:bCs/>
                <w:color w:val="000000"/>
                <w:u w:val="single"/>
              </w:rPr>
              <w:t>Total Salary Cost</w:t>
            </w:r>
          </w:p>
        </w:tc>
      </w:tr>
      <w:tr w14:paraId="1D89CF4E" w14:textId="77777777" w:rsidTr="004A4F84">
        <w:tblPrEx>
          <w:tblW w:w="6700" w:type="dxa"/>
          <w:jc w:val="center"/>
          <w:tblLook w:val="04A0"/>
        </w:tblPrEx>
        <w:trPr>
          <w:trHeight w:val="70"/>
          <w:jc w:val="center"/>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0D338E" w:rsidRPr="004A4F84" w:rsidP="004B2277" w14:paraId="0045926E" w14:textId="77777777">
            <w:pPr>
              <w:autoSpaceDE/>
              <w:autoSpaceDN/>
              <w:adjustRightInd/>
              <w:jc w:val="center"/>
              <w:rPr>
                <w:color w:val="000000"/>
              </w:rPr>
            </w:pPr>
            <w:r w:rsidRPr="004A4F84">
              <w:rPr>
                <w:color w:val="000000"/>
              </w:rPr>
              <w:t>416</w:t>
            </w:r>
          </w:p>
        </w:tc>
        <w:tc>
          <w:tcPr>
            <w:tcW w:w="2560" w:type="dxa"/>
            <w:tcBorders>
              <w:top w:val="nil"/>
              <w:left w:val="nil"/>
              <w:bottom w:val="single" w:sz="4" w:space="0" w:color="auto"/>
              <w:right w:val="single" w:sz="4" w:space="0" w:color="auto"/>
            </w:tcBorders>
            <w:shd w:val="clear" w:color="auto" w:fill="auto"/>
            <w:vAlign w:val="bottom"/>
            <w:hideMark/>
          </w:tcPr>
          <w:p w:rsidR="000D338E" w:rsidRPr="004A4F84" w:rsidP="004B2277" w14:paraId="080F26DC" w14:textId="32721889">
            <w:pPr>
              <w:autoSpaceDE/>
              <w:autoSpaceDN/>
              <w:adjustRightInd/>
              <w:jc w:val="center"/>
              <w:rPr>
                <w:color w:val="000000"/>
              </w:rPr>
            </w:pPr>
            <w:r w:rsidRPr="004A4F84">
              <w:rPr>
                <w:color w:val="000000"/>
              </w:rPr>
              <w:t>$</w:t>
            </w:r>
            <w:r w:rsidR="00592BDC">
              <w:rPr>
                <w:color w:val="000000"/>
              </w:rPr>
              <w:t>78.84</w:t>
            </w:r>
          </w:p>
        </w:tc>
        <w:tc>
          <w:tcPr>
            <w:tcW w:w="1800" w:type="dxa"/>
            <w:tcBorders>
              <w:top w:val="nil"/>
              <w:left w:val="nil"/>
              <w:bottom w:val="single" w:sz="4" w:space="0" w:color="auto"/>
              <w:right w:val="single" w:sz="4" w:space="0" w:color="auto"/>
            </w:tcBorders>
            <w:shd w:val="clear" w:color="auto" w:fill="auto"/>
            <w:vAlign w:val="bottom"/>
            <w:hideMark/>
          </w:tcPr>
          <w:p w:rsidR="000D338E" w:rsidRPr="004A4F84" w:rsidP="004B2277" w14:paraId="48526F6F" w14:textId="12C310EB">
            <w:pPr>
              <w:autoSpaceDE/>
              <w:autoSpaceDN/>
              <w:adjustRightInd/>
              <w:jc w:val="center"/>
              <w:rPr>
                <w:color w:val="000000"/>
              </w:rPr>
            </w:pPr>
            <w:r w:rsidRPr="004A4F84">
              <w:rPr>
                <w:color w:val="000000"/>
              </w:rPr>
              <w:t>$</w:t>
            </w:r>
            <w:r w:rsidR="00592BDC">
              <w:rPr>
                <w:color w:val="000000"/>
              </w:rPr>
              <w:t>32,</w:t>
            </w:r>
            <w:r w:rsidR="00FE0532">
              <w:rPr>
                <w:color w:val="000000"/>
              </w:rPr>
              <w:t>906</w:t>
            </w:r>
          </w:p>
        </w:tc>
      </w:tr>
    </w:tbl>
    <w:p w:rsidR="00ED422D" w:rsidRPr="00243D1F" w:rsidP="004B2277" w14:paraId="4AE2B3A9" w14:textId="77777777">
      <w:pPr>
        <w:rPr>
          <w:sz w:val="24"/>
          <w:szCs w:val="24"/>
        </w:rPr>
      </w:pPr>
    </w:p>
    <w:p w:rsidR="006F27DE" w:rsidRPr="006F27DE" w:rsidP="004F45EB" w14:paraId="76132971" w14:textId="77777777">
      <w:pPr>
        <w:keepNext/>
        <w:keepLines/>
        <w:rPr>
          <w:sz w:val="24"/>
          <w:szCs w:val="24"/>
        </w:rPr>
      </w:pPr>
      <w:r>
        <w:rPr>
          <w:sz w:val="24"/>
          <w:szCs w:val="24"/>
          <w:u w:val="single"/>
        </w:rPr>
        <w:t>Costs to Review COSRPs</w:t>
      </w:r>
    </w:p>
    <w:p w:rsidR="006F27DE" w:rsidRPr="006F27DE" w:rsidP="004F45EB" w14:paraId="5829C617" w14:textId="77777777">
      <w:pPr>
        <w:keepNext/>
        <w:keepLines/>
        <w:rPr>
          <w:sz w:val="24"/>
          <w:szCs w:val="24"/>
        </w:rPr>
      </w:pPr>
    </w:p>
    <w:p w:rsidR="000D338E" w:rsidP="004B2277" w14:paraId="55A14BE0" w14:textId="209C6714">
      <w:pPr>
        <w:rPr>
          <w:sz w:val="24"/>
          <w:szCs w:val="24"/>
        </w:rPr>
      </w:pPr>
      <w:r>
        <w:rPr>
          <w:sz w:val="24"/>
          <w:szCs w:val="24"/>
        </w:rPr>
        <w:t xml:space="preserve">It is estimated that </w:t>
      </w:r>
      <w:r w:rsidR="347D5FD8">
        <w:rPr>
          <w:sz w:val="24"/>
          <w:szCs w:val="24"/>
        </w:rPr>
        <w:t>for</w:t>
      </w:r>
      <w:r>
        <w:rPr>
          <w:sz w:val="24"/>
          <w:szCs w:val="24"/>
        </w:rPr>
        <w:t xml:space="preserve"> COSRP review, the Federal Government will need </w:t>
      </w:r>
      <w:r w:rsidR="347D5FD8">
        <w:rPr>
          <w:sz w:val="24"/>
          <w:szCs w:val="24"/>
        </w:rPr>
        <w:t>1 fulltime employee (</w:t>
      </w:r>
      <w:r w:rsidR="695CD3F6">
        <w:rPr>
          <w:sz w:val="24"/>
          <w:szCs w:val="24"/>
        </w:rPr>
        <w:t>FTE) devoted to reviewing COSRPs</w:t>
      </w:r>
      <w:r>
        <w:rPr>
          <w:sz w:val="24"/>
          <w:szCs w:val="24"/>
        </w:rPr>
        <w:t xml:space="preserve">. </w:t>
      </w:r>
      <w:r w:rsidR="00614200">
        <w:rPr>
          <w:sz w:val="24"/>
          <w:szCs w:val="24"/>
        </w:rPr>
        <w:t xml:space="preserve"> </w:t>
      </w:r>
      <w:r>
        <w:rPr>
          <w:sz w:val="24"/>
          <w:szCs w:val="24"/>
        </w:rPr>
        <w:t>At an annual salary of $</w:t>
      </w:r>
      <w:r w:rsidR="007E2662">
        <w:rPr>
          <w:sz w:val="24"/>
          <w:szCs w:val="24"/>
        </w:rPr>
        <w:t>19</w:t>
      </w:r>
      <w:r w:rsidR="008308C1">
        <w:rPr>
          <w:sz w:val="24"/>
          <w:szCs w:val="24"/>
        </w:rPr>
        <w:t>4</w:t>
      </w:r>
      <w:r w:rsidR="007E2662">
        <w:rPr>
          <w:sz w:val="24"/>
          <w:szCs w:val="24"/>
        </w:rPr>
        <w:t>,424.88</w:t>
      </w:r>
      <w:r>
        <w:rPr>
          <w:rStyle w:val="FootnoteReference"/>
          <w:sz w:val="24"/>
          <w:szCs w:val="24"/>
        </w:rPr>
        <w:footnoteReference w:id="16"/>
      </w:r>
      <w:r>
        <w:rPr>
          <w:sz w:val="24"/>
          <w:szCs w:val="24"/>
        </w:rPr>
        <w:t>, the total cost to the Federal Government is estimated at $</w:t>
      </w:r>
      <w:r w:rsidR="00ED6C3A">
        <w:rPr>
          <w:sz w:val="24"/>
          <w:szCs w:val="24"/>
        </w:rPr>
        <w:t>194,</w:t>
      </w:r>
      <w:r w:rsidR="008308C1">
        <w:rPr>
          <w:sz w:val="24"/>
          <w:szCs w:val="24"/>
        </w:rPr>
        <w:t>424.88</w:t>
      </w:r>
      <w:r>
        <w:rPr>
          <w:sz w:val="24"/>
          <w:szCs w:val="24"/>
        </w:rPr>
        <w:t>.</w:t>
      </w:r>
    </w:p>
    <w:p w:rsidR="000D338E" w:rsidP="004B2277" w14:paraId="27E8C351" w14:textId="77777777">
      <w:pPr>
        <w:rPr>
          <w:sz w:val="24"/>
          <w:szCs w:val="24"/>
        </w:rPr>
      </w:pPr>
    </w:p>
    <w:tbl>
      <w:tblPr>
        <w:tblW w:w="5380" w:type="dxa"/>
        <w:jc w:val="center"/>
        <w:tblLook w:val="04A0"/>
      </w:tblPr>
      <w:tblGrid>
        <w:gridCol w:w="1640"/>
        <w:gridCol w:w="1940"/>
        <w:gridCol w:w="1800"/>
      </w:tblGrid>
      <w:tr w14:paraId="089D3B38" w14:textId="77777777" w:rsidTr="004A4F84">
        <w:tblPrEx>
          <w:tblW w:w="5380" w:type="dxa"/>
          <w:jc w:val="center"/>
          <w:tblLook w:val="04A0"/>
        </w:tblPrEx>
        <w:trPr>
          <w:trHeight w:val="278"/>
          <w:jc w:val="center"/>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338E" w:rsidRPr="004A4F84" w:rsidP="004B2277" w14:paraId="2799C654" w14:textId="77777777">
            <w:pPr>
              <w:autoSpaceDE/>
              <w:autoSpaceDN/>
              <w:adjustRightInd/>
              <w:jc w:val="center"/>
              <w:rPr>
                <w:b/>
                <w:bCs/>
                <w:color w:val="000000"/>
                <w:u w:val="single"/>
              </w:rPr>
            </w:pPr>
            <w:r w:rsidRPr="004A4F84">
              <w:rPr>
                <w:b/>
                <w:bCs/>
                <w:color w:val="000000"/>
                <w:u w:val="single"/>
              </w:rPr>
              <w:t>Number of FTE</w:t>
            </w:r>
          </w:p>
        </w:tc>
        <w:tc>
          <w:tcPr>
            <w:tcW w:w="1940" w:type="dxa"/>
            <w:tcBorders>
              <w:top w:val="single" w:sz="4" w:space="0" w:color="auto"/>
              <w:left w:val="nil"/>
              <w:bottom w:val="single" w:sz="4" w:space="0" w:color="auto"/>
              <w:right w:val="single" w:sz="4" w:space="0" w:color="auto"/>
            </w:tcBorders>
            <w:shd w:val="clear" w:color="auto" w:fill="auto"/>
            <w:vAlign w:val="bottom"/>
            <w:hideMark/>
          </w:tcPr>
          <w:p w:rsidR="000D338E" w:rsidRPr="004A4F84" w:rsidP="004B2277" w14:paraId="515A5E6E" w14:textId="77777777">
            <w:pPr>
              <w:autoSpaceDE/>
              <w:autoSpaceDN/>
              <w:adjustRightInd/>
              <w:jc w:val="center"/>
              <w:rPr>
                <w:b/>
                <w:bCs/>
                <w:color w:val="000000"/>
                <w:u w:val="single"/>
              </w:rPr>
            </w:pPr>
            <w:r w:rsidRPr="004A4F84">
              <w:rPr>
                <w:b/>
                <w:bCs/>
                <w:color w:val="000000"/>
                <w:u w:val="single"/>
              </w:rPr>
              <w:t>Salary + Fringe and Overhead</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0D338E" w:rsidRPr="004A4F84" w:rsidP="004B2277" w14:paraId="12E57A9B" w14:textId="77777777">
            <w:pPr>
              <w:autoSpaceDE/>
              <w:autoSpaceDN/>
              <w:adjustRightInd/>
              <w:jc w:val="center"/>
              <w:rPr>
                <w:b/>
                <w:bCs/>
                <w:color w:val="000000"/>
                <w:u w:val="single"/>
              </w:rPr>
            </w:pPr>
            <w:r w:rsidRPr="004A4F84">
              <w:rPr>
                <w:b/>
                <w:bCs/>
                <w:color w:val="000000"/>
                <w:u w:val="single"/>
              </w:rPr>
              <w:t>Total Salary Cost</w:t>
            </w:r>
          </w:p>
        </w:tc>
      </w:tr>
      <w:tr w14:paraId="0EABEF5D" w14:textId="77777777" w:rsidTr="004A4F84">
        <w:tblPrEx>
          <w:tblW w:w="5380" w:type="dxa"/>
          <w:jc w:val="center"/>
          <w:tblLook w:val="04A0"/>
        </w:tblPrEx>
        <w:trPr>
          <w:trHeight w:val="80"/>
          <w:jc w:val="center"/>
        </w:trPr>
        <w:tc>
          <w:tcPr>
            <w:tcW w:w="1640" w:type="dxa"/>
            <w:tcBorders>
              <w:top w:val="nil"/>
              <w:left w:val="single" w:sz="4" w:space="0" w:color="auto"/>
              <w:bottom w:val="single" w:sz="4" w:space="0" w:color="auto"/>
              <w:right w:val="single" w:sz="4" w:space="0" w:color="auto"/>
            </w:tcBorders>
            <w:shd w:val="clear" w:color="auto" w:fill="auto"/>
            <w:vAlign w:val="bottom"/>
            <w:hideMark/>
          </w:tcPr>
          <w:p w:rsidR="000D338E" w:rsidRPr="004A4F84" w:rsidP="004B2277" w14:paraId="12F57B95" w14:textId="49C57EDC">
            <w:pPr>
              <w:autoSpaceDE/>
              <w:autoSpaceDN/>
              <w:adjustRightInd/>
              <w:jc w:val="center"/>
              <w:rPr>
                <w:color w:val="000000"/>
              </w:rPr>
            </w:pPr>
            <w:r>
              <w:rPr>
                <w:color w:val="000000"/>
              </w:rPr>
              <w:t>1</w:t>
            </w:r>
          </w:p>
        </w:tc>
        <w:tc>
          <w:tcPr>
            <w:tcW w:w="1940" w:type="dxa"/>
            <w:tcBorders>
              <w:top w:val="nil"/>
              <w:left w:val="nil"/>
              <w:bottom w:val="single" w:sz="4" w:space="0" w:color="auto"/>
              <w:right w:val="single" w:sz="4" w:space="0" w:color="auto"/>
            </w:tcBorders>
            <w:shd w:val="clear" w:color="auto" w:fill="auto"/>
            <w:vAlign w:val="bottom"/>
            <w:hideMark/>
          </w:tcPr>
          <w:p w:rsidR="000D338E" w:rsidRPr="004A4F84" w:rsidP="004B2277" w14:paraId="6E92CB5B" w14:textId="6CF72B71">
            <w:pPr>
              <w:autoSpaceDE/>
              <w:autoSpaceDN/>
              <w:adjustRightInd/>
              <w:jc w:val="center"/>
              <w:rPr>
                <w:color w:val="000000"/>
              </w:rPr>
            </w:pPr>
            <w:r w:rsidRPr="004A4F84">
              <w:rPr>
                <w:color w:val="000000"/>
              </w:rPr>
              <w:t>$</w:t>
            </w:r>
            <w:r w:rsidR="001770A6">
              <w:rPr>
                <w:color w:val="000000"/>
              </w:rPr>
              <w:t>19</w:t>
            </w:r>
            <w:r w:rsidR="000060F8">
              <w:rPr>
                <w:color w:val="000000"/>
              </w:rPr>
              <w:t>4,424.88</w:t>
            </w:r>
            <w:r w:rsidRPr="004A4F84">
              <w:rPr>
                <w:color w:val="000000"/>
              </w:rPr>
              <w:t xml:space="preserve"> </w:t>
            </w:r>
          </w:p>
        </w:tc>
        <w:tc>
          <w:tcPr>
            <w:tcW w:w="1800" w:type="dxa"/>
            <w:tcBorders>
              <w:top w:val="nil"/>
              <w:left w:val="nil"/>
              <w:bottom w:val="single" w:sz="4" w:space="0" w:color="auto"/>
              <w:right w:val="single" w:sz="4" w:space="0" w:color="auto"/>
            </w:tcBorders>
            <w:shd w:val="clear" w:color="auto" w:fill="auto"/>
            <w:vAlign w:val="bottom"/>
            <w:hideMark/>
          </w:tcPr>
          <w:p w:rsidR="000D338E" w:rsidRPr="004A4F84" w:rsidP="004B2277" w14:paraId="10906629" w14:textId="614A6DA8">
            <w:pPr>
              <w:autoSpaceDE/>
              <w:autoSpaceDN/>
              <w:adjustRightInd/>
              <w:jc w:val="center"/>
              <w:rPr>
                <w:color w:val="000000"/>
              </w:rPr>
            </w:pPr>
            <w:r>
              <w:rPr>
                <w:color w:val="000000"/>
              </w:rPr>
              <w:t>$194,424.88</w:t>
            </w:r>
          </w:p>
        </w:tc>
      </w:tr>
    </w:tbl>
    <w:p w:rsidR="00DF5342" w:rsidP="004B2277" w14:paraId="30C33358" w14:textId="77777777">
      <w:pPr>
        <w:rPr>
          <w:sz w:val="24"/>
          <w:szCs w:val="24"/>
        </w:rPr>
      </w:pPr>
    </w:p>
    <w:p w:rsidR="00991017" w:rsidRPr="007133B3" w:rsidP="004B2277" w14:paraId="4B958BDD" w14:textId="77777777">
      <w:pPr>
        <w:rPr>
          <w:sz w:val="24"/>
          <w:szCs w:val="24"/>
        </w:rPr>
      </w:pPr>
      <w:r w:rsidRPr="007133B3">
        <w:rPr>
          <w:sz w:val="24"/>
          <w:szCs w:val="24"/>
        </w:rPr>
        <w:t>15.</w:t>
      </w:r>
      <w:r w:rsidRPr="007133B3">
        <w:rPr>
          <w:sz w:val="24"/>
          <w:szCs w:val="24"/>
        </w:rPr>
        <w:tab/>
      </w:r>
      <w:r w:rsidRPr="007133B3" w:rsidR="008852F5">
        <w:rPr>
          <w:sz w:val="24"/>
          <w:szCs w:val="24"/>
          <w:u w:val="single"/>
        </w:rPr>
        <w:t>Explanation of program</w:t>
      </w:r>
      <w:r w:rsidRPr="007133B3">
        <w:rPr>
          <w:sz w:val="24"/>
          <w:szCs w:val="24"/>
          <w:u w:val="single"/>
        </w:rPr>
        <w:t xml:space="preserve"> change</w:t>
      </w:r>
      <w:r w:rsidRPr="007133B3" w:rsidR="008852F5">
        <w:rPr>
          <w:sz w:val="24"/>
          <w:szCs w:val="24"/>
          <w:u w:val="single"/>
        </w:rPr>
        <w:t>s</w:t>
      </w:r>
      <w:r w:rsidRPr="007133B3">
        <w:rPr>
          <w:sz w:val="24"/>
          <w:szCs w:val="24"/>
          <w:u w:val="single"/>
        </w:rPr>
        <w:t xml:space="preserve"> </w:t>
      </w:r>
      <w:r w:rsidRPr="007133B3" w:rsidR="008852F5">
        <w:rPr>
          <w:sz w:val="24"/>
          <w:szCs w:val="24"/>
          <w:u w:val="single"/>
        </w:rPr>
        <w:t>or adjustments</w:t>
      </w:r>
      <w:r w:rsidRPr="007133B3">
        <w:rPr>
          <w:sz w:val="24"/>
          <w:szCs w:val="24"/>
          <w:u w:val="single"/>
        </w:rPr>
        <w:t>.</w:t>
      </w:r>
      <w:r w:rsidRPr="007133B3">
        <w:rPr>
          <w:sz w:val="24"/>
          <w:szCs w:val="24"/>
        </w:rPr>
        <w:t xml:space="preserve"> </w:t>
      </w:r>
    </w:p>
    <w:p w:rsidR="00991017" w:rsidRPr="007133B3" w:rsidP="004B2277" w14:paraId="43236F68" w14:textId="77777777">
      <w:pPr>
        <w:rPr>
          <w:sz w:val="24"/>
          <w:szCs w:val="24"/>
        </w:rPr>
      </w:pPr>
    </w:p>
    <w:p w:rsidR="00F44525" w:rsidP="00F44525" w14:paraId="67998BE7" w14:textId="55EBAF49">
      <w:pPr>
        <w:rPr>
          <w:sz w:val="24"/>
          <w:szCs w:val="24"/>
        </w:rPr>
      </w:pPr>
      <w:r w:rsidRPr="00DA399E">
        <w:rPr>
          <w:sz w:val="24"/>
          <w:szCs w:val="24"/>
        </w:rPr>
        <w:t xml:space="preserve">The notifications pertaining to COSRPs and HFFTs under </w:t>
      </w:r>
      <w:r>
        <w:rPr>
          <w:sz w:val="24"/>
          <w:szCs w:val="24"/>
        </w:rPr>
        <w:t xml:space="preserve">this OMB control number have transitioned from the initial development stage to the maintenance stage. </w:t>
      </w:r>
      <w:r w:rsidR="00614200">
        <w:rPr>
          <w:sz w:val="24"/>
          <w:szCs w:val="24"/>
        </w:rPr>
        <w:t xml:space="preserve"> </w:t>
      </w:r>
      <w:r>
        <w:rPr>
          <w:sz w:val="24"/>
          <w:szCs w:val="24"/>
        </w:rPr>
        <w:t>This evolution results in a reduction in burden hours due to less time needed to maintain already developed plans.</w:t>
      </w:r>
      <w:r w:rsidR="00614200">
        <w:rPr>
          <w:sz w:val="24"/>
          <w:szCs w:val="24"/>
        </w:rPr>
        <w:t xml:space="preserve"> </w:t>
      </w:r>
      <w:r>
        <w:rPr>
          <w:sz w:val="24"/>
          <w:szCs w:val="24"/>
        </w:rPr>
        <w:t xml:space="preserve"> </w:t>
      </w:r>
      <w:r w:rsidR="004A1AD8">
        <w:rPr>
          <w:sz w:val="24"/>
          <w:szCs w:val="24"/>
        </w:rPr>
        <w:t>In addition</w:t>
      </w:r>
      <w:r>
        <w:rPr>
          <w:sz w:val="24"/>
          <w:szCs w:val="24"/>
        </w:rPr>
        <w:t>, other burdens under this OMB control number are being adjusted because of updated estimates which have recently become available.</w:t>
      </w:r>
      <w:r w:rsidR="00614200">
        <w:rPr>
          <w:sz w:val="24"/>
          <w:szCs w:val="24"/>
        </w:rPr>
        <w:t xml:space="preserve"> </w:t>
      </w:r>
      <w:r>
        <w:rPr>
          <w:sz w:val="24"/>
          <w:szCs w:val="24"/>
        </w:rPr>
        <w:t xml:space="preserve"> As such, these revisions accou</w:t>
      </w:r>
      <w:r w:rsidRPr="00DA399E">
        <w:rPr>
          <w:sz w:val="24"/>
          <w:szCs w:val="24"/>
        </w:rPr>
        <w:t>nt</w:t>
      </w:r>
      <w:r>
        <w:rPr>
          <w:sz w:val="24"/>
          <w:szCs w:val="24"/>
        </w:rPr>
        <w:t xml:space="preserve"> for a</w:t>
      </w:r>
      <w:r w:rsidR="003D4A6F">
        <w:rPr>
          <w:sz w:val="24"/>
          <w:szCs w:val="24"/>
        </w:rPr>
        <w:t xml:space="preserve"> decrease</w:t>
      </w:r>
      <w:r>
        <w:rPr>
          <w:sz w:val="24"/>
          <w:szCs w:val="24"/>
        </w:rPr>
        <w:t xml:space="preserve"> in this information collection burden request.  </w:t>
      </w:r>
    </w:p>
    <w:p w:rsidR="00097F44" w:rsidRPr="00097F44" w:rsidP="00097F44" w14:paraId="227E9D34" w14:textId="41A26820">
      <w:pPr>
        <w:rPr>
          <w:sz w:val="24"/>
          <w:szCs w:val="24"/>
        </w:rPr>
      </w:pPr>
    </w:p>
    <w:p w:rsidR="00991017" w:rsidRPr="007133B3" w:rsidP="004B2277" w14:paraId="369B4A57" w14:textId="77777777">
      <w:pPr>
        <w:rPr>
          <w:sz w:val="24"/>
          <w:szCs w:val="24"/>
        </w:rPr>
      </w:pPr>
      <w:r w:rsidRPr="007133B3">
        <w:rPr>
          <w:sz w:val="24"/>
          <w:szCs w:val="24"/>
        </w:rPr>
        <w:t>16.</w:t>
      </w:r>
      <w:r w:rsidRPr="007133B3">
        <w:rPr>
          <w:sz w:val="24"/>
          <w:szCs w:val="24"/>
        </w:rPr>
        <w:tab/>
      </w:r>
      <w:r w:rsidRPr="007133B3" w:rsidR="008852F5">
        <w:rPr>
          <w:sz w:val="24"/>
          <w:szCs w:val="24"/>
          <w:u w:val="single"/>
        </w:rPr>
        <w:t>P</w:t>
      </w:r>
      <w:r w:rsidRPr="007133B3">
        <w:rPr>
          <w:sz w:val="24"/>
          <w:szCs w:val="24"/>
          <w:u w:val="single"/>
        </w:rPr>
        <w:t>ublication</w:t>
      </w:r>
      <w:r w:rsidRPr="007133B3" w:rsidR="00CC40D5">
        <w:rPr>
          <w:sz w:val="24"/>
          <w:szCs w:val="24"/>
          <w:u w:val="single"/>
        </w:rPr>
        <w:t xml:space="preserve"> of results of data co</w:t>
      </w:r>
      <w:r w:rsidRPr="007133B3" w:rsidR="008852F5">
        <w:rPr>
          <w:sz w:val="24"/>
          <w:szCs w:val="24"/>
          <w:u w:val="single"/>
        </w:rPr>
        <w:t>llection</w:t>
      </w:r>
      <w:r w:rsidRPr="007133B3">
        <w:rPr>
          <w:sz w:val="24"/>
          <w:szCs w:val="24"/>
          <w:u w:val="single"/>
        </w:rPr>
        <w:t>.</w:t>
      </w:r>
      <w:r w:rsidRPr="007133B3">
        <w:rPr>
          <w:sz w:val="24"/>
          <w:szCs w:val="24"/>
        </w:rPr>
        <w:t xml:space="preserve"> </w:t>
      </w:r>
    </w:p>
    <w:p w:rsidR="00991017" w:rsidRPr="007133B3" w:rsidP="004B2277" w14:paraId="7E7FC8D0" w14:textId="77777777">
      <w:pPr>
        <w:rPr>
          <w:sz w:val="24"/>
          <w:szCs w:val="24"/>
        </w:rPr>
      </w:pPr>
    </w:p>
    <w:p w:rsidR="00991017" w:rsidP="004B2277" w14:paraId="0747D245" w14:textId="77777777">
      <w:pPr>
        <w:rPr>
          <w:sz w:val="24"/>
          <w:szCs w:val="24"/>
        </w:rPr>
      </w:pPr>
      <w:r w:rsidRPr="007133B3">
        <w:rPr>
          <w:sz w:val="24"/>
          <w:szCs w:val="24"/>
        </w:rPr>
        <w:t>There is no publication for statistical use</w:t>
      </w:r>
      <w:r w:rsidR="002322AF">
        <w:rPr>
          <w:sz w:val="24"/>
          <w:szCs w:val="24"/>
        </w:rPr>
        <w:t>,</w:t>
      </w:r>
      <w:r w:rsidRPr="007133B3">
        <w:rPr>
          <w:sz w:val="24"/>
          <w:szCs w:val="24"/>
        </w:rPr>
        <w:t xml:space="preserve"> and no statistical techniques are involved.</w:t>
      </w:r>
    </w:p>
    <w:p w:rsidR="00DF5342" w:rsidP="004B2277" w14:paraId="4A501FD2" w14:textId="77777777">
      <w:pPr>
        <w:rPr>
          <w:sz w:val="24"/>
          <w:szCs w:val="24"/>
        </w:rPr>
      </w:pPr>
    </w:p>
    <w:p w:rsidR="00991017" w:rsidRPr="007133B3" w:rsidP="004B2277" w14:paraId="7EE1A443" w14:textId="77777777">
      <w:pPr>
        <w:rPr>
          <w:sz w:val="24"/>
          <w:szCs w:val="24"/>
        </w:rPr>
      </w:pPr>
      <w:r w:rsidRPr="007133B3">
        <w:rPr>
          <w:sz w:val="24"/>
          <w:szCs w:val="24"/>
        </w:rPr>
        <w:t>17.</w:t>
      </w:r>
      <w:r w:rsidRPr="007133B3">
        <w:rPr>
          <w:sz w:val="24"/>
          <w:szCs w:val="24"/>
        </w:rPr>
        <w:tab/>
      </w:r>
      <w:r w:rsidRPr="007133B3" w:rsidR="008852F5">
        <w:rPr>
          <w:sz w:val="24"/>
          <w:szCs w:val="24"/>
          <w:u w:val="single"/>
        </w:rPr>
        <w:t>Approval for not d</w:t>
      </w:r>
      <w:r w:rsidRPr="007133B3">
        <w:rPr>
          <w:sz w:val="24"/>
          <w:szCs w:val="24"/>
          <w:u w:val="single"/>
        </w:rPr>
        <w:t>isplay</w:t>
      </w:r>
      <w:r w:rsidRPr="007133B3" w:rsidR="008852F5">
        <w:rPr>
          <w:sz w:val="24"/>
          <w:szCs w:val="24"/>
          <w:u w:val="single"/>
        </w:rPr>
        <w:t>ing the expiration date of OMB a</w:t>
      </w:r>
      <w:r w:rsidRPr="007133B3">
        <w:rPr>
          <w:sz w:val="24"/>
          <w:szCs w:val="24"/>
          <w:u w:val="single"/>
        </w:rPr>
        <w:t>pproval.</w:t>
      </w:r>
      <w:r w:rsidRPr="007133B3">
        <w:rPr>
          <w:sz w:val="24"/>
          <w:szCs w:val="24"/>
        </w:rPr>
        <w:t xml:space="preserve"> </w:t>
      </w:r>
    </w:p>
    <w:p w:rsidR="00991017" w:rsidRPr="007133B3" w:rsidP="004B2277" w14:paraId="31678A8A" w14:textId="77777777">
      <w:pPr>
        <w:rPr>
          <w:sz w:val="24"/>
          <w:szCs w:val="24"/>
        </w:rPr>
      </w:pPr>
    </w:p>
    <w:p w:rsidR="00FB0B8C" w:rsidRPr="00BA1804" w:rsidP="004B2277" w14:paraId="6C3A8EB2" w14:textId="4C88A5AC">
      <w:pPr>
        <w:rPr>
          <w:sz w:val="24"/>
          <w:szCs w:val="24"/>
        </w:rPr>
      </w:pPr>
      <w:r w:rsidRPr="32E8BC75">
        <w:rPr>
          <w:sz w:val="24"/>
          <w:szCs w:val="24"/>
        </w:rPr>
        <w:t xml:space="preserve">OMB Control </w:t>
      </w:r>
      <w:r w:rsidRPr="32E8BC75" w:rsidR="284913D7">
        <w:rPr>
          <w:sz w:val="24"/>
          <w:szCs w:val="24"/>
        </w:rPr>
        <w:t xml:space="preserve">number 2137-0628 </w:t>
      </w:r>
      <w:r w:rsidRPr="32E8BC75" w:rsidR="36F7C2D8">
        <w:rPr>
          <w:sz w:val="24"/>
          <w:szCs w:val="24"/>
        </w:rPr>
        <w:t>is</w:t>
      </w:r>
      <w:r w:rsidRPr="32E8BC75" w:rsidR="3AB1EC56">
        <w:rPr>
          <w:sz w:val="24"/>
          <w:szCs w:val="24"/>
        </w:rPr>
        <w:t xml:space="preserve"> listed </w:t>
      </w:r>
      <w:r w:rsidRPr="32E8BC75">
        <w:rPr>
          <w:sz w:val="24"/>
          <w:szCs w:val="24"/>
        </w:rPr>
        <w:t xml:space="preserve">under </w:t>
      </w:r>
      <w:r w:rsidRPr="32E8BC75" w:rsidR="405A3875">
        <w:rPr>
          <w:sz w:val="24"/>
          <w:szCs w:val="24"/>
        </w:rPr>
        <w:t>§ </w:t>
      </w:r>
      <w:r w:rsidRPr="32E8BC75">
        <w:rPr>
          <w:sz w:val="24"/>
          <w:szCs w:val="24"/>
        </w:rPr>
        <w:t>171.6</w:t>
      </w:r>
      <w:r w:rsidRPr="32E8BC75" w:rsidR="2BA72C8C">
        <w:rPr>
          <w:sz w:val="24"/>
          <w:szCs w:val="24"/>
        </w:rPr>
        <w:t xml:space="preserve"> </w:t>
      </w:r>
      <w:r w:rsidRPr="32E8BC75">
        <w:rPr>
          <w:sz w:val="24"/>
          <w:szCs w:val="24"/>
        </w:rPr>
        <w:t>“Control Numbers under the Paperwork Reduction Act”</w:t>
      </w:r>
      <w:r w:rsidRPr="32E8BC75" w:rsidR="58E48A9E">
        <w:rPr>
          <w:sz w:val="24"/>
          <w:szCs w:val="24"/>
        </w:rPr>
        <w:t xml:space="preserve"> of the HMR.</w:t>
      </w:r>
    </w:p>
    <w:p w:rsidR="00991017" w:rsidRPr="007133B3" w:rsidP="004B2277" w14:paraId="1D813635" w14:textId="77777777">
      <w:pPr>
        <w:rPr>
          <w:sz w:val="24"/>
          <w:szCs w:val="24"/>
        </w:rPr>
      </w:pPr>
    </w:p>
    <w:p w:rsidR="00991017" w:rsidRPr="007133B3" w:rsidP="004B2277" w14:paraId="5BDBCB65" w14:textId="77777777">
      <w:pPr>
        <w:keepNext/>
        <w:keepLines/>
        <w:rPr>
          <w:sz w:val="24"/>
          <w:szCs w:val="24"/>
        </w:rPr>
      </w:pPr>
      <w:r w:rsidRPr="007133B3">
        <w:rPr>
          <w:sz w:val="24"/>
          <w:szCs w:val="24"/>
        </w:rPr>
        <w:t>18.</w:t>
      </w:r>
      <w:r w:rsidRPr="007133B3">
        <w:rPr>
          <w:sz w:val="24"/>
          <w:szCs w:val="24"/>
        </w:rPr>
        <w:tab/>
      </w:r>
      <w:r w:rsidRPr="007133B3">
        <w:rPr>
          <w:sz w:val="24"/>
          <w:szCs w:val="24"/>
          <w:u w:val="single"/>
        </w:rPr>
        <w:t>Exceptions to certification statement</w:t>
      </w:r>
      <w:r w:rsidRPr="007133B3" w:rsidR="008852F5">
        <w:rPr>
          <w:sz w:val="24"/>
          <w:szCs w:val="24"/>
          <w:u w:val="single"/>
        </w:rPr>
        <w:t>.</w:t>
      </w:r>
      <w:r w:rsidRPr="007133B3">
        <w:rPr>
          <w:sz w:val="24"/>
          <w:szCs w:val="24"/>
        </w:rPr>
        <w:t xml:space="preserve">   </w:t>
      </w:r>
    </w:p>
    <w:p w:rsidR="00991017" w:rsidRPr="007133B3" w:rsidP="004B2277" w14:paraId="1A16DB74" w14:textId="77777777">
      <w:pPr>
        <w:keepNext/>
        <w:keepLines/>
        <w:rPr>
          <w:sz w:val="24"/>
          <w:szCs w:val="24"/>
        </w:rPr>
      </w:pPr>
    </w:p>
    <w:p w:rsidR="000A60CB" w:rsidRPr="000A60CB" w:rsidP="004B2277" w14:paraId="79EDB672" w14:textId="77777777">
      <w:pPr>
        <w:rPr>
          <w:sz w:val="24"/>
          <w:szCs w:val="24"/>
        </w:rPr>
      </w:pPr>
      <w:r w:rsidRPr="007133B3">
        <w:rPr>
          <w:sz w:val="24"/>
          <w:szCs w:val="24"/>
        </w:rPr>
        <w:t xml:space="preserve">There is no exception to </w:t>
      </w:r>
      <w:r w:rsidR="00ED422D">
        <w:rPr>
          <w:sz w:val="24"/>
          <w:szCs w:val="24"/>
        </w:rPr>
        <w:t>the</w:t>
      </w:r>
      <w:r w:rsidRPr="007133B3" w:rsidR="00ED422D">
        <w:rPr>
          <w:sz w:val="24"/>
          <w:szCs w:val="24"/>
        </w:rPr>
        <w:t xml:space="preserve"> </w:t>
      </w:r>
      <w:r w:rsidRPr="007133B3">
        <w:rPr>
          <w:sz w:val="24"/>
          <w:szCs w:val="24"/>
        </w:rPr>
        <w:t>certification of this request for information collection approval.</w:t>
      </w:r>
    </w:p>
    <w:sectPr w:rsidSect="008D29C8">
      <w:footerReference w:type="default" r:id="rId9"/>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5C60" w:rsidP="00AB0F55" w14:paraId="6F5424C8" w14:textId="01B04624">
    <w:pPr>
      <w:framePr w:wrap="around" w:vAnchor="text" w:hAnchor="margin" w:xAlign="center" w:y="1"/>
      <w:rPr>
        <w:sz w:val="24"/>
        <w:szCs w:val="24"/>
      </w:rPr>
    </w:pPr>
    <w:r>
      <w:rPr>
        <w:sz w:val="24"/>
        <w:szCs w:val="24"/>
      </w:rPr>
      <w:fldChar w:fldCharType="begin"/>
    </w:r>
    <w:r>
      <w:rPr>
        <w:sz w:val="24"/>
        <w:szCs w:val="24"/>
      </w:rPr>
      <w:instrText xml:space="preserve"> PAGE  </w:instrText>
    </w:r>
    <w:r>
      <w:rPr>
        <w:sz w:val="24"/>
        <w:szCs w:val="24"/>
      </w:rPr>
      <w:fldChar w:fldCharType="separate"/>
    </w:r>
    <w:r w:rsidR="00D41F40">
      <w:rPr>
        <w:noProof/>
        <w:sz w:val="24"/>
        <w:szCs w:val="24"/>
      </w:rPr>
      <w:t>13</w:t>
    </w:r>
    <w:r>
      <w:rPr>
        <w:sz w:val="24"/>
        <w:szCs w:val="24"/>
      </w:rPr>
      <w:fldChar w:fldCharType="end"/>
    </w:r>
  </w:p>
  <w:p w:rsidR="00565C60" w14:paraId="0A1409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43EB" w14:paraId="4A34297B" w14:textId="77777777">
      <w:r>
        <w:separator/>
      </w:r>
    </w:p>
  </w:footnote>
  <w:footnote w:type="continuationSeparator" w:id="1">
    <w:p w:rsidR="000643EB" w14:paraId="758CC92D" w14:textId="77777777">
      <w:r>
        <w:continuationSeparator/>
      </w:r>
    </w:p>
  </w:footnote>
  <w:footnote w:type="continuationNotice" w:id="2">
    <w:p w:rsidR="000643EB" w14:paraId="1350FFE3" w14:textId="77777777"/>
  </w:footnote>
  <w:footnote w:id="3">
    <w:p w:rsidR="00F40637" w14:paraId="09632B19" w14:textId="7AA08E01">
      <w:pPr>
        <w:pStyle w:val="FootnoteText"/>
      </w:pPr>
      <w:r>
        <w:rPr>
          <w:rStyle w:val="FootnoteReference"/>
        </w:rPr>
        <w:footnoteRef/>
      </w:r>
      <w:r>
        <w:t xml:space="preserve"> </w:t>
      </w:r>
      <w:r w:rsidR="004400E4">
        <w:t>80 FR 26644 (May 8, 2015)</w:t>
      </w:r>
    </w:p>
  </w:footnote>
  <w:footnote w:id="4">
    <w:p w:rsidR="00565C60" w:rsidP="007D7192" w14:paraId="72815C75" w14:textId="3E38FACB">
      <w:pPr>
        <w:pStyle w:val="FootnoteText"/>
        <w:spacing w:after="120"/>
      </w:pPr>
      <w:r>
        <w:rPr>
          <w:rStyle w:val="FootnoteReference"/>
        </w:rPr>
        <w:footnoteRef/>
      </w:r>
      <w:r>
        <w:t xml:space="preserve"> </w:t>
      </w:r>
      <w:r w:rsidRPr="00FC3159">
        <w:t>PHMSA narrowed the affected entities to only include railroads that transport crude oil and, in consultation with FRA, revised the estimated number of Class III carriers that are subject to the rulemaking. FRA provided PHMSA with this estimate based on 2013 STB confidential waybill sample and FRA inspector observations of H</w:t>
      </w:r>
      <w:r>
        <w:t xml:space="preserve">igh </w:t>
      </w:r>
      <w:r w:rsidRPr="00FC3159">
        <w:t>H</w:t>
      </w:r>
      <w:r>
        <w:t xml:space="preserve">azard </w:t>
      </w:r>
      <w:r w:rsidRPr="00FC3159">
        <w:t>F</w:t>
      </w:r>
      <w:r>
        <w:t xml:space="preserve">lammable </w:t>
      </w:r>
      <w:r w:rsidRPr="00FC3159">
        <w:t>T</w:t>
      </w:r>
      <w:r>
        <w:t>rain</w:t>
      </w:r>
      <w:r w:rsidRPr="00FC3159">
        <w:t xml:space="preserve"> </w:t>
      </w:r>
      <w:r>
        <w:t xml:space="preserve">(HHFT) </w:t>
      </w:r>
      <w:r w:rsidRPr="00FC3159">
        <w:t>crude oil train movements.</w:t>
      </w:r>
      <w:r>
        <w:t xml:space="preserve"> </w:t>
      </w:r>
      <w:r w:rsidRPr="00FC3159">
        <w:t>PHMSA believes the estimated number of Class III impacted railroads is a conservative estimate and subject to uncertainty as not all Class III railroads submit their carload waybills for inclusion in the STB waybill sample report.</w:t>
      </w:r>
      <w:r>
        <w:t xml:space="preserve"> </w:t>
      </w:r>
      <w:r w:rsidRPr="00FC3159">
        <w:t xml:space="preserve">Based on this assessment, PHMSA estimates there are 73 railroads (7 Class I, 11 Class II, and 55 Class III) that would be subject to this </w:t>
      </w:r>
      <w:r>
        <w:t>information collection burden</w:t>
      </w:r>
      <w:r w:rsidRPr="00FC3159">
        <w:t>.</w:t>
      </w:r>
    </w:p>
  </w:footnote>
  <w:footnote w:id="5">
    <w:p w:rsidR="00565C60" w:rsidP="007D7192" w14:paraId="67C4EF89" w14:textId="6410AD88">
      <w:pPr>
        <w:pStyle w:val="FootnoteText"/>
        <w:spacing w:after="120"/>
      </w:pPr>
      <w:r>
        <w:rPr>
          <w:rStyle w:val="FootnoteReference"/>
        </w:rPr>
        <w:footnoteRef/>
      </w:r>
      <w:r>
        <w:t xml:space="preserve"> </w:t>
      </w:r>
      <w:r w:rsidRPr="00C11CC1">
        <w:t xml:space="preserve"> Occupation labor rates based on 202</w:t>
      </w:r>
      <w:r w:rsidR="001054FC">
        <w:t>4</w:t>
      </w:r>
      <w:r w:rsidRPr="00C11CC1">
        <w:t xml:space="preserve"> Occupational and Employment Statistics Survey (OES) for “General and Operations Managers (11-1021).” </w:t>
      </w:r>
      <w:hyperlink r:id="rId1" w:history="1">
        <w:r w:rsidRPr="002C0AEF">
          <w:rPr>
            <w:rStyle w:val="Hyperlink"/>
          </w:rPr>
          <w:t>https://www.bls.gov/oes/current/oes111021.htm</w:t>
        </w:r>
      </w:hyperlink>
      <w:r w:rsidRPr="00C11CC1">
        <w:t xml:space="preserve"> The hourly mean wage for this occupation ($</w:t>
      </w:r>
      <w:r w:rsidR="00C57CE6">
        <w:t>64.00</w:t>
      </w:r>
      <w:r w:rsidRPr="00C11CC1">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6">
    <w:p w:rsidR="00565C60" w:rsidP="007D7192" w14:paraId="3CB753F9" w14:textId="738FD97F">
      <w:pPr>
        <w:pStyle w:val="FootnoteText"/>
        <w:spacing w:after="120"/>
      </w:pPr>
      <w:r>
        <w:rPr>
          <w:rStyle w:val="FootnoteReference"/>
        </w:rPr>
        <w:footnoteRef/>
      </w:r>
      <w:r w:rsidRPr="00CE5474">
        <w:t>.</w:t>
      </w:r>
      <w:r w:rsidRPr="00C76DB4">
        <w:t xml:space="preserve"> Occupation labor rates based on 202</w:t>
      </w:r>
      <w:r w:rsidR="00FD49F3">
        <w:t>3</w:t>
      </w:r>
      <w:r w:rsidRPr="00C76DB4">
        <w:t xml:space="preserve"> Occupational and Employment Statistics Survey (OES) for “Executive Secretaries and Administrative Assistants (43-6011).” </w:t>
      </w:r>
      <w:hyperlink r:id="rId2" w:history="1">
        <w:r w:rsidRPr="002C0AEF">
          <w:rPr>
            <w:rStyle w:val="Hyperlink"/>
          </w:rPr>
          <w:t>https://www.bls.gov/oes/current/oes436011.htm</w:t>
        </w:r>
      </w:hyperlink>
      <w:r>
        <w:t xml:space="preserve"> </w:t>
      </w:r>
      <w:r w:rsidRPr="00C76DB4">
        <w:t>The hourly mean wage for this occupation ($</w:t>
      </w:r>
      <w:r w:rsidR="006551FF">
        <w:t>37</w:t>
      </w:r>
      <w:r w:rsidR="00CF6D35">
        <w:t>.05</w:t>
      </w:r>
      <w:r w:rsidRPr="00C76DB4">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7">
    <w:p w:rsidR="00565C60" w:rsidP="007D7192" w14:paraId="601D4B4D" w14:textId="55178D45">
      <w:pPr>
        <w:pStyle w:val="FootnoteText"/>
        <w:spacing w:after="120"/>
      </w:pPr>
      <w:r>
        <w:rPr>
          <w:rStyle w:val="FootnoteReference"/>
        </w:rPr>
        <w:footnoteRef/>
      </w:r>
      <w:r w:rsidRPr="00BF7404" w:rsidR="00BF7404">
        <w:t xml:space="preserve"> </w:t>
      </w:r>
      <w:r w:rsidRPr="00C11CC1" w:rsidR="00BF7404">
        <w:t>Occupation labor rates based on 202</w:t>
      </w:r>
      <w:r w:rsidR="00BF7404">
        <w:t>4</w:t>
      </w:r>
      <w:r w:rsidRPr="00C11CC1" w:rsidR="00BF7404">
        <w:t xml:space="preserve"> Occupational and Employment Statistics Survey (OES) for “General and Operations Managers (11-1021).” </w:t>
      </w:r>
      <w:hyperlink r:id="rId1" w:history="1">
        <w:r w:rsidRPr="002C0AEF" w:rsidR="00BF7404">
          <w:rPr>
            <w:rStyle w:val="Hyperlink"/>
          </w:rPr>
          <w:t>https://www.bls.gov/oes/current/oes111021.htm</w:t>
        </w:r>
      </w:hyperlink>
      <w:r w:rsidRPr="00C11CC1" w:rsidR="00BF7404">
        <w:t xml:space="preserve"> The hourly mean wage for this occupation ($</w:t>
      </w:r>
      <w:r w:rsidR="00BF7404">
        <w:t>64.00</w:t>
      </w:r>
      <w:r w:rsidRPr="00C11CC1" w:rsidR="00BF7404">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8">
    <w:p w:rsidR="00565C60" w:rsidP="007D7192" w14:paraId="5EDEACA0" w14:textId="4F8F0E0B">
      <w:pPr>
        <w:pStyle w:val="FootnoteText"/>
        <w:spacing w:after="120"/>
      </w:pPr>
      <w:r>
        <w:rPr>
          <w:rStyle w:val="FootnoteReference"/>
        </w:rPr>
        <w:footnoteRef/>
      </w:r>
      <w:r>
        <w:t xml:space="preserve"> Ibid</w:t>
      </w:r>
      <w:r w:rsidRPr="00CE5474">
        <w:t>.</w:t>
      </w:r>
    </w:p>
  </w:footnote>
  <w:footnote w:id="9">
    <w:p w:rsidR="00565C60" w:rsidP="007D7192" w14:paraId="1F91664C" w14:textId="2B6DA77A">
      <w:pPr>
        <w:pStyle w:val="FootnoteText"/>
        <w:spacing w:after="120"/>
      </w:pPr>
      <w:r>
        <w:rPr>
          <w:rStyle w:val="FootnoteReference"/>
        </w:rPr>
        <w:footnoteRef/>
      </w:r>
      <w:r>
        <w:t xml:space="preserve"> Ibid</w:t>
      </w:r>
      <w:r w:rsidRPr="00CE5474">
        <w:t>.</w:t>
      </w:r>
    </w:p>
  </w:footnote>
  <w:footnote w:id="10">
    <w:p w:rsidR="00565C60" w:rsidP="007D7192" w14:paraId="280E21DD" w14:textId="78574BB8">
      <w:pPr>
        <w:pStyle w:val="FootnoteText"/>
        <w:spacing w:after="120"/>
      </w:pPr>
      <w:r>
        <w:rPr>
          <w:rStyle w:val="FootnoteReference"/>
        </w:rPr>
        <w:footnoteRef/>
      </w:r>
      <w:r>
        <w:t xml:space="preserve"> Ibid</w:t>
      </w:r>
      <w:r w:rsidRPr="00CE5474">
        <w:t>.</w:t>
      </w:r>
    </w:p>
  </w:footnote>
  <w:footnote w:id="11">
    <w:p w:rsidR="00565C60" w:rsidP="007D7192" w14:paraId="4135F43A" w14:textId="6DFFA8D1">
      <w:pPr>
        <w:pStyle w:val="FootnoteText"/>
        <w:spacing w:after="120"/>
      </w:pPr>
      <w:r>
        <w:rPr>
          <w:rStyle w:val="FootnoteReference"/>
        </w:rPr>
        <w:footnoteRef/>
      </w:r>
      <w:r>
        <w:t xml:space="preserve"> Ibid</w:t>
      </w:r>
      <w:r w:rsidRPr="00CE5474">
        <w:t>.</w:t>
      </w:r>
    </w:p>
  </w:footnote>
  <w:footnote w:id="12">
    <w:p w:rsidR="00565C60" w:rsidP="007D7192" w14:paraId="4DE71FD9" w14:textId="2E750130">
      <w:pPr>
        <w:pStyle w:val="FootnoteText"/>
        <w:spacing w:after="120"/>
      </w:pPr>
      <w:r>
        <w:rPr>
          <w:rStyle w:val="FootnoteReference"/>
        </w:rPr>
        <w:footnoteRef/>
      </w:r>
      <w:r>
        <w:t xml:space="preserve"> Ibid.</w:t>
      </w:r>
    </w:p>
  </w:footnote>
  <w:footnote w:id="13">
    <w:p w:rsidR="00565C60" w:rsidP="007D7192" w14:paraId="258842CB" w14:textId="3AFA1BEA">
      <w:pPr>
        <w:pStyle w:val="FootnoteText"/>
        <w:spacing w:after="120"/>
      </w:pPr>
      <w:r>
        <w:rPr>
          <w:rStyle w:val="FootnoteReference"/>
        </w:rPr>
        <w:footnoteRef/>
      </w:r>
      <w:r>
        <w:t xml:space="preserve"> Ibid</w:t>
      </w:r>
      <w:r w:rsidRPr="00CE5474">
        <w:t>.</w:t>
      </w:r>
    </w:p>
  </w:footnote>
  <w:footnote w:id="14">
    <w:p w:rsidR="00565C60" w:rsidP="007D7192" w14:paraId="77773564" w14:textId="79CE932C">
      <w:pPr>
        <w:pStyle w:val="FootnoteText"/>
        <w:spacing w:after="120"/>
      </w:pPr>
      <w:r>
        <w:rPr>
          <w:rStyle w:val="FootnoteReference"/>
        </w:rPr>
        <w:footnoteRef/>
      </w:r>
      <w:r>
        <w:t xml:space="preserve"> Ibid</w:t>
      </w:r>
      <w:r w:rsidRPr="00CE5474">
        <w:t>.</w:t>
      </w:r>
    </w:p>
  </w:footnote>
  <w:footnote w:id="15">
    <w:p w:rsidR="00565C60" w:rsidP="007D7192" w14:paraId="334840C1" w14:textId="7097CC7A">
      <w:pPr>
        <w:pStyle w:val="FootnoteText"/>
        <w:spacing w:after="120"/>
      </w:pPr>
      <w:r>
        <w:rPr>
          <w:rStyle w:val="FootnoteReference"/>
        </w:rPr>
        <w:footnoteRef/>
      </w:r>
      <w:r>
        <w:t xml:space="preserve"> </w:t>
      </w:r>
      <w:r w:rsidRPr="000D338E">
        <w:t>Cost to enforcement, PHMSA used hourly wage data from the Office of Personnel Management (OPM) to estimate wages for its staff at the 20</w:t>
      </w:r>
      <w:r>
        <w:t>2</w:t>
      </w:r>
      <w:r w:rsidR="00F7441E">
        <w:t>5</w:t>
      </w:r>
      <w:r w:rsidRPr="000D338E">
        <w:t xml:space="preserve"> General Schedule (GS) level 13, step 1, wage class for the Washington-Baltimore-Northern Virginia metropolitan area. In accordance with the OMB Circular No. A-76 (M-07-02; 2006), PHMSA included a load factor of 36.45 percent for the Federal wage to account for fringe benefits.</w:t>
      </w:r>
    </w:p>
  </w:footnote>
  <w:footnote w:id="16">
    <w:p w:rsidR="00565C60" w:rsidP="007D7192" w14:paraId="75E8F6AA" w14:textId="127302F2">
      <w:pPr>
        <w:pStyle w:val="FootnoteText"/>
        <w:spacing w:after="120"/>
      </w:pPr>
      <w:r>
        <w:rPr>
          <w:rStyle w:val="FootnoteReference"/>
        </w:rPr>
        <w:footnoteRef/>
      </w:r>
      <w:r>
        <w:t xml:space="preserve"> </w:t>
      </w:r>
      <w:r w:rsidRPr="00481249">
        <w:t>Cost to review and approve OSRPs, PHMSA used annual wage data from the Office of Personnel Management (OPM) to estimate wages for its staff at the 20</w:t>
      </w:r>
      <w:r>
        <w:t>21</w:t>
      </w:r>
      <w:r w:rsidRPr="00481249">
        <w:t xml:space="preserve"> General Schedule (GS) level 14, step 1, wage class for the Washington-Baltimore-Northern Virginia metropolitan area. In accordance with the OMB Circular No. A-76 (M-07-02; 2006), PHMSA included a load factor of 36.45 percent for the Federal wage to account for fringe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5478C"/>
    <w:multiLevelType w:val="hybridMultilevel"/>
    <w:tmpl w:val="F6B66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FC4E1E"/>
    <w:multiLevelType w:val="hybridMultilevel"/>
    <w:tmpl w:val="BDC481FE"/>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99B4350"/>
    <w:multiLevelType w:val="hybridMultilevel"/>
    <w:tmpl w:val="12ACBE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B213CC"/>
    <w:multiLevelType w:val="hybridMultilevel"/>
    <w:tmpl w:val="FAB46D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59F23CD"/>
    <w:multiLevelType w:val="hybridMultilevel"/>
    <w:tmpl w:val="976EF0F0"/>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D946620"/>
    <w:multiLevelType w:val="hybridMultilevel"/>
    <w:tmpl w:val="5E101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942DCC"/>
    <w:multiLevelType w:val="hybridMultilevel"/>
    <w:tmpl w:val="DD2A4184"/>
    <w:lvl w:ilvl="0">
      <w:start w:val="12"/>
      <w:numFmt w:val="decimal"/>
      <w:lvlText w:val="%1."/>
      <w:lvlJc w:val="left"/>
      <w:pPr>
        <w:tabs>
          <w:tab w:val="num" w:pos="1260"/>
        </w:tabs>
        <w:ind w:left="1260" w:hanging="720"/>
      </w:pPr>
      <w:rPr>
        <w:rFonts w:hint="default"/>
        <w:u w:val="none"/>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7">
    <w:nsid w:val="2AD55ED0"/>
    <w:multiLevelType w:val="hybridMultilevel"/>
    <w:tmpl w:val="3E9C3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1E529B"/>
    <w:multiLevelType w:val="hybridMultilevel"/>
    <w:tmpl w:val="B51EC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DC90A66"/>
    <w:multiLevelType w:val="hybridMultilevel"/>
    <w:tmpl w:val="4BF8D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70547DB"/>
    <w:multiLevelType w:val="hybridMultilevel"/>
    <w:tmpl w:val="4C469104"/>
    <w:lvl w:ilvl="0">
      <w:start w:val="14"/>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7EE462C"/>
    <w:multiLevelType w:val="hybridMultilevel"/>
    <w:tmpl w:val="8648FE80"/>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8940F6B"/>
    <w:multiLevelType w:val="multilevel"/>
    <w:tmpl w:val="638C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A51BE0"/>
    <w:multiLevelType w:val="hybridMultilevel"/>
    <w:tmpl w:val="52529C7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B272C60"/>
    <w:multiLevelType w:val="hybridMultilevel"/>
    <w:tmpl w:val="00DE81A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F645232"/>
    <w:multiLevelType w:val="hybridMultilevel"/>
    <w:tmpl w:val="4A1CAC72"/>
    <w:lvl w:ilvl="0">
      <w:start w:val="1"/>
      <w:numFmt w:val="decimal"/>
      <w:lvlText w:val="%1."/>
      <w:lvlJc w:val="left"/>
      <w:pPr>
        <w:tabs>
          <w:tab w:val="num" w:pos="1320"/>
        </w:tabs>
        <w:ind w:left="1320" w:hanging="78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6">
    <w:nsid w:val="646072D0"/>
    <w:multiLevelType w:val="hybridMultilevel"/>
    <w:tmpl w:val="30022DBC"/>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CD33561"/>
    <w:multiLevelType w:val="hybridMultilevel"/>
    <w:tmpl w:val="18C0F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07895226">
    <w:abstractNumId w:val="14"/>
  </w:num>
  <w:num w:numId="2" w16cid:durableId="1816410504">
    <w:abstractNumId w:val="3"/>
  </w:num>
  <w:num w:numId="3" w16cid:durableId="1439642099">
    <w:abstractNumId w:val="16"/>
  </w:num>
  <w:num w:numId="4" w16cid:durableId="1758355933">
    <w:abstractNumId w:val="1"/>
  </w:num>
  <w:num w:numId="5" w16cid:durableId="715466332">
    <w:abstractNumId w:val="11"/>
  </w:num>
  <w:num w:numId="6" w16cid:durableId="1318878070">
    <w:abstractNumId w:val="4"/>
  </w:num>
  <w:num w:numId="7" w16cid:durableId="571617786">
    <w:abstractNumId w:val="13"/>
  </w:num>
  <w:num w:numId="8" w16cid:durableId="53310783">
    <w:abstractNumId w:val="6"/>
  </w:num>
  <w:num w:numId="9" w16cid:durableId="191572406">
    <w:abstractNumId w:val="10"/>
  </w:num>
  <w:num w:numId="10" w16cid:durableId="603072131">
    <w:abstractNumId w:val="15"/>
  </w:num>
  <w:num w:numId="11" w16cid:durableId="1825271547">
    <w:abstractNumId w:val="12"/>
  </w:num>
  <w:num w:numId="12" w16cid:durableId="1378158908">
    <w:abstractNumId w:val="5"/>
  </w:num>
  <w:num w:numId="13" w16cid:durableId="805779750">
    <w:abstractNumId w:val="2"/>
  </w:num>
  <w:num w:numId="14" w16cid:durableId="1111389596">
    <w:abstractNumId w:val="17"/>
  </w:num>
  <w:num w:numId="15" w16cid:durableId="1791822515">
    <w:abstractNumId w:val="0"/>
  </w:num>
  <w:num w:numId="16" w16cid:durableId="729156344">
    <w:abstractNumId w:val="8"/>
  </w:num>
  <w:num w:numId="17" w16cid:durableId="191187671">
    <w:abstractNumId w:val="9"/>
  </w:num>
  <w:num w:numId="18" w16cid:durableId="2141261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8C7"/>
    <w:rsid w:val="00000237"/>
    <w:rsid w:val="00000E3E"/>
    <w:rsid w:val="0000182B"/>
    <w:rsid w:val="000041CB"/>
    <w:rsid w:val="00004BE0"/>
    <w:rsid w:val="000060F8"/>
    <w:rsid w:val="0000686D"/>
    <w:rsid w:val="00006B70"/>
    <w:rsid w:val="00011FFF"/>
    <w:rsid w:val="00013785"/>
    <w:rsid w:val="000202B2"/>
    <w:rsid w:val="00020322"/>
    <w:rsid w:val="0002083A"/>
    <w:rsid w:val="00020E38"/>
    <w:rsid w:val="00021370"/>
    <w:rsid w:val="00023F42"/>
    <w:rsid w:val="000243F0"/>
    <w:rsid w:val="000255DC"/>
    <w:rsid w:val="00027941"/>
    <w:rsid w:val="00027DCE"/>
    <w:rsid w:val="00030081"/>
    <w:rsid w:val="00030B4B"/>
    <w:rsid w:val="00031A50"/>
    <w:rsid w:val="000320F1"/>
    <w:rsid w:val="00033A3A"/>
    <w:rsid w:val="00033DB0"/>
    <w:rsid w:val="0003738D"/>
    <w:rsid w:val="000421F3"/>
    <w:rsid w:val="000449E0"/>
    <w:rsid w:val="00045711"/>
    <w:rsid w:val="00045835"/>
    <w:rsid w:val="00053533"/>
    <w:rsid w:val="000643EB"/>
    <w:rsid w:val="00066D5F"/>
    <w:rsid w:val="00067C61"/>
    <w:rsid w:val="00070B28"/>
    <w:rsid w:val="00070E19"/>
    <w:rsid w:val="00071531"/>
    <w:rsid w:val="00071D09"/>
    <w:rsid w:val="00072253"/>
    <w:rsid w:val="00081064"/>
    <w:rsid w:val="000822E4"/>
    <w:rsid w:val="0008253B"/>
    <w:rsid w:val="00083A0C"/>
    <w:rsid w:val="00084C99"/>
    <w:rsid w:val="00087B17"/>
    <w:rsid w:val="0009057C"/>
    <w:rsid w:val="000951E9"/>
    <w:rsid w:val="00096D1B"/>
    <w:rsid w:val="00097F44"/>
    <w:rsid w:val="000A1F63"/>
    <w:rsid w:val="000A36BB"/>
    <w:rsid w:val="000A4202"/>
    <w:rsid w:val="000A56FF"/>
    <w:rsid w:val="000A60CB"/>
    <w:rsid w:val="000A6501"/>
    <w:rsid w:val="000A7985"/>
    <w:rsid w:val="000B4715"/>
    <w:rsid w:val="000B61B4"/>
    <w:rsid w:val="000B620F"/>
    <w:rsid w:val="000C1B7D"/>
    <w:rsid w:val="000C1E67"/>
    <w:rsid w:val="000C4F56"/>
    <w:rsid w:val="000C6947"/>
    <w:rsid w:val="000D029A"/>
    <w:rsid w:val="000D200F"/>
    <w:rsid w:val="000D338E"/>
    <w:rsid w:val="000D429B"/>
    <w:rsid w:val="000D4948"/>
    <w:rsid w:val="000D5148"/>
    <w:rsid w:val="000D6530"/>
    <w:rsid w:val="000D78C9"/>
    <w:rsid w:val="000E37E8"/>
    <w:rsid w:val="000E4A7D"/>
    <w:rsid w:val="000E582B"/>
    <w:rsid w:val="000E5A76"/>
    <w:rsid w:val="000E6FB4"/>
    <w:rsid w:val="000E7944"/>
    <w:rsid w:val="000F11EB"/>
    <w:rsid w:val="00100464"/>
    <w:rsid w:val="00104D14"/>
    <w:rsid w:val="001054FC"/>
    <w:rsid w:val="00105A92"/>
    <w:rsid w:val="00106036"/>
    <w:rsid w:val="00112AD0"/>
    <w:rsid w:val="001149C1"/>
    <w:rsid w:val="00114ACB"/>
    <w:rsid w:val="00115F68"/>
    <w:rsid w:val="0011748A"/>
    <w:rsid w:val="00121699"/>
    <w:rsid w:val="00124FD0"/>
    <w:rsid w:val="00125E20"/>
    <w:rsid w:val="0012694F"/>
    <w:rsid w:val="00127C8C"/>
    <w:rsid w:val="0013049C"/>
    <w:rsid w:val="00135F6B"/>
    <w:rsid w:val="00147BCC"/>
    <w:rsid w:val="001502DA"/>
    <w:rsid w:val="001529EC"/>
    <w:rsid w:val="00153D57"/>
    <w:rsid w:val="001620B8"/>
    <w:rsid w:val="00164825"/>
    <w:rsid w:val="00164BC1"/>
    <w:rsid w:val="00165A29"/>
    <w:rsid w:val="00167578"/>
    <w:rsid w:val="001754FB"/>
    <w:rsid w:val="001770A6"/>
    <w:rsid w:val="00180362"/>
    <w:rsid w:val="00180E5E"/>
    <w:rsid w:val="0018207E"/>
    <w:rsid w:val="001853BB"/>
    <w:rsid w:val="00192A19"/>
    <w:rsid w:val="001933B8"/>
    <w:rsid w:val="00193853"/>
    <w:rsid w:val="00196A7A"/>
    <w:rsid w:val="00197F2C"/>
    <w:rsid w:val="001A65C0"/>
    <w:rsid w:val="001A6708"/>
    <w:rsid w:val="001A73A0"/>
    <w:rsid w:val="001B034A"/>
    <w:rsid w:val="001B072E"/>
    <w:rsid w:val="001B3578"/>
    <w:rsid w:val="001B388D"/>
    <w:rsid w:val="001B58EA"/>
    <w:rsid w:val="001B5AC4"/>
    <w:rsid w:val="001C0C76"/>
    <w:rsid w:val="001C1ED9"/>
    <w:rsid w:val="001C6F18"/>
    <w:rsid w:val="001D1479"/>
    <w:rsid w:val="001D2B9C"/>
    <w:rsid w:val="001D5E8F"/>
    <w:rsid w:val="001D722C"/>
    <w:rsid w:val="001E0315"/>
    <w:rsid w:val="001E0EA9"/>
    <w:rsid w:val="001E14DB"/>
    <w:rsid w:val="001E19B4"/>
    <w:rsid w:val="001E19FB"/>
    <w:rsid w:val="001E1E60"/>
    <w:rsid w:val="001E23AC"/>
    <w:rsid w:val="001F00B1"/>
    <w:rsid w:val="001F014C"/>
    <w:rsid w:val="001F205B"/>
    <w:rsid w:val="001F395C"/>
    <w:rsid w:val="001F3A10"/>
    <w:rsid w:val="001F4396"/>
    <w:rsid w:val="001F4662"/>
    <w:rsid w:val="001F5D4E"/>
    <w:rsid w:val="001F7F5D"/>
    <w:rsid w:val="00203894"/>
    <w:rsid w:val="002058D2"/>
    <w:rsid w:val="00206405"/>
    <w:rsid w:val="0021036F"/>
    <w:rsid w:val="002130E5"/>
    <w:rsid w:val="00213D5D"/>
    <w:rsid w:val="00215696"/>
    <w:rsid w:val="00217D50"/>
    <w:rsid w:val="00220381"/>
    <w:rsid w:val="00224678"/>
    <w:rsid w:val="00224B52"/>
    <w:rsid w:val="0022585A"/>
    <w:rsid w:val="002300A1"/>
    <w:rsid w:val="002322AF"/>
    <w:rsid w:val="002339B7"/>
    <w:rsid w:val="00233C33"/>
    <w:rsid w:val="002355E5"/>
    <w:rsid w:val="00243D1F"/>
    <w:rsid w:val="00246D40"/>
    <w:rsid w:val="00250B70"/>
    <w:rsid w:val="002528EE"/>
    <w:rsid w:val="002536A3"/>
    <w:rsid w:val="00260450"/>
    <w:rsid w:val="002619E1"/>
    <w:rsid w:val="002620AF"/>
    <w:rsid w:val="00264232"/>
    <w:rsid w:val="002644BC"/>
    <w:rsid w:val="0027016F"/>
    <w:rsid w:val="00271740"/>
    <w:rsid w:val="002726A1"/>
    <w:rsid w:val="00276FED"/>
    <w:rsid w:val="0028096E"/>
    <w:rsid w:val="00282D06"/>
    <w:rsid w:val="002833CA"/>
    <w:rsid w:val="00283449"/>
    <w:rsid w:val="00287A64"/>
    <w:rsid w:val="00287CB2"/>
    <w:rsid w:val="002912E2"/>
    <w:rsid w:val="00293D84"/>
    <w:rsid w:val="00294F78"/>
    <w:rsid w:val="002A06C5"/>
    <w:rsid w:val="002A24DB"/>
    <w:rsid w:val="002A2BA8"/>
    <w:rsid w:val="002A3758"/>
    <w:rsid w:val="002A49C7"/>
    <w:rsid w:val="002B16FF"/>
    <w:rsid w:val="002B1C34"/>
    <w:rsid w:val="002B444B"/>
    <w:rsid w:val="002B4CFB"/>
    <w:rsid w:val="002B7B5C"/>
    <w:rsid w:val="002C0AEF"/>
    <w:rsid w:val="002C1E78"/>
    <w:rsid w:val="002C3538"/>
    <w:rsid w:val="002C375A"/>
    <w:rsid w:val="002C631E"/>
    <w:rsid w:val="002D0DBE"/>
    <w:rsid w:val="002D127C"/>
    <w:rsid w:val="002D4D85"/>
    <w:rsid w:val="002D5BC5"/>
    <w:rsid w:val="002D5D2F"/>
    <w:rsid w:val="002D6613"/>
    <w:rsid w:val="002E5CE3"/>
    <w:rsid w:val="002E69A3"/>
    <w:rsid w:val="002F06FA"/>
    <w:rsid w:val="002F1B61"/>
    <w:rsid w:val="002F3717"/>
    <w:rsid w:val="002F3EA8"/>
    <w:rsid w:val="00301CD2"/>
    <w:rsid w:val="00302FFD"/>
    <w:rsid w:val="00304A13"/>
    <w:rsid w:val="003058DE"/>
    <w:rsid w:val="00306881"/>
    <w:rsid w:val="00307F5F"/>
    <w:rsid w:val="00311A46"/>
    <w:rsid w:val="00313340"/>
    <w:rsid w:val="0031377F"/>
    <w:rsid w:val="00316864"/>
    <w:rsid w:val="00320801"/>
    <w:rsid w:val="00320A14"/>
    <w:rsid w:val="00322272"/>
    <w:rsid w:val="003226E2"/>
    <w:rsid w:val="00323A9A"/>
    <w:rsid w:val="00324B2A"/>
    <w:rsid w:val="003301F2"/>
    <w:rsid w:val="00333ACB"/>
    <w:rsid w:val="00334673"/>
    <w:rsid w:val="00337C0E"/>
    <w:rsid w:val="0034064D"/>
    <w:rsid w:val="00341502"/>
    <w:rsid w:val="00341EDC"/>
    <w:rsid w:val="003422FD"/>
    <w:rsid w:val="0034355F"/>
    <w:rsid w:val="00344C2B"/>
    <w:rsid w:val="00345F19"/>
    <w:rsid w:val="00347D70"/>
    <w:rsid w:val="003502A8"/>
    <w:rsid w:val="00352467"/>
    <w:rsid w:val="00353CBD"/>
    <w:rsid w:val="00354911"/>
    <w:rsid w:val="0035495A"/>
    <w:rsid w:val="00354963"/>
    <w:rsid w:val="00356EC7"/>
    <w:rsid w:val="00357E1A"/>
    <w:rsid w:val="003616BA"/>
    <w:rsid w:val="00365797"/>
    <w:rsid w:val="003729C1"/>
    <w:rsid w:val="0037469D"/>
    <w:rsid w:val="003755E5"/>
    <w:rsid w:val="003768E2"/>
    <w:rsid w:val="00376C48"/>
    <w:rsid w:val="003803CE"/>
    <w:rsid w:val="003818BD"/>
    <w:rsid w:val="00381B8F"/>
    <w:rsid w:val="00382F0F"/>
    <w:rsid w:val="0038319A"/>
    <w:rsid w:val="00383F4A"/>
    <w:rsid w:val="00384531"/>
    <w:rsid w:val="003846D3"/>
    <w:rsid w:val="0038592F"/>
    <w:rsid w:val="00386330"/>
    <w:rsid w:val="0038753C"/>
    <w:rsid w:val="00391B85"/>
    <w:rsid w:val="003A0382"/>
    <w:rsid w:val="003A2B5E"/>
    <w:rsid w:val="003A40D1"/>
    <w:rsid w:val="003A499E"/>
    <w:rsid w:val="003A5FD2"/>
    <w:rsid w:val="003A65F0"/>
    <w:rsid w:val="003A7983"/>
    <w:rsid w:val="003B3938"/>
    <w:rsid w:val="003B3AD2"/>
    <w:rsid w:val="003B457F"/>
    <w:rsid w:val="003B5A13"/>
    <w:rsid w:val="003B690E"/>
    <w:rsid w:val="003C276F"/>
    <w:rsid w:val="003C417B"/>
    <w:rsid w:val="003C4DBD"/>
    <w:rsid w:val="003C53BE"/>
    <w:rsid w:val="003D0142"/>
    <w:rsid w:val="003D014B"/>
    <w:rsid w:val="003D048F"/>
    <w:rsid w:val="003D14F1"/>
    <w:rsid w:val="003D1CB5"/>
    <w:rsid w:val="003D4A6F"/>
    <w:rsid w:val="003D551F"/>
    <w:rsid w:val="003D60B9"/>
    <w:rsid w:val="003E07D3"/>
    <w:rsid w:val="003E1DEE"/>
    <w:rsid w:val="003E233C"/>
    <w:rsid w:val="003E245E"/>
    <w:rsid w:val="003E330D"/>
    <w:rsid w:val="003E3DDD"/>
    <w:rsid w:val="003E3FD5"/>
    <w:rsid w:val="003F6412"/>
    <w:rsid w:val="0040102E"/>
    <w:rsid w:val="004022C6"/>
    <w:rsid w:val="0040336C"/>
    <w:rsid w:val="00403FA6"/>
    <w:rsid w:val="0041044A"/>
    <w:rsid w:val="0041118A"/>
    <w:rsid w:val="00413628"/>
    <w:rsid w:val="00413E75"/>
    <w:rsid w:val="004149F8"/>
    <w:rsid w:val="00415433"/>
    <w:rsid w:val="004157A0"/>
    <w:rsid w:val="00420AF0"/>
    <w:rsid w:val="004277A6"/>
    <w:rsid w:val="00427E7D"/>
    <w:rsid w:val="00431441"/>
    <w:rsid w:val="0043172D"/>
    <w:rsid w:val="00431E2C"/>
    <w:rsid w:val="004325D3"/>
    <w:rsid w:val="0043303C"/>
    <w:rsid w:val="00434038"/>
    <w:rsid w:val="004342FC"/>
    <w:rsid w:val="00437CAE"/>
    <w:rsid w:val="004400E4"/>
    <w:rsid w:val="00441370"/>
    <w:rsid w:val="00441CB0"/>
    <w:rsid w:val="00444A5E"/>
    <w:rsid w:val="00444FB9"/>
    <w:rsid w:val="00447186"/>
    <w:rsid w:val="0044728B"/>
    <w:rsid w:val="00451F45"/>
    <w:rsid w:val="00454E45"/>
    <w:rsid w:val="00454E7F"/>
    <w:rsid w:val="00456FB8"/>
    <w:rsid w:val="004625CA"/>
    <w:rsid w:val="00466F12"/>
    <w:rsid w:val="00470556"/>
    <w:rsid w:val="0047126F"/>
    <w:rsid w:val="00471716"/>
    <w:rsid w:val="00472464"/>
    <w:rsid w:val="0047555E"/>
    <w:rsid w:val="0047632E"/>
    <w:rsid w:val="004768DE"/>
    <w:rsid w:val="00476CCD"/>
    <w:rsid w:val="00477044"/>
    <w:rsid w:val="00477B97"/>
    <w:rsid w:val="00481249"/>
    <w:rsid w:val="004814B0"/>
    <w:rsid w:val="00482CF1"/>
    <w:rsid w:val="0048336B"/>
    <w:rsid w:val="00486B82"/>
    <w:rsid w:val="004935B6"/>
    <w:rsid w:val="00499E7F"/>
    <w:rsid w:val="004A1467"/>
    <w:rsid w:val="004A19DF"/>
    <w:rsid w:val="004A1AD8"/>
    <w:rsid w:val="004A29F2"/>
    <w:rsid w:val="004A4F84"/>
    <w:rsid w:val="004B0F97"/>
    <w:rsid w:val="004B2277"/>
    <w:rsid w:val="004B59D0"/>
    <w:rsid w:val="004B64D4"/>
    <w:rsid w:val="004C0806"/>
    <w:rsid w:val="004C4368"/>
    <w:rsid w:val="004D203D"/>
    <w:rsid w:val="004D7832"/>
    <w:rsid w:val="004E1445"/>
    <w:rsid w:val="004E4786"/>
    <w:rsid w:val="004F0DDF"/>
    <w:rsid w:val="004F2567"/>
    <w:rsid w:val="004F2C67"/>
    <w:rsid w:val="004F3DEA"/>
    <w:rsid w:val="004F45EB"/>
    <w:rsid w:val="004F4BB9"/>
    <w:rsid w:val="004F6978"/>
    <w:rsid w:val="004F6C7A"/>
    <w:rsid w:val="00500572"/>
    <w:rsid w:val="00501D18"/>
    <w:rsid w:val="005023E1"/>
    <w:rsid w:val="0050305D"/>
    <w:rsid w:val="0050331D"/>
    <w:rsid w:val="0050606E"/>
    <w:rsid w:val="0051139F"/>
    <w:rsid w:val="00512677"/>
    <w:rsid w:val="00512D5E"/>
    <w:rsid w:val="005135A3"/>
    <w:rsid w:val="00513FB9"/>
    <w:rsid w:val="00516FCB"/>
    <w:rsid w:val="005173E9"/>
    <w:rsid w:val="00521384"/>
    <w:rsid w:val="005220E0"/>
    <w:rsid w:val="00522923"/>
    <w:rsid w:val="00523F43"/>
    <w:rsid w:val="0052504C"/>
    <w:rsid w:val="00525DB0"/>
    <w:rsid w:val="00533922"/>
    <w:rsid w:val="005347A7"/>
    <w:rsid w:val="005350BC"/>
    <w:rsid w:val="005352BF"/>
    <w:rsid w:val="00535386"/>
    <w:rsid w:val="00541214"/>
    <w:rsid w:val="00541954"/>
    <w:rsid w:val="00542D46"/>
    <w:rsid w:val="005434BC"/>
    <w:rsid w:val="005466B1"/>
    <w:rsid w:val="00546F7B"/>
    <w:rsid w:val="00552130"/>
    <w:rsid w:val="005544D5"/>
    <w:rsid w:val="00556BB3"/>
    <w:rsid w:val="005644E1"/>
    <w:rsid w:val="00564DB4"/>
    <w:rsid w:val="00565C60"/>
    <w:rsid w:val="00566455"/>
    <w:rsid w:val="00567F14"/>
    <w:rsid w:val="00572A07"/>
    <w:rsid w:val="00572C71"/>
    <w:rsid w:val="005740BD"/>
    <w:rsid w:val="00574D2A"/>
    <w:rsid w:val="00574F94"/>
    <w:rsid w:val="00575C17"/>
    <w:rsid w:val="00582CC6"/>
    <w:rsid w:val="00585716"/>
    <w:rsid w:val="00585B2D"/>
    <w:rsid w:val="00586A33"/>
    <w:rsid w:val="00590416"/>
    <w:rsid w:val="00591743"/>
    <w:rsid w:val="00592BDC"/>
    <w:rsid w:val="005946AF"/>
    <w:rsid w:val="00594DC5"/>
    <w:rsid w:val="005957DF"/>
    <w:rsid w:val="00596975"/>
    <w:rsid w:val="00597ACC"/>
    <w:rsid w:val="005A0348"/>
    <w:rsid w:val="005A4DF5"/>
    <w:rsid w:val="005A72B2"/>
    <w:rsid w:val="005B5C1A"/>
    <w:rsid w:val="005C02F9"/>
    <w:rsid w:val="005C079A"/>
    <w:rsid w:val="005C6EE4"/>
    <w:rsid w:val="005C7826"/>
    <w:rsid w:val="005D5C97"/>
    <w:rsid w:val="005D5CA1"/>
    <w:rsid w:val="005D6C1C"/>
    <w:rsid w:val="005D70FF"/>
    <w:rsid w:val="005E175B"/>
    <w:rsid w:val="005E1D79"/>
    <w:rsid w:val="005E2ABE"/>
    <w:rsid w:val="005E32A2"/>
    <w:rsid w:val="005E55CB"/>
    <w:rsid w:val="005E7DC7"/>
    <w:rsid w:val="005F4F44"/>
    <w:rsid w:val="005F6314"/>
    <w:rsid w:val="005F65F8"/>
    <w:rsid w:val="005F727D"/>
    <w:rsid w:val="0060212E"/>
    <w:rsid w:val="0060600C"/>
    <w:rsid w:val="00610678"/>
    <w:rsid w:val="00612E7E"/>
    <w:rsid w:val="00614200"/>
    <w:rsid w:val="0062027C"/>
    <w:rsid w:val="00620E23"/>
    <w:rsid w:val="00621145"/>
    <w:rsid w:val="00622119"/>
    <w:rsid w:val="006222CB"/>
    <w:rsid w:val="00627E0F"/>
    <w:rsid w:val="00630501"/>
    <w:rsid w:val="00632341"/>
    <w:rsid w:val="0063241C"/>
    <w:rsid w:val="00633865"/>
    <w:rsid w:val="00635656"/>
    <w:rsid w:val="00640CC0"/>
    <w:rsid w:val="00642411"/>
    <w:rsid w:val="00644AF8"/>
    <w:rsid w:val="00647EE0"/>
    <w:rsid w:val="00650CB0"/>
    <w:rsid w:val="006551FF"/>
    <w:rsid w:val="00657735"/>
    <w:rsid w:val="00657B05"/>
    <w:rsid w:val="00657D96"/>
    <w:rsid w:val="006626B4"/>
    <w:rsid w:val="006628EC"/>
    <w:rsid w:val="00663546"/>
    <w:rsid w:val="0066399F"/>
    <w:rsid w:val="0066446E"/>
    <w:rsid w:val="00664DA7"/>
    <w:rsid w:val="00666D16"/>
    <w:rsid w:val="006674BE"/>
    <w:rsid w:val="006706BA"/>
    <w:rsid w:val="0067667C"/>
    <w:rsid w:val="00676D18"/>
    <w:rsid w:val="00680654"/>
    <w:rsid w:val="0068141F"/>
    <w:rsid w:val="006833AC"/>
    <w:rsid w:val="006879FE"/>
    <w:rsid w:val="00690D48"/>
    <w:rsid w:val="00694459"/>
    <w:rsid w:val="0069505C"/>
    <w:rsid w:val="006965A0"/>
    <w:rsid w:val="006A041F"/>
    <w:rsid w:val="006A103D"/>
    <w:rsid w:val="006A2AEB"/>
    <w:rsid w:val="006A4225"/>
    <w:rsid w:val="006A6B18"/>
    <w:rsid w:val="006B0AC8"/>
    <w:rsid w:val="006C3EF2"/>
    <w:rsid w:val="006C561A"/>
    <w:rsid w:val="006C5B3C"/>
    <w:rsid w:val="006C75D7"/>
    <w:rsid w:val="006D0388"/>
    <w:rsid w:val="006D41C0"/>
    <w:rsid w:val="006D4335"/>
    <w:rsid w:val="006D502B"/>
    <w:rsid w:val="006D6324"/>
    <w:rsid w:val="006E080A"/>
    <w:rsid w:val="006E4538"/>
    <w:rsid w:val="006F2240"/>
    <w:rsid w:val="006F27DE"/>
    <w:rsid w:val="006F3062"/>
    <w:rsid w:val="006F4DB1"/>
    <w:rsid w:val="006F548C"/>
    <w:rsid w:val="006F6104"/>
    <w:rsid w:val="00701D76"/>
    <w:rsid w:val="00702D2F"/>
    <w:rsid w:val="00704255"/>
    <w:rsid w:val="0070492F"/>
    <w:rsid w:val="00710AD9"/>
    <w:rsid w:val="00711DE5"/>
    <w:rsid w:val="007133B3"/>
    <w:rsid w:val="0071499F"/>
    <w:rsid w:val="00716CDC"/>
    <w:rsid w:val="007245D9"/>
    <w:rsid w:val="00724C6A"/>
    <w:rsid w:val="0072502C"/>
    <w:rsid w:val="00730E89"/>
    <w:rsid w:val="00731133"/>
    <w:rsid w:val="0073155A"/>
    <w:rsid w:val="00732983"/>
    <w:rsid w:val="00740D60"/>
    <w:rsid w:val="0074266C"/>
    <w:rsid w:val="007439D4"/>
    <w:rsid w:val="00744D67"/>
    <w:rsid w:val="0074673A"/>
    <w:rsid w:val="007479D1"/>
    <w:rsid w:val="00752D08"/>
    <w:rsid w:val="00753839"/>
    <w:rsid w:val="00755DA5"/>
    <w:rsid w:val="007567D8"/>
    <w:rsid w:val="007569DA"/>
    <w:rsid w:val="00761EC6"/>
    <w:rsid w:val="0076206E"/>
    <w:rsid w:val="007657A1"/>
    <w:rsid w:val="007663F0"/>
    <w:rsid w:val="00771372"/>
    <w:rsid w:val="00771ADC"/>
    <w:rsid w:val="00776971"/>
    <w:rsid w:val="00780514"/>
    <w:rsid w:val="00781452"/>
    <w:rsid w:val="0078178F"/>
    <w:rsid w:val="0078225C"/>
    <w:rsid w:val="00782279"/>
    <w:rsid w:val="00784747"/>
    <w:rsid w:val="00784A46"/>
    <w:rsid w:val="00784EC3"/>
    <w:rsid w:val="007859F1"/>
    <w:rsid w:val="0079049A"/>
    <w:rsid w:val="00790653"/>
    <w:rsid w:val="00790D39"/>
    <w:rsid w:val="00792608"/>
    <w:rsid w:val="00794F0A"/>
    <w:rsid w:val="007958AA"/>
    <w:rsid w:val="00795F04"/>
    <w:rsid w:val="007A01CD"/>
    <w:rsid w:val="007A1F37"/>
    <w:rsid w:val="007A23CF"/>
    <w:rsid w:val="007A2ED6"/>
    <w:rsid w:val="007A39B0"/>
    <w:rsid w:val="007A53CC"/>
    <w:rsid w:val="007A54F2"/>
    <w:rsid w:val="007A6C62"/>
    <w:rsid w:val="007B3EAE"/>
    <w:rsid w:val="007C1C39"/>
    <w:rsid w:val="007C3C34"/>
    <w:rsid w:val="007C663A"/>
    <w:rsid w:val="007C6849"/>
    <w:rsid w:val="007C7DE0"/>
    <w:rsid w:val="007D215D"/>
    <w:rsid w:val="007D3188"/>
    <w:rsid w:val="007D5AE9"/>
    <w:rsid w:val="007D6427"/>
    <w:rsid w:val="007D7192"/>
    <w:rsid w:val="007E130F"/>
    <w:rsid w:val="007E2662"/>
    <w:rsid w:val="007E534D"/>
    <w:rsid w:val="007F1C6C"/>
    <w:rsid w:val="007F2545"/>
    <w:rsid w:val="007F3503"/>
    <w:rsid w:val="007F65D1"/>
    <w:rsid w:val="00804256"/>
    <w:rsid w:val="00812A9A"/>
    <w:rsid w:val="00820269"/>
    <w:rsid w:val="00822730"/>
    <w:rsid w:val="00827220"/>
    <w:rsid w:val="00827A0A"/>
    <w:rsid w:val="00830779"/>
    <w:rsid w:val="008308C1"/>
    <w:rsid w:val="00832670"/>
    <w:rsid w:val="0084063A"/>
    <w:rsid w:val="0084229B"/>
    <w:rsid w:val="008427DC"/>
    <w:rsid w:val="008478A5"/>
    <w:rsid w:val="00847FDE"/>
    <w:rsid w:val="00851ABC"/>
    <w:rsid w:val="008526E3"/>
    <w:rsid w:val="00852701"/>
    <w:rsid w:val="00853758"/>
    <w:rsid w:val="00853FE5"/>
    <w:rsid w:val="008543CF"/>
    <w:rsid w:val="00856571"/>
    <w:rsid w:val="00860E21"/>
    <w:rsid w:val="00861B2B"/>
    <w:rsid w:val="00862469"/>
    <w:rsid w:val="00863FD4"/>
    <w:rsid w:val="0086587C"/>
    <w:rsid w:val="00865DB7"/>
    <w:rsid w:val="0086784C"/>
    <w:rsid w:val="00867B5E"/>
    <w:rsid w:val="00870236"/>
    <w:rsid w:val="00871B1F"/>
    <w:rsid w:val="0087254F"/>
    <w:rsid w:val="00872763"/>
    <w:rsid w:val="00872A4A"/>
    <w:rsid w:val="00872D5C"/>
    <w:rsid w:val="00881F2E"/>
    <w:rsid w:val="00883A17"/>
    <w:rsid w:val="00883D91"/>
    <w:rsid w:val="0088407A"/>
    <w:rsid w:val="008852F5"/>
    <w:rsid w:val="00887664"/>
    <w:rsid w:val="00892601"/>
    <w:rsid w:val="00892AB7"/>
    <w:rsid w:val="00893D91"/>
    <w:rsid w:val="008975A3"/>
    <w:rsid w:val="008A358C"/>
    <w:rsid w:val="008A3D22"/>
    <w:rsid w:val="008A51D5"/>
    <w:rsid w:val="008B1DFD"/>
    <w:rsid w:val="008B387F"/>
    <w:rsid w:val="008B53EF"/>
    <w:rsid w:val="008B61DA"/>
    <w:rsid w:val="008B74C3"/>
    <w:rsid w:val="008B7D6C"/>
    <w:rsid w:val="008C1C2C"/>
    <w:rsid w:val="008C219C"/>
    <w:rsid w:val="008C2D82"/>
    <w:rsid w:val="008D05F1"/>
    <w:rsid w:val="008D2520"/>
    <w:rsid w:val="008D29C8"/>
    <w:rsid w:val="008D7399"/>
    <w:rsid w:val="008E000F"/>
    <w:rsid w:val="008E2BA4"/>
    <w:rsid w:val="008E3D0A"/>
    <w:rsid w:val="008E3F70"/>
    <w:rsid w:val="008E4A45"/>
    <w:rsid w:val="008E5201"/>
    <w:rsid w:val="008E65AC"/>
    <w:rsid w:val="008F65C8"/>
    <w:rsid w:val="008F688A"/>
    <w:rsid w:val="0090438C"/>
    <w:rsid w:val="009064CC"/>
    <w:rsid w:val="00906B2C"/>
    <w:rsid w:val="0091169B"/>
    <w:rsid w:val="00911DC1"/>
    <w:rsid w:val="00913ABC"/>
    <w:rsid w:val="00913F1E"/>
    <w:rsid w:val="00915399"/>
    <w:rsid w:val="00922457"/>
    <w:rsid w:val="00922AF9"/>
    <w:rsid w:val="00923266"/>
    <w:rsid w:val="009234AF"/>
    <w:rsid w:val="009248BE"/>
    <w:rsid w:val="00924DB1"/>
    <w:rsid w:val="009254A4"/>
    <w:rsid w:val="00934E97"/>
    <w:rsid w:val="00936DD2"/>
    <w:rsid w:val="0093794E"/>
    <w:rsid w:val="009413F4"/>
    <w:rsid w:val="00941BF8"/>
    <w:rsid w:val="0094558E"/>
    <w:rsid w:val="009479A2"/>
    <w:rsid w:val="00947B24"/>
    <w:rsid w:val="00950345"/>
    <w:rsid w:val="00951155"/>
    <w:rsid w:val="00951353"/>
    <w:rsid w:val="00951A29"/>
    <w:rsid w:val="00953E6F"/>
    <w:rsid w:val="00954262"/>
    <w:rsid w:val="00965EF8"/>
    <w:rsid w:val="00966CC5"/>
    <w:rsid w:val="00975E66"/>
    <w:rsid w:val="00975E99"/>
    <w:rsid w:val="00980577"/>
    <w:rsid w:val="0098448F"/>
    <w:rsid w:val="0098775B"/>
    <w:rsid w:val="009906F9"/>
    <w:rsid w:val="00991017"/>
    <w:rsid w:val="009928B2"/>
    <w:rsid w:val="00992AAC"/>
    <w:rsid w:val="00993501"/>
    <w:rsid w:val="009944D1"/>
    <w:rsid w:val="00997754"/>
    <w:rsid w:val="009A0771"/>
    <w:rsid w:val="009A0F60"/>
    <w:rsid w:val="009A1C15"/>
    <w:rsid w:val="009A296F"/>
    <w:rsid w:val="009A3E43"/>
    <w:rsid w:val="009A481A"/>
    <w:rsid w:val="009C53DC"/>
    <w:rsid w:val="009C5D9F"/>
    <w:rsid w:val="009D2993"/>
    <w:rsid w:val="009D3FB4"/>
    <w:rsid w:val="009D7CD7"/>
    <w:rsid w:val="009E0510"/>
    <w:rsid w:val="009E3321"/>
    <w:rsid w:val="009E3F8E"/>
    <w:rsid w:val="009E4D12"/>
    <w:rsid w:val="009E73F2"/>
    <w:rsid w:val="009F10C5"/>
    <w:rsid w:val="009F2675"/>
    <w:rsid w:val="009F4D84"/>
    <w:rsid w:val="009F67DA"/>
    <w:rsid w:val="009F778F"/>
    <w:rsid w:val="00A010F2"/>
    <w:rsid w:val="00A0123F"/>
    <w:rsid w:val="00A01704"/>
    <w:rsid w:val="00A03893"/>
    <w:rsid w:val="00A0458D"/>
    <w:rsid w:val="00A04647"/>
    <w:rsid w:val="00A05162"/>
    <w:rsid w:val="00A10494"/>
    <w:rsid w:val="00A10CBB"/>
    <w:rsid w:val="00A13DD4"/>
    <w:rsid w:val="00A1413F"/>
    <w:rsid w:val="00A16363"/>
    <w:rsid w:val="00A214CD"/>
    <w:rsid w:val="00A23342"/>
    <w:rsid w:val="00A30804"/>
    <w:rsid w:val="00A31325"/>
    <w:rsid w:val="00A33EC9"/>
    <w:rsid w:val="00A349C2"/>
    <w:rsid w:val="00A411D3"/>
    <w:rsid w:val="00A42EE9"/>
    <w:rsid w:val="00A432A5"/>
    <w:rsid w:val="00A53FEB"/>
    <w:rsid w:val="00A549F9"/>
    <w:rsid w:val="00A56DF3"/>
    <w:rsid w:val="00A57327"/>
    <w:rsid w:val="00A57ADF"/>
    <w:rsid w:val="00A60260"/>
    <w:rsid w:val="00A62114"/>
    <w:rsid w:val="00A64F21"/>
    <w:rsid w:val="00A6570E"/>
    <w:rsid w:val="00A65883"/>
    <w:rsid w:val="00A6694C"/>
    <w:rsid w:val="00A72FD8"/>
    <w:rsid w:val="00A75AEE"/>
    <w:rsid w:val="00A816B1"/>
    <w:rsid w:val="00A82551"/>
    <w:rsid w:val="00A832F7"/>
    <w:rsid w:val="00A857B7"/>
    <w:rsid w:val="00A863B1"/>
    <w:rsid w:val="00A86754"/>
    <w:rsid w:val="00A9398F"/>
    <w:rsid w:val="00A94A33"/>
    <w:rsid w:val="00A96F07"/>
    <w:rsid w:val="00A97B8B"/>
    <w:rsid w:val="00AA2FEB"/>
    <w:rsid w:val="00AA31E1"/>
    <w:rsid w:val="00AA39A6"/>
    <w:rsid w:val="00AA3C9B"/>
    <w:rsid w:val="00AB0ACA"/>
    <w:rsid w:val="00AB0F55"/>
    <w:rsid w:val="00AB449E"/>
    <w:rsid w:val="00AB5EE2"/>
    <w:rsid w:val="00AB7E18"/>
    <w:rsid w:val="00AC0879"/>
    <w:rsid w:val="00AC1627"/>
    <w:rsid w:val="00AC1667"/>
    <w:rsid w:val="00AC1BFD"/>
    <w:rsid w:val="00AC393D"/>
    <w:rsid w:val="00AD2D39"/>
    <w:rsid w:val="00AD30E4"/>
    <w:rsid w:val="00AD346D"/>
    <w:rsid w:val="00AD55E3"/>
    <w:rsid w:val="00AD656E"/>
    <w:rsid w:val="00AD7F14"/>
    <w:rsid w:val="00AE0E86"/>
    <w:rsid w:val="00AE3F34"/>
    <w:rsid w:val="00AF3FB6"/>
    <w:rsid w:val="00AF4600"/>
    <w:rsid w:val="00AF54E5"/>
    <w:rsid w:val="00B04620"/>
    <w:rsid w:val="00B0525B"/>
    <w:rsid w:val="00B0557E"/>
    <w:rsid w:val="00B10CAB"/>
    <w:rsid w:val="00B11132"/>
    <w:rsid w:val="00B13A1D"/>
    <w:rsid w:val="00B13EAE"/>
    <w:rsid w:val="00B14A6B"/>
    <w:rsid w:val="00B151BE"/>
    <w:rsid w:val="00B16372"/>
    <w:rsid w:val="00B26FE5"/>
    <w:rsid w:val="00B2759A"/>
    <w:rsid w:val="00B35464"/>
    <w:rsid w:val="00B44636"/>
    <w:rsid w:val="00B515B9"/>
    <w:rsid w:val="00B52FD9"/>
    <w:rsid w:val="00B537D1"/>
    <w:rsid w:val="00B54171"/>
    <w:rsid w:val="00B54A0B"/>
    <w:rsid w:val="00B560E1"/>
    <w:rsid w:val="00B5666A"/>
    <w:rsid w:val="00B57D60"/>
    <w:rsid w:val="00B6034F"/>
    <w:rsid w:val="00B60C36"/>
    <w:rsid w:val="00B63ECD"/>
    <w:rsid w:val="00B642B8"/>
    <w:rsid w:val="00B653DD"/>
    <w:rsid w:val="00B70190"/>
    <w:rsid w:val="00B72F53"/>
    <w:rsid w:val="00B77BEC"/>
    <w:rsid w:val="00B84E13"/>
    <w:rsid w:val="00B84E9D"/>
    <w:rsid w:val="00B856E1"/>
    <w:rsid w:val="00B9199A"/>
    <w:rsid w:val="00B937E4"/>
    <w:rsid w:val="00B94DBA"/>
    <w:rsid w:val="00B9661E"/>
    <w:rsid w:val="00B9723D"/>
    <w:rsid w:val="00B972CE"/>
    <w:rsid w:val="00B979DC"/>
    <w:rsid w:val="00B97E6D"/>
    <w:rsid w:val="00BA1804"/>
    <w:rsid w:val="00BA4BC1"/>
    <w:rsid w:val="00BA66EC"/>
    <w:rsid w:val="00BA75B2"/>
    <w:rsid w:val="00BA7759"/>
    <w:rsid w:val="00BB23B1"/>
    <w:rsid w:val="00BB347E"/>
    <w:rsid w:val="00BB4AA7"/>
    <w:rsid w:val="00BB5789"/>
    <w:rsid w:val="00BC046F"/>
    <w:rsid w:val="00BC1FC6"/>
    <w:rsid w:val="00BC3343"/>
    <w:rsid w:val="00BC3775"/>
    <w:rsid w:val="00BC4586"/>
    <w:rsid w:val="00BC6B11"/>
    <w:rsid w:val="00BC7E80"/>
    <w:rsid w:val="00BD1A31"/>
    <w:rsid w:val="00BD2A00"/>
    <w:rsid w:val="00BD525D"/>
    <w:rsid w:val="00BD56B9"/>
    <w:rsid w:val="00BD6E26"/>
    <w:rsid w:val="00BE0F9A"/>
    <w:rsid w:val="00BE46B4"/>
    <w:rsid w:val="00BE46CB"/>
    <w:rsid w:val="00BE4D87"/>
    <w:rsid w:val="00BF0673"/>
    <w:rsid w:val="00BF24CE"/>
    <w:rsid w:val="00BF30F0"/>
    <w:rsid w:val="00BF5C0F"/>
    <w:rsid w:val="00BF7404"/>
    <w:rsid w:val="00C00960"/>
    <w:rsid w:val="00C04091"/>
    <w:rsid w:val="00C05818"/>
    <w:rsid w:val="00C06791"/>
    <w:rsid w:val="00C11CC1"/>
    <w:rsid w:val="00C12EC7"/>
    <w:rsid w:val="00C13CAB"/>
    <w:rsid w:val="00C14203"/>
    <w:rsid w:val="00C16FAD"/>
    <w:rsid w:val="00C22402"/>
    <w:rsid w:val="00C252F9"/>
    <w:rsid w:val="00C25D8B"/>
    <w:rsid w:val="00C263A0"/>
    <w:rsid w:val="00C31886"/>
    <w:rsid w:val="00C32307"/>
    <w:rsid w:val="00C33031"/>
    <w:rsid w:val="00C33C29"/>
    <w:rsid w:val="00C33C4D"/>
    <w:rsid w:val="00C33E8A"/>
    <w:rsid w:val="00C3792C"/>
    <w:rsid w:val="00C422A9"/>
    <w:rsid w:val="00C45656"/>
    <w:rsid w:val="00C45809"/>
    <w:rsid w:val="00C45A45"/>
    <w:rsid w:val="00C524AD"/>
    <w:rsid w:val="00C53B9C"/>
    <w:rsid w:val="00C54A04"/>
    <w:rsid w:val="00C557D1"/>
    <w:rsid w:val="00C57CE6"/>
    <w:rsid w:val="00C602D4"/>
    <w:rsid w:val="00C62B51"/>
    <w:rsid w:val="00C63B24"/>
    <w:rsid w:val="00C66818"/>
    <w:rsid w:val="00C6790F"/>
    <w:rsid w:val="00C71310"/>
    <w:rsid w:val="00C7181D"/>
    <w:rsid w:val="00C71B43"/>
    <w:rsid w:val="00C726F0"/>
    <w:rsid w:val="00C76762"/>
    <w:rsid w:val="00C76DB4"/>
    <w:rsid w:val="00C81782"/>
    <w:rsid w:val="00C86348"/>
    <w:rsid w:val="00C906A9"/>
    <w:rsid w:val="00C90B9D"/>
    <w:rsid w:val="00CA12E6"/>
    <w:rsid w:val="00CA310F"/>
    <w:rsid w:val="00CA4DED"/>
    <w:rsid w:val="00CA66CC"/>
    <w:rsid w:val="00CB38EE"/>
    <w:rsid w:val="00CB6804"/>
    <w:rsid w:val="00CC07D6"/>
    <w:rsid w:val="00CC1801"/>
    <w:rsid w:val="00CC242D"/>
    <w:rsid w:val="00CC3073"/>
    <w:rsid w:val="00CC40D5"/>
    <w:rsid w:val="00CC4333"/>
    <w:rsid w:val="00CC4454"/>
    <w:rsid w:val="00CC4F0A"/>
    <w:rsid w:val="00CC5153"/>
    <w:rsid w:val="00CC6EAB"/>
    <w:rsid w:val="00CD14D7"/>
    <w:rsid w:val="00CD1972"/>
    <w:rsid w:val="00CD56F6"/>
    <w:rsid w:val="00CE06E6"/>
    <w:rsid w:val="00CE20CC"/>
    <w:rsid w:val="00CE4B8C"/>
    <w:rsid w:val="00CE4F99"/>
    <w:rsid w:val="00CE5474"/>
    <w:rsid w:val="00CE6B0E"/>
    <w:rsid w:val="00CE6F93"/>
    <w:rsid w:val="00CF0BEE"/>
    <w:rsid w:val="00CF3230"/>
    <w:rsid w:val="00CF3443"/>
    <w:rsid w:val="00CF5BA3"/>
    <w:rsid w:val="00CF6498"/>
    <w:rsid w:val="00CF6D35"/>
    <w:rsid w:val="00D04A05"/>
    <w:rsid w:val="00D1120B"/>
    <w:rsid w:val="00D11A3C"/>
    <w:rsid w:val="00D1336C"/>
    <w:rsid w:val="00D15085"/>
    <w:rsid w:val="00D16B3C"/>
    <w:rsid w:val="00D17468"/>
    <w:rsid w:val="00D17B4F"/>
    <w:rsid w:val="00D21D41"/>
    <w:rsid w:val="00D233C0"/>
    <w:rsid w:val="00D245F2"/>
    <w:rsid w:val="00D269CA"/>
    <w:rsid w:val="00D30371"/>
    <w:rsid w:val="00D3136E"/>
    <w:rsid w:val="00D34568"/>
    <w:rsid w:val="00D352DD"/>
    <w:rsid w:val="00D36A54"/>
    <w:rsid w:val="00D37A9C"/>
    <w:rsid w:val="00D41EFE"/>
    <w:rsid w:val="00D41F40"/>
    <w:rsid w:val="00D46882"/>
    <w:rsid w:val="00D5630C"/>
    <w:rsid w:val="00D57D98"/>
    <w:rsid w:val="00D61DAA"/>
    <w:rsid w:val="00D621DB"/>
    <w:rsid w:val="00D63C4E"/>
    <w:rsid w:val="00D74BD0"/>
    <w:rsid w:val="00D759A2"/>
    <w:rsid w:val="00D8082B"/>
    <w:rsid w:val="00D815F3"/>
    <w:rsid w:val="00D844C2"/>
    <w:rsid w:val="00D85D14"/>
    <w:rsid w:val="00D86DF1"/>
    <w:rsid w:val="00D86EE7"/>
    <w:rsid w:val="00D91B14"/>
    <w:rsid w:val="00D96571"/>
    <w:rsid w:val="00D96CAF"/>
    <w:rsid w:val="00D970EE"/>
    <w:rsid w:val="00D972B9"/>
    <w:rsid w:val="00DA0EAA"/>
    <w:rsid w:val="00DA22DB"/>
    <w:rsid w:val="00DA2A4B"/>
    <w:rsid w:val="00DA399E"/>
    <w:rsid w:val="00DB0193"/>
    <w:rsid w:val="00DB1A95"/>
    <w:rsid w:val="00DB45FA"/>
    <w:rsid w:val="00DB584F"/>
    <w:rsid w:val="00DC098D"/>
    <w:rsid w:val="00DC39DA"/>
    <w:rsid w:val="00DC5B4B"/>
    <w:rsid w:val="00DC64B7"/>
    <w:rsid w:val="00DC6AF2"/>
    <w:rsid w:val="00DC7687"/>
    <w:rsid w:val="00DD2DC4"/>
    <w:rsid w:val="00DD53FF"/>
    <w:rsid w:val="00DD5719"/>
    <w:rsid w:val="00DE0F50"/>
    <w:rsid w:val="00DE696B"/>
    <w:rsid w:val="00DF1C98"/>
    <w:rsid w:val="00DF50C6"/>
    <w:rsid w:val="00DF5342"/>
    <w:rsid w:val="00DF7B0F"/>
    <w:rsid w:val="00E001BE"/>
    <w:rsid w:val="00E01F14"/>
    <w:rsid w:val="00E02CC9"/>
    <w:rsid w:val="00E03155"/>
    <w:rsid w:val="00E04CC5"/>
    <w:rsid w:val="00E05E80"/>
    <w:rsid w:val="00E138E2"/>
    <w:rsid w:val="00E207DB"/>
    <w:rsid w:val="00E2319B"/>
    <w:rsid w:val="00E24199"/>
    <w:rsid w:val="00E264EE"/>
    <w:rsid w:val="00E2655C"/>
    <w:rsid w:val="00E3022A"/>
    <w:rsid w:val="00E307AB"/>
    <w:rsid w:val="00E309F6"/>
    <w:rsid w:val="00E3423A"/>
    <w:rsid w:val="00E3782B"/>
    <w:rsid w:val="00E40407"/>
    <w:rsid w:val="00E4049F"/>
    <w:rsid w:val="00E45A9A"/>
    <w:rsid w:val="00E50E19"/>
    <w:rsid w:val="00E51342"/>
    <w:rsid w:val="00E523C6"/>
    <w:rsid w:val="00E538D0"/>
    <w:rsid w:val="00E548A6"/>
    <w:rsid w:val="00E57528"/>
    <w:rsid w:val="00E6024B"/>
    <w:rsid w:val="00E60541"/>
    <w:rsid w:val="00E6165A"/>
    <w:rsid w:val="00E61FCE"/>
    <w:rsid w:val="00E63CA1"/>
    <w:rsid w:val="00E6676B"/>
    <w:rsid w:val="00E7274B"/>
    <w:rsid w:val="00E7746D"/>
    <w:rsid w:val="00E82363"/>
    <w:rsid w:val="00E85296"/>
    <w:rsid w:val="00E854E5"/>
    <w:rsid w:val="00E90F41"/>
    <w:rsid w:val="00E91533"/>
    <w:rsid w:val="00E95AED"/>
    <w:rsid w:val="00E96D90"/>
    <w:rsid w:val="00E97E50"/>
    <w:rsid w:val="00EA0251"/>
    <w:rsid w:val="00EA3691"/>
    <w:rsid w:val="00EA4725"/>
    <w:rsid w:val="00EA5393"/>
    <w:rsid w:val="00EB06DA"/>
    <w:rsid w:val="00EB2B29"/>
    <w:rsid w:val="00EB2C51"/>
    <w:rsid w:val="00EB4657"/>
    <w:rsid w:val="00EB6269"/>
    <w:rsid w:val="00EC0D4A"/>
    <w:rsid w:val="00EC2CDD"/>
    <w:rsid w:val="00EC5F25"/>
    <w:rsid w:val="00EC7D97"/>
    <w:rsid w:val="00ED14CC"/>
    <w:rsid w:val="00ED2FF4"/>
    <w:rsid w:val="00ED3091"/>
    <w:rsid w:val="00ED422D"/>
    <w:rsid w:val="00ED5BAF"/>
    <w:rsid w:val="00ED6C3A"/>
    <w:rsid w:val="00EE33AC"/>
    <w:rsid w:val="00EE355D"/>
    <w:rsid w:val="00EE4723"/>
    <w:rsid w:val="00EE7E25"/>
    <w:rsid w:val="00EF1B18"/>
    <w:rsid w:val="00EF1CF4"/>
    <w:rsid w:val="00EF30FA"/>
    <w:rsid w:val="00EF6DF2"/>
    <w:rsid w:val="00F005F0"/>
    <w:rsid w:val="00F00F9A"/>
    <w:rsid w:val="00F05CB8"/>
    <w:rsid w:val="00F06004"/>
    <w:rsid w:val="00F06FB8"/>
    <w:rsid w:val="00F075EF"/>
    <w:rsid w:val="00F10C4B"/>
    <w:rsid w:val="00F112DA"/>
    <w:rsid w:val="00F11AF9"/>
    <w:rsid w:val="00F138FE"/>
    <w:rsid w:val="00F163E8"/>
    <w:rsid w:val="00F217EB"/>
    <w:rsid w:val="00F229F0"/>
    <w:rsid w:val="00F23109"/>
    <w:rsid w:val="00F23B1B"/>
    <w:rsid w:val="00F24A3E"/>
    <w:rsid w:val="00F318C7"/>
    <w:rsid w:val="00F32B0E"/>
    <w:rsid w:val="00F36E8A"/>
    <w:rsid w:val="00F37359"/>
    <w:rsid w:val="00F40637"/>
    <w:rsid w:val="00F430A0"/>
    <w:rsid w:val="00F43970"/>
    <w:rsid w:val="00F44525"/>
    <w:rsid w:val="00F45190"/>
    <w:rsid w:val="00F45FEC"/>
    <w:rsid w:val="00F46123"/>
    <w:rsid w:val="00F467CA"/>
    <w:rsid w:val="00F51093"/>
    <w:rsid w:val="00F51E10"/>
    <w:rsid w:val="00F55F44"/>
    <w:rsid w:val="00F565A8"/>
    <w:rsid w:val="00F572BA"/>
    <w:rsid w:val="00F606B8"/>
    <w:rsid w:val="00F630B2"/>
    <w:rsid w:val="00F63B38"/>
    <w:rsid w:val="00F70FAA"/>
    <w:rsid w:val="00F7441E"/>
    <w:rsid w:val="00F80507"/>
    <w:rsid w:val="00F81E60"/>
    <w:rsid w:val="00F842C0"/>
    <w:rsid w:val="00F855C8"/>
    <w:rsid w:val="00F87BE0"/>
    <w:rsid w:val="00F87F57"/>
    <w:rsid w:val="00F922C1"/>
    <w:rsid w:val="00F9294C"/>
    <w:rsid w:val="00F92B77"/>
    <w:rsid w:val="00F93CCC"/>
    <w:rsid w:val="00F95249"/>
    <w:rsid w:val="00F95903"/>
    <w:rsid w:val="00F97911"/>
    <w:rsid w:val="00F97C2B"/>
    <w:rsid w:val="00FA3B75"/>
    <w:rsid w:val="00FA6B8F"/>
    <w:rsid w:val="00FA74E8"/>
    <w:rsid w:val="00FA7F35"/>
    <w:rsid w:val="00FB0B8C"/>
    <w:rsid w:val="00FB1D60"/>
    <w:rsid w:val="00FB290E"/>
    <w:rsid w:val="00FB61E7"/>
    <w:rsid w:val="00FB700F"/>
    <w:rsid w:val="00FC004B"/>
    <w:rsid w:val="00FC0338"/>
    <w:rsid w:val="00FC1467"/>
    <w:rsid w:val="00FC1F3B"/>
    <w:rsid w:val="00FC3159"/>
    <w:rsid w:val="00FC4438"/>
    <w:rsid w:val="00FC44A9"/>
    <w:rsid w:val="00FC5665"/>
    <w:rsid w:val="00FC5A76"/>
    <w:rsid w:val="00FC72B8"/>
    <w:rsid w:val="00FC7764"/>
    <w:rsid w:val="00FD13FB"/>
    <w:rsid w:val="00FD1696"/>
    <w:rsid w:val="00FD19C2"/>
    <w:rsid w:val="00FD412C"/>
    <w:rsid w:val="00FD49F3"/>
    <w:rsid w:val="00FD51FF"/>
    <w:rsid w:val="00FD576E"/>
    <w:rsid w:val="00FD6109"/>
    <w:rsid w:val="00FE0532"/>
    <w:rsid w:val="00FE1E81"/>
    <w:rsid w:val="00FE2F57"/>
    <w:rsid w:val="00FE3802"/>
    <w:rsid w:val="00FE3F14"/>
    <w:rsid w:val="00FE4771"/>
    <w:rsid w:val="00FF1F66"/>
    <w:rsid w:val="00FF3D87"/>
    <w:rsid w:val="011F555C"/>
    <w:rsid w:val="011FE62D"/>
    <w:rsid w:val="018BFAC1"/>
    <w:rsid w:val="01C33D52"/>
    <w:rsid w:val="01CBFA35"/>
    <w:rsid w:val="01F8F7B7"/>
    <w:rsid w:val="01FB24AF"/>
    <w:rsid w:val="01FC7E3C"/>
    <w:rsid w:val="028E854C"/>
    <w:rsid w:val="02B51DF6"/>
    <w:rsid w:val="02CF6468"/>
    <w:rsid w:val="03DAF9C4"/>
    <w:rsid w:val="040384D4"/>
    <w:rsid w:val="0454201D"/>
    <w:rsid w:val="046F0DE7"/>
    <w:rsid w:val="048B1476"/>
    <w:rsid w:val="05139738"/>
    <w:rsid w:val="05C59308"/>
    <w:rsid w:val="0618D086"/>
    <w:rsid w:val="0626E4D7"/>
    <w:rsid w:val="06B6C1D3"/>
    <w:rsid w:val="06D76535"/>
    <w:rsid w:val="06F699DC"/>
    <w:rsid w:val="06FBABE3"/>
    <w:rsid w:val="072E9728"/>
    <w:rsid w:val="0771A4CD"/>
    <w:rsid w:val="07C9DE64"/>
    <w:rsid w:val="07CFD30D"/>
    <w:rsid w:val="07E18DFE"/>
    <w:rsid w:val="084BF322"/>
    <w:rsid w:val="0972CFB3"/>
    <w:rsid w:val="0989F5CF"/>
    <w:rsid w:val="09F620DD"/>
    <w:rsid w:val="09FD8704"/>
    <w:rsid w:val="0A93642F"/>
    <w:rsid w:val="0AA71F7B"/>
    <w:rsid w:val="0ABDB727"/>
    <w:rsid w:val="0AD7D204"/>
    <w:rsid w:val="0AF4509A"/>
    <w:rsid w:val="0B0254A6"/>
    <w:rsid w:val="0BB2C3DE"/>
    <w:rsid w:val="0C33FA7A"/>
    <w:rsid w:val="0C4F3D79"/>
    <w:rsid w:val="0D24421E"/>
    <w:rsid w:val="0DC21C47"/>
    <w:rsid w:val="0DED12F5"/>
    <w:rsid w:val="0E0C5A5F"/>
    <w:rsid w:val="0E0E76FB"/>
    <w:rsid w:val="0E6DF215"/>
    <w:rsid w:val="0E8AB1BD"/>
    <w:rsid w:val="0E9560CF"/>
    <w:rsid w:val="0EAA3989"/>
    <w:rsid w:val="0EAA65DF"/>
    <w:rsid w:val="0FB931FA"/>
    <w:rsid w:val="0FE82F6D"/>
    <w:rsid w:val="0FFF28A0"/>
    <w:rsid w:val="101D5F5A"/>
    <w:rsid w:val="104738D2"/>
    <w:rsid w:val="10658748"/>
    <w:rsid w:val="10A2FA46"/>
    <w:rsid w:val="11094612"/>
    <w:rsid w:val="1115B18A"/>
    <w:rsid w:val="1126239E"/>
    <w:rsid w:val="1147F169"/>
    <w:rsid w:val="11A31512"/>
    <w:rsid w:val="11EFB295"/>
    <w:rsid w:val="127E3491"/>
    <w:rsid w:val="12CADC1E"/>
    <w:rsid w:val="1394F418"/>
    <w:rsid w:val="13B2EC21"/>
    <w:rsid w:val="13B5B667"/>
    <w:rsid w:val="1488FAEF"/>
    <w:rsid w:val="14B4436F"/>
    <w:rsid w:val="14EE360B"/>
    <w:rsid w:val="152D2B9F"/>
    <w:rsid w:val="1546618D"/>
    <w:rsid w:val="15572D70"/>
    <w:rsid w:val="15ABB0A9"/>
    <w:rsid w:val="1611ABF1"/>
    <w:rsid w:val="161D2EC6"/>
    <w:rsid w:val="162D13A4"/>
    <w:rsid w:val="1662D1D3"/>
    <w:rsid w:val="16F49CF6"/>
    <w:rsid w:val="1759BBF4"/>
    <w:rsid w:val="1773DE65"/>
    <w:rsid w:val="17E0C159"/>
    <w:rsid w:val="181AAF0E"/>
    <w:rsid w:val="1821CF46"/>
    <w:rsid w:val="18D92252"/>
    <w:rsid w:val="19309D80"/>
    <w:rsid w:val="19ED1886"/>
    <w:rsid w:val="1A30B42F"/>
    <w:rsid w:val="1A4F43F9"/>
    <w:rsid w:val="1A5093AC"/>
    <w:rsid w:val="1AAD26A7"/>
    <w:rsid w:val="1ADD1E1F"/>
    <w:rsid w:val="1AE189F3"/>
    <w:rsid w:val="1B277712"/>
    <w:rsid w:val="1B39C7FE"/>
    <w:rsid w:val="1BA965C8"/>
    <w:rsid w:val="1BBCEBEC"/>
    <w:rsid w:val="1BBDA26A"/>
    <w:rsid w:val="1C39AED4"/>
    <w:rsid w:val="1CBF76BF"/>
    <w:rsid w:val="1CC22F03"/>
    <w:rsid w:val="1DAC1B46"/>
    <w:rsid w:val="1DDB6DB7"/>
    <w:rsid w:val="1E064596"/>
    <w:rsid w:val="1E184FE5"/>
    <w:rsid w:val="1EC02CEA"/>
    <w:rsid w:val="1F173DF7"/>
    <w:rsid w:val="1F2EC0AC"/>
    <w:rsid w:val="1F6173DA"/>
    <w:rsid w:val="1F9B7019"/>
    <w:rsid w:val="2013343B"/>
    <w:rsid w:val="20713778"/>
    <w:rsid w:val="207CD77A"/>
    <w:rsid w:val="20E1F2E7"/>
    <w:rsid w:val="20F348CA"/>
    <w:rsid w:val="20F65948"/>
    <w:rsid w:val="210DC1A8"/>
    <w:rsid w:val="21501C02"/>
    <w:rsid w:val="21B04447"/>
    <w:rsid w:val="21BC81C8"/>
    <w:rsid w:val="21E11249"/>
    <w:rsid w:val="2251A5B6"/>
    <w:rsid w:val="22836A88"/>
    <w:rsid w:val="22C34F97"/>
    <w:rsid w:val="22E8B35A"/>
    <w:rsid w:val="22EADEAE"/>
    <w:rsid w:val="2326D233"/>
    <w:rsid w:val="233D3D72"/>
    <w:rsid w:val="23893047"/>
    <w:rsid w:val="23CBDA31"/>
    <w:rsid w:val="23EC8379"/>
    <w:rsid w:val="23ED07C9"/>
    <w:rsid w:val="240E5FD5"/>
    <w:rsid w:val="241AA609"/>
    <w:rsid w:val="245D0BB1"/>
    <w:rsid w:val="24776195"/>
    <w:rsid w:val="24DFB0A7"/>
    <w:rsid w:val="257CC6A4"/>
    <w:rsid w:val="25C1B520"/>
    <w:rsid w:val="26EF3D25"/>
    <w:rsid w:val="275AB370"/>
    <w:rsid w:val="27613F35"/>
    <w:rsid w:val="27C5C5AB"/>
    <w:rsid w:val="2812AAE8"/>
    <w:rsid w:val="284913D7"/>
    <w:rsid w:val="289A0778"/>
    <w:rsid w:val="28D49A08"/>
    <w:rsid w:val="2940B966"/>
    <w:rsid w:val="294FCB70"/>
    <w:rsid w:val="29800D08"/>
    <w:rsid w:val="298A3C9F"/>
    <w:rsid w:val="298CE88B"/>
    <w:rsid w:val="2A28C508"/>
    <w:rsid w:val="2AD7CD9F"/>
    <w:rsid w:val="2B435338"/>
    <w:rsid w:val="2B68A60F"/>
    <w:rsid w:val="2BA72C8C"/>
    <w:rsid w:val="2BABD6F2"/>
    <w:rsid w:val="2C0DD0EF"/>
    <w:rsid w:val="2C37580B"/>
    <w:rsid w:val="2D2B0301"/>
    <w:rsid w:val="2DA08347"/>
    <w:rsid w:val="2E70EBCB"/>
    <w:rsid w:val="2EB5E2BA"/>
    <w:rsid w:val="2F04D9E5"/>
    <w:rsid w:val="2F3CCA8D"/>
    <w:rsid w:val="2F43A33B"/>
    <w:rsid w:val="2FA84C69"/>
    <w:rsid w:val="2FCDD90F"/>
    <w:rsid w:val="2FDFE601"/>
    <w:rsid w:val="3077C031"/>
    <w:rsid w:val="30B382A2"/>
    <w:rsid w:val="3103414A"/>
    <w:rsid w:val="318A3916"/>
    <w:rsid w:val="321EA4EA"/>
    <w:rsid w:val="322F1A21"/>
    <w:rsid w:val="32D4E036"/>
    <w:rsid w:val="32E20CD6"/>
    <w:rsid w:val="32E8BC75"/>
    <w:rsid w:val="330C9879"/>
    <w:rsid w:val="33CAEA82"/>
    <w:rsid w:val="344D944E"/>
    <w:rsid w:val="347D5FD8"/>
    <w:rsid w:val="347F87B3"/>
    <w:rsid w:val="3566BAE3"/>
    <w:rsid w:val="35CA6F25"/>
    <w:rsid w:val="3618B404"/>
    <w:rsid w:val="361CF225"/>
    <w:rsid w:val="3620EE34"/>
    <w:rsid w:val="364AB944"/>
    <w:rsid w:val="36768E5B"/>
    <w:rsid w:val="36BA9B4F"/>
    <w:rsid w:val="36D2979C"/>
    <w:rsid w:val="36E9E4CD"/>
    <w:rsid w:val="36F27CCA"/>
    <w:rsid w:val="36F7C2D8"/>
    <w:rsid w:val="389362E5"/>
    <w:rsid w:val="38AF3820"/>
    <w:rsid w:val="38CC14BC"/>
    <w:rsid w:val="38D063DE"/>
    <w:rsid w:val="38D796A1"/>
    <w:rsid w:val="38FF6A1F"/>
    <w:rsid w:val="397A995D"/>
    <w:rsid w:val="39C8533E"/>
    <w:rsid w:val="39F6216D"/>
    <w:rsid w:val="3A09C7FB"/>
    <w:rsid w:val="3A4951BB"/>
    <w:rsid w:val="3A735B1E"/>
    <w:rsid w:val="3AB1EC56"/>
    <w:rsid w:val="3AC56660"/>
    <w:rsid w:val="3ACA55E3"/>
    <w:rsid w:val="3B28FAC5"/>
    <w:rsid w:val="3BB9059D"/>
    <w:rsid w:val="3BC52772"/>
    <w:rsid w:val="3C0BFE33"/>
    <w:rsid w:val="3C9797EE"/>
    <w:rsid w:val="3CB69647"/>
    <w:rsid w:val="3D656D79"/>
    <w:rsid w:val="3D7B9F19"/>
    <w:rsid w:val="3DA1EC49"/>
    <w:rsid w:val="3DA7B756"/>
    <w:rsid w:val="3E2DAF82"/>
    <w:rsid w:val="3E3231DB"/>
    <w:rsid w:val="3EC31CDF"/>
    <w:rsid w:val="3ED853C5"/>
    <w:rsid w:val="3EFE22DA"/>
    <w:rsid w:val="3F11110C"/>
    <w:rsid w:val="3F888927"/>
    <w:rsid w:val="3FB22306"/>
    <w:rsid w:val="3FC17786"/>
    <w:rsid w:val="3FCF1085"/>
    <w:rsid w:val="3FCF2D03"/>
    <w:rsid w:val="3FF9295B"/>
    <w:rsid w:val="40297137"/>
    <w:rsid w:val="4038AE54"/>
    <w:rsid w:val="405A3875"/>
    <w:rsid w:val="4084E444"/>
    <w:rsid w:val="409FDFAA"/>
    <w:rsid w:val="41849C64"/>
    <w:rsid w:val="4188E4A3"/>
    <w:rsid w:val="41F4E97F"/>
    <w:rsid w:val="42AE91B3"/>
    <w:rsid w:val="437E262D"/>
    <w:rsid w:val="4427B995"/>
    <w:rsid w:val="446D5D76"/>
    <w:rsid w:val="4492A322"/>
    <w:rsid w:val="44E78689"/>
    <w:rsid w:val="457E13E8"/>
    <w:rsid w:val="45C69AF9"/>
    <w:rsid w:val="4615659E"/>
    <w:rsid w:val="466371DE"/>
    <w:rsid w:val="47B4B64B"/>
    <w:rsid w:val="47C099A0"/>
    <w:rsid w:val="48382B13"/>
    <w:rsid w:val="483C9182"/>
    <w:rsid w:val="488AA3B4"/>
    <w:rsid w:val="488E3838"/>
    <w:rsid w:val="495811F8"/>
    <w:rsid w:val="4C8851B3"/>
    <w:rsid w:val="4CCCD7C3"/>
    <w:rsid w:val="4CD2230F"/>
    <w:rsid w:val="4CDC52A6"/>
    <w:rsid w:val="4CFF2C75"/>
    <w:rsid w:val="4D1B50C3"/>
    <w:rsid w:val="4D270B6D"/>
    <w:rsid w:val="4E220B1A"/>
    <w:rsid w:val="4E7D0338"/>
    <w:rsid w:val="4E8470A4"/>
    <w:rsid w:val="4F0EB7AF"/>
    <w:rsid w:val="4F1C0F1E"/>
    <w:rsid w:val="50029CFE"/>
    <w:rsid w:val="5059EFF0"/>
    <w:rsid w:val="50848F5C"/>
    <w:rsid w:val="50DF876D"/>
    <w:rsid w:val="52226837"/>
    <w:rsid w:val="5224AD90"/>
    <w:rsid w:val="5234F643"/>
    <w:rsid w:val="526D6E04"/>
    <w:rsid w:val="52933D84"/>
    <w:rsid w:val="52A04AB9"/>
    <w:rsid w:val="52A122A5"/>
    <w:rsid w:val="52D2CE62"/>
    <w:rsid w:val="52DA59E8"/>
    <w:rsid w:val="53203438"/>
    <w:rsid w:val="532E64A0"/>
    <w:rsid w:val="54239E6B"/>
    <w:rsid w:val="5465C7E1"/>
    <w:rsid w:val="54B5142D"/>
    <w:rsid w:val="54B96961"/>
    <w:rsid w:val="560CB7E8"/>
    <w:rsid w:val="5612E492"/>
    <w:rsid w:val="5680F1E0"/>
    <w:rsid w:val="56FF71E8"/>
    <w:rsid w:val="5700DF82"/>
    <w:rsid w:val="5799D1AE"/>
    <w:rsid w:val="57EC1D77"/>
    <w:rsid w:val="582AC115"/>
    <w:rsid w:val="5840A448"/>
    <w:rsid w:val="58586528"/>
    <w:rsid w:val="5866EBBC"/>
    <w:rsid w:val="58962685"/>
    <w:rsid w:val="58BF55D0"/>
    <w:rsid w:val="58C01636"/>
    <w:rsid w:val="58D78E3D"/>
    <w:rsid w:val="58E48A9E"/>
    <w:rsid w:val="5905FA0A"/>
    <w:rsid w:val="591C852C"/>
    <w:rsid w:val="59796A0E"/>
    <w:rsid w:val="5A7C8E58"/>
    <w:rsid w:val="5B816D64"/>
    <w:rsid w:val="5BAF5A26"/>
    <w:rsid w:val="5BCCC8C1"/>
    <w:rsid w:val="5C464516"/>
    <w:rsid w:val="5C83D3B4"/>
    <w:rsid w:val="5CBC1E89"/>
    <w:rsid w:val="5CE50438"/>
    <w:rsid w:val="5D1D3DC5"/>
    <w:rsid w:val="5D43740F"/>
    <w:rsid w:val="5D8FCBF3"/>
    <w:rsid w:val="5D9E6E6B"/>
    <w:rsid w:val="5D9FC4EF"/>
    <w:rsid w:val="5E46F202"/>
    <w:rsid w:val="5EBEDB1C"/>
    <w:rsid w:val="5F3CAD72"/>
    <w:rsid w:val="5F62E642"/>
    <w:rsid w:val="5F63DFF1"/>
    <w:rsid w:val="6020AF0F"/>
    <w:rsid w:val="6026BD8F"/>
    <w:rsid w:val="606BC83F"/>
    <w:rsid w:val="60B78380"/>
    <w:rsid w:val="61183282"/>
    <w:rsid w:val="6170A4FC"/>
    <w:rsid w:val="61C2526D"/>
    <w:rsid w:val="61DB60E7"/>
    <w:rsid w:val="61E2A65D"/>
    <w:rsid w:val="6211C8BC"/>
    <w:rsid w:val="626D753D"/>
    <w:rsid w:val="628B3A72"/>
    <w:rsid w:val="62C4C5F8"/>
    <w:rsid w:val="62DBE0F9"/>
    <w:rsid w:val="638AC45B"/>
    <w:rsid w:val="63AF2581"/>
    <w:rsid w:val="63BC8D94"/>
    <w:rsid w:val="63EE8CCA"/>
    <w:rsid w:val="6411FF92"/>
    <w:rsid w:val="64EFDDFC"/>
    <w:rsid w:val="65472CA4"/>
    <w:rsid w:val="6564E2D0"/>
    <w:rsid w:val="66EC9692"/>
    <w:rsid w:val="6796CD1B"/>
    <w:rsid w:val="67A23A92"/>
    <w:rsid w:val="67FFC16B"/>
    <w:rsid w:val="681ABAC8"/>
    <w:rsid w:val="68C005AF"/>
    <w:rsid w:val="68F5ECD6"/>
    <w:rsid w:val="69178097"/>
    <w:rsid w:val="692EE057"/>
    <w:rsid w:val="695A17CD"/>
    <w:rsid w:val="695CD3F6"/>
    <w:rsid w:val="698F9413"/>
    <w:rsid w:val="6A65FDF2"/>
    <w:rsid w:val="6A84D783"/>
    <w:rsid w:val="6A9AB7EF"/>
    <w:rsid w:val="6A9E187D"/>
    <w:rsid w:val="6B0E5C05"/>
    <w:rsid w:val="6B130423"/>
    <w:rsid w:val="6B149E4D"/>
    <w:rsid w:val="6B389BB5"/>
    <w:rsid w:val="6B7C7A5A"/>
    <w:rsid w:val="6B8FFC6B"/>
    <w:rsid w:val="6C35FCEF"/>
    <w:rsid w:val="6C368850"/>
    <w:rsid w:val="6D0A1812"/>
    <w:rsid w:val="6D8C1083"/>
    <w:rsid w:val="6DAD1A59"/>
    <w:rsid w:val="6DCE2BB2"/>
    <w:rsid w:val="6DF25640"/>
    <w:rsid w:val="6E83C0FA"/>
    <w:rsid w:val="6E8831C9"/>
    <w:rsid w:val="6E95D75C"/>
    <w:rsid w:val="6E9E9BBA"/>
    <w:rsid w:val="6F23906F"/>
    <w:rsid w:val="6F2C0C01"/>
    <w:rsid w:val="6F8F5FDC"/>
    <w:rsid w:val="70074720"/>
    <w:rsid w:val="702E68AD"/>
    <w:rsid w:val="7105A557"/>
    <w:rsid w:val="7136E4E7"/>
    <w:rsid w:val="71529CFA"/>
    <w:rsid w:val="716B114F"/>
    <w:rsid w:val="71F21593"/>
    <w:rsid w:val="72B4B414"/>
    <w:rsid w:val="72F248A7"/>
    <w:rsid w:val="7395AFA3"/>
    <w:rsid w:val="73986422"/>
    <w:rsid w:val="73D12A02"/>
    <w:rsid w:val="740E1806"/>
    <w:rsid w:val="744FC0B6"/>
    <w:rsid w:val="748E13D9"/>
    <w:rsid w:val="7581971C"/>
    <w:rsid w:val="75D19647"/>
    <w:rsid w:val="75FAD6E4"/>
    <w:rsid w:val="76322DBD"/>
    <w:rsid w:val="76399EFF"/>
    <w:rsid w:val="764EE6C1"/>
    <w:rsid w:val="76724A3F"/>
    <w:rsid w:val="767B4E5C"/>
    <w:rsid w:val="769B027E"/>
    <w:rsid w:val="76D92FAF"/>
    <w:rsid w:val="773117B8"/>
    <w:rsid w:val="77567BF5"/>
    <w:rsid w:val="776328B5"/>
    <w:rsid w:val="77B89E37"/>
    <w:rsid w:val="77C5B9CA"/>
    <w:rsid w:val="77D2F217"/>
    <w:rsid w:val="77DF88B9"/>
    <w:rsid w:val="78360F11"/>
    <w:rsid w:val="78AD0338"/>
    <w:rsid w:val="78B9EDFB"/>
    <w:rsid w:val="79D307E7"/>
    <w:rsid w:val="79D3A1C8"/>
    <w:rsid w:val="7A6C4442"/>
    <w:rsid w:val="7A6F6015"/>
    <w:rsid w:val="7AD735A4"/>
    <w:rsid w:val="7AF6215B"/>
    <w:rsid w:val="7AFDF955"/>
    <w:rsid w:val="7B0BF39F"/>
    <w:rsid w:val="7BB4E353"/>
    <w:rsid w:val="7CBCC613"/>
    <w:rsid w:val="7D08DD27"/>
    <w:rsid w:val="7D2EC965"/>
    <w:rsid w:val="7DC48866"/>
    <w:rsid w:val="7DFE05FA"/>
    <w:rsid w:val="7E65F574"/>
    <w:rsid w:val="7E82978D"/>
    <w:rsid w:val="7FB7A35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7B2CFBE"/>
  <w15:chartTrackingRefBased/>
  <w15:docId w15:val="{E8A72B90-096D-4460-894B-CAEB6B7C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0F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91017"/>
    <w:pPr>
      <w:tabs>
        <w:tab w:val="center" w:pos="4320"/>
        <w:tab w:val="right" w:pos="8640"/>
      </w:tabs>
    </w:pPr>
  </w:style>
  <w:style w:type="character" w:styleId="PageNumber">
    <w:name w:val="page number"/>
    <w:basedOn w:val="DefaultParagraphFont"/>
    <w:rsid w:val="00991017"/>
  </w:style>
  <w:style w:type="paragraph" w:styleId="BalloonText">
    <w:name w:val="Balloon Text"/>
    <w:basedOn w:val="Normal"/>
    <w:semiHidden/>
    <w:rsid w:val="00934E97"/>
    <w:rPr>
      <w:rFonts w:ascii="Tahoma" w:hAnsi="Tahoma" w:cs="Tahoma"/>
      <w:sz w:val="16"/>
      <w:szCs w:val="16"/>
    </w:rPr>
  </w:style>
  <w:style w:type="paragraph" w:styleId="Title">
    <w:name w:val="Title"/>
    <w:basedOn w:val="Normal"/>
    <w:qFormat/>
    <w:rsid w:val="005F727D"/>
    <w:pPr>
      <w:widowControl w:val="0"/>
      <w:jc w:val="center"/>
    </w:pPr>
    <w:rPr>
      <w:rFonts w:ascii="Letter Gothic 12cpi" w:hAnsi="Letter Gothic 12cpi"/>
      <w:b/>
      <w:bCs/>
      <w:sz w:val="24"/>
      <w:szCs w:val="24"/>
      <w:u w:val="single"/>
    </w:rPr>
  </w:style>
  <w:style w:type="paragraph" w:styleId="HTMLPreformatted">
    <w:name w:val="HTML Preformatted"/>
    <w:basedOn w:val="Normal"/>
    <w:rsid w:val="0087254F"/>
    <w:rPr>
      <w:rFonts w:ascii="Courier New" w:hAnsi="Courier New" w:cs="Courier New"/>
    </w:rPr>
  </w:style>
  <w:style w:type="character" w:styleId="Hyperlink">
    <w:name w:val="Hyperlink"/>
    <w:rsid w:val="00EB06DA"/>
    <w:rPr>
      <w:color w:val="0000FF"/>
      <w:u w:val="single"/>
    </w:rPr>
  </w:style>
  <w:style w:type="character" w:styleId="CommentReference">
    <w:name w:val="annotation reference"/>
    <w:rsid w:val="00567F14"/>
    <w:rPr>
      <w:sz w:val="16"/>
      <w:szCs w:val="16"/>
    </w:rPr>
  </w:style>
  <w:style w:type="paragraph" w:styleId="CommentText">
    <w:name w:val="annotation text"/>
    <w:basedOn w:val="Normal"/>
    <w:link w:val="CommentTextChar"/>
    <w:rsid w:val="00567F14"/>
  </w:style>
  <w:style w:type="character" w:customStyle="1" w:styleId="CommentTextChar">
    <w:name w:val="Comment Text Char"/>
    <w:basedOn w:val="DefaultParagraphFont"/>
    <w:link w:val="CommentText"/>
    <w:rsid w:val="00567F14"/>
  </w:style>
  <w:style w:type="paragraph" w:styleId="CommentSubject">
    <w:name w:val="annotation subject"/>
    <w:basedOn w:val="CommentText"/>
    <w:next w:val="CommentText"/>
    <w:link w:val="CommentSubjectChar"/>
    <w:rsid w:val="00567F14"/>
    <w:rPr>
      <w:b/>
      <w:bCs/>
    </w:rPr>
  </w:style>
  <w:style w:type="character" w:customStyle="1" w:styleId="CommentSubjectChar">
    <w:name w:val="Comment Subject Char"/>
    <w:link w:val="CommentSubject"/>
    <w:rsid w:val="00567F14"/>
    <w:rPr>
      <w:b/>
      <w:bCs/>
    </w:rPr>
  </w:style>
  <w:style w:type="paragraph" w:styleId="NoSpacing">
    <w:name w:val="No Spacing"/>
    <w:uiPriority w:val="1"/>
    <w:qFormat/>
    <w:rsid w:val="00D815F3"/>
    <w:pPr>
      <w:autoSpaceDE w:val="0"/>
      <w:autoSpaceDN w:val="0"/>
      <w:adjustRightInd w:val="0"/>
    </w:pPr>
  </w:style>
  <w:style w:type="paragraph" w:styleId="Header">
    <w:name w:val="header"/>
    <w:basedOn w:val="Normal"/>
    <w:link w:val="HeaderChar"/>
    <w:rsid w:val="00224B52"/>
    <w:pPr>
      <w:tabs>
        <w:tab w:val="center" w:pos="4680"/>
        <w:tab w:val="right" w:pos="9360"/>
      </w:tabs>
    </w:pPr>
  </w:style>
  <w:style w:type="character" w:customStyle="1" w:styleId="HeaderChar">
    <w:name w:val="Header Char"/>
    <w:basedOn w:val="DefaultParagraphFont"/>
    <w:link w:val="Header"/>
    <w:rsid w:val="00224B52"/>
  </w:style>
  <w:style w:type="paragraph" w:styleId="Revision">
    <w:name w:val="Revision"/>
    <w:hidden/>
    <w:uiPriority w:val="99"/>
    <w:semiHidden/>
    <w:rsid w:val="004342FC"/>
  </w:style>
  <w:style w:type="paragraph" w:styleId="FootnoteText">
    <w:name w:val="footnote text"/>
    <w:basedOn w:val="Normal"/>
    <w:link w:val="FootnoteTextChar"/>
    <w:rsid w:val="00FC3159"/>
  </w:style>
  <w:style w:type="character" w:customStyle="1" w:styleId="FootnoteTextChar">
    <w:name w:val="Footnote Text Char"/>
    <w:basedOn w:val="DefaultParagraphFont"/>
    <w:link w:val="FootnoteText"/>
    <w:rsid w:val="00FC3159"/>
  </w:style>
  <w:style w:type="character" w:styleId="FootnoteReference">
    <w:name w:val="footnote reference"/>
    <w:rsid w:val="00FC3159"/>
    <w:rPr>
      <w:vertAlign w:val="superscript"/>
    </w:rPr>
  </w:style>
  <w:style w:type="character" w:customStyle="1" w:styleId="UnresolvedMention1">
    <w:name w:val="Unresolved Mention1"/>
    <w:uiPriority w:val="99"/>
    <w:semiHidden/>
    <w:unhideWhenUsed/>
    <w:rsid w:val="00CE5474"/>
    <w:rPr>
      <w:color w:val="808080"/>
      <w:shd w:val="clear" w:color="auto" w:fill="E6E6E6"/>
    </w:rPr>
  </w:style>
  <w:style w:type="character" w:styleId="Mention">
    <w:name w:val="Mention"/>
    <w:basedOn w:val="DefaultParagraphFont"/>
    <w:uiPriority w:val="99"/>
    <w:semiHidden/>
    <w:unhideWhenUsed/>
    <w:rsid w:val="00C11CC1"/>
    <w:rPr>
      <w:color w:val="2B579A"/>
      <w:shd w:val="clear" w:color="auto" w:fill="E6E6E6"/>
    </w:rPr>
  </w:style>
  <w:style w:type="character" w:styleId="FollowedHyperlink">
    <w:name w:val="FollowedHyperlink"/>
    <w:basedOn w:val="DefaultParagraphFont"/>
    <w:rsid w:val="00BD56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1021.htm" TargetMode="External" /><Relationship Id="rId2" Type="http://schemas.openxmlformats.org/officeDocument/2006/relationships/hyperlink" Target="https://www.bls.gov/oes/current/oes436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3" ma:contentTypeDescription="Create a new document." ma:contentTypeScope="" ma:versionID="0e3941a2edc6a4bba15fabc4e0ad128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e97813c50845ffdbfa560526b951be85"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Details" ma:index="24" nillable="true" ma:displayName="Details" ma:description="File 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etails xmlns="63ed583d-7590-47b9-98bc-2af72f9646a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7E58D-C6D2-4AA3-A991-2913750E9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52AFF-E3C9-4DB5-8C37-863EC138A676}">
  <ds:schemaRefs>
    <ds:schemaRef ds:uri="http://schemas.microsoft.com/sharepoint/v3/contenttype/forms"/>
  </ds:schemaRefs>
</ds:datastoreItem>
</file>

<file path=customXml/itemProps3.xml><?xml version="1.0" encoding="utf-8"?>
<ds:datastoreItem xmlns:ds="http://schemas.openxmlformats.org/officeDocument/2006/customXml" ds:itemID="{2EF5FC7D-E27E-49E2-B99F-3ED43E5E92F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3ce6949-99fe-4549-b75a-2322037c47c1"/>
    <ds:schemaRef ds:uri="http://schemas.openxmlformats.org/package/2006/metadata/core-properties"/>
    <ds:schemaRef ds:uri="63ed583d-7590-47b9-98bc-2af72f9646ac"/>
    <ds:schemaRef ds:uri="http://www.w3.org/XML/1998/namespace"/>
    <ds:schemaRef ds:uri="http://purl.org/dc/dcmitype/"/>
  </ds:schemaRefs>
</ds:datastoreItem>
</file>

<file path=customXml/itemProps4.xml><?xml version="1.0" encoding="utf-8"?>
<ds:datastoreItem xmlns:ds="http://schemas.openxmlformats.org/officeDocument/2006/customXml" ds:itemID="{BD15DB3F-EAEE-46D7-A25F-FB6B75D86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4408</Words>
  <Characters>25126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Requirements for Rail Tank Cars</vt:lpstr>
    </vt:vector>
  </TitlesOfParts>
  <Company>DOT</Company>
  <LinksUpToDate>false</LinksUpToDate>
  <CharactersWithSpaces>29476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Rail Tank Cars</dc:title>
  <dc:creator>fosterg</dc:creator>
  <cp:lastModifiedBy>Larson, Ryan (PHMSA)</cp:lastModifiedBy>
  <cp:revision>2</cp:revision>
  <cp:lastPrinted>2015-08-11T18:47:00Z</cp:lastPrinted>
  <dcterms:created xsi:type="dcterms:W3CDTF">2025-07-15T12:06:00Z</dcterms:created>
  <dcterms:modified xsi:type="dcterms:W3CDTF">2025-07-15T12:06:00Z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