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6F6D" w:rsidRPr="003B2333" w:rsidP="001B27BB" w14:paraId="4CA2B3B6" w14:textId="77777777">
      <w:pPr>
        <w:pStyle w:val="NoSpacing"/>
        <w:jc w:val="center"/>
        <w:rPr>
          <w:rFonts w:ascii="Times New Roman" w:hAnsi="Times New Roman"/>
          <w:b/>
          <w:sz w:val="24"/>
          <w:szCs w:val="24"/>
        </w:rPr>
      </w:pPr>
      <w:r w:rsidRPr="003B2333">
        <w:rPr>
          <w:rFonts w:ascii="Times New Roman" w:hAnsi="Times New Roman"/>
          <w:b/>
          <w:sz w:val="24"/>
          <w:szCs w:val="24"/>
        </w:rPr>
        <w:t>Supporting Statement for Paperwork Reduction Act Submissions</w:t>
      </w:r>
    </w:p>
    <w:p w:rsidR="005A0F5C" w:rsidRPr="005A0F5C" w:rsidP="001B27BB" w14:paraId="6C266009" w14:textId="77777777">
      <w:pPr>
        <w:pStyle w:val="NoSpacing"/>
        <w:jc w:val="center"/>
        <w:rPr>
          <w:rFonts w:ascii="Times New Roman" w:hAnsi="Times New Roman"/>
          <w:b/>
          <w:sz w:val="24"/>
          <w:szCs w:val="24"/>
        </w:rPr>
      </w:pPr>
      <w:r w:rsidRPr="005A0F5C">
        <w:rPr>
          <w:rFonts w:ascii="Times New Roman" w:hAnsi="Times New Roman"/>
          <w:b/>
          <w:sz w:val="24"/>
          <w:szCs w:val="24"/>
        </w:rPr>
        <w:t>Moving to Work, Asset Building Cohort Evaluation</w:t>
      </w:r>
    </w:p>
    <w:p w:rsidR="005A0F5C" w:rsidRPr="005A0F5C" w:rsidP="001B27BB" w14:paraId="173F344E" w14:textId="6B16BA63">
      <w:pPr>
        <w:pStyle w:val="NoSpacing"/>
        <w:jc w:val="center"/>
        <w:rPr>
          <w:rFonts w:ascii="Times New Roman" w:hAnsi="Times New Roman"/>
          <w:b/>
          <w:sz w:val="24"/>
          <w:szCs w:val="24"/>
        </w:rPr>
      </w:pPr>
      <w:r w:rsidRPr="005A0F5C">
        <w:rPr>
          <w:rFonts w:ascii="Times New Roman" w:hAnsi="Times New Roman"/>
          <w:b/>
          <w:sz w:val="24"/>
          <w:szCs w:val="24"/>
        </w:rPr>
        <w:t>OMB # 2528-0345</w:t>
      </w:r>
    </w:p>
    <w:p w:rsidR="00342A08" w:rsidP="001B27BB" w14:paraId="1CD8A08D" w14:textId="77777777">
      <w:pPr>
        <w:pStyle w:val="NoSpacing"/>
        <w:jc w:val="center"/>
        <w:rPr>
          <w:rFonts w:ascii="Times New Roman" w:hAnsi="Times New Roman"/>
          <w:b/>
          <w:bCs/>
          <w:sz w:val="24"/>
          <w:szCs w:val="24"/>
        </w:rPr>
      </w:pPr>
    </w:p>
    <w:p w:rsidR="00342A08" w:rsidP="0023501B" w14:paraId="745AF7F1" w14:textId="77777777">
      <w:pPr>
        <w:pStyle w:val="NoSpacing"/>
        <w:rPr>
          <w:rFonts w:ascii="Times New Roman" w:hAnsi="Times New Roman"/>
          <w:b/>
          <w:bCs/>
          <w:sz w:val="24"/>
          <w:szCs w:val="24"/>
        </w:rPr>
      </w:pPr>
    </w:p>
    <w:p w:rsidR="00266F6D" w:rsidRPr="00B901BE" w:rsidP="0023501B" w14:paraId="11854FC1" w14:textId="3D9410F2">
      <w:pPr>
        <w:pStyle w:val="NoSpacing"/>
        <w:rPr>
          <w:rFonts w:ascii="Times New Roman" w:hAnsi="Times New Roman"/>
          <w:b/>
          <w:bCs/>
          <w:sz w:val="24"/>
          <w:szCs w:val="24"/>
        </w:rPr>
      </w:pPr>
      <w:r w:rsidRPr="00B901BE">
        <w:rPr>
          <w:rFonts w:ascii="Times New Roman" w:hAnsi="Times New Roman"/>
          <w:b/>
          <w:bCs/>
          <w:sz w:val="24"/>
          <w:szCs w:val="24"/>
        </w:rPr>
        <w:t>B. Collections of Information Employing</w:t>
      </w:r>
      <w:r w:rsidRPr="00B901BE" w:rsidR="00763388">
        <w:rPr>
          <w:rFonts w:ascii="Times New Roman" w:hAnsi="Times New Roman"/>
          <w:b/>
          <w:bCs/>
          <w:sz w:val="24"/>
          <w:szCs w:val="24"/>
        </w:rPr>
        <w:t xml:space="preserve"> </w:t>
      </w:r>
      <w:r w:rsidRPr="00B901BE">
        <w:rPr>
          <w:rFonts w:ascii="Times New Roman" w:hAnsi="Times New Roman"/>
          <w:b/>
          <w:bCs/>
          <w:sz w:val="24"/>
          <w:szCs w:val="24"/>
        </w:rPr>
        <w:t>Statistical Methods</w:t>
      </w:r>
    </w:p>
    <w:p w:rsidR="00B901BE" w:rsidRPr="00B901BE" w:rsidP="0023501B" w14:paraId="42514EFE" w14:textId="77777777">
      <w:pPr>
        <w:pStyle w:val="NoSpacing"/>
        <w:rPr>
          <w:rFonts w:ascii="Times New Roman" w:hAnsi="Times New Roman"/>
          <w:sz w:val="24"/>
          <w:szCs w:val="24"/>
        </w:rPr>
      </w:pPr>
    </w:p>
    <w:p w:rsidR="00266F6D" w:rsidRPr="00831EC5" w:rsidP="0023501B" w14:paraId="445042BC" w14:textId="77777777">
      <w:pPr>
        <w:pStyle w:val="NoSpacing"/>
        <w:rPr>
          <w:rFonts w:ascii="Times New Roman" w:hAnsi="Times New Roman"/>
          <w:b/>
          <w:bCs/>
          <w:sz w:val="24"/>
          <w:szCs w:val="24"/>
        </w:rPr>
      </w:pPr>
      <w:r w:rsidRPr="00831EC5">
        <w:rPr>
          <w:rFonts w:ascii="Times New Roman" w:hAnsi="Times New Roman"/>
          <w:b/>
          <w:bCs/>
          <w:sz w:val="24"/>
          <w:szCs w:val="24"/>
        </w:rPr>
        <w:t>The agency should be prepared to justify its decision not to</w:t>
      </w:r>
      <w:r w:rsidRPr="00831EC5" w:rsidR="00763388">
        <w:rPr>
          <w:rFonts w:ascii="Times New Roman" w:hAnsi="Times New Roman"/>
          <w:b/>
          <w:bCs/>
          <w:sz w:val="24"/>
          <w:szCs w:val="24"/>
        </w:rPr>
        <w:t xml:space="preserve"> </w:t>
      </w:r>
      <w:r w:rsidRPr="00831EC5">
        <w:rPr>
          <w:rFonts w:ascii="Times New Roman" w:hAnsi="Times New Roman"/>
          <w:b/>
          <w:bCs/>
          <w:sz w:val="24"/>
          <w:szCs w:val="24"/>
        </w:rPr>
        <w:t>use statistical methods in any case where such methods</w:t>
      </w:r>
      <w:r w:rsidRPr="00831EC5" w:rsidR="00763388">
        <w:rPr>
          <w:rFonts w:ascii="Times New Roman" w:hAnsi="Times New Roman"/>
          <w:b/>
          <w:bCs/>
          <w:sz w:val="24"/>
          <w:szCs w:val="24"/>
        </w:rPr>
        <w:t xml:space="preserve"> </w:t>
      </w:r>
      <w:r w:rsidRPr="00831EC5">
        <w:rPr>
          <w:rFonts w:ascii="Times New Roman" w:hAnsi="Times New Roman"/>
          <w:b/>
          <w:bCs/>
          <w:sz w:val="24"/>
          <w:szCs w:val="24"/>
        </w:rPr>
        <w:t>might reduce burden or improve accuracy of results. When</w:t>
      </w:r>
      <w:r w:rsidRPr="00831EC5" w:rsidR="00763388">
        <w:rPr>
          <w:rFonts w:ascii="Times New Roman" w:hAnsi="Times New Roman"/>
          <w:b/>
          <w:bCs/>
          <w:sz w:val="24"/>
          <w:szCs w:val="24"/>
        </w:rPr>
        <w:t xml:space="preserve"> </w:t>
      </w:r>
      <w:r w:rsidRPr="00831EC5" w:rsidR="00E72113">
        <w:rPr>
          <w:rFonts w:ascii="Times New Roman" w:hAnsi="Times New Roman"/>
          <w:b/>
          <w:bCs/>
          <w:sz w:val="24"/>
          <w:szCs w:val="24"/>
        </w:rPr>
        <w:t>statistical methods</w:t>
      </w:r>
      <w:r w:rsidRPr="00831EC5">
        <w:rPr>
          <w:rFonts w:ascii="Times New Roman" w:hAnsi="Times New Roman"/>
          <w:b/>
          <w:bCs/>
          <w:sz w:val="24"/>
          <w:szCs w:val="24"/>
        </w:rPr>
        <w:t xml:space="preserve"> </w:t>
      </w:r>
      <w:r w:rsidRPr="00831EC5" w:rsidR="00E72113">
        <w:rPr>
          <w:rFonts w:ascii="Times New Roman" w:hAnsi="Times New Roman"/>
          <w:b/>
          <w:bCs/>
          <w:sz w:val="24"/>
          <w:szCs w:val="24"/>
        </w:rPr>
        <w:t>are involved,</w:t>
      </w:r>
      <w:r w:rsidRPr="00831EC5">
        <w:rPr>
          <w:rFonts w:ascii="Times New Roman" w:hAnsi="Times New Roman"/>
          <w:b/>
          <w:bCs/>
          <w:sz w:val="24"/>
          <w:szCs w:val="24"/>
        </w:rPr>
        <w:t xml:space="preserve"> the</w:t>
      </w:r>
      <w:r w:rsidRPr="00831EC5" w:rsidR="00763388">
        <w:rPr>
          <w:rFonts w:ascii="Times New Roman" w:hAnsi="Times New Roman"/>
          <w:b/>
          <w:bCs/>
          <w:sz w:val="24"/>
          <w:szCs w:val="24"/>
        </w:rPr>
        <w:t xml:space="preserve"> </w:t>
      </w:r>
      <w:r w:rsidRPr="00831EC5">
        <w:rPr>
          <w:rFonts w:ascii="Times New Roman" w:hAnsi="Times New Roman"/>
          <w:b/>
          <w:bCs/>
          <w:sz w:val="24"/>
          <w:szCs w:val="24"/>
        </w:rPr>
        <w:t xml:space="preserve">following documentation should be included </w:t>
      </w:r>
      <w:r w:rsidRPr="00831EC5" w:rsidR="00E72113">
        <w:rPr>
          <w:rFonts w:ascii="Times New Roman" w:hAnsi="Times New Roman"/>
          <w:b/>
          <w:bCs/>
          <w:sz w:val="24"/>
          <w:szCs w:val="24"/>
        </w:rPr>
        <w:t xml:space="preserve">with </w:t>
      </w:r>
      <w:r w:rsidRPr="00831EC5">
        <w:rPr>
          <w:rFonts w:ascii="Times New Roman" w:hAnsi="Times New Roman"/>
          <w:b/>
          <w:bCs/>
          <w:sz w:val="24"/>
          <w:szCs w:val="24"/>
        </w:rPr>
        <w:t>the</w:t>
      </w:r>
    </w:p>
    <w:p w:rsidR="00266F6D" w:rsidRPr="00831EC5" w:rsidP="0023501B" w14:paraId="561D05AE" w14:textId="47463E9E">
      <w:pPr>
        <w:pStyle w:val="NoSpacing"/>
        <w:rPr>
          <w:rFonts w:ascii="Times New Roman" w:hAnsi="Times New Roman"/>
          <w:b/>
          <w:bCs/>
          <w:sz w:val="24"/>
          <w:szCs w:val="24"/>
        </w:rPr>
      </w:pPr>
      <w:r w:rsidRPr="00831EC5">
        <w:rPr>
          <w:rFonts w:ascii="Times New Roman" w:hAnsi="Times New Roman"/>
          <w:b/>
          <w:bCs/>
          <w:sz w:val="24"/>
          <w:szCs w:val="24"/>
        </w:rPr>
        <w:t xml:space="preserve">Supporting </w:t>
      </w:r>
      <w:r w:rsidRPr="00831EC5" w:rsidR="00E72113">
        <w:rPr>
          <w:rFonts w:ascii="Times New Roman" w:hAnsi="Times New Roman"/>
          <w:b/>
          <w:bCs/>
          <w:sz w:val="24"/>
          <w:szCs w:val="24"/>
        </w:rPr>
        <w:t xml:space="preserve">Statement A </w:t>
      </w:r>
      <w:r w:rsidRPr="00831EC5">
        <w:rPr>
          <w:rFonts w:ascii="Times New Roman" w:hAnsi="Times New Roman"/>
          <w:b/>
          <w:bCs/>
          <w:sz w:val="24"/>
          <w:szCs w:val="24"/>
        </w:rPr>
        <w:t>to the exten</w:t>
      </w:r>
      <w:r w:rsidRPr="00831EC5" w:rsidR="00357386">
        <w:rPr>
          <w:rFonts w:ascii="Times New Roman" w:hAnsi="Times New Roman"/>
          <w:b/>
          <w:bCs/>
          <w:sz w:val="24"/>
          <w:szCs w:val="24"/>
        </w:rPr>
        <w:t>t</w:t>
      </w:r>
      <w:r w:rsidRPr="00831EC5">
        <w:rPr>
          <w:rFonts w:ascii="Times New Roman" w:hAnsi="Times New Roman"/>
          <w:b/>
          <w:bCs/>
          <w:sz w:val="24"/>
          <w:szCs w:val="24"/>
        </w:rPr>
        <w:t xml:space="preserve"> that it applies to the</w:t>
      </w:r>
      <w:r w:rsidRPr="00831EC5" w:rsidR="00763388">
        <w:rPr>
          <w:rFonts w:ascii="Times New Roman" w:hAnsi="Times New Roman"/>
          <w:b/>
          <w:bCs/>
          <w:sz w:val="24"/>
          <w:szCs w:val="24"/>
        </w:rPr>
        <w:t xml:space="preserve"> </w:t>
      </w:r>
      <w:r w:rsidRPr="00831EC5">
        <w:rPr>
          <w:rFonts w:ascii="Times New Roman" w:hAnsi="Times New Roman"/>
          <w:b/>
          <w:bCs/>
          <w:sz w:val="24"/>
          <w:szCs w:val="24"/>
        </w:rPr>
        <w:t>methods proposed:</w:t>
      </w:r>
    </w:p>
    <w:p w:rsidR="00763388" w:rsidP="0023501B" w14:paraId="326FC6D1" w14:textId="77777777">
      <w:pPr>
        <w:pStyle w:val="NoSpacing"/>
        <w:rPr>
          <w:rFonts w:ascii="Times New Roman" w:hAnsi="Times New Roman"/>
          <w:sz w:val="24"/>
          <w:szCs w:val="24"/>
        </w:rPr>
      </w:pPr>
    </w:p>
    <w:p w:rsidR="00266F6D" w:rsidP="0023501B" w14:paraId="24494CA6" w14:textId="57E2DA5E">
      <w:pPr>
        <w:pStyle w:val="NoSpacing"/>
        <w:rPr>
          <w:rFonts w:ascii="Times New Roman" w:hAnsi="Times New Roman"/>
          <w:b/>
          <w:bCs/>
          <w:sz w:val="24"/>
          <w:szCs w:val="24"/>
        </w:rPr>
      </w:pPr>
      <w:r w:rsidRPr="00831EC5">
        <w:rPr>
          <w:rFonts w:ascii="Times New Roman" w:hAnsi="Times New Roman"/>
          <w:b/>
          <w:bCs/>
          <w:sz w:val="24"/>
          <w:szCs w:val="24"/>
        </w:rPr>
        <w:t>1. Describe (including a numerical estimate) the</w:t>
      </w:r>
      <w:r w:rsidRPr="00831EC5" w:rsidR="00763388">
        <w:rPr>
          <w:rFonts w:ascii="Times New Roman" w:hAnsi="Times New Roman"/>
          <w:b/>
          <w:bCs/>
          <w:sz w:val="24"/>
          <w:szCs w:val="24"/>
        </w:rPr>
        <w:t xml:space="preserve"> </w:t>
      </w:r>
      <w:r w:rsidRPr="00831EC5">
        <w:rPr>
          <w:rFonts w:ascii="Times New Roman" w:hAnsi="Times New Roman"/>
          <w:b/>
          <w:bCs/>
          <w:sz w:val="24"/>
          <w:szCs w:val="24"/>
        </w:rPr>
        <w:t>potential respondent universe and any sampling or</w:t>
      </w:r>
      <w:r w:rsidRPr="00831EC5" w:rsidR="00763388">
        <w:rPr>
          <w:rFonts w:ascii="Times New Roman" w:hAnsi="Times New Roman"/>
          <w:b/>
          <w:bCs/>
          <w:sz w:val="24"/>
          <w:szCs w:val="24"/>
        </w:rPr>
        <w:t xml:space="preserve"> </w:t>
      </w:r>
      <w:r w:rsidRPr="00831EC5">
        <w:rPr>
          <w:rFonts w:ascii="Times New Roman" w:hAnsi="Times New Roman"/>
          <w:b/>
          <w:bCs/>
          <w:sz w:val="24"/>
          <w:szCs w:val="24"/>
        </w:rPr>
        <w:t>other respondent selection methods to be used. Data</w:t>
      </w:r>
      <w:r w:rsidRPr="00831EC5" w:rsidR="00763388">
        <w:rPr>
          <w:rFonts w:ascii="Times New Roman" w:hAnsi="Times New Roman"/>
          <w:b/>
          <w:bCs/>
          <w:sz w:val="24"/>
          <w:szCs w:val="24"/>
        </w:rPr>
        <w:t xml:space="preserve"> </w:t>
      </w:r>
      <w:r w:rsidRPr="00831EC5">
        <w:rPr>
          <w:rFonts w:ascii="Times New Roman" w:hAnsi="Times New Roman"/>
          <w:b/>
          <w:bCs/>
          <w:sz w:val="24"/>
          <w:szCs w:val="24"/>
        </w:rPr>
        <w:t>on the number of entities (e.g., establishments, State</w:t>
      </w:r>
      <w:r w:rsidRPr="00831EC5" w:rsidR="00763388">
        <w:rPr>
          <w:rFonts w:ascii="Times New Roman" w:hAnsi="Times New Roman"/>
          <w:b/>
          <w:bCs/>
          <w:sz w:val="24"/>
          <w:szCs w:val="24"/>
        </w:rPr>
        <w:t xml:space="preserve"> </w:t>
      </w:r>
      <w:r w:rsidRPr="00831EC5">
        <w:rPr>
          <w:rFonts w:ascii="Times New Roman" w:hAnsi="Times New Roman"/>
          <w:b/>
          <w:bCs/>
          <w:sz w:val="24"/>
          <w:szCs w:val="24"/>
        </w:rPr>
        <w:t>and local government units, households, or persons)</w:t>
      </w:r>
      <w:r w:rsidRPr="00831EC5" w:rsidR="00763388">
        <w:rPr>
          <w:rFonts w:ascii="Times New Roman" w:hAnsi="Times New Roman"/>
          <w:b/>
          <w:bCs/>
          <w:sz w:val="24"/>
          <w:szCs w:val="24"/>
        </w:rPr>
        <w:t xml:space="preserve"> </w:t>
      </w:r>
      <w:r w:rsidRPr="00831EC5">
        <w:rPr>
          <w:rFonts w:ascii="Times New Roman" w:hAnsi="Times New Roman"/>
          <w:b/>
          <w:bCs/>
          <w:sz w:val="24"/>
          <w:szCs w:val="24"/>
        </w:rPr>
        <w:t>in the universe covered by the collection and in the</w:t>
      </w:r>
      <w:r w:rsidRPr="00831EC5" w:rsidR="00763388">
        <w:rPr>
          <w:rFonts w:ascii="Times New Roman" w:hAnsi="Times New Roman"/>
          <w:b/>
          <w:bCs/>
          <w:sz w:val="24"/>
          <w:szCs w:val="24"/>
        </w:rPr>
        <w:t xml:space="preserve"> </w:t>
      </w:r>
      <w:r w:rsidRPr="00831EC5">
        <w:rPr>
          <w:rFonts w:ascii="Times New Roman" w:hAnsi="Times New Roman"/>
          <w:b/>
          <w:bCs/>
          <w:sz w:val="24"/>
          <w:szCs w:val="24"/>
        </w:rPr>
        <w:t>corresponding sample are to be provided in tabular</w:t>
      </w:r>
      <w:r w:rsidRPr="00831EC5" w:rsidR="00763388">
        <w:rPr>
          <w:rFonts w:ascii="Times New Roman" w:hAnsi="Times New Roman"/>
          <w:b/>
          <w:bCs/>
          <w:sz w:val="24"/>
          <w:szCs w:val="24"/>
        </w:rPr>
        <w:t xml:space="preserve"> </w:t>
      </w:r>
      <w:r w:rsidRPr="00831EC5">
        <w:rPr>
          <w:rFonts w:ascii="Times New Roman" w:hAnsi="Times New Roman"/>
          <w:b/>
          <w:bCs/>
          <w:sz w:val="24"/>
          <w:szCs w:val="24"/>
        </w:rPr>
        <w:t>form for the universe as a whole and for each of the</w:t>
      </w:r>
      <w:r w:rsidRPr="00831EC5" w:rsidR="00763388">
        <w:rPr>
          <w:rFonts w:ascii="Times New Roman" w:hAnsi="Times New Roman"/>
          <w:b/>
          <w:bCs/>
          <w:sz w:val="24"/>
          <w:szCs w:val="24"/>
        </w:rPr>
        <w:t xml:space="preserve"> </w:t>
      </w:r>
      <w:r w:rsidRPr="00831EC5">
        <w:rPr>
          <w:rFonts w:ascii="Times New Roman" w:hAnsi="Times New Roman"/>
          <w:b/>
          <w:bCs/>
          <w:sz w:val="24"/>
          <w:szCs w:val="24"/>
        </w:rPr>
        <w:t>strata in the proposed sample. Indicate expected</w:t>
      </w:r>
      <w:r w:rsidR="00431CB9">
        <w:rPr>
          <w:rFonts w:ascii="Times New Roman" w:hAnsi="Times New Roman"/>
          <w:b/>
          <w:bCs/>
          <w:sz w:val="24"/>
          <w:szCs w:val="24"/>
        </w:rPr>
        <w:t xml:space="preserve"> </w:t>
      </w:r>
      <w:r w:rsidRPr="00831EC5">
        <w:rPr>
          <w:rFonts w:ascii="Times New Roman" w:hAnsi="Times New Roman"/>
          <w:b/>
          <w:bCs/>
          <w:sz w:val="24"/>
          <w:szCs w:val="24"/>
        </w:rPr>
        <w:t>response rates for the collection as a whole. If the</w:t>
      </w:r>
      <w:r w:rsidRPr="00831EC5" w:rsidR="00763388">
        <w:rPr>
          <w:rFonts w:ascii="Times New Roman" w:hAnsi="Times New Roman"/>
          <w:b/>
          <w:bCs/>
          <w:sz w:val="24"/>
          <w:szCs w:val="24"/>
        </w:rPr>
        <w:t xml:space="preserve"> </w:t>
      </w:r>
      <w:r w:rsidRPr="00831EC5">
        <w:rPr>
          <w:rFonts w:ascii="Times New Roman" w:hAnsi="Times New Roman"/>
          <w:b/>
          <w:bCs/>
          <w:sz w:val="24"/>
          <w:szCs w:val="24"/>
        </w:rPr>
        <w:t>collection had been conducted previously, include the</w:t>
      </w:r>
      <w:r w:rsidRPr="00831EC5" w:rsidR="00763388">
        <w:rPr>
          <w:rFonts w:ascii="Times New Roman" w:hAnsi="Times New Roman"/>
          <w:b/>
          <w:bCs/>
          <w:sz w:val="24"/>
          <w:szCs w:val="24"/>
        </w:rPr>
        <w:t xml:space="preserve"> </w:t>
      </w:r>
      <w:r w:rsidRPr="00831EC5">
        <w:rPr>
          <w:rFonts w:ascii="Times New Roman" w:hAnsi="Times New Roman"/>
          <w:b/>
          <w:bCs/>
          <w:sz w:val="24"/>
          <w:szCs w:val="24"/>
        </w:rPr>
        <w:t>actual response rate achieved during the last</w:t>
      </w:r>
      <w:r w:rsidRPr="00831EC5" w:rsidR="00763388">
        <w:rPr>
          <w:rFonts w:ascii="Times New Roman" w:hAnsi="Times New Roman"/>
          <w:b/>
          <w:bCs/>
          <w:sz w:val="24"/>
          <w:szCs w:val="24"/>
        </w:rPr>
        <w:t xml:space="preserve"> </w:t>
      </w:r>
      <w:r w:rsidRPr="00831EC5">
        <w:rPr>
          <w:rFonts w:ascii="Times New Roman" w:hAnsi="Times New Roman"/>
          <w:b/>
          <w:bCs/>
          <w:sz w:val="24"/>
          <w:szCs w:val="24"/>
        </w:rPr>
        <w:t>collection.</w:t>
      </w:r>
    </w:p>
    <w:p w:rsidR="00831EC5" w:rsidP="0023501B" w14:paraId="2B0E42E4" w14:textId="77777777">
      <w:pPr>
        <w:pStyle w:val="NoSpacing"/>
        <w:rPr>
          <w:rFonts w:ascii="Times New Roman" w:hAnsi="Times New Roman"/>
          <w:b/>
          <w:bCs/>
          <w:sz w:val="24"/>
          <w:szCs w:val="24"/>
        </w:rPr>
      </w:pPr>
    </w:p>
    <w:p w:rsidR="00831EC5" w:rsidRPr="00831EC5" w:rsidP="008E524A" w14:paraId="5D28DC59" w14:textId="0978667C">
      <w:pPr>
        <w:pStyle w:val="BodyText"/>
        <w:rPr>
          <w:rFonts w:eastAsia="Arial"/>
          <w:color w:val="000000"/>
          <w:sz w:val="24"/>
          <w:szCs w:val="24"/>
        </w:rPr>
      </w:pPr>
      <w:r>
        <w:rPr>
          <w:rStyle w:val="BodyTextChar"/>
          <w:sz w:val="24"/>
          <w:szCs w:val="24"/>
          <w:lang w:val="en-US"/>
        </w:rPr>
        <w:t xml:space="preserve">This revision request to OMB # 2528-0345 seeks approval to include a household survey of participants in the Opt-Out Savings program. </w:t>
      </w:r>
      <w:r w:rsidRPr="00FD7C97">
        <w:rPr>
          <w:rStyle w:val="BodyTextChar"/>
          <w:sz w:val="24"/>
          <w:szCs w:val="24"/>
        </w:rPr>
        <w:t xml:space="preserve">Exhibit B-2 shows the expected household survey sample size </w:t>
      </w:r>
      <w:r>
        <w:rPr>
          <w:rStyle w:val="BodyTextChar"/>
          <w:sz w:val="24"/>
          <w:szCs w:val="24"/>
        </w:rPr>
        <w:t xml:space="preserve">for </w:t>
      </w:r>
      <w:r w:rsidRPr="00FD7C97">
        <w:rPr>
          <w:rStyle w:val="BodyTextChar"/>
          <w:sz w:val="24"/>
          <w:szCs w:val="24"/>
        </w:rPr>
        <w:t>each PHA implementing an Opt-Out Savings program</w:t>
      </w:r>
      <w:r>
        <w:rPr>
          <w:rStyle w:val="BodyTextChar"/>
          <w:sz w:val="24"/>
          <w:szCs w:val="24"/>
        </w:rPr>
        <w:t xml:space="preserve">, including </w:t>
      </w:r>
      <w:r w:rsidRPr="00FD7C97">
        <w:rPr>
          <w:noProof/>
          <w:sz w:val="24"/>
          <w:szCs w:val="24"/>
        </w:rPr>
        <w:t xml:space="preserve">the number of households assigned to the treatment and control groups and the </w:t>
      </w:r>
      <w:r>
        <w:rPr>
          <w:noProof/>
          <w:sz w:val="24"/>
          <w:szCs w:val="24"/>
        </w:rPr>
        <w:t>targeted sample size for the survey.</w:t>
      </w:r>
      <w:r w:rsidRPr="00FD7C97">
        <w:rPr>
          <w:noProof/>
          <w:sz w:val="24"/>
          <w:szCs w:val="24"/>
        </w:rPr>
        <w:t xml:space="preserve"> </w:t>
      </w:r>
      <w:r w:rsidRPr="008E524A" w:rsidR="00DD78C5">
        <w:rPr>
          <w:rFonts w:eastAsia="Arial"/>
          <w:color w:val="000000"/>
          <w:sz w:val="24"/>
          <w:szCs w:val="24"/>
        </w:rPr>
        <w:t>Exhibit B-1</w:t>
      </w:r>
      <w:r w:rsidRPr="00831EC5" w:rsidR="00DD78C5">
        <w:rPr>
          <w:rFonts w:eastAsia="Arial"/>
          <w:b/>
          <w:bCs/>
          <w:color w:val="000000"/>
          <w:sz w:val="24"/>
          <w:szCs w:val="24"/>
        </w:rPr>
        <w:t xml:space="preserve"> </w:t>
      </w:r>
      <w:r w:rsidRPr="00831EC5" w:rsidR="00DD78C5">
        <w:rPr>
          <w:rFonts w:eastAsia="Arial"/>
          <w:color w:val="000000"/>
          <w:sz w:val="24"/>
          <w:szCs w:val="24"/>
        </w:rPr>
        <w:t xml:space="preserve">provides the number of PHAs, rounds of data collection, respondents per round, and response rate for </w:t>
      </w:r>
      <w:r w:rsidR="00A67D44">
        <w:rPr>
          <w:rFonts w:eastAsia="Arial"/>
          <w:color w:val="000000"/>
          <w:sz w:val="24"/>
          <w:szCs w:val="24"/>
        </w:rPr>
        <w:t>the Opt-Out Savings Account Household Survey</w:t>
      </w:r>
      <w:r w:rsidRPr="00831EC5" w:rsidR="00DD78C5">
        <w:rPr>
          <w:rFonts w:eastAsia="Arial"/>
          <w:color w:val="000000"/>
          <w:sz w:val="24"/>
          <w:szCs w:val="24"/>
        </w:rPr>
        <w:t>.</w:t>
      </w:r>
    </w:p>
    <w:p w:rsidR="00831EC5" w:rsidRPr="00480033" w:rsidP="0023501B" w14:paraId="039A3307" w14:textId="10F2471B">
      <w:pPr>
        <w:keepNext/>
        <w:keepLines/>
        <w:widowControl w:val="0"/>
        <w:tabs>
          <w:tab w:val="left" w:pos="1440"/>
        </w:tabs>
        <w:spacing w:after="120" w:line="264" w:lineRule="auto"/>
        <w:rPr>
          <w:rFonts w:ascii="Times New Roman" w:hAnsi="Times New Roman"/>
          <w:sz w:val="24"/>
          <w:szCs w:val="24"/>
        </w:rPr>
      </w:pPr>
      <w:r w:rsidRPr="00480033">
        <w:rPr>
          <w:rFonts w:ascii="Times New Roman" w:eastAsia="Arial" w:hAnsi="Times New Roman"/>
          <w:b/>
          <w:bCs/>
          <w:color w:val="000000"/>
          <w:sz w:val="24"/>
          <w:szCs w:val="24"/>
        </w:rPr>
        <w:t xml:space="preserve">Exhibit B-1: Sample Sizes and Response Rates </w:t>
      </w:r>
      <w:r w:rsidRPr="00480033" w:rsidR="00480033">
        <w:rPr>
          <w:rFonts w:ascii="Times New Roman" w:eastAsia="Arial" w:hAnsi="Times New Roman"/>
          <w:b/>
          <w:bCs/>
          <w:color w:val="000000"/>
          <w:sz w:val="24"/>
          <w:szCs w:val="24"/>
        </w:rPr>
        <w:t xml:space="preserve">for </w:t>
      </w:r>
      <w:r w:rsidRPr="00480033" w:rsidR="00480033">
        <w:rPr>
          <w:rFonts w:ascii="Times New Roman" w:hAnsi="Times New Roman"/>
          <w:b/>
          <w:bCs/>
          <w:sz w:val="24"/>
          <w:szCs w:val="24"/>
        </w:rPr>
        <w:t>Requested Revision of OMB# 2528-0345 (Opt-Out Savings Account Household Survey)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85"/>
        <w:gridCol w:w="1621"/>
        <w:gridCol w:w="1709"/>
        <w:gridCol w:w="2611"/>
        <w:gridCol w:w="1524"/>
      </w:tblGrid>
      <w:tr w14:paraId="135877A8" w14:textId="77777777" w:rsidTr="00035ADC">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008" w:type="pct"/>
          </w:tcPr>
          <w:p w:rsidR="00831EC5" w:rsidRPr="00035ADC" w:rsidP="0023501B" w14:paraId="4DA44E36" w14:textId="77777777">
            <w:pPr>
              <w:pStyle w:val="ExhibitColumnHeader"/>
              <w:jc w:val="left"/>
              <w:rPr>
                <w:rFonts w:ascii="Times New Roman" w:hAnsi="Times New Roman" w:cs="Times New Roman"/>
                <w:color w:val="auto"/>
                <w:sz w:val="24"/>
                <w:szCs w:val="24"/>
              </w:rPr>
            </w:pPr>
          </w:p>
        </w:tc>
        <w:tc>
          <w:tcPr>
            <w:tcW w:w="867" w:type="pct"/>
          </w:tcPr>
          <w:p w:rsidR="00831EC5" w:rsidRPr="00035ADC" w:rsidP="0023501B" w14:paraId="33595013" w14:textId="77777777">
            <w:pPr>
              <w:pStyle w:val="ExhibitColumnHeader"/>
              <w:jc w:val="left"/>
              <w:rPr>
                <w:rFonts w:ascii="Times New Roman" w:hAnsi="Times New Roman" w:cs="Times New Roman"/>
                <w:color w:val="auto"/>
                <w:sz w:val="24"/>
                <w:szCs w:val="24"/>
              </w:rPr>
            </w:pPr>
            <w:r w:rsidRPr="00035ADC">
              <w:rPr>
                <w:rFonts w:ascii="Times New Roman" w:hAnsi="Times New Roman" w:cs="Times New Roman"/>
                <w:color w:val="auto"/>
                <w:sz w:val="24"/>
                <w:szCs w:val="24"/>
              </w:rPr>
              <w:t>PHAs</w:t>
            </w:r>
          </w:p>
        </w:tc>
        <w:tc>
          <w:tcPr>
            <w:tcW w:w="914" w:type="pct"/>
          </w:tcPr>
          <w:p w:rsidR="00831EC5" w:rsidRPr="00035ADC" w:rsidP="0023501B" w14:paraId="0461B64F" w14:textId="77777777">
            <w:pPr>
              <w:pStyle w:val="ExhibitColumnHeader"/>
              <w:jc w:val="left"/>
              <w:rPr>
                <w:rFonts w:ascii="Times New Roman" w:hAnsi="Times New Roman" w:cs="Times New Roman"/>
                <w:color w:val="auto"/>
                <w:sz w:val="24"/>
                <w:szCs w:val="24"/>
              </w:rPr>
            </w:pPr>
            <w:r w:rsidRPr="00035ADC">
              <w:rPr>
                <w:rFonts w:ascii="Times New Roman" w:hAnsi="Times New Roman" w:cs="Times New Roman"/>
                <w:color w:val="auto"/>
                <w:sz w:val="24"/>
                <w:szCs w:val="24"/>
              </w:rPr>
              <w:t>Rounds</w:t>
            </w:r>
          </w:p>
        </w:tc>
        <w:tc>
          <w:tcPr>
            <w:tcW w:w="1396" w:type="pct"/>
          </w:tcPr>
          <w:p w:rsidR="00831EC5" w:rsidRPr="00035ADC" w:rsidP="0023501B" w14:paraId="339B9A2A" w14:textId="77777777">
            <w:pPr>
              <w:pStyle w:val="ExhibitColumnHeader"/>
              <w:jc w:val="left"/>
              <w:rPr>
                <w:rFonts w:ascii="Times New Roman" w:hAnsi="Times New Roman" w:cs="Times New Roman"/>
                <w:color w:val="auto"/>
                <w:sz w:val="24"/>
                <w:szCs w:val="24"/>
              </w:rPr>
            </w:pPr>
            <w:r w:rsidRPr="00035ADC">
              <w:rPr>
                <w:rFonts w:ascii="Times New Roman" w:hAnsi="Times New Roman" w:cs="Times New Roman"/>
                <w:color w:val="auto"/>
                <w:sz w:val="24"/>
                <w:szCs w:val="24"/>
              </w:rPr>
              <w:t>Respondents Per Round</w:t>
            </w:r>
          </w:p>
        </w:tc>
        <w:tc>
          <w:tcPr>
            <w:tcW w:w="815" w:type="pct"/>
          </w:tcPr>
          <w:p w:rsidR="00831EC5" w:rsidRPr="00035ADC" w:rsidP="0023501B" w14:paraId="73761033" w14:textId="48AB52D6">
            <w:pPr>
              <w:pStyle w:val="ExhibitColumnHeader"/>
              <w:jc w:val="left"/>
              <w:rPr>
                <w:rFonts w:ascii="Times New Roman" w:hAnsi="Times New Roman" w:cs="Times New Roman"/>
                <w:color w:val="auto"/>
                <w:sz w:val="24"/>
                <w:szCs w:val="24"/>
                <w:highlight w:val="yellow"/>
              </w:rPr>
            </w:pPr>
            <w:r>
              <w:rPr>
                <w:rFonts w:ascii="Times New Roman" w:hAnsi="Times New Roman" w:cs="Times New Roman"/>
                <w:color w:val="auto"/>
                <w:sz w:val="24"/>
                <w:szCs w:val="24"/>
              </w:rPr>
              <w:t xml:space="preserve">Targeted </w:t>
            </w:r>
            <w:r w:rsidRPr="00035ADC" w:rsidR="00DD78C5">
              <w:rPr>
                <w:rFonts w:ascii="Times New Roman" w:hAnsi="Times New Roman" w:cs="Times New Roman"/>
                <w:color w:val="auto"/>
                <w:sz w:val="24"/>
                <w:szCs w:val="24"/>
              </w:rPr>
              <w:t>Response Rate</w:t>
            </w:r>
          </w:p>
        </w:tc>
      </w:tr>
      <w:tr w14:paraId="1A4FE4F1" w14:textId="77777777" w:rsidTr="00035ADC">
        <w:tblPrEx>
          <w:tblW w:w="5000" w:type="pct"/>
          <w:tblLook w:val="04A0"/>
        </w:tblPrEx>
        <w:tc>
          <w:tcPr>
            <w:tcW w:w="1008" w:type="pct"/>
          </w:tcPr>
          <w:p w:rsidR="00AE2E96" w:rsidRPr="00035ADC" w:rsidP="0023501B" w14:paraId="368DE7B0" w14:textId="2ADFFC6D">
            <w:pPr>
              <w:pStyle w:val="ExhibitText"/>
              <w:rPr>
                <w:rFonts w:ascii="Times New Roman" w:hAnsi="Times New Roman" w:cs="Times New Roman"/>
                <w:sz w:val="24"/>
                <w:szCs w:val="24"/>
              </w:rPr>
            </w:pPr>
            <w:r>
              <w:rPr>
                <w:rFonts w:ascii="Times New Roman" w:hAnsi="Times New Roman" w:cs="Times New Roman"/>
                <w:sz w:val="24"/>
                <w:szCs w:val="24"/>
              </w:rPr>
              <w:t>Resident Household Surveys</w:t>
            </w:r>
          </w:p>
        </w:tc>
        <w:tc>
          <w:tcPr>
            <w:tcW w:w="867" w:type="pct"/>
            <w:vAlign w:val="center"/>
          </w:tcPr>
          <w:p w:rsidR="00AE2E96" w:rsidRPr="00035ADC" w:rsidP="0023501B" w14:paraId="7CFE2B11" w14:textId="23A6DFD9">
            <w:pPr>
              <w:pStyle w:val="ExhibitText"/>
              <w:rPr>
                <w:rFonts w:ascii="Times New Roman" w:hAnsi="Times New Roman" w:cs="Times New Roman"/>
                <w:sz w:val="24"/>
                <w:szCs w:val="24"/>
              </w:rPr>
            </w:pPr>
            <w:r>
              <w:rPr>
                <w:rFonts w:ascii="Times New Roman" w:hAnsi="Times New Roman" w:cs="Times New Roman"/>
                <w:sz w:val="24"/>
                <w:szCs w:val="24"/>
              </w:rPr>
              <w:t>9</w:t>
            </w:r>
          </w:p>
        </w:tc>
        <w:tc>
          <w:tcPr>
            <w:tcW w:w="914" w:type="pct"/>
            <w:vAlign w:val="center"/>
          </w:tcPr>
          <w:p w:rsidR="00AE2E96" w:rsidRPr="00035ADC" w:rsidP="0023501B" w14:paraId="3DC72D1A" w14:textId="2F475D6B">
            <w:pPr>
              <w:pStyle w:val="ExhibitText"/>
              <w:rPr>
                <w:rFonts w:ascii="Times New Roman" w:hAnsi="Times New Roman" w:cs="Times New Roman"/>
                <w:sz w:val="24"/>
                <w:szCs w:val="24"/>
              </w:rPr>
            </w:pPr>
            <w:r>
              <w:rPr>
                <w:rFonts w:ascii="Times New Roman" w:hAnsi="Times New Roman" w:cs="Times New Roman"/>
                <w:sz w:val="24"/>
                <w:szCs w:val="24"/>
              </w:rPr>
              <w:t>1</w:t>
            </w:r>
          </w:p>
        </w:tc>
        <w:tc>
          <w:tcPr>
            <w:tcW w:w="1396" w:type="pct"/>
            <w:vAlign w:val="center"/>
          </w:tcPr>
          <w:p w:rsidR="00AE2E96" w:rsidRPr="00035ADC" w:rsidP="0023501B" w14:paraId="1D1A1717" w14:textId="6296BD3D">
            <w:pPr>
              <w:pStyle w:val="ExhibitText"/>
              <w:rPr>
                <w:rFonts w:ascii="Times New Roman" w:hAnsi="Times New Roman" w:cs="Times New Roman"/>
                <w:sz w:val="24"/>
                <w:szCs w:val="24"/>
              </w:rPr>
            </w:pPr>
            <w:r>
              <w:rPr>
                <w:rFonts w:ascii="Times New Roman" w:hAnsi="Times New Roman" w:cs="Times New Roman"/>
                <w:sz w:val="24"/>
                <w:szCs w:val="24"/>
              </w:rPr>
              <w:t>1,100</w:t>
            </w:r>
          </w:p>
        </w:tc>
        <w:tc>
          <w:tcPr>
            <w:tcW w:w="815" w:type="pct"/>
            <w:vAlign w:val="center"/>
          </w:tcPr>
          <w:p w:rsidR="00AE2E96" w:rsidRPr="00035ADC" w:rsidP="0023501B" w14:paraId="0CF47C44" w14:textId="63BAFB43">
            <w:pPr>
              <w:pStyle w:val="ExhibitText"/>
              <w:rPr>
                <w:rFonts w:ascii="Times New Roman" w:hAnsi="Times New Roman" w:cs="Times New Roman"/>
                <w:sz w:val="24"/>
                <w:szCs w:val="24"/>
              </w:rPr>
            </w:pPr>
            <w:r>
              <w:rPr>
                <w:rFonts w:ascii="Times New Roman" w:hAnsi="Times New Roman" w:cs="Times New Roman"/>
                <w:sz w:val="24"/>
                <w:szCs w:val="24"/>
              </w:rPr>
              <w:t>60</w:t>
            </w:r>
            <w:r>
              <w:rPr>
                <w:rFonts w:ascii="Times New Roman" w:hAnsi="Times New Roman" w:cs="Times New Roman"/>
                <w:sz w:val="24"/>
                <w:szCs w:val="24"/>
              </w:rPr>
              <w:t>%</w:t>
            </w:r>
            <w:r w:rsidR="00815629">
              <w:rPr>
                <w:rFonts w:ascii="Times New Roman" w:hAnsi="Times New Roman" w:cs="Times New Roman"/>
                <w:sz w:val="24"/>
                <w:szCs w:val="24"/>
              </w:rPr>
              <w:t>*</w:t>
            </w:r>
          </w:p>
        </w:tc>
      </w:tr>
    </w:tbl>
    <w:p w:rsidR="00480033" w:rsidP="0023501B" w14:paraId="19400558" w14:textId="654E02F9">
      <w:pPr>
        <w:keepNext/>
        <w:keepLines/>
        <w:widowControl w:val="0"/>
        <w:tabs>
          <w:tab w:val="left" w:pos="1440"/>
        </w:tabs>
        <w:spacing w:after="120" w:line="264" w:lineRule="auto"/>
        <w:rPr>
          <w:rFonts w:ascii="Times New Roman" w:eastAsia="Arial" w:hAnsi="Times New Roman"/>
          <w:color w:val="000000"/>
          <w:sz w:val="24"/>
          <w:szCs w:val="24"/>
        </w:rPr>
      </w:pPr>
      <w:r>
        <w:rPr>
          <w:rFonts w:ascii="Times New Roman" w:eastAsia="Arial" w:hAnsi="Times New Roman"/>
          <w:color w:val="000000"/>
          <w:sz w:val="24"/>
          <w:szCs w:val="24"/>
        </w:rPr>
        <w:t xml:space="preserve">*As explained below, we anticipate </w:t>
      </w:r>
      <w:r w:rsidR="006477AC">
        <w:rPr>
          <w:rFonts w:ascii="Times New Roman" w:eastAsia="Arial" w:hAnsi="Times New Roman"/>
          <w:color w:val="000000"/>
          <w:sz w:val="24"/>
          <w:szCs w:val="24"/>
        </w:rPr>
        <w:t xml:space="preserve">an </w:t>
      </w:r>
      <w:r>
        <w:rPr>
          <w:rFonts w:ascii="Times New Roman" w:eastAsia="Arial" w:hAnsi="Times New Roman"/>
          <w:color w:val="000000"/>
          <w:sz w:val="24"/>
          <w:szCs w:val="24"/>
        </w:rPr>
        <w:t>80 percent response rate from currently assisted households and a lower rate from those who have exited assistance by the time of the survey.</w:t>
      </w:r>
    </w:p>
    <w:p w:rsidR="00342A08" w:rsidP="0023501B" w14:paraId="1F22FC25" w14:textId="60E6C532">
      <w:pPr>
        <w:pStyle w:val="FigureTItle"/>
        <w:rPr>
          <w:rFonts w:ascii="Times New Roman" w:hAnsi="Times New Roman" w:cs="Times New Roman"/>
        </w:rPr>
      </w:pPr>
      <w:bookmarkStart w:id="0" w:name="_Toc138063860"/>
      <w:r>
        <w:rPr>
          <w:rFonts w:ascii="Times New Roman" w:hAnsi="Times New Roman" w:cs="Times New Roman"/>
        </w:rPr>
        <w:br w:type="column"/>
      </w:r>
    </w:p>
    <w:p w:rsidR="00F84B0B" w:rsidRPr="00BA1C6A" w:rsidP="0023501B" w14:paraId="5106F472" w14:textId="437C2208">
      <w:pPr>
        <w:pStyle w:val="FigureTItle"/>
        <w:rPr>
          <w:rFonts w:ascii="Times New Roman" w:hAnsi="Times New Roman" w:cs="Times New Roman"/>
        </w:rPr>
      </w:pPr>
      <w:r w:rsidRPr="00BA1C6A">
        <w:rPr>
          <w:rFonts w:ascii="Times New Roman" w:hAnsi="Times New Roman" w:cs="Times New Roman"/>
        </w:rPr>
        <w:t xml:space="preserve">Exhibit </w:t>
      </w:r>
      <w:r w:rsidRPr="00BA1C6A" w:rsidR="000F2451">
        <w:rPr>
          <w:rFonts w:ascii="Times New Roman" w:hAnsi="Times New Roman" w:cs="Times New Roman"/>
        </w:rPr>
        <w:t>B-2</w:t>
      </w:r>
      <w:r w:rsidRPr="00BA1C6A">
        <w:rPr>
          <w:rFonts w:ascii="Times New Roman" w:hAnsi="Times New Roman" w:cs="Times New Roman"/>
        </w:rPr>
        <w:t>: Sample Size by PHA, Opt-Out Savings Programs</w:t>
      </w:r>
      <w:bookmarkEnd w:id="0"/>
      <w:r w:rsidRPr="00BA1C6A">
        <w:rPr>
          <w:rFonts w:ascii="Times New Roman" w:hAnsi="Times New Roman" w:cs="Times New Roman"/>
        </w:rPr>
        <w:t xml:space="preserve"> </w:t>
      </w:r>
    </w:p>
    <w:tbl>
      <w:tblPr>
        <w:tblStyle w:val="TableGrid"/>
        <w:tblW w:w="5051" w:type="pct"/>
        <w:tblLayout w:type="fixed"/>
        <w:tblLook w:val="04E0"/>
      </w:tblPr>
      <w:tblGrid>
        <w:gridCol w:w="2425"/>
        <w:gridCol w:w="1755"/>
        <w:gridCol w:w="1755"/>
        <w:gridCol w:w="1755"/>
        <w:gridCol w:w="1755"/>
      </w:tblGrid>
      <w:tr w14:paraId="2C49F46C" w14:textId="77777777" w:rsidTr="00833EC1">
        <w:tblPrEx>
          <w:tblW w:w="5051" w:type="pct"/>
          <w:tblLayout w:type="fixed"/>
          <w:tblLook w:val="04E0"/>
        </w:tblPrEx>
        <w:trPr>
          <w:trHeight w:val="315"/>
        </w:trPr>
        <w:tc>
          <w:tcPr>
            <w:tcW w:w="2425" w:type="dxa"/>
            <w:hideMark/>
          </w:tcPr>
          <w:p w:rsidR="00192737" w:rsidRPr="00587DDB" w14:paraId="736CBCAF" w14:textId="77777777">
            <w:pPr>
              <w:contextualSpacing/>
              <w:rPr>
                <w:b/>
              </w:rPr>
            </w:pPr>
            <w:r w:rsidRPr="00587DDB">
              <w:rPr>
                <w:b/>
              </w:rPr>
              <w:t>PHA Name</w:t>
            </w:r>
          </w:p>
        </w:tc>
        <w:tc>
          <w:tcPr>
            <w:tcW w:w="1755" w:type="dxa"/>
          </w:tcPr>
          <w:p w:rsidR="00192737" w:rsidRPr="00587DDB" w14:paraId="2D8F8627" w14:textId="77777777">
            <w:pPr>
              <w:contextualSpacing/>
              <w:rPr>
                <w:b/>
              </w:rPr>
            </w:pPr>
            <w:r>
              <w:rPr>
                <w:b/>
              </w:rPr>
              <w:t>A</w:t>
            </w:r>
            <w:r w:rsidRPr="00587DDB">
              <w:rPr>
                <w:b/>
              </w:rPr>
              <w:t>ssigned to OOS</w:t>
            </w:r>
            <w:r>
              <w:rPr>
                <w:b/>
              </w:rPr>
              <w:t xml:space="preserve"> (treatment group)</w:t>
            </w:r>
          </w:p>
        </w:tc>
        <w:tc>
          <w:tcPr>
            <w:tcW w:w="1755" w:type="dxa"/>
          </w:tcPr>
          <w:p w:rsidR="00192737" w:rsidRPr="00587DDB" w14:paraId="6B219292" w14:textId="77777777">
            <w:pPr>
              <w:contextualSpacing/>
              <w:rPr>
                <w:b/>
              </w:rPr>
            </w:pPr>
            <w:r>
              <w:rPr>
                <w:b/>
              </w:rPr>
              <w:t>OOS households sample size</w:t>
            </w:r>
          </w:p>
        </w:tc>
        <w:tc>
          <w:tcPr>
            <w:tcW w:w="1755" w:type="dxa"/>
          </w:tcPr>
          <w:p w:rsidR="00192737" w:rsidRPr="00587DDB" w14:paraId="0200E1A8" w14:textId="77777777">
            <w:pPr>
              <w:contextualSpacing/>
              <w:rPr>
                <w:b/>
              </w:rPr>
            </w:pPr>
            <w:r w:rsidRPr="00587DDB">
              <w:rPr>
                <w:b/>
              </w:rPr>
              <w:t xml:space="preserve">Control households </w:t>
            </w:r>
            <w:r>
              <w:rPr>
                <w:b/>
              </w:rPr>
              <w:t>sample size</w:t>
            </w:r>
            <w:r w:rsidRPr="00587DDB">
              <w:rPr>
                <w:b/>
              </w:rPr>
              <w:t xml:space="preserve"> </w:t>
            </w:r>
          </w:p>
        </w:tc>
        <w:tc>
          <w:tcPr>
            <w:tcW w:w="1755" w:type="dxa"/>
          </w:tcPr>
          <w:p w:rsidR="00192737" w:rsidRPr="00587DDB" w14:paraId="76DD8BD2" w14:textId="77777777">
            <w:pPr>
              <w:contextualSpacing/>
              <w:rPr>
                <w:b/>
              </w:rPr>
            </w:pPr>
            <w:r w:rsidRPr="00587DDB">
              <w:rPr>
                <w:b/>
              </w:rPr>
              <w:t>Number of households not in OOS</w:t>
            </w:r>
          </w:p>
        </w:tc>
      </w:tr>
      <w:tr w14:paraId="4BD8BA56" w14:textId="77777777" w:rsidTr="00833EC1">
        <w:tblPrEx>
          <w:tblW w:w="5051" w:type="pct"/>
          <w:tblLayout w:type="fixed"/>
          <w:tblLook w:val="04E0"/>
        </w:tblPrEx>
        <w:tc>
          <w:tcPr>
            <w:tcW w:w="2425" w:type="dxa"/>
          </w:tcPr>
          <w:p w:rsidR="00192737" w:rsidRPr="000A2A80" w14:paraId="2C32AAD4" w14:textId="77777777">
            <w:pPr>
              <w:contextualSpacing/>
              <w:rPr>
                <w:color w:val="000000"/>
              </w:rPr>
            </w:pPr>
            <w:r>
              <w:rPr>
                <w:color w:val="000000"/>
              </w:rPr>
              <w:t>Housing Authority of the County of Santa Cruz</w:t>
            </w:r>
          </w:p>
        </w:tc>
        <w:tc>
          <w:tcPr>
            <w:tcW w:w="1755" w:type="dxa"/>
          </w:tcPr>
          <w:p w:rsidR="00192737" w14:paraId="2ED04775" w14:textId="77777777">
            <w:pPr>
              <w:contextualSpacing/>
              <w:jc w:val="right"/>
              <w:rPr>
                <w:rFonts w:cstheme="minorHAnsi"/>
                <w:bCs/>
              </w:rPr>
            </w:pPr>
            <w:r>
              <w:rPr>
                <w:rFonts w:cstheme="minorHAnsi"/>
                <w:bCs/>
              </w:rPr>
              <w:t>75</w:t>
            </w:r>
          </w:p>
        </w:tc>
        <w:tc>
          <w:tcPr>
            <w:tcW w:w="1755" w:type="dxa"/>
          </w:tcPr>
          <w:p w:rsidR="00192737" w:rsidRPr="001D72E6" w14:paraId="72190EE3" w14:textId="77777777">
            <w:pPr>
              <w:contextualSpacing/>
              <w:jc w:val="right"/>
              <w:rPr>
                <w:rFonts w:cstheme="minorHAnsi"/>
                <w:color w:val="000000"/>
              </w:rPr>
            </w:pPr>
            <w:r>
              <w:rPr>
                <w:rFonts w:cstheme="minorHAnsi"/>
                <w:color w:val="000000"/>
              </w:rPr>
              <w:t>50</w:t>
            </w:r>
          </w:p>
        </w:tc>
        <w:tc>
          <w:tcPr>
            <w:tcW w:w="1755" w:type="dxa"/>
          </w:tcPr>
          <w:p w:rsidR="00192737" w14:paraId="465D0324" w14:textId="77777777">
            <w:pPr>
              <w:contextualSpacing/>
              <w:jc w:val="right"/>
              <w:rPr>
                <w:rFonts w:cstheme="minorHAnsi"/>
                <w:color w:val="000000"/>
              </w:rPr>
            </w:pPr>
            <w:r>
              <w:rPr>
                <w:rFonts w:cstheme="minorHAnsi"/>
                <w:color w:val="000000"/>
              </w:rPr>
              <w:t>50</w:t>
            </w:r>
          </w:p>
        </w:tc>
        <w:tc>
          <w:tcPr>
            <w:tcW w:w="1755" w:type="dxa"/>
          </w:tcPr>
          <w:p w:rsidR="00192737" w:rsidRPr="001D72E6" w14:paraId="794E4C79" w14:textId="77777777">
            <w:pPr>
              <w:contextualSpacing/>
              <w:jc w:val="right"/>
              <w:rPr>
                <w:rFonts w:cstheme="minorHAnsi"/>
                <w:color w:val="000000"/>
              </w:rPr>
            </w:pPr>
            <w:r>
              <w:rPr>
                <w:rFonts w:cstheme="minorHAnsi"/>
                <w:color w:val="000000"/>
              </w:rPr>
              <w:t>5,249</w:t>
            </w:r>
          </w:p>
        </w:tc>
      </w:tr>
      <w:tr w14:paraId="26C6FAD8" w14:textId="77777777" w:rsidTr="00833EC1">
        <w:tblPrEx>
          <w:tblW w:w="5051" w:type="pct"/>
          <w:tblLayout w:type="fixed"/>
          <w:tblLook w:val="04E0"/>
        </w:tblPrEx>
        <w:trPr>
          <w:trHeight w:val="300"/>
        </w:trPr>
        <w:tc>
          <w:tcPr>
            <w:tcW w:w="2425" w:type="dxa"/>
          </w:tcPr>
          <w:p w:rsidR="00192737" w:rsidRPr="001B1FB3" w14:paraId="54716329" w14:textId="77777777">
            <w:pPr>
              <w:contextualSpacing/>
              <w:rPr>
                <w:b/>
                <w:bCs/>
              </w:rPr>
            </w:pPr>
            <w:r>
              <w:rPr>
                <w:color w:val="000000"/>
              </w:rPr>
              <w:t>West Palm Beach Housing Authority (FL)</w:t>
            </w:r>
          </w:p>
        </w:tc>
        <w:tc>
          <w:tcPr>
            <w:tcW w:w="1755" w:type="dxa"/>
          </w:tcPr>
          <w:p w:rsidR="00192737" w:rsidRPr="001D72E6" w14:paraId="1CF607A5" w14:textId="77777777">
            <w:pPr>
              <w:contextualSpacing/>
              <w:jc w:val="right"/>
            </w:pPr>
            <w:r w:rsidRPr="60C079BF">
              <w:t>25</w:t>
            </w:r>
          </w:p>
        </w:tc>
        <w:tc>
          <w:tcPr>
            <w:tcW w:w="1755" w:type="dxa"/>
          </w:tcPr>
          <w:p w:rsidR="00192737" w:rsidRPr="001D72E6" w14:paraId="205F255B" w14:textId="77777777">
            <w:pPr>
              <w:contextualSpacing/>
              <w:jc w:val="right"/>
              <w:rPr>
                <w:color w:val="000000"/>
              </w:rPr>
            </w:pPr>
            <w:r w:rsidRPr="60C079BF">
              <w:rPr>
                <w:color w:val="000000" w:themeColor="text1"/>
              </w:rPr>
              <w:t>25</w:t>
            </w:r>
          </w:p>
        </w:tc>
        <w:tc>
          <w:tcPr>
            <w:tcW w:w="1755" w:type="dxa"/>
          </w:tcPr>
          <w:p w:rsidR="00192737" w:rsidRPr="001D72E6" w14:paraId="7D28C8BB" w14:textId="77777777">
            <w:pPr>
              <w:contextualSpacing/>
              <w:jc w:val="right"/>
              <w:rPr>
                <w:color w:val="000000"/>
              </w:rPr>
            </w:pPr>
            <w:r w:rsidRPr="60C079BF">
              <w:rPr>
                <w:color w:val="000000" w:themeColor="text1"/>
              </w:rPr>
              <w:t>25</w:t>
            </w:r>
          </w:p>
        </w:tc>
        <w:tc>
          <w:tcPr>
            <w:tcW w:w="1755" w:type="dxa"/>
          </w:tcPr>
          <w:p w:rsidR="00192737" w:rsidRPr="60C079BF" w14:paraId="20A9A260" w14:textId="77777777">
            <w:pPr>
              <w:contextualSpacing/>
              <w:jc w:val="right"/>
              <w:rPr>
                <w:color w:val="000000" w:themeColor="text1"/>
              </w:rPr>
            </w:pPr>
            <w:r w:rsidRPr="60C079BF">
              <w:rPr>
                <w:color w:val="000000" w:themeColor="text1"/>
              </w:rPr>
              <w:t>4,175</w:t>
            </w:r>
          </w:p>
        </w:tc>
      </w:tr>
      <w:tr w14:paraId="10003C07" w14:textId="77777777" w:rsidTr="00833EC1">
        <w:tblPrEx>
          <w:tblW w:w="5051" w:type="pct"/>
          <w:tblLayout w:type="fixed"/>
          <w:tblLook w:val="04E0"/>
        </w:tblPrEx>
        <w:trPr>
          <w:trHeight w:val="300"/>
        </w:trPr>
        <w:tc>
          <w:tcPr>
            <w:tcW w:w="2425" w:type="dxa"/>
          </w:tcPr>
          <w:p w:rsidR="00192737" w:rsidRPr="001B1FB3" w14:paraId="3A91EC43" w14:textId="77777777">
            <w:pPr>
              <w:contextualSpacing/>
            </w:pPr>
            <w:r>
              <w:rPr>
                <w:color w:val="000000"/>
              </w:rPr>
              <w:t>New Hampshire Housing (NH)</w:t>
            </w:r>
          </w:p>
        </w:tc>
        <w:tc>
          <w:tcPr>
            <w:tcW w:w="1755" w:type="dxa"/>
          </w:tcPr>
          <w:p w:rsidR="00192737" w:rsidRPr="001D72E6" w14:paraId="0B219E3C" w14:textId="77777777">
            <w:pPr>
              <w:contextualSpacing/>
              <w:jc w:val="right"/>
              <w:rPr>
                <w:rFonts w:cstheme="minorHAnsi"/>
              </w:rPr>
            </w:pPr>
            <w:r w:rsidRPr="001D72E6">
              <w:rPr>
                <w:rFonts w:cstheme="minorHAnsi"/>
              </w:rPr>
              <w:t>500</w:t>
            </w:r>
          </w:p>
        </w:tc>
        <w:tc>
          <w:tcPr>
            <w:tcW w:w="1755" w:type="dxa"/>
          </w:tcPr>
          <w:p w:rsidR="00192737" w:rsidRPr="001D72E6" w14:paraId="1BA885D6" w14:textId="77777777">
            <w:pPr>
              <w:contextualSpacing/>
              <w:jc w:val="right"/>
              <w:rPr>
                <w:color w:val="000000"/>
              </w:rPr>
            </w:pPr>
            <w:r>
              <w:rPr>
                <w:color w:val="000000" w:themeColor="text1"/>
              </w:rPr>
              <w:t>70</w:t>
            </w:r>
          </w:p>
        </w:tc>
        <w:tc>
          <w:tcPr>
            <w:tcW w:w="1755" w:type="dxa"/>
          </w:tcPr>
          <w:p w:rsidR="00192737" w:rsidRPr="001D72E6" w14:paraId="2B23273A" w14:textId="77777777">
            <w:pPr>
              <w:contextualSpacing/>
              <w:jc w:val="right"/>
              <w:rPr>
                <w:color w:val="000000"/>
              </w:rPr>
            </w:pPr>
            <w:r>
              <w:rPr>
                <w:color w:val="000000" w:themeColor="text1"/>
              </w:rPr>
              <w:t>70</w:t>
            </w:r>
          </w:p>
        </w:tc>
        <w:tc>
          <w:tcPr>
            <w:tcW w:w="1755" w:type="dxa"/>
          </w:tcPr>
          <w:p w:rsidR="00192737" w14:paraId="7EA4B6A8" w14:textId="77777777">
            <w:pPr>
              <w:contextualSpacing/>
              <w:jc w:val="right"/>
              <w:rPr>
                <w:color w:val="000000" w:themeColor="text1"/>
              </w:rPr>
            </w:pPr>
            <w:r w:rsidRPr="001D72E6">
              <w:rPr>
                <w:rFonts w:cstheme="minorHAnsi"/>
                <w:color w:val="000000"/>
              </w:rPr>
              <w:t>3</w:t>
            </w:r>
            <w:r>
              <w:rPr>
                <w:rFonts w:cstheme="minorHAnsi"/>
                <w:color w:val="000000"/>
              </w:rPr>
              <w:t>,</w:t>
            </w:r>
            <w:r w:rsidRPr="001D72E6">
              <w:rPr>
                <w:rFonts w:cstheme="minorHAnsi"/>
                <w:color w:val="000000"/>
              </w:rPr>
              <w:t>726</w:t>
            </w:r>
          </w:p>
        </w:tc>
      </w:tr>
      <w:tr w14:paraId="064DBCE2" w14:textId="77777777" w:rsidTr="00833EC1">
        <w:tblPrEx>
          <w:tblW w:w="5051" w:type="pct"/>
          <w:tblLayout w:type="fixed"/>
          <w:tblLook w:val="04E0"/>
        </w:tblPrEx>
        <w:trPr>
          <w:trHeight w:val="300"/>
        </w:trPr>
        <w:tc>
          <w:tcPr>
            <w:tcW w:w="2425" w:type="dxa"/>
          </w:tcPr>
          <w:p w:rsidR="00192737" w:rsidRPr="002C5EAE" w14:paraId="740B88B8" w14:textId="77777777">
            <w:pPr>
              <w:contextualSpacing/>
            </w:pPr>
            <w:r>
              <w:rPr>
                <w:color w:val="000000"/>
              </w:rPr>
              <w:t>Madison Housing Authority (NJ)</w:t>
            </w:r>
          </w:p>
        </w:tc>
        <w:tc>
          <w:tcPr>
            <w:tcW w:w="1755" w:type="dxa"/>
          </w:tcPr>
          <w:p w:rsidR="00192737" w:rsidRPr="001D72E6" w14:paraId="7988F32D" w14:textId="77777777">
            <w:pPr>
              <w:contextualSpacing/>
              <w:jc w:val="right"/>
              <w:rPr>
                <w:rFonts w:cstheme="minorHAnsi"/>
                <w:bCs/>
              </w:rPr>
            </w:pPr>
            <w:r w:rsidRPr="001D72E6">
              <w:rPr>
                <w:rFonts w:cstheme="minorHAnsi"/>
                <w:bCs/>
              </w:rPr>
              <w:t>60</w:t>
            </w:r>
          </w:p>
        </w:tc>
        <w:tc>
          <w:tcPr>
            <w:tcW w:w="1755" w:type="dxa"/>
          </w:tcPr>
          <w:p w:rsidR="00192737" w:rsidRPr="001D72E6" w14:paraId="32D1D698" w14:textId="77777777">
            <w:pPr>
              <w:contextualSpacing/>
              <w:jc w:val="right"/>
              <w:rPr>
                <w:color w:val="000000"/>
              </w:rPr>
            </w:pPr>
            <w:r>
              <w:rPr>
                <w:color w:val="000000" w:themeColor="text1"/>
              </w:rPr>
              <w:t>60</w:t>
            </w:r>
          </w:p>
        </w:tc>
        <w:tc>
          <w:tcPr>
            <w:tcW w:w="1755" w:type="dxa"/>
          </w:tcPr>
          <w:p w:rsidR="00192737" w:rsidRPr="001D72E6" w14:paraId="37225132" w14:textId="77777777">
            <w:pPr>
              <w:contextualSpacing/>
              <w:jc w:val="right"/>
              <w:rPr>
                <w:color w:val="000000"/>
              </w:rPr>
            </w:pPr>
            <w:r>
              <w:rPr>
                <w:color w:val="000000" w:themeColor="text1"/>
              </w:rPr>
              <w:t>60</w:t>
            </w:r>
          </w:p>
        </w:tc>
        <w:tc>
          <w:tcPr>
            <w:tcW w:w="1755" w:type="dxa"/>
          </w:tcPr>
          <w:p w:rsidR="00192737" w14:paraId="3A91CC0C" w14:textId="77777777">
            <w:pPr>
              <w:contextualSpacing/>
              <w:jc w:val="right"/>
              <w:rPr>
                <w:color w:val="000000" w:themeColor="text1"/>
              </w:rPr>
            </w:pPr>
            <w:r w:rsidRPr="001D72E6">
              <w:rPr>
                <w:rFonts w:cstheme="minorHAnsi"/>
                <w:color w:val="000000"/>
              </w:rPr>
              <w:t>254</w:t>
            </w:r>
          </w:p>
        </w:tc>
      </w:tr>
      <w:tr w14:paraId="136F7D0B" w14:textId="77777777" w:rsidTr="00833EC1">
        <w:tblPrEx>
          <w:tblW w:w="5051" w:type="pct"/>
          <w:tblLayout w:type="fixed"/>
          <w:tblLook w:val="04E0"/>
        </w:tblPrEx>
        <w:tc>
          <w:tcPr>
            <w:tcW w:w="2425" w:type="dxa"/>
          </w:tcPr>
          <w:p w:rsidR="00192737" w:rsidRPr="002C5EAE" w14:paraId="6F53D961" w14:textId="77777777">
            <w:pPr>
              <w:contextualSpacing/>
            </w:pPr>
            <w:r>
              <w:rPr>
                <w:color w:val="000000"/>
              </w:rPr>
              <w:t>Salem Housing Authority (OR)</w:t>
            </w:r>
          </w:p>
        </w:tc>
        <w:tc>
          <w:tcPr>
            <w:tcW w:w="1755" w:type="dxa"/>
          </w:tcPr>
          <w:p w:rsidR="00192737" w:rsidRPr="001D72E6" w14:paraId="7EC74FAD" w14:textId="77777777">
            <w:pPr>
              <w:contextualSpacing/>
              <w:jc w:val="right"/>
              <w:rPr>
                <w:rFonts w:cstheme="minorHAnsi"/>
                <w:bCs/>
              </w:rPr>
            </w:pPr>
            <w:r w:rsidRPr="001D72E6">
              <w:rPr>
                <w:rFonts w:cstheme="minorHAnsi"/>
                <w:bCs/>
              </w:rPr>
              <w:t>100</w:t>
            </w:r>
          </w:p>
        </w:tc>
        <w:tc>
          <w:tcPr>
            <w:tcW w:w="1755" w:type="dxa"/>
          </w:tcPr>
          <w:p w:rsidR="00192737" w14:paraId="603C63F3" w14:textId="77777777">
            <w:pPr>
              <w:contextualSpacing/>
              <w:jc w:val="right"/>
              <w:rPr>
                <w:color w:val="000000"/>
              </w:rPr>
            </w:pPr>
          </w:p>
          <w:p w:rsidR="00192737" w:rsidRPr="001D72E6" w14:paraId="07D35785" w14:textId="77777777">
            <w:pPr>
              <w:contextualSpacing/>
              <w:jc w:val="right"/>
              <w:rPr>
                <w:rFonts w:cstheme="minorHAnsi"/>
                <w:color w:val="000000"/>
              </w:rPr>
            </w:pPr>
            <w:r>
              <w:rPr>
                <w:rFonts w:cstheme="minorHAnsi"/>
                <w:color w:val="000000"/>
              </w:rPr>
              <w:t>100</w:t>
            </w:r>
          </w:p>
        </w:tc>
        <w:tc>
          <w:tcPr>
            <w:tcW w:w="1755" w:type="dxa"/>
          </w:tcPr>
          <w:p w:rsidR="00192737" w14:paraId="51D12E8E" w14:textId="77777777">
            <w:pPr>
              <w:contextualSpacing/>
              <w:jc w:val="right"/>
              <w:rPr>
                <w:color w:val="000000"/>
              </w:rPr>
            </w:pPr>
          </w:p>
          <w:p w:rsidR="00192737" w:rsidRPr="001D72E6" w14:paraId="60F3E1FD" w14:textId="77777777">
            <w:pPr>
              <w:contextualSpacing/>
              <w:jc w:val="right"/>
              <w:rPr>
                <w:rFonts w:cstheme="minorHAnsi"/>
                <w:color w:val="000000"/>
              </w:rPr>
            </w:pPr>
            <w:r>
              <w:rPr>
                <w:rFonts w:cstheme="minorHAnsi"/>
                <w:color w:val="000000"/>
              </w:rPr>
              <w:t>90</w:t>
            </w:r>
          </w:p>
        </w:tc>
        <w:tc>
          <w:tcPr>
            <w:tcW w:w="1755" w:type="dxa"/>
          </w:tcPr>
          <w:p w:rsidR="00192737" w14:paraId="0731900A" w14:textId="77777777">
            <w:pPr>
              <w:contextualSpacing/>
              <w:jc w:val="right"/>
              <w:rPr>
                <w:color w:val="000000"/>
              </w:rPr>
            </w:pPr>
            <w:r w:rsidRPr="001D72E6">
              <w:rPr>
                <w:rFonts w:cstheme="minorHAnsi"/>
                <w:color w:val="000000"/>
              </w:rPr>
              <w:t>3</w:t>
            </w:r>
            <w:r>
              <w:rPr>
                <w:rFonts w:cstheme="minorHAnsi"/>
                <w:color w:val="000000"/>
              </w:rPr>
              <w:t>,</w:t>
            </w:r>
            <w:r w:rsidRPr="001D72E6">
              <w:rPr>
                <w:rFonts w:cstheme="minorHAnsi"/>
                <w:color w:val="000000"/>
              </w:rPr>
              <w:t>049</w:t>
            </w:r>
          </w:p>
        </w:tc>
      </w:tr>
      <w:tr w14:paraId="2595DBEF" w14:textId="77777777" w:rsidTr="00833EC1">
        <w:tblPrEx>
          <w:tblW w:w="5051" w:type="pct"/>
          <w:tblLayout w:type="fixed"/>
          <w:tblLook w:val="04E0"/>
        </w:tblPrEx>
        <w:trPr>
          <w:trHeight w:val="300"/>
        </w:trPr>
        <w:tc>
          <w:tcPr>
            <w:tcW w:w="2425" w:type="dxa"/>
          </w:tcPr>
          <w:p w:rsidR="00192737" w:rsidRPr="002C5EAE" w14:paraId="371CC552" w14:textId="77777777">
            <w:pPr>
              <w:contextualSpacing/>
            </w:pPr>
            <w:r>
              <w:rPr>
                <w:color w:val="000000"/>
              </w:rPr>
              <w:t>South Carolina Regional Housing Authority #3 (SC)</w:t>
            </w:r>
          </w:p>
        </w:tc>
        <w:tc>
          <w:tcPr>
            <w:tcW w:w="1755" w:type="dxa"/>
          </w:tcPr>
          <w:p w:rsidR="00192737" w:rsidRPr="001D72E6" w14:paraId="65CAA8B6" w14:textId="77777777">
            <w:pPr>
              <w:contextualSpacing/>
              <w:jc w:val="right"/>
            </w:pPr>
            <w:r>
              <w:t>225</w:t>
            </w:r>
          </w:p>
        </w:tc>
        <w:tc>
          <w:tcPr>
            <w:tcW w:w="1755" w:type="dxa"/>
          </w:tcPr>
          <w:p w:rsidR="00192737" w:rsidRPr="001D72E6" w14:paraId="54BA77AB" w14:textId="77777777">
            <w:pPr>
              <w:contextualSpacing/>
              <w:jc w:val="right"/>
              <w:rPr>
                <w:color w:val="000000"/>
              </w:rPr>
            </w:pPr>
            <w:r>
              <w:rPr>
                <w:color w:val="000000" w:themeColor="text1"/>
              </w:rPr>
              <w:t>80</w:t>
            </w:r>
          </w:p>
        </w:tc>
        <w:tc>
          <w:tcPr>
            <w:tcW w:w="1755" w:type="dxa"/>
          </w:tcPr>
          <w:p w:rsidR="00192737" w:rsidRPr="001D72E6" w14:paraId="108DBA82" w14:textId="77777777">
            <w:pPr>
              <w:contextualSpacing/>
              <w:jc w:val="right"/>
              <w:rPr>
                <w:color w:val="000000"/>
              </w:rPr>
            </w:pPr>
            <w:r>
              <w:rPr>
                <w:color w:val="000000" w:themeColor="text1"/>
              </w:rPr>
              <w:t>80</w:t>
            </w:r>
          </w:p>
        </w:tc>
        <w:tc>
          <w:tcPr>
            <w:tcW w:w="1755" w:type="dxa"/>
          </w:tcPr>
          <w:p w:rsidR="00192737" w14:paraId="2838C978" w14:textId="77777777">
            <w:pPr>
              <w:contextualSpacing/>
              <w:jc w:val="right"/>
              <w:rPr>
                <w:color w:val="000000" w:themeColor="text1"/>
              </w:rPr>
            </w:pPr>
            <w:r w:rsidRPr="60C079BF">
              <w:rPr>
                <w:color w:val="000000" w:themeColor="text1"/>
              </w:rPr>
              <w:t>1,148</w:t>
            </w:r>
          </w:p>
        </w:tc>
      </w:tr>
      <w:tr w14:paraId="01F8CB00" w14:textId="77777777" w:rsidTr="00833EC1">
        <w:tblPrEx>
          <w:tblW w:w="5051" w:type="pct"/>
          <w:tblLayout w:type="fixed"/>
          <w:tblLook w:val="04E0"/>
        </w:tblPrEx>
        <w:trPr>
          <w:trHeight w:val="300"/>
        </w:trPr>
        <w:tc>
          <w:tcPr>
            <w:tcW w:w="2425" w:type="dxa"/>
          </w:tcPr>
          <w:p w:rsidR="00192737" w:rsidRPr="002C5EAE" w14:paraId="0123236A" w14:textId="77777777">
            <w:pPr>
              <w:contextualSpacing/>
            </w:pPr>
            <w:r w:rsidRPr="00ED451B">
              <w:rPr>
                <w:color w:val="000000"/>
              </w:rPr>
              <w:t>Medina Metropolitan Housing Authority</w:t>
            </w:r>
            <w:r>
              <w:rPr>
                <w:color w:val="000000"/>
              </w:rPr>
              <w:t xml:space="preserve"> (OH)</w:t>
            </w:r>
          </w:p>
        </w:tc>
        <w:tc>
          <w:tcPr>
            <w:tcW w:w="1755" w:type="dxa"/>
          </w:tcPr>
          <w:p w:rsidR="00192737" w:rsidRPr="002C5EAE" w14:paraId="3C1246D7" w14:textId="77777777">
            <w:pPr>
              <w:contextualSpacing/>
              <w:jc w:val="right"/>
            </w:pPr>
            <w:r w:rsidRPr="60C079BF">
              <w:t>70</w:t>
            </w:r>
          </w:p>
        </w:tc>
        <w:tc>
          <w:tcPr>
            <w:tcW w:w="1755" w:type="dxa"/>
          </w:tcPr>
          <w:p w:rsidR="00192737" w14:paraId="0C7F2B2B" w14:textId="77777777">
            <w:pPr>
              <w:contextualSpacing/>
              <w:jc w:val="right"/>
            </w:pPr>
            <w:r>
              <w:t>70</w:t>
            </w:r>
          </w:p>
        </w:tc>
        <w:tc>
          <w:tcPr>
            <w:tcW w:w="1755" w:type="dxa"/>
          </w:tcPr>
          <w:p w:rsidR="00192737" w14:paraId="05A7B81D" w14:textId="77777777">
            <w:pPr>
              <w:contextualSpacing/>
              <w:jc w:val="right"/>
            </w:pPr>
            <w:r>
              <w:t>70</w:t>
            </w:r>
          </w:p>
        </w:tc>
        <w:tc>
          <w:tcPr>
            <w:tcW w:w="1755" w:type="dxa"/>
          </w:tcPr>
          <w:p w:rsidR="00192737" w14:paraId="0E4ED973" w14:textId="77777777">
            <w:pPr>
              <w:contextualSpacing/>
              <w:jc w:val="right"/>
            </w:pPr>
            <w:r>
              <w:rPr>
                <w:bCs/>
              </w:rPr>
              <w:t>615</w:t>
            </w:r>
          </w:p>
        </w:tc>
      </w:tr>
      <w:tr w14:paraId="6DA7A54A" w14:textId="77777777" w:rsidTr="00833EC1">
        <w:tblPrEx>
          <w:tblW w:w="5051" w:type="pct"/>
          <w:tblLayout w:type="fixed"/>
          <w:tblLook w:val="04E0"/>
        </w:tblPrEx>
        <w:trPr>
          <w:trHeight w:val="300"/>
        </w:trPr>
        <w:tc>
          <w:tcPr>
            <w:tcW w:w="2425" w:type="dxa"/>
          </w:tcPr>
          <w:p w:rsidR="00192737" w:rsidRPr="00ED451B" w14:paraId="409077A5" w14:textId="77777777">
            <w:pPr>
              <w:contextualSpacing/>
              <w:rPr>
                <w:color w:val="000000"/>
              </w:rPr>
            </w:pPr>
            <w:r w:rsidRPr="00ED451B">
              <w:rPr>
                <w:color w:val="000000"/>
              </w:rPr>
              <w:t>Grand Rapids Housing Commission</w:t>
            </w:r>
            <w:r>
              <w:rPr>
                <w:color w:val="000000"/>
              </w:rPr>
              <w:t xml:space="preserve"> (MI)</w:t>
            </w:r>
          </w:p>
        </w:tc>
        <w:tc>
          <w:tcPr>
            <w:tcW w:w="1755" w:type="dxa"/>
          </w:tcPr>
          <w:p w:rsidR="00192737" w:rsidRPr="00ED451B" w14:paraId="014ADB13" w14:textId="77777777">
            <w:pPr>
              <w:contextualSpacing/>
              <w:jc w:val="right"/>
              <w:rPr>
                <w:color w:val="000000"/>
              </w:rPr>
            </w:pPr>
            <w:r w:rsidRPr="60C079BF">
              <w:rPr>
                <w:color w:val="000000" w:themeColor="text1"/>
              </w:rPr>
              <w:t>25</w:t>
            </w:r>
          </w:p>
        </w:tc>
        <w:tc>
          <w:tcPr>
            <w:tcW w:w="1755" w:type="dxa"/>
          </w:tcPr>
          <w:p w:rsidR="00192737" w14:paraId="6C00DE45" w14:textId="0A7895C1">
            <w:pPr>
              <w:contextualSpacing/>
              <w:jc w:val="right"/>
              <w:rPr>
                <w:color w:val="000000"/>
              </w:rPr>
            </w:pPr>
            <w:r>
              <w:rPr>
                <w:color w:val="000000" w:themeColor="text1"/>
              </w:rPr>
              <w:t>50</w:t>
            </w:r>
          </w:p>
        </w:tc>
        <w:tc>
          <w:tcPr>
            <w:tcW w:w="1755" w:type="dxa"/>
          </w:tcPr>
          <w:p w:rsidR="00192737" w14:paraId="785BEEB1" w14:textId="4F15B640">
            <w:pPr>
              <w:contextualSpacing/>
              <w:jc w:val="right"/>
              <w:rPr>
                <w:color w:val="000000"/>
              </w:rPr>
            </w:pPr>
            <w:r>
              <w:rPr>
                <w:color w:val="000000"/>
              </w:rPr>
              <w:t>50</w:t>
            </w:r>
          </w:p>
          <w:p w:rsidR="00192737" w14:paraId="79E0FB00" w14:textId="77777777">
            <w:pPr>
              <w:contextualSpacing/>
              <w:jc w:val="right"/>
              <w:rPr>
                <w:color w:val="000000"/>
              </w:rPr>
            </w:pPr>
          </w:p>
        </w:tc>
        <w:tc>
          <w:tcPr>
            <w:tcW w:w="1755" w:type="dxa"/>
          </w:tcPr>
          <w:p w:rsidR="00192737" w14:paraId="470A3532" w14:textId="77777777">
            <w:pPr>
              <w:contextualSpacing/>
              <w:jc w:val="right"/>
              <w:rPr>
                <w:color w:val="000000"/>
              </w:rPr>
            </w:pPr>
            <w:r>
              <w:rPr>
                <w:color w:val="000000"/>
              </w:rPr>
              <w:t>3,673</w:t>
            </w:r>
          </w:p>
        </w:tc>
      </w:tr>
      <w:tr w14:paraId="67D6F718" w14:textId="77777777" w:rsidTr="00833EC1">
        <w:tblPrEx>
          <w:tblW w:w="5051" w:type="pct"/>
          <w:tblLayout w:type="fixed"/>
          <w:tblLook w:val="04E0"/>
        </w:tblPrEx>
        <w:trPr>
          <w:trHeight w:val="300"/>
        </w:trPr>
        <w:tc>
          <w:tcPr>
            <w:tcW w:w="2425" w:type="dxa"/>
          </w:tcPr>
          <w:p w:rsidR="00192737" w:rsidRPr="00ED451B" w14:paraId="537CF7D3" w14:textId="77777777">
            <w:pPr>
              <w:contextualSpacing/>
              <w:rPr>
                <w:color w:val="000000"/>
              </w:rPr>
            </w:pPr>
            <w:r w:rsidRPr="00ED451B">
              <w:rPr>
                <w:color w:val="000000"/>
              </w:rPr>
              <w:t>Medford Housing Authority</w:t>
            </w:r>
            <w:r>
              <w:rPr>
                <w:color w:val="000000"/>
              </w:rPr>
              <w:t xml:space="preserve"> (MA)</w:t>
            </w:r>
          </w:p>
        </w:tc>
        <w:tc>
          <w:tcPr>
            <w:tcW w:w="1755" w:type="dxa"/>
          </w:tcPr>
          <w:p w:rsidR="00192737" w:rsidRPr="00ED451B" w14:paraId="7C3C41E0" w14:textId="77777777">
            <w:pPr>
              <w:contextualSpacing/>
              <w:jc w:val="right"/>
              <w:rPr>
                <w:color w:val="000000"/>
              </w:rPr>
            </w:pPr>
            <w:r>
              <w:rPr>
                <w:color w:val="000000"/>
              </w:rPr>
              <w:t>100</w:t>
            </w:r>
          </w:p>
        </w:tc>
        <w:tc>
          <w:tcPr>
            <w:tcW w:w="1755" w:type="dxa"/>
          </w:tcPr>
          <w:p w:rsidR="00192737" w14:paraId="68EE6BF5" w14:textId="77777777">
            <w:pPr>
              <w:contextualSpacing/>
              <w:jc w:val="right"/>
              <w:rPr>
                <w:bCs/>
              </w:rPr>
            </w:pPr>
            <w:r>
              <w:rPr>
                <w:bCs/>
              </w:rPr>
              <w:t>50</w:t>
            </w:r>
          </w:p>
        </w:tc>
        <w:tc>
          <w:tcPr>
            <w:tcW w:w="1755" w:type="dxa"/>
          </w:tcPr>
          <w:p w:rsidR="00192737" w14:paraId="1DB093BC" w14:textId="77777777">
            <w:pPr>
              <w:contextualSpacing/>
              <w:jc w:val="right"/>
              <w:rPr>
                <w:bCs/>
              </w:rPr>
            </w:pPr>
            <w:r>
              <w:rPr>
                <w:bCs/>
              </w:rPr>
              <w:t xml:space="preserve">50 </w:t>
            </w:r>
          </w:p>
        </w:tc>
        <w:tc>
          <w:tcPr>
            <w:tcW w:w="1755" w:type="dxa"/>
          </w:tcPr>
          <w:p w:rsidR="00192737" w14:paraId="1A206532" w14:textId="77777777">
            <w:pPr>
              <w:contextualSpacing/>
              <w:jc w:val="right"/>
              <w:rPr>
                <w:bCs/>
              </w:rPr>
            </w:pPr>
            <w:r>
              <w:rPr>
                <w:bCs/>
              </w:rPr>
              <w:t>1,827</w:t>
            </w:r>
          </w:p>
        </w:tc>
      </w:tr>
      <w:tr w14:paraId="503BA8BC" w14:textId="77777777" w:rsidTr="00833EC1">
        <w:tblPrEx>
          <w:tblW w:w="5051" w:type="pct"/>
          <w:tblLayout w:type="fixed"/>
          <w:tblLook w:val="04E0"/>
        </w:tblPrEx>
        <w:tc>
          <w:tcPr>
            <w:tcW w:w="2425" w:type="dxa"/>
          </w:tcPr>
          <w:p w:rsidR="00192737" w:rsidRPr="00826A66" w14:paraId="3CD23BF2" w14:textId="77777777">
            <w:pPr>
              <w:contextualSpacing/>
              <w:rPr>
                <w:b/>
                <w:bCs/>
                <w:color w:val="000000"/>
              </w:rPr>
            </w:pPr>
            <w:r>
              <w:rPr>
                <w:b/>
                <w:bCs/>
                <w:color w:val="000000"/>
              </w:rPr>
              <w:t>Total</w:t>
            </w:r>
          </w:p>
        </w:tc>
        <w:tc>
          <w:tcPr>
            <w:tcW w:w="1755" w:type="dxa"/>
          </w:tcPr>
          <w:p w:rsidR="00192737" w:rsidRPr="00F9205F" w14:paraId="68527FCA" w14:textId="77777777">
            <w:pPr>
              <w:contextualSpacing/>
              <w:jc w:val="right"/>
              <w:rPr>
                <w:b/>
                <w:bCs/>
                <w:color w:val="000000"/>
              </w:rPr>
            </w:pPr>
            <w:r w:rsidRPr="60C079BF">
              <w:rPr>
                <w:b/>
                <w:bCs/>
                <w:color w:val="000000" w:themeColor="text1"/>
              </w:rPr>
              <w:t>1,1</w:t>
            </w:r>
            <w:r>
              <w:rPr>
                <w:b/>
                <w:bCs/>
                <w:color w:val="000000" w:themeColor="text1"/>
              </w:rPr>
              <w:t>8</w:t>
            </w:r>
            <w:r w:rsidRPr="60C079BF">
              <w:rPr>
                <w:b/>
                <w:bCs/>
                <w:color w:val="000000" w:themeColor="text1"/>
              </w:rPr>
              <w:t>0</w:t>
            </w:r>
          </w:p>
        </w:tc>
        <w:tc>
          <w:tcPr>
            <w:tcW w:w="1755" w:type="dxa"/>
          </w:tcPr>
          <w:p w:rsidR="00192737" w:rsidRPr="006F3958" w14:paraId="73F8FE52" w14:textId="3F1316BA">
            <w:pPr>
              <w:contextualSpacing/>
              <w:jc w:val="right"/>
              <w:rPr>
                <w:b/>
                <w:bCs/>
              </w:rPr>
            </w:pPr>
            <w:r>
              <w:rPr>
                <w:b/>
                <w:bCs/>
              </w:rPr>
              <w:t>5</w:t>
            </w:r>
            <w:r w:rsidRPr="60C079BF">
              <w:rPr>
                <w:b/>
                <w:bCs/>
              </w:rPr>
              <w:t>5</w:t>
            </w:r>
            <w:r>
              <w:rPr>
                <w:b/>
                <w:bCs/>
              </w:rPr>
              <w:t>5</w:t>
            </w:r>
          </w:p>
        </w:tc>
        <w:tc>
          <w:tcPr>
            <w:tcW w:w="1755" w:type="dxa"/>
          </w:tcPr>
          <w:p w:rsidR="00192737" w:rsidRPr="006F3958" w14:paraId="3241904B" w14:textId="5A5BAFEA">
            <w:pPr>
              <w:contextualSpacing/>
              <w:jc w:val="right"/>
              <w:rPr>
                <w:b/>
                <w:bCs/>
              </w:rPr>
            </w:pPr>
            <w:r>
              <w:rPr>
                <w:b/>
                <w:bCs/>
              </w:rPr>
              <w:t>545</w:t>
            </w:r>
          </w:p>
        </w:tc>
        <w:tc>
          <w:tcPr>
            <w:tcW w:w="1755" w:type="dxa"/>
          </w:tcPr>
          <w:p w:rsidR="00192737" w14:paraId="18495481" w14:textId="77777777">
            <w:pPr>
              <w:contextualSpacing/>
              <w:jc w:val="right"/>
              <w:rPr>
                <w:b/>
                <w:bCs/>
              </w:rPr>
            </w:pPr>
            <w:r w:rsidRPr="60C079BF">
              <w:rPr>
                <w:b/>
                <w:bCs/>
              </w:rPr>
              <w:t>23,716</w:t>
            </w:r>
          </w:p>
        </w:tc>
      </w:tr>
      <w:tr w14:paraId="7559BCBE" w14:textId="77777777" w:rsidTr="00815629">
        <w:tblPrEx>
          <w:tblW w:w="5051" w:type="pct"/>
          <w:tblLayout w:type="fixed"/>
          <w:tblLook w:val="04E0"/>
        </w:tblPrEx>
        <w:tc>
          <w:tcPr>
            <w:tcW w:w="9445" w:type="dxa"/>
            <w:gridSpan w:val="5"/>
          </w:tcPr>
          <w:p w:rsidR="00B068ED" w:rsidRPr="60C079BF" w14:paraId="1BC52644" w14:textId="77777777">
            <w:pPr>
              <w:rPr>
                <w:b/>
                <w:bCs/>
              </w:rPr>
            </w:pPr>
            <w:r>
              <w:rPr>
                <w:color w:val="000000" w:themeColor="text1"/>
                <w:sz w:val="18"/>
                <w:szCs w:val="18"/>
              </w:rPr>
              <w:t>Notes: Our power analysis accounts for an expected 80 percent response rate for residents of subsidized housing and a 25 percent sample loss due to households exiting assistance.  We assume it will be more difficult to find households after exit, so we estimate an average response rate (across those still receiving subsidy and the 25 percent of exited households) to be 60 percent. We are conducting an intent-to-treat analysis. The number of households indicated to be participating in the Opt-Out Savings Account program is based on information provided by PHAs in March and August of 2024.</w:t>
            </w:r>
          </w:p>
        </w:tc>
      </w:tr>
    </w:tbl>
    <w:p w:rsidR="004831F2" w:rsidRPr="00B901BE" w:rsidP="0023501B" w14:paraId="775763C1" w14:textId="77777777">
      <w:pPr>
        <w:pStyle w:val="NoSpacing"/>
        <w:rPr>
          <w:rFonts w:ascii="Times New Roman" w:hAnsi="Times New Roman"/>
          <w:sz w:val="24"/>
          <w:szCs w:val="24"/>
        </w:rPr>
      </w:pPr>
    </w:p>
    <w:p w:rsidR="00266F6D" w:rsidRPr="00831EC5" w:rsidP="0023501B" w14:paraId="1563506E" w14:textId="77777777">
      <w:pPr>
        <w:pStyle w:val="NoSpacing"/>
        <w:rPr>
          <w:rFonts w:ascii="Times New Roman" w:hAnsi="Times New Roman"/>
          <w:b/>
          <w:bCs/>
          <w:sz w:val="24"/>
          <w:szCs w:val="24"/>
        </w:rPr>
      </w:pPr>
      <w:r w:rsidRPr="00831EC5">
        <w:rPr>
          <w:rFonts w:ascii="Times New Roman" w:hAnsi="Times New Roman"/>
          <w:b/>
          <w:bCs/>
          <w:sz w:val="24"/>
          <w:szCs w:val="24"/>
        </w:rPr>
        <w:t>2. Describe the procedures for the collection of information</w:t>
      </w:r>
      <w:r w:rsidRPr="00831EC5" w:rsidR="00763388">
        <w:rPr>
          <w:rFonts w:ascii="Times New Roman" w:hAnsi="Times New Roman"/>
          <w:b/>
          <w:bCs/>
          <w:sz w:val="24"/>
          <w:szCs w:val="24"/>
        </w:rPr>
        <w:t xml:space="preserve"> </w:t>
      </w:r>
      <w:r w:rsidRPr="00831EC5">
        <w:rPr>
          <w:rFonts w:ascii="Times New Roman" w:hAnsi="Times New Roman"/>
          <w:b/>
          <w:bCs/>
          <w:sz w:val="24"/>
          <w:szCs w:val="24"/>
        </w:rPr>
        <w:t>including:</w:t>
      </w:r>
    </w:p>
    <w:p w:rsidR="000A251D" w:rsidRPr="00831EC5" w:rsidP="0023501B" w14:paraId="1E1144E9" w14:textId="77777777">
      <w:pPr>
        <w:pStyle w:val="NoSpacing"/>
        <w:rPr>
          <w:rFonts w:ascii="Times New Roman" w:hAnsi="Times New Roman"/>
          <w:b/>
          <w:bCs/>
          <w:sz w:val="24"/>
          <w:szCs w:val="24"/>
        </w:rPr>
      </w:pPr>
    </w:p>
    <w:p w:rsidR="00266F6D" w:rsidRPr="00831EC5" w:rsidP="0023501B" w14:paraId="178D53EC" w14:textId="77777777">
      <w:pPr>
        <w:pStyle w:val="NoSpacing"/>
        <w:numPr>
          <w:ilvl w:val="0"/>
          <w:numId w:val="3"/>
        </w:numPr>
        <w:rPr>
          <w:rFonts w:ascii="Times New Roman" w:hAnsi="Times New Roman"/>
          <w:b/>
          <w:bCs/>
          <w:sz w:val="24"/>
          <w:szCs w:val="24"/>
        </w:rPr>
      </w:pPr>
      <w:r w:rsidRPr="00831EC5">
        <w:rPr>
          <w:rFonts w:ascii="Times New Roman" w:hAnsi="Times New Roman"/>
          <w:b/>
          <w:bCs/>
          <w:sz w:val="24"/>
          <w:szCs w:val="24"/>
        </w:rPr>
        <w:t>Statistical methodology for stratification and sample</w:t>
      </w:r>
      <w:r w:rsidRPr="00831EC5" w:rsidR="00763388">
        <w:rPr>
          <w:rFonts w:ascii="Times New Roman" w:hAnsi="Times New Roman"/>
          <w:b/>
          <w:bCs/>
          <w:sz w:val="24"/>
          <w:szCs w:val="24"/>
        </w:rPr>
        <w:t xml:space="preserve"> </w:t>
      </w:r>
      <w:r w:rsidRPr="00831EC5">
        <w:rPr>
          <w:rFonts w:ascii="Times New Roman" w:hAnsi="Times New Roman"/>
          <w:b/>
          <w:bCs/>
          <w:sz w:val="24"/>
          <w:szCs w:val="24"/>
        </w:rPr>
        <w:t>selection,</w:t>
      </w:r>
    </w:p>
    <w:p w:rsidR="00266F6D" w:rsidRPr="00831EC5" w:rsidP="0023501B" w14:paraId="23D93DD5" w14:textId="77777777">
      <w:pPr>
        <w:pStyle w:val="NoSpacing"/>
        <w:numPr>
          <w:ilvl w:val="0"/>
          <w:numId w:val="3"/>
        </w:numPr>
        <w:rPr>
          <w:rFonts w:ascii="Times New Roman" w:hAnsi="Times New Roman"/>
          <w:b/>
          <w:bCs/>
          <w:sz w:val="24"/>
          <w:szCs w:val="24"/>
        </w:rPr>
      </w:pPr>
      <w:r w:rsidRPr="00831EC5">
        <w:rPr>
          <w:rFonts w:ascii="Times New Roman" w:hAnsi="Times New Roman"/>
          <w:b/>
          <w:bCs/>
          <w:sz w:val="24"/>
          <w:szCs w:val="24"/>
        </w:rPr>
        <w:t>Estimation procedure,</w:t>
      </w:r>
    </w:p>
    <w:p w:rsidR="00266F6D" w:rsidRPr="00831EC5" w:rsidP="0023501B" w14:paraId="6025D797" w14:textId="77777777">
      <w:pPr>
        <w:pStyle w:val="NoSpacing"/>
        <w:numPr>
          <w:ilvl w:val="0"/>
          <w:numId w:val="3"/>
        </w:numPr>
        <w:rPr>
          <w:rFonts w:ascii="Times New Roman" w:hAnsi="Times New Roman"/>
          <w:b/>
          <w:bCs/>
          <w:sz w:val="24"/>
          <w:szCs w:val="24"/>
        </w:rPr>
      </w:pPr>
      <w:r w:rsidRPr="00831EC5">
        <w:rPr>
          <w:rFonts w:ascii="Times New Roman" w:hAnsi="Times New Roman"/>
          <w:b/>
          <w:bCs/>
          <w:sz w:val="24"/>
          <w:szCs w:val="24"/>
        </w:rPr>
        <w:t>Degree of accuracy needed for the purpose described in</w:t>
      </w:r>
      <w:r w:rsidRPr="00831EC5" w:rsidR="00763388">
        <w:rPr>
          <w:rFonts w:ascii="Times New Roman" w:hAnsi="Times New Roman"/>
          <w:b/>
          <w:bCs/>
          <w:sz w:val="24"/>
          <w:szCs w:val="24"/>
        </w:rPr>
        <w:t xml:space="preserve"> </w:t>
      </w:r>
      <w:r w:rsidRPr="00831EC5">
        <w:rPr>
          <w:rFonts w:ascii="Times New Roman" w:hAnsi="Times New Roman"/>
          <w:b/>
          <w:bCs/>
          <w:sz w:val="24"/>
          <w:szCs w:val="24"/>
        </w:rPr>
        <w:t>the justification,</w:t>
      </w:r>
    </w:p>
    <w:p w:rsidR="00266F6D" w:rsidRPr="00831EC5" w:rsidP="0023501B" w14:paraId="26CC9313" w14:textId="77777777">
      <w:pPr>
        <w:pStyle w:val="NoSpacing"/>
        <w:numPr>
          <w:ilvl w:val="0"/>
          <w:numId w:val="3"/>
        </w:numPr>
        <w:rPr>
          <w:rFonts w:ascii="Times New Roman" w:hAnsi="Times New Roman"/>
          <w:b/>
          <w:bCs/>
          <w:sz w:val="24"/>
          <w:szCs w:val="24"/>
        </w:rPr>
      </w:pPr>
      <w:r w:rsidRPr="00831EC5">
        <w:rPr>
          <w:rFonts w:ascii="Times New Roman" w:hAnsi="Times New Roman"/>
          <w:b/>
          <w:bCs/>
          <w:sz w:val="24"/>
          <w:szCs w:val="24"/>
        </w:rPr>
        <w:t>Unusual problems requiring specialized sampling</w:t>
      </w:r>
      <w:r w:rsidRPr="00831EC5" w:rsidR="00763388">
        <w:rPr>
          <w:rFonts w:ascii="Times New Roman" w:hAnsi="Times New Roman"/>
          <w:b/>
          <w:bCs/>
          <w:sz w:val="24"/>
          <w:szCs w:val="24"/>
        </w:rPr>
        <w:t xml:space="preserve"> </w:t>
      </w:r>
      <w:r w:rsidRPr="00831EC5">
        <w:rPr>
          <w:rFonts w:ascii="Times New Roman" w:hAnsi="Times New Roman"/>
          <w:b/>
          <w:bCs/>
          <w:sz w:val="24"/>
          <w:szCs w:val="24"/>
        </w:rPr>
        <w:t>procedures, and</w:t>
      </w:r>
    </w:p>
    <w:p w:rsidR="00266F6D" w:rsidP="0023501B" w14:paraId="113303DE" w14:textId="77777777">
      <w:pPr>
        <w:pStyle w:val="NoSpacing"/>
        <w:numPr>
          <w:ilvl w:val="0"/>
          <w:numId w:val="3"/>
        </w:numPr>
        <w:rPr>
          <w:rFonts w:ascii="Times New Roman" w:hAnsi="Times New Roman"/>
          <w:b/>
          <w:bCs/>
          <w:sz w:val="24"/>
          <w:szCs w:val="24"/>
        </w:rPr>
      </w:pPr>
      <w:r w:rsidRPr="00831EC5">
        <w:rPr>
          <w:rFonts w:ascii="Times New Roman" w:hAnsi="Times New Roman"/>
          <w:b/>
          <w:bCs/>
          <w:sz w:val="24"/>
          <w:szCs w:val="24"/>
        </w:rPr>
        <w:t>Any use of periodic (less frequent than annual) data</w:t>
      </w:r>
      <w:r w:rsidRPr="00831EC5" w:rsidR="00763388">
        <w:rPr>
          <w:rFonts w:ascii="Times New Roman" w:hAnsi="Times New Roman"/>
          <w:b/>
          <w:bCs/>
          <w:sz w:val="24"/>
          <w:szCs w:val="24"/>
        </w:rPr>
        <w:t xml:space="preserve"> </w:t>
      </w:r>
      <w:r w:rsidRPr="00831EC5">
        <w:rPr>
          <w:rFonts w:ascii="Times New Roman" w:hAnsi="Times New Roman"/>
          <w:b/>
          <w:bCs/>
          <w:sz w:val="24"/>
          <w:szCs w:val="24"/>
        </w:rPr>
        <w:t>collection cycles to reduce burden.</w:t>
      </w:r>
    </w:p>
    <w:p w:rsidR="00831EC5" w:rsidP="0023501B" w14:paraId="6D280575" w14:textId="77777777">
      <w:pPr>
        <w:pStyle w:val="NoSpacing"/>
        <w:rPr>
          <w:rFonts w:ascii="Times New Roman" w:hAnsi="Times New Roman"/>
          <w:b/>
          <w:bCs/>
          <w:sz w:val="24"/>
          <w:szCs w:val="24"/>
        </w:rPr>
      </w:pPr>
    </w:p>
    <w:p w:rsidR="00F13AFB" w:rsidRPr="00156571" w:rsidP="0023501B" w14:paraId="7F224349" w14:textId="47C5151B">
      <w:pPr>
        <w:rPr>
          <w:rFonts w:ascii="Times New Roman" w:hAnsi="Times New Roman"/>
          <w:b/>
          <w:bCs/>
          <w:sz w:val="24"/>
          <w:szCs w:val="24"/>
          <w:u w:val="single"/>
        </w:rPr>
      </w:pPr>
      <w:r>
        <w:rPr>
          <w:rFonts w:ascii="Times New Roman" w:hAnsi="Times New Roman"/>
          <w:b/>
          <w:bCs/>
          <w:sz w:val="24"/>
          <w:szCs w:val="24"/>
          <w:u w:val="single"/>
        </w:rPr>
        <w:t>Revision</w:t>
      </w:r>
      <w:r>
        <w:rPr>
          <w:rFonts w:ascii="Times New Roman" w:hAnsi="Times New Roman"/>
          <w:b/>
          <w:bCs/>
          <w:sz w:val="24"/>
          <w:szCs w:val="24"/>
          <w:u w:val="single"/>
        </w:rPr>
        <w:t xml:space="preserve"> Request</w:t>
      </w:r>
    </w:p>
    <w:p w:rsidR="0020722F" w:rsidP="0023501B" w14:paraId="362B01F6" w14:textId="76675BF2">
      <w:pPr>
        <w:rPr>
          <w:rFonts w:ascii="Times New Roman" w:hAnsi="Times New Roman"/>
          <w:color w:val="000000" w:themeColor="text1"/>
          <w:sz w:val="24"/>
          <w:szCs w:val="24"/>
        </w:rPr>
      </w:pPr>
      <w:r w:rsidRPr="00C110EC">
        <w:rPr>
          <w:rFonts w:ascii="Times New Roman" w:hAnsi="Times New Roman"/>
          <w:sz w:val="24"/>
          <w:szCs w:val="24"/>
        </w:rPr>
        <w:t xml:space="preserve">The </w:t>
      </w:r>
      <w:r w:rsidRPr="00C110EC" w:rsidR="005F2610">
        <w:rPr>
          <w:rFonts w:ascii="Times New Roman" w:hAnsi="Times New Roman"/>
          <w:sz w:val="24"/>
          <w:szCs w:val="24"/>
        </w:rPr>
        <w:t xml:space="preserve">Opt-Out Savings program </w:t>
      </w:r>
      <w:r w:rsidRPr="00C110EC" w:rsidR="003E6FE6">
        <w:rPr>
          <w:rFonts w:ascii="Times New Roman" w:hAnsi="Times New Roman"/>
          <w:sz w:val="24"/>
          <w:szCs w:val="24"/>
        </w:rPr>
        <w:t>household surve</w:t>
      </w:r>
      <w:r w:rsidRPr="00C110EC" w:rsidR="005F2610">
        <w:rPr>
          <w:rFonts w:ascii="Times New Roman" w:hAnsi="Times New Roman"/>
          <w:sz w:val="24"/>
          <w:szCs w:val="24"/>
        </w:rPr>
        <w:t xml:space="preserve">y, the </w:t>
      </w:r>
      <w:r w:rsidRPr="00C110EC" w:rsidR="00746C20">
        <w:rPr>
          <w:rFonts w:ascii="Times New Roman" w:hAnsi="Times New Roman"/>
          <w:sz w:val="24"/>
          <w:szCs w:val="24"/>
        </w:rPr>
        <w:t>new data collection u</w:t>
      </w:r>
      <w:r w:rsidRPr="00C110EC" w:rsidR="00C30470">
        <w:rPr>
          <w:rFonts w:ascii="Times New Roman" w:hAnsi="Times New Roman"/>
          <w:sz w:val="24"/>
          <w:szCs w:val="24"/>
        </w:rPr>
        <w:t xml:space="preserve">nder </w:t>
      </w:r>
      <w:r w:rsidR="002642D5">
        <w:rPr>
          <w:rFonts w:ascii="Times New Roman" w:hAnsi="Times New Roman"/>
          <w:sz w:val="24"/>
          <w:szCs w:val="24"/>
        </w:rPr>
        <w:t>this revision</w:t>
      </w:r>
      <w:r w:rsidRPr="00C110EC">
        <w:rPr>
          <w:rFonts w:ascii="Times New Roman" w:hAnsi="Times New Roman"/>
          <w:sz w:val="24"/>
          <w:szCs w:val="24"/>
        </w:rPr>
        <w:t xml:space="preserve"> request, </w:t>
      </w:r>
      <w:r w:rsidRPr="00C110EC" w:rsidR="004D5548">
        <w:rPr>
          <w:rFonts w:ascii="Times New Roman" w:hAnsi="Times New Roman"/>
          <w:sz w:val="24"/>
          <w:szCs w:val="24"/>
        </w:rPr>
        <w:t xml:space="preserve">targets roughly equal </w:t>
      </w:r>
      <w:r w:rsidRPr="00DD7561" w:rsidR="004D5548">
        <w:rPr>
          <w:rFonts w:ascii="Times New Roman" w:hAnsi="Times New Roman"/>
          <w:sz w:val="24"/>
          <w:szCs w:val="24"/>
        </w:rPr>
        <w:t xml:space="preserve">numbers of treatment group and control group participants at each site to maximize statistical power. The sampling plan is stratified by site. </w:t>
      </w:r>
      <w:r w:rsidRPr="00DD7561" w:rsidR="003616F5">
        <w:rPr>
          <w:rFonts w:ascii="Times New Roman" w:hAnsi="Times New Roman"/>
          <w:sz w:val="24"/>
          <w:szCs w:val="24"/>
        </w:rPr>
        <w:t>Regression analyses of outcome measures will account for the stratified nature</w:t>
      </w:r>
      <w:r w:rsidRPr="00C110EC" w:rsidR="003616F5">
        <w:rPr>
          <w:rFonts w:ascii="Times New Roman" w:hAnsi="Times New Roman"/>
          <w:sz w:val="24"/>
          <w:szCs w:val="24"/>
        </w:rPr>
        <w:t xml:space="preserve"> of the sample</w:t>
      </w:r>
      <w:r w:rsidRPr="00C110EC" w:rsidR="0052601A">
        <w:rPr>
          <w:rFonts w:ascii="Times New Roman" w:hAnsi="Times New Roman"/>
          <w:sz w:val="24"/>
          <w:szCs w:val="24"/>
        </w:rPr>
        <w:t xml:space="preserve"> using PHA fixed effects. The sampling plan offers roughly equal sample across sites, allowing the researchers to estimate impact of the </w:t>
      </w:r>
      <w:r w:rsidR="006D6F22">
        <w:rPr>
          <w:rFonts w:ascii="Times New Roman" w:hAnsi="Times New Roman"/>
          <w:sz w:val="24"/>
          <w:szCs w:val="24"/>
        </w:rPr>
        <w:t>“</w:t>
      </w:r>
      <w:r w:rsidRPr="00C110EC" w:rsidR="0052601A">
        <w:rPr>
          <w:rFonts w:ascii="Times New Roman" w:hAnsi="Times New Roman"/>
          <w:sz w:val="24"/>
          <w:szCs w:val="24"/>
        </w:rPr>
        <w:t>average program”</w:t>
      </w:r>
      <w:r w:rsidRPr="00C110EC" w:rsidR="000628BD">
        <w:rPr>
          <w:rFonts w:ascii="Times New Roman" w:hAnsi="Times New Roman"/>
          <w:sz w:val="24"/>
          <w:szCs w:val="24"/>
        </w:rPr>
        <w:t xml:space="preserve"> </w:t>
      </w:r>
      <w:r w:rsidRPr="00C110EC" w:rsidR="0052601A">
        <w:rPr>
          <w:rFonts w:ascii="Times New Roman" w:hAnsi="Times New Roman"/>
          <w:sz w:val="24"/>
          <w:szCs w:val="24"/>
        </w:rPr>
        <w:t>(up to the constraints of the size of the treatment sample at each site).</w:t>
      </w:r>
      <w:r w:rsidRPr="00C110EC" w:rsidR="00147E08">
        <w:rPr>
          <w:rFonts w:ascii="Times New Roman" w:hAnsi="Times New Roman"/>
          <w:color w:val="000000" w:themeColor="text1"/>
          <w:sz w:val="24"/>
          <w:szCs w:val="24"/>
        </w:rPr>
        <w:t xml:space="preserve"> The true constraint in this analysis is the small size of the treatment groups. </w:t>
      </w:r>
    </w:p>
    <w:p w:rsidR="00831EC5" w:rsidRPr="00F773DC" w:rsidP="0023501B" w14:paraId="1B565AE6" w14:textId="530AEF79">
      <w:pPr>
        <w:rPr>
          <w:rFonts w:ascii="Times New Roman" w:hAnsi="Times New Roman"/>
          <w:sz w:val="24"/>
          <w:szCs w:val="24"/>
        </w:rPr>
      </w:pPr>
      <w:r>
        <w:rPr>
          <w:rFonts w:ascii="Times New Roman" w:hAnsi="Times New Roman"/>
          <w:sz w:val="24"/>
          <w:szCs w:val="24"/>
        </w:rPr>
        <w:t>W</w:t>
      </w:r>
      <w:r w:rsidRPr="0020722F">
        <w:rPr>
          <w:rFonts w:ascii="Times New Roman" w:hAnsi="Times New Roman"/>
          <w:sz w:val="24"/>
          <w:szCs w:val="24"/>
        </w:rPr>
        <w:t>e conducted statistical power analysis using PowerUp! (Dong and Maynard 2013).</w:t>
      </w:r>
      <w:r w:rsidRPr="0020722F">
        <w:rPr>
          <w:rFonts w:ascii="Times New Roman" w:hAnsi="Times New Roman"/>
          <w:sz w:val="24"/>
          <w:szCs w:val="24"/>
          <w:vertAlign w:val="superscript"/>
        </w:rPr>
        <w:t>1</w:t>
      </w:r>
      <w:r w:rsidRPr="0020722F">
        <w:rPr>
          <w:rFonts w:ascii="Times New Roman" w:hAnsi="Times New Roman"/>
          <w:sz w:val="24"/>
          <w:szCs w:val="24"/>
        </w:rPr>
        <w:t xml:space="preserve"> We assume an alpha level of 0.05 (a 5 percent probability/tolerance of falsely concluding a finding is statistically significant if there truly was no effect); we use 80 percent power (an 80 percent probability/tolerance of detecting any statistically significant impact if there truly is one); and we assume that a two-tailed hypothesis test will be conducted.</w:t>
      </w:r>
      <w:r w:rsidR="00212058">
        <w:rPr>
          <w:rFonts w:ascii="Times New Roman" w:hAnsi="Times New Roman"/>
          <w:sz w:val="24"/>
          <w:szCs w:val="24"/>
        </w:rPr>
        <w:t xml:space="preserve"> </w:t>
      </w:r>
      <w:r w:rsidRPr="00C110EC" w:rsidR="00FF5801">
        <w:rPr>
          <w:rFonts w:ascii="Times New Roman" w:hAnsi="Times New Roman"/>
          <w:sz w:val="24"/>
          <w:szCs w:val="24"/>
        </w:rPr>
        <w:t>Our power</w:t>
      </w:r>
      <w:r w:rsidRPr="00C110EC" w:rsidR="00147E08">
        <w:rPr>
          <w:rFonts w:ascii="Times New Roman" w:hAnsi="Times New Roman"/>
          <w:sz w:val="24"/>
          <w:szCs w:val="24"/>
        </w:rPr>
        <w:t xml:space="preserve"> analysis </w:t>
      </w:r>
      <w:r w:rsidR="00F07427">
        <w:rPr>
          <w:rFonts w:ascii="Times New Roman" w:hAnsi="Times New Roman"/>
          <w:sz w:val="24"/>
          <w:szCs w:val="24"/>
        </w:rPr>
        <w:t xml:space="preserve">assumes </w:t>
      </w:r>
      <w:r w:rsidR="00010681">
        <w:rPr>
          <w:rFonts w:ascii="Times New Roman" w:hAnsi="Times New Roman"/>
          <w:sz w:val="24"/>
          <w:szCs w:val="24"/>
        </w:rPr>
        <w:t>a 60 percent response rate</w:t>
      </w:r>
      <w:r w:rsidR="00A124C6">
        <w:rPr>
          <w:rFonts w:ascii="Times New Roman" w:hAnsi="Times New Roman"/>
          <w:sz w:val="24"/>
          <w:szCs w:val="24"/>
        </w:rPr>
        <w:t xml:space="preserve"> which is fairly </w:t>
      </w:r>
      <w:r w:rsidR="00996692">
        <w:rPr>
          <w:rFonts w:ascii="Times New Roman" w:hAnsi="Times New Roman"/>
          <w:sz w:val="24"/>
          <w:szCs w:val="24"/>
        </w:rPr>
        <w:t xml:space="preserve">conservative. </w:t>
      </w:r>
      <w:r w:rsidR="002873D0">
        <w:rPr>
          <w:rFonts w:ascii="Times New Roman" w:hAnsi="Times New Roman"/>
          <w:sz w:val="24"/>
          <w:szCs w:val="24"/>
        </w:rPr>
        <w:t xml:space="preserve">We find that, given this sample size, the average impact on the </w:t>
      </w:r>
      <w:r w:rsidR="00865CE0">
        <w:rPr>
          <w:rFonts w:ascii="Times New Roman" w:hAnsi="Times New Roman"/>
          <w:sz w:val="24"/>
          <w:szCs w:val="24"/>
        </w:rPr>
        <w:t>percent of households w</w:t>
      </w:r>
      <w:r w:rsidR="00661734">
        <w:rPr>
          <w:rFonts w:ascii="Times New Roman" w:hAnsi="Times New Roman"/>
          <w:sz w:val="24"/>
          <w:szCs w:val="24"/>
        </w:rPr>
        <w:t xml:space="preserve">ho have been behind in rent in the last 3 months would have to be </w:t>
      </w:r>
      <w:r w:rsidR="004D4CBD">
        <w:rPr>
          <w:rFonts w:ascii="Times New Roman" w:hAnsi="Times New Roman"/>
          <w:sz w:val="24"/>
          <w:szCs w:val="24"/>
        </w:rPr>
        <w:t>6 percentage points</w:t>
      </w:r>
      <w:r w:rsidR="001F17BF">
        <w:rPr>
          <w:rFonts w:ascii="Times New Roman" w:hAnsi="Times New Roman"/>
          <w:sz w:val="24"/>
          <w:szCs w:val="24"/>
        </w:rPr>
        <w:t xml:space="preserve"> and the average impact on the percent of households who </w:t>
      </w:r>
      <w:r w:rsidR="001F0AC7">
        <w:rPr>
          <w:rFonts w:ascii="Times New Roman" w:hAnsi="Times New Roman"/>
          <w:sz w:val="24"/>
          <w:szCs w:val="24"/>
        </w:rPr>
        <w:t xml:space="preserve">have enough savings for a $400 emergency would have to be </w:t>
      </w:r>
      <w:r w:rsidR="00F30895">
        <w:rPr>
          <w:rFonts w:ascii="Times New Roman" w:hAnsi="Times New Roman"/>
          <w:sz w:val="24"/>
          <w:szCs w:val="24"/>
        </w:rPr>
        <w:t xml:space="preserve">8.5 percentage points in order for this study to have at least an 80% chance of detecting a statistically significant impact. </w:t>
      </w:r>
      <w:r w:rsidR="0051321D">
        <w:rPr>
          <w:rFonts w:ascii="Times New Roman" w:hAnsi="Times New Roman"/>
          <w:sz w:val="24"/>
          <w:szCs w:val="24"/>
        </w:rPr>
        <w:t xml:space="preserve">These minimum detectable impacts are acceptable to HUD. </w:t>
      </w:r>
    </w:p>
    <w:p w:rsidR="00831EC5" w:rsidRPr="00831EC5" w:rsidP="0023501B" w14:paraId="5AE9EAF7" w14:textId="77777777">
      <w:pPr>
        <w:pStyle w:val="Heading3"/>
        <w:rPr>
          <w:rFonts w:ascii="Times New Roman" w:eastAsia="Arial" w:hAnsi="Times New Roman"/>
          <w:b/>
          <w:bCs/>
          <w:color w:val="auto"/>
        </w:rPr>
      </w:pPr>
      <w:bookmarkStart w:id="1" w:name="_Toc143778006"/>
      <w:r w:rsidRPr="00831EC5">
        <w:rPr>
          <w:rFonts w:ascii="Times New Roman" w:eastAsia="Arial" w:hAnsi="Times New Roman"/>
          <w:b/>
          <w:bCs/>
          <w:color w:val="auto"/>
        </w:rPr>
        <w:t>Procedures with Special Populations</w:t>
      </w:r>
      <w:bookmarkEnd w:id="1"/>
    </w:p>
    <w:p w:rsidR="00831EC5" w:rsidRPr="00831EC5" w:rsidP="0023501B" w14:paraId="5AE7F586" w14:textId="77777777">
      <w:pPr>
        <w:pStyle w:val="NoSpacing"/>
        <w:rPr>
          <w:rFonts w:ascii="Times New Roman" w:hAnsi="Times New Roman"/>
          <w:b/>
          <w:bCs/>
          <w:sz w:val="24"/>
          <w:szCs w:val="24"/>
        </w:rPr>
      </w:pPr>
      <w:r w:rsidRPr="00831EC5">
        <w:rPr>
          <w:rFonts w:ascii="Times New Roman" w:hAnsi="Times New Roman"/>
          <w:color w:val="000000"/>
          <w:sz w:val="24"/>
          <w:szCs w:val="24"/>
        </w:rPr>
        <w:t>We do not believe we will be communicating with people from special populations</w:t>
      </w:r>
      <w:r>
        <w:rPr>
          <w:rFonts w:ascii="Times New Roman" w:hAnsi="Times New Roman"/>
          <w:color w:val="000000"/>
          <w:sz w:val="24"/>
          <w:szCs w:val="24"/>
        </w:rPr>
        <w:t>.</w:t>
      </w:r>
    </w:p>
    <w:p w:rsidR="00831EC5" w:rsidRPr="00831EC5" w:rsidP="0023501B" w14:paraId="270C74DD" w14:textId="77777777">
      <w:pPr>
        <w:pStyle w:val="NoSpacing"/>
        <w:rPr>
          <w:rFonts w:ascii="Times New Roman" w:hAnsi="Times New Roman"/>
          <w:sz w:val="24"/>
          <w:szCs w:val="24"/>
        </w:rPr>
      </w:pPr>
    </w:p>
    <w:p w:rsidR="00763388" w:rsidP="0023501B" w14:paraId="23EC1203" w14:textId="77777777">
      <w:pPr>
        <w:pStyle w:val="NoSpacing"/>
        <w:rPr>
          <w:rFonts w:ascii="Times New Roman" w:hAnsi="Times New Roman"/>
          <w:b/>
          <w:bCs/>
          <w:sz w:val="24"/>
          <w:szCs w:val="24"/>
        </w:rPr>
      </w:pPr>
      <w:r w:rsidRPr="00831EC5">
        <w:rPr>
          <w:rFonts w:ascii="Times New Roman" w:hAnsi="Times New Roman"/>
          <w:b/>
          <w:bCs/>
          <w:sz w:val="24"/>
          <w:szCs w:val="24"/>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330E05" w:rsidP="0023501B" w14:paraId="4E49F445" w14:textId="77777777">
      <w:pPr>
        <w:pStyle w:val="NoSpacing"/>
        <w:rPr>
          <w:rFonts w:ascii="Times New Roman" w:hAnsi="Times New Roman"/>
          <w:b/>
          <w:bCs/>
          <w:sz w:val="24"/>
          <w:szCs w:val="24"/>
        </w:rPr>
      </w:pPr>
    </w:p>
    <w:p w:rsidR="00330E05" w:rsidRPr="00156571" w:rsidP="0023501B" w14:paraId="696CFE7A" w14:textId="114A68E8">
      <w:pPr>
        <w:rPr>
          <w:rFonts w:ascii="Times New Roman" w:hAnsi="Times New Roman"/>
          <w:b/>
          <w:bCs/>
          <w:sz w:val="24"/>
          <w:szCs w:val="24"/>
          <w:u w:val="single"/>
        </w:rPr>
      </w:pPr>
      <w:r>
        <w:rPr>
          <w:rFonts w:ascii="Times New Roman" w:hAnsi="Times New Roman"/>
          <w:b/>
          <w:bCs/>
          <w:sz w:val="24"/>
          <w:szCs w:val="24"/>
          <w:u w:val="single"/>
        </w:rPr>
        <w:t>Revision</w:t>
      </w:r>
      <w:r>
        <w:rPr>
          <w:rFonts w:ascii="Times New Roman" w:hAnsi="Times New Roman"/>
          <w:b/>
          <w:bCs/>
          <w:sz w:val="24"/>
          <w:szCs w:val="24"/>
          <w:u w:val="single"/>
        </w:rPr>
        <w:t xml:space="preserve"> Request</w:t>
      </w:r>
    </w:p>
    <w:p w:rsidR="001A38C5" w:rsidRPr="009F31E3" w:rsidP="0023501B" w14:paraId="653B7AC4" w14:textId="43EBCCFE">
      <w:pPr>
        <w:rPr>
          <w:rFonts w:ascii="Times New Roman" w:hAnsi="Times New Roman"/>
          <w:sz w:val="24"/>
          <w:szCs w:val="24"/>
        </w:rPr>
      </w:pPr>
      <w:r w:rsidRPr="009F31E3">
        <w:rPr>
          <w:rFonts w:ascii="Times New Roman" w:hAnsi="Times New Roman"/>
          <w:sz w:val="24"/>
          <w:szCs w:val="24"/>
        </w:rPr>
        <w:t xml:space="preserve">Under this </w:t>
      </w:r>
      <w:r w:rsidRPr="009F31E3" w:rsidR="002642D5">
        <w:rPr>
          <w:rFonts w:ascii="Times New Roman" w:hAnsi="Times New Roman"/>
          <w:sz w:val="24"/>
          <w:szCs w:val="24"/>
        </w:rPr>
        <w:t>revision</w:t>
      </w:r>
      <w:r w:rsidRPr="009F31E3">
        <w:rPr>
          <w:rFonts w:ascii="Times New Roman" w:hAnsi="Times New Roman"/>
          <w:sz w:val="24"/>
          <w:szCs w:val="24"/>
        </w:rPr>
        <w:t xml:space="preserve"> request </w:t>
      </w:r>
      <w:r w:rsidRPr="009F31E3" w:rsidR="00EF3B47">
        <w:rPr>
          <w:rFonts w:ascii="Times New Roman" w:hAnsi="Times New Roman"/>
          <w:sz w:val="24"/>
          <w:szCs w:val="24"/>
        </w:rPr>
        <w:t xml:space="preserve">to OMB #2528-0345, the Department seeks approval to conduct interviews with up to 1,100 participants in the Opt-Out Savings program.  </w:t>
      </w:r>
      <w:r w:rsidRPr="009F31E3" w:rsidR="004D5C1B">
        <w:rPr>
          <w:rFonts w:ascii="Times New Roman" w:hAnsi="Times New Roman"/>
          <w:sz w:val="24"/>
          <w:szCs w:val="24"/>
        </w:rPr>
        <w:t>Interviewers will conduct the survey data collection u</w:t>
      </w:r>
      <w:r w:rsidRPr="009F31E3" w:rsidR="00F87EED">
        <w:rPr>
          <w:rFonts w:ascii="Times New Roman" w:hAnsi="Times New Roman"/>
          <w:sz w:val="24"/>
          <w:szCs w:val="24"/>
        </w:rPr>
        <w:t xml:space="preserve">sing computer-assisted personal interviewing (CAPI) technology. </w:t>
      </w:r>
      <w:r w:rsidRPr="009F31E3" w:rsidR="00421136">
        <w:rPr>
          <w:rFonts w:ascii="Times New Roman" w:hAnsi="Times New Roman"/>
          <w:sz w:val="24"/>
          <w:szCs w:val="24"/>
        </w:rPr>
        <w:t xml:space="preserve">Each participant selected for the interview will receive an advance letter </w:t>
      </w:r>
      <w:r w:rsidRPr="009F31E3" w:rsidR="004D5C1B">
        <w:rPr>
          <w:rFonts w:ascii="Times New Roman" w:hAnsi="Times New Roman"/>
          <w:sz w:val="24"/>
          <w:szCs w:val="24"/>
        </w:rPr>
        <w:t xml:space="preserve">informing them </w:t>
      </w:r>
      <w:r w:rsidRPr="009F31E3" w:rsidR="00421136">
        <w:rPr>
          <w:rFonts w:ascii="Times New Roman" w:hAnsi="Times New Roman"/>
          <w:sz w:val="24"/>
          <w:szCs w:val="24"/>
        </w:rPr>
        <w:t xml:space="preserve">about the </w:t>
      </w:r>
      <w:r w:rsidRPr="009F31E3" w:rsidR="004D5C1B">
        <w:rPr>
          <w:rFonts w:ascii="Times New Roman" w:hAnsi="Times New Roman"/>
          <w:sz w:val="24"/>
          <w:szCs w:val="24"/>
        </w:rPr>
        <w:t xml:space="preserve">upcoming </w:t>
      </w:r>
      <w:r w:rsidRPr="009F31E3" w:rsidR="00421136">
        <w:rPr>
          <w:rFonts w:ascii="Times New Roman" w:hAnsi="Times New Roman"/>
          <w:sz w:val="24"/>
          <w:szCs w:val="24"/>
        </w:rPr>
        <w:t>data collection</w:t>
      </w:r>
      <w:r w:rsidRPr="009F31E3" w:rsidR="004D5C1B">
        <w:rPr>
          <w:rFonts w:ascii="Times New Roman" w:hAnsi="Times New Roman"/>
          <w:sz w:val="24"/>
          <w:szCs w:val="24"/>
        </w:rPr>
        <w:t xml:space="preserve">.  The letter will </w:t>
      </w:r>
      <w:r w:rsidRPr="009F31E3" w:rsidR="000A57C0">
        <w:rPr>
          <w:rFonts w:ascii="Times New Roman" w:hAnsi="Times New Roman"/>
          <w:sz w:val="24"/>
          <w:szCs w:val="24"/>
        </w:rPr>
        <w:t xml:space="preserve">inform participants that </w:t>
      </w:r>
      <w:r w:rsidRPr="009F31E3" w:rsidR="009A61E7">
        <w:rPr>
          <w:rFonts w:ascii="Times New Roman" w:hAnsi="Times New Roman"/>
          <w:sz w:val="24"/>
          <w:szCs w:val="24"/>
        </w:rPr>
        <w:t xml:space="preserve">an interviewer will be calling them to conduct the interview, the duration of the interview, </w:t>
      </w:r>
      <w:r w:rsidRPr="009F31E3" w:rsidR="00BE7ADA">
        <w:rPr>
          <w:rFonts w:ascii="Times New Roman" w:hAnsi="Times New Roman"/>
          <w:sz w:val="24"/>
          <w:szCs w:val="24"/>
        </w:rPr>
        <w:t>the content of the survey, the incentive</w:t>
      </w:r>
      <w:r w:rsidRPr="009F31E3" w:rsidR="000A57C0">
        <w:rPr>
          <w:rFonts w:ascii="Times New Roman" w:hAnsi="Times New Roman"/>
          <w:sz w:val="24"/>
          <w:szCs w:val="24"/>
        </w:rPr>
        <w:t xml:space="preserve"> amount</w:t>
      </w:r>
      <w:r w:rsidR="00616BDB">
        <w:rPr>
          <w:rFonts w:ascii="Times New Roman" w:hAnsi="Times New Roman"/>
          <w:sz w:val="24"/>
          <w:szCs w:val="24"/>
        </w:rPr>
        <w:t xml:space="preserve"> (see Part A for details)</w:t>
      </w:r>
      <w:r w:rsidRPr="009F31E3" w:rsidR="00BE7ADA">
        <w:rPr>
          <w:rFonts w:ascii="Times New Roman" w:hAnsi="Times New Roman"/>
          <w:sz w:val="24"/>
          <w:szCs w:val="24"/>
        </w:rPr>
        <w:t xml:space="preserve">, and who to contact with questions.  </w:t>
      </w:r>
    </w:p>
    <w:p w:rsidR="008403CA" w:rsidRPr="00831EC5" w:rsidP="0023501B" w14:paraId="25DED862" w14:textId="482411A7">
      <w:pPr>
        <w:rPr>
          <w:rFonts w:ascii="Times New Roman" w:hAnsi="Times New Roman"/>
          <w:sz w:val="24"/>
          <w:szCs w:val="24"/>
        </w:rPr>
      </w:pPr>
      <w:r w:rsidRPr="009F31E3">
        <w:rPr>
          <w:rFonts w:ascii="Times New Roman" w:hAnsi="Times New Roman"/>
          <w:sz w:val="24"/>
          <w:szCs w:val="24"/>
        </w:rPr>
        <w:t xml:space="preserve">Within </w:t>
      </w:r>
      <w:r w:rsidRPr="009F31E3" w:rsidR="001A38C5">
        <w:rPr>
          <w:rFonts w:ascii="Times New Roman" w:hAnsi="Times New Roman"/>
          <w:sz w:val="24"/>
          <w:szCs w:val="24"/>
        </w:rPr>
        <w:t>one</w:t>
      </w:r>
      <w:r w:rsidRPr="009F31E3">
        <w:rPr>
          <w:rFonts w:ascii="Times New Roman" w:hAnsi="Times New Roman"/>
          <w:sz w:val="24"/>
          <w:szCs w:val="24"/>
        </w:rPr>
        <w:t xml:space="preserve"> week of sending the advance letter, interviewers will begin calling participants to schedule the interview. </w:t>
      </w:r>
      <w:r w:rsidRPr="009F31E3" w:rsidR="006B058B">
        <w:rPr>
          <w:rFonts w:ascii="Times New Roman" w:hAnsi="Times New Roman"/>
          <w:sz w:val="24"/>
          <w:szCs w:val="24"/>
        </w:rPr>
        <w:t xml:space="preserve">Interviewers </w:t>
      </w:r>
      <w:r w:rsidRPr="009F31E3" w:rsidR="00461FDD">
        <w:rPr>
          <w:rFonts w:ascii="Times New Roman" w:hAnsi="Times New Roman"/>
          <w:sz w:val="24"/>
          <w:szCs w:val="24"/>
        </w:rPr>
        <w:t xml:space="preserve">will complete the survey by phone </w:t>
      </w:r>
      <w:r w:rsidR="00616BDB">
        <w:rPr>
          <w:rFonts w:ascii="Times New Roman" w:hAnsi="Times New Roman"/>
          <w:sz w:val="24"/>
          <w:szCs w:val="24"/>
        </w:rPr>
        <w:t>if</w:t>
      </w:r>
      <w:r w:rsidRPr="009F31E3" w:rsidR="00616BDB">
        <w:rPr>
          <w:rFonts w:ascii="Times New Roman" w:hAnsi="Times New Roman"/>
          <w:sz w:val="24"/>
          <w:szCs w:val="24"/>
        </w:rPr>
        <w:t xml:space="preserve"> </w:t>
      </w:r>
      <w:r w:rsidRPr="009F31E3" w:rsidR="00461FDD">
        <w:rPr>
          <w:rFonts w:ascii="Times New Roman" w:hAnsi="Times New Roman"/>
          <w:sz w:val="24"/>
          <w:szCs w:val="24"/>
        </w:rPr>
        <w:t xml:space="preserve">possible. </w:t>
      </w:r>
      <w:r w:rsidRPr="009F31E3" w:rsidR="006B058B">
        <w:rPr>
          <w:rFonts w:ascii="Times New Roman" w:hAnsi="Times New Roman"/>
          <w:sz w:val="24"/>
          <w:szCs w:val="24"/>
        </w:rPr>
        <w:t xml:space="preserve">To maximize the response rates, interviewers </w:t>
      </w:r>
      <w:r w:rsidRPr="009F31E3" w:rsidR="00B3387C">
        <w:rPr>
          <w:rFonts w:ascii="Times New Roman" w:hAnsi="Times New Roman"/>
          <w:sz w:val="24"/>
          <w:szCs w:val="24"/>
        </w:rPr>
        <w:t xml:space="preserve">will </w:t>
      </w:r>
      <w:r w:rsidRPr="009F31E3" w:rsidR="00752F30">
        <w:rPr>
          <w:rFonts w:ascii="Times New Roman" w:hAnsi="Times New Roman"/>
          <w:sz w:val="24"/>
          <w:szCs w:val="24"/>
        </w:rPr>
        <w:t xml:space="preserve">conduct </w:t>
      </w:r>
      <w:r w:rsidRPr="009F31E3" w:rsidR="00B3387C">
        <w:rPr>
          <w:rFonts w:ascii="Times New Roman" w:hAnsi="Times New Roman"/>
          <w:sz w:val="24"/>
          <w:szCs w:val="24"/>
        </w:rPr>
        <w:t xml:space="preserve">in-person </w:t>
      </w:r>
      <w:r w:rsidRPr="009F31E3" w:rsidR="00752F30">
        <w:rPr>
          <w:rFonts w:ascii="Times New Roman" w:hAnsi="Times New Roman"/>
          <w:sz w:val="24"/>
          <w:szCs w:val="24"/>
        </w:rPr>
        <w:t xml:space="preserve">follow-up </w:t>
      </w:r>
      <w:r w:rsidRPr="009F31E3" w:rsidR="009270CE">
        <w:rPr>
          <w:rFonts w:ascii="Times New Roman" w:hAnsi="Times New Roman"/>
          <w:sz w:val="24"/>
          <w:szCs w:val="24"/>
        </w:rPr>
        <w:t xml:space="preserve">visits </w:t>
      </w:r>
      <w:r w:rsidRPr="009F31E3" w:rsidR="00B3387C">
        <w:rPr>
          <w:rFonts w:ascii="Times New Roman" w:hAnsi="Times New Roman"/>
          <w:sz w:val="24"/>
          <w:szCs w:val="24"/>
        </w:rPr>
        <w:t>to complete the interview with</w:t>
      </w:r>
      <w:r w:rsidRPr="009F31E3" w:rsidR="009270CE">
        <w:rPr>
          <w:rFonts w:ascii="Times New Roman" w:hAnsi="Times New Roman"/>
          <w:sz w:val="24"/>
          <w:szCs w:val="24"/>
        </w:rPr>
        <w:t xml:space="preserve"> those participants who </w:t>
      </w:r>
      <w:r w:rsidRPr="009F31E3" w:rsidR="0001512F">
        <w:rPr>
          <w:rFonts w:ascii="Times New Roman" w:hAnsi="Times New Roman"/>
          <w:sz w:val="24"/>
          <w:szCs w:val="24"/>
        </w:rPr>
        <w:t>did not complete by phone.</w:t>
      </w:r>
      <w:r w:rsidR="0001512F">
        <w:rPr>
          <w:rFonts w:ascii="Times New Roman" w:hAnsi="Times New Roman"/>
          <w:sz w:val="24"/>
          <w:szCs w:val="24"/>
        </w:rPr>
        <w:t xml:space="preserve"> </w:t>
      </w:r>
    </w:p>
    <w:p w:rsidR="0030106A" w:rsidP="0023501B" w14:paraId="136C3643" w14:textId="77777777">
      <w:pPr>
        <w:pStyle w:val="NoSpacing"/>
        <w:rPr>
          <w:rFonts w:ascii="Times New Roman" w:hAnsi="Times New Roman"/>
          <w:b/>
          <w:bCs/>
          <w:sz w:val="24"/>
          <w:szCs w:val="24"/>
        </w:rPr>
      </w:pPr>
      <w:r w:rsidRPr="00831EC5">
        <w:rPr>
          <w:rFonts w:ascii="Times New Roman" w:hAnsi="Times New Roman"/>
          <w:b/>
          <w:bCs/>
          <w:sz w:val="24"/>
          <w:szCs w:val="24"/>
        </w:rPr>
        <w:t>4. Describe any tests of procedures or methods to be</w:t>
      </w:r>
      <w:r w:rsidRPr="00831EC5" w:rsidR="00763388">
        <w:rPr>
          <w:rFonts w:ascii="Times New Roman" w:hAnsi="Times New Roman"/>
          <w:b/>
          <w:bCs/>
          <w:sz w:val="24"/>
          <w:szCs w:val="24"/>
        </w:rPr>
        <w:t xml:space="preserve"> </w:t>
      </w:r>
      <w:r w:rsidRPr="00831EC5">
        <w:rPr>
          <w:rFonts w:ascii="Times New Roman" w:hAnsi="Times New Roman"/>
          <w:b/>
          <w:bCs/>
          <w:sz w:val="24"/>
          <w:szCs w:val="24"/>
        </w:rPr>
        <w:t>undertaken. Testing is encouraged as an effective means</w:t>
      </w:r>
      <w:r w:rsidRPr="00831EC5" w:rsidR="00763388">
        <w:rPr>
          <w:rFonts w:ascii="Times New Roman" w:hAnsi="Times New Roman"/>
          <w:b/>
          <w:bCs/>
          <w:sz w:val="24"/>
          <w:szCs w:val="24"/>
        </w:rPr>
        <w:t xml:space="preserve"> </w:t>
      </w:r>
      <w:r w:rsidRPr="00831EC5">
        <w:rPr>
          <w:rFonts w:ascii="Times New Roman" w:hAnsi="Times New Roman"/>
          <w:b/>
          <w:bCs/>
          <w:sz w:val="24"/>
          <w:szCs w:val="24"/>
        </w:rPr>
        <w:t>of refining collections of information to minimize burden and</w:t>
      </w:r>
      <w:r w:rsidRPr="00831EC5" w:rsidR="00763388">
        <w:rPr>
          <w:rFonts w:ascii="Times New Roman" w:hAnsi="Times New Roman"/>
          <w:b/>
          <w:bCs/>
          <w:sz w:val="24"/>
          <w:szCs w:val="24"/>
        </w:rPr>
        <w:t xml:space="preserve"> </w:t>
      </w:r>
      <w:r w:rsidRPr="00831EC5">
        <w:rPr>
          <w:rFonts w:ascii="Times New Roman" w:hAnsi="Times New Roman"/>
          <w:b/>
          <w:bCs/>
          <w:sz w:val="24"/>
          <w:szCs w:val="24"/>
        </w:rPr>
        <w:t>improve utility. Tests must be approved if they call for</w:t>
      </w:r>
      <w:r w:rsidRPr="00831EC5" w:rsidR="00763388">
        <w:rPr>
          <w:rFonts w:ascii="Times New Roman" w:hAnsi="Times New Roman"/>
          <w:b/>
          <w:bCs/>
          <w:sz w:val="24"/>
          <w:szCs w:val="24"/>
        </w:rPr>
        <w:t xml:space="preserve"> </w:t>
      </w:r>
      <w:r w:rsidRPr="00831EC5">
        <w:rPr>
          <w:rFonts w:ascii="Times New Roman" w:hAnsi="Times New Roman"/>
          <w:b/>
          <w:bCs/>
          <w:sz w:val="24"/>
          <w:szCs w:val="24"/>
        </w:rPr>
        <w:t>answers to identical questions from 10 or more</w:t>
      </w:r>
      <w:r w:rsidRPr="00831EC5" w:rsidR="00763388">
        <w:rPr>
          <w:rFonts w:ascii="Times New Roman" w:hAnsi="Times New Roman"/>
          <w:b/>
          <w:bCs/>
          <w:sz w:val="24"/>
          <w:szCs w:val="24"/>
        </w:rPr>
        <w:t xml:space="preserve"> </w:t>
      </w:r>
      <w:r w:rsidRPr="00831EC5">
        <w:rPr>
          <w:rFonts w:ascii="Times New Roman" w:hAnsi="Times New Roman"/>
          <w:b/>
          <w:bCs/>
          <w:sz w:val="24"/>
          <w:szCs w:val="24"/>
        </w:rPr>
        <w:t>respondents. A proposed test or set of test may be</w:t>
      </w:r>
      <w:r w:rsidRPr="00831EC5" w:rsidR="00763388">
        <w:rPr>
          <w:rFonts w:ascii="Times New Roman" w:hAnsi="Times New Roman"/>
          <w:b/>
          <w:bCs/>
          <w:sz w:val="24"/>
          <w:szCs w:val="24"/>
        </w:rPr>
        <w:t xml:space="preserve"> </w:t>
      </w:r>
      <w:r w:rsidRPr="00831EC5">
        <w:rPr>
          <w:rFonts w:ascii="Times New Roman" w:hAnsi="Times New Roman"/>
          <w:b/>
          <w:bCs/>
          <w:sz w:val="24"/>
          <w:szCs w:val="24"/>
        </w:rPr>
        <w:t>submitted for approval separately or in combination with the</w:t>
      </w:r>
      <w:r w:rsidRPr="00831EC5" w:rsidR="00763388">
        <w:rPr>
          <w:rFonts w:ascii="Times New Roman" w:hAnsi="Times New Roman"/>
          <w:b/>
          <w:bCs/>
          <w:sz w:val="24"/>
          <w:szCs w:val="24"/>
        </w:rPr>
        <w:t xml:space="preserve"> </w:t>
      </w:r>
      <w:r w:rsidRPr="00831EC5">
        <w:rPr>
          <w:rFonts w:ascii="Times New Roman" w:hAnsi="Times New Roman"/>
          <w:b/>
          <w:bCs/>
          <w:sz w:val="24"/>
          <w:szCs w:val="24"/>
        </w:rPr>
        <w:t>main collection of information.</w:t>
      </w:r>
    </w:p>
    <w:p w:rsidR="00831EC5" w:rsidP="0023501B" w14:paraId="396A7285" w14:textId="77777777">
      <w:pPr>
        <w:pStyle w:val="NoSpacing"/>
        <w:rPr>
          <w:rFonts w:ascii="Times New Roman" w:hAnsi="Times New Roman"/>
          <w:b/>
          <w:bCs/>
          <w:sz w:val="24"/>
          <w:szCs w:val="24"/>
        </w:rPr>
      </w:pPr>
    </w:p>
    <w:p w:rsidR="0030106A" w:rsidRPr="00B901BE" w:rsidP="000713F0" w14:paraId="6D923C1E" w14:textId="6137D675">
      <w:pPr>
        <w:rPr>
          <w:rFonts w:ascii="Times New Roman" w:hAnsi="Times New Roman"/>
          <w:sz w:val="24"/>
          <w:szCs w:val="24"/>
        </w:rPr>
      </w:pPr>
      <w:r w:rsidRPr="00831EC5">
        <w:rPr>
          <w:rFonts w:ascii="Times New Roman" w:hAnsi="Times New Roman"/>
          <w:sz w:val="24"/>
          <w:szCs w:val="24"/>
        </w:rPr>
        <w:t xml:space="preserve">Early drafts of the interview protocols have been reviewed by HUD personnel, Abt </w:t>
      </w:r>
      <w:r w:rsidR="00E95BFE">
        <w:rPr>
          <w:rFonts w:ascii="Times New Roman" w:hAnsi="Times New Roman"/>
          <w:sz w:val="24"/>
          <w:szCs w:val="24"/>
        </w:rPr>
        <w:t xml:space="preserve">Global </w:t>
      </w:r>
      <w:r w:rsidRPr="00831EC5">
        <w:rPr>
          <w:rFonts w:ascii="Times New Roman" w:hAnsi="Times New Roman"/>
          <w:sz w:val="24"/>
          <w:szCs w:val="24"/>
        </w:rPr>
        <w:t>and MEF Associates staff, our Expert Panel, which includes a former HUD-assisted resident and participant in a rent reporting program, and our project consultants to ensure that the instruments are clear, flow well, and are as concise as possible</w:t>
      </w:r>
      <w:r w:rsidRPr="00831EC5">
        <w:rPr>
          <w:rFonts w:ascii="Times New Roman" w:hAnsi="Times New Roman"/>
        </w:rPr>
        <w:t>.</w:t>
      </w:r>
      <w:r w:rsidR="000713F0">
        <w:rPr>
          <w:rFonts w:ascii="Times New Roman" w:hAnsi="Times New Roman"/>
        </w:rPr>
        <w:t xml:space="preserve"> </w:t>
      </w:r>
      <w:r w:rsidRPr="00156571" w:rsidR="009F3D88">
        <w:rPr>
          <w:rFonts w:ascii="Times New Roman" w:hAnsi="Times New Roman"/>
          <w:sz w:val="24"/>
          <w:szCs w:val="24"/>
        </w:rPr>
        <w:t xml:space="preserve">The household survey was developed using existing scales </w:t>
      </w:r>
      <w:r w:rsidR="004577AF">
        <w:rPr>
          <w:rFonts w:ascii="Times New Roman" w:hAnsi="Times New Roman"/>
          <w:sz w:val="24"/>
          <w:szCs w:val="24"/>
        </w:rPr>
        <w:t xml:space="preserve">(when appropriate scales existed) </w:t>
      </w:r>
      <w:r w:rsidRPr="00156571" w:rsidR="0001512F">
        <w:rPr>
          <w:rFonts w:ascii="Times New Roman" w:hAnsi="Times New Roman"/>
          <w:sz w:val="24"/>
          <w:szCs w:val="24"/>
        </w:rPr>
        <w:t xml:space="preserve">to ensure that </w:t>
      </w:r>
      <w:r w:rsidR="004577AF">
        <w:rPr>
          <w:rFonts w:ascii="Times New Roman" w:hAnsi="Times New Roman"/>
          <w:sz w:val="24"/>
          <w:szCs w:val="24"/>
        </w:rPr>
        <w:t xml:space="preserve">survey items are </w:t>
      </w:r>
      <w:r w:rsidRPr="00156571" w:rsidR="0001512F">
        <w:rPr>
          <w:rFonts w:ascii="Times New Roman" w:hAnsi="Times New Roman"/>
          <w:sz w:val="24"/>
          <w:szCs w:val="24"/>
        </w:rPr>
        <w:t>tested and suitable for this study population</w:t>
      </w:r>
      <w:r w:rsidRPr="00156571" w:rsidR="009F3D88">
        <w:rPr>
          <w:rFonts w:ascii="Times New Roman" w:hAnsi="Times New Roman"/>
          <w:sz w:val="24"/>
          <w:szCs w:val="24"/>
        </w:rPr>
        <w:t xml:space="preserve">.  </w:t>
      </w:r>
    </w:p>
    <w:p w:rsidR="0072310C" w:rsidP="0023501B" w14:paraId="1E194423" w14:textId="77777777">
      <w:pPr>
        <w:pStyle w:val="NoSpacing"/>
        <w:rPr>
          <w:rFonts w:ascii="Times New Roman" w:hAnsi="Times New Roman"/>
          <w:b/>
          <w:bCs/>
          <w:sz w:val="24"/>
          <w:szCs w:val="24"/>
        </w:rPr>
      </w:pPr>
      <w:r w:rsidRPr="00831EC5">
        <w:rPr>
          <w:rFonts w:ascii="Times New Roman" w:hAnsi="Times New Roman"/>
          <w:b/>
          <w:bCs/>
          <w:sz w:val="24"/>
          <w:szCs w:val="24"/>
        </w:rPr>
        <w:t>5. Provide the name and telephone number of individuals</w:t>
      </w:r>
      <w:r w:rsidRPr="00831EC5" w:rsidR="00763388">
        <w:rPr>
          <w:rFonts w:ascii="Times New Roman" w:hAnsi="Times New Roman"/>
          <w:b/>
          <w:bCs/>
          <w:sz w:val="24"/>
          <w:szCs w:val="24"/>
        </w:rPr>
        <w:t xml:space="preserve"> </w:t>
      </w:r>
      <w:r w:rsidRPr="00831EC5">
        <w:rPr>
          <w:rFonts w:ascii="Times New Roman" w:hAnsi="Times New Roman"/>
          <w:b/>
          <w:bCs/>
          <w:sz w:val="24"/>
          <w:szCs w:val="24"/>
        </w:rPr>
        <w:t>consulted on statistical aspects of the design and the name</w:t>
      </w:r>
      <w:r w:rsidRPr="00831EC5" w:rsidR="00763388">
        <w:rPr>
          <w:rFonts w:ascii="Times New Roman" w:hAnsi="Times New Roman"/>
          <w:b/>
          <w:bCs/>
          <w:sz w:val="24"/>
          <w:szCs w:val="24"/>
        </w:rPr>
        <w:t xml:space="preserve"> </w:t>
      </w:r>
      <w:r w:rsidRPr="00831EC5">
        <w:rPr>
          <w:rFonts w:ascii="Times New Roman" w:hAnsi="Times New Roman"/>
          <w:b/>
          <w:bCs/>
          <w:sz w:val="24"/>
          <w:szCs w:val="24"/>
        </w:rPr>
        <w:t>of the agency unit, contractor(s), grantee(s), or other</w:t>
      </w:r>
      <w:r w:rsidRPr="00831EC5" w:rsidR="00763388">
        <w:rPr>
          <w:rFonts w:ascii="Times New Roman" w:hAnsi="Times New Roman"/>
          <w:b/>
          <w:bCs/>
          <w:sz w:val="24"/>
          <w:szCs w:val="24"/>
        </w:rPr>
        <w:t xml:space="preserve"> </w:t>
      </w:r>
      <w:r w:rsidRPr="00831EC5">
        <w:rPr>
          <w:rFonts w:ascii="Times New Roman" w:hAnsi="Times New Roman"/>
          <w:b/>
          <w:bCs/>
          <w:sz w:val="24"/>
          <w:szCs w:val="24"/>
        </w:rPr>
        <w:t>person(s) who will actually collect and/or analyze the</w:t>
      </w:r>
      <w:r w:rsidRPr="00831EC5" w:rsidR="00763388">
        <w:rPr>
          <w:rFonts w:ascii="Times New Roman" w:hAnsi="Times New Roman"/>
          <w:b/>
          <w:bCs/>
          <w:sz w:val="24"/>
          <w:szCs w:val="24"/>
        </w:rPr>
        <w:t xml:space="preserve"> </w:t>
      </w:r>
      <w:r w:rsidRPr="00831EC5">
        <w:rPr>
          <w:rFonts w:ascii="Times New Roman" w:hAnsi="Times New Roman"/>
          <w:b/>
          <w:bCs/>
          <w:sz w:val="24"/>
          <w:szCs w:val="24"/>
        </w:rPr>
        <w:t>information for the agency.</w:t>
      </w:r>
    </w:p>
    <w:p w:rsidR="000713F0" w:rsidP="000713F0" w14:paraId="2B993748" w14:textId="77777777">
      <w:pPr>
        <w:spacing w:after="0"/>
        <w:rPr>
          <w:rFonts w:ascii="Times New Roman" w:hAnsi="Times New Roman"/>
          <w:sz w:val="24"/>
          <w:szCs w:val="24"/>
        </w:rPr>
      </w:pPr>
    </w:p>
    <w:p w:rsidR="000713F0" w:rsidP="000713F0" w14:paraId="561097C0" w14:textId="77777777">
      <w:pPr>
        <w:spacing w:after="0"/>
        <w:rPr>
          <w:rFonts w:ascii="Times New Roman" w:hAnsi="Times New Roman"/>
          <w:sz w:val="24"/>
          <w:szCs w:val="24"/>
        </w:rPr>
      </w:pPr>
      <w:r>
        <w:rPr>
          <w:rFonts w:ascii="Times New Roman" w:hAnsi="Times New Roman"/>
          <w:sz w:val="24"/>
          <w:szCs w:val="24"/>
        </w:rPr>
        <w:t>Data</w:t>
      </w:r>
      <w:r w:rsidRPr="00831EC5" w:rsidR="00DD78C5">
        <w:rPr>
          <w:rFonts w:ascii="Times New Roman" w:hAnsi="Times New Roman"/>
          <w:sz w:val="24"/>
          <w:szCs w:val="24"/>
        </w:rPr>
        <w:t xml:space="preserve"> collection activities described in this document will be carried out directly by the staff of Abt </w:t>
      </w:r>
      <w:r w:rsidR="001A22F4">
        <w:rPr>
          <w:rFonts w:ascii="Times New Roman" w:hAnsi="Times New Roman"/>
          <w:sz w:val="24"/>
          <w:szCs w:val="24"/>
        </w:rPr>
        <w:t>Global</w:t>
      </w:r>
      <w:r w:rsidRPr="00831EC5" w:rsidR="00DD78C5">
        <w:rPr>
          <w:rFonts w:ascii="Times New Roman" w:hAnsi="Times New Roman"/>
          <w:sz w:val="24"/>
          <w:szCs w:val="24"/>
        </w:rPr>
        <w:t xml:space="preserve"> and MEF Associates.</w:t>
      </w:r>
    </w:p>
    <w:p w:rsidR="00831EC5" w:rsidRPr="00831EC5" w:rsidP="000713F0" w14:paraId="1EF9FE33" w14:textId="2FEA9987">
      <w:pPr>
        <w:spacing w:after="0"/>
        <w:rPr>
          <w:rFonts w:ascii="Times New Roman" w:hAnsi="Times New Roman"/>
          <w:sz w:val="24"/>
          <w:szCs w:val="24"/>
        </w:rPr>
      </w:pPr>
      <w:r w:rsidRPr="00831EC5">
        <w:rPr>
          <w:rFonts w:ascii="Times New Roman" w:hAnsi="Times New Roman"/>
          <w:sz w:val="24"/>
          <w:szCs w:val="24"/>
        </w:rPr>
        <w:t xml:space="preserve"> </w:t>
      </w:r>
    </w:p>
    <w:p w:rsidR="00831EC5" w:rsidRPr="00831EC5" w:rsidP="004E4CFD" w14:paraId="7799B407" w14:textId="77777777">
      <w:pPr>
        <w:pStyle w:val="Caption"/>
        <w:spacing w:after="0"/>
        <w:rPr>
          <w:rFonts w:ascii="Times New Roman" w:hAnsi="Times New Roman"/>
          <w:sz w:val="24"/>
          <w:szCs w:val="24"/>
        </w:rPr>
      </w:pPr>
      <w:r w:rsidRPr="00831EC5">
        <w:rPr>
          <w:rFonts w:ascii="Times New Roman" w:hAnsi="Times New Roman"/>
          <w:sz w:val="24"/>
          <w:szCs w:val="24"/>
        </w:rPr>
        <w:t>Exhibit 2: Individuals Consulted</w:t>
      </w:r>
    </w:p>
    <w:tbl>
      <w:tblPr>
        <w:tblW w:w="9360"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tblPr>
      <w:tblGrid>
        <w:gridCol w:w="3120"/>
        <w:gridCol w:w="2452"/>
        <w:gridCol w:w="3788"/>
      </w:tblGrid>
      <w:tr w14:paraId="08A80B01" w14:textId="77777777" w:rsidTr="00391E6C">
        <w:tblPrEx>
          <w:tblW w:w="9360"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tblPrEx>
        <w:trPr>
          <w:trHeight w:val="300"/>
        </w:trPr>
        <w:tc>
          <w:tcPr>
            <w:tcW w:w="3120" w:type="dxa"/>
            <w:tcBorders>
              <w:top w:val="single" w:sz="6" w:space="0" w:color="7F7F7F"/>
              <w:left w:val="single" w:sz="6" w:space="0" w:color="7F7F7F"/>
              <w:bottom w:val="single" w:sz="6" w:space="0" w:color="7F7F7F"/>
              <w:right w:val="single" w:sz="6" w:space="0" w:color="7F7F7F"/>
            </w:tcBorders>
            <w:tcMar>
              <w:left w:w="30" w:type="dxa"/>
              <w:right w:w="30" w:type="dxa"/>
            </w:tcMar>
          </w:tcPr>
          <w:p w:rsidR="00831EC5" w:rsidRPr="00035ADC" w:rsidP="0023501B" w14:paraId="5E9C7803" w14:textId="77777777">
            <w:pPr>
              <w:pStyle w:val="ExhibitColumnHeader"/>
              <w:jc w:val="left"/>
              <w:rPr>
                <w:rFonts w:ascii="Times New Roman" w:eastAsia="Arial Narrow" w:hAnsi="Times New Roman" w:cs="Times New Roman"/>
                <w:color w:val="auto"/>
                <w:sz w:val="24"/>
                <w:szCs w:val="24"/>
              </w:rPr>
            </w:pPr>
            <w:r w:rsidRPr="00035ADC">
              <w:rPr>
                <w:rFonts w:ascii="Times New Roman" w:eastAsia="Arial Narrow" w:hAnsi="Times New Roman" w:cs="Times New Roman"/>
                <w:color w:val="auto"/>
                <w:sz w:val="24"/>
                <w:szCs w:val="24"/>
              </w:rPr>
              <w:t>Name</w:t>
            </w:r>
          </w:p>
        </w:tc>
        <w:tc>
          <w:tcPr>
            <w:tcW w:w="2452" w:type="dxa"/>
            <w:tcBorders>
              <w:top w:val="single" w:sz="6" w:space="0" w:color="7F7F7F"/>
              <w:left w:val="single" w:sz="6" w:space="0" w:color="7F7F7F"/>
              <w:bottom w:val="single" w:sz="6" w:space="0" w:color="7F7F7F"/>
              <w:right w:val="single" w:sz="6" w:space="0" w:color="7F7F7F"/>
            </w:tcBorders>
            <w:tcMar>
              <w:left w:w="30" w:type="dxa"/>
              <w:right w:w="30" w:type="dxa"/>
            </w:tcMar>
          </w:tcPr>
          <w:p w:rsidR="00831EC5" w:rsidRPr="00035ADC" w:rsidP="0023501B" w14:paraId="33B4F484" w14:textId="77777777">
            <w:pPr>
              <w:pStyle w:val="ExhibitColumnHeader"/>
              <w:jc w:val="left"/>
              <w:rPr>
                <w:rFonts w:ascii="Times New Roman" w:eastAsia="Arial Narrow" w:hAnsi="Times New Roman" w:cs="Times New Roman"/>
                <w:color w:val="auto"/>
                <w:sz w:val="24"/>
                <w:szCs w:val="24"/>
              </w:rPr>
            </w:pPr>
            <w:r w:rsidRPr="00035ADC">
              <w:rPr>
                <w:rFonts w:ascii="Times New Roman" w:eastAsia="Arial Narrow" w:hAnsi="Times New Roman" w:cs="Times New Roman"/>
                <w:color w:val="auto"/>
                <w:sz w:val="24"/>
                <w:szCs w:val="24"/>
              </w:rPr>
              <w:t>Telephone Number</w:t>
            </w:r>
          </w:p>
        </w:tc>
        <w:tc>
          <w:tcPr>
            <w:tcW w:w="3788" w:type="dxa"/>
            <w:tcBorders>
              <w:top w:val="single" w:sz="6" w:space="0" w:color="7F7F7F"/>
              <w:left w:val="single" w:sz="6" w:space="0" w:color="7F7F7F"/>
              <w:bottom w:val="single" w:sz="6" w:space="0" w:color="7F7F7F"/>
              <w:right w:val="single" w:sz="6" w:space="0" w:color="7F7F7F"/>
            </w:tcBorders>
            <w:tcMar>
              <w:left w:w="30" w:type="dxa"/>
              <w:right w:w="30" w:type="dxa"/>
            </w:tcMar>
          </w:tcPr>
          <w:p w:rsidR="00831EC5" w:rsidRPr="00035ADC" w:rsidP="0023501B" w14:paraId="4015353C" w14:textId="77777777">
            <w:pPr>
              <w:pStyle w:val="ExhibitColumnHeader"/>
              <w:jc w:val="left"/>
              <w:rPr>
                <w:rFonts w:ascii="Times New Roman" w:eastAsia="Arial Narrow" w:hAnsi="Times New Roman" w:cs="Times New Roman"/>
                <w:color w:val="auto"/>
                <w:sz w:val="24"/>
                <w:szCs w:val="24"/>
              </w:rPr>
            </w:pPr>
            <w:r w:rsidRPr="00035ADC">
              <w:rPr>
                <w:rFonts w:ascii="Times New Roman" w:eastAsia="Arial Narrow" w:hAnsi="Times New Roman" w:cs="Times New Roman"/>
                <w:color w:val="auto"/>
                <w:sz w:val="24"/>
                <w:szCs w:val="24"/>
              </w:rPr>
              <w:t>Role in Study</w:t>
            </w:r>
          </w:p>
        </w:tc>
      </w:tr>
      <w:tr w14:paraId="4B00E39D" w14:textId="77777777" w:rsidTr="00391E6C">
        <w:tblPrEx>
          <w:tblW w:w="9360" w:type="dxa"/>
          <w:tblLayout w:type="fixed"/>
          <w:tblLook w:val="04A0"/>
        </w:tblPrEx>
        <w:trPr>
          <w:trHeight w:val="300"/>
        </w:trPr>
        <w:tc>
          <w:tcPr>
            <w:tcW w:w="3120" w:type="dxa"/>
            <w:tcBorders>
              <w:top w:val="single" w:sz="6" w:space="0" w:color="7F7F7F"/>
              <w:left w:val="single" w:sz="6" w:space="0" w:color="7F7F7F"/>
              <w:bottom w:val="single" w:sz="6" w:space="0" w:color="7F7F7F"/>
              <w:right w:val="single" w:sz="6" w:space="0" w:color="7F7F7F"/>
            </w:tcBorders>
            <w:tcMar>
              <w:left w:w="30" w:type="dxa"/>
              <w:right w:w="30" w:type="dxa"/>
            </w:tcMar>
            <w:vAlign w:val="center"/>
          </w:tcPr>
          <w:p w:rsidR="00831EC5" w:rsidRPr="00035ADC" w:rsidP="0023501B" w14:paraId="31BACE6D" w14:textId="77777777">
            <w:pPr>
              <w:pStyle w:val="ExhibitText"/>
              <w:spacing w:line="264" w:lineRule="auto"/>
              <w:rPr>
                <w:rFonts w:ascii="Times New Roman" w:eastAsia="Arial Narrow" w:hAnsi="Times New Roman" w:cs="Times New Roman"/>
                <w:sz w:val="24"/>
                <w:szCs w:val="24"/>
              </w:rPr>
            </w:pPr>
            <w:r w:rsidRPr="00035ADC">
              <w:rPr>
                <w:rFonts w:ascii="Times New Roman" w:eastAsia="Arial Narrow" w:hAnsi="Times New Roman" w:cs="Times New Roman"/>
                <w:sz w:val="24"/>
                <w:szCs w:val="24"/>
              </w:rPr>
              <w:t>Sam Elkin</w:t>
            </w:r>
          </w:p>
        </w:tc>
        <w:tc>
          <w:tcPr>
            <w:tcW w:w="2452" w:type="dxa"/>
            <w:tcBorders>
              <w:top w:val="single" w:sz="6" w:space="0" w:color="7F7F7F"/>
              <w:left w:val="single" w:sz="6" w:space="0" w:color="7F7F7F"/>
              <w:bottom w:val="single" w:sz="6" w:space="0" w:color="7F7F7F"/>
              <w:right w:val="single" w:sz="6" w:space="0" w:color="7F7F7F"/>
            </w:tcBorders>
            <w:tcMar>
              <w:left w:w="30" w:type="dxa"/>
              <w:right w:w="30" w:type="dxa"/>
            </w:tcMar>
            <w:vAlign w:val="center"/>
          </w:tcPr>
          <w:p w:rsidR="00831EC5" w:rsidRPr="00035ADC" w:rsidP="0023501B" w14:paraId="668DF3C0" w14:textId="77777777">
            <w:pPr>
              <w:pStyle w:val="ExhibitText"/>
              <w:spacing w:line="264" w:lineRule="auto"/>
              <w:rPr>
                <w:rFonts w:ascii="Times New Roman" w:eastAsia="Arial Narrow" w:hAnsi="Times New Roman" w:cs="Times New Roman"/>
                <w:sz w:val="24"/>
                <w:szCs w:val="24"/>
              </w:rPr>
            </w:pPr>
            <w:r w:rsidRPr="00035ADC">
              <w:rPr>
                <w:rFonts w:ascii="Times New Roman" w:eastAsia="Arial Narrow" w:hAnsi="Times New Roman" w:cs="Times New Roman"/>
                <w:sz w:val="24"/>
                <w:szCs w:val="24"/>
              </w:rPr>
              <w:t>703-838-2722</w:t>
            </w:r>
          </w:p>
        </w:tc>
        <w:tc>
          <w:tcPr>
            <w:tcW w:w="3788" w:type="dxa"/>
            <w:tcBorders>
              <w:top w:val="single" w:sz="6" w:space="0" w:color="7F7F7F"/>
              <w:left w:val="single" w:sz="6" w:space="0" w:color="7F7F7F"/>
              <w:bottom w:val="single" w:sz="6" w:space="0" w:color="7F7F7F"/>
              <w:right w:val="single" w:sz="6" w:space="0" w:color="7F7F7F"/>
            </w:tcBorders>
            <w:tcMar>
              <w:left w:w="30" w:type="dxa"/>
              <w:right w:w="30" w:type="dxa"/>
            </w:tcMar>
            <w:vAlign w:val="center"/>
          </w:tcPr>
          <w:p w:rsidR="00831EC5" w:rsidRPr="00035ADC" w:rsidP="0023501B" w14:paraId="6ECD09E1" w14:textId="77777777">
            <w:pPr>
              <w:pStyle w:val="ExhibitText"/>
              <w:spacing w:line="264" w:lineRule="auto"/>
              <w:rPr>
                <w:rFonts w:ascii="Times New Roman" w:eastAsia="Arial Narrow" w:hAnsi="Times New Roman" w:cs="Times New Roman"/>
                <w:sz w:val="24"/>
                <w:szCs w:val="24"/>
              </w:rPr>
            </w:pPr>
            <w:r w:rsidRPr="00035ADC">
              <w:rPr>
                <w:rFonts w:ascii="Times New Roman" w:eastAsia="Arial Narrow" w:hAnsi="Times New Roman" w:cs="Times New Roman"/>
                <w:sz w:val="24"/>
                <w:szCs w:val="24"/>
              </w:rPr>
              <w:t>Senior Advisor</w:t>
            </w:r>
          </w:p>
        </w:tc>
      </w:tr>
      <w:tr w14:paraId="3377BBEF" w14:textId="77777777" w:rsidTr="00391E6C">
        <w:tblPrEx>
          <w:tblW w:w="9360" w:type="dxa"/>
          <w:tblLayout w:type="fixed"/>
          <w:tblLook w:val="04A0"/>
        </w:tblPrEx>
        <w:trPr>
          <w:trHeight w:val="300"/>
        </w:trPr>
        <w:tc>
          <w:tcPr>
            <w:tcW w:w="3120" w:type="dxa"/>
            <w:tcBorders>
              <w:top w:val="single" w:sz="6" w:space="0" w:color="7F7F7F"/>
              <w:left w:val="single" w:sz="6" w:space="0" w:color="7F7F7F"/>
              <w:bottom w:val="single" w:sz="6" w:space="0" w:color="7F7F7F"/>
              <w:right w:val="single" w:sz="6" w:space="0" w:color="7F7F7F"/>
            </w:tcBorders>
            <w:tcMar>
              <w:left w:w="30" w:type="dxa"/>
              <w:right w:w="30" w:type="dxa"/>
            </w:tcMar>
            <w:vAlign w:val="center"/>
          </w:tcPr>
          <w:p w:rsidR="00831EC5" w:rsidRPr="00035ADC" w:rsidP="0023501B" w14:paraId="7C28E702" w14:textId="77777777">
            <w:pPr>
              <w:pStyle w:val="ExhibitText"/>
              <w:spacing w:line="264" w:lineRule="auto"/>
              <w:rPr>
                <w:rFonts w:ascii="Times New Roman" w:eastAsia="Arial Narrow" w:hAnsi="Times New Roman" w:cs="Times New Roman"/>
                <w:sz w:val="24"/>
                <w:szCs w:val="24"/>
              </w:rPr>
            </w:pPr>
            <w:r w:rsidRPr="00035ADC">
              <w:rPr>
                <w:rFonts w:ascii="Times New Roman" w:eastAsia="Arial Narrow" w:hAnsi="Times New Roman" w:cs="Times New Roman"/>
                <w:sz w:val="24"/>
                <w:szCs w:val="24"/>
              </w:rPr>
              <w:t>Dr. Stephen Nuñez</w:t>
            </w:r>
          </w:p>
        </w:tc>
        <w:tc>
          <w:tcPr>
            <w:tcW w:w="2452" w:type="dxa"/>
            <w:tcBorders>
              <w:top w:val="single" w:sz="6" w:space="0" w:color="7F7F7F"/>
              <w:left w:val="single" w:sz="6" w:space="0" w:color="7F7F7F"/>
              <w:bottom w:val="single" w:sz="6" w:space="0" w:color="7F7F7F"/>
              <w:right w:val="single" w:sz="6" w:space="0" w:color="7F7F7F"/>
            </w:tcBorders>
            <w:tcMar>
              <w:left w:w="30" w:type="dxa"/>
              <w:right w:w="30" w:type="dxa"/>
            </w:tcMar>
            <w:vAlign w:val="center"/>
          </w:tcPr>
          <w:p w:rsidR="00831EC5" w:rsidRPr="00035ADC" w:rsidP="0023501B" w14:paraId="483323EC" w14:textId="77777777">
            <w:pPr>
              <w:pStyle w:val="ExhibitText"/>
              <w:spacing w:line="264" w:lineRule="auto"/>
              <w:rPr>
                <w:rFonts w:ascii="Times New Roman" w:eastAsia="Arial Narrow" w:hAnsi="Times New Roman" w:cs="Times New Roman"/>
                <w:sz w:val="24"/>
                <w:szCs w:val="24"/>
              </w:rPr>
            </w:pPr>
            <w:r w:rsidRPr="00035ADC">
              <w:rPr>
                <w:rFonts w:ascii="Times New Roman" w:eastAsia="Arial Narrow" w:hAnsi="Times New Roman" w:cs="Times New Roman"/>
                <w:sz w:val="24"/>
                <w:szCs w:val="24"/>
              </w:rPr>
              <w:t>650-521-4532</w:t>
            </w:r>
          </w:p>
        </w:tc>
        <w:tc>
          <w:tcPr>
            <w:tcW w:w="3788" w:type="dxa"/>
            <w:tcBorders>
              <w:top w:val="single" w:sz="6" w:space="0" w:color="7F7F7F"/>
              <w:left w:val="single" w:sz="6" w:space="0" w:color="7F7F7F"/>
              <w:bottom w:val="single" w:sz="6" w:space="0" w:color="7F7F7F"/>
              <w:right w:val="single" w:sz="6" w:space="0" w:color="7F7F7F"/>
            </w:tcBorders>
            <w:tcMar>
              <w:left w:w="30" w:type="dxa"/>
              <w:right w:w="30" w:type="dxa"/>
            </w:tcMar>
            <w:vAlign w:val="center"/>
          </w:tcPr>
          <w:p w:rsidR="00831EC5" w:rsidRPr="00035ADC" w:rsidP="0023501B" w14:paraId="6CF5F9A9" w14:textId="77777777">
            <w:pPr>
              <w:pStyle w:val="ExhibitText"/>
              <w:spacing w:line="264" w:lineRule="auto"/>
              <w:rPr>
                <w:rFonts w:ascii="Times New Roman" w:eastAsia="Arial Narrow" w:hAnsi="Times New Roman" w:cs="Times New Roman"/>
                <w:sz w:val="24"/>
                <w:szCs w:val="24"/>
              </w:rPr>
            </w:pPr>
            <w:r w:rsidRPr="00035ADC">
              <w:rPr>
                <w:rFonts w:ascii="Times New Roman" w:eastAsia="Arial Narrow" w:hAnsi="Times New Roman" w:cs="Times New Roman"/>
                <w:sz w:val="24"/>
                <w:szCs w:val="24"/>
              </w:rPr>
              <w:t>Project Director (sub-contractor)</w:t>
            </w:r>
          </w:p>
        </w:tc>
      </w:tr>
      <w:tr w14:paraId="34DF15A7" w14:textId="77777777" w:rsidTr="00391E6C">
        <w:tblPrEx>
          <w:tblW w:w="9360" w:type="dxa"/>
          <w:tblLayout w:type="fixed"/>
          <w:tblLook w:val="04A0"/>
        </w:tblPrEx>
        <w:trPr>
          <w:trHeight w:val="300"/>
        </w:trPr>
        <w:tc>
          <w:tcPr>
            <w:tcW w:w="3120" w:type="dxa"/>
            <w:tcBorders>
              <w:top w:val="single" w:sz="6" w:space="0" w:color="7F7F7F"/>
              <w:left w:val="single" w:sz="6" w:space="0" w:color="7F7F7F"/>
              <w:bottom w:val="single" w:sz="6" w:space="0" w:color="7F7F7F"/>
              <w:right w:val="single" w:sz="6" w:space="0" w:color="7F7F7F"/>
            </w:tcBorders>
            <w:tcMar>
              <w:left w:w="30" w:type="dxa"/>
              <w:right w:w="30" w:type="dxa"/>
            </w:tcMar>
            <w:vAlign w:val="center"/>
          </w:tcPr>
          <w:p w:rsidR="00831EC5" w:rsidRPr="00035ADC" w:rsidP="0023501B" w14:paraId="13719D43" w14:textId="77777777">
            <w:pPr>
              <w:spacing w:line="264" w:lineRule="auto"/>
              <w:rPr>
                <w:rFonts w:ascii="Times New Roman" w:eastAsia="Arial Narrow" w:hAnsi="Times New Roman"/>
                <w:color w:val="000000"/>
                <w:sz w:val="24"/>
                <w:szCs w:val="24"/>
              </w:rPr>
            </w:pPr>
            <w:r w:rsidRPr="00035ADC">
              <w:rPr>
                <w:rFonts w:ascii="Times New Roman" w:eastAsia="Arial Narrow" w:hAnsi="Times New Roman"/>
                <w:color w:val="000000"/>
                <w:sz w:val="24"/>
                <w:szCs w:val="24"/>
              </w:rPr>
              <w:t xml:space="preserve">Prof. Susan Clampet-Lundquist </w:t>
            </w:r>
          </w:p>
        </w:tc>
        <w:tc>
          <w:tcPr>
            <w:tcW w:w="2452" w:type="dxa"/>
            <w:tcBorders>
              <w:top w:val="single" w:sz="6" w:space="0" w:color="7F7F7F"/>
              <w:left w:val="single" w:sz="6" w:space="0" w:color="7F7F7F"/>
              <w:bottom w:val="single" w:sz="6" w:space="0" w:color="7F7F7F"/>
              <w:right w:val="single" w:sz="6" w:space="0" w:color="7F7F7F"/>
            </w:tcBorders>
            <w:tcMar>
              <w:left w:w="30" w:type="dxa"/>
              <w:right w:w="30" w:type="dxa"/>
            </w:tcMar>
            <w:vAlign w:val="center"/>
          </w:tcPr>
          <w:p w:rsidR="00831EC5" w:rsidRPr="00035ADC" w:rsidP="0023501B" w14:paraId="08AADA3A" w14:textId="77777777">
            <w:pPr>
              <w:spacing w:line="264" w:lineRule="auto"/>
              <w:rPr>
                <w:rFonts w:ascii="Times New Roman" w:eastAsia="Arial Narrow" w:hAnsi="Times New Roman"/>
                <w:color w:val="000000"/>
                <w:sz w:val="24"/>
                <w:szCs w:val="24"/>
              </w:rPr>
            </w:pPr>
            <w:r w:rsidRPr="00035ADC">
              <w:rPr>
                <w:rFonts w:ascii="Times New Roman" w:eastAsia="Arial Narrow" w:hAnsi="Times New Roman"/>
                <w:color w:val="000000"/>
                <w:sz w:val="24"/>
                <w:szCs w:val="24"/>
              </w:rPr>
              <w:t>610-660-1680</w:t>
            </w:r>
          </w:p>
        </w:tc>
        <w:tc>
          <w:tcPr>
            <w:tcW w:w="3788" w:type="dxa"/>
            <w:tcBorders>
              <w:top w:val="single" w:sz="6" w:space="0" w:color="7F7F7F"/>
              <w:left w:val="single" w:sz="6" w:space="0" w:color="7F7F7F"/>
              <w:bottom w:val="single" w:sz="6" w:space="0" w:color="7F7F7F"/>
              <w:right w:val="single" w:sz="6" w:space="0" w:color="7F7F7F"/>
            </w:tcBorders>
            <w:tcMar>
              <w:left w:w="30" w:type="dxa"/>
              <w:right w:w="30" w:type="dxa"/>
            </w:tcMar>
            <w:vAlign w:val="center"/>
          </w:tcPr>
          <w:p w:rsidR="00831EC5" w:rsidRPr="00035ADC" w:rsidP="0023501B" w14:paraId="1D82901B" w14:textId="77777777">
            <w:pPr>
              <w:spacing w:line="264" w:lineRule="auto"/>
              <w:rPr>
                <w:rFonts w:ascii="Times New Roman" w:eastAsia="Arial Narrow" w:hAnsi="Times New Roman"/>
                <w:color w:val="000000"/>
                <w:sz w:val="24"/>
                <w:szCs w:val="24"/>
              </w:rPr>
            </w:pPr>
            <w:r w:rsidRPr="00035ADC">
              <w:rPr>
                <w:rFonts w:ascii="Times New Roman" w:eastAsia="Arial Narrow" w:hAnsi="Times New Roman"/>
                <w:color w:val="000000"/>
                <w:sz w:val="24"/>
                <w:szCs w:val="24"/>
              </w:rPr>
              <w:t>Expert Panelist</w:t>
            </w:r>
          </w:p>
        </w:tc>
      </w:tr>
      <w:tr w14:paraId="22A36A7A" w14:textId="77777777" w:rsidTr="00391E6C">
        <w:tblPrEx>
          <w:tblW w:w="9360" w:type="dxa"/>
          <w:tblLayout w:type="fixed"/>
          <w:tblLook w:val="04A0"/>
        </w:tblPrEx>
        <w:trPr>
          <w:trHeight w:val="300"/>
        </w:trPr>
        <w:tc>
          <w:tcPr>
            <w:tcW w:w="3120" w:type="dxa"/>
            <w:tcBorders>
              <w:top w:val="single" w:sz="6" w:space="0" w:color="7F7F7F"/>
              <w:left w:val="single" w:sz="6" w:space="0" w:color="7F7F7F"/>
              <w:bottom w:val="single" w:sz="6" w:space="0" w:color="7F7F7F"/>
              <w:right w:val="single" w:sz="6" w:space="0" w:color="7F7F7F"/>
            </w:tcBorders>
            <w:tcMar>
              <w:left w:w="30" w:type="dxa"/>
              <w:right w:w="30" w:type="dxa"/>
            </w:tcMar>
            <w:vAlign w:val="center"/>
          </w:tcPr>
          <w:p w:rsidR="00831EC5" w:rsidRPr="00035ADC" w:rsidP="0023501B" w14:paraId="6D4E8A32" w14:textId="77777777">
            <w:pPr>
              <w:spacing w:line="264" w:lineRule="auto"/>
              <w:rPr>
                <w:rFonts w:ascii="Times New Roman" w:eastAsia="Arial Narrow" w:hAnsi="Times New Roman"/>
                <w:color w:val="000000"/>
                <w:sz w:val="24"/>
                <w:szCs w:val="24"/>
              </w:rPr>
            </w:pPr>
            <w:r w:rsidRPr="00035ADC">
              <w:rPr>
                <w:rFonts w:ascii="Times New Roman" w:eastAsia="Arial Narrow" w:hAnsi="Times New Roman"/>
                <w:color w:val="000000"/>
                <w:sz w:val="24"/>
                <w:szCs w:val="24"/>
              </w:rPr>
              <w:t>Prof. J. Michael Collins</w:t>
            </w:r>
          </w:p>
        </w:tc>
        <w:tc>
          <w:tcPr>
            <w:tcW w:w="2452" w:type="dxa"/>
            <w:tcBorders>
              <w:top w:val="single" w:sz="6" w:space="0" w:color="7F7F7F"/>
              <w:left w:val="single" w:sz="6" w:space="0" w:color="7F7F7F"/>
              <w:bottom w:val="single" w:sz="6" w:space="0" w:color="7F7F7F"/>
              <w:right w:val="single" w:sz="6" w:space="0" w:color="7F7F7F"/>
            </w:tcBorders>
            <w:tcMar>
              <w:left w:w="30" w:type="dxa"/>
              <w:right w:w="30" w:type="dxa"/>
            </w:tcMar>
            <w:vAlign w:val="center"/>
          </w:tcPr>
          <w:p w:rsidR="00831EC5" w:rsidRPr="00035ADC" w:rsidP="0023501B" w14:paraId="79189AE5" w14:textId="77777777">
            <w:pPr>
              <w:spacing w:line="264" w:lineRule="auto"/>
              <w:rPr>
                <w:rFonts w:ascii="Times New Roman" w:eastAsia="Arial Narrow" w:hAnsi="Times New Roman"/>
                <w:color w:val="000000"/>
                <w:sz w:val="24"/>
                <w:szCs w:val="24"/>
              </w:rPr>
            </w:pPr>
            <w:r w:rsidRPr="00035ADC">
              <w:rPr>
                <w:rFonts w:ascii="Times New Roman" w:eastAsia="Arial Narrow" w:hAnsi="Times New Roman"/>
                <w:color w:val="000000"/>
                <w:sz w:val="24"/>
                <w:szCs w:val="24"/>
              </w:rPr>
              <w:t>608-616-0369</w:t>
            </w:r>
          </w:p>
        </w:tc>
        <w:tc>
          <w:tcPr>
            <w:tcW w:w="3788" w:type="dxa"/>
            <w:tcBorders>
              <w:top w:val="single" w:sz="6" w:space="0" w:color="7F7F7F"/>
              <w:left w:val="single" w:sz="6" w:space="0" w:color="7F7F7F"/>
              <w:bottom w:val="single" w:sz="6" w:space="0" w:color="7F7F7F"/>
              <w:right w:val="single" w:sz="6" w:space="0" w:color="7F7F7F"/>
            </w:tcBorders>
            <w:tcMar>
              <w:left w:w="30" w:type="dxa"/>
              <w:right w:w="30" w:type="dxa"/>
            </w:tcMar>
            <w:vAlign w:val="center"/>
          </w:tcPr>
          <w:p w:rsidR="00831EC5" w:rsidRPr="00035ADC" w:rsidP="0023501B" w14:paraId="3FFB3169" w14:textId="77777777">
            <w:pPr>
              <w:spacing w:line="264" w:lineRule="auto"/>
              <w:rPr>
                <w:rFonts w:ascii="Times New Roman" w:eastAsia="Arial Narrow" w:hAnsi="Times New Roman"/>
                <w:color w:val="000000"/>
                <w:sz w:val="24"/>
                <w:szCs w:val="24"/>
              </w:rPr>
            </w:pPr>
            <w:r w:rsidRPr="00035ADC">
              <w:rPr>
                <w:rFonts w:ascii="Times New Roman" w:eastAsia="Arial Narrow" w:hAnsi="Times New Roman"/>
                <w:color w:val="000000"/>
                <w:sz w:val="24"/>
                <w:szCs w:val="24"/>
              </w:rPr>
              <w:t>Expert Consultant</w:t>
            </w:r>
          </w:p>
        </w:tc>
      </w:tr>
      <w:tr w14:paraId="38E28335" w14:textId="77777777" w:rsidTr="00391E6C">
        <w:tblPrEx>
          <w:tblW w:w="9360" w:type="dxa"/>
          <w:tblLayout w:type="fixed"/>
          <w:tblLook w:val="04A0"/>
        </w:tblPrEx>
        <w:trPr>
          <w:trHeight w:val="300"/>
        </w:trPr>
        <w:tc>
          <w:tcPr>
            <w:tcW w:w="3120" w:type="dxa"/>
            <w:tcBorders>
              <w:top w:val="single" w:sz="6" w:space="0" w:color="7F7F7F"/>
              <w:left w:val="single" w:sz="6" w:space="0" w:color="7F7F7F"/>
              <w:bottom w:val="single" w:sz="6" w:space="0" w:color="7F7F7F"/>
              <w:right w:val="single" w:sz="6" w:space="0" w:color="7F7F7F"/>
            </w:tcBorders>
            <w:tcMar>
              <w:left w:w="30" w:type="dxa"/>
              <w:right w:w="30" w:type="dxa"/>
            </w:tcMar>
            <w:vAlign w:val="center"/>
          </w:tcPr>
          <w:p w:rsidR="00831EC5" w:rsidRPr="00035ADC" w:rsidP="0023501B" w14:paraId="7238A249" w14:textId="77777777">
            <w:pPr>
              <w:spacing w:before="40" w:after="40" w:line="264" w:lineRule="auto"/>
              <w:rPr>
                <w:rFonts w:ascii="Times New Roman" w:eastAsia="Arial Narrow" w:hAnsi="Times New Roman"/>
                <w:color w:val="000000"/>
                <w:sz w:val="24"/>
                <w:szCs w:val="24"/>
              </w:rPr>
            </w:pPr>
            <w:r w:rsidRPr="00035ADC">
              <w:rPr>
                <w:rFonts w:ascii="Times New Roman" w:eastAsia="Arial Narrow" w:hAnsi="Times New Roman"/>
                <w:color w:val="000000"/>
                <w:sz w:val="24"/>
                <w:szCs w:val="24"/>
              </w:rPr>
              <w:t xml:space="preserve">Dr. Judy Geyer </w:t>
            </w:r>
          </w:p>
        </w:tc>
        <w:tc>
          <w:tcPr>
            <w:tcW w:w="2452" w:type="dxa"/>
            <w:tcBorders>
              <w:top w:val="single" w:sz="6" w:space="0" w:color="7F7F7F"/>
              <w:left w:val="single" w:sz="6" w:space="0" w:color="7F7F7F"/>
              <w:bottom w:val="single" w:sz="6" w:space="0" w:color="7F7F7F"/>
              <w:right w:val="single" w:sz="6" w:space="0" w:color="7F7F7F"/>
            </w:tcBorders>
            <w:tcMar>
              <w:left w:w="30" w:type="dxa"/>
              <w:right w:w="30" w:type="dxa"/>
            </w:tcMar>
            <w:vAlign w:val="center"/>
          </w:tcPr>
          <w:p w:rsidR="00831EC5" w:rsidRPr="00035ADC" w:rsidP="0023501B" w14:paraId="01B6ADCE" w14:textId="77777777">
            <w:pPr>
              <w:spacing w:before="40" w:after="40" w:line="264" w:lineRule="auto"/>
              <w:rPr>
                <w:rFonts w:ascii="Times New Roman" w:eastAsia="Arial Narrow" w:hAnsi="Times New Roman"/>
                <w:color w:val="000000"/>
                <w:sz w:val="24"/>
                <w:szCs w:val="24"/>
              </w:rPr>
            </w:pPr>
            <w:r w:rsidRPr="00035ADC">
              <w:rPr>
                <w:rFonts w:ascii="Times New Roman" w:eastAsia="Arial Narrow" w:hAnsi="Times New Roman"/>
                <w:color w:val="000000"/>
                <w:sz w:val="24"/>
                <w:szCs w:val="24"/>
              </w:rPr>
              <w:t>617-520-2952</w:t>
            </w:r>
          </w:p>
        </w:tc>
        <w:tc>
          <w:tcPr>
            <w:tcW w:w="3788" w:type="dxa"/>
            <w:tcBorders>
              <w:top w:val="single" w:sz="6" w:space="0" w:color="7F7F7F"/>
              <w:left w:val="single" w:sz="6" w:space="0" w:color="7F7F7F"/>
              <w:bottom w:val="single" w:sz="6" w:space="0" w:color="7F7F7F"/>
              <w:right w:val="single" w:sz="6" w:space="0" w:color="7F7F7F"/>
            </w:tcBorders>
            <w:tcMar>
              <w:left w:w="30" w:type="dxa"/>
              <w:right w:w="30" w:type="dxa"/>
            </w:tcMar>
            <w:vAlign w:val="center"/>
          </w:tcPr>
          <w:p w:rsidR="00831EC5" w:rsidRPr="00035ADC" w:rsidP="0023501B" w14:paraId="58365EDF" w14:textId="5B2F5D33">
            <w:pPr>
              <w:spacing w:before="40" w:after="40" w:line="264" w:lineRule="auto"/>
              <w:rPr>
                <w:rFonts w:ascii="Times New Roman" w:eastAsia="Arial Narrow" w:hAnsi="Times New Roman"/>
                <w:color w:val="000000"/>
                <w:sz w:val="24"/>
                <w:szCs w:val="24"/>
              </w:rPr>
            </w:pPr>
            <w:r w:rsidRPr="00035ADC">
              <w:rPr>
                <w:rFonts w:ascii="Times New Roman" w:eastAsia="Arial Narrow" w:hAnsi="Times New Roman"/>
                <w:color w:val="000000"/>
                <w:sz w:val="24"/>
                <w:szCs w:val="24"/>
              </w:rPr>
              <w:t>Principal Investigator</w:t>
            </w:r>
          </w:p>
        </w:tc>
      </w:tr>
    </w:tbl>
    <w:p w:rsidR="004E4CFD" w:rsidP="004E4CFD" w14:paraId="737C6656" w14:textId="77777777">
      <w:pPr>
        <w:spacing w:after="0" w:line="264" w:lineRule="auto"/>
        <w:rPr>
          <w:rFonts w:ascii="Times New Roman" w:eastAsia="Times New Roman" w:hAnsi="Times New Roman"/>
          <w:color w:val="000000"/>
          <w:sz w:val="24"/>
          <w:szCs w:val="24"/>
        </w:rPr>
      </w:pPr>
    </w:p>
    <w:p w:rsidR="00831EC5" w:rsidRPr="00831EC5" w:rsidP="004E4CFD" w14:paraId="25FA4ACD" w14:textId="5A8D22C9">
      <w:pPr>
        <w:spacing w:after="0" w:line="264" w:lineRule="auto"/>
        <w:rPr>
          <w:rFonts w:ascii="Times New Roman" w:eastAsia="Times New Roman" w:hAnsi="Times New Roman"/>
          <w:color w:val="000000"/>
          <w:sz w:val="24"/>
          <w:szCs w:val="24"/>
        </w:rPr>
      </w:pPr>
      <w:r w:rsidRPr="00831EC5">
        <w:rPr>
          <w:rFonts w:ascii="Times New Roman" w:eastAsia="Times New Roman" w:hAnsi="Times New Roman"/>
          <w:color w:val="000000"/>
          <w:sz w:val="24"/>
          <w:szCs w:val="24"/>
        </w:rPr>
        <w:t>Inquiries regarding the study’s planned analysis should be directed to:</w:t>
      </w:r>
    </w:p>
    <w:tbl>
      <w:tblPr>
        <w:tblW w:w="0" w:type="auto"/>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tblPr>
      <w:tblGrid>
        <w:gridCol w:w="3120"/>
        <w:gridCol w:w="4530"/>
        <w:gridCol w:w="1710"/>
      </w:tblGrid>
      <w:tr w14:paraId="7FFCC602" w14:textId="77777777" w:rsidTr="004E4CFD">
        <w:tblPrEx>
          <w:tblW w:w="0" w:type="auto"/>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tblPrEx>
        <w:trPr>
          <w:trHeight w:val="300"/>
        </w:trPr>
        <w:tc>
          <w:tcPr>
            <w:tcW w:w="3120" w:type="dxa"/>
            <w:tcBorders>
              <w:top w:val="nil"/>
              <w:left w:val="nil"/>
              <w:bottom w:val="nil"/>
              <w:right w:val="nil"/>
            </w:tcBorders>
            <w:tcMar>
              <w:left w:w="105" w:type="dxa"/>
              <w:right w:w="105" w:type="dxa"/>
            </w:tcMar>
          </w:tcPr>
          <w:p w:rsidR="00831EC5" w:rsidRPr="00035ADC" w:rsidP="0023501B" w14:paraId="0E147032" w14:textId="77777777">
            <w:pPr>
              <w:spacing w:after="180" w:line="264" w:lineRule="auto"/>
              <w:rPr>
                <w:rFonts w:ascii="Times New Roman" w:eastAsia="Times New Roman" w:hAnsi="Times New Roman"/>
                <w:i/>
                <w:iCs/>
                <w:sz w:val="24"/>
                <w:szCs w:val="24"/>
              </w:rPr>
            </w:pPr>
            <w:r w:rsidRPr="00035ADC">
              <w:rPr>
                <w:rFonts w:ascii="Times New Roman" w:eastAsia="Times New Roman" w:hAnsi="Times New Roman"/>
                <w:i/>
                <w:iCs/>
                <w:sz w:val="24"/>
                <w:szCs w:val="24"/>
              </w:rPr>
              <w:t>Dr. Judy Geyer</w:t>
            </w:r>
          </w:p>
        </w:tc>
        <w:tc>
          <w:tcPr>
            <w:tcW w:w="4530" w:type="dxa"/>
            <w:tcBorders>
              <w:top w:val="nil"/>
              <w:left w:val="nil"/>
              <w:bottom w:val="nil"/>
              <w:right w:val="nil"/>
            </w:tcBorders>
            <w:tcMar>
              <w:left w:w="105" w:type="dxa"/>
              <w:right w:w="105" w:type="dxa"/>
            </w:tcMar>
          </w:tcPr>
          <w:p w:rsidR="00831EC5" w:rsidRPr="00035ADC" w:rsidP="0023501B" w14:paraId="4120D9D9" w14:textId="301B6CA7">
            <w:pPr>
              <w:spacing w:after="180" w:line="264" w:lineRule="auto"/>
              <w:rPr>
                <w:rFonts w:ascii="Times New Roman" w:eastAsia="Times New Roman" w:hAnsi="Times New Roman"/>
                <w:i/>
                <w:iCs/>
                <w:sz w:val="24"/>
                <w:szCs w:val="24"/>
              </w:rPr>
            </w:pPr>
            <w:r w:rsidRPr="00035ADC">
              <w:rPr>
                <w:rFonts w:ascii="Times New Roman" w:eastAsia="Times New Roman" w:hAnsi="Times New Roman"/>
                <w:i/>
                <w:iCs/>
                <w:sz w:val="24"/>
                <w:szCs w:val="24"/>
              </w:rPr>
              <w:t xml:space="preserve">Abt </w:t>
            </w:r>
            <w:r w:rsidR="001A22F4">
              <w:rPr>
                <w:rFonts w:ascii="Times New Roman" w:eastAsia="Times New Roman" w:hAnsi="Times New Roman"/>
                <w:i/>
                <w:iCs/>
                <w:sz w:val="24"/>
                <w:szCs w:val="24"/>
              </w:rPr>
              <w:t>Global</w:t>
            </w:r>
            <w:r w:rsidRPr="00035ADC">
              <w:rPr>
                <w:rFonts w:ascii="Times New Roman" w:eastAsia="Times New Roman" w:hAnsi="Times New Roman"/>
                <w:i/>
                <w:iCs/>
                <w:sz w:val="24"/>
                <w:szCs w:val="24"/>
              </w:rPr>
              <w:t>, Principal Investigator</w:t>
            </w:r>
          </w:p>
        </w:tc>
        <w:tc>
          <w:tcPr>
            <w:tcW w:w="1710" w:type="dxa"/>
            <w:tcBorders>
              <w:top w:val="nil"/>
              <w:left w:val="nil"/>
              <w:bottom w:val="nil"/>
              <w:right w:val="nil"/>
            </w:tcBorders>
            <w:tcMar>
              <w:left w:w="105" w:type="dxa"/>
              <w:right w:w="105" w:type="dxa"/>
            </w:tcMar>
          </w:tcPr>
          <w:p w:rsidR="00831EC5" w:rsidRPr="00035ADC" w:rsidP="0023501B" w14:paraId="24522FB4" w14:textId="77777777">
            <w:pPr>
              <w:spacing w:after="180" w:line="264" w:lineRule="auto"/>
              <w:rPr>
                <w:rFonts w:ascii="Times New Roman" w:eastAsia="Times New Roman" w:hAnsi="Times New Roman"/>
                <w:i/>
                <w:iCs/>
                <w:sz w:val="24"/>
                <w:szCs w:val="24"/>
              </w:rPr>
            </w:pPr>
            <w:r w:rsidRPr="00035ADC">
              <w:rPr>
                <w:rFonts w:ascii="Times New Roman" w:eastAsia="Times New Roman" w:hAnsi="Times New Roman"/>
                <w:i/>
                <w:iCs/>
                <w:sz w:val="24"/>
                <w:szCs w:val="24"/>
              </w:rPr>
              <w:t xml:space="preserve">617-520-2952  </w:t>
            </w:r>
          </w:p>
        </w:tc>
      </w:tr>
      <w:tr w14:paraId="29244133" w14:textId="77777777" w:rsidTr="004E4CFD">
        <w:tblPrEx>
          <w:tblW w:w="0" w:type="auto"/>
          <w:tblLayout w:type="fixed"/>
          <w:tblLook w:val="04A0"/>
        </w:tblPrEx>
        <w:trPr>
          <w:trHeight w:val="300"/>
        </w:trPr>
        <w:tc>
          <w:tcPr>
            <w:tcW w:w="3120" w:type="dxa"/>
            <w:tcBorders>
              <w:top w:val="nil"/>
              <w:left w:val="nil"/>
              <w:bottom w:val="nil"/>
              <w:right w:val="nil"/>
            </w:tcBorders>
            <w:tcMar>
              <w:left w:w="105" w:type="dxa"/>
              <w:right w:w="105" w:type="dxa"/>
            </w:tcMar>
          </w:tcPr>
          <w:p w:rsidR="00831EC5" w:rsidRPr="00035ADC" w:rsidP="0023501B" w14:paraId="1F452EB8" w14:textId="77777777">
            <w:pPr>
              <w:spacing w:after="180" w:line="264" w:lineRule="auto"/>
              <w:rPr>
                <w:rFonts w:ascii="Times New Roman" w:eastAsia="Times New Roman" w:hAnsi="Times New Roman"/>
                <w:sz w:val="24"/>
                <w:szCs w:val="24"/>
              </w:rPr>
            </w:pPr>
            <w:r w:rsidRPr="00035ADC">
              <w:rPr>
                <w:rFonts w:ascii="Times New Roman" w:eastAsia="Times New Roman" w:hAnsi="Times New Roman"/>
                <w:i/>
                <w:iCs/>
                <w:sz w:val="24"/>
                <w:szCs w:val="24"/>
              </w:rPr>
              <w:t>Elizabeth Rudd</w:t>
            </w:r>
            <w:r w:rsidR="004C1B96">
              <w:rPr>
                <w:rFonts w:ascii="Times New Roman" w:eastAsia="Times New Roman" w:hAnsi="Times New Roman"/>
                <w:i/>
                <w:iCs/>
                <w:sz w:val="24"/>
                <w:szCs w:val="24"/>
              </w:rPr>
              <w:t>, Ph.D.</w:t>
            </w:r>
          </w:p>
        </w:tc>
        <w:tc>
          <w:tcPr>
            <w:tcW w:w="4530" w:type="dxa"/>
            <w:tcBorders>
              <w:top w:val="nil"/>
              <w:left w:val="nil"/>
              <w:bottom w:val="nil"/>
              <w:right w:val="nil"/>
            </w:tcBorders>
            <w:tcMar>
              <w:left w:w="105" w:type="dxa"/>
              <w:right w:w="105" w:type="dxa"/>
            </w:tcMar>
          </w:tcPr>
          <w:p w:rsidR="00831EC5" w:rsidRPr="00035ADC" w:rsidP="0023501B" w14:paraId="3C1E0337" w14:textId="77777777">
            <w:pPr>
              <w:spacing w:after="180" w:line="264" w:lineRule="auto"/>
              <w:rPr>
                <w:rFonts w:ascii="Times New Roman" w:eastAsia="Times New Roman" w:hAnsi="Times New Roman"/>
                <w:sz w:val="24"/>
                <w:szCs w:val="24"/>
              </w:rPr>
            </w:pPr>
            <w:r w:rsidRPr="00035ADC">
              <w:rPr>
                <w:rFonts w:ascii="Times New Roman" w:eastAsia="Times New Roman" w:hAnsi="Times New Roman"/>
                <w:i/>
                <w:iCs/>
                <w:sz w:val="24"/>
                <w:szCs w:val="24"/>
              </w:rPr>
              <w:t>HUD,</w:t>
            </w:r>
            <w:r w:rsidRPr="00035ADC">
              <w:rPr>
                <w:rFonts w:ascii="Times New Roman" w:eastAsia="Times New Roman" w:hAnsi="Times New Roman"/>
                <w:sz w:val="24"/>
                <w:szCs w:val="24"/>
              </w:rPr>
              <w:t xml:space="preserve"> </w:t>
            </w:r>
            <w:r w:rsidRPr="00035ADC">
              <w:rPr>
                <w:rFonts w:ascii="Times New Roman" w:eastAsia="Times New Roman" w:hAnsi="Times New Roman"/>
                <w:i/>
                <w:iCs/>
                <w:sz w:val="24"/>
                <w:szCs w:val="24"/>
              </w:rPr>
              <w:t>Contracting Officer’s Representative</w:t>
            </w:r>
          </w:p>
        </w:tc>
        <w:tc>
          <w:tcPr>
            <w:tcW w:w="1710" w:type="dxa"/>
            <w:tcBorders>
              <w:top w:val="nil"/>
              <w:left w:val="nil"/>
              <w:bottom w:val="nil"/>
              <w:right w:val="nil"/>
            </w:tcBorders>
            <w:tcMar>
              <w:left w:w="105" w:type="dxa"/>
              <w:right w:w="105" w:type="dxa"/>
            </w:tcMar>
          </w:tcPr>
          <w:p w:rsidR="00831EC5" w:rsidRPr="00035ADC" w:rsidP="0023501B" w14:paraId="666E1B90" w14:textId="77777777">
            <w:pPr>
              <w:spacing w:after="180" w:line="264" w:lineRule="auto"/>
              <w:rPr>
                <w:rFonts w:ascii="Times New Roman" w:eastAsia="Times New Roman" w:hAnsi="Times New Roman"/>
                <w:sz w:val="24"/>
                <w:szCs w:val="24"/>
              </w:rPr>
            </w:pPr>
            <w:r w:rsidRPr="00035ADC">
              <w:rPr>
                <w:rFonts w:ascii="Times New Roman" w:eastAsia="Times New Roman" w:hAnsi="Times New Roman"/>
                <w:i/>
                <w:iCs/>
                <w:sz w:val="24"/>
                <w:szCs w:val="24"/>
              </w:rPr>
              <w:t>202-402-7607</w:t>
            </w:r>
          </w:p>
        </w:tc>
      </w:tr>
    </w:tbl>
    <w:p w:rsidR="00831EC5" w:rsidRPr="00831EC5" w:rsidP="0023501B" w14:paraId="6EE60BDB" w14:textId="77777777">
      <w:pPr>
        <w:pStyle w:val="NoSpacing"/>
        <w:rPr>
          <w:rFonts w:ascii="Times New Roman" w:hAnsi="Times New Roman"/>
          <w:b/>
          <w:bCs/>
          <w:sz w:val="24"/>
          <w:szCs w:val="24"/>
        </w:rPr>
      </w:pPr>
    </w:p>
    <w:sectPr w:rsidSect="00301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D3532"/>
    <w:multiLevelType w:val="hybridMultilevel"/>
    <w:tmpl w:val="0974E8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8D81D62"/>
    <w:multiLevelType w:val="hybridMultilevel"/>
    <w:tmpl w:val="CB868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F267AD"/>
    <w:multiLevelType w:val="hybridMultilevel"/>
    <w:tmpl w:val="2F7E8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40783B"/>
    <w:multiLevelType w:val="hybridMultilevel"/>
    <w:tmpl w:val="7EF85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1D58FD"/>
    <w:multiLevelType w:val="hybridMultilevel"/>
    <w:tmpl w:val="317E1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3F16DBF"/>
    <w:multiLevelType w:val="hybridMultilevel"/>
    <w:tmpl w:val="70944E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6F987841"/>
    <w:multiLevelType w:val="hybridMultilevel"/>
    <w:tmpl w:val="59268D7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num w:numId="1" w16cid:durableId="799960398">
    <w:abstractNumId w:val="5"/>
  </w:num>
  <w:num w:numId="2" w16cid:durableId="633217007">
    <w:abstractNumId w:val="4"/>
  </w:num>
  <w:num w:numId="3" w16cid:durableId="1125583649">
    <w:abstractNumId w:val="2"/>
  </w:num>
  <w:num w:numId="4" w16cid:durableId="665281260">
    <w:abstractNumId w:val="0"/>
  </w:num>
  <w:num w:numId="5" w16cid:durableId="1073235399">
    <w:abstractNumId w:val="1"/>
  </w:num>
  <w:num w:numId="6" w16cid:durableId="658731472">
    <w:abstractNumId w:val="6"/>
  </w:num>
  <w:num w:numId="7" w16cid:durableId="17762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6D"/>
    <w:rsid w:val="0000628A"/>
    <w:rsid w:val="00010681"/>
    <w:rsid w:val="0001512F"/>
    <w:rsid w:val="00035ADC"/>
    <w:rsid w:val="00035B1A"/>
    <w:rsid w:val="00051C04"/>
    <w:rsid w:val="000628BD"/>
    <w:rsid w:val="00063FB5"/>
    <w:rsid w:val="000713F0"/>
    <w:rsid w:val="0009583E"/>
    <w:rsid w:val="00097674"/>
    <w:rsid w:val="000A251D"/>
    <w:rsid w:val="000A2A80"/>
    <w:rsid w:val="000A57C0"/>
    <w:rsid w:val="000D256F"/>
    <w:rsid w:val="000D4889"/>
    <w:rsid w:val="000F153F"/>
    <w:rsid w:val="000F2451"/>
    <w:rsid w:val="0010639E"/>
    <w:rsid w:val="00143829"/>
    <w:rsid w:val="00144D72"/>
    <w:rsid w:val="00147ADA"/>
    <w:rsid w:val="00147E08"/>
    <w:rsid w:val="00156571"/>
    <w:rsid w:val="00163B3B"/>
    <w:rsid w:val="00187015"/>
    <w:rsid w:val="00192737"/>
    <w:rsid w:val="001A22F4"/>
    <w:rsid w:val="001A38C5"/>
    <w:rsid w:val="001B1FB3"/>
    <w:rsid w:val="001B27BB"/>
    <w:rsid w:val="001D72E6"/>
    <w:rsid w:val="001D7AE9"/>
    <w:rsid w:val="001E0750"/>
    <w:rsid w:val="001E163D"/>
    <w:rsid w:val="001F0AC7"/>
    <w:rsid w:val="001F17BF"/>
    <w:rsid w:val="001F3AF2"/>
    <w:rsid w:val="0020722F"/>
    <w:rsid w:val="00212058"/>
    <w:rsid w:val="00233966"/>
    <w:rsid w:val="0023501B"/>
    <w:rsid w:val="00250C5C"/>
    <w:rsid w:val="00262D7B"/>
    <w:rsid w:val="002642D5"/>
    <w:rsid w:val="00266F6D"/>
    <w:rsid w:val="002873D0"/>
    <w:rsid w:val="0029461A"/>
    <w:rsid w:val="0029730F"/>
    <w:rsid w:val="002B2C73"/>
    <w:rsid w:val="002C05D7"/>
    <w:rsid w:val="002C5EAE"/>
    <w:rsid w:val="002D59D2"/>
    <w:rsid w:val="002D75E2"/>
    <w:rsid w:val="0030106A"/>
    <w:rsid w:val="00301268"/>
    <w:rsid w:val="00303909"/>
    <w:rsid w:val="00330E05"/>
    <w:rsid w:val="00342A08"/>
    <w:rsid w:val="00350AC5"/>
    <w:rsid w:val="003535D8"/>
    <w:rsid w:val="00353B62"/>
    <w:rsid w:val="003550C0"/>
    <w:rsid w:val="00357386"/>
    <w:rsid w:val="003616F5"/>
    <w:rsid w:val="00375E86"/>
    <w:rsid w:val="00391E6C"/>
    <w:rsid w:val="003A45C4"/>
    <w:rsid w:val="003B2333"/>
    <w:rsid w:val="003E1F95"/>
    <w:rsid w:val="003E420C"/>
    <w:rsid w:val="003E6FE6"/>
    <w:rsid w:val="003F3D97"/>
    <w:rsid w:val="00421136"/>
    <w:rsid w:val="0042378F"/>
    <w:rsid w:val="00426726"/>
    <w:rsid w:val="00431CB9"/>
    <w:rsid w:val="0043499D"/>
    <w:rsid w:val="004577AF"/>
    <w:rsid w:val="00461FDD"/>
    <w:rsid w:val="004729A4"/>
    <w:rsid w:val="00480033"/>
    <w:rsid w:val="004831F2"/>
    <w:rsid w:val="00490013"/>
    <w:rsid w:val="004A2D44"/>
    <w:rsid w:val="004B17D5"/>
    <w:rsid w:val="004C1B96"/>
    <w:rsid w:val="004D4CBD"/>
    <w:rsid w:val="004D5548"/>
    <w:rsid w:val="004D5C1B"/>
    <w:rsid w:val="004E4CFD"/>
    <w:rsid w:val="004E6AA1"/>
    <w:rsid w:val="0051321D"/>
    <w:rsid w:val="0052034C"/>
    <w:rsid w:val="0052601A"/>
    <w:rsid w:val="00540036"/>
    <w:rsid w:val="00543F16"/>
    <w:rsid w:val="00557ABE"/>
    <w:rsid w:val="00586B79"/>
    <w:rsid w:val="00587DDB"/>
    <w:rsid w:val="005A0F5C"/>
    <w:rsid w:val="005D0FD8"/>
    <w:rsid w:val="005D6594"/>
    <w:rsid w:val="005F2610"/>
    <w:rsid w:val="005F6366"/>
    <w:rsid w:val="00616BDB"/>
    <w:rsid w:val="006477AC"/>
    <w:rsid w:val="00652F11"/>
    <w:rsid w:val="00653794"/>
    <w:rsid w:val="00653A0C"/>
    <w:rsid w:val="00661734"/>
    <w:rsid w:val="00670A30"/>
    <w:rsid w:val="00674519"/>
    <w:rsid w:val="00682E4E"/>
    <w:rsid w:val="006971F0"/>
    <w:rsid w:val="006A330F"/>
    <w:rsid w:val="006B058B"/>
    <w:rsid w:val="006B34D2"/>
    <w:rsid w:val="006D6F22"/>
    <w:rsid w:val="006F3958"/>
    <w:rsid w:val="006F428C"/>
    <w:rsid w:val="007000A9"/>
    <w:rsid w:val="007001AA"/>
    <w:rsid w:val="00706778"/>
    <w:rsid w:val="00711DEE"/>
    <w:rsid w:val="0072310C"/>
    <w:rsid w:val="00731FC9"/>
    <w:rsid w:val="00746C20"/>
    <w:rsid w:val="00752C7D"/>
    <w:rsid w:val="00752F30"/>
    <w:rsid w:val="00763388"/>
    <w:rsid w:val="00767115"/>
    <w:rsid w:val="00774C0E"/>
    <w:rsid w:val="00785D8B"/>
    <w:rsid w:val="00786E3A"/>
    <w:rsid w:val="007A6E12"/>
    <w:rsid w:val="007C4AB9"/>
    <w:rsid w:val="007E2241"/>
    <w:rsid w:val="007E7C28"/>
    <w:rsid w:val="00800D05"/>
    <w:rsid w:val="00810B7D"/>
    <w:rsid w:val="00815629"/>
    <w:rsid w:val="00817AE7"/>
    <w:rsid w:val="00826A66"/>
    <w:rsid w:val="00831EC5"/>
    <w:rsid w:val="00833EC1"/>
    <w:rsid w:val="008403CA"/>
    <w:rsid w:val="00851971"/>
    <w:rsid w:val="0085204F"/>
    <w:rsid w:val="00865CE0"/>
    <w:rsid w:val="00867022"/>
    <w:rsid w:val="008C1CFC"/>
    <w:rsid w:val="008C3D88"/>
    <w:rsid w:val="008C3FA8"/>
    <w:rsid w:val="008E524A"/>
    <w:rsid w:val="008F6568"/>
    <w:rsid w:val="00901CD6"/>
    <w:rsid w:val="00904A5D"/>
    <w:rsid w:val="00913903"/>
    <w:rsid w:val="009270CE"/>
    <w:rsid w:val="00934783"/>
    <w:rsid w:val="00942FC2"/>
    <w:rsid w:val="00963B1A"/>
    <w:rsid w:val="0099300E"/>
    <w:rsid w:val="00994214"/>
    <w:rsid w:val="00994B01"/>
    <w:rsid w:val="00996692"/>
    <w:rsid w:val="009A61E7"/>
    <w:rsid w:val="009C7032"/>
    <w:rsid w:val="009E010A"/>
    <w:rsid w:val="009F31E3"/>
    <w:rsid w:val="009F3D88"/>
    <w:rsid w:val="00A124C6"/>
    <w:rsid w:val="00A13E62"/>
    <w:rsid w:val="00A46ED4"/>
    <w:rsid w:val="00A6166E"/>
    <w:rsid w:val="00A67D44"/>
    <w:rsid w:val="00A70399"/>
    <w:rsid w:val="00A87030"/>
    <w:rsid w:val="00AA57D6"/>
    <w:rsid w:val="00AC7975"/>
    <w:rsid w:val="00AD1595"/>
    <w:rsid w:val="00AD43F2"/>
    <w:rsid w:val="00AE2E96"/>
    <w:rsid w:val="00B0002F"/>
    <w:rsid w:val="00B03CDD"/>
    <w:rsid w:val="00B068ED"/>
    <w:rsid w:val="00B3387C"/>
    <w:rsid w:val="00B4182E"/>
    <w:rsid w:val="00B6022B"/>
    <w:rsid w:val="00B6716A"/>
    <w:rsid w:val="00B819B9"/>
    <w:rsid w:val="00B901BE"/>
    <w:rsid w:val="00B963C3"/>
    <w:rsid w:val="00BA0610"/>
    <w:rsid w:val="00BA1C6A"/>
    <w:rsid w:val="00BA2CA4"/>
    <w:rsid w:val="00BA3091"/>
    <w:rsid w:val="00BE7ADA"/>
    <w:rsid w:val="00C110EC"/>
    <w:rsid w:val="00C23906"/>
    <w:rsid w:val="00C30470"/>
    <w:rsid w:val="00C5081F"/>
    <w:rsid w:val="00C67E1B"/>
    <w:rsid w:val="00C81246"/>
    <w:rsid w:val="00CE2578"/>
    <w:rsid w:val="00D15C3B"/>
    <w:rsid w:val="00D3008B"/>
    <w:rsid w:val="00D5339E"/>
    <w:rsid w:val="00D7040F"/>
    <w:rsid w:val="00D82A7B"/>
    <w:rsid w:val="00DA4C9E"/>
    <w:rsid w:val="00DA4F10"/>
    <w:rsid w:val="00DD45A1"/>
    <w:rsid w:val="00DD7561"/>
    <w:rsid w:val="00DD78C5"/>
    <w:rsid w:val="00E0501C"/>
    <w:rsid w:val="00E05836"/>
    <w:rsid w:val="00E36C1D"/>
    <w:rsid w:val="00E373C6"/>
    <w:rsid w:val="00E420C6"/>
    <w:rsid w:val="00E629C3"/>
    <w:rsid w:val="00E72113"/>
    <w:rsid w:val="00E7366B"/>
    <w:rsid w:val="00E75917"/>
    <w:rsid w:val="00E90EB4"/>
    <w:rsid w:val="00E92202"/>
    <w:rsid w:val="00E954B9"/>
    <w:rsid w:val="00E95BFE"/>
    <w:rsid w:val="00EC0090"/>
    <w:rsid w:val="00ED1ECE"/>
    <w:rsid w:val="00ED2F9D"/>
    <w:rsid w:val="00ED451B"/>
    <w:rsid w:val="00EE1F15"/>
    <w:rsid w:val="00EF3B47"/>
    <w:rsid w:val="00F07427"/>
    <w:rsid w:val="00F13AFB"/>
    <w:rsid w:val="00F21512"/>
    <w:rsid w:val="00F30895"/>
    <w:rsid w:val="00F30C76"/>
    <w:rsid w:val="00F32BD1"/>
    <w:rsid w:val="00F33BEB"/>
    <w:rsid w:val="00F773DC"/>
    <w:rsid w:val="00F8173A"/>
    <w:rsid w:val="00F84B0B"/>
    <w:rsid w:val="00F87EED"/>
    <w:rsid w:val="00F9205F"/>
    <w:rsid w:val="00FB6A4B"/>
    <w:rsid w:val="00FC28B8"/>
    <w:rsid w:val="00FD7C97"/>
    <w:rsid w:val="00FD7FF5"/>
    <w:rsid w:val="00FE4C77"/>
    <w:rsid w:val="00FF5801"/>
    <w:rsid w:val="036463A7"/>
    <w:rsid w:val="60C079B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7BF1092"/>
  <w15:chartTrackingRefBased/>
  <w15:docId w15:val="{39B1A1B6-0F5C-4E1C-AA18-08EF67EF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399"/>
    <w:pPr>
      <w:spacing w:after="200" w:line="276" w:lineRule="auto"/>
    </w:pPr>
    <w:rPr>
      <w:sz w:val="22"/>
      <w:szCs w:val="22"/>
    </w:rPr>
  </w:style>
  <w:style w:type="paragraph" w:styleId="Heading1">
    <w:name w:val="heading 1"/>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paragraph" w:styleId="Heading2">
    <w:name w:val="heading 2"/>
    <w:basedOn w:val="Normal"/>
    <w:next w:val="Normal"/>
    <w:link w:val="Heading2Char"/>
    <w:uiPriority w:val="9"/>
    <w:unhideWhenUsed/>
    <w:qFormat/>
    <w:rsid w:val="00831EC5"/>
    <w:pPr>
      <w:keepNext/>
      <w:keepLines/>
      <w:spacing w:before="40" w:after="0" w:line="259" w:lineRule="auto"/>
      <w:outlineLvl w:val="1"/>
    </w:pPr>
    <w:rPr>
      <w:rFonts w:ascii="Calibri Light" w:eastAsia="MS Gothic" w:hAnsi="Calibri Light"/>
      <w:color w:val="2F5496"/>
      <w:sz w:val="26"/>
      <w:szCs w:val="26"/>
    </w:rPr>
  </w:style>
  <w:style w:type="paragraph" w:styleId="Heading3">
    <w:name w:val="heading 3"/>
    <w:basedOn w:val="Normal"/>
    <w:next w:val="Normal"/>
    <w:link w:val="Heading3Char"/>
    <w:uiPriority w:val="9"/>
    <w:unhideWhenUsed/>
    <w:qFormat/>
    <w:rsid w:val="00831EC5"/>
    <w:pPr>
      <w:keepNext/>
      <w:keepLines/>
      <w:spacing w:before="40" w:after="0" w:line="259" w:lineRule="auto"/>
      <w:outlineLvl w:val="2"/>
    </w:pPr>
    <w:rPr>
      <w:rFonts w:ascii="Calibri Light" w:eastAsia="MS Gothic"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paragraph" w:customStyle="1" w:styleId="ExhibitColumnHeader">
    <w:name w:val="Exhibit Column Header"/>
    <w:basedOn w:val="Normal"/>
    <w:qFormat/>
    <w:rsid w:val="00831EC5"/>
    <w:pPr>
      <w:spacing w:before="40" w:after="40" w:line="259" w:lineRule="auto"/>
      <w:jc w:val="center"/>
    </w:pPr>
    <w:rPr>
      <w:rFonts w:ascii="Arial Narrow" w:eastAsia="Times New Roman" w:hAnsi="Arial Narrow" w:cs="Arial"/>
      <w:b/>
      <w:bCs/>
      <w:color w:val="000000"/>
      <w:sz w:val="18"/>
      <w:szCs w:val="18"/>
    </w:rPr>
  </w:style>
  <w:style w:type="paragraph" w:customStyle="1" w:styleId="ExhibitText">
    <w:name w:val="Exhibit Text"/>
    <w:basedOn w:val="Normal"/>
    <w:qFormat/>
    <w:rsid w:val="00831EC5"/>
    <w:pPr>
      <w:spacing w:before="40" w:after="40" w:line="259" w:lineRule="auto"/>
    </w:pPr>
    <w:rPr>
      <w:rFonts w:ascii="Arial Narrow" w:eastAsia="Times New Roman" w:hAnsi="Arial Narrow" w:cs="Arial"/>
      <w:color w:val="000000"/>
      <w:sz w:val="18"/>
      <w:szCs w:val="18"/>
    </w:rPr>
  </w:style>
  <w:style w:type="table" w:styleId="TableGrid">
    <w:name w:val="Table Grid"/>
    <w:basedOn w:val="TableNormal"/>
    <w:uiPriority w:val="39"/>
    <w:rsid w:val="00831EC5"/>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rsid w:val="00831EC5"/>
    <w:rPr>
      <w:rFonts w:ascii="Calibri Light" w:eastAsia="MS Gothic" w:hAnsi="Calibri Light"/>
      <w:color w:val="1F3763"/>
      <w:sz w:val="24"/>
      <w:szCs w:val="24"/>
    </w:rPr>
  </w:style>
  <w:style w:type="paragraph" w:styleId="ListParagraph">
    <w:name w:val="List Paragraph"/>
    <w:basedOn w:val="Normal"/>
    <w:uiPriority w:val="34"/>
    <w:qFormat/>
    <w:rsid w:val="00831EC5"/>
    <w:pPr>
      <w:spacing w:after="160" w:line="259" w:lineRule="auto"/>
      <w:ind w:left="720"/>
      <w:contextualSpacing/>
    </w:pPr>
    <w:rPr>
      <w:rFonts w:cs="Arial"/>
    </w:rPr>
  </w:style>
  <w:style w:type="character" w:customStyle="1" w:styleId="Heading2Char">
    <w:name w:val="Heading 2 Char"/>
    <w:link w:val="Heading2"/>
    <w:uiPriority w:val="9"/>
    <w:rsid w:val="00831EC5"/>
    <w:rPr>
      <w:rFonts w:ascii="Calibri Light" w:eastAsia="MS Gothic" w:hAnsi="Calibri Light"/>
      <w:color w:val="2F5496"/>
      <w:sz w:val="26"/>
      <w:szCs w:val="26"/>
    </w:rPr>
  </w:style>
  <w:style w:type="character" w:styleId="Mention">
    <w:name w:val="Mention"/>
    <w:uiPriority w:val="99"/>
    <w:unhideWhenUsed/>
    <w:rsid w:val="00831EC5"/>
    <w:rPr>
      <w:color w:val="2B579A"/>
      <w:shd w:val="clear" w:color="auto" w:fill="E6E6E6"/>
    </w:rPr>
  </w:style>
  <w:style w:type="paragraph" w:styleId="CommentText">
    <w:name w:val="annotation text"/>
    <w:basedOn w:val="Normal"/>
    <w:link w:val="CommentTextChar"/>
    <w:uiPriority w:val="99"/>
    <w:unhideWhenUsed/>
    <w:rsid w:val="00831EC5"/>
    <w:pPr>
      <w:spacing w:after="160" w:line="240" w:lineRule="auto"/>
    </w:pPr>
    <w:rPr>
      <w:rFonts w:cs="Arial"/>
      <w:sz w:val="20"/>
      <w:szCs w:val="20"/>
    </w:rPr>
  </w:style>
  <w:style w:type="character" w:customStyle="1" w:styleId="CommentTextChar">
    <w:name w:val="Comment Text Char"/>
    <w:link w:val="CommentText"/>
    <w:uiPriority w:val="99"/>
    <w:rsid w:val="00831EC5"/>
    <w:rPr>
      <w:rFonts w:cs="Arial"/>
    </w:rPr>
  </w:style>
  <w:style w:type="character" w:styleId="CommentReference">
    <w:name w:val="annotation reference"/>
    <w:uiPriority w:val="99"/>
    <w:semiHidden/>
    <w:unhideWhenUsed/>
    <w:rsid w:val="00831EC5"/>
    <w:rPr>
      <w:sz w:val="16"/>
      <w:szCs w:val="16"/>
    </w:rPr>
  </w:style>
  <w:style w:type="paragraph" w:styleId="Caption">
    <w:name w:val="caption"/>
    <w:basedOn w:val="Normal"/>
    <w:next w:val="Normal"/>
    <w:link w:val="CaptionChar"/>
    <w:qFormat/>
    <w:rsid w:val="00831EC5"/>
    <w:pPr>
      <w:keepNext/>
      <w:keepLines/>
      <w:widowControl w:val="0"/>
      <w:tabs>
        <w:tab w:val="left" w:pos="1440"/>
      </w:tabs>
      <w:spacing w:after="120" w:line="264" w:lineRule="auto"/>
    </w:pPr>
    <w:rPr>
      <w:rFonts w:ascii="Arial" w:eastAsia="Times New Roman" w:hAnsi="Arial"/>
      <w:b/>
      <w:bCs/>
      <w:sz w:val="20"/>
      <w:szCs w:val="20"/>
    </w:rPr>
  </w:style>
  <w:style w:type="character" w:customStyle="1" w:styleId="CaptionChar">
    <w:name w:val="Caption Char"/>
    <w:link w:val="Caption"/>
    <w:locked/>
    <w:rsid w:val="00831EC5"/>
    <w:rPr>
      <w:rFonts w:ascii="Arial" w:eastAsia="Times New Roman" w:hAnsi="Arial"/>
      <w:b/>
      <w:bCs/>
    </w:rPr>
  </w:style>
  <w:style w:type="paragraph" w:styleId="Revision">
    <w:name w:val="Revision"/>
    <w:hidden/>
    <w:uiPriority w:val="99"/>
    <w:semiHidden/>
    <w:rsid w:val="00AE2E96"/>
    <w:rPr>
      <w:sz w:val="22"/>
      <w:szCs w:val="22"/>
    </w:rPr>
  </w:style>
  <w:style w:type="paragraph" w:styleId="CommentSubject">
    <w:name w:val="annotation subject"/>
    <w:basedOn w:val="CommentText"/>
    <w:next w:val="CommentText"/>
    <w:link w:val="CommentSubjectChar"/>
    <w:uiPriority w:val="99"/>
    <w:semiHidden/>
    <w:unhideWhenUsed/>
    <w:rsid w:val="00AE2E96"/>
    <w:pPr>
      <w:spacing w:after="200"/>
    </w:pPr>
    <w:rPr>
      <w:rFonts w:cs="Times New Roman"/>
      <w:b/>
      <w:bCs/>
    </w:rPr>
  </w:style>
  <w:style w:type="character" w:customStyle="1" w:styleId="CommentSubjectChar">
    <w:name w:val="Comment Subject Char"/>
    <w:basedOn w:val="CommentTextChar"/>
    <w:link w:val="CommentSubject"/>
    <w:uiPriority w:val="99"/>
    <w:semiHidden/>
    <w:rsid w:val="00AE2E96"/>
    <w:rPr>
      <w:rFonts w:cs="Arial"/>
      <w:b/>
      <w:bCs/>
    </w:rPr>
  </w:style>
  <w:style w:type="paragraph" w:styleId="BodyText">
    <w:name w:val="Body Text"/>
    <w:basedOn w:val="Normal"/>
    <w:link w:val="BodyTextChar"/>
    <w:qFormat/>
    <w:rsid w:val="00F84B0B"/>
    <w:pPr>
      <w:spacing w:after="180" w:line="240" w:lineRule="auto"/>
    </w:pPr>
    <w:rPr>
      <w:rFonts w:ascii="Times New Roman" w:eastAsia="Times New Roman" w:hAnsi="Times New Roman"/>
      <w:szCs w:val="20"/>
      <w:lang w:val="en"/>
    </w:rPr>
  </w:style>
  <w:style w:type="character" w:customStyle="1" w:styleId="BodyTextChar">
    <w:name w:val="Body Text Char"/>
    <w:basedOn w:val="DefaultParagraphFont"/>
    <w:link w:val="BodyText"/>
    <w:rsid w:val="00F84B0B"/>
    <w:rPr>
      <w:rFonts w:ascii="Times New Roman" w:eastAsia="Times New Roman" w:hAnsi="Times New Roman"/>
      <w:sz w:val="22"/>
      <w:lang w:val="en"/>
    </w:rPr>
  </w:style>
  <w:style w:type="paragraph" w:customStyle="1" w:styleId="FigureTItle">
    <w:name w:val="Figure TItle"/>
    <w:basedOn w:val="Normal"/>
    <w:qFormat/>
    <w:rsid w:val="00F84B0B"/>
    <w:pPr>
      <w:keepNext/>
      <w:keepLines/>
      <w:spacing w:after="120" w:line="240" w:lineRule="auto"/>
    </w:pPr>
    <w:rPr>
      <w:rFonts w:asciiTheme="minorHAnsi" w:hAnsiTheme="minorHAnsi" w:cstheme="minorBidi"/>
      <w:b/>
      <w:bCs/>
      <w:sz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4CFC5E7DE19234EAE126B85C8735121" ma:contentTypeVersion="5" ma:contentTypeDescription="Create a new document." ma:contentTypeScope="" ma:versionID="8de34263063cb3c00690c483534bc2c5">
  <xsd:schema xmlns:xsd="http://www.w3.org/2001/XMLSchema" xmlns:xs="http://www.w3.org/2001/XMLSchema" xmlns:p="http://schemas.microsoft.com/office/2006/metadata/properties" xmlns:ns2="d4a638c4-874f-49c0-bb2b-5cb8563c2b18" xmlns:ns3="aa1c1319-afbc-4f49-a527-7e0ad5878eb0" targetNamespace="http://schemas.microsoft.com/office/2006/metadata/properties" ma:root="true" ma:fieldsID="f96f6f2013a4d745cc5a53aa0e4531f8" ns2:_="" ns3:_="">
    <xsd:import namespace="d4a638c4-874f-49c0-bb2b-5cb8563c2b18"/>
    <xsd:import namespace="aa1c1319-afbc-4f49-a527-7e0ad5878eb0"/>
    <xsd:element name="properties">
      <xsd:complexType>
        <xsd:sequence>
          <xsd:element name="documentManagement">
            <xsd:complexType>
              <xsd:all>
                <xsd:element ref="ns2:_dlc_DocId" minOccurs="0"/>
                <xsd:element ref="ns2:_dlc_DocIdUrl" minOccurs="0"/>
                <xsd:element ref="ns2:_dlc_DocIdPersistId" minOccurs="0"/>
                <xsd:element ref="ns3:Response" minOccurs="0"/>
                <xsd:element ref="ns3:ClearanceNumber" minOccurs="0"/>
                <xsd:element ref="ns3:ClearanceTrackerID" minOccurs="0"/>
                <xsd:element ref="ns3:RespondingOffice"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a1c1319-afbc-4f49-a527-7e0ad5878eb0" elementFormDefault="qualified">
    <xsd:import namespace="http://schemas.microsoft.com/office/2006/documentManagement/types"/>
    <xsd:import namespace="http://schemas.microsoft.com/office/infopath/2007/PartnerControls"/>
    <xsd:element name="Response" ma:index="11" nillable="true" ma:displayName="Response" ma:format="Dropdown" ma:internalName="Response">
      <xsd:simpleType>
        <xsd:restriction base="dms:Choice">
          <xsd:enumeration value="Unsubmitted"/>
          <xsd:enumeration value="Concur"/>
          <xsd:enumeration value="No Position"/>
          <xsd:enumeration value="No Review Needed"/>
          <xsd:enumeration value="Non-concur"/>
          <xsd:enumeration value="Concur with comments"/>
        </xsd:restriction>
      </xsd:simpleType>
    </xsd:element>
    <xsd:element name="ClearanceNumber" ma:index="12" nillable="true" ma:displayName="Clearance Number" ma:format="Dropdown" ma:internalName="ClearanceNumber">
      <xsd:simpleType>
        <xsd:restriction base="dms:Text">
          <xsd:maxLength value="255"/>
        </xsd:restriction>
      </xsd:simpleType>
    </xsd:element>
    <xsd:element name="ClearanceTrackerID" ma:index="13" nillable="true" ma:displayName="Clearance Tracker ID" ma:format="Dropdown" ma:internalName="ClearanceTrackerID" ma:percentage="FALSE">
      <xsd:simpleType>
        <xsd:restriction base="dms:Number"/>
      </xsd:simpleType>
    </xsd:element>
    <xsd:element name="RespondingOffice" ma:index="14" nillable="true" ma:displayName="Responding Office" ma:format="Dropdown" ma:internalName="RespondingOffice">
      <xsd:simpleType>
        <xsd:restriction base="dms:Text">
          <xsd:maxLength value="255"/>
        </xsd:restriction>
      </xsd:simpleType>
    </xsd:element>
    <xsd:element name="Status" ma:index="15" nillable="true" ma:displayName="Status" ma:format="Dropdown" ma:internalName="Status">
      <xsd:simpleType>
        <xsd:restriction base="dms:Choice">
          <xsd:enumeration value="Open"/>
          <xsd:enumeration value="Ready for Review"/>
          <xsd:enumeration value="Clo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learanceNumber xmlns="aa1c1319-afbc-4f49-a527-7e0ad5878eb0" xsi:nil="true"/>
    <Response xmlns="aa1c1319-afbc-4f49-a527-7e0ad5878eb0" xsi:nil="true"/>
    <ClearanceTrackerID xmlns="aa1c1319-afbc-4f49-a527-7e0ad5878eb0" xsi:nil="true"/>
    <RespondingOffice xmlns="aa1c1319-afbc-4f49-a527-7e0ad5878eb0" xsi:nil="true"/>
    <Status xmlns="aa1c1319-afbc-4f49-a527-7e0ad5878eb0" xsi:nil="true"/>
    <_dlc_DocId xmlns="d4a638c4-874f-49c0-bb2b-5cb8563c2b18">HUDOGC-1628158018-908</_dlc_DocId>
    <_dlc_DocIdUrl xmlns="d4a638c4-874f-49c0-bb2b-5cb8563c2b18">
      <Url>https://hudgov.sharepoint.com/sites/OGC/OLR/ICC/_layouts/15/DocIdRedir.aspx?ID=HUDOGC-1628158018-908</Url>
      <Description>HUDOGC-1628158018-908</Description>
    </_dlc_DocIdUrl>
  </documentManagement>
</p:properties>
</file>

<file path=customXml/itemProps1.xml><?xml version="1.0" encoding="utf-8"?>
<ds:datastoreItem xmlns:ds="http://schemas.openxmlformats.org/officeDocument/2006/customXml" ds:itemID="{48D8F9A4-6FFD-4AB7-8566-9865C0D02643}">
  <ds:schemaRefs>
    <ds:schemaRef ds:uri="http://schemas.openxmlformats.org/officeDocument/2006/bibliography"/>
  </ds:schemaRefs>
</ds:datastoreItem>
</file>

<file path=customXml/itemProps2.xml><?xml version="1.0" encoding="utf-8"?>
<ds:datastoreItem xmlns:ds="http://schemas.openxmlformats.org/officeDocument/2006/customXml" ds:itemID="{22FC6136-2F75-44ED-9D56-19F40759938C}">
  <ds:schemaRefs>
    <ds:schemaRef ds:uri="http://schemas.microsoft.com/sharepoint/v3/contenttype/forms"/>
  </ds:schemaRefs>
</ds:datastoreItem>
</file>

<file path=customXml/itemProps3.xml><?xml version="1.0" encoding="utf-8"?>
<ds:datastoreItem xmlns:ds="http://schemas.openxmlformats.org/officeDocument/2006/customXml" ds:itemID="{A15A1C7E-12AE-4DCA-962D-DA81BBD9ED6D}">
  <ds:schemaRefs>
    <ds:schemaRef ds:uri="http://schemas.microsoft.com/sharepoint/events"/>
  </ds:schemaRefs>
</ds:datastoreItem>
</file>

<file path=customXml/itemProps4.xml><?xml version="1.0" encoding="utf-8"?>
<ds:datastoreItem xmlns:ds="http://schemas.openxmlformats.org/officeDocument/2006/customXml" ds:itemID="{969A4227-0E24-45DB-A04F-0562BFF29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aa1c1319-afbc-4f49-a527-7e0ad5878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AF8418-FBB8-47BA-830C-B427607DAE16}">
  <ds:schemaRefs>
    <ds:schemaRef ds:uri="http://schemas.microsoft.com/office/2006/metadata/properties"/>
    <ds:schemaRef ds:uri="http://schemas.microsoft.com/office/infopath/2007/PartnerControls"/>
    <ds:schemaRef ds:uri="aa1c1319-afbc-4f49-a527-7e0ad5878eb0"/>
    <ds:schemaRef ds:uri="d4a638c4-874f-49c0-bb2b-5cb8563c2b18"/>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2025-09-05T20:41:00Z</dcterms:created>
  <dcterms:modified xsi:type="dcterms:W3CDTF">2025-09-05T20:41:00Z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0x010100A4CFC5E7DE19234EAE126B85C8735121</vt:lpwstr>
  </property>
  <property fmtid="{D5CDD505-2E9C-101B-9397-08002B2CF9AE}" pid="3" name="_dlc_DocIdItemGuid">
    <vt:lpwstr>452a948a-34e0-4e3a-bc56-171a27fd826f</vt:lpwstr>
  </property>
</Properties>
</file>