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20C4" w:rsidRPr="00BC4082" w:rsidP="005320C4" w14:paraId="7E114525" w14:textId="5603EFB0">
      <w:pPr>
        <w:jc w:val="center"/>
        <w:rPr>
          <w:b/>
        </w:rPr>
      </w:pPr>
      <w:r w:rsidRPr="00BC4082">
        <w:rPr>
          <w:b/>
        </w:rPr>
        <w:t>SUPPORTING STATEMENT FOR NEW</w:t>
      </w:r>
    </w:p>
    <w:p w:rsidR="007F62DA" w:rsidRPr="00BC4082" w:rsidP="007F62DA" w14:paraId="1EDFFAA2" w14:textId="08C75C1F">
      <w:pPr>
        <w:spacing w:after="240"/>
        <w:jc w:val="center"/>
        <w:rPr>
          <w:b/>
        </w:rPr>
      </w:pPr>
      <w:r w:rsidRPr="00BC4082">
        <w:rPr>
          <w:b/>
        </w:rPr>
        <w:t>INFORMATION COLLECTION</w:t>
      </w:r>
    </w:p>
    <w:p w:rsidR="00D378C9" w:rsidRPr="00BC4082" w:rsidP="007F62DA" w14:paraId="212C8FDF" w14:textId="6325C735">
      <w:pPr>
        <w:spacing w:after="240"/>
        <w:jc w:val="center"/>
        <w:rPr>
          <w:b/>
        </w:rPr>
      </w:pPr>
      <w:r w:rsidRPr="00BC4082">
        <w:rPr>
          <w:b/>
        </w:rPr>
        <w:t>OMB CONTROL NUMBER 3038-</w:t>
      </w:r>
      <w:r w:rsidR="007B6BA6">
        <w:rPr>
          <w:b/>
        </w:rPr>
        <w:t>XXXX</w:t>
      </w:r>
    </w:p>
    <w:p w:rsidR="003D0031" w:rsidP="005320C4" w14:paraId="7E114528" w14:textId="2945F98E">
      <w:pPr>
        <w:spacing w:after="360"/>
        <w:jc w:val="center"/>
        <w:rPr>
          <w:b/>
          <w:bCs/>
        </w:rPr>
      </w:pPr>
      <w:r w:rsidRPr="003813D3">
        <w:rPr>
          <w:b/>
          <w:bCs/>
        </w:rPr>
        <w:t>Survey of the Costs of Bank Secrecy Act/Anti-Money Laundering Compliance</w:t>
      </w:r>
    </w:p>
    <w:p w:rsidR="00DA0D3F" w:rsidP="005320C4" w14:paraId="04986400" w14:textId="4BD78612">
      <w:pPr>
        <w:spacing w:after="360"/>
        <w:jc w:val="center"/>
        <w:rPr>
          <w:b/>
          <w:bCs/>
        </w:rPr>
      </w:pPr>
      <w:r>
        <w:rPr>
          <w:b/>
          <w:bCs/>
        </w:rPr>
        <w:t>Background</w:t>
      </w:r>
    </w:p>
    <w:p w:rsidR="003749D9" w:rsidRPr="003749D9" w:rsidP="003749D9" w14:paraId="5F986A0C" w14:textId="210AFA75">
      <w:pPr>
        <w:spacing w:after="360"/>
      </w:pPr>
      <w:r>
        <w:t xml:space="preserve">The CFTC requests approval to conduct a survey regarding the costs that CFTC-regulated entities incur in complying with the </w:t>
      </w:r>
      <w:r w:rsidRPr="00E32219">
        <w:t>Bank Secrecy Act and related Anti-Money Laundering requirements.</w:t>
      </w:r>
    </w:p>
    <w:p w:rsidR="0005290F" w:rsidRPr="008730D5" w:rsidP="005320C4" w14:paraId="30B4F8DA" w14:textId="4E3C9120">
      <w:pPr>
        <w:spacing w:after="360"/>
        <w:jc w:val="center"/>
      </w:pPr>
      <w:r>
        <w:rPr>
          <w:b/>
          <w:bCs/>
        </w:rPr>
        <w:t>Justification</w:t>
      </w:r>
    </w:p>
    <w:p w:rsidR="003D0031" w:rsidRPr="008730D5" w:rsidP="007F62DA" w14:paraId="7E11452C" w14:textId="2E5C3848">
      <w:pPr>
        <w:spacing w:after="240"/>
        <w:ind w:left="720" w:hanging="720"/>
      </w:pPr>
      <w:r w:rsidRPr="0039066E">
        <w:rPr>
          <w:b/>
        </w:rPr>
        <w:t>1.</w:t>
      </w:r>
      <w:r w:rsidRPr="008730D5">
        <w:tab/>
      </w:r>
      <w:r w:rsidRPr="008A282B">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30834" w:rsidP="00B34154" w14:paraId="7F0E2F31" w14:textId="17A064D8">
      <w:pPr>
        <w:spacing w:after="240"/>
      </w:pPr>
      <w:r w:rsidRPr="00430834">
        <w:t>The Bank Secrecy Act,</w:t>
      </w:r>
      <w:r w:rsidRPr="001B344E" w:rsidR="001B344E">
        <w:t xml:space="preserve"> 31 U.S.C. </w:t>
      </w:r>
      <w:r w:rsidR="009B6486">
        <w:t xml:space="preserve">§ </w:t>
      </w:r>
      <w:r w:rsidRPr="001B344E" w:rsidR="001B344E">
        <w:t>5311 et seq</w:t>
      </w:r>
      <w:r w:rsidR="001B344E">
        <w:t>,</w:t>
      </w:r>
      <w:r w:rsidRPr="00430834">
        <w:t xml:space="preserve"> establishes program, recordkeeping and reporting requirements for </w:t>
      </w:r>
      <w:r w:rsidR="000D7E7B">
        <w:t>covered financial institutions</w:t>
      </w:r>
      <w:r w:rsidRPr="00430834">
        <w:t xml:space="preserve">. </w:t>
      </w:r>
      <w:r w:rsidR="000D7E7B">
        <w:t xml:space="preserve"> </w:t>
      </w:r>
      <w:r w:rsidR="007B5A24">
        <w:t xml:space="preserve">The BSA defines covered financial institutions to include </w:t>
      </w:r>
      <w:r w:rsidR="00F12939">
        <w:t xml:space="preserve">a </w:t>
      </w:r>
      <w:r w:rsidRPr="00F12939" w:rsidR="00F12939">
        <w:t>broker or dealer in securities or commodities</w:t>
      </w:r>
      <w:r w:rsidR="00F12939">
        <w:t xml:space="preserve">, as well as </w:t>
      </w:r>
      <w:r w:rsidR="00B30326">
        <w:t>a</w:t>
      </w:r>
      <w:r w:rsidRPr="00B30326" w:rsidR="00B30326">
        <w:t>ny futures commission merchant, commodity trading advisor, or commodity pool operator registered, or required to register, under the Commodity Exchange Act.</w:t>
      </w:r>
      <w:r w:rsidR="00B30326">
        <w:t xml:space="preserve">  </w:t>
      </w:r>
      <w:r w:rsidRPr="001B344E" w:rsidR="00B30326">
        <w:t xml:space="preserve">31 U.S.C. </w:t>
      </w:r>
      <w:r w:rsidR="00B30326">
        <w:t xml:space="preserve">§ </w:t>
      </w:r>
      <w:r w:rsidRPr="001B344E" w:rsidR="00B30326">
        <w:t>531</w:t>
      </w:r>
      <w:r w:rsidR="00B30326">
        <w:t>2(a</w:t>
      </w:r>
      <w:r w:rsidR="00CD22E7">
        <w:t xml:space="preserve">)(1)(H), (c)(1)(A). </w:t>
      </w:r>
      <w:r w:rsidRPr="001B344E" w:rsidR="00B30326">
        <w:t xml:space="preserve"> </w:t>
      </w:r>
      <w:r w:rsidR="00566C94">
        <w:t xml:space="preserve">The Commodity Futures Trading Commission’s </w:t>
      </w:r>
      <w:r w:rsidR="00566C94">
        <w:t>impl</w:t>
      </w:r>
      <w:r w:rsidR="00124406">
        <w:t>ementing</w:t>
      </w:r>
      <w:r w:rsidR="00124406">
        <w:t xml:space="preserve"> regulations are found at 17 CFR 42.2.  </w:t>
      </w:r>
      <w:r w:rsidR="00D95857">
        <w:t xml:space="preserve">The regulations require that </w:t>
      </w:r>
      <w:r w:rsidR="00BB0EE5">
        <w:t>e</w:t>
      </w:r>
      <w:r w:rsidRPr="00BB0EE5" w:rsidR="00BB0EE5">
        <w:t>very futures commission merchant and introducing broker shall comply with the applicable provisions of the Bank Secrecy Act and the regulations promulgated by the Department of the Treasury under that Act at 31 CFR chapter X, and with the requirements of 31 U.S.C. 5318(l) and the implementing regulation jointly promulgated by the Commission and the Department of the Treasury at 31 CFR 1026.220, which require that a customer identification program be adopted as part of the firm</w:t>
      </w:r>
      <w:r w:rsidR="00D67031">
        <w:t>’</w:t>
      </w:r>
      <w:r w:rsidRPr="00BB0EE5" w:rsidR="00BB0EE5">
        <w:t>s Bank Secrecy Act compliance program.</w:t>
      </w:r>
      <w:r w:rsidR="00D67031">
        <w:t xml:space="preserve">  17 CFR 42.2.</w:t>
      </w:r>
    </w:p>
    <w:p w:rsidR="003D0031" w:rsidP="00B34154" w14:paraId="7E11452F" w14:textId="0FC3308C">
      <w:pPr>
        <w:spacing w:after="240"/>
      </w:pPr>
      <w:r w:rsidRPr="007976C9">
        <w:t>The Anti-Money Laundering Act of 2020</w:t>
      </w:r>
      <w:r w:rsidR="000D5939">
        <w:t xml:space="preserve"> </w:t>
      </w:r>
      <w:r w:rsidRPr="007976C9">
        <w:t>modified subchapter II of chapter 53 of title 31 United States Code (the legislative framework commonly referred to as the BSA) and requires financial institutions to have reasonably designed risk-based programs to prevent money laundering and the financing of terrorism. By statute, individuals, banks, and other financial institutions are subject to the BSA recordkeeping requirements.</w:t>
      </w:r>
    </w:p>
    <w:p w:rsidR="00212306" w:rsidRPr="008730D5" w:rsidP="00B34154" w14:paraId="6A70AE85" w14:textId="2D334E07">
      <w:pPr>
        <w:spacing w:after="240"/>
      </w:pPr>
      <w:r>
        <w:t xml:space="preserve">The CFTC intends to </w:t>
      </w:r>
      <w:r w:rsidRPr="00212306">
        <w:rPr>
          <w:iCs/>
        </w:rPr>
        <w:t xml:space="preserve">gather information by means of a Survey to be completed by </w:t>
      </w:r>
      <w:r w:rsidR="00762430">
        <w:rPr>
          <w:iCs/>
        </w:rPr>
        <w:t>CFTC</w:t>
      </w:r>
      <w:r w:rsidR="00C56E07">
        <w:rPr>
          <w:iCs/>
        </w:rPr>
        <w:t>-</w:t>
      </w:r>
      <w:r w:rsidR="00762430">
        <w:rPr>
          <w:iCs/>
        </w:rPr>
        <w:t>registered futures commission merchants and introducing brokers</w:t>
      </w:r>
      <w:r w:rsidR="007F68D1">
        <w:rPr>
          <w:iCs/>
        </w:rPr>
        <w:t xml:space="preserve"> </w:t>
      </w:r>
      <w:r w:rsidR="005A7286">
        <w:rPr>
          <w:iCs/>
        </w:rPr>
        <w:t>regarding compliance</w:t>
      </w:r>
      <w:r w:rsidRPr="005A7286" w:rsidR="005A7286">
        <w:rPr>
          <w:iCs/>
        </w:rPr>
        <w:t xml:space="preserve"> with the Bank Secrecy Act and related Anti-Money Laundering requirements</w:t>
      </w:r>
      <w:r w:rsidRPr="00212306">
        <w:rPr>
          <w:iCs/>
        </w:rPr>
        <w:t xml:space="preserve">.  </w:t>
      </w:r>
      <w:r w:rsidR="003A5D00">
        <w:rPr>
          <w:iCs/>
        </w:rPr>
        <w:t>Responses</w:t>
      </w:r>
      <w:r w:rsidRPr="003A5D00" w:rsidR="003A5D00">
        <w:rPr>
          <w:iCs/>
        </w:rPr>
        <w:t xml:space="preserve"> will help </w:t>
      </w:r>
      <w:r w:rsidR="003A5D00">
        <w:rPr>
          <w:iCs/>
        </w:rPr>
        <w:t xml:space="preserve">the agency to </w:t>
      </w:r>
      <w:r w:rsidRPr="003A5D00" w:rsidR="003A5D00">
        <w:rPr>
          <w:iCs/>
        </w:rPr>
        <w:t xml:space="preserve">understand the financial impact of these regulations and will be used to shape deregulatory proposals consistent with the </w:t>
      </w:r>
      <w:r w:rsidRPr="003A5D00" w:rsidR="003A5D00">
        <w:rPr>
          <w:iCs/>
        </w:rPr>
        <w:t xml:space="preserve">Executive Orders of the Trump administration.  Responses will not be used for </w:t>
      </w:r>
      <w:r w:rsidRPr="00DD1999" w:rsidR="00D0319F">
        <w:rPr>
          <w:iCs/>
        </w:rPr>
        <w:t>enforcement</w:t>
      </w:r>
      <w:r w:rsidRPr="00DD1999" w:rsidR="00BE3A56">
        <w:rPr>
          <w:iCs/>
        </w:rPr>
        <w:t xml:space="preserve"> or market oversight </w:t>
      </w:r>
      <w:r w:rsidRPr="00DD1999" w:rsidR="003A5D00">
        <w:rPr>
          <w:iCs/>
        </w:rPr>
        <w:t>purposes</w:t>
      </w:r>
      <w:r w:rsidRPr="003A5D00" w:rsidR="003A5D00">
        <w:rPr>
          <w:iCs/>
        </w:rPr>
        <w:t>.</w:t>
      </w:r>
    </w:p>
    <w:p w:rsidR="003D0031" w:rsidRPr="008730D5" w:rsidP="007F62DA" w14:paraId="7E114531" w14:textId="25E2262D">
      <w:pPr>
        <w:spacing w:after="240"/>
        <w:ind w:left="720" w:hanging="720"/>
      </w:pPr>
      <w:r w:rsidRPr="0039066E">
        <w:rPr>
          <w:b/>
        </w:rPr>
        <w:t>2.</w:t>
      </w:r>
      <w:r w:rsidRPr="008730D5">
        <w:tab/>
      </w:r>
      <w:r w:rsidRPr="008A282B">
        <w:rPr>
          <w:b/>
        </w:rPr>
        <w:t>Indicate how, by whom, and for what purpose the information is to be used.  Except for a new collection, indicate the actual use the agency has made of the information received from the current collection.</w:t>
      </w:r>
    </w:p>
    <w:p w:rsidR="000958A7" w:rsidRPr="000958A7" w:rsidP="000958A7" w14:paraId="2B95129E" w14:textId="5A2CF487">
      <w:pPr>
        <w:pStyle w:val="BodyText"/>
        <w:spacing w:after="240"/>
      </w:pPr>
      <w:r w:rsidRPr="000958A7">
        <w:rPr>
          <w:sz w:val="24"/>
        </w:rPr>
        <w:t xml:space="preserve">The Survey will focus on </w:t>
      </w:r>
      <w:r w:rsidR="00E32219">
        <w:rPr>
          <w:sz w:val="24"/>
        </w:rPr>
        <w:t xml:space="preserve">the </w:t>
      </w:r>
      <w:r w:rsidRPr="00E32219" w:rsidR="00E32219">
        <w:rPr>
          <w:sz w:val="24"/>
        </w:rPr>
        <w:t xml:space="preserve">direct costs incurred by </w:t>
      </w:r>
      <w:r w:rsidR="00E32219">
        <w:rPr>
          <w:sz w:val="24"/>
        </w:rPr>
        <w:t>respondents</w:t>
      </w:r>
      <w:r w:rsidRPr="00E32219" w:rsidR="00E32219">
        <w:rPr>
          <w:sz w:val="24"/>
        </w:rPr>
        <w:t xml:space="preserve"> in complying with the Bank Secrecy Act (BSA) and related Anti-Money Laundering (AML) requirements. </w:t>
      </w:r>
      <w:r w:rsidR="005C0C5B">
        <w:rPr>
          <w:sz w:val="24"/>
        </w:rPr>
        <w:t>R</w:t>
      </w:r>
      <w:r w:rsidRPr="00E32219" w:rsidR="00E32219">
        <w:rPr>
          <w:sz w:val="24"/>
        </w:rPr>
        <w:t>esponses will help</w:t>
      </w:r>
      <w:r w:rsidR="00447D6E">
        <w:rPr>
          <w:sz w:val="24"/>
        </w:rPr>
        <w:t xml:space="preserve"> in the assessment of the </w:t>
      </w:r>
      <w:r w:rsidRPr="00E32219" w:rsidR="00E32219">
        <w:rPr>
          <w:sz w:val="24"/>
        </w:rPr>
        <w:t xml:space="preserve">financial impact of these regulations and </w:t>
      </w:r>
      <w:r w:rsidR="00447D6E">
        <w:rPr>
          <w:sz w:val="24"/>
        </w:rPr>
        <w:t>may</w:t>
      </w:r>
      <w:r w:rsidRPr="00E32219" w:rsidR="00E32219">
        <w:rPr>
          <w:sz w:val="24"/>
        </w:rPr>
        <w:t xml:space="preserve"> be used to shape deregulatory proposals</w:t>
      </w:r>
      <w:r w:rsidR="00447D6E">
        <w:rPr>
          <w:sz w:val="24"/>
        </w:rPr>
        <w:t xml:space="preserve"> </w:t>
      </w:r>
      <w:r w:rsidRPr="000C03F0" w:rsidR="000C03F0">
        <w:rPr>
          <w:sz w:val="24"/>
        </w:rPr>
        <w:t>consistent with the Executive Orders of the Trump administration</w:t>
      </w:r>
      <w:r w:rsidRPr="000958A7">
        <w:rPr>
          <w:sz w:val="24"/>
        </w:rPr>
        <w:t>.</w:t>
      </w:r>
    </w:p>
    <w:p w:rsidR="003D0031" w:rsidRPr="008730D5" w:rsidP="007F62DA" w14:paraId="7E114535" w14:textId="491A8C0F">
      <w:pPr>
        <w:spacing w:after="240"/>
        <w:ind w:left="720" w:hanging="720"/>
      </w:pPr>
      <w:r w:rsidRPr="0039066E">
        <w:rPr>
          <w:b/>
        </w:rPr>
        <w:t>3.</w:t>
      </w:r>
      <w:r w:rsidRPr="008730D5">
        <w:tab/>
      </w:r>
      <w:r w:rsidRPr="008A282B">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D0031" w:rsidRPr="0039066E" w:rsidP="003248B9" w14:paraId="7E114537" w14:textId="40F70CB3">
      <w:pPr>
        <w:pStyle w:val="BodyText"/>
        <w:spacing w:after="240"/>
        <w:rPr>
          <w:sz w:val="24"/>
        </w:rPr>
      </w:pPr>
      <w:r w:rsidRPr="003248B9">
        <w:rPr>
          <w:sz w:val="24"/>
        </w:rPr>
        <w:t xml:space="preserve">Nothing in the survey prohibits regulated entities from using the least burdensome information technology to respond to the information collection. Consistent with the aims of the Government Paperwork Elimination Act, Title XVII, P.L. 105-277, the </w:t>
      </w:r>
      <w:r>
        <w:rPr>
          <w:sz w:val="24"/>
        </w:rPr>
        <w:t>CFTC</w:t>
      </w:r>
      <w:r w:rsidRPr="003248B9">
        <w:rPr>
          <w:sz w:val="24"/>
        </w:rPr>
        <w:t xml:space="preserve"> will allow the submission of information through electronic means.</w:t>
      </w:r>
    </w:p>
    <w:p w:rsidR="003D0031" w:rsidRPr="008730D5" w:rsidP="007F62DA" w14:paraId="7E114539" w14:textId="509BA2E1">
      <w:pPr>
        <w:spacing w:after="240"/>
        <w:ind w:left="720" w:hanging="720"/>
      </w:pPr>
      <w:r w:rsidRPr="0039066E">
        <w:rPr>
          <w:b/>
        </w:rPr>
        <w:t>4.</w:t>
      </w:r>
      <w:r w:rsidRPr="008730D5">
        <w:tab/>
      </w:r>
      <w:r w:rsidRPr="008A282B">
        <w:rPr>
          <w:b/>
        </w:rPr>
        <w:t>Describe efforts to identify duplication.  Show specifically why any similar information already available cannot be used or modified for use for the purpose(s) described in Item 2 above.</w:t>
      </w:r>
    </w:p>
    <w:p w:rsidR="003D0031" w:rsidRPr="0039066E" w:rsidP="00DF7033" w14:paraId="7E11453B" w14:textId="1DB1E3FF">
      <w:pPr>
        <w:pStyle w:val="BodyText"/>
        <w:spacing w:after="240"/>
        <w:rPr>
          <w:sz w:val="24"/>
        </w:rPr>
      </w:pPr>
      <w:r w:rsidRPr="00DF7033">
        <w:rPr>
          <w:sz w:val="24"/>
        </w:rPr>
        <w:t>The information gathered for the study does not duplicate any other information</w:t>
      </w:r>
      <w:r>
        <w:rPr>
          <w:sz w:val="24"/>
        </w:rPr>
        <w:t xml:space="preserve"> </w:t>
      </w:r>
      <w:r w:rsidRPr="00DF7033">
        <w:rPr>
          <w:sz w:val="24"/>
        </w:rPr>
        <w:t xml:space="preserve">collection requirements imposed on </w:t>
      </w:r>
      <w:r w:rsidRPr="00DF7033">
        <w:rPr>
          <w:sz w:val="24"/>
        </w:rPr>
        <w:t>persons</w:t>
      </w:r>
      <w:r w:rsidRPr="00DF7033">
        <w:rPr>
          <w:sz w:val="24"/>
        </w:rPr>
        <w:t xml:space="preserve"> under the Commission’s jurisdiction</w:t>
      </w:r>
      <w:r w:rsidRPr="0039066E">
        <w:rPr>
          <w:sz w:val="24"/>
        </w:rPr>
        <w:t>.</w:t>
      </w:r>
    </w:p>
    <w:p w:rsidR="003D0031" w:rsidRPr="008730D5" w:rsidP="007F62DA" w14:paraId="7E11453D" w14:textId="0D0C3109">
      <w:pPr>
        <w:spacing w:after="240"/>
        <w:ind w:left="720" w:hanging="720"/>
      </w:pPr>
      <w:r w:rsidRPr="002C1B46">
        <w:rPr>
          <w:b/>
        </w:rPr>
        <w:t>5.</w:t>
      </w:r>
      <w:r w:rsidRPr="008730D5">
        <w:tab/>
      </w:r>
      <w:r w:rsidRPr="008A282B">
        <w:rPr>
          <w:b/>
        </w:rPr>
        <w:t>If the collection of information involves small business</w:t>
      </w:r>
      <w:r w:rsidR="00381C3F">
        <w:rPr>
          <w:b/>
        </w:rPr>
        <w:t>es</w:t>
      </w:r>
      <w:r w:rsidRPr="008A282B">
        <w:rPr>
          <w:b/>
        </w:rPr>
        <w:t xml:space="preserve"> or other small entities, describe the methods used to minimize burden.</w:t>
      </w:r>
    </w:p>
    <w:p w:rsidR="001417E0" w:rsidRPr="001417E0" w:rsidP="001417E0" w14:paraId="1F773DF6" w14:textId="5E6D9BCA">
      <w:pPr>
        <w:pStyle w:val="BodyText"/>
        <w:spacing w:after="240"/>
      </w:pPr>
      <w:r w:rsidRPr="001417E0">
        <w:t xml:space="preserve">This collection of information will not have a significant impact on a substantial number of small entities.  </w:t>
      </w:r>
      <w:r w:rsidRPr="001E288D" w:rsidR="009733BF">
        <w:rPr>
          <w:sz w:val="24"/>
        </w:rPr>
        <w:t>None of the respondents to the Commission’s survey are small businesses</w:t>
      </w:r>
      <w:r w:rsidR="009733BF">
        <w:rPr>
          <w:sz w:val="24"/>
        </w:rPr>
        <w:t>.</w:t>
      </w:r>
    </w:p>
    <w:p w:rsidR="003D0031" w:rsidRPr="008730D5" w:rsidP="007F62DA" w14:paraId="7E114541" w14:textId="2FB8C6FD">
      <w:pPr>
        <w:spacing w:after="240"/>
        <w:ind w:left="720" w:hanging="720"/>
      </w:pPr>
      <w:r w:rsidRPr="002C1B46">
        <w:rPr>
          <w:b/>
        </w:rPr>
        <w:t>6.</w:t>
      </w:r>
      <w:r w:rsidRPr="002C1B46">
        <w:rPr>
          <w:b/>
        </w:rPr>
        <w:tab/>
      </w:r>
      <w:r w:rsidRPr="008A282B">
        <w:rPr>
          <w:b/>
        </w:rPr>
        <w:t xml:space="preserve">Describe the </w:t>
      </w:r>
      <w:r w:rsidRPr="008A282B">
        <w:rPr>
          <w:b/>
        </w:rPr>
        <w:t>consequence</w:t>
      </w:r>
      <w:r w:rsidRPr="008A282B">
        <w:rPr>
          <w:b/>
        </w:rPr>
        <w:t xml:space="preserve"> </w:t>
      </w:r>
      <w:r w:rsidRPr="008A282B">
        <w:rPr>
          <w:b/>
        </w:rPr>
        <w:t>to</w:t>
      </w:r>
      <w:r w:rsidRPr="008A282B">
        <w:rPr>
          <w:b/>
        </w:rPr>
        <w:t xml:space="preserve"> the Federal Program or policy activities if the collection </w:t>
      </w:r>
      <w:r w:rsidRPr="008A282B" w:rsidR="00141789">
        <w:rPr>
          <w:b/>
        </w:rPr>
        <w:t xml:space="preserve">were </w:t>
      </w:r>
      <w:r w:rsidRPr="008A282B">
        <w:rPr>
          <w:b/>
        </w:rPr>
        <w:t>conducted less frequently, as well as any technical or legal obstacles to reducing burden.</w:t>
      </w:r>
    </w:p>
    <w:p w:rsidR="003D0031" w:rsidRPr="0039066E" w:rsidP="00C6405E" w14:paraId="7E114543" w14:textId="0F894E95">
      <w:pPr>
        <w:pStyle w:val="BodyText"/>
        <w:spacing w:after="240"/>
        <w:rPr>
          <w:sz w:val="24"/>
        </w:rPr>
      </w:pPr>
      <w:r>
        <w:rPr>
          <w:sz w:val="24"/>
        </w:rPr>
        <w:t xml:space="preserve">The agency would be unable to gather the information necessary to </w:t>
      </w:r>
      <w:r w:rsidRPr="003A5D00" w:rsidR="00CA390E">
        <w:rPr>
          <w:iCs/>
        </w:rPr>
        <w:t xml:space="preserve">understand the financial impact of </w:t>
      </w:r>
      <w:r w:rsidR="004B6964">
        <w:rPr>
          <w:iCs/>
        </w:rPr>
        <w:t xml:space="preserve">regulations implementing </w:t>
      </w:r>
      <w:r w:rsidRPr="005A7286" w:rsidR="00D36699">
        <w:rPr>
          <w:iCs/>
        </w:rPr>
        <w:t>the Bank Secrecy Act (BSA) and related Anti-Money Laundering (AML) requirements</w:t>
      </w:r>
      <w:r w:rsidR="004B6964">
        <w:rPr>
          <w:iCs/>
        </w:rPr>
        <w:t xml:space="preserve"> </w:t>
      </w:r>
      <w:r w:rsidR="004B6964">
        <w:rPr>
          <w:iCs/>
        </w:rPr>
        <w:t>in order to</w:t>
      </w:r>
      <w:r w:rsidR="004B6964">
        <w:rPr>
          <w:iCs/>
        </w:rPr>
        <w:t xml:space="preserve"> assist in the assessment of potential deregulatory actions.</w:t>
      </w:r>
    </w:p>
    <w:p w:rsidR="003D0031" w:rsidP="007F62DA" w14:paraId="7E114545" w14:textId="5D0460CB">
      <w:pPr>
        <w:spacing w:after="240"/>
        <w:ind w:left="720" w:hanging="720"/>
        <w:rPr>
          <w:b/>
        </w:rPr>
      </w:pPr>
      <w:r w:rsidRPr="002C1B46">
        <w:rPr>
          <w:b/>
        </w:rPr>
        <w:t>7.</w:t>
      </w:r>
      <w:r w:rsidRPr="008730D5">
        <w:tab/>
      </w:r>
      <w:r w:rsidRPr="008A282B">
        <w:rPr>
          <w:b/>
        </w:rPr>
        <w:t>Explain any special circumstances that require the collection to be conducted in a manner</w:t>
      </w:r>
      <w:r w:rsidR="00603566">
        <w:rPr>
          <w:b/>
        </w:rPr>
        <w:t xml:space="preserve"> inconsistent with 5 CFR Part 1320.</w:t>
      </w:r>
    </w:p>
    <w:p w:rsidR="00603566" w:rsidRPr="00426607" w:rsidP="00426607" w14:paraId="234F8F8D" w14:textId="20C0DCBF">
      <w:pPr>
        <w:pStyle w:val="BodyText"/>
        <w:spacing w:after="240"/>
        <w:rPr>
          <w:sz w:val="24"/>
        </w:rPr>
      </w:pPr>
      <w:r w:rsidRPr="00426607">
        <w:rPr>
          <w:sz w:val="24"/>
        </w:rPr>
        <w:t>Not applicable.  This collection will be conducted in a manner consistent with the guidelines in 5 CFR 1320.6.</w:t>
      </w:r>
    </w:p>
    <w:p w:rsidR="003D0031" w:rsidRPr="008730D5" w:rsidP="007F62DA" w14:paraId="7E11456C" w14:textId="2AE73B3F">
      <w:pPr>
        <w:spacing w:after="240"/>
        <w:ind w:left="720" w:hanging="720"/>
        <w:rPr>
          <w:u w:val="single"/>
        </w:rPr>
      </w:pPr>
      <w:r w:rsidRPr="002C1B46">
        <w:rPr>
          <w:b/>
        </w:rPr>
        <w:t>8.</w:t>
      </w:r>
      <w:r w:rsidRPr="008730D5">
        <w:tab/>
      </w:r>
      <w:r w:rsidRPr="004F71DF">
        <w:rPr>
          <w:b/>
        </w:rPr>
        <w:t xml:space="preserve">If applicable, provide a copy and identify the date and page number of </w:t>
      </w:r>
      <w:r w:rsidRPr="004F71DF">
        <w:rPr>
          <w:b/>
        </w:rPr>
        <w:t>publication</w:t>
      </w:r>
      <w:r w:rsidRPr="004F71DF">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67F06" w:rsidRPr="0039588E" w:rsidP="007F62DA" w14:paraId="7E11456E" w14:textId="77777777">
      <w:pPr>
        <w:tabs>
          <w:tab w:val="left" w:pos="-720"/>
          <w:tab w:val="left" w:pos="0"/>
        </w:tabs>
        <w:spacing w:after="240"/>
        <w:ind w:left="720"/>
        <w:rPr>
          <w:b/>
        </w:rPr>
      </w:pPr>
      <w:r w:rsidRPr="0039588E">
        <w:rPr>
          <w:b/>
        </w:rPr>
        <w:t xml:space="preserve">Describe efforts to consult with </w:t>
      </w:r>
      <w:r w:rsidRPr="0039588E">
        <w:rPr>
          <w:b/>
        </w:rPr>
        <w:t>persons</w:t>
      </w:r>
      <w:r w:rsidRPr="0039588E">
        <w:rPr>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D378C9" w:rsidP="0039066E" w14:paraId="684CBFDC" w14:textId="7B0A93E6">
      <w:pPr>
        <w:tabs>
          <w:tab w:val="left" w:pos="-720"/>
          <w:tab w:val="left" w:pos="0"/>
        </w:tabs>
        <w:spacing w:after="240"/>
        <w:ind w:left="720"/>
      </w:pPr>
      <w:r w:rsidRPr="0039588E">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F0302" w:rsidP="00F0664C" w14:paraId="7E114572" w14:textId="12C4020C">
      <w:pPr>
        <w:tabs>
          <w:tab w:val="left" w:pos="-720"/>
        </w:tabs>
        <w:spacing w:after="240"/>
      </w:pPr>
      <w:r>
        <w:t xml:space="preserve">The Commission published a Federal Register notice on </w:t>
      </w:r>
      <w:r w:rsidR="00AD2C55">
        <w:t>August 5</w:t>
      </w:r>
      <w:r w:rsidR="00805FAA">
        <w:t>, 2025</w:t>
      </w:r>
      <w:r>
        <w:t xml:space="preserve">, requesting comments on the information collection.  </w:t>
      </w:r>
      <w:r>
        <w:rPr>
          <w:i/>
        </w:rPr>
        <w:t xml:space="preserve">See </w:t>
      </w:r>
      <w:r w:rsidR="00805FAA">
        <w:t>90</w:t>
      </w:r>
      <w:r>
        <w:t xml:space="preserve"> FR </w:t>
      </w:r>
      <w:r w:rsidR="00AD2C55">
        <w:t>37473</w:t>
      </w:r>
      <w:r w:rsidR="00D5008E">
        <w:t xml:space="preserve"> (</w:t>
      </w:r>
      <w:r w:rsidR="00BB6E7A">
        <w:t>Aug. 5</w:t>
      </w:r>
      <w:r w:rsidR="00D5008E">
        <w:t xml:space="preserve">, </w:t>
      </w:r>
      <w:r>
        <w:t>202</w:t>
      </w:r>
      <w:r w:rsidR="00805FAA">
        <w:t>5</w:t>
      </w:r>
      <w:r>
        <w:t>).  The Notice provided a 60-day period during which the public was invited to comment on the information collection and the burdens imposed by it.  The Commission did not receive any relevant comments that addressed its PRA burden estimates.</w:t>
      </w:r>
    </w:p>
    <w:p w:rsidR="003D0031" w:rsidRPr="008730D5" w:rsidP="007F62DA" w14:paraId="7E114574" w14:textId="26CF18BF">
      <w:pPr>
        <w:spacing w:after="240"/>
        <w:ind w:left="720" w:hanging="720"/>
        <w:rPr>
          <w:u w:val="single"/>
        </w:rPr>
      </w:pPr>
      <w:r w:rsidRPr="002C1B46">
        <w:rPr>
          <w:b/>
        </w:rPr>
        <w:t>9.</w:t>
      </w:r>
      <w:r w:rsidRPr="008730D5">
        <w:tab/>
      </w:r>
      <w:r w:rsidRPr="007F0302">
        <w:rPr>
          <w:b/>
        </w:rPr>
        <w:t xml:space="preserve">Explain any decision to provide any payment or gift to respondents, other than </w:t>
      </w:r>
      <w:r w:rsidRPr="007F0302">
        <w:rPr>
          <w:b/>
        </w:rPr>
        <w:t>reenumeration</w:t>
      </w:r>
      <w:r w:rsidRPr="007F0302">
        <w:rPr>
          <w:b/>
        </w:rPr>
        <w:t xml:space="preserve"> of contractors or grantees.</w:t>
      </w:r>
    </w:p>
    <w:p w:rsidR="003D0031" w:rsidRPr="008730D5" w:rsidP="0039066E" w14:paraId="7E114576" w14:textId="4D3A9CC6">
      <w:pPr>
        <w:spacing w:after="240"/>
        <w:ind w:firstLine="720"/>
      </w:pPr>
      <w:r>
        <w:t xml:space="preserve">Not applicable.  </w:t>
      </w:r>
      <w:r w:rsidRPr="008730D5">
        <w:t xml:space="preserve">No payments or gifts </w:t>
      </w:r>
      <w:r w:rsidR="00EC163D">
        <w:t>will be</w:t>
      </w:r>
      <w:r w:rsidRPr="008730D5">
        <w:t xml:space="preserve"> provided</w:t>
      </w:r>
      <w:r w:rsidR="00EC163D">
        <w:t xml:space="preserve"> to respondents.</w:t>
      </w:r>
    </w:p>
    <w:p w:rsidR="00022399" w:rsidP="007F62DA" w14:paraId="7E114579" w14:textId="4F3EDCDA">
      <w:pPr>
        <w:spacing w:after="240"/>
        <w:ind w:left="720" w:hanging="720"/>
      </w:pPr>
      <w:r w:rsidRPr="002C1B46">
        <w:rPr>
          <w:b/>
        </w:rPr>
        <w:t>10.</w:t>
      </w:r>
      <w:r w:rsidRPr="008730D5">
        <w:tab/>
      </w:r>
      <w:r w:rsidRPr="007F0302">
        <w:rPr>
          <w:b/>
        </w:rPr>
        <w:t>Describe any assurance of confidentiality provided to respondents and the basis for the assurance in statute, regulation, or agency policy.</w:t>
      </w:r>
    </w:p>
    <w:p w:rsidR="003D0031" w:rsidRPr="008730D5" w:rsidP="00931308" w14:paraId="7E11457B" w14:textId="42255F1D">
      <w:pPr>
        <w:tabs>
          <w:tab w:val="left" w:pos="-720"/>
        </w:tabs>
        <w:spacing w:after="240"/>
      </w:pPr>
      <w:r w:rsidRPr="0039588E">
        <w:t xml:space="preserve">The Commission does not provide respondents with an assurance of confidentiality beyond that provided by applicable law.  The Commission fully complies with section 8(a)(1) of the </w:t>
      </w:r>
      <w:r>
        <w:t>CEA</w:t>
      </w:r>
      <w:r w:rsidRPr="0039588E">
        <w:t>, which strictly prohibits the Commission, unless specifically authorized by the C</w:t>
      </w:r>
      <w:r>
        <w:t>EA</w:t>
      </w:r>
      <w:r w:rsidRPr="0039588E">
        <w:t>, from making public “data and information that would separately disclose the business transactions or market positions of any person and trade secrets or names of customers.”  The Commission has procedures to protect the confidentiality of a respondent’s data set forth in part 145 of the Code of Federal Regulations.</w:t>
      </w:r>
    </w:p>
    <w:p w:rsidR="003D0031" w:rsidRPr="008730D5" w:rsidP="007F62DA" w14:paraId="7E11457D" w14:textId="4D478931">
      <w:pPr>
        <w:spacing w:after="240"/>
        <w:ind w:left="720" w:hanging="720"/>
        <w:rPr>
          <w:u w:val="single"/>
        </w:rPr>
      </w:pPr>
      <w:r w:rsidRPr="002C1B46">
        <w:rPr>
          <w:b/>
        </w:rPr>
        <w:t>11.</w:t>
      </w:r>
      <w:r w:rsidRPr="008730D5">
        <w:tab/>
      </w:r>
      <w:r w:rsidRPr="00166629">
        <w:rPr>
          <w:b/>
        </w:rPr>
        <w:t xml:space="preserve">Provide additional justification for any questions of a sensitive nature, such as sexual behavior and attitudes, religious beliefs, and other matters that are </w:t>
      </w:r>
      <w:r w:rsidRPr="00166629">
        <w:rPr>
          <w:b/>
        </w:rPr>
        <w:t xml:space="preserve">commonly considered private.  This justification should include the reasons why the agency considers the questions necessary, the specific uses to be made of the information, the explanation to be given to </w:t>
      </w:r>
      <w:r w:rsidRPr="00166629">
        <w:rPr>
          <w:b/>
        </w:rPr>
        <w:t>persons</w:t>
      </w:r>
      <w:r w:rsidRPr="00166629">
        <w:rPr>
          <w:b/>
        </w:rPr>
        <w:t xml:space="preserve"> from whom the information is requested, and any steps to be taken to obtain their consent.</w:t>
      </w:r>
    </w:p>
    <w:p w:rsidR="003D0031" w:rsidRPr="008730D5" w:rsidP="00EB66BE" w14:paraId="7E11457F" w14:textId="3C7CADF4">
      <w:pPr>
        <w:pStyle w:val="BodyTextIndent"/>
        <w:spacing w:after="240"/>
        <w:ind w:left="0" w:firstLine="0"/>
      </w:pPr>
      <w:r w:rsidRPr="008730D5">
        <w:t>Th</w:t>
      </w:r>
      <w:r w:rsidR="00EB66BE">
        <w:t xml:space="preserve">e </w:t>
      </w:r>
      <w:r w:rsidR="00774BB5">
        <w:t>information collection contains n</w:t>
      </w:r>
      <w:r w:rsidR="0075588C">
        <w:t xml:space="preserve">o requests for information of a sensitive nature </w:t>
      </w:r>
      <w:r w:rsidRPr="008730D5">
        <w:t>as that term is used in Question 11.</w:t>
      </w:r>
    </w:p>
    <w:p w:rsidR="003D0031" w:rsidRPr="008730D5" w:rsidP="007F62DA" w14:paraId="7E114581" w14:textId="4134B4BF">
      <w:pPr>
        <w:spacing w:after="240"/>
        <w:ind w:left="720" w:hanging="720"/>
      </w:pPr>
      <w:r w:rsidRPr="002C1B46">
        <w:rPr>
          <w:b/>
        </w:rPr>
        <w:t>12.</w:t>
      </w:r>
      <w:r w:rsidRPr="008730D5">
        <w:tab/>
      </w:r>
      <w:r w:rsidRPr="00166629">
        <w:rPr>
          <w:b/>
        </w:rPr>
        <w:t>Provide estimates of the hour burden of the collection of information.  The statement should:</w:t>
      </w:r>
    </w:p>
    <w:p w:rsidR="003D0031" w:rsidRPr="007F62DA" w:rsidP="0062731F" w14:paraId="7E114583" w14:textId="2A9A601D">
      <w:pPr>
        <w:pStyle w:val="BodyTextIndent2"/>
        <w:numPr>
          <w:ilvl w:val="0"/>
          <w:numId w:val="4"/>
        </w:numPr>
        <w:spacing w:after="240"/>
        <w:ind w:hanging="720"/>
        <w:rPr>
          <w:b/>
        </w:rPr>
      </w:pPr>
      <w:r w:rsidRPr="007F62DA">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D0031" w:rsidRPr="008730D5" w:rsidP="00AB7995" w14:paraId="7E114585" w14:textId="5310F798">
      <w:pPr>
        <w:numPr>
          <w:ilvl w:val="0"/>
          <w:numId w:val="4"/>
        </w:numPr>
        <w:spacing w:after="240"/>
        <w:ind w:hanging="720"/>
      </w:pPr>
      <w:r w:rsidRPr="007F62DA">
        <w:rPr>
          <w:b/>
        </w:rPr>
        <w:t>If the request for approval covers more than one form, provide separate hour burden estimates for each form and aggregate the hour burdens.</w:t>
      </w:r>
    </w:p>
    <w:p w:rsidR="003D0031" w:rsidRPr="008730D5" w:rsidP="00FF4BCB" w14:paraId="7E114587" w14:textId="68EC17AA">
      <w:pPr>
        <w:numPr>
          <w:ilvl w:val="0"/>
          <w:numId w:val="4"/>
        </w:numPr>
        <w:spacing w:after="240"/>
        <w:ind w:hanging="720"/>
      </w:pPr>
      <w:r w:rsidRPr="007F62DA">
        <w:rPr>
          <w:b/>
        </w:rPr>
        <w:t xml:space="preserve">Provide estimates of annualized </w:t>
      </w:r>
      <w:r w:rsidRPr="007F62DA">
        <w:rPr>
          <w:b/>
        </w:rPr>
        <w:t>cost</w:t>
      </w:r>
      <w:r w:rsidRPr="007F62DA">
        <w:rPr>
          <w:b/>
        </w:rPr>
        <w:t xml:space="preserve"> to respondents for the hours burden for collections of information, identifying and using appropriate wage rate categories.  The cost of contracting </w:t>
      </w:r>
      <w:r w:rsidRPr="007F62DA">
        <w:rPr>
          <w:b/>
        </w:rPr>
        <w:t>our</w:t>
      </w:r>
      <w:r w:rsidRPr="007F62DA">
        <w:rPr>
          <w:b/>
        </w:rPr>
        <w:t xml:space="preserve"> or paying outside parties for information collection activities should not be included here.  Instead, this cost should be included in Item 13.</w:t>
      </w:r>
    </w:p>
    <w:p w:rsidR="00036BC7" w:rsidP="007F62DA" w14:paraId="51147B76" w14:textId="6F9372C1">
      <w:pPr>
        <w:spacing w:after="240"/>
        <w:ind w:firstLine="720"/>
      </w:pPr>
      <w:r w:rsidRPr="00BE5A0C">
        <w:rPr>
          <w:i/>
        </w:rPr>
        <w:t>See</w:t>
      </w:r>
      <w:r w:rsidRPr="0047019E">
        <w:t xml:space="preserve"> Attachment A.</w:t>
      </w:r>
    </w:p>
    <w:p w:rsidR="001D6F81" w:rsidP="001D6F81" w14:paraId="4133483A" w14:textId="7120BFEC">
      <w:pPr>
        <w:spacing w:after="240"/>
        <w:ind w:firstLine="720"/>
      </w:pPr>
      <w:r>
        <w:t xml:space="preserve">The </w:t>
      </w:r>
      <w:r w:rsidR="008F4052">
        <w:t xml:space="preserve">Commission is requesting information from </w:t>
      </w:r>
      <w:r w:rsidR="00A22EC0">
        <w:t xml:space="preserve">951 </w:t>
      </w:r>
      <w:r w:rsidR="0025744D">
        <w:t xml:space="preserve">such </w:t>
      </w:r>
      <w:r w:rsidR="008F4052">
        <w:t>respondents.</w:t>
      </w:r>
      <w:r w:rsidR="00F90965">
        <w:t xml:space="preserve">  Each respondent is requested to provide one response.  The Commission estimates that </w:t>
      </w:r>
      <w:r w:rsidR="0073792C">
        <w:t xml:space="preserve">respondents are likely to spend on average approximately 2 hours per response, including the time necessary to review the questions, compile any responsive information, and </w:t>
      </w:r>
      <w:r>
        <w:t xml:space="preserve">complete and transmit the survey.  This yields a total </w:t>
      </w:r>
      <w:r w:rsidR="006B48BB">
        <w:t>estimated</w:t>
      </w:r>
      <w:r>
        <w:t xml:space="preserve"> burden of </w:t>
      </w:r>
      <w:r w:rsidR="0064261D">
        <w:t>1,9</w:t>
      </w:r>
      <w:r w:rsidR="00351E7E">
        <w:t>0</w:t>
      </w:r>
      <w:r w:rsidR="0064261D">
        <w:t xml:space="preserve">2 </w:t>
      </w:r>
      <w:r w:rsidR="006B48BB">
        <w:t>hours</w:t>
      </w:r>
      <w:r>
        <w:t>, as shown below</w:t>
      </w:r>
      <w:r w:rsidR="00237CBC">
        <w:t>.</w:t>
      </w:r>
    </w:p>
    <w:p w:rsidR="007B079C" w:rsidP="00C74A43" w14:paraId="5D7558E2" w14:textId="7E8CB41C">
      <w:pPr>
        <w:spacing w:after="240"/>
        <w:ind w:firstLine="720"/>
      </w:pPr>
      <w:r>
        <w:t xml:space="preserve">The </w:t>
      </w:r>
      <w:r w:rsidR="00EF4947">
        <w:t xml:space="preserve">associated labor costs were </w:t>
      </w:r>
      <w:r w:rsidRPr="0015309B" w:rsidR="0015309B">
        <w:t xml:space="preserve">determined using an average salary of $100 per hour.  </w:t>
      </w:r>
      <w:r w:rsidR="003601C8">
        <w:t xml:space="preserve">These salary estimates are based upon the </w:t>
      </w:r>
      <w:r w:rsidRPr="0015309B" w:rsidR="0015309B">
        <w:t xml:space="preserve">May </w:t>
      </w:r>
      <w:r w:rsidRPr="00BC16CA" w:rsidR="0015309B">
        <w:t>202</w:t>
      </w:r>
      <w:r w:rsidRPr="00BC16CA" w:rsidR="003601C8">
        <w:t>4</w:t>
      </w:r>
      <w:r w:rsidRPr="0015309B" w:rsidR="0015309B">
        <w:t xml:space="preserve"> Bureau of Labor Statistics’ findings of National Occupation Employment and Wage Estimates, United States, including the mean hourly wage of an employee under occupation code 23-1011, “Lawyers,” that is employed </w:t>
      </w:r>
      <w:r w:rsidR="003E30E4">
        <w:t>in</w:t>
      </w:r>
      <w:r w:rsidRPr="0015309B" w:rsidR="0015309B">
        <w:t xml:space="preserve"> “S</w:t>
      </w:r>
      <w:r w:rsidR="003E30E4">
        <w:t>ector 52 – Finance and Insurance,</w:t>
      </w:r>
      <w:r w:rsidRPr="0015309B" w:rsidR="0015309B">
        <w:t>” which is $</w:t>
      </w:r>
      <w:r w:rsidR="004E2313">
        <w:t>100.04</w:t>
      </w:r>
      <w:r w:rsidRPr="0015309B" w:rsidR="0015309B">
        <w:t xml:space="preserve">; </w:t>
      </w:r>
      <w:r w:rsidRPr="0015309B" w:rsidR="0015309B">
        <w:t>the mean hourly wage of an employee under occupation code 11-3031, “Financial Managers,” in the same industry, which is $</w:t>
      </w:r>
      <w:r w:rsidR="00DD2F32">
        <w:t>90.39</w:t>
      </w:r>
      <w:r w:rsidRPr="0015309B" w:rsidR="0015309B">
        <w:t>; and the mean hourly wage of an employee under occupation code-13-1041, “Compliance Officers,” in the same industry, which is $</w:t>
      </w:r>
      <w:r w:rsidR="003855F4">
        <w:t>41.46</w:t>
      </w:r>
      <w:r w:rsidRPr="0015309B" w:rsidR="0015309B">
        <w:t xml:space="preserve">.  </w:t>
      </w:r>
      <w:r w:rsidRPr="0015309B" w:rsidR="0015309B">
        <w:rPr>
          <w:i/>
          <w:iCs/>
        </w:rPr>
        <w:t>See</w:t>
      </w:r>
      <w:r w:rsidR="006E0D92">
        <w:rPr>
          <w:i/>
          <w:iCs/>
        </w:rPr>
        <w:t xml:space="preserve"> </w:t>
      </w:r>
      <w:r w:rsidRPr="003E30E4" w:rsidR="003E30E4">
        <w:rPr>
          <w:i/>
          <w:iCs/>
        </w:rPr>
        <w:t>https://data.bls.gov/oes/#/industry/52--53</w:t>
      </w:r>
      <w:r w:rsidR="009E13F2">
        <w:t xml:space="preserve">.  </w:t>
      </w:r>
      <w:r w:rsidRPr="0015309B" w:rsidR="0015309B">
        <w:t xml:space="preserve">The Commission also </w:t>
      </w:r>
      <w:r w:rsidR="009E13F2">
        <w:t xml:space="preserve">took </w:t>
      </w:r>
      <w:r w:rsidRPr="0015309B" w:rsidR="0015309B">
        <w:t xml:space="preserve">the foregoing data and increased its hourly wage estimate in recognition of the fact that some respondents may be large financial institutions whose employees’ salaries may exceed the mean wage.  The Commission recognizes that some respondents may hire outside counsel with expertise in the various regulatory areas covered by the regulation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w:t>
      </w:r>
      <w:r w:rsidRPr="0015309B" w:rsidR="0015309B">
        <w:t>bill</w:t>
      </w:r>
      <w:r w:rsidRPr="0015309B" w:rsidR="0015309B">
        <w:t xml:space="preserve"> at a rate of several hundred dollars per hour.  Any determination to use outside counsel, however, is at the discretion of the respondent.</w:t>
      </w:r>
    </w:p>
    <w:p w:rsidR="00A33511" w:rsidRPr="002209DA" w:rsidP="00A33511" w14:paraId="04DE36EE" w14:textId="7BDF7D4D">
      <w:pPr>
        <w:spacing w:line="480" w:lineRule="auto"/>
        <w:ind w:left="720"/>
        <w:rPr>
          <w:rFonts w:eastAsia="Calibri"/>
        </w:rPr>
      </w:pPr>
      <w:r w:rsidRPr="002209DA">
        <w:rPr>
          <w:rFonts w:eastAsia="Calibri"/>
          <w:i/>
        </w:rPr>
        <w:t>Estimated number of respondents</w:t>
      </w:r>
      <w:r w:rsidRPr="002209DA">
        <w:rPr>
          <w:rFonts w:eastAsia="Calibri"/>
        </w:rPr>
        <w:t xml:space="preserve">:  </w:t>
      </w:r>
      <w:r w:rsidR="00A22EC0">
        <w:rPr>
          <w:rFonts w:eastAsia="Calibri"/>
        </w:rPr>
        <w:t>951</w:t>
      </w:r>
      <w:r w:rsidR="007D53FA">
        <w:rPr>
          <w:rFonts w:eastAsia="Calibri"/>
        </w:rPr>
        <w:t>.</w:t>
      </w:r>
      <w:r>
        <w:rPr>
          <w:rStyle w:val="FootnoteReference"/>
          <w:rFonts w:eastAsia="Calibri"/>
        </w:rPr>
        <w:footnoteReference w:id="2"/>
      </w:r>
    </w:p>
    <w:p w:rsidR="00A33511" w:rsidRPr="002209DA" w:rsidP="00A33511" w14:paraId="5BEDE861" w14:textId="5501957C">
      <w:pPr>
        <w:spacing w:line="480" w:lineRule="auto"/>
        <w:ind w:left="720"/>
        <w:rPr>
          <w:rFonts w:eastAsia="Calibri"/>
        </w:rPr>
      </w:pPr>
      <w:r w:rsidRPr="002209DA">
        <w:rPr>
          <w:rFonts w:eastAsia="Calibri"/>
          <w:i/>
        </w:rPr>
        <w:t>Estimated number of reports per respondent</w:t>
      </w:r>
      <w:r w:rsidRPr="002209DA">
        <w:rPr>
          <w:rFonts w:eastAsia="Calibri"/>
        </w:rPr>
        <w:t>:  1</w:t>
      </w:r>
      <w:r>
        <w:rPr>
          <w:rFonts w:eastAsia="Calibri"/>
        </w:rPr>
        <w:t>.</w:t>
      </w:r>
    </w:p>
    <w:p w:rsidR="00A33511" w:rsidRPr="002209DA" w:rsidP="00A33511" w14:paraId="50F8B99D" w14:textId="34C2426A">
      <w:pPr>
        <w:spacing w:line="480" w:lineRule="auto"/>
        <w:ind w:firstLine="720"/>
        <w:rPr>
          <w:rFonts w:eastAsia="Calibri"/>
        </w:rPr>
      </w:pPr>
      <w:r w:rsidRPr="002209DA">
        <w:rPr>
          <w:rFonts w:eastAsia="Calibri"/>
          <w:i/>
        </w:rPr>
        <w:t>Average number of hours per report</w:t>
      </w:r>
      <w:r w:rsidRPr="002209DA">
        <w:rPr>
          <w:rFonts w:eastAsia="Calibri"/>
        </w:rPr>
        <w:t xml:space="preserve">:  </w:t>
      </w:r>
      <w:r>
        <w:rPr>
          <w:rFonts w:eastAsia="Calibri"/>
        </w:rPr>
        <w:t>2.</w:t>
      </w:r>
    </w:p>
    <w:p w:rsidR="00A33511" w:rsidRPr="002209DA" w:rsidP="00A33511" w14:paraId="70F596D8" w14:textId="48DC0C5D">
      <w:pPr>
        <w:spacing w:line="480" w:lineRule="auto"/>
        <w:ind w:firstLine="720"/>
        <w:rPr>
          <w:rFonts w:eastAsia="Calibri"/>
        </w:rPr>
      </w:pPr>
      <w:r w:rsidRPr="002209DA">
        <w:rPr>
          <w:rFonts w:eastAsia="Calibri"/>
          <w:i/>
        </w:rPr>
        <w:t>Estimated gross annual reporting burden</w:t>
      </w:r>
      <w:r w:rsidRPr="002209DA">
        <w:rPr>
          <w:rFonts w:eastAsia="Calibri"/>
        </w:rPr>
        <w:t xml:space="preserve">:  </w:t>
      </w:r>
      <w:r w:rsidR="00A22EC0">
        <w:rPr>
          <w:rFonts w:eastAsia="Calibri"/>
        </w:rPr>
        <w:t>1,902</w:t>
      </w:r>
      <w:r w:rsidR="00E50EF9">
        <w:rPr>
          <w:rFonts w:eastAsia="Calibri"/>
        </w:rPr>
        <w:t>.</w:t>
      </w:r>
    </w:p>
    <w:p w:rsidR="00A33511" w:rsidRPr="00385841" w:rsidP="00C74A43" w14:paraId="1429062A" w14:textId="324C5767">
      <w:pPr>
        <w:spacing w:after="240"/>
        <w:ind w:firstLine="720"/>
      </w:pPr>
      <w:r>
        <w:rPr>
          <w:i/>
          <w:iCs/>
        </w:rPr>
        <w:t>Total labor costs</w:t>
      </w:r>
      <w:r>
        <w:t xml:space="preserve">:  </w:t>
      </w:r>
      <w:r w:rsidR="00A22EC0">
        <w:t>$190,200.00</w:t>
      </w:r>
      <w:r w:rsidR="00110B47">
        <w:t>.</w:t>
      </w:r>
    </w:p>
    <w:p w:rsidR="003D0031" w:rsidRPr="00924C03" w:rsidP="00924C03" w14:paraId="7E11458E" w14:textId="55D82560">
      <w:pPr>
        <w:spacing w:after="240"/>
        <w:ind w:left="720" w:hanging="720"/>
        <w:rPr>
          <w:b/>
          <w:u w:val="single"/>
        </w:rPr>
      </w:pPr>
      <w:r w:rsidRPr="00924C03">
        <w:rPr>
          <w:b/>
        </w:rPr>
        <w:t>13.</w:t>
      </w:r>
      <w:r w:rsidRPr="00924C03">
        <w:rPr>
          <w:b/>
        </w:rPr>
        <w:tab/>
        <w:t xml:space="preserve">Provide an estimate of the total annual cost burden to respondents or </w:t>
      </w:r>
      <w:r w:rsidRPr="00924C03" w:rsidR="001C3E20">
        <w:rPr>
          <w:b/>
        </w:rPr>
        <w:t>record keepers</w:t>
      </w:r>
      <w:r w:rsidRPr="00924C03">
        <w:rPr>
          <w:b/>
        </w:rPr>
        <w:t xml:space="preserve"> resulting from the collection of information. (Do not include the cost of any hour burden shown in Items 12 and 14).</w:t>
      </w:r>
    </w:p>
    <w:p w:rsidR="003D0031" w:rsidRPr="008730D5" w:rsidP="0022100D" w14:paraId="7E114590" w14:textId="7DF7B506">
      <w:pPr>
        <w:pStyle w:val="BodyTextIndent2"/>
        <w:numPr>
          <w:ilvl w:val="0"/>
          <w:numId w:val="1"/>
        </w:numPr>
        <w:spacing w:after="240"/>
        <w:ind w:left="1440" w:hanging="720"/>
      </w:pPr>
      <w:r w:rsidRPr="007F62DA">
        <w:rPr>
          <w:b/>
        </w:rPr>
        <w:t xml:space="preserve">The cost estimate should be split into two </w:t>
      </w:r>
      <w:r w:rsidRPr="007F62DA">
        <w:rPr>
          <w:b/>
        </w:rPr>
        <w:t>components;</w:t>
      </w:r>
      <w:r w:rsidRPr="007F62DA">
        <w:rPr>
          <w:b/>
        </w:rPr>
        <w:t xml:space="preserve"> (a) a total capital and start-up cost component (annualized over its expected useful life) and (b) a total operation and maintenance and purchase of services component.  The estimates should </w:t>
      </w:r>
      <w:r w:rsidRPr="007F62DA">
        <w:rPr>
          <w:b/>
        </w:rPr>
        <w:t>take into account</w:t>
      </w:r>
      <w:r w:rsidRPr="007F62DA">
        <w:rPr>
          <w:b/>
        </w:rPr>
        <w:t xml:space="preserve"> costs associated with generating, maintaining, and disclosing or providing the information.  Include descriptions of methods used to estimate major </w:t>
      </w:r>
      <w:r w:rsidRPr="007F62DA">
        <w:rPr>
          <w:b/>
        </w:rPr>
        <w:t>costs</w:t>
      </w:r>
      <w:r w:rsidRPr="007F62DA">
        <w:rPr>
          <w:b/>
        </w:rPr>
        <w:t xml:space="preserve"> </w:t>
      </w:r>
      <w:r w:rsidRPr="007F62DA">
        <w:rPr>
          <w:b/>
        </w:rPr>
        <w:t>factor</w:t>
      </w:r>
      <w:r w:rsidRPr="007F62DA">
        <w:rPr>
          <w:b/>
        </w:rPr>
        <w:t xml:space="preserve"> including system and technology acquisition, expected useful life of capital equipment, the discount rate(s), and the </w:t>
      </w:r>
      <w:r w:rsidRPr="007F62DA">
        <w:rPr>
          <w:b/>
        </w:rPr>
        <w:t>time period</w:t>
      </w:r>
      <w:r w:rsidRPr="007F62DA">
        <w:rPr>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3D0031" w:rsidRPr="008730D5" w:rsidP="00277EE6" w14:paraId="7E114592" w14:textId="14E334A0">
      <w:pPr>
        <w:numPr>
          <w:ilvl w:val="0"/>
          <w:numId w:val="1"/>
        </w:numPr>
        <w:spacing w:after="240"/>
        <w:ind w:left="1440" w:hanging="720"/>
      </w:pPr>
      <w:r w:rsidRPr="007F62DA">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936443" w:rsidP="00C6674C" w14:paraId="7E114594" w14:textId="65966CFD">
      <w:pPr>
        <w:numPr>
          <w:ilvl w:val="0"/>
          <w:numId w:val="1"/>
        </w:numPr>
        <w:spacing w:after="240"/>
        <w:ind w:left="1440" w:hanging="720"/>
      </w:pPr>
      <w:r w:rsidRPr="007F62DA">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D0031" w:rsidRPr="008730D5" w:rsidP="00D069B2" w14:paraId="7E114596" w14:textId="26CDD683">
      <w:pPr>
        <w:spacing w:after="240"/>
      </w:pPr>
      <w:r w:rsidRPr="00E2650A">
        <w:t>There are no capital costs or operating and maintenance costs associated with this collection.</w:t>
      </w:r>
    </w:p>
    <w:p w:rsidR="003D0031" w:rsidRPr="008730D5" w:rsidP="007F62DA" w14:paraId="7E114598" w14:textId="57EE860A">
      <w:pPr>
        <w:spacing w:after="240"/>
        <w:ind w:left="720" w:hanging="720"/>
        <w:rPr>
          <w:u w:val="single"/>
        </w:rPr>
      </w:pPr>
      <w:r w:rsidRPr="00111C5F">
        <w:rPr>
          <w:b/>
        </w:rPr>
        <w:t>14.</w:t>
      </w:r>
      <w:r w:rsidRPr="00111C5F">
        <w:rPr>
          <w:b/>
        </w:rPr>
        <w:tab/>
        <w:t>Provide</w:t>
      </w:r>
      <w:r w:rsidRPr="00C06269">
        <w:rPr>
          <w:b/>
        </w:rPr>
        <w:t xml:space="preserve"> estimates of the annualized costs to the Federal Government</w:t>
      </w:r>
      <w:r w:rsidRPr="00C06269" w:rsidR="00B86376">
        <w:rPr>
          <w:b/>
        </w:rPr>
        <w:t xml:space="preserve">.  </w:t>
      </w:r>
      <w:r w:rsidRPr="00C06269">
        <w:rPr>
          <w:b/>
        </w:rPr>
        <w:t xml:space="preserve">Also provide a description of the method used to estimate cost, which should include quantification of hours, operational expenses (such as equipment, overhead, printing and support staff), and any other </w:t>
      </w:r>
      <w:r w:rsidRPr="00C06269">
        <w:rPr>
          <w:b/>
        </w:rPr>
        <w:t>expense</w:t>
      </w:r>
      <w:r w:rsidRPr="00C06269">
        <w:rPr>
          <w:b/>
        </w:rPr>
        <w:t xml:space="preserve"> that would not have been incurred without this collection of information.  Agencies may also aggregate cost estimates from Items 12, 13, and 14 in a single table.</w:t>
      </w:r>
    </w:p>
    <w:p w:rsidR="003D0031" w:rsidRPr="008730D5" w:rsidP="00DA1158" w14:paraId="7E11459A" w14:textId="0DC29F27">
      <w:pPr>
        <w:spacing w:after="240"/>
        <w:rPr>
          <w:u w:val="single"/>
        </w:rPr>
      </w:pPr>
      <w:r w:rsidRPr="008730D5">
        <w:t xml:space="preserve">The federal government </w:t>
      </w:r>
      <w:r w:rsidR="00DA1158">
        <w:t>will incur</w:t>
      </w:r>
      <w:r w:rsidRPr="008730D5">
        <w:t xml:space="preserve"> no cost specifically attributable to this information collection.</w:t>
      </w:r>
    </w:p>
    <w:p w:rsidR="003D0031" w:rsidRPr="008730D5" w:rsidP="007F62DA" w14:paraId="7E11459C" w14:textId="7C2E8314">
      <w:pPr>
        <w:spacing w:after="240"/>
        <w:ind w:left="720" w:hanging="720"/>
        <w:rPr>
          <w:u w:val="single"/>
        </w:rPr>
      </w:pPr>
      <w:r w:rsidRPr="00111C5F">
        <w:rPr>
          <w:b/>
        </w:rPr>
        <w:t>15.</w:t>
      </w:r>
      <w:r w:rsidRPr="00111C5F">
        <w:rPr>
          <w:b/>
        </w:rPr>
        <w:tab/>
        <w:t>Explain the reasons for any program changes or adjustments</w:t>
      </w:r>
      <w:r w:rsidRPr="00C06269">
        <w:rPr>
          <w:b/>
        </w:rPr>
        <w:t>.</w:t>
      </w:r>
    </w:p>
    <w:p w:rsidR="003D0031" w:rsidRPr="008730D5" w:rsidP="007C48F9" w14:paraId="7E11459E" w14:textId="5125FEC4">
      <w:pPr>
        <w:spacing w:after="240"/>
      </w:pPr>
      <w:r>
        <w:t xml:space="preserve">This </w:t>
      </w:r>
      <w:r>
        <w:t>a new</w:t>
      </w:r>
      <w:r>
        <w:t xml:space="preserve"> collection.  The Commission estimates the </w:t>
      </w:r>
      <w:r w:rsidR="00325D4D">
        <w:t xml:space="preserve">total annual hours burden associated with this collection will be </w:t>
      </w:r>
      <w:r w:rsidR="00A22EC0">
        <w:t>1,902</w:t>
      </w:r>
      <w:r w:rsidR="00CF2240">
        <w:t xml:space="preserve"> </w:t>
      </w:r>
      <w:r w:rsidR="00325D4D">
        <w:t>hours</w:t>
      </w:r>
      <w:r w:rsidRPr="0047019E" w:rsidR="009E02CC">
        <w:t>.</w:t>
      </w:r>
    </w:p>
    <w:p w:rsidR="003D0031" w:rsidRPr="008730D5" w:rsidP="007F62DA" w14:paraId="7E1145A0" w14:textId="241DA012">
      <w:pPr>
        <w:spacing w:after="240"/>
        <w:ind w:left="720" w:hanging="720"/>
        <w:rPr>
          <w:u w:val="single"/>
        </w:rPr>
      </w:pPr>
      <w:r w:rsidRPr="00111C5F">
        <w:rPr>
          <w:b/>
        </w:rPr>
        <w:t>16.</w:t>
      </w:r>
      <w:r w:rsidRPr="00111C5F">
        <w:rPr>
          <w:b/>
        </w:rPr>
        <w:tab/>
        <w:t>For collection of information whose results are planned to be published for statistical use, outline plans for tabulation, statistical analysis, and publication</w:t>
      </w:r>
      <w:r w:rsidRPr="00C06269">
        <w:rPr>
          <w:b/>
        </w:rPr>
        <w:t>.  Provide the time schedule for the entire project, including beginning and ending dates of the collection of information, completion of report, publication dates, and other actions.</w:t>
      </w:r>
    </w:p>
    <w:p w:rsidR="003D0031" w:rsidRPr="008730D5" w:rsidP="004A7DF4" w14:paraId="7E1145A2" w14:textId="2AD45795">
      <w:pPr>
        <w:spacing w:after="240"/>
      </w:pPr>
      <w:r w:rsidRPr="008730D5">
        <w:t>This question does not apply.</w:t>
      </w:r>
      <w:r w:rsidR="004A6E90">
        <w:t xml:space="preserve">  The Commission has no plans to publish the </w:t>
      </w:r>
      <w:r w:rsidR="004A7DF4">
        <w:t>data collected for statistical purposes.</w:t>
      </w:r>
    </w:p>
    <w:p w:rsidR="003D0031" w:rsidRPr="008730D5" w:rsidP="007F62DA" w14:paraId="7E1145A4" w14:textId="4B80D399">
      <w:pPr>
        <w:spacing w:after="240"/>
        <w:ind w:left="720" w:hanging="720"/>
        <w:rPr>
          <w:u w:val="single"/>
        </w:rPr>
      </w:pPr>
      <w:r w:rsidRPr="00111C5F">
        <w:rPr>
          <w:b/>
        </w:rPr>
        <w:t>17.</w:t>
      </w:r>
      <w:r w:rsidRPr="00111C5F">
        <w:rPr>
          <w:b/>
        </w:rPr>
        <w:tab/>
        <w:t>If seeking approval to not display the expiration date for OMB approval of the information</w:t>
      </w:r>
      <w:r w:rsidRPr="00C06269">
        <w:rPr>
          <w:b/>
        </w:rPr>
        <w:t xml:space="preserve"> collection, explain the reasons that display would be inappropriate.</w:t>
      </w:r>
    </w:p>
    <w:p w:rsidR="003D0031" w:rsidRPr="008730D5" w:rsidP="00BE0DC3" w14:paraId="7E1145A6" w14:textId="3E33E5BA">
      <w:pPr>
        <w:pStyle w:val="BodyTextIndent"/>
        <w:spacing w:after="240"/>
      </w:pPr>
      <w:r w:rsidRPr="008730D5">
        <w:t>This question does not apply.</w:t>
      </w:r>
    </w:p>
    <w:p w:rsidR="003D0031" w:rsidRPr="00111C5F" w:rsidP="007F62DA" w14:paraId="7E1145A8" w14:textId="6FB8914F">
      <w:pPr>
        <w:spacing w:after="240"/>
        <w:ind w:left="720" w:hanging="720"/>
        <w:rPr>
          <w:b/>
        </w:rPr>
      </w:pPr>
      <w:r w:rsidRPr="00111C5F">
        <w:rPr>
          <w:b/>
        </w:rPr>
        <w:t>18.</w:t>
      </w:r>
      <w:r w:rsidRPr="00111C5F">
        <w:rPr>
          <w:b/>
        </w:rPr>
        <w:tab/>
        <w:t xml:space="preserve">Explain </w:t>
      </w:r>
      <w:r w:rsidR="00882D6A">
        <w:rPr>
          <w:b/>
        </w:rPr>
        <w:t>any</w:t>
      </w:r>
      <w:r w:rsidRPr="00111C5F">
        <w:rPr>
          <w:b/>
        </w:rPr>
        <w:t xml:space="preserve"> exception to the certification statement </w:t>
      </w:r>
      <w:r w:rsidR="002648AA">
        <w:rPr>
          <w:b/>
        </w:rPr>
        <w:t xml:space="preserve">included in the </w:t>
      </w:r>
      <w:r w:rsidRPr="00111C5F">
        <w:rPr>
          <w:b/>
        </w:rPr>
        <w:t>“Certification for Paperwork Reduction Act Submissions</w:t>
      </w:r>
      <w:r w:rsidR="002648AA">
        <w:rPr>
          <w:b/>
        </w:rPr>
        <w:t>.</w:t>
      </w:r>
      <w:r w:rsidRPr="00111C5F">
        <w:rPr>
          <w:b/>
        </w:rPr>
        <w:t>”</w:t>
      </w:r>
    </w:p>
    <w:p w:rsidR="003D0031" w:rsidRPr="008730D5" w:rsidP="00276AF1" w14:paraId="7E1145A9" w14:textId="53B80657">
      <w:pPr>
        <w:pStyle w:val="BodyTextIndent"/>
        <w:spacing w:after="240"/>
      </w:pPr>
      <w:r w:rsidRPr="008730D5">
        <w:t>This question does not apply.</w:t>
      </w:r>
    </w:p>
    <w:p w:rsidR="00EA4F31" w:rsidP="00731AE3" w14:paraId="1B108E1E" w14:textId="77777777">
      <w:pPr>
        <w:tabs>
          <w:tab w:val="left" w:pos="0"/>
        </w:tabs>
        <w:ind w:hanging="1260"/>
        <w:rPr>
          <w:i/>
          <w:iCs/>
        </w:rPr>
        <w:sectPr w:rsidSect="00412F88">
          <w:footerReference w:type="even" r:id="rId9"/>
          <w:footerReference w:type="default" r:id="rId10"/>
          <w:pgSz w:w="12240" w:h="15840"/>
          <w:pgMar w:top="1440" w:right="1800" w:bottom="1440" w:left="1800" w:header="720" w:footer="720" w:gutter="0"/>
          <w:cols w:space="720"/>
          <w:titlePg/>
          <w:docGrid w:linePitch="360"/>
        </w:sectPr>
      </w:pPr>
    </w:p>
    <w:tbl>
      <w:tblPr>
        <w:tblpPr w:leftFromText="180" w:rightFromText="180" w:vertAnchor="text" w:horzAnchor="margin" w:tblpXSpec="center" w:tblpY="1006"/>
        <w:tblW w:w="56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5"/>
        <w:gridCol w:w="1450"/>
        <w:gridCol w:w="1257"/>
        <w:gridCol w:w="1227"/>
        <w:gridCol w:w="1493"/>
        <w:gridCol w:w="1356"/>
        <w:gridCol w:w="1487"/>
        <w:gridCol w:w="1359"/>
        <w:gridCol w:w="1359"/>
        <w:gridCol w:w="1467"/>
      </w:tblGrid>
      <w:tr w14:paraId="4F9C7807" w14:textId="77777777" w:rsidTr="00C00154">
        <w:tblPrEx>
          <w:tblW w:w="564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520"/>
        </w:trPr>
        <w:tc>
          <w:tcPr>
            <w:tcW w:w="737" w:type="pct"/>
            <w:tcBorders>
              <w:top w:val="single" w:sz="4" w:space="0" w:color="000000"/>
              <w:left w:val="single" w:sz="4" w:space="0" w:color="000000"/>
              <w:bottom w:val="single" w:sz="4" w:space="0" w:color="000000"/>
              <w:right w:val="single" w:sz="4" w:space="0" w:color="000000"/>
            </w:tcBorders>
            <w:hideMark/>
          </w:tcPr>
          <w:p w:rsidR="00044A13" w:rsidP="00D70889" w14:paraId="7EC27DBE" w14:textId="77777777">
            <w:pPr>
              <w:tabs>
                <w:tab w:val="left" w:pos="-720"/>
                <w:tab w:val="left" w:pos="0"/>
              </w:tabs>
              <w:suppressAutoHyphens/>
              <w:jc w:val="center"/>
              <w:rPr>
                <w:b/>
                <w:sz w:val="16"/>
                <w:szCs w:val="16"/>
              </w:rPr>
            </w:pPr>
            <w:r>
              <w:rPr>
                <w:b/>
                <w:sz w:val="16"/>
                <w:szCs w:val="16"/>
              </w:rPr>
              <w:t>1.</w:t>
            </w:r>
          </w:p>
          <w:p w:rsidR="00044A13" w:rsidP="00D70889" w14:paraId="065EDE2F" w14:textId="40646D03">
            <w:pPr>
              <w:tabs>
                <w:tab w:val="left" w:pos="-720"/>
                <w:tab w:val="left" w:pos="0"/>
              </w:tabs>
              <w:suppressAutoHyphens/>
              <w:jc w:val="center"/>
              <w:rPr>
                <w:b/>
                <w:sz w:val="16"/>
                <w:szCs w:val="16"/>
              </w:rPr>
            </w:pPr>
            <w:r>
              <w:rPr>
                <w:b/>
                <w:sz w:val="16"/>
                <w:szCs w:val="16"/>
              </w:rPr>
              <w:t>Collection</w:t>
            </w:r>
          </w:p>
        </w:tc>
        <w:tc>
          <w:tcPr>
            <w:tcW w:w="496" w:type="pct"/>
            <w:tcBorders>
              <w:top w:val="single" w:sz="4" w:space="0" w:color="000000"/>
              <w:left w:val="single" w:sz="4" w:space="0" w:color="000000"/>
              <w:bottom w:val="single" w:sz="4" w:space="0" w:color="000000"/>
              <w:right w:val="single" w:sz="4" w:space="0" w:color="000000"/>
            </w:tcBorders>
          </w:tcPr>
          <w:p w:rsidR="00044A13" w:rsidP="00D70889" w14:paraId="007E63CE" w14:textId="77777777">
            <w:pPr>
              <w:tabs>
                <w:tab w:val="left" w:pos="-720"/>
                <w:tab w:val="left" w:pos="0"/>
              </w:tabs>
              <w:suppressAutoHyphens/>
              <w:jc w:val="center"/>
              <w:rPr>
                <w:b/>
                <w:sz w:val="16"/>
                <w:szCs w:val="16"/>
              </w:rPr>
            </w:pPr>
            <w:r>
              <w:rPr>
                <w:b/>
                <w:sz w:val="16"/>
                <w:szCs w:val="16"/>
              </w:rPr>
              <w:t>2.</w:t>
            </w:r>
          </w:p>
          <w:p w:rsidR="00044A13" w:rsidP="00D70889" w14:paraId="0BC78831" w14:textId="77777777">
            <w:pPr>
              <w:tabs>
                <w:tab w:val="left" w:pos="-720"/>
                <w:tab w:val="left" w:pos="0"/>
              </w:tabs>
              <w:suppressAutoHyphens/>
              <w:jc w:val="center"/>
              <w:rPr>
                <w:b/>
                <w:sz w:val="16"/>
                <w:szCs w:val="16"/>
              </w:rPr>
            </w:pPr>
            <w:r>
              <w:rPr>
                <w:b/>
                <w:sz w:val="16"/>
                <w:szCs w:val="16"/>
              </w:rPr>
              <w:t xml:space="preserve">Estimated Number of Respondents </w:t>
            </w:r>
          </w:p>
          <w:p w:rsidR="00044A13" w:rsidP="00D70889" w14:paraId="00C075AE" w14:textId="77777777">
            <w:pPr>
              <w:tabs>
                <w:tab w:val="left" w:pos="-720"/>
                <w:tab w:val="left" w:pos="0"/>
              </w:tabs>
              <w:suppressAutoHyphens/>
              <w:jc w:val="center"/>
              <w:rPr>
                <w:b/>
                <w:sz w:val="16"/>
                <w:szCs w:val="16"/>
              </w:rPr>
            </w:pPr>
          </w:p>
        </w:tc>
        <w:tc>
          <w:tcPr>
            <w:tcW w:w="430" w:type="pct"/>
            <w:tcBorders>
              <w:top w:val="single" w:sz="4" w:space="0" w:color="000000"/>
              <w:left w:val="single" w:sz="4" w:space="0" w:color="000000"/>
              <w:bottom w:val="single" w:sz="4" w:space="0" w:color="000000"/>
              <w:right w:val="single" w:sz="4" w:space="0" w:color="000000"/>
            </w:tcBorders>
            <w:hideMark/>
          </w:tcPr>
          <w:p w:rsidR="00044A13" w:rsidP="00D70889" w14:paraId="726F43D3" w14:textId="77777777">
            <w:pPr>
              <w:tabs>
                <w:tab w:val="left" w:pos="-720"/>
                <w:tab w:val="left" w:pos="0"/>
              </w:tabs>
              <w:suppressAutoHyphens/>
              <w:jc w:val="center"/>
              <w:rPr>
                <w:b/>
                <w:sz w:val="16"/>
                <w:szCs w:val="16"/>
              </w:rPr>
            </w:pPr>
            <w:r>
              <w:rPr>
                <w:b/>
                <w:sz w:val="16"/>
                <w:szCs w:val="16"/>
              </w:rPr>
              <w:t>3.</w:t>
            </w:r>
          </w:p>
          <w:p w:rsidR="00044A13" w:rsidP="00D70889" w14:paraId="3189F346" w14:textId="77777777">
            <w:pPr>
              <w:tabs>
                <w:tab w:val="left" w:pos="-720"/>
                <w:tab w:val="left" w:pos="0"/>
              </w:tabs>
              <w:suppressAutoHyphens/>
              <w:jc w:val="center"/>
              <w:rPr>
                <w:b/>
                <w:sz w:val="16"/>
                <w:szCs w:val="16"/>
              </w:rPr>
            </w:pPr>
            <w:r>
              <w:rPr>
                <w:b/>
                <w:sz w:val="16"/>
                <w:szCs w:val="16"/>
              </w:rPr>
              <w:t>Estimated Number of Reports</w:t>
            </w:r>
          </w:p>
          <w:p w:rsidR="00044A13" w:rsidP="00D70889" w14:paraId="14468432" w14:textId="77777777">
            <w:pPr>
              <w:tabs>
                <w:tab w:val="left" w:pos="-720"/>
                <w:tab w:val="left" w:pos="0"/>
              </w:tabs>
              <w:suppressAutoHyphens/>
              <w:jc w:val="center"/>
              <w:rPr>
                <w:b/>
                <w:sz w:val="16"/>
                <w:szCs w:val="16"/>
              </w:rPr>
            </w:pPr>
            <w:r>
              <w:rPr>
                <w:b/>
                <w:sz w:val="16"/>
                <w:szCs w:val="16"/>
              </w:rPr>
              <w:t>by Each Respondent</w:t>
            </w:r>
          </w:p>
        </w:tc>
        <w:tc>
          <w:tcPr>
            <w:tcW w:w="420" w:type="pct"/>
            <w:tcBorders>
              <w:top w:val="single" w:sz="4" w:space="0" w:color="000000"/>
              <w:left w:val="single" w:sz="4" w:space="0" w:color="000000"/>
              <w:bottom w:val="single" w:sz="4" w:space="0" w:color="000000"/>
              <w:right w:val="single" w:sz="4" w:space="0" w:color="000000"/>
            </w:tcBorders>
            <w:hideMark/>
          </w:tcPr>
          <w:p w:rsidR="00044A13" w:rsidP="00D70889" w14:paraId="704A3BBE" w14:textId="77777777">
            <w:pPr>
              <w:tabs>
                <w:tab w:val="left" w:pos="-720"/>
                <w:tab w:val="left" w:pos="0"/>
              </w:tabs>
              <w:suppressAutoHyphens/>
              <w:jc w:val="center"/>
              <w:rPr>
                <w:b/>
                <w:sz w:val="16"/>
                <w:szCs w:val="16"/>
              </w:rPr>
            </w:pPr>
            <w:r>
              <w:rPr>
                <w:b/>
                <w:sz w:val="16"/>
                <w:szCs w:val="16"/>
              </w:rPr>
              <w:t>4.</w:t>
            </w:r>
          </w:p>
          <w:p w:rsidR="00044A13" w:rsidP="00D70889" w14:paraId="6AE2D019" w14:textId="77777777">
            <w:pPr>
              <w:tabs>
                <w:tab w:val="left" w:pos="-720"/>
                <w:tab w:val="left" w:pos="0"/>
              </w:tabs>
              <w:suppressAutoHyphens/>
              <w:jc w:val="center"/>
              <w:rPr>
                <w:b/>
                <w:sz w:val="16"/>
                <w:szCs w:val="16"/>
              </w:rPr>
            </w:pPr>
            <w:r>
              <w:rPr>
                <w:b/>
                <w:sz w:val="16"/>
                <w:szCs w:val="16"/>
              </w:rPr>
              <w:t xml:space="preserve">Estimated Average </w:t>
            </w:r>
            <w:r>
              <w:rPr>
                <w:b/>
                <w:sz w:val="16"/>
                <w:szCs w:val="16"/>
              </w:rPr>
              <w:t>Number</w:t>
            </w:r>
            <w:r>
              <w:rPr>
                <w:b/>
                <w:sz w:val="16"/>
                <w:szCs w:val="16"/>
              </w:rPr>
              <w:t xml:space="preserve"> of Burden Hours per Response</w:t>
            </w:r>
          </w:p>
        </w:tc>
        <w:tc>
          <w:tcPr>
            <w:tcW w:w="511" w:type="pct"/>
            <w:tcBorders>
              <w:top w:val="single" w:sz="4" w:space="0" w:color="000000"/>
              <w:left w:val="single" w:sz="4" w:space="0" w:color="000000"/>
              <w:bottom w:val="single" w:sz="4" w:space="0" w:color="000000"/>
              <w:right w:val="single" w:sz="4" w:space="0" w:color="000000"/>
            </w:tcBorders>
            <w:hideMark/>
          </w:tcPr>
          <w:p w:rsidR="00044A13" w:rsidP="00D70889" w14:paraId="1A563476" w14:textId="77777777">
            <w:pPr>
              <w:tabs>
                <w:tab w:val="left" w:pos="-720"/>
                <w:tab w:val="left" w:pos="0"/>
              </w:tabs>
              <w:suppressAutoHyphens/>
              <w:jc w:val="center"/>
              <w:rPr>
                <w:b/>
                <w:sz w:val="16"/>
                <w:szCs w:val="16"/>
              </w:rPr>
            </w:pPr>
            <w:r>
              <w:rPr>
                <w:b/>
                <w:sz w:val="16"/>
                <w:szCs w:val="16"/>
              </w:rPr>
              <w:t>5.</w:t>
            </w:r>
          </w:p>
          <w:p w:rsidR="00044A13" w:rsidP="00D70889" w14:paraId="78276390" w14:textId="77777777">
            <w:pPr>
              <w:tabs>
                <w:tab w:val="left" w:pos="-720"/>
                <w:tab w:val="left" w:pos="0"/>
              </w:tabs>
              <w:suppressAutoHyphens/>
              <w:jc w:val="center"/>
              <w:rPr>
                <w:b/>
                <w:sz w:val="16"/>
                <w:szCs w:val="16"/>
              </w:rPr>
            </w:pPr>
            <w:r>
              <w:rPr>
                <w:b/>
                <w:sz w:val="16"/>
                <w:szCs w:val="16"/>
              </w:rPr>
              <w:t xml:space="preserve">Annual </w:t>
            </w:r>
            <w:r>
              <w:rPr>
                <w:b/>
                <w:sz w:val="16"/>
                <w:szCs w:val="16"/>
              </w:rPr>
              <w:t>Number</w:t>
            </w:r>
            <w:r>
              <w:rPr>
                <w:b/>
                <w:sz w:val="16"/>
                <w:szCs w:val="16"/>
              </w:rPr>
              <w:t xml:space="preserve"> of Burden Hours per Respondent</w:t>
            </w:r>
          </w:p>
          <w:p w:rsidR="00044A13" w:rsidP="00D70889" w14:paraId="1A237D35" w14:textId="77777777">
            <w:pPr>
              <w:tabs>
                <w:tab w:val="left" w:pos="-720"/>
                <w:tab w:val="left" w:pos="0"/>
              </w:tabs>
              <w:suppressAutoHyphens/>
              <w:jc w:val="center"/>
              <w:rPr>
                <w:b/>
                <w:sz w:val="16"/>
                <w:szCs w:val="16"/>
              </w:rPr>
            </w:pPr>
            <w:r>
              <w:rPr>
                <w:b/>
                <w:sz w:val="16"/>
                <w:szCs w:val="16"/>
              </w:rPr>
              <w:t>(3 × 4)</w:t>
            </w:r>
          </w:p>
        </w:tc>
        <w:tc>
          <w:tcPr>
            <w:tcW w:w="464" w:type="pct"/>
            <w:tcBorders>
              <w:top w:val="single" w:sz="4" w:space="0" w:color="000000"/>
              <w:left w:val="single" w:sz="4" w:space="0" w:color="000000"/>
              <w:bottom w:val="single" w:sz="4" w:space="0" w:color="000000"/>
              <w:right w:val="single" w:sz="4" w:space="0" w:color="000000"/>
            </w:tcBorders>
          </w:tcPr>
          <w:p w:rsidR="00044A13" w:rsidP="00D70889" w14:paraId="5E871153" w14:textId="77777777">
            <w:pPr>
              <w:tabs>
                <w:tab w:val="left" w:pos="-720"/>
                <w:tab w:val="left" w:pos="0"/>
              </w:tabs>
              <w:suppressAutoHyphens/>
              <w:jc w:val="center"/>
              <w:rPr>
                <w:b/>
                <w:sz w:val="16"/>
                <w:szCs w:val="16"/>
              </w:rPr>
            </w:pPr>
            <w:r>
              <w:rPr>
                <w:b/>
                <w:sz w:val="16"/>
                <w:szCs w:val="16"/>
              </w:rPr>
              <w:t xml:space="preserve">6. </w:t>
            </w:r>
          </w:p>
          <w:p w:rsidR="00044A13" w:rsidP="00D70889" w14:paraId="7EB08A65" w14:textId="77777777">
            <w:pPr>
              <w:tabs>
                <w:tab w:val="left" w:pos="-720"/>
                <w:tab w:val="left" w:pos="0"/>
              </w:tabs>
              <w:suppressAutoHyphens/>
              <w:jc w:val="center"/>
              <w:rPr>
                <w:b/>
                <w:sz w:val="16"/>
                <w:szCs w:val="16"/>
              </w:rPr>
            </w:pPr>
            <w:r>
              <w:rPr>
                <w:b/>
                <w:sz w:val="16"/>
                <w:szCs w:val="16"/>
              </w:rPr>
              <w:t>Estimated Average Burden Hour Cost</w:t>
            </w:r>
          </w:p>
          <w:p w:rsidR="00044A13" w:rsidP="00D70889" w14:paraId="55BA3E73" w14:textId="77777777">
            <w:pPr>
              <w:tabs>
                <w:tab w:val="left" w:pos="-720"/>
                <w:tab w:val="left" w:pos="0"/>
              </w:tabs>
              <w:suppressAutoHyphens/>
              <w:jc w:val="center"/>
              <w:rPr>
                <w:b/>
                <w:sz w:val="16"/>
                <w:szCs w:val="16"/>
              </w:rPr>
            </w:pPr>
          </w:p>
        </w:tc>
        <w:tc>
          <w:tcPr>
            <w:tcW w:w="509" w:type="pct"/>
            <w:tcBorders>
              <w:top w:val="single" w:sz="4" w:space="0" w:color="000000"/>
              <w:left w:val="single" w:sz="4" w:space="0" w:color="000000"/>
              <w:bottom w:val="single" w:sz="4" w:space="0" w:color="000000"/>
              <w:right w:val="single" w:sz="4" w:space="0" w:color="000000"/>
            </w:tcBorders>
            <w:hideMark/>
          </w:tcPr>
          <w:p w:rsidR="00044A13" w:rsidP="00D70889" w14:paraId="64FAA20F" w14:textId="77777777">
            <w:pPr>
              <w:jc w:val="center"/>
              <w:rPr>
                <w:rFonts w:eastAsia="Calibri"/>
                <w:b/>
                <w:sz w:val="16"/>
                <w:szCs w:val="16"/>
              </w:rPr>
            </w:pPr>
            <w:r>
              <w:rPr>
                <w:rFonts w:eastAsia="Calibri"/>
                <w:b/>
                <w:sz w:val="16"/>
                <w:szCs w:val="16"/>
              </w:rPr>
              <w:t>7.</w:t>
            </w:r>
          </w:p>
          <w:p w:rsidR="00044A13" w:rsidP="00D70889" w14:paraId="7E2802F2" w14:textId="77777777">
            <w:pPr>
              <w:jc w:val="center"/>
              <w:rPr>
                <w:rFonts w:eastAsia="Calibri"/>
                <w:b/>
                <w:sz w:val="16"/>
                <w:szCs w:val="16"/>
              </w:rPr>
            </w:pPr>
            <w:r>
              <w:rPr>
                <w:rFonts w:eastAsia="Calibri"/>
                <w:b/>
                <w:sz w:val="16"/>
                <w:szCs w:val="16"/>
              </w:rPr>
              <w:t>Total Average Hour Burden Cost Per Respondent</w:t>
            </w:r>
          </w:p>
          <w:p w:rsidR="00044A13" w:rsidP="00D70889" w14:paraId="6005F486" w14:textId="77777777">
            <w:pPr>
              <w:jc w:val="center"/>
              <w:rPr>
                <w:rFonts w:eastAsia="Calibri"/>
                <w:b/>
                <w:sz w:val="16"/>
                <w:szCs w:val="16"/>
              </w:rPr>
            </w:pPr>
            <w:r>
              <w:rPr>
                <w:rFonts w:eastAsia="Calibri"/>
                <w:b/>
                <w:sz w:val="16"/>
                <w:szCs w:val="16"/>
              </w:rPr>
              <w:t xml:space="preserve">(5 </w:t>
            </w:r>
            <w:r>
              <w:rPr>
                <w:b/>
                <w:sz w:val="16"/>
                <w:szCs w:val="16"/>
              </w:rPr>
              <w:t>×</w:t>
            </w:r>
            <w:r>
              <w:rPr>
                <w:rFonts w:eastAsia="Calibri"/>
                <w:b/>
                <w:sz w:val="16"/>
                <w:szCs w:val="16"/>
              </w:rPr>
              <w:t xml:space="preserve"> 6)</w:t>
            </w:r>
          </w:p>
        </w:tc>
        <w:tc>
          <w:tcPr>
            <w:tcW w:w="465" w:type="pct"/>
            <w:tcBorders>
              <w:top w:val="single" w:sz="4" w:space="0" w:color="000000"/>
              <w:left w:val="single" w:sz="4" w:space="0" w:color="000000"/>
              <w:bottom w:val="single" w:sz="4" w:space="0" w:color="000000"/>
              <w:right w:val="single" w:sz="4" w:space="0" w:color="000000"/>
            </w:tcBorders>
            <w:hideMark/>
          </w:tcPr>
          <w:p w:rsidR="00044A13" w:rsidP="00D70889" w14:paraId="5F82A733" w14:textId="77777777">
            <w:pPr>
              <w:tabs>
                <w:tab w:val="left" w:pos="-720"/>
                <w:tab w:val="left" w:pos="0"/>
              </w:tabs>
              <w:suppressAutoHyphens/>
              <w:jc w:val="center"/>
              <w:rPr>
                <w:b/>
                <w:sz w:val="16"/>
                <w:szCs w:val="16"/>
              </w:rPr>
            </w:pPr>
            <w:r>
              <w:rPr>
                <w:b/>
                <w:sz w:val="16"/>
                <w:szCs w:val="16"/>
              </w:rPr>
              <w:t>8.</w:t>
            </w:r>
          </w:p>
          <w:p w:rsidR="00044A13" w:rsidP="00D70889" w14:paraId="3255264C" w14:textId="77777777">
            <w:pPr>
              <w:tabs>
                <w:tab w:val="left" w:pos="-720"/>
                <w:tab w:val="left" w:pos="0"/>
              </w:tabs>
              <w:suppressAutoHyphens/>
              <w:jc w:val="center"/>
              <w:rPr>
                <w:b/>
                <w:sz w:val="16"/>
                <w:szCs w:val="16"/>
              </w:rPr>
            </w:pPr>
            <w:r>
              <w:rPr>
                <w:b/>
                <w:sz w:val="16"/>
                <w:szCs w:val="16"/>
              </w:rPr>
              <w:t>Total Annual</w:t>
            </w:r>
          </w:p>
          <w:p w:rsidR="00044A13" w:rsidP="00D70889" w14:paraId="07AAF220" w14:textId="77777777">
            <w:pPr>
              <w:tabs>
                <w:tab w:val="left" w:pos="-720"/>
                <w:tab w:val="left" w:pos="0"/>
              </w:tabs>
              <w:suppressAutoHyphens/>
              <w:jc w:val="center"/>
              <w:rPr>
                <w:b/>
                <w:sz w:val="16"/>
                <w:szCs w:val="16"/>
              </w:rPr>
            </w:pPr>
            <w:r>
              <w:rPr>
                <w:b/>
                <w:sz w:val="16"/>
                <w:szCs w:val="16"/>
              </w:rPr>
              <w:t>Responses</w:t>
            </w:r>
          </w:p>
          <w:p w:rsidR="00044A13" w:rsidP="00D70889" w14:paraId="44177829" w14:textId="77777777">
            <w:pPr>
              <w:tabs>
                <w:tab w:val="left" w:pos="-720"/>
                <w:tab w:val="left" w:pos="0"/>
              </w:tabs>
              <w:suppressAutoHyphens/>
              <w:jc w:val="center"/>
              <w:rPr>
                <w:b/>
                <w:sz w:val="16"/>
                <w:szCs w:val="16"/>
              </w:rPr>
            </w:pPr>
            <w:r>
              <w:rPr>
                <w:b/>
                <w:sz w:val="16"/>
                <w:szCs w:val="16"/>
              </w:rPr>
              <w:t>(2 × 3)</w:t>
            </w:r>
          </w:p>
        </w:tc>
        <w:tc>
          <w:tcPr>
            <w:tcW w:w="465" w:type="pct"/>
            <w:tcBorders>
              <w:top w:val="single" w:sz="4" w:space="0" w:color="000000"/>
              <w:left w:val="single" w:sz="4" w:space="0" w:color="000000"/>
              <w:bottom w:val="single" w:sz="4" w:space="0" w:color="000000"/>
              <w:right w:val="single" w:sz="4" w:space="0" w:color="000000"/>
            </w:tcBorders>
            <w:hideMark/>
          </w:tcPr>
          <w:p w:rsidR="00044A13" w:rsidP="00D70889" w14:paraId="5369A21F" w14:textId="77777777">
            <w:pPr>
              <w:tabs>
                <w:tab w:val="left" w:pos="-720"/>
                <w:tab w:val="left" w:pos="0"/>
              </w:tabs>
              <w:suppressAutoHyphens/>
              <w:jc w:val="center"/>
              <w:rPr>
                <w:b/>
                <w:sz w:val="16"/>
                <w:szCs w:val="16"/>
              </w:rPr>
            </w:pPr>
            <w:r>
              <w:rPr>
                <w:b/>
                <w:sz w:val="16"/>
                <w:szCs w:val="16"/>
              </w:rPr>
              <w:t>9.</w:t>
            </w:r>
          </w:p>
          <w:p w:rsidR="00044A13" w:rsidP="00D70889" w14:paraId="167D6850" w14:textId="77777777">
            <w:pPr>
              <w:tabs>
                <w:tab w:val="left" w:pos="-720"/>
                <w:tab w:val="left" w:pos="0"/>
              </w:tabs>
              <w:suppressAutoHyphens/>
              <w:jc w:val="center"/>
              <w:rPr>
                <w:b/>
                <w:sz w:val="16"/>
                <w:szCs w:val="16"/>
              </w:rPr>
            </w:pPr>
            <w:r>
              <w:rPr>
                <w:b/>
                <w:sz w:val="16"/>
                <w:szCs w:val="16"/>
              </w:rPr>
              <w:t>Total Annual Number of Burden Hours</w:t>
            </w:r>
          </w:p>
          <w:p w:rsidR="00044A13" w:rsidP="00D70889" w14:paraId="641791DD" w14:textId="77777777">
            <w:pPr>
              <w:tabs>
                <w:tab w:val="left" w:pos="-720"/>
                <w:tab w:val="left" w:pos="0"/>
              </w:tabs>
              <w:suppressAutoHyphens/>
              <w:jc w:val="center"/>
              <w:rPr>
                <w:b/>
                <w:sz w:val="16"/>
                <w:szCs w:val="16"/>
              </w:rPr>
            </w:pPr>
            <w:r>
              <w:rPr>
                <w:b/>
                <w:sz w:val="16"/>
                <w:szCs w:val="16"/>
              </w:rPr>
              <w:t>(2 × 5)</w:t>
            </w:r>
          </w:p>
        </w:tc>
        <w:tc>
          <w:tcPr>
            <w:tcW w:w="502" w:type="pct"/>
            <w:tcBorders>
              <w:top w:val="single" w:sz="4" w:space="0" w:color="000000"/>
              <w:left w:val="single" w:sz="4" w:space="0" w:color="000000"/>
              <w:bottom w:val="single" w:sz="4" w:space="0" w:color="000000"/>
              <w:right w:val="single" w:sz="4" w:space="0" w:color="000000"/>
            </w:tcBorders>
            <w:hideMark/>
          </w:tcPr>
          <w:p w:rsidR="00044A13" w:rsidP="00D70889" w14:paraId="7743AC17" w14:textId="77777777">
            <w:pPr>
              <w:tabs>
                <w:tab w:val="left" w:pos="-720"/>
                <w:tab w:val="left" w:pos="0"/>
              </w:tabs>
              <w:suppressAutoHyphens/>
              <w:jc w:val="center"/>
              <w:rPr>
                <w:b/>
                <w:sz w:val="16"/>
                <w:szCs w:val="16"/>
              </w:rPr>
            </w:pPr>
            <w:r>
              <w:rPr>
                <w:b/>
                <w:sz w:val="16"/>
                <w:szCs w:val="16"/>
              </w:rPr>
              <w:t>10.</w:t>
            </w:r>
          </w:p>
          <w:p w:rsidR="00044A13" w:rsidP="00D70889" w14:paraId="7A2DE244" w14:textId="77777777">
            <w:pPr>
              <w:tabs>
                <w:tab w:val="left" w:pos="-720"/>
                <w:tab w:val="left" w:pos="0"/>
              </w:tabs>
              <w:suppressAutoHyphens/>
              <w:jc w:val="center"/>
              <w:rPr>
                <w:b/>
                <w:sz w:val="16"/>
                <w:szCs w:val="16"/>
              </w:rPr>
            </w:pPr>
            <w:r>
              <w:rPr>
                <w:b/>
                <w:sz w:val="16"/>
                <w:szCs w:val="16"/>
              </w:rPr>
              <w:t>Total Annual Burden Hour Cost of All Responses</w:t>
            </w:r>
          </w:p>
          <w:p w:rsidR="00044A13" w:rsidP="00D70889" w14:paraId="4D4E4AE8" w14:textId="77777777">
            <w:pPr>
              <w:tabs>
                <w:tab w:val="left" w:pos="-720"/>
                <w:tab w:val="left" w:pos="0"/>
              </w:tabs>
              <w:suppressAutoHyphens/>
              <w:jc w:val="center"/>
              <w:rPr>
                <w:b/>
                <w:sz w:val="16"/>
                <w:szCs w:val="16"/>
              </w:rPr>
            </w:pPr>
            <w:r>
              <w:rPr>
                <w:b/>
                <w:sz w:val="16"/>
                <w:szCs w:val="16"/>
              </w:rPr>
              <w:t>(2 × 7)</w:t>
            </w:r>
          </w:p>
        </w:tc>
      </w:tr>
      <w:tr w14:paraId="75A1A01D" w14:textId="77777777" w:rsidTr="00C00154">
        <w:tblPrEx>
          <w:tblW w:w="5641" w:type="pct"/>
          <w:tblLook w:val="04A0"/>
        </w:tblPrEx>
        <w:trPr>
          <w:trHeight w:val="977"/>
        </w:trPr>
        <w:tc>
          <w:tcPr>
            <w:tcW w:w="737" w:type="pct"/>
            <w:tcBorders>
              <w:top w:val="single" w:sz="4" w:space="0" w:color="000000"/>
              <w:left w:val="single" w:sz="4" w:space="0" w:color="000000"/>
              <w:bottom w:val="single" w:sz="4" w:space="0" w:color="000000"/>
              <w:right w:val="single" w:sz="4" w:space="0" w:color="000000"/>
            </w:tcBorders>
            <w:hideMark/>
          </w:tcPr>
          <w:p w:rsidR="00044A13" w:rsidP="00D70889" w14:paraId="0EB85C06" w14:textId="4F26ABE4">
            <w:pPr>
              <w:tabs>
                <w:tab w:val="left" w:pos="-720"/>
                <w:tab w:val="left" w:pos="0"/>
              </w:tabs>
              <w:suppressAutoHyphens/>
              <w:rPr>
                <w:b/>
                <w:sz w:val="16"/>
                <w:szCs w:val="16"/>
              </w:rPr>
            </w:pPr>
            <w:r w:rsidRPr="00D70889">
              <w:rPr>
                <w:b/>
                <w:sz w:val="16"/>
                <w:szCs w:val="16"/>
              </w:rPr>
              <w:t>Survey of the Costs of Bank Secrecy Act/Anti-Money Laundering Compliance</w:t>
            </w:r>
          </w:p>
        </w:tc>
        <w:tc>
          <w:tcPr>
            <w:tcW w:w="496" w:type="pct"/>
            <w:tcBorders>
              <w:top w:val="single" w:sz="4" w:space="0" w:color="000000"/>
              <w:left w:val="single" w:sz="4" w:space="0" w:color="000000"/>
              <w:bottom w:val="single" w:sz="4" w:space="0" w:color="000000"/>
              <w:right w:val="single" w:sz="4" w:space="0" w:color="000000"/>
            </w:tcBorders>
            <w:hideMark/>
          </w:tcPr>
          <w:p w:rsidR="00044A13" w:rsidP="00D70889" w14:paraId="51AF1E4E" w14:textId="3BA50B06">
            <w:pPr>
              <w:tabs>
                <w:tab w:val="left" w:pos="-720"/>
                <w:tab w:val="left" w:pos="0"/>
              </w:tabs>
              <w:suppressAutoHyphens/>
              <w:jc w:val="center"/>
              <w:rPr>
                <w:b/>
                <w:sz w:val="16"/>
                <w:szCs w:val="16"/>
              </w:rPr>
            </w:pPr>
            <w:r>
              <w:rPr>
                <w:b/>
                <w:sz w:val="16"/>
                <w:szCs w:val="16"/>
              </w:rPr>
              <w:t>95</w:t>
            </w:r>
            <w:r w:rsidR="00A22EC0">
              <w:rPr>
                <w:b/>
                <w:sz w:val="16"/>
                <w:szCs w:val="16"/>
              </w:rPr>
              <w:t>1</w:t>
            </w:r>
          </w:p>
        </w:tc>
        <w:tc>
          <w:tcPr>
            <w:tcW w:w="430" w:type="pct"/>
            <w:tcBorders>
              <w:top w:val="single" w:sz="4" w:space="0" w:color="000000"/>
              <w:left w:val="single" w:sz="4" w:space="0" w:color="000000"/>
              <w:bottom w:val="single" w:sz="4" w:space="0" w:color="000000"/>
              <w:right w:val="single" w:sz="4" w:space="0" w:color="000000"/>
            </w:tcBorders>
            <w:hideMark/>
          </w:tcPr>
          <w:p w:rsidR="00044A13" w:rsidP="00D70889" w14:paraId="462A8528" w14:textId="2B7C7205">
            <w:pPr>
              <w:tabs>
                <w:tab w:val="left" w:pos="-720"/>
                <w:tab w:val="left" w:pos="0"/>
              </w:tabs>
              <w:suppressAutoHyphens/>
              <w:jc w:val="center"/>
              <w:rPr>
                <w:b/>
                <w:sz w:val="16"/>
                <w:szCs w:val="16"/>
              </w:rPr>
            </w:pPr>
            <w:r>
              <w:rPr>
                <w:b/>
                <w:sz w:val="16"/>
                <w:szCs w:val="16"/>
              </w:rPr>
              <w:t>1</w:t>
            </w:r>
          </w:p>
        </w:tc>
        <w:tc>
          <w:tcPr>
            <w:tcW w:w="420" w:type="pct"/>
            <w:tcBorders>
              <w:top w:val="single" w:sz="4" w:space="0" w:color="000000"/>
              <w:left w:val="single" w:sz="4" w:space="0" w:color="000000"/>
              <w:bottom w:val="single" w:sz="4" w:space="0" w:color="000000"/>
              <w:right w:val="single" w:sz="4" w:space="0" w:color="000000"/>
            </w:tcBorders>
            <w:hideMark/>
          </w:tcPr>
          <w:p w:rsidR="00044A13" w:rsidP="00D70889" w14:paraId="68431BCE" w14:textId="4512216E">
            <w:pPr>
              <w:tabs>
                <w:tab w:val="left" w:pos="-720"/>
                <w:tab w:val="left" w:pos="0"/>
              </w:tabs>
              <w:suppressAutoHyphens/>
              <w:jc w:val="center"/>
              <w:rPr>
                <w:b/>
                <w:sz w:val="16"/>
                <w:szCs w:val="16"/>
              </w:rPr>
            </w:pPr>
            <w:r>
              <w:rPr>
                <w:b/>
                <w:sz w:val="16"/>
                <w:szCs w:val="16"/>
              </w:rPr>
              <w:t>2</w:t>
            </w:r>
          </w:p>
        </w:tc>
        <w:tc>
          <w:tcPr>
            <w:tcW w:w="511" w:type="pct"/>
            <w:tcBorders>
              <w:top w:val="single" w:sz="4" w:space="0" w:color="000000"/>
              <w:left w:val="single" w:sz="4" w:space="0" w:color="000000"/>
              <w:bottom w:val="single" w:sz="4" w:space="0" w:color="000000"/>
              <w:right w:val="single" w:sz="4" w:space="0" w:color="000000"/>
            </w:tcBorders>
            <w:hideMark/>
          </w:tcPr>
          <w:p w:rsidR="00044A13" w:rsidP="00D70889" w14:paraId="718EAA97" w14:textId="09F3AC34">
            <w:pPr>
              <w:tabs>
                <w:tab w:val="left" w:pos="-720"/>
                <w:tab w:val="left" w:pos="0"/>
              </w:tabs>
              <w:suppressAutoHyphens/>
              <w:jc w:val="center"/>
              <w:rPr>
                <w:b/>
                <w:sz w:val="16"/>
                <w:szCs w:val="16"/>
              </w:rPr>
            </w:pPr>
            <w:r>
              <w:rPr>
                <w:b/>
                <w:sz w:val="16"/>
                <w:szCs w:val="16"/>
              </w:rPr>
              <w:t>2</w:t>
            </w:r>
          </w:p>
        </w:tc>
        <w:tc>
          <w:tcPr>
            <w:tcW w:w="464" w:type="pct"/>
            <w:tcBorders>
              <w:top w:val="single" w:sz="4" w:space="0" w:color="000000"/>
              <w:left w:val="single" w:sz="4" w:space="0" w:color="000000"/>
              <w:bottom w:val="single" w:sz="4" w:space="0" w:color="000000"/>
              <w:right w:val="single" w:sz="4" w:space="0" w:color="000000"/>
            </w:tcBorders>
            <w:hideMark/>
          </w:tcPr>
          <w:p w:rsidR="00044A13" w:rsidP="00D70889" w14:paraId="09334D42" w14:textId="77777777">
            <w:pPr>
              <w:tabs>
                <w:tab w:val="left" w:pos="-720"/>
                <w:tab w:val="left" w:pos="0"/>
              </w:tabs>
              <w:suppressAutoHyphens/>
              <w:jc w:val="center"/>
              <w:rPr>
                <w:b/>
                <w:sz w:val="16"/>
                <w:szCs w:val="16"/>
              </w:rPr>
            </w:pPr>
            <w:r>
              <w:rPr>
                <w:b/>
                <w:sz w:val="16"/>
                <w:szCs w:val="16"/>
              </w:rPr>
              <w:t>$100</w:t>
            </w:r>
          </w:p>
        </w:tc>
        <w:tc>
          <w:tcPr>
            <w:tcW w:w="509" w:type="pct"/>
            <w:tcBorders>
              <w:top w:val="single" w:sz="4" w:space="0" w:color="000000"/>
              <w:left w:val="single" w:sz="4" w:space="0" w:color="000000"/>
              <w:bottom w:val="single" w:sz="4" w:space="0" w:color="000000"/>
              <w:right w:val="single" w:sz="4" w:space="0" w:color="000000"/>
            </w:tcBorders>
            <w:hideMark/>
          </w:tcPr>
          <w:p w:rsidR="00044A13" w:rsidP="00D70889" w14:paraId="10278DC2" w14:textId="0660BBE5">
            <w:pPr>
              <w:jc w:val="center"/>
              <w:rPr>
                <w:rFonts w:eastAsia="Calibri"/>
                <w:b/>
                <w:sz w:val="16"/>
                <w:szCs w:val="16"/>
              </w:rPr>
            </w:pPr>
            <w:r>
              <w:rPr>
                <w:rFonts w:eastAsia="Calibri"/>
                <w:b/>
                <w:sz w:val="16"/>
                <w:szCs w:val="16"/>
              </w:rPr>
              <w:t>$</w:t>
            </w:r>
            <w:r w:rsidR="000006A7">
              <w:rPr>
                <w:rFonts w:eastAsia="Calibri"/>
                <w:b/>
                <w:sz w:val="16"/>
                <w:szCs w:val="16"/>
              </w:rPr>
              <w:t>200</w:t>
            </w:r>
          </w:p>
        </w:tc>
        <w:tc>
          <w:tcPr>
            <w:tcW w:w="465" w:type="pct"/>
            <w:tcBorders>
              <w:top w:val="single" w:sz="4" w:space="0" w:color="000000"/>
              <w:left w:val="single" w:sz="4" w:space="0" w:color="000000"/>
              <w:bottom w:val="single" w:sz="4" w:space="0" w:color="000000"/>
              <w:right w:val="single" w:sz="4" w:space="0" w:color="000000"/>
            </w:tcBorders>
            <w:hideMark/>
          </w:tcPr>
          <w:p w:rsidR="00044A13" w:rsidP="00D70889" w14:paraId="58760878" w14:textId="0DEAB35D">
            <w:pPr>
              <w:tabs>
                <w:tab w:val="left" w:pos="-720"/>
                <w:tab w:val="left" w:pos="0"/>
              </w:tabs>
              <w:suppressAutoHyphens/>
              <w:jc w:val="center"/>
              <w:rPr>
                <w:b/>
                <w:sz w:val="16"/>
                <w:szCs w:val="16"/>
              </w:rPr>
            </w:pPr>
            <w:r>
              <w:rPr>
                <w:b/>
                <w:sz w:val="16"/>
                <w:szCs w:val="16"/>
              </w:rPr>
              <w:t>95</w:t>
            </w:r>
            <w:r w:rsidR="00A22EC0">
              <w:rPr>
                <w:b/>
                <w:sz w:val="16"/>
                <w:szCs w:val="16"/>
              </w:rPr>
              <w:t>1</w:t>
            </w:r>
          </w:p>
        </w:tc>
        <w:tc>
          <w:tcPr>
            <w:tcW w:w="465" w:type="pct"/>
            <w:tcBorders>
              <w:top w:val="single" w:sz="4" w:space="0" w:color="000000"/>
              <w:left w:val="single" w:sz="4" w:space="0" w:color="000000"/>
              <w:bottom w:val="single" w:sz="4" w:space="0" w:color="000000"/>
              <w:right w:val="single" w:sz="4" w:space="0" w:color="000000"/>
            </w:tcBorders>
            <w:hideMark/>
          </w:tcPr>
          <w:p w:rsidR="00044A13" w:rsidP="00D70889" w14:paraId="432FB7E3" w14:textId="33A1A9E7">
            <w:pPr>
              <w:tabs>
                <w:tab w:val="left" w:pos="-720"/>
                <w:tab w:val="left" w:pos="0"/>
              </w:tabs>
              <w:suppressAutoHyphens/>
              <w:jc w:val="center"/>
              <w:rPr>
                <w:b/>
                <w:sz w:val="16"/>
                <w:szCs w:val="16"/>
              </w:rPr>
            </w:pPr>
            <w:r>
              <w:rPr>
                <w:b/>
                <w:sz w:val="16"/>
                <w:szCs w:val="16"/>
              </w:rPr>
              <w:t>1902</w:t>
            </w:r>
          </w:p>
        </w:tc>
        <w:tc>
          <w:tcPr>
            <w:tcW w:w="502" w:type="pct"/>
            <w:tcBorders>
              <w:top w:val="single" w:sz="4" w:space="0" w:color="000000"/>
              <w:left w:val="single" w:sz="4" w:space="0" w:color="000000"/>
              <w:bottom w:val="single" w:sz="4" w:space="0" w:color="000000"/>
              <w:right w:val="single" w:sz="4" w:space="0" w:color="000000"/>
            </w:tcBorders>
            <w:hideMark/>
          </w:tcPr>
          <w:p w:rsidR="00044A13" w:rsidP="00D70889" w14:paraId="18AE6692" w14:textId="2DAC59E9">
            <w:pPr>
              <w:tabs>
                <w:tab w:val="left" w:pos="-720"/>
                <w:tab w:val="left" w:pos="0"/>
              </w:tabs>
              <w:suppressAutoHyphens/>
              <w:jc w:val="center"/>
              <w:rPr>
                <w:b/>
                <w:sz w:val="16"/>
                <w:szCs w:val="16"/>
              </w:rPr>
            </w:pPr>
            <w:r>
              <w:rPr>
                <w:b/>
                <w:sz w:val="16"/>
                <w:szCs w:val="16"/>
              </w:rPr>
              <w:t>$190,200</w:t>
            </w:r>
          </w:p>
        </w:tc>
      </w:tr>
    </w:tbl>
    <w:p w:rsidR="00731AE3" w:rsidP="00E86E14" w14:paraId="7E1145C2" w14:textId="73ECA1AC">
      <w:pPr>
        <w:tabs>
          <w:tab w:val="left" w:pos="0"/>
        </w:tabs>
        <w:spacing w:after="360"/>
        <w:ind w:right="-1267" w:hanging="1267"/>
        <w:jc w:val="center"/>
        <w:rPr>
          <w:b/>
          <w:bCs/>
          <w:u w:val="single"/>
        </w:rPr>
      </w:pPr>
      <w:r w:rsidRPr="00BC4082">
        <w:rPr>
          <w:b/>
          <w:bCs/>
          <w:u w:val="single"/>
        </w:rPr>
        <w:t>ATTACHMENT A</w:t>
      </w:r>
    </w:p>
    <w:sectPr w:rsidSect="00EA4F31">
      <w:pgSz w:w="15840" w:h="12240" w:orient="landscape"/>
      <w:pgMar w:top="1800" w:right="1440" w:bottom="180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1BA" w:rsidP="003D0031" w14:paraId="7E1145C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B71BA" w14:paraId="7E1145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1BA" w:rsidP="003D0031" w14:paraId="7E1145C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6269">
      <w:rPr>
        <w:rStyle w:val="PageNumber"/>
        <w:noProof/>
      </w:rPr>
      <w:t>9</w:t>
    </w:r>
    <w:r>
      <w:rPr>
        <w:rStyle w:val="PageNumber"/>
      </w:rPr>
      <w:fldChar w:fldCharType="end"/>
    </w:r>
  </w:p>
  <w:p w:rsidR="000B71BA" w14:paraId="7E1145C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2EBE" w14:paraId="79D1D63D" w14:textId="77777777">
      <w:r>
        <w:separator/>
      </w:r>
    </w:p>
  </w:footnote>
  <w:footnote w:type="continuationSeparator" w:id="1">
    <w:p w:rsidR="00112EBE" w14:paraId="73265F05" w14:textId="77777777">
      <w:r>
        <w:continuationSeparator/>
      </w:r>
    </w:p>
  </w:footnote>
  <w:footnote w:id="2">
    <w:p w:rsidR="00DF43A8" w14:paraId="6152FB32" w14:textId="7E34EEFD">
      <w:pPr>
        <w:pStyle w:val="FootnoteText"/>
      </w:pPr>
      <w:r>
        <w:rPr>
          <w:rStyle w:val="FootnoteReference"/>
        </w:rPr>
        <w:footnoteRef/>
      </w:r>
      <w:r>
        <w:t xml:space="preserve"> The Commission estimated </w:t>
      </w:r>
      <w:r w:rsidR="00824A9D">
        <w:t>a total of 956 respondents in its initial request for comment on the proposed collection.  These estimates have been updated to refl</w:t>
      </w:r>
      <w:r w:rsidR="00C27B04">
        <w:t xml:space="preserve">ect updated total of </w:t>
      </w:r>
      <w:r w:rsidR="00926A22">
        <w:rPr>
          <w:iCs/>
        </w:rPr>
        <w:t>CFTC-registered futures commission merchants and introducing brokers</w:t>
      </w:r>
      <w:r w:rsidR="004C3F09">
        <w:rPr>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F9334D"/>
    <w:multiLevelType w:val="hybridMultilevel"/>
    <w:tmpl w:val="E716DF9C"/>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u w:val="none"/>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5E9B2A8A"/>
    <w:multiLevelType w:val="hybridMultilevel"/>
    <w:tmpl w:val="8AD0D06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6ED564E"/>
    <w:multiLevelType w:val="hybridMultilevel"/>
    <w:tmpl w:val="7EF60CC2"/>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Times New Roman" w:eastAsia="Times New Roman" w:hAnsi="Times New Roman" w:cs="Times New Roman"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D4C5105"/>
    <w:multiLevelType w:val="hybridMultilevel"/>
    <w:tmpl w:val="4B123FCC"/>
    <w:lvl w:ilvl="0">
      <w:start w:val="1"/>
      <w:numFmt w:val="bullet"/>
      <w:lvlText w:val=""/>
      <w:lvlJc w:val="left"/>
      <w:pPr>
        <w:ind w:left="1440" w:hanging="360"/>
      </w:pPr>
      <w:rPr>
        <w:rFonts w:ascii="Symbol" w:hAnsi="Symbol" w:hint="default"/>
      </w:rPr>
    </w:lvl>
    <w:lvl w:ilvl="1">
      <w:start w:val="0"/>
      <w:numFmt w:val="bullet"/>
      <w:lvlText w:val="-"/>
      <w:lvlJc w:val="left"/>
      <w:pPr>
        <w:ind w:left="2160" w:hanging="36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E377373"/>
    <w:multiLevelType w:val="hybridMultilevel"/>
    <w:tmpl w:val="034E1A34"/>
    <w:lvl w:ilvl="0">
      <w:start w:val="0"/>
      <w:numFmt w:val="bullet"/>
      <w:lvlText w:val="-"/>
      <w:lvlJc w:val="left"/>
      <w:pPr>
        <w:ind w:left="1080" w:hanging="360"/>
      </w:pPr>
      <w:rPr>
        <w:rFonts w:ascii="Times New Roman" w:eastAsia="Times New Roman" w:hAnsi="Times New Roman" w:cs="Times New Roman" w:hint="default"/>
        <w:u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06371261">
    <w:abstractNumId w:val="2"/>
  </w:num>
  <w:num w:numId="2" w16cid:durableId="1371415135">
    <w:abstractNumId w:val="0"/>
  </w:num>
  <w:num w:numId="3" w16cid:durableId="1396197425">
    <w:abstractNumId w:val="4"/>
  </w:num>
  <w:num w:numId="4" w16cid:durableId="1073509694">
    <w:abstractNumId w:val="3"/>
  </w:num>
  <w:num w:numId="5" w16cid:durableId="1145201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F88"/>
    <w:rsid w:val="000006A7"/>
    <w:rsid w:val="00010FE4"/>
    <w:rsid w:val="00022399"/>
    <w:rsid w:val="00036BC7"/>
    <w:rsid w:val="00044A13"/>
    <w:rsid w:val="00046593"/>
    <w:rsid w:val="0005290F"/>
    <w:rsid w:val="00055F0F"/>
    <w:rsid w:val="00065C6C"/>
    <w:rsid w:val="00082D39"/>
    <w:rsid w:val="0008740E"/>
    <w:rsid w:val="000958A7"/>
    <w:rsid w:val="0009606E"/>
    <w:rsid w:val="000A2636"/>
    <w:rsid w:val="000B18D9"/>
    <w:rsid w:val="000B71BA"/>
    <w:rsid w:val="000C03F0"/>
    <w:rsid w:val="000C26A7"/>
    <w:rsid w:val="000C60B3"/>
    <w:rsid w:val="000D428B"/>
    <w:rsid w:val="000D5939"/>
    <w:rsid w:val="000D7E7B"/>
    <w:rsid w:val="000E1922"/>
    <w:rsid w:val="00105546"/>
    <w:rsid w:val="00105B02"/>
    <w:rsid w:val="00110B47"/>
    <w:rsid w:val="00111C5F"/>
    <w:rsid w:val="00112EBE"/>
    <w:rsid w:val="00115792"/>
    <w:rsid w:val="00124406"/>
    <w:rsid w:val="00141789"/>
    <w:rsid w:val="001417E0"/>
    <w:rsid w:val="0015309B"/>
    <w:rsid w:val="00166629"/>
    <w:rsid w:val="001B344E"/>
    <w:rsid w:val="001B78F9"/>
    <w:rsid w:val="001C3E20"/>
    <w:rsid w:val="001D0B82"/>
    <w:rsid w:val="001D6F81"/>
    <w:rsid w:val="001E288D"/>
    <w:rsid w:val="001F5EB2"/>
    <w:rsid w:val="001F6066"/>
    <w:rsid w:val="00203BC0"/>
    <w:rsid w:val="00212306"/>
    <w:rsid w:val="00213A83"/>
    <w:rsid w:val="002209DA"/>
    <w:rsid w:val="0022100D"/>
    <w:rsid w:val="00225886"/>
    <w:rsid w:val="0023298F"/>
    <w:rsid w:val="002369C5"/>
    <w:rsid w:val="00237CBC"/>
    <w:rsid w:val="00251075"/>
    <w:rsid w:val="00251C9B"/>
    <w:rsid w:val="0025744D"/>
    <w:rsid w:val="002621AD"/>
    <w:rsid w:val="002648AA"/>
    <w:rsid w:val="00264A7B"/>
    <w:rsid w:val="00273FAD"/>
    <w:rsid w:val="00276AAA"/>
    <w:rsid w:val="00276AF1"/>
    <w:rsid w:val="00277EE6"/>
    <w:rsid w:val="00282A33"/>
    <w:rsid w:val="002B1637"/>
    <w:rsid w:val="002B3C0A"/>
    <w:rsid w:val="002C1B46"/>
    <w:rsid w:val="002C1EF5"/>
    <w:rsid w:val="002D019B"/>
    <w:rsid w:val="002E44DD"/>
    <w:rsid w:val="002F0E71"/>
    <w:rsid w:val="002F5452"/>
    <w:rsid w:val="003125F9"/>
    <w:rsid w:val="00317905"/>
    <w:rsid w:val="003248B9"/>
    <w:rsid w:val="00325D4D"/>
    <w:rsid w:val="00341FA5"/>
    <w:rsid w:val="00344061"/>
    <w:rsid w:val="00351E7E"/>
    <w:rsid w:val="003601C8"/>
    <w:rsid w:val="00371F5D"/>
    <w:rsid w:val="00372F09"/>
    <w:rsid w:val="003749D9"/>
    <w:rsid w:val="003813D3"/>
    <w:rsid w:val="00381C3F"/>
    <w:rsid w:val="003855F4"/>
    <w:rsid w:val="00385841"/>
    <w:rsid w:val="0039066E"/>
    <w:rsid w:val="0039588E"/>
    <w:rsid w:val="003A55E4"/>
    <w:rsid w:val="003A5D00"/>
    <w:rsid w:val="003D0031"/>
    <w:rsid w:val="003D6E66"/>
    <w:rsid w:val="003E30E4"/>
    <w:rsid w:val="003F4D2C"/>
    <w:rsid w:val="00412F88"/>
    <w:rsid w:val="00426607"/>
    <w:rsid w:val="00430834"/>
    <w:rsid w:val="00437F73"/>
    <w:rsid w:val="00447D6E"/>
    <w:rsid w:val="00447E61"/>
    <w:rsid w:val="0045618F"/>
    <w:rsid w:val="0046041E"/>
    <w:rsid w:val="00465935"/>
    <w:rsid w:val="0047019E"/>
    <w:rsid w:val="0047386D"/>
    <w:rsid w:val="004750C7"/>
    <w:rsid w:val="004815A1"/>
    <w:rsid w:val="00495DEF"/>
    <w:rsid w:val="004A5695"/>
    <w:rsid w:val="004A6E90"/>
    <w:rsid w:val="004A7DF4"/>
    <w:rsid w:val="004B2A0C"/>
    <w:rsid w:val="004B6964"/>
    <w:rsid w:val="004B7553"/>
    <w:rsid w:val="004C3F09"/>
    <w:rsid w:val="004E2313"/>
    <w:rsid w:val="004F567A"/>
    <w:rsid w:val="004F71DF"/>
    <w:rsid w:val="0050299B"/>
    <w:rsid w:val="005320C4"/>
    <w:rsid w:val="0053764D"/>
    <w:rsid w:val="005421ED"/>
    <w:rsid w:val="00550B9C"/>
    <w:rsid w:val="005520CF"/>
    <w:rsid w:val="00562F92"/>
    <w:rsid w:val="00566C94"/>
    <w:rsid w:val="00587CBB"/>
    <w:rsid w:val="00591319"/>
    <w:rsid w:val="00592E97"/>
    <w:rsid w:val="005958E4"/>
    <w:rsid w:val="005A7286"/>
    <w:rsid w:val="005B1E7B"/>
    <w:rsid w:val="005C0C5B"/>
    <w:rsid w:val="005C75D9"/>
    <w:rsid w:val="00603566"/>
    <w:rsid w:val="0062731F"/>
    <w:rsid w:val="0064261D"/>
    <w:rsid w:val="00652869"/>
    <w:rsid w:val="006949CE"/>
    <w:rsid w:val="006978AD"/>
    <w:rsid w:val="006B48BB"/>
    <w:rsid w:val="006C1A83"/>
    <w:rsid w:val="006C7A31"/>
    <w:rsid w:val="006E00E4"/>
    <w:rsid w:val="006E0D92"/>
    <w:rsid w:val="0071592E"/>
    <w:rsid w:val="00717F03"/>
    <w:rsid w:val="007271C5"/>
    <w:rsid w:val="00731AE3"/>
    <w:rsid w:val="0073792C"/>
    <w:rsid w:val="0075115F"/>
    <w:rsid w:val="0075588C"/>
    <w:rsid w:val="00762430"/>
    <w:rsid w:val="00774BB5"/>
    <w:rsid w:val="007839EC"/>
    <w:rsid w:val="007944BE"/>
    <w:rsid w:val="007976C9"/>
    <w:rsid w:val="007A28E7"/>
    <w:rsid w:val="007B079C"/>
    <w:rsid w:val="007B5A24"/>
    <w:rsid w:val="007B6BA6"/>
    <w:rsid w:val="007C48F9"/>
    <w:rsid w:val="007D31C0"/>
    <w:rsid w:val="007D53FA"/>
    <w:rsid w:val="007E494C"/>
    <w:rsid w:val="007E7972"/>
    <w:rsid w:val="007F0302"/>
    <w:rsid w:val="007F5726"/>
    <w:rsid w:val="007F5811"/>
    <w:rsid w:val="007F62DA"/>
    <w:rsid w:val="007F68D1"/>
    <w:rsid w:val="00805FAA"/>
    <w:rsid w:val="00824A9D"/>
    <w:rsid w:val="00827D3A"/>
    <w:rsid w:val="00835D77"/>
    <w:rsid w:val="00835FF1"/>
    <w:rsid w:val="00837BCD"/>
    <w:rsid w:val="0086435E"/>
    <w:rsid w:val="008730D5"/>
    <w:rsid w:val="008745F2"/>
    <w:rsid w:val="00882D6A"/>
    <w:rsid w:val="00886803"/>
    <w:rsid w:val="008964AE"/>
    <w:rsid w:val="008A0287"/>
    <w:rsid w:val="008A282B"/>
    <w:rsid w:val="008C396F"/>
    <w:rsid w:val="008E11A5"/>
    <w:rsid w:val="008F4052"/>
    <w:rsid w:val="00911180"/>
    <w:rsid w:val="0091135D"/>
    <w:rsid w:val="009165D3"/>
    <w:rsid w:val="00924C03"/>
    <w:rsid w:val="00926A22"/>
    <w:rsid w:val="00931308"/>
    <w:rsid w:val="00935B74"/>
    <w:rsid w:val="00936443"/>
    <w:rsid w:val="00942155"/>
    <w:rsid w:val="00946FC8"/>
    <w:rsid w:val="009554BE"/>
    <w:rsid w:val="00967F06"/>
    <w:rsid w:val="009733BF"/>
    <w:rsid w:val="00984170"/>
    <w:rsid w:val="00993AD3"/>
    <w:rsid w:val="009A34EA"/>
    <w:rsid w:val="009B07E6"/>
    <w:rsid w:val="009B6486"/>
    <w:rsid w:val="009C6471"/>
    <w:rsid w:val="009D191B"/>
    <w:rsid w:val="009D3304"/>
    <w:rsid w:val="009E02CC"/>
    <w:rsid w:val="009E13F2"/>
    <w:rsid w:val="009F1A7D"/>
    <w:rsid w:val="009F642F"/>
    <w:rsid w:val="00A04356"/>
    <w:rsid w:val="00A22EC0"/>
    <w:rsid w:val="00A33511"/>
    <w:rsid w:val="00A41E80"/>
    <w:rsid w:val="00A448B9"/>
    <w:rsid w:val="00AA659D"/>
    <w:rsid w:val="00AB2647"/>
    <w:rsid w:val="00AB7995"/>
    <w:rsid w:val="00AC0F4E"/>
    <w:rsid w:val="00AC160A"/>
    <w:rsid w:val="00AD2C55"/>
    <w:rsid w:val="00AD4180"/>
    <w:rsid w:val="00B03B7E"/>
    <w:rsid w:val="00B131A6"/>
    <w:rsid w:val="00B30326"/>
    <w:rsid w:val="00B34154"/>
    <w:rsid w:val="00B3621F"/>
    <w:rsid w:val="00B40315"/>
    <w:rsid w:val="00B478FD"/>
    <w:rsid w:val="00B75541"/>
    <w:rsid w:val="00B86376"/>
    <w:rsid w:val="00BB0EE5"/>
    <w:rsid w:val="00BB6E7A"/>
    <w:rsid w:val="00BC16CA"/>
    <w:rsid w:val="00BC4082"/>
    <w:rsid w:val="00BC54B7"/>
    <w:rsid w:val="00BE0DC3"/>
    <w:rsid w:val="00BE3A56"/>
    <w:rsid w:val="00BE4E59"/>
    <w:rsid w:val="00BE5A0C"/>
    <w:rsid w:val="00C00154"/>
    <w:rsid w:val="00C06269"/>
    <w:rsid w:val="00C27B04"/>
    <w:rsid w:val="00C46CB2"/>
    <w:rsid w:val="00C56E07"/>
    <w:rsid w:val="00C6311A"/>
    <w:rsid w:val="00C6405E"/>
    <w:rsid w:val="00C6674C"/>
    <w:rsid w:val="00C74A43"/>
    <w:rsid w:val="00C7511C"/>
    <w:rsid w:val="00C75956"/>
    <w:rsid w:val="00CA390E"/>
    <w:rsid w:val="00CA7427"/>
    <w:rsid w:val="00CB4BB5"/>
    <w:rsid w:val="00CC6F4A"/>
    <w:rsid w:val="00CC7B8E"/>
    <w:rsid w:val="00CD22E7"/>
    <w:rsid w:val="00CF2240"/>
    <w:rsid w:val="00CF2B6B"/>
    <w:rsid w:val="00CF5C97"/>
    <w:rsid w:val="00D0319F"/>
    <w:rsid w:val="00D069B2"/>
    <w:rsid w:val="00D15AA6"/>
    <w:rsid w:val="00D20F9A"/>
    <w:rsid w:val="00D32281"/>
    <w:rsid w:val="00D361CB"/>
    <w:rsid w:val="00D36699"/>
    <w:rsid w:val="00D378C9"/>
    <w:rsid w:val="00D46509"/>
    <w:rsid w:val="00D5008E"/>
    <w:rsid w:val="00D57C53"/>
    <w:rsid w:val="00D622A9"/>
    <w:rsid w:val="00D67031"/>
    <w:rsid w:val="00D70889"/>
    <w:rsid w:val="00D73804"/>
    <w:rsid w:val="00D75E6B"/>
    <w:rsid w:val="00D95857"/>
    <w:rsid w:val="00DA0D3F"/>
    <w:rsid w:val="00DA1158"/>
    <w:rsid w:val="00DA125B"/>
    <w:rsid w:val="00DB02C3"/>
    <w:rsid w:val="00DB7B88"/>
    <w:rsid w:val="00DC4496"/>
    <w:rsid w:val="00DC7F1C"/>
    <w:rsid w:val="00DD1999"/>
    <w:rsid w:val="00DD2F32"/>
    <w:rsid w:val="00DD639C"/>
    <w:rsid w:val="00DE4A2D"/>
    <w:rsid w:val="00DF1E54"/>
    <w:rsid w:val="00DF3AD0"/>
    <w:rsid w:val="00DF43A8"/>
    <w:rsid w:val="00DF7033"/>
    <w:rsid w:val="00E003B7"/>
    <w:rsid w:val="00E13EC2"/>
    <w:rsid w:val="00E2650A"/>
    <w:rsid w:val="00E32219"/>
    <w:rsid w:val="00E50EF9"/>
    <w:rsid w:val="00E56033"/>
    <w:rsid w:val="00E816AA"/>
    <w:rsid w:val="00E86E14"/>
    <w:rsid w:val="00E94B62"/>
    <w:rsid w:val="00EA250E"/>
    <w:rsid w:val="00EA4F31"/>
    <w:rsid w:val="00EB2A32"/>
    <w:rsid w:val="00EB5513"/>
    <w:rsid w:val="00EB66BE"/>
    <w:rsid w:val="00EC163D"/>
    <w:rsid w:val="00EC2DB2"/>
    <w:rsid w:val="00EC7EA6"/>
    <w:rsid w:val="00ED028B"/>
    <w:rsid w:val="00EF4947"/>
    <w:rsid w:val="00F0664C"/>
    <w:rsid w:val="00F122E6"/>
    <w:rsid w:val="00F12939"/>
    <w:rsid w:val="00F247E0"/>
    <w:rsid w:val="00F26416"/>
    <w:rsid w:val="00F31F00"/>
    <w:rsid w:val="00F4489E"/>
    <w:rsid w:val="00F53369"/>
    <w:rsid w:val="00F54A0E"/>
    <w:rsid w:val="00F54F9F"/>
    <w:rsid w:val="00F848C7"/>
    <w:rsid w:val="00F90965"/>
    <w:rsid w:val="00FB6110"/>
    <w:rsid w:val="00FB7080"/>
    <w:rsid w:val="00FC2ABB"/>
    <w:rsid w:val="00FD087E"/>
    <w:rsid w:val="00FD607C"/>
    <w:rsid w:val="00FF4B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114525"/>
  <w15:chartTrackingRefBased/>
  <w15:docId w15:val="{ADE7C9AB-EF13-4056-B433-13E56433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6" w:uiPriority="99"/>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u w:val="single"/>
    </w:rPr>
  </w:style>
  <w:style w:type="paragraph" w:styleId="Heading2">
    <w:name w:val="heading 2"/>
    <w:basedOn w:val="Normal"/>
    <w:next w:val="Normal"/>
    <w:qFormat/>
    <w:pPr>
      <w:keepNext/>
      <w:outlineLvl w:val="1"/>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styleId="BodyTextIndent2">
    <w:name w:val="Body Text Indent 2"/>
    <w:basedOn w:val="Normal"/>
    <w:pPr>
      <w:ind w:left="1440" w:hanging="720"/>
    </w:pPr>
  </w:style>
  <w:style w:type="paragraph" w:styleId="BodyText">
    <w:name w:val="Body Text"/>
    <w:basedOn w:val="Normal"/>
    <w:rPr>
      <w:sz w:val="22"/>
    </w:rPr>
  </w:style>
  <w:style w:type="paragraph" w:styleId="BodyTextIndent3">
    <w:name w:val="Body Text Indent 3"/>
    <w:basedOn w:val="Normal"/>
    <w:pPr>
      <w:ind w:firstLine="720"/>
    </w:pPr>
  </w:style>
  <w:style w:type="paragraph" w:styleId="BalloonText">
    <w:name w:val="Balloon Text"/>
    <w:basedOn w:val="Normal"/>
    <w:semiHidden/>
    <w:rsid w:val="00412F88"/>
    <w:rPr>
      <w:rFonts w:ascii="Tahoma" w:hAnsi="Tahoma" w:cs="Tahoma"/>
      <w:sz w:val="16"/>
      <w:szCs w:val="16"/>
    </w:rPr>
  </w:style>
  <w:style w:type="paragraph" w:styleId="Footer">
    <w:name w:val="footer"/>
    <w:basedOn w:val="Normal"/>
    <w:rsid w:val="00412F88"/>
    <w:pPr>
      <w:tabs>
        <w:tab w:val="center" w:pos="4320"/>
        <w:tab w:val="right" w:pos="8640"/>
      </w:tabs>
    </w:pPr>
  </w:style>
  <w:style w:type="character" w:styleId="PageNumber">
    <w:name w:val="page number"/>
    <w:basedOn w:val="DefaultParagraphFont"/>
    <w:rsid w:val="00412F88"/>
  </w:style>
  <w:style w:type="paragraph" w:styleId="FootnoteText">
    <w:name w:val="footnote text"/>
    <w:aliases w:val="Car Char,Footnote Text Char Char Char Char Char Char Char Char Char Char Char Char Char Char Char Char Char Char,Footnote Text Char1 Char,Style 36,fn,fn Char,ft"/>
    <w:basedOn w:val="Normal"/>
    <w:link w:val="FootnoteTextChar"/>
    <w:uiPriority w:val="99"/>
    <w:rsid w:val="00731AE3"/>
    <w:rPr>
      <w:sz w:val="20"/>
      <w:szCs w:val="20"/>
    </w:rPr>
  </w:style>
  <w:style w:type="character" w:customStyle="1" w:styleId="FootnoteTextChar">
    <w:name w:val="Footnote Text Char"/>
    <w:aliases w:val="Car Char Char1,Footnote Text Char Char Char Char Char Char Char Char Char Char Char Char Char Char Char Char Char Char Char1,Footnote Text Char1 Char Char1,Style 36 Char1,fn Char Char1,fn Char2,ft Char"/>
    <w:basedOn w:val="DefaultParagraphFont"/>
    <w:link w:val="FootnoteText"/>
    <w:uiPriority w:val="99"/>
    <w:rsid w:val="00731AE3"/>
  </w:style>
  <w:style w:type="character" w:styleId="FootnoteReference">
    <w:name w:val="footnote reference"/>
    <w:aliases w:val="12,16 Point,Footnote Reference Number,Footnote Reference_LVL6,Footnote Reference_LVL61,Footnote Reference_LVL62,Footnote Reference_LVL63,Footnote Reference_LVL64,Style 14,Style 16,Style 19,Style 35,Style 39,Superscript 6 Point,fr"/>
    <w:uiPriority w:val="99"/>
    <w:qFormat/>
    <w:rsid w:val="00731AE3"/>
    <w:rPr>
      <w:vertAlign w:val="superscript"/>
    </w:rPr>
  </w:style>
  <w:style w:type="character" w:styleId="CommentReference">
    <w:name w:val="annotation reference"/>
    <w:uiPriority w:val="99"/>
    <w:rsid w:val="007E7972"/>
    <w:rPr>
      <w:sz w:val="16"/>
      <w:szCs w:val="16"/>
    </w:rPr>
  </w:style>
  <w:style w:type="paragraph" w:styleId="CommentText">
    <w:name w:val="annotation text"/>
    <w:basedOn w:val="Normal"/>
    <w:link w:val="CommentTextChar"/>
    <w:uiPriority w:val="99"/>
    <w:rsid w:val="007E7972"/>
    <w:rPr>
      <w:sz w:val="20"/>
      <w:szCs w:val="20"/>
    </w:rPr>
  </w:style>
  <w:style w:type="character" w:customStyle="1" w:styleId="CommentTextChar">
    <w:name w:val="Comment Text Char"/>
    <w:basedOn w:val="DefaultParagraphFont"/>
    <w:link w:val="CommentText"/>
    <w:uiPriority w:val="99"/>
    <w:rsid w:val="007E7972"/>
  </w:style>
  <w:style w:type="paragraph" w:styleId="CommentSubject">
    <w:name w:val="annotation subject"/>
    <w:basedOn w:val="CommentText"/>
    <w:next w:val="CommentText"/>
    <w:link w:val="CommentSubjectChar"/>
    <w:rsid w:val="007E7972"/>
    <w:rPr>
      <w:b/>
      <w:bCs/>
    </w:rPr>
  </w:style>
  <w:style w:type="character" w:customStyle="1" w:styleId="CommentSubjectChar">
    <w:name w:val="Comment Subject Char"/>
    <w:link w:val="CommentSubject"/>
    <w:rsid w:val="007E7972"/>
    <w:rPr>
      <w:b/>
      <w:bCs/>
    </w:rPr>
  </w:style>
  <w:style w:type="paragraph" w:styleId="TOC6">
    <w:name w:val="toc 6"/>
    <w:basedOn w:val="Normal"/>
    <w:next w:val="Normal"/>
    <w:uiPriority w:val="99"/>
    <w:rsid w:val="00D15AA6"/>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EndnoteText">
    <w:name w:val="endnote text"/>
    <w:basedOn w:val="Normal"/>
    <w:link w:val="EndnoteTextChar"/>
    <w:uiPriority w:val="99"/>
    <w:rsid w:val="00967F06"/>
    <w:pPr>
      <w:overflowPunct w:val="0"/>
      <w:autoSpaceDE w:val="0"/>
      <w:autoSpaceDN w:val="0"/>
      <w:adjustRightInd w:val="0"/>
      <w:textAlignment w:val="baseline"/>
    </w:pPr>
    <w:rPr>
      <w:rFonts w:ascii="Courier" w:hAnsi="Courier"/>
      <w:szCs w:val="20"/>
    </w:rPr>
  </w:style>
  <w:style w:type="character" w:customStyle="1" w:styleId="EndnoteTextChar">
    <w:name w:val="Endnote Text Char"/>
    <w:link w:val="EndnoteText"/>
    <w:uiPriority w:val="99"/>
    <w:rsid w:val="00967F06"/>
    <w:rPr>
      <w:rFonts w:ascii="Courier" w:hAnsi="Courier"/>
      <w:sz w:val="24"/>
    </w:rPr>
  </w:style>
  <w:style w:type="character" w:customStyle="1" w:styleId="FootnoteTextChar1">
    <w:name w:val="Footnote Text Char1"/>
    <w:aliases w:val="Car Char Char,Footnote Text Char Char,Footnote Text Char Char Char Char Char Char Char Char Char Char Char Char Char Char Char Char Char Char Char,Footnote Text Char1 Char Char,Style 36 Char,fn Char Char,fn Char1,ft Char1"/>
    <w:uiPriority w:val="99"/>
    <w:semiHidden/>
    <w:rsid w:val="009165D3"/>
    <w:rPr>
      <w:rFonts w:ascii="Arial" w:hAnsi="Arial"/>
      <w:sz w:val="20"/>
      <w:szCs w:val="20"/>
    </w:rPr>
  </w:style>
  <w:style w:type="paragraph" w:styleId="Header">
    <w:name w:val="header"/>
    <w:basedOn w:val="Normal"/>
    <w:link w:val="HeaderChar"/>
    <w:rsid w:val="00E816AA"/>
    <w:pPr>
      <w:tabs>
        <w:tab w:val="center" w:pos="4680"/>
        <w:tab w:val="right" w:pos="9360"/>
      </w:tabs>
    </w:pPr>
  </w:style>
  <w:style w:type="character" w:customStyle="1" w:styleId="HeaderChar">
    <w:name w:val="Header Char"/>
    <w:basedOn w:val="DefaultParagraphFont"/>
    <w:link w:val="Header"/>
    <w:rsid w:val="00E816AA"/>
    <w:rPr>
      <w:sz w:val="24"/>
      <w:szCs w:val="24"/>
    </w:rPr>
  </w:style>
  <w:style w:type="table" w:styleId="TableGrid">
    <w:name w:val="Table Grid"/>
    <w:basedOn w:val="TableNormal"/>
    <w:uiPriority w:val="39"/>
    <w:rsid w:val="00495D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BA6"/>
    <w:rPr>
      <w:sz w:val="24"/>
      <w:szCs w:val="24"/>
    </w:rPr>
  </w:style>
  <w:style w:type="character" w:styleId="Hyperlink">
    <w:name w:val="Hyperlink"/>
    <w:basedOn w:val="DefaultParagraphFont"/>
    <w:rsid w:val="0015309B"/>
    <w:rPr>
      <w:color w:val="0563C1" w:themeColor="hyperlink"/>
      <w:u w:val="single"/>
    </w:rPr>
  </w:style>
  <w:style w:type="character" w:styleId="UnresolvedMention">
    <w:name w:val="Unresolved Mention"/>
    <w:basedOn w:val="DefaultParagraphFont"/>
    <w:uiPriority w:val="99"/>
    <w:semiHidden/>
    <w:unhideWhenUsed/>
    <w:rsid w:val="0015309B"/>
    <w:rPr>
      <w:color w:val="605E5C"/>
      <w:shd w:val="clear" w:color="auto" w:fill="E1DFDD"/>
    </w:rPr>
  </w:style>
  <w:style w:type="paragraph" w:styleId="ListParagraph">
    <w:name w:val="List Paragraph"/>
    <w:basedOn w:val="Normal"/>
    <w:uiPriority w:val="34"/>
    <w:qFormat/>
    <w:rsid w:val="00E26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F6A752C689F4FB0C4F50271F12630" ma:contentTypeVersion="11" ma:contentTypeDescription="Create a new document." ma:contentTypeScope="" ma:versionID="3335f52a8a1bddc040e8deff02a75f1e">
  <xsd:schema xmlns:xsd="http://www.w3.org/2001/XMLSchema" xmlns:xs="http://www.w3.org/2001/XMLSchema" xmlns:p="http://schemas.microsoft.com/office/2006/metadata/properties" xmlns:ns3="c9de430b-1eda-425e-a6a2-640ad50340e1" xmlns:ns4="808b604e-1bb8-4308-a31c-73b0071a6f24" targetNamespace="http://schemas.microsoft.com/office/2006/metadata/properties" ma:root="true" ma:fieldsID="7161f1eb71f07eb2a696486e376c1708" ns3:_="" ns4:_="">
    <xsd:import namespace="c9de430b-1eda-425e-a6a2-640ad50340e1"/>
    <xsd:import namespace="808b604e-1bb8-4308-a31c-73b0071a6f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e430b-1eda-425e-a6a2-640ad50340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8b604e-1bb8-4308-a31c-73b0071a6f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08b604e-1bb8-4308-a31c-73b0071a6f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47FB5-4742-468F-840E-9D424DB56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e430b-1eda-425e-a6a2-640ad50340e1"/>
    <ds:schemaRef ds:uri="808b604e-1bb8-4308-a31c-73b0071a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97725C-1C82-4410-B715-B4D84E6FF2FD}">
  <ds:schemaRefs>
    <ds:schemaRef ds:uri="http://schemas.microsoft.com/office/2006/metadata/properties"/>
    <ds:schemaRef ds:uri="http://schemas.microsoft.com/office/infopath/2007/PartnerControls"/>
    <ds:schemaRef ds:uri="808b604e-1bb8-4308-a31c-73b0071a6f24"/>
  </ds:schemaRefs>
</ds:datastoreItem>
</file>

<file path=customXml/itemProps3.xml><?xml version="1.0" encoding="utf-8"?>
<ds:datastoreItem xmlns:ds="http://schemas.openxmlformats.org/officeDocument/2006/customXml" ds:itemID="{C9D047A9-D79E-45A4-B5F8-406FE16AAD9F}">
  <ds:schemaRefs>
    <ds:schemaRef ds:uri="http://schemas.microsoft.com/sharepoint/v3/contenttype/forms"/>
  </ds:schemaRefs>
</ds:datastoreItem>
</file>

<file path=customXml/itemProps4.xml><?xml version="1.0" encoding="utf-8"?>
<ds:datastoreItem xmlns:ds="http://schemas.openxmlformats.org/officeDocument/2006/customXml" ds:itemID="{61F0E1E7-63A4-40AA-AB9C-DADF8C86F64D}">
  <ds:schemaRefs>
    <ds:schemaRef ds:uri="http://schemas.openxmlformats.org/officeDocument/2006/bibliography"/>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12</TotalTime>
  <Pages>8</Pages>
  <Words>2402</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creator>llightner</dc:creator>
  <cp:lastModifiedBy>Office of the General Counsel</cp:lastModifiedBy>
  <cp:revision>11</cp:revision>
  <cp:lastPrinted>2025-07-15T18:50:00Z</cp:lastPrinted>
  <dcterms:created xsi:type="dcterms:W3CDTF">2025-12-09T15:09:00Z</dcterms:created>
  <dcterms:modified xsi:type="dcterms:W3CDTF">2025-12-09T18:06:00Z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0x010100464F6A752C689F4FB0C4F50271F12630</vt:lpwstr>
  </property>
</Properties>
</file>