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4175" w:rsidP="00EA6C04" w14:paraId="2F5A3E78" w14:textId="77777777">
      <w:pPr>
        <w:jc w:val="center"/>
        <w:rPr>
          <w:rFonts w:asciiTheme="majorHAnsi" w:hAnsiTheme="majorHAnsi"/>
          <w:sz w:val="28"/>
          <w:u w:val="single"/>
        </w:rPr>
      </w:pPr>
    </w:p>
    <w:p w:rsidR="008D1294" w:rsidRPr="00EA6C04" w:rsidP="00EA6C04" w14:paraId="532390DC" w14:textId="03DA5588">
      <w:pPr>
        <w:jc w:val="center"/>
        <w:rPr>
          <w:rFonts w:asciiTheme="majorHAnsi" w:hAnsiTheme="majorHAnsi"/>
          <w:sz w:val="28"/>
          <w:u w:val="single"/>
        </w:rPr>
      </w:pPr>
      <w:r>
        <w:rPr>
          <w:rFonts w:asciiTheme="majorHAnsi" w:hAnsiTheme="majorHAnsi"/>
          <w:sz w:val="28"/>
          <w:u w:val="single"/>
        </w:rPr>
        <w:t>SU</w:t>
      </w:r>
      <w:r w:rsidRPr="00EA6C04" w:rsidR="00EA6C04">
        <w:rPr>
          <w:rFonts w:asciiTheme="majorHAnsi" w:hAnsiTheme="majorHAnsi"/>
          <w:sz w:val="28"/>
          <w:u w:val="single"/>
        </w:rPr>
        <w:t xml:space="preserve">PPORTING </w:t>
      </w:r>
      <w:r w:rsidRPr="00EA6C04" w:rsidR="00127B46">
        <w:rPr>
          <w:rFonts w:asciiTheme="majorHAnsi" w:hAnsiTheme="majorHAnsi"/>
          <w:sz w:val="28"/>
          <w:u w:val="single"/>
        </w:rPr>
        <w:t>STATEMENT -</w:t>
      </w:r>
      <w:r w:rsidRPr="00EA6C04" w:rsidR="00EA6C04">
        <w:rPr>
          <w:rFonts w:asciiTheme="majorHAnsi" w:hAnsiTheme="majorHAnsi"/>
          <w:sz w:val="28"/>
          <w:u w:val="single"/>
        </w:rPr>
        <w:t xml:space="preserve"> PART A</w:t>
      </w:r>
    </w:p>
    <w:p w:rsidR="00EA6C04" w:rsidP="00EA6C04" w14:paraId="16791B2C" w14:textId="1614B092">
      <w:pPr>
        <w:jc w:val="center"/>
        <w:rPr>
          <w:rFonts w:asciiTheme="majorHAnsi" w:hAnsiTheme="majorHAnsi"/>
          <w:sz w:val="24"/>
        </w:rPr>
      </w:pPr>
      <w:r w:rsidRPr="00A238DA">
        <w:rPr>
          <w:rFonts w:asciiTheme="majorHAnsi" w:hAnsiTheme="majorHAnsi"/>
          <w:sz w:val="24"/>
        </w:rPr>
        <w:t>Carbon Monoxide Poisoning Prevention</w:t>
      </w:r>
      <w:r w:rsidRPr="00A238DA" w:rsidR="002871E6">
        <w:rPr>
          <w:rFonts w:asciiTheme="majorHAnsi" w:hAnsiTheme="majorHAnsi"/>
          <w:sz w:val="24"/>
        </w:rPr>
        <w:t xml:space="preserve"> Grant Program</w:t>
      </w:r>
      <w:r w:rsidR="00A238DA">
        <w:rPr>
          <w:rFonts w:asciiTheme="majorHAnsi" w:hAnsiTheme="majorHAnsi"/>
          <w:sz w:val="24"/>
          <w:highlight w:val="yellow"/>
        </w:rPr>
        <w:br/>
        <w:t xml:space="preserve"> </w:t>
      </w:r>
      <w:r w:rsidRPr="00EA6C04">
        <w:rPr>
          <w:rFonts w:asciiTheme="majorHAnsi" w:hAnsiTheme="majorHAnsi"/>
          <w:sz w:val="24"/>
          <w:highlight w:val="yellow"/>
        </w:rPr>
        <w:t>OMB Control Number</w:t>
      </w:r>
    </w:p>
    <w:p w:rsidR="00340D9B" w:rsidRPr="002871E6" w:rsidP="002871E6" w14:paraId="5331D250" w14:textId="77777777">
      <w:pPr>
        <w:spacing w:after="0" w:line="240" w:lineRule="auto"/>
        <w:rPr>
          <w:rFonts w:asciiTheme="majorHAnsi" w:hAnsiTheme="majorHAnsi"/>
          <w:sz w:val="24"/>
        </w:rPr>
      </w:pPr>
    </w:p>
    <w:p w:rsidR="00340D9B" w:rsidP="006E563D" w14:paraId="395E2745" w14:textId="77777777">
      <w:pPr>
        <w:spacing w:after="0" w:line="240" w:lineRule="auto"/>
        <w:rPr>
          <w:rFonts w:asciiTheme="majorHAnsi" w:hAnsiTheme="majorHAnsi"/>
          <w:sz w:val="24"/>
        </w:rPr>
      </w:pPr>
    </w:p>
    <w:p w:rsidR="005C7428" w:rsidRPr="007D2BDF" w:rsidP="007D2BDF" w14:paraId="6C156498" w14:textId="7ADB993E">
      <w:pPr>
        <w:pStyle w:val="ListParagraph"/>
        <w:numPr>
          <w:ilvl w:val="0"/>
          <w:numId w:val="27"/>
        </w:numPr>
        <w:spacing w:after="0" w:line="240" w:lineRule="auto"/>
        <w:rPr>
          <w:rFonts w:asciiTheme="majorHAnsi" w:hAnsiTheme="majorHAnsi"/>
          <w:sz w:val="24"/>
        </w:rPr>
      </w:pPr>
      <w:r w:rsidRPr="007D2BDF">
        <w:rPr>
          <w:rFonts w:asciiTheme="majorHAnsi" w:hAnsiTheme="majorHAnsi"/>
          <w:sz w:val="24"/>
          <w:u w:val="single"/>
        </w:rPr>
        <w:t xml:space="preserve">Need for the Information </w:t>
      </w:r>
      <w:r w:rsidRPr="007D2BDF" w:rsidR="0085688C">
        <w:rPr>
          <w:rFonts w:asciiTheme="majorHAnsi" w:hAnsiTheme="majorHAnsi"/>
          <w:sz w:val="24"/>
          <w:u w:val="single"/>
        </w:rPr>
        <w:t>Collection</w:t>
      </w:r>
      <w:r w:rsidRPr="007D2BDF" w:rsidR="0085688C">
        <w:rPr>
          <w:rFonts w:asciiTheme="majorHAnsi" w:hAnsiTheme="majorHAnsi"/>
          <w:sz w:val="24"/>
        </w:rPr>
        <w:t xml:space="preserve"> </w:t>
      </w:r>
    </w:p>
    <w:p w:rsidR="00510F0C" w:rsidP="006E563D" w14:paraId="042D19B1" w14:textId="77777777">
      <w:pPr>
        <w:spacing w:after="0" w:line="240" w:lineRule="auto"/>
        <w:rPr>
          <w:rFonts w:asciiTheme="majorHAnsi" w:hAnsiTheme="majorHAnsi"/>
          <w:sz w:val="24"/>
        </w:rPr>
      </w:pPr>
    </w:p>
    <w:p w:rsidR="007D2BDF" w:rsidP="007D2BDF" w14:paraId="0892D6EA" w14:textId="02C0EB64">
      <w:pPr>
        <w:spacing w:after="0" w:line="240" w:lineRule="auto"/>
        <w:rPr>
          <w:rFonts w:asciiTheme="majorHAnsi" w:hAnsiTheme="majorHAnsi"/>
          <w:sz w:val="24"/>
        </w:rPr>
      </w:pPr>
      <w:r>
        <w:rPr>
          <w:rFonts w:asciiTheme="majorHAnsi" w:hAnsiTheme="majorHAnsi"/>
          <w:sz w:val="24"/>
        </w:rPr>
        <w:t xml:space="preserve">The U.S. Consumer Product Safety Commission (CPSC or Commission) </w:t>
      </w:r>
      <w:r w:rsidRPr="007D2BDF">
        <w:rPr>
          <w:rFonts w:asciiTheme="majorHAnsi" w:hAnsiTheme="majorHAnsi"/>
          <w:sz w:val="24"/>
        </w:rPr>
        <w:t xml:space="preserve">assists state, local and tribal governments in reducing deaths and injuries from carbon monoxide </w:t>
      </w:r>
      <w:r>
        <w:rPr>
          <w:rFonts w:asciiTheme="majorHAnsi" w:hAnsiTheme="majorHAnsi"/>
          <w:sz w:val="24"/>
        </w:rPr>
        <w:t xml:space="preserve">(CO) </w:t>
      </w:r>
      <w:r w:rsidRPr="007D2BDF">
        <w:rPr>
          <w:rFonts w:asciiTheme="majorHAnsi" w:hAnsiTheme="majorHAnsi"/>
          <w:sz w:val="24"/>
        </w:rPr>
        <w:t>poisoning</w:t>
      </w:r>
      <w:r w:rsidR="00E977FD">
        <w:rPr>
          <w:rFonts w:asciiTheme="majorHAnsi" w:hAnsiTheme="majorHAnsi"/>
          <w:sz w:val="24"/>
        </w:rPr>
        <w:t xml:space="preserve"> through the Carbon Monoxide Poisoning Prevention Grant Program (COPPGP or grant program)</w:t>
      </w:r>
      <w:r w:rsidRPr="007D2BDF">
        <w:rPr>
          <w:rFonts w:asciiTheme="majorHAnsi" w:hAnsiTheme="majorHAnsi"/>
          <w:sz w:val="24"/>
        </w:rPr>
        <w:t>.</w:t>
      </w:r>
      <w:r>
        <w:rPr>
          <w:rFonts w:asciiTheme="majorHAnsi" w:hAnsiTheme="majorHAnsi"/>
          <w:sz w:val="24"/>
        </w:rPr>
        <w:t xml:space="preserve"> </w:t>
      </w:r>
      <w:r w:rsidRPr="007D2BDF">
        <w:rPr>
          <w:rFonts w:asciiTheme="majorHAnsi" w:hAnsiTheme="majorHAnsi"/>
          <w:sz w:val="24"/>
        </w:rPr>
        <w:t>CPSC’s grant program is authorized through the </w:t>
      </w:r>
      <w:hyperlink r:id="rId9" w:history="1">
        <w:r w:rsidRPr="007D2BDF">
          <w:rPr>
            <w:rStyle w:val="Hyperlink"/>
            <w:rFonts w:asciiTheme="majorHAnsi" w:hAnsiTheme="majorHAnsi"/>
            <w:sz w:val="24"/>
          </w:rPr>
          <w:t>Nicholas and Zachary Burt Memorial Carbon Monoxide Poisoning Prevention Act of 2022</w:t>
        </w:r>
      </w:hyperlink>
      <w:r w:rsidRPr="007D2BDF">
        <w:rPr>
          <w:rFonts w:asciiTheme="majorHAnsi" w:hAnsiTheme="majorHAnsi"/>
          <w:sz w:val="24"/>
        </w:rPr>
        <w:t> to provide eligible state, local, and tribal governments with grants to purchase and install CO alarms in residential homes and dwelling units of low-income families or elderly people and facilities that serve children or the elderly, including childcare centers, public schools and senior centers, and to develop training and public education programs with the goal of preventing CO</w:t>
      </w:r>
      <w:r w:rsidR="00206EF5">
        <w:rPr>
          <w:rFonts w:asciiTheme="majorHAnsi" w:hAnsiTheme="majorHAnsi"/>
          <w:sz w:val="24"/>
        </w:rPr>
        <w:t xml:space="preserve"> </w:t>
      </w:r>
      <w:r w:rsidRPr="007D2BDF">
        <w:rPr>
          <w:rFonts w:asciiTheme="majorHAnsi" w:hAnsiTheme="majorHAnsi"/>
          <w:sz w:val="24"/>
        </w:rPr>
        <w:t xml:space="preserve">poisoning. </w:t>
      </w:r>
    </w:p>
    <w:p w:rsidR="00E977FD" w:rsidP="007D2BDF" w14:paraId="7B3A515F" w14:textId="77777777">
      <w:pPr>
        <w:spacing w:after="0" w:line="240" w:lineRule="auto"/>
        <w:rPr>
          <w:rFonts w:asciiTheme="majorHAnsi" w:hAnsiTheme="majorHAnsi"/>
          <w:sz w:val="24"/>
        </w:rPr>
      </w:pPr>
    </w:p>
    <w:p w:rsidR="00E57A2B" w:rsidRPr="00E57A2B" w:rsidP="00E57A2B" w14:paraId="2B6A30C6" w14:textId="02597803">
      <w:pPr>
        <w:spacing w:after="0" w:line="240" w:lineRule="auto"/>
        <w:rPr>
          <w:rFonts w:asciiTheme="majorHAnsi" w:hAnsiTheme="majorHAnsi"/>
          <w:sz w:val="24"/>
        </w:rPr>
      </w:pPr>
      <w:r>
        <w:rPr>
          <w:rFonts w:asciiTheme="majorHAnsi" w:hAnsiTheme="majorHAnsi"/>
          <w:sz w:val="24"/>
        </w:rPr>
        <w:t xml:space="preserve">There are three allowable activities under the COPPGP. They are purchase and installation, training, and public outreach and education. </w:t>
      </w:r>
      <w:r>
        <w:rPr>
          <w:rFonts w:asciiTheme="majorHAnsi" w:hAnsiTheme="majorHAnsi"/>
          <w:sz w:val="24"/>
        </w:rPr>
        <w:t>Under the COPPGP, award recipients must allocate their funding to:</w:t>
      </w:r>
    </w:p>
    <w:p w:rsidR="00E57A2B" w:rsidRPr="00DA105B" w:rsidP="00E57A2B" w14:paraId="23DDEA4F" w14:textId="77777777">
      <w:pPr>
        <w:pStyle w:val="BodyText"/>
        <w:spacing w:before="21"/>
        <w:rPr>
          <w:rFonts w:asciiTheme="majorHAnsi" w:hAnsiTheme="majorHAnsi"/>
        </w:rPr>
      </w:pPr>
    </w:p>
    <w:p w:rsidR="00E57A2B" w:rsidRPr="00DA105B" w:rsidP="00E57A2B" w14:paraId="13728C07" w14:textId="77777777">
      <w:pPr>
        <w:pStyle w:val="ListParagraph"/>
        <w:widowControl w:val="0"/>
        <w:numPr>
          <w:ilvl w:val="0"/>
          <w:numId w:val="28"/>
        </w:numPr>
        <w:tabs>
          <w:tab w:val="left" w:pos="659"/>
        </w:tabs>
        <w:autoSpaceDE w:val="0"/>
        <w:autoSpaceDN w:val="0"/>
        <w:spacing w:before="1" w:after="0" w:line="240" w:lineRule="auto"/>
        <w:ind w:left="659" w:right="793"/>
        <w:contextualSpacing w:val="0"/>
        <w:rPr>
          <w:rFonts w:asciiTheme="majorHAnsi" w:hAnsiTheme="majorHAnsi"/>
          <w:sz w:val="24"/>
        </w:rPr>
      </w:pPr>
      <w:r w:rsidRPr="00DA105B">
        <w:rPr>
          <w:rFonts w:asciiTheme="majorHAnsi" w:hAnsiTheme="majorHAnsi"/>
          <w:sz w:val="24"/>
        </w:rPr>
        <w:t>Purchase</w:t>
      </w:r>
      <w:r w:rsidRPr="00DA105B">
        <w:rPr>
          <w:rFonts w:asciiTheme="majorHAnsi" w:hAnsiTheme="majorHAnsi"/>
          <w:spacing w:val="-4"/>
          <w:sz w:val="24"/>
        </w:rPr>
        <w:t xml:space="preserve"> </w:t>
      </w:r>
      <w:r w:rsidRPr="00DA105B">
        <w:rPr>
          <w:rFonts w:asciiTheme="majorHAnsi" w:hAnsiTheme="majorHAnsi"/>
          <w:sz w:val="24"/>
        </w:rPr>
        <w:t>and</w:t>
      </w:r>
      <w:r w:rsidRPr="00DA105B">
        <w:rPr>
          <w:rFonts w:asciiTheme="majorHAnsi" w:hAnsiTheme="majorHAnsi"/>
          <w:spacing w:val="-3"/>
          <w:sz w:val="24"/>
        </w:rPr>
        <w:t xml:space="preserve"> </w:t>
      </w:r>
      <w:r w:rsidRPr="00DA105B">
        <w:rPr>
          <w:rFonts w:asciiTheme="majorHAnsi" w:hAnsiTheme="majorHAnsi"/>
          <w:sz w:val="24"/>
        </w:rPr>
        <w:t>install</w:t>
      </w:r>
      <w:r w:rsidRPr="00DA105B">
        <w:rPr>
          <w:rFonts w:asciiTheme="majorHAnsi" w:hAnsiTheme="majorHAnsi"/>
          <w:spacing w:val="-3"/>
          <w:sz w:val="24"/>
        </w:rPr>
        <w:t xml:space="preserve"> </w:t>
      </w:r>
      <w:r w:rsidRPr="00DA105B">
        <w:rPr>
          <w:rFonts w:asciiTheme="majorHAnsi" w:hAnsiTheme="majorHAnsi"/>
          <w:sz w:val="24"/>
        </w:rPr>
        <w:t>compliant</w:t>
      </w:r>
      <w:r w:rsidRPr="00DA105B">
        <w:rPr>
          <w:rFonts w:asciiTheme="majorHAnsi" w:hAnsiTheme="majorHAnsi"/>
          <w:spacing w:val="-3"/>
          <w:sz w:val="24"/>
        </w:rPr>
        <w:t xml:space="preserve"> </w:t>
      </w:r>
      <w:r w:rsidRPr="00DA105B">
        <w:rPr>
          <w:rFonts w:asciiTheme="majorHAnsi" w:hAnsiTheme="majorHAnsi"/>
          <w:sz w:val="24"/>
        </w:rPr>
        <w:t>carbon</w:t>
      </w:r>
      <w:r w:rsidRPr="00DA105B">
        <w:rPr>
          <w:rFonts w:asciiTheme="majorHAnsi" w:hAnsiTheme="majorHAnsi"/>
          <w:spacing w:val="-3"/>
          <w:sz w:val="24"/>
        </w:rPr>
        <w:t xml:space="preserve"> </w:t>
      </w:r>
      <w:r w:rsidRPr="00DA105B">
        <w:rPr>
          <w:rFonts w:asciiTheme="majorHAnsi" w:hAnsiTheme="majorHAnsi"/>
          <w:sz w:val="24"/>
        </w:rPr>
        <w:t>monoxide</w:t>
      </w:r>
      <w:r w:rsidRPr="00DA105B">
        <w:rPr>
          <w:rFonts w:asciiTheme="majorHAnsi" w:hAnsiTheme="majorHAnsi"/>
          <w:spacing w:val="-4"/>
          <w:sz w:val="24"/>
        </w:rPr>
        <w:t xml:space="preserve"> </w:t>
      </w:r>
      <w:r w:rsidRPr="00DA105B">
        <w:rPr>
          <w:rFonts w:asciiTheme="majorHAnsi" w:hAnsiTheme="majorHAnsi"/>
          <w:sz w:val="24"/>
        </w:rPr>
        <w:t>alarms</w:t>
      </w:r>
      <w:r w:rsidRPr="00DA105B">
        <w:rPr>
          <w:rFonts w:asciiTheme="majorHAnsi" w:hAnsiTheme="majorHAnsi"/>
          <w:spacing w:val="-3"/>
          <w:sz w:val="24"/>
        </w:rPr>
        <w:t xml:space="preserve"> </w:t>
      </w:r>
      <w:r w:rsidRPr="00DA105B">
        <w:rPr>
          <w:rFonts w:asciiTheme="majorHAnsi" w:hAnsiTheme="majorHAnsi"/>
          <w:sz w:val="24"/>
        </w:rPr>
        <w:t>in</w:t>
      </w:r>
      <w:r w:rsidRPr="00DA105B">
        <w:rPr>
          <w:rFonts w:asciiTheme="majorHAnsi" w:hAnsiTheme="majorHAnsi"/>
          <w:spacing w:val="-3"/>
          <w:sz w:val="24"/>
        </w:rPr>
        <w:t xml:space="preserve"> </w:t>
      </w:r>
      <w:r w:rsidRPr="00DA105B">
        <w:rPr>
          <w:rFonts w:asciiTheme="majorHAnsi" w:hAnsiTheme="majorHAnsi"/>
          <w:sz w:val="24"/>
        </w:rPr>
        <w:t>the</w:t>
      </w:r>
      <w:r w:rsidRPr="00DA105B">
        <w:rPr>
          <w:rFonts w:asciiTheme="majorHAnsi" w:hAnsiTheme="majorHAnsi"/>
          <w:spacing w:val="-4"/>
          <w:sz w:val="24"/>
        </w:rPr>
        <w:t xml:space="preserve"> </w:t>
      </w:r>
      <w:r w:rsidRPr="00DA105B">
        <w:rPr>
          <w:rFonts w:asciiTheme="majorHAnsi" w:hAnsiTheme="majorHAnsi"/>
          <w:sz w:val="24"/>
        </w:rPr>
        <w:t>dwelling</w:t>
      </w:r>
      <w:r w:rsidRPr="00DA105B">
        <w:rPr>
          <w:rFonts w:asciiTheme="majorHAnsi" w:hAnsiTheme="majorHAnsi"/>
          <w:spacing w:val="-3"/>
          <w:sz w:val="24"/>
        </w:rPr>
        <w:t xml:space="preserve"> </w:t>
      </w:r>
      <w:r w:rsidRPr="00DA105B">
        <w:rPr>
          <w:rFonts w:asciiTheme="majorHAnsi" w:hAnsiTheme="majorHAnsi"/>
          <w:sz w:val="24"/>
        </w:rPr>
        <w:t>units</w:t>
      </w:r>
      <w:r w:rsidRPr="00DA105B">
        <w:rPr>
          <w:rFonts w:asciiTheme="majorHAnsi" w:hAnsiTheme="majorHAnsi"/>
          <w:spacing w:val="-3"/>
          <w:sz w:val="24"/>
        </w:rPr>
        <w:t xml:space="preserve"> </w:t>
      </w:r>
      <w:r w:rsidRPr="00DA105B">
        <w:rPr>
          <w:rFonts w:asciiTheme="majorHAnsi" w:hAnsiTheme="majorHAnsi"/>
          <w:sz w:val="24"/>
        </w:rPr>
        <w:t>of</w:t>
      </w:r>
      <w:r w:rsidRPr="00DA105B">
        <w:rPr>
          <w:rFonts w:asciiTheme="majorHAnsi" w:hAnsiTheme="majorHAnsi"/>
          <w:spacing w:val="-4"/>
          <w:sz w:val="24"/>
        </w:rPr>
        <w:t xml:space="preserve"> </w:t>
      </w:r>
      <w:r w:rsidRPr="00DA105B">
        <w:rPr>
          <w:rFonts w:asciiTheme="majorHAnsi" w:hAnsiTheme="majorHAnsi"/>
          <w:sz w:val="24"/>
        </w:rPr>
        <w:t>low-income families or elderly individuals, and facilities that commonly serve children or the elderly (including childcare facilities, public schools, and senior centers);</w:t>
      </w:r>
    </w:p>
    <w:p w:rsidR="00E57A2B" w:rsidRPr="00DA105B" w:rsidP="00E57A2B" w14:paraId="2C72AC48" w14:textId="4D50F5C9">
      <w:pPr>
        <w:pStyle w:val="ListParagraph"/>
        <w:widowControl w:val="0"/>
        <w:numPr>
          <w:ilvl w:val="0"/>
          <w:numId w:val="28"/>
        </w:numPr>
        <w:tabs>
          <w:tab w:val="left" w:pos="659"/>
        </w:tabs>
        <w:autoSpaceDE w:val="0"/>
        <w:autoSpaceDN w:val="0"/>
        <w:spacing w:after="0" w:line="240" w:lineRule="auto"/>
        <w:ind w:left="659" w:right="201"/>
        <w:contextualSpacing w:val="0"/>
        <w:rPr>
          <w:rFonts w:asciiTheme="majorHAnsi" w:hAnsiTheme="majorHAnsi"/>
          <w:sz w:val="24"/>
        </w:rPr>
      </w:pPr>
      <w:r w:rsidRPr="00DA105B">
        <w:rPr>
          <w:rFonts w:asciiTheme="majorHAnsi" w:hAnsiTheme="majorHAnsi"/>
          <w:sz w:val="24"/>
        </w:rPr>
        <w:t>Develop</w:t>
      </w:r>
      <w:r w:rsidRPr="00DA105B">
        <w:rPr>
          <w:rFonts w:asciiTheme="majorHAnsi" w:hAnsiTheme="majorHAnsi"/>
          <w:spacing w:val="-3"/>
          <w:sz w:val="24"/>
        </w:rPr>
        <w:t xml:space="preserve"> </w:t>
      </w:r>
      <w:r w:rsidRPr="00DA105B">
        <w:rPr>
          <w:rFonts w:asciiTheme="majorHAnsi" w:hAnsiTheme="majorHAnsi"/>
          <w:sz w:val="24"/>
        </w:rPr>
        <w:t>and</w:t>
      </w:r>
      <w:r w:rsidRPr="00DA105B">
        <w:rPr>
          <w:rFonts w:asciiTheme="majorHAnsi" w:hAnsiTheme="majorHAnsi"/>
          <w:spacing w:val="-3"/>
          <w:sz w:val="24"/>
        </w:rPr>
        <w:t xml:space="preserve"> </w:t>
      </w:r>
      <w:r w:rsidRPr="00DA105B">
        <w:rPr>
          <w:rFonts w:asciiTheme="majorHAnsi" w:hAnsiTheme="majorHAnsi"/>
          <w:sz w:val="24"/>
        </w:rPr>
        <w:t>disseminate</w:t>
      </w:r>
      <w:r w:rsidRPr="00DA105B">
        <w:rPr>
          <w:rFonts w:asciiTheme="majorHAnsi" w:hAnsiTheme="majorHAnsi"/>
          <w:spacing w:val="-3"/>
          <w:sz w:val="24"/>
        </w:rPr>
        <w:t xml:space="preserve"> </w:t>
      </w:r>
      <w:r w:rsidRPr="00DA105B">
        <w:rPr>
          <w:rFonts w:asciiTheme="majorHAnsi" w:hAnsiTheme="majorHAnsi"/>
          <w:sz w:val="24"/>
        </w:rPr>
        <w:t>training</w:t>
      </w:r>
      <w:r w:rsidRPr="00DA105B">
        <w:rPr>
          <w:rFonts w:asciiTheme="majorHAnsi" w:hAnsiTheme="majorHAnsi"/>
          <w:spacing w:val="-3"/>
          <w:sz w:val="24"/>
        </w:rPr>
        <w:t xml:space="preserve"> </w:t>
      </w:r>
      <w:r w:rsidRPr="00DA105B">
        <w:rPr>
          <w:rFonts w:asciiTheme="majorHAnsi" w:hAnsiTheme="majorHAnsi"/>
          <w:sz w:val="24"/>
        </w:rPr>
        <w:t>materials,</w:t>
      </w:r>
      <w:r w:rsidRPr="00DA105B">
        <w:rPr>
          <w:rFonts w:asciiTheme="majorHAnsi" w:hAnsiTheme="majorHAnsi"/>
          <w:spacing w:val="-3"/>
          <w:sz w:val="24"/>
        </w:rPr>
        <w:t xml:space="preserve"> </w:t>
      </w:r>
      <w:r w:rsidRPr="00DA105B">
        <w:rPr>
          <w:rFonts w:asciiTheme="majorHAnsi" w:hAnsiTheme="majorHAnsi"/>
          <w:sz w:val="24"/>
        </w:rPr>
        <w:t>instructors,</w:t>
      </w:r>
      <w:r w:rsidRPr="00DA105B">
        <w:rPr>
          <w:rFonts w:asciiTheme="majorHAnsi" w:hAnsiTheme="majorHAnsi"/>
          <w:spacing w:val="-3"/>
          <w:sz w:val="24"/>
        </w:rPr>
        <w:t xml:space="preserve"> </w:t>
      </w:r>
      <w:r w:rsidRPr="00DA105B">
        <w:rPr>
          <w:rFonts w:asciiTheme="majorHAnsi" w:hAnsiTheme="majorHAnsi"/>
          <w:sz w:val="24"/>
        </w:rPr>
        <w:t>and</w:t>
      </w:r>
      <w:r w:rsidRPr="00DA105B">
        <w:rPr>
          <w:rFonts w:asciiTheme="majorHAnsi" w:hAnsiTheme="majorHAnsi"/>
          <w:spacing w:val="-3"/>
          <w:sz w:val="24"/>
        </w:rPr>
        <w:t xml:space="preserve"> </w:t>
      </w:r>
      <w:r w:rsidRPr="00DA105B">
        <w:rPr>
          <w:rFonts w:asciiTheme="majorHAnsi" w:hAnsiTheme="majorHAnsi"/>
          <w:sz w:val="24"/>
        </w:rPr>
        <w:t>training sessions; or</w:t>
      </w:r>
    </w:p>
    <w:p w:rsidR="00E57A2B" w:rsidRPr="00DA105B" w:rsidP="00E57A2B" w14:paraId="4648016D" w14:textId="77777777">
      <w:pPr>
        <w:pStyle w:val="ListParagraph"/>
        <w:widowControl w:val="0"/>
        <w:numPr>
          <w:ilvl w:val="0"/>
          <w:numId w:val="28"/>
        </w:numPr>
        <w:tabs>
          <w:tab w:val="left" w:pos="659"/>
        </w:tabs>
        <w:autoSpaceDE w:val="0"/>
        <w:autoSpaceDN w:val="0"/>
        <w:spacing w:after="0" w:line="292" w:lineRule="exact"/>
        <w:ind w:left="659"/>
        <w:contextualSpacing w:val="0"/>
        <w:rPr>
          <w:rFonts w:asciiTheme="majorHAnsi" w:hAnsiTheme="majorHAnsi"/>
          <w:sz w:val="24"/>
        </w:rPr>
      </w:pPr>
      <w:r w:rsidRPr="00DA105B">
        <w:rPr>
          <w:rFonts w:asciiTheme="majorHAnsi" w:hAnsiTheme="majorHAnsi"/>
          <w:sz w:val="24"/>
        </w:rPr>
        <w:t>Educate</w:t>
      </w:r>
      <w:r w:rsidRPr="00DA105B">
        <w:rPr>
          <w:rFonts w:asciiTheme="majorHAnsi" w:hAnsiTheme="majorHAnsi"/>
          <w:spacing w:val="-2"/>
          <w:sz w:val="24"/>
        </w:rPr>
        <w:t xml:space="preserve"> </w:t>
      </w:r>
      <w:r w:rsidRPr="00DA105B">
        <w:rPr>
          <w:rFonts w:asciiTheme="majorHAnsi" w:hAnsiTheme="majorHAnsi"/>
          <w:sz w:val="24"/>
        </w:rPr>
        <w:t>the</w:t>
      </w:r>
      <w:r w:rsidRPr="00DA105B">
        <w:rPr>
          <w:rFonts w:asciiTheme="majorHAnsi" w:hAnsiTheme="majorHAnsi"/>
          <w:spacing w:val="-2"/>
          <w:sz w:val="24"/>
        </w:rPr>
        <w:t xml:space="preserve"> </w:t>
      </w:r>
      <w:r w:rsidRPr="00DA105B">
        <w:rPr>
          <w:rFonts w:asciiTheme="majorHAnsi" w:hAnsiTheme="majorHAnsi"/>
          <w:sz w:val="24"/>
        </w:rPr>
        <w:t xml:space="preserve">public </w:t>
      </w:r>
      <w:r w:rsidRPr="00DA105B">
        <w:rPr>
          <w:rFonts w:asciiTheme="majorHAnsi" w:hAnsiTheme="majorHAnsi"/>
          <w:spacing w:val="-2"/>
          <w:sz w:val="24"/>
        </w:rPr>
        <w:t>about—</w:t>
      </w:r>
    </w:p>
    <w:p w:rsidR="00E57A2B" w:rsidRPr="00DA105B" w:rsidP="00E57A2B" w14:paraId="536B8013" w14:textId="77777777">
      <w:pPr>
        <w:pStyle w:val="ListParagraph"/>
        <w:widowControl w:val="0"/>
        <w:numPr>
          <w:ilvl w:val="1"/>
          <w:numId w:val="28"/>
        </w:numPr>
        <w:tabs>
          <w:tab w:val="left" w:pos="1919"/>
        </w:tabs>
        <w:autoSpaceDE w:val="0"/>
        <w:autoSpaceDN w:val="0"/>
        <w:spacing w:after="0" w:line="276" w:lineRule="exact"/>
        <w:ind w:left="1919" w:hanging="487"/>
        <w:contextualSpacing w:val="0"/>
        <w:jc w:val="left"/>
        <w:rPr>
          <w:rFonts w:asciiTheme="majorHAnsi" w:hAnsiTheme="majorHAnsi"/>
          <w:sz w:val="24"/>
        </w:rPr>
      </w:pPr>
      <w:r w:rsidRPr="00DA105B">
        <w:rPr>
          <w:rFonts w:asciiTheme="majorHAnsi" w:hAnsiTheme="majorHAnsi"/>
          <w:sz w:val="24"/>
        </w:rPr>
        <w:t>The</w:t>
      </w:r>
      <w:r w:rsidRPr="00DA105B">
        <w:rPr>
          <w:rFonts w:asciiTheme="majorHAnsi" w:hAnsiTheme="majorHAnsi"/>
          <w:spacing w:val="-2"/>
          <w:sz w:val="24"/>
        </w:rPr>
        <w:t xml:space="preserve"> </w:t>
      </w:r>
      <w:r w:rsidRPr="00DA105B">
        <w:rPr>
          <w:rFonts w:asciiTheme="majorHAnsi" w:hAnsiTheme="majorHAnsi"/>
          <w:sz w:val="24"/>
        </w:rPr>
        <w:t>risk</w:t>
      </w:r>
      <w:r w:rsidRPr="00DA105B">
        <w:rPr>
          <w:rFonts w:asciiTheme="majorHAnsi" w:hAnsiTheme="majorHAnsi"/>
          <w:spacing w:val="-1"/>
          <w:sz w:val="24"/>
        </w:rPr>
        <w:t xml:space="preserve"> </w:t>
      </w:r>
      <w:r w:rsidRPr="00DA105B">
        <w:rPr>
          <w:rFonts w:asciiTheme="majorHAnsi" w:hAnsiTheme="majorHAnsi"/>
          <w:sz w:val="24"/>
        </w:rPr>
        <w:t>associated with carbon</w:t>
      </w:r>
      <w:r w:rsidRPr="00DA105B">
        <w:rPr>
          <w:rFonts w:asciiTheme="majorHAnsi" w:hAnsiTheme="majorHAnsi"/>
          <w:spacing w:val="-1"/>
          <w:sz w:val="24"/>
        </w:rPr>
        <w:t xml:space="preserve"> </w:t>
      </w:r>
      <w:r w:rsidRPr="00DA105B">
        <w:rPr>
          <w:rFonts w:asciiTheme="majorHAnsi" w:hAnsiTheme="majorHAnsi"/>
          <w:sz w:val="24"/>
        </w:rPr>
        <w:t>monoxide</w:t>
      </w:r>
      <w:r w:rsidRPr="00DA105B">
        <w:rPr>
          <w:rFonts w:asciiTheme="majorHAnsi" w:hAnsiTheme="majorHAnsi"/>
          <w:spacing w:val="-2"/>
          <w:sz w:val="24"/>
        </w:rPr>
        <w:t xml:space="preserve"> </w:t>
      </w:r>
      <w:r w:rsidRPr="00DA105B">
        <w:rPr>
          <w:rFonts w:asciiTheme="majorHAnsi" w:hAnsiTheme="majorHAnsi"/>
          <w:sz w:val="24"/>
        </w:rPr>
        <w:t>as a</w:t>
      </w:r>
      <w:r w:rsidRPr="00DA105B">
        <w:rPr>
          <w:rFonts w:asciiTheme="majorHAnsi" w:hAnsiTheme="majorHAnsi"/>
          <w:spacing w:val="-1"/>
          <w:sz w:val="24"/>
        </w:rPr>
        <w:t xml:space="preserve"> </w:t>
      </w:r>
      <w:r w:rsidRPr="00DA105B">
        <w:rPr>
          <w:rFonts w:asciiTheme="majorHAnsi" w:hAnsiTheme="majorHAnsi"/>
          <w:sz w:val="24"/>
        </w:rPr>
        <w:t>poison;</w:t>
      </w:r>
      <w:r w:rsidRPr="00DA105B">
        <w:rPr>
          <w:rFonts w:asciiTheme="majorHAnsi" w:hAnsiTheme="majorHAnsi"/>
          <w:spacing w:val="-1"/>
          <w:sz w:val="24"/>
        </w:rPr>
        <w:t xml:space="preserve"> </w:t>
      </w:r>
      <w:r w:rsidRPr="00DA105B">
        <w:rPr>
          <w:rFonts w:asciiTheme="majorHAnsi" w:hAnsiTheme="majorHAnsi"/>
          <w:spacing w:val="-5"/>
          <w:sz w:val="24"/>
        </w:rPr>
        <w:t>and</w:t>
      </w:r>
    </w:p>
    <w:p w:rsidR="00E57A2B" w:rsidRPr="00DA105B" w:rsidP="00E57A2B" w14:paraId="5E1D2BB2" w14:textId="77777777">
      <w:pPr>
        <w:pStyle w:val="ListParagraph"/>
        <w:widowControl w:val="0"/>
        <w:numPr>
          <w:ilvl w:val="1"/>
          <w:numId w:val="28"/>
        </w:numPr>
        <w:tabs>
          <w:tab w:val="left" w:pos="1919"/>
        </w:tabs>
        <w:autoSpaceDE w:val="0"/>
        <w:autoSpaceDN w:val="0"/>
        <w:spacing w:after="0" w:line="240" w:lineRule="auto"/>
        <w:ind w:left="1919" w:hanging="554"/>
        <w:contextualSpacing w:val="0"/>
        <w:jc w:val="left"/>
        <w:rPr>
          <w:rFonts w:asciiTheme="majorHAnsi" w:hAnsiTheme="majorHAnsi"/>
          <w:sz w:val="24"/>
        </w:rPr>
      </w:pPr>
      <w:r w:rsidRPr="00DA105B">
        <w:rPr>
          <w:rFonts w:asciiTheme="majorHAnsi" w:hAnsiTheme="majorHAnsi"/>
          <w:sz w:val="24"/>
        </w:rPr>
        <w:t>The</w:t>
      </w:r>
      <w:r w:rsidRPr="00DA105B">
        <w:rPr>
          <w:rFonts w:asciiTheme="majorHAnsi" w:hAnsiTheme="majorHAnsi"/>
          <w:spacing w:val="-3"/>
          <w:sz w:val="24"/>
        </w:rPr>
        <w:t xml:space="preserve"> </w:t>
      </w:r>
      <w:r w:rsidRPr="00DA105B">
        <w:rPr>
          <w:rFonts w:asciiTheme="majorHAnsi" w:hAnsiTheme="majorHAnsi"/>
          <w:sz w:val="24"/>
        </w:rPr>
        <w:t>importance</w:t>
      </w:r>
      <w:r w:rsidRPr="00DA105B">
        <w:rPr>
          <w:rFonts w:asciiTheme="majorHAnsi" w:hAnsiTheme="majorHAnsi"/>
          <w:spacing w:val="-2"/>
          <w:sz w:val="24"/>
        </w:rPr>
        <w:t xml:space="preserve"> </w:t>
      </w:r>
      <w:r w:rsidRPr="00DA105B">
        <w:rPr>
          <w:rFonts w:asciiTheme="majorHAnsi" w:hAnsiTheme="majorHAnsi"/>
          <w:sz w:val="24"/>
        </w:rPr>
        <w:t>of</w:t>
      </w:r>
      <w:r w:rsidRPr="00DA105B">
        <w:rPr>
          <w:rFonts w:asciiTheme="majorHAnsi" w:hAnsiTheme="majorHAnsi"/>
          <w:spacing w:val="-2"/>
          <w:sz w:val="24"/>
        </w:rPr>
        <w:t xml:space="preserve"> </w:t>
      </w:r>
      <w:r w:rsidRPr="00DA105B">
        <w:rPr>
          <w:rFonts w:asciiTheme="majorHAnsi" w:hAnsiTheme="majorHAnsi"/>
          <w:sz w:val="24"/>
        </w:rPr>
        <w:t>proper</w:t>
      </w:r>
      <w:r w:rsidRPr="00DA105B">
        <w:rPr>
          <w:rFonts w:asciiTheme="majorHAnsi" w:hAnsiTheme="majorHAnsi"/>
          <w:spacing w:val="-2"/>
          <w:sz w:val="24"/>
        </w:rPr>
        <w:t xml:space="preserve"> </w:t>
      </w:r>
      <w:r w:rsidRPr="00DA105B">
        <w:rPr>
          <w:rFonts w:asciiTheme="majorHAnsi" w:hAnsiTheme="majorHAnsi"/>
          <w:sz w:val="24"/>
        </w:rPr>
        <w:t>carbon</w:t>
      </w:r>
      <w:r w:rsidRPr="00DA105B">
        <w:rPr>
          <w:rFonts w:asciiTheme="majorHAnsi" w:hAnsiTheme="majorHAnsi"/>
          <w:spacing w:val="-1"/>
          <w:sz w:val="24"/>
        </w:rPr>
        <w:t xml:space="preserve"> </w:t>
      </w:r>
      <w:r w:rsidRPr="00DA105B">
        <w:rPr>
          <w:rFonts w:asciiTheme="majorHAnsi" w:hAnsiTheme="majorHAnsi"/>
          <w:sz w:val="24"/>
        </w:rPr>
        <w:t>monoxide alarm</w:t>
      </w:r>
      <w:r w:rsidRPr="00DA105B">
        <w:rPr>
          <w:rFonts w:asciiTheme="majorHAnsi" w:hAnsiTheme="majorHAnsi"/>
          <w:spacing w:val="1"/>
          <w:sz w:val="24"/>
        </w:rPr>
        <w:t xml:space="preserve"> </w:t>
      </w:r>
      <w:r w:rsidRPr="00DA105B">
        <w:rPr>
          <w:rFonts w:asciiTheme="majorHAnsi" w:hAnsiTheme="majorHAnsi"/>
          <w:spacing w:val="-4"/>
          <w:sz w:val="24"/>
        </w:rPr>
        <w:t>use.</w:t>
      </w:r>
    </w:p>
    <w:p w:rsidR="00E57A2B" w:rsidP="007D2BDF" w14:paraId="35408330" w14:textId="77777777">
      <w:pPr>
        <w:spacing w:after="0" w:line="240" w:lineRule="auto"/>
        <w:rPr>
          <w:rFonts w:asciiTheme="majorHAnsi" w:hAnsiTheme="majorHAnsi"/>
          <w:sz w:val="24"/>
        </w:rPr>
      </w:pPr>
    </w:p>
    <w:p w:rsidR="007D2BDF" w:rsidP="006E563D" w14:paraId="39F178CF" w14:textId="2E9046CC">
      <w:pPr>
        <w:spacing w:after="0" w:line="240" w:lineRule="auto"/>
        <w:rPr>
          <w:rFonts w:asciiTheme="majorHAnsi" w:hAnsiTheme="majorHAnsi"/>
          <w:sz w:val="24"/>
        </w:rPr>
      </w:pPr>
      <w:r w:rsidRPr="007D2BDF">
        <w:rPr>
          <w:rFonts w:asciiTheme="majorHAnsi" w:hAnsiTheme="majorHAnsi"/>
          <w:sz w:val="24"/>
        </w:rPr>
        <w:t xml:space="preserve">CPSC </w:t>
      </w:r>
      <w:r w:rsidR="00C12575">
        <w:rPr>
          <w:rFonts w:asciiTheme="majorHAnsi" w:hAnsiTheme="majorHAnsi"/>
          <w:sz w:val="24"/>
        </w:rPr>
        <w:t>can</w:t>
      </w:r>
      <w:r w:rsidRPr="007D2BDF">
        <w:rPr>
          <w:rFonts w:asciiTheme="majorHAnsi" w:hAnsiTheme="majorHAnsi"/>
          <w:sz w:val="24"/>
        </w:rPr>
        <w:t xml:space="preserve"> award up to a total of $</w:t>
      </w:r>
      <w:r w:rsidR="00C12575">
        <w:rPr>
          <w:rFonts w:asciiTheme="majorHAnsi" w:hAnsiTheme="majorHAnsi"/>
          <w:sz w:val="24"/>
        </w:rPr>
        <w:t>2</w:t>
      </w:r>
      <w:r w:rsidRPr="007D2BDF">
        <w:rPr>
          <w:rFonts w:asciiTheme="majorHAnsi" w:hAnsiTheme="majorHAnsi"/>
          <w:sz w:val="24"/>
        </w:rPr>
        <w:t xml:space="preserve"> million in grants</w:t>
      </w:r>
      <w:r>
        <w:rPr>
          <w:rFonts w:asciiTheme="majorHAnsi" w:hAnsiTheme="majorHAnsi"/>
          <w:sz w:val="24"/>
        </w:rPr>
        <w:t xml:space="preserve"> through the grant program. </w:t>
      </w:r>
      <w:r w:rsidRPr="007D2BDF" w:rsidR="00206EF5">
        <w:rPr>
          <w:rFonts w:asciiTheme="majorHAnsi" w:hAnsiTheme="majorHAnsi"/>
          <w:sz w:val="24"/>
        </w:rPr>
        <w:t>Grantees will have two years to use the funding to purchase and install CO alarms and complete training and education efforts. </w:t>
      </w:r>
    </w:p>
    <w:p w:rsidR="002871E6" w:rsidP="006E563D" w14:paraId="480FCE23" w14:textId="77777777">
      <w:pPr>
        <w:spacing w:after="0" w:line="240" w:lineRule="auto"/>
        <w:rPr>
          <w:rFonts w:asciiTheme="majorHAnsi" w:hAnsiTheme="majorHAnsi"/>
          <w:sz w:val="24"/>
        </w:rPr>
      </w:pPr>
    </w:p>
    <w:p w:rsidR="005C7428" w:rsidRPr="0085688C" w:rsidP="006E563D" w14:paraId="513F5C56" w14:textId="69C9C708">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5C7428" w:rsidP="006E563D" w14:paraId="226967E8" w14:textId="77777777">
      <w:pPr>
        <w:spacing w:after="0" w:line="240" w:lineRule="auto"/>
        <w:rPr>
          <w:rFonts w:asciiTheme="majorHAnsi" w:hAnsiTheme="majorHAnsi"/>
          <w:iCs/>
          <w:sz w:val="24"/>
        </w:rPr>
      </w:pPr>
    </w:p>
    <w:p w:rsidR="00CB128D" w:rsidP="006E563D" w14:paraId="4EA3B84E" w14:textId="43A8F3B4">
      <w:pPr>
        <w:spacing w:after="0" w:line="240" w:lineRule="auto"/>
        <w:rPr>
          <w:rFonts w:asciiTheme="majorHAnsi" w:hAnsiTheme="majorHAnsi"/>
          <w:iCs/>
          <w:sz w:val="24"/>
        </w:rPr>
      </w:pPr>
      <w:r w:rsidRPr="007D2BDF">
        <w:rPr>
          <w:rFonts w:asciiTheme="majorHAnsi" w:hAnsiTheme="majorHAnsi"/>
          <w:sz w:val="24"/>
        </w:rPr>
        <w:t xml:space="preserve">Grant applicants must be from a state, local government, Indian Tribe or U. S. Territory that has adopted a statute, rule, regulation or similar measure that requires compliant carbon monoxide alarms to be installed in dwelling units in accordance with National Fire Protection Association (NFPA) 72, the International Fire Code (IFC), or the International </w:t>
      </w:r>
      <w:r w:rsidRPr="007D2BDF">
        <w:rPr>
          <w:rFonts w:asciiTheme="majorHAnsi" w:hAnsiTheme="majorHAnsi"/>
          <w:sz w:val="24"/>
        </w:rPr>
        <w:t>Residential Code (IRC).</w:t>
      </w:r>
      <w:r>
        <w:rPr>
          <w:rFonts w:asciiTheme="majorHAnsi" w:hAnsiTheme="majorHAnsi"/>
          <w:sz w:val="24"/>
        </w:rPr>
        <w:t xml:space="preserve"> </w:t>
      </w:r>
      <w:r w:rsidRPr="007D2BDF">
        <w:rPr>
          <w:rFonts w:asciiTheme="majorHAnsi" w:hAnsiTheme="majorHAnsi"/>
          <w:sz w:val="24"/>
        </w:rPr>
        <w:t>Prospective applicants can review the Funding Opportunity Announcement (FOA) on Grants.gov.</w:t>
      </w:r>
      <w:r w:rsidR="00E977FD">
        <w:rPr>
          <w:rFonts w:asciiTheme="majorHAnsi" w:hAnsiTheme="majorHAnsi"/>
          <w:sz w:val="24"/>
        </w:rPr>
        <w:t xml:space="preserve"> </w:t>
      </w:r>
      <w:r w:rsidR="00C27984">
        <w:rPr>
          <w:rFonts w:asciiTheme="majorHAnsi" w:hAnsiTheme="majorHAnsi"/>
          <w:iCs/>
          <w:sz w:val="24"/>
        </w:rPr>
        <w:t>Grant applicants</w:t>
      </w:r>
      <w:r w:rsidR="000268B0">
        <w:rPr>
          <w:rFonts w:asciiTheme="majorHAnsi" w:hAnsiTheme="majorHAnsi"/>
          <w:iCs/>
          <w:sz w:val="24"/>
        </w:rPr>
        <w:t xml:space="preserve"> must have a GrantSolutions user account. </w:t>
      </w:r>
    </w:p>
    <w:p w:rsidR="00CB128D" w:rsidP="006E563D" w14:paraId="7D6FC36C" w14:textId="77777777">
      <w:pPr>
        <w:spacing w:after="0" w:line="240" w:lineRule="auto"/>
        <w:rPr>
          <w:rFonts w:asciiTheme="majorHAnsi" w:hAnsiTheme="majorHAnsi"/>
          <w:iCs/>
          <w:sz w:val="24"/>
        </w:rPr>
      </w:pPr>
    </w:p>
    <w:p w:rsidR="002871E6" w:rsidRPr="00CB128D" w:rsidP="006E563D" w14:paraId="68DAFEC3" w14:textId="79E265FE">
      <w:pPr>
        <w:spacing w:after="0" w:line="240" w:lineRule="auto"/>
        <w:rPr>
          <w:rFonts w:asciiTheme="majorHAnsi" w:hAnsiTheme="majorHAnsi"/>
          <w:sz w:val="24"/>
        </w:rPr>
      </w:pPr>
      <w:r>
        <w:rPr>
          <w:rFonts w:asciiTheme="majorHAnsi" w:hAnsiTheme="majorHAnsi"/>
          <w:iCs/>
          <w:sz w:val="24"/>
        </w:rPr>
        <w:t xml:space="preserve">This collection makes use of the following common (online) forms, as well as additional attachments specific to </w:t>
      </w:r>
      <w:r w:rsidR="00C27984">
        <w:rPr>
          <w:rFonts w:asciiTheme="majorHAnsi" w:hAnsiTheme="majorHAnsi"/>
          <w:iCs/>
          <w:sz w:val="24"/>
        </w:rPr>
        <w:t>COPPGP</w:t>
      </w:r>
      <w:r>
        <w:rPr>
          <w:rFonts w:asciiTheme="majorHAnsi" w:hAnsiTheme="majorHAnsi"/>
          <w:iCs/>
          <w:sz w:val="24"/>
        </w:rPr>
        <w:t>:</w:t>
      </w:r>
    </w:p>
    <w:p w:rsidR="000268B0" w:rsidP="006E563D" w14:paraId="48CA6D5A" w14:textId="77777777">
      <w:pPr>
        <w:spacing w:after="0" w:line="240" w:lineRule="auto"/>
        <w:rPr>
          <w:rFonts w:asciiTheme="majorHAnsi" w:hAnsiTheme="majorHAnsi"/>
          <w:iCs/>
          <w:sz w:val="24"/>
        </w:rPr>
      </w:pPr>
    </w:p>
    <w:p w:rsidR="00C27984" w:rsidRPr="00C27984" w:rsidP="00C27984" w14:paraId="1C35FE47" w14:textId="4FDF87AA">
      <w:pPr>
        <w:pStyle w:val="ListParagraph"/>
        <w:numPr>
          <w:ilvl w:val="0"/>
          <w:numId w:val="25"/>
        </w:numPr>
        <w:spacing w:after="0" w:line="240" w:lineRule="auto"/>
        <w:rPr>
          <w:rFonts w:asciiTheme="majorHAnsi" w:hAnsiTheme="majorHAnsi"/>
          <w:iCs/>
          <w:sz w:val="24"/>
        </w:rPr>
      </w:pPr>
      <w:r>
        <w:rPr>
          <w:rFonts w:asciiTheme="majorHAnsi" w:hAnsiTheme="majorHAnsi"/>
          <w:iCs/>
          <w:sz w:val="24"/>
        </w:rPr>
        <w:t>SF-424A: Budget Information</w:t>
      </w:r>
      <w:r w:rsidR="00BA2943">
        <w:rPr>
          <w:rFonts w:asciiTheme="majorHAnsi" w:hAnsiTheme="majorHAnsi"/>
          <w:iCs/>
          <w:sz w:val="24"/>
        </w:rPr>
        <w:t xml:space="preserve"> – </w:t>
      </w:r>
      <w:r>
        <w:rPr>
          <w:rFonts w:asciiTheme="majorHAnsi" w:hAnsiTheme="majorHAnsi"/>
          <w:iCs/>
          <w:sz w:val="24"/>
        </w:rPr>
        <w:t>Non-Construction (OMB Control No. 4040-0006)</w:t>
      </w:r>
    </w:p>
    <w:p w:rsidR="000268B0" w:rsidP="000268B0" w14:paraId="4B074EED" w14:textId="4D51CF7C">
      <w:pPr>
        <w:pStyle w:val="ListParagraph"/>
        <w:numPr>
          <w:ilvl w:val="0"/>
          <w:numId w:val="25"/>
        </w:numPr>
        <w:spacing w:after="0" w:line="240" w:lineRule="auto"/>
        <w:rPr>
          <w:rFonts w:asciiTheme="majorHAnsi" w:hAnsiTheme="majorHAnsi"/>
          <w:iCs/>
          <w:sz w:val="24"/>
        </w:rPr>
      </w:pPr>
      <w:r>
        <w:rPr>
          <w:rFonts w:asciiTheme="majorHAnsi" w:hAnsiTheme="majorHAnsi"/>
          <w:iCs/>
          <w:sz w:val="24"/>
        </w:rPr>
        <w:t>SF-424B Assurances – Non-Construction</w:t>
      </w:r>
      <w:r w:rsidR="008D03C0">
        <w:rPr>
          <w:rFonts w:asciiTheme="majorHAnsi" w:hAnsiTheme="majorHAnsi"/>
          <w:iCs/>
          <w:sz w:val="24"/>
        </w:rPr>
        <w:t xml:space="preserve"> Programs (OMB Control No. 4040-0007)</w:t>
      </w:r>
    </w:p>
    <w:p w:rsidR="000268B0" w:rsidP="000268B0" w14:paraId="3C6946EF" w14:textId="2D6AA290">
      <w:pPr>
        <w:pStyle w:val="ListParagraph"/>
        <w:numPr>
          <w:ilvl w:val="0"/>
          <w:numId w:val="25"/>
        </w:numPr>
        <w:spacing w:after="0" w:line="240" w:lineRule="auto"/>
        <w:rPr>
          <w:rFonts w:asciiTheme="majorHAnsi" w:hAnsiTheme="majorHAnsi"/>
          <w:iCs/>
          <w:sz w:val="24"/>
        </w:rPr>
      </w:pPr>
      <w:r>
        <w:rPr>
          <w:rFonts w:asciiTheme="majorHAnsi" w:hAnsiTheme="majorHAnsi"/>
          <w:iCs/>
          <w:sz w:val="24"/>
        </w:rPr>
        <w:t>Project Abstract Summary</w:t>
      </w:r>
      <w:r w:rsidR="008D03C0">
        <w:rPr>
          <w:rFonts w:asciiTheme="majorHAnsi" w:hAnsiTheme="majorHAnsi"/>
          <w:iCs/>
          <w:sz w:val="24"/>
        </w:rPr>
        <w:t xml:space="preserve"> (OMB Control No. 4040-0019)</w:t>
      </w:r>
    </w:p>
    <w:p w:rsidR="000268B0" w:rsidP="000268B0" w14:paraId="16F6FB36" w14:textId="17F8EFCE">
      <w:pPr>
        <w:pStyle w:val="ListParagraph"/>
        <w:numPr>
          <w:ilvl w:val="0"/>
          <w:numId w:val="25"/>
        </w:numPr>
        <w:spacing w:after="0" w:line="240" w:lineRule="auto"/>
        <w:rPr>
          <w:rFonts w:asciiTheme="majorHAnsi" w:hAnsiTheme="majorHAnsi"/>
          <w:iCs/>
          <w:sz w:val="24"/>
        </w:rPr>
      </w:pPr>
      <w:r>
        <w:rPr>
          <w:rFonts w:asciiTheme="majorHAnsi" w:hAnsiTheme="majorHAnsi"/>
          <w:iCs/>
          <w:sz w:val="24"/>
        </w:rPr>
        <w:t>SF-424 Application for Federal Assistance</w:t>
      </w:r>
      <w:r w:rsidR="008D03C0">
        <w:rPr>
          <w:rFonts w:asciiTheme="majorHAnsi" w:hAnsiTheme="majorHAnsi"/>
          <w:iCs/>
          <w:sz w:val="24"/>
        </w:rPr>
        <w:t xml:space="preserve"> (OMB Control No. 4040-0020)</w:t>
      </w:r>
    </w:p>
    <w:p w:rsidR="00732292" w:rsidRPr="00C12575" w:rsidP="006E563D" w14:paraId="5167D474" w14:textId="749FFFEE">
      <w:pPr>
        <w:pStyle w:val="ListParagraph"/>
        <w:numPr>
          <w:ilvl w:val="0"/>
          <w:numId w:val="25"/>
        </w:numPr>
        <w:spacing w:after="0" w:line="240" w:lineRule="auto"/>
        <w:rPr>
          <w:rFonts w:asciiTheme="majorHAnsi" w:hAnsiTheme="majorHAnsi"/>
          <w:iCs/>
          <w:sz w:val="24"/>
        </w:rPr>
      </w:pPr>
      <w:r>
        <w:rPr>
          <w:rFonts w:asciiTheme="majorHAnsi" w:hAnsiTheme="majorHAnsi"/>
          <w:iCs/>
          <w:sz w:val="24"/>
        </w:rPr>
        <w:t>SF-LLL Disclosure of Lobbying Activities</w:t>
      </w:r>
      <w:r w:rsidR="008D03C0">
        <w:rPr>
          <w:rFonts w:asciiTheme="majorHAnsi" w:hAnsiTheme="majorHAnsi"/>
          <w:iCs/>
          <w:sz w:val="24"/>
        </w:rPr>
        <w:t xml:space="preserve"> (OMB Control No. 4040-0013)</w:t>
      </w:r>
    </w:p>
    <w:p w:rsidR="00732292" w:rsidRPr="002871E6" w:rsidP="006E563D" w14:paraId="0B2CC15E" w14:textId="77777777">
      <w:pPr>
        <w:spacing w:after="0" w:line="240" w:lineRule="auto"/>
        <w:rPr>
          <w:rFonts w:asciiTheme="majorHAnsi" w:hAnsiTheme="majorHAnsi"/>
          <w:iCs/>
          <w:sz w:val="24"/>
        </w:rPr>
      </w:pPr>
    </w:p>
    <w:p w:rsidR="005C7428" w:rsidRPr="0085688C" w:rsidP="006E563D" w14:paraId="40C3F830" w14:textId="45EF1CB0">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B55E9F" w:rsidP="006E563D" w14:paraId="79731DEC" w14:textId="77777777">
      <w:pPr>
        <w:spacing w:after="0" w:line="240" w:lineRule="auto"/>
        <w:rPr>
          <w:rFonts w:asciiTheme="majorHAnsi" w:hAnsiTheme="majorHAnsi"/>
          <w:i/>
          <w:sz w:val="24"/>
        </w:rPr>
      </w:pPr>
    </w:p>
    <w:p w:rsidR="00C12575" w:rsidRPr="000268B0" w:rsidP="00C12575" w14:paraId="2B24412C" w14:textId="77777777">
      <w:pPr>
        <w:spacing w:after="0" w:line="240" w:lineRule="auto"/>
        <w:rPr>
          <w:rFonts w:asciiTheme="majorHAnsi" w:hAnsiTheme="majorHAnsi"/>
          <w:iCs/>
          <w:sz w:val="24"/>
        </w:rPr>
      </w:pPr>
      <w:r>
        <w:rPr>
          <w:rFonts w:asciiTheme="majorHAnsi" w:hAnsiTheme="majorHAnsi"/>
          <w:iCs/>
          <w:sz w:val="24"/>
        </w:rPr>
        <w:t>In order to apply for new funding opportunities which are open to the public for competition, applicants must access the Grants.gov website portal. All grant applications must be submitted electronically. Applicants that have a grantee business relationship with a grant program serviced by the Office of Grants Management, that are also applying as part of ongoing grantee related activities, should access GrantSolutions.gov.</w:t>
      </w:r>
    </w:p>
    <w:p w:rsidR="008635C4" w:rsidP="006E563D" w14:paraId="6BB74D25" w14:textId="6DF8099A">
      <w:pPr>
        <w:spacing w:after="0" w:line="240" w:lineRule="auto"/>
        <w:rPr>
          <w:rFonts w:asciiTheme="majorHAnsi" w:hAnsiTheme="majorHAnsi"/>
          <w:i/>
          <w:sz w:val="24"/>
        </w:rPr>
      </w:pPr>
    </w:p>
    <w:p w:rsidR="008635C4" w:rsidRPr="0085688C" w:rsidP="006E563D" w14:paraId="721775CE" w14:textId="0D1D441A">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C60565" w:rsidP="006E563D" w14:paraId="33D8EF3B" w14:textId="77777777">
      <w:pPr>
        <w:spacing w:after="0" w:line="240" w:lineRule="auto"/>
        <w:rPr>
          <w:rFonts w:asciiTheme="majorHAnsi" w:hAnsiTheme="majorHAnsi"/>
          <w:i/>
          <w:sz w:val="24"/>
        </w:rPr>
      </w:pPr>
    </w:p>
    <w:p w:rsidR="00CA15B1" w:rsidP="006E563D" w14:paraId="6C32236F" w14:textId="1C3AB1DE">
      <w:pPr>
        <w:spacing w:after="0" w:line="240" w:lineRule="auto"/>
        <w:rPr>
          <w:rFonts w:asciiTheme="majorHAnsi" w:hAnsiTheme="majorHAnsi"/>
          <w:i/>
          <w:sz w:val="24"/>
        </w:rPr>
      </w:pPr>
      <w:bookmarkStart w:id="0" w:name="_Hlk188513796"/>
      <w:r w:rsidRPr="00C60565">
        <w:rPr>
          <w:rFonts w:asciiTheme="majorHAnsi" w:hAnsiTheme="majorHAnsi"/>
          <w:sz w:val="24"/>
        </w:rPr>
        <w:t xml:space="preserve">The information obtained through this collection is </w:t>
      </w:r>
      <w:r w:rsidR="00F37984">
        <w:rPr>
          <w:rFonts w:asciiTheme="majorHAnsi" w:hAnsiTheme="majorHAnsi"/>
          <w:sz w:val="24"/>
        </w:rPr>
        <w:t>specific</w:t>
      </w:r>
      <w:r w:rsidRPr="00C60565">
        <w:rPr>
          <w:rFonts w:asciiTheme="majorHAnsi" w:hAnsiTheme="majorHAnsi"/>
          <w:sz w:val="24"/>
        </w:rPr>
        <w:t xml:space="preserve"> and </w:t>
      </w:r>
      <w:r w:rsidRPr="00C60565">
        <w:rPr>
          <w:rFonts w:asciiTheme="majorHAnsi" w:hAnsiTheme="majorHAnsi"/>
          <w:sz w:val="24"/>
        </w:rPr>
        <w:t xml:space="preserve">is </w:t>
      </w:r>
      <w:r w:rsidRPr="00C60565">
        <w:rPr>
          <w:rFonts w:asciiTheme="majorHAnsi" w:hAnsiTheme="majorHAnsi"/>
          <w:sz w:val="24"/>
        </w:rPr>
        <w:t xml:space="preserve">not </w:t>
      </w:r>
      <w:r w:rsidR="00F37984">
        <w:rPr>
          <w:rFonts w:asciiTheme="majorHAnsi" w:hAnsiTheme="majorHAnsi"/>
          <w:sz w:val="24"/>
        </w:rPr>
        <w:t>readily</w:t>
      </w:r>
      <w:r w:rsidRPr="00C60565">
        <w:rPr>
          <w:rFonts w:asciiTheme="majorHAnsi" w:hAnsiTheme="majorHAnsi"/>
          <w:sz w:val="24"/>
        </w:rPr>
        <w:t xml:space="preserve"> available for use or adaptation from another source.</w:t>
      </w:r>
      <w:r w:rsidRPr="00200261">
        <w:rPr>
          <w:rFonts w:asciiTheme="majorHAnsi" w:hAnsiTheme="majorHAnsi"/>
          <w:sz w:val="24"/>
        </w:rPr>
        <w:t xml:space="preserve"> </w:t>
      </w:r>
      <w:r w:rsidR="00C27984">
        <w:rPr>
          <w:rFonts w:asciiTheme="majorHAnsi" w:hAnsiTheme="majorHAnsi"/>
          <w:sz w:val="24"/>
        </w:rPr>
        <w:t>CPSC will work to identify areas within the information collection where the same information is requested from the applicant in two or more sections of the grant application. Improving the grant application process</w:t>
      </w:r>
      <w:r w:rsidR="00F37984">
        <w:rPr>
          <w:rFonts w:asciiTheme="majorHAnsi" w:hAnsiTheme="majorHAnsi"/>
          <w:sz w:val="24"/>
        </w:rPr>
        <w:t xml:space="preserve"> to reduce applicant burden</w:t>
      </w:r>
      <w:r w:rsidR="00C27984">
        <w:rPr>
          <w:rFonts w:asciiTheme="majorHAnsi" w:hAnsiTheme="majorHAnsi"/>
          <w:sz w:val="24"/>
        </w:rPr>
        <w:t xml:space="preserve"> is an ongoing </w:t>
      </w:r>
      <w:r w:rsidR="00F37984">
        <w:rPr>
          <w:rFonts w:asciiTheme="majorHAnsi" w:hAnsiTheme="majorHAnsi"/>
          <w:sz w:val="24"/>
        </w:rPr>
        <w:t>effort</w:t>
      </w:r>
      <w:r w:rsidR="00C27984">
        <w:rPr>
          <w:rFonts w:asciiTheme="majorHAnsi" w:hAnsiTheme="majorHAnsi"/>
          <w:sz w:val="24"/>
        </w:rPr>
        <w:t>.</w:t>
      </w:r>
    </w:p>
    <w:bookmarkEnd w:id="0"/>
    <w:p w:rsidR="00CA15B1" w:rsidP="006E563D" w14:paraId="5A8655DB" w14:textId="77777777">
      <w:pPr>
        <w:spacing w:after="0" w:line="240" w:lineRule="auto"/>
        <w:rPr>
          <w:rFonts w:asciiTheme="majorHAnsi" w:hAnsiTheme="majorHAnsi"/>
          <w:i/>
          <w:sz w:val="24"/>
        </w:rPr>
      </w:pPr>
    </w:p>
    <w:p w:rsidR="00CA15B1" w:rsidP="006E563D" w14:paraId="6E988833" w14:textId="3DB98A09">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C60565" w:rsidP="006E563D" w14:paraId="6538D746" w14:textId="77777777">
      <w:pPr>
        <w:spacing w:after="0" w:line="240" w:lineRule="auto"/>
        <w:rPr>
          <w:rFonts w:asciiTheme="majorHAnsi" w:hAnsiTheme="majorHAnsi"/>
          <w:i/>
          <w:sz w:val="24"/>
        </w:rPr>
      </w:pPr>
    </w:p>
    <w:p w:rsidR="002567F9" w:rsidP="006E563D" w14:paraId="743DDE0D" w14:textId="6D5EB453">
      <w:pPr>
        <w:spacing w:after="0" w:line="240" w:lineRule="auto"/>
        <w:rPr>
          <w:rFonts w:asciiTheme="majorHAnsi" w:hAnsiTheme="majorHAnsi"/>
          <w:i/>
          <w:sz w:val="24"/>
        </w:rPr>
      </w:pPr>
      <w:r w:rsidRPr="00C60565">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047C8EF7" w14:textId="77777777">
      <w:pPr>
        <w:spacing w:after="0" w:line="240" w:lineRule="auto"/>
        <w:rPr>
          <w:rFonts w:asciiTheme="majorHAnsi" w:hAnsiTheme="majorHAnsi"/>
          <w:i/>
          <w:sz w:val="24"/>
        </w:rPr>
      </w:pPr>
    </w:p>
    <w:p w:rsidR="002567F9" w:rsidRPr="0085688C" w:rsidP="006E563D" w14:paraId="39853F1F" w14:textId="51DE2E9B">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F86C35" w:rsidP="006E563D" w14:paraId="1153890C" w14:textId="77777777">
      <w:pPr>
        <w:spacing w:after="0" w:line="240" w:lineRule="auto"/>
        <w:rPr>
          <w:rFonts w:asciiTheme="majorHAnsi" w:hAnsiTheme="majorHAnsi"/>
          <w:i/>
          <w:sz w:val="24"/>
        </w:rPr>
      </w:pPr>
    </w:p>
    <w:p w:rsidR="00732292" w:rsidRPr="00206EF5" w:rsidP="00732292" w14:paraId="7AF10049" w14:textId="09D26B34">
      <w:pPr>
        <w:spacing w:after="0" w:line="240" w:lineRule="auto"/>
        <w:rPr>
          <w:rFonts w:asciiTheme="majorHAnsi" w:hAnsiTheme="majorHAnsi"/>
          <w:sz w:val="24"/>
        </w:rPr>
      </w:pPr>
      <w:r w:rsidRPr="007D2BDF">
        <w:rPr>
          <w:rFonts w:asciiTheme="majorHAnsi" w:hAnsiTheme="majorHAnsi"/>
          <w:sz w:val="24"/>
        </w:rPr>
        <w:t>The burning of fuels produces CO, which is a colorless, odorless gas. Exposure to unhealthy levels of CO can lead to CO poisoning, a serious health condition that could result in death. Unintentional CO poisoning from motor vehicles and fuel-burning appliances, such as furnaces, water heaters, portable generators, and stoves, annually kill more than 400 individuals. CO alarms save lives and should be installed on every level and outside sleeping areas in residences. </w:t>
      </w:r>
      <w:r w:rsidR="00C60565">
        <w:rPr>
          <w:rFonts w:asciiTheme="majorHAnsi" w:hAnsiTheme="majorHAnsi"/>
          <w:iCs/>
          <w:sz w:val="24"/>
        </w:rPr>
        <w:t xml:space="preserve">Less frequent collection of </w:t>
      </w:r>
      <w:r w:rsidR="00F37984">
        <w:rPr>
          <w:rFonts w:asciiTheme="majorHAnsi" w:hAnsiTheme="majorHAnsi"/>
          <w:iCs/>
          <w:sz w:val="24"/>
        </w:rPr>
        <w:t xml:space="preserve">the </w:t>
      </w:r>
      <w:r w:rsidR="00C60565">
        <w:rPr>
          <w:rFonts w:asciiTheme="majorHAnsi" w:hAnsiTheme="majorHAnsi"/>
          <w:iCs/>
          <w:sz w:val="24"/>
        </w:rPr>
        <w:t xml:space="preserve">information used in the </w:t>
      </w:r>
      <w:r>
        <w:rPr>
          <w:rFonts w:asciiTheme="majorHAnsi" w:hAnsiTheme="majorHAnsi"/>
          <w:iCs/>
          <w:sz w:val="24"/>
        </w:rPr>
        <w:t>COPP</w:t>
      </w:r>
      <w:r w:rsidR="00C60565">
        <w:rPr>
          <w:rFonts w:asciiTheme="majorHAnsi" w:hAnsiTheme="majorHAnsi"/>
          <w:iCs/>
          <w:sz w:val="24"/>
        </w:rPr>
        <w:t>GP could reduce the effectiveness of federal grants to encourage these life-saving measures.</w:t>
      </w:r>
    </w:p>
    <w:p w:rsidR="00732292" w:rsidP="006E563D" w14:paraId="7D13C81D" w14:textId="77777777">
      <w:pPr>
        <w:spacing w:after="0" w:line="240" w:lineRule="auto"/>
        <w:rPr>
          <w:rFonts w:asciiTheme="majorHAnsi" w:hAnsiTheme="majorHAnsi"/>
          <w:i/>
          <w:sz w:val="24"/>
        </w:rPr>
      </w:pPr>
    </w:p>
    <w:p w:rsidR="00F86C35" w:rsidP="00C12575" w14:paraId="4CBD3F84" w14:textId="4D2E9809">
      <w:pPr>
        <w:keepNext/>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C12575" w14:paraId="6DAD08F3" w14:textId="53AED2D7">
      <w:pPr>
        <w:pStyle w:val="NormalWeb"/>
        <w:keepNext/>
        <w:spacing w:line="288" w:lineRule="atLeast"/>
        <w:rPr>
          <w:rFonts w:asciiTheme="majorHAnsi" w:eastAsiaTheme="minorHAnsi" w:hAnsiTheme="majorHAnsi" w:cstheme="minorBidi"/>
          <w:i/>
          <w:szCs w:val="22"/>
        </w:rPr>
      </w:pPr>
      <w:r w:rsidRPr="00C60565">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223D478B"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23EE5D50"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0A7E9A49" w14:textId="6EF5C019">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for the collection published on</w:t>
      </w:r>
      <w:r w:rsidR="000B77A7">
        <w:rPr>
          <w:rFonts w:asciiTheme="majorHAnsi" w:eastAsiaTheme="minorHAnsi" w:hAnsiTheme="majorHAnsi" w:cstheme="minorBidi"/>
          <w:szCs w:val="22"/>
        </w:rPr>
        <w:t xml:space="preserve"> </w:t>
      </w:r>
      <w:r w:rsidR="00723E8A">
        <w:rPr>
          <w:rFonts w:asciiTheme="majorHAnsi" w:eastAsiaTheme="minorHAnsi" w:hAnsiTheme="majorHAnsi" w:cstheme="minorBidi"/>
          <w:szCs w:val="22"/>
        </w:rPr>
        <w:t>Tuesday, March 11, 2025</w:t>
      </w:r>
      <w:r>
        <w:rPr>
          <w:rFonts w:asciiTheme="majorHAnsi" w:eastAsiaTheme="minorHAnsi" w:hAnsiTheme="majorHAnsi" w:cstheme="minorBidi"/>
          <w:szCs w:val="22"/>
        </w:rPr>
        <w:t xml:space="preserve">.  The 60-Day FRN citation is </w:t>
      </w:r>
      <w:r w:rsidR="00723E8A">
        <w:rPr>
          <w:rFonts w:asciiTheme="majorHAnsi" w:eastAsiaTheme="minorHAnsi" w:hAnsiTheme="majorHAnsi" w:cstheme="minorBidi"/>
          <w:szCs w:val="22"/>
        </w:rPr>
        <w:t>90</w:t>
      </w:r>
      <w:r>
        <w:rPr>
          <w:rFonts w:asciiTheme="majorHAnsi" w:eastAsiaTheme="minorHAnsi" w:hAnsiTheme="majorHAnsi" w:cstheme="minorBidi"/>
          <w:szCs w:val="22"/>
        </w:rPr>
        <w:t xml:space="preserve"> FRN </w:t>
      </w:r>
      <w:r w:rsidR="00D92C1A">
        <w:rPr>
          <w:rFonts w:asciiTheme="majorHAnsi" w:eastAsiaTheme="minorHAnsi" w:hAnsiTheme="majorHAnsi" w:cstheme="minorBidi"/>
          <w:szCs w:val="22"/>
        </w:rPr>
        <w:t>11731</w:t>
      </w:r>
      <w:r>
        <w:rPr>
          <w:rFonts w:asciiTheme="majorHAnsi" w:eastAsiaTheme="minorHAnsi" w:hAnsiTheme="majorHAnsi" w:cstheme="minorBidi"/>
          <w:szCs w:val="22"/>
        </w:rPr>
        <w:t>.</w:t>
      </w:r>
      <w:r w:rsidR="00D92C1A">
        <w:rPr>
          <w:rFonts w:asciiTheme="majorHAnsi" w:eastAsiaTheme="minorHAnsi" w:hAnsiTheme="majorHAnsi" w:cstheme="minorBidi"/>
          <w:szCs w:val="22"/>
        </w:rPr>
        <w:t xml:space="preserve"> One anonymous comment was received and is provided below. </w:t>
      </w:r>
      <w:r>
        <w:rPr>
          <w:rFonts w:asciiTheme="majorHAnsi" w:eastAsiaTheme="minorHAnsi" w:hAnsiTheme="majorHAnsi" w:cstheme="minorBidi"/>
          <w:szCs w:val="22"/>
        </w:rPr>
        <w:t xml:space="preserve"> </w:t>
      </w:r>
    </w:p>
    <w:p w:rsidR="007D15EF" w:rsidP="00200261" w14:paraId="4D588FD0" w14:textId="77777777">
      <w:pPr>
        <w:pStyle w:val="NormalWeb"/>
        <w:spacing w:line="288" w:lineRule="atLeast"/>
        <w:rPr>
          <w:rFonts w:asciiTheme="majorHAnsi" w:eastAsiaTheme="minorHAnsi" w:hAnsiTheme="majorHAnsi" w:cstheme="minorBidi"/>
          <w:i/>
          <w:szCs w:val="22"/>
        </w:rPr>
      </w:pPr>
      <w:r w:rsidRPr="007D15EF">
        <w:rPr>
          <w:rFonts w:asciiTheme="majorHAnsi" w:eastAsiaTheme="minorHAnsi" w:hAnsiTheme="majorHAnsi" w:cstheme="minorBidi"/>
          <w:i/>
          <w:szCs w:val="22"/>
        </w:rPr>
        <w:t>CPSC-2025-0004</w:t>
      </w:r>
      <w:r w:rsidRPr="007D15EF">
        <w:rPr>
          <w:rFonts w:asciiTheme="majorHAnsi" w:eastAsiaTheme="minorHAnsi" w:hAnsiTheme="majorHAnsi" w:cstheme="minorBidi"/>
          <w:i/>
          <w:szCs w:val="22"/>
        </w:rPr>
        <w:br/>
        <w:t xml:space="preserve">This is an important step to take to ensure the grants are issued to the individuals that have been affected by carbon monoxide poisoning and other toxic substances. </w:t>
      </w:r>
    </w:p>
    <w:p w:rsidR="00502FF3" w:rsidP="00200261" w14:paraId="1F9C53E8" w14:textId="588FA6EC">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8E025D">
        <w:rPr>
          <w:rFonts w:asciiTheme="majorHAnsi" w:eastAsiaTheme="minorHAnsi" w:hAnsiTheme="majorHAnsi" w:cstheme="minorBidi"/>
          <w:szCs w:val="22"/>
        </w:rPr>
        <w:t>Friday, June 13, 2025</w:t>
      </w:r>
      <w:r>
        <w:rPr>
          <w:rFonts w:asciiTheme="majorHAnsi" w:eastAsiaTheme="minorHAnsi" w:hAnsiTheme="majorHAnsi" w:cstheme="minorBidi"/>
          <w:szCs w:val="22"/>
        </w:rPr>
        <w:t xml:space="preserve">.  The 30-Day FRN citation is </w:t>
      </w:r>
      <w:r w:rsidR="008E025D">
        <w:rPr>
          <w:rFonts w:asciiTheme="majorHAnsi" w:eastAsiaTheme="minorHAnsi" w:hAnsiTheme="majorHAnsi" w:cstheme="minorBidi"/>
          <w:szCs w:val="22"/>
        </w:rPr>
        <w:t>90</w:t>
      </w:r>
      <w:r>
        <w:rPr>
          <w:rFonts w:asciiTheme="majorHAnsi" w:eastAsiaTheme="minorHAnsi" w:hAnsiTheme="majorHAnsi" w:cstheme="minorBidi"/>
          <w:szCs w:val="22"/>
        </w:rPr>
        <w:t xml:space="preserve"> FRN </w:t>
      </w:r>
      <w:r w:rsidR="008E025D">
        <w:rPr>
          <w:rFonts w:asciiTheme="majorHAnsi" w:eastAsiaTheme="minorHAnsi" w:hAnsiTheme="majorHAnsi" w:cstheme="minorBidi"/>
          <w:szCs w:val="22"/>
        </w:rPr>
        <w:t>25035</w:t>
      </w:r>
      <w:r>
        <w:rPr>
          <w:rFonts w:asciiTheme="majorHAnsi" w:eastAsiaTheme="minorHAnsi" w:hAnsiTheme="majorHAnsi" w:cstheme="minorBidi"/>
          <w:szCs w:val="22"/>
        </w:rPr>
        <w:t>.</w:t>
      </w:r>
    </w:p>
    <w:p w:rsidR="00A24175" w:rsidP="00200261" w14:paraId="799B379D"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A24175" w:rsidRPr="00A24175" w:rsidP="00A24175" w14:paraId="3F1FEBA5" w14:textId="282ADF80">
      <w:pPr>
        <w:rPr>
          <w:rFonts w:asciiTheme="majorHAnsi" w:hAnsiTheme="majorHAnsi"/>
          <w:sz w:val="24"/>
          <w:szCs w:val="24"/>
        </w:rPr>
      </w:pPr>
      <w:r w:rsidRPr="00A24175">
        <w:rPr>
          <w:rFonts w:asciiTheme="majorHAnsi" w:hAnsiTheme="majorHAnsi"/>
          <w:sz w:val="24"/>
          <w:szCs w:val="24"/>
        </w:rPr>
        <w:t xml:space="preserve">Applicants, potential applicants, and awardees can provide feedback on the application process and post-award administration. This is a continuous process. Historically, most of the feedback given to the CPSC has addressed the clarity of instructions and allowed the CPSC to improve its Funding Opportunity Announcements and the pre-award process. Additionally, CPSC has engaged with the Office of Management and Budget (OMB) on how agencies can simplify their grants announcements.  This is also a continuous process that will extend to fiscal year 2025. </w:t>
      </w:r>
    </w:p>
    <w:p w:rsidR="00571698" w:rsidRPr="0085688C" w:rsidP="006E563D" w14:paraId="4BAFE9DD" w14:textId="64FFB067">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6A13FA" w14:paraId="3FAF288E" w14:textId="77777777">
      <w:pPr>
        <w:spacing w:after="0" w:line="240" w:lineRule="auto"/>
        <w:rPr>
          <w:rFonts w:asciiTheme="majorHAnsi" w:hAnsiTheme="majorHAnsi"/>
          <w:i/>
          <w:sz w:val="24"/>
        </w:rPr>
      </w:pPr>
    </w:p>
    <w:p w:rsidR="00E57A2B" w:rsidP="006A13FA" w14:paraId="3FCA2A84" w14:textId="0F063AB4">
      <w:pPr>
        <w:spacing w:after="0" w:line="240" w:lineRule="auto"/>
        <w:rPr>
          <w:rFonts w:asciiTheme="majorHAnsi" w:hAnsiTheme="majorHAnsi"/>
          <w:sz w:val="24"/>
        </w:rPr>
      </w:pPr>
      <w:r>
        <w:rPr>
          <w:rFonts w:asciiTheme="majorHAnsi" w:hAnsiTheme="majorHAnsi"/>
          <w:sz w:val="24"/>
        </w:rPr>
        <w:t xml:space="preserve">Individual awards range between </w:t>
      </w:r>
      <w:r w:rsidRPr="00206EF5" w:rsidR="00206EF5">
        <w:rPr>
          <w:rFonts w:asciiTheme="majorHAnsi" w:hAnsiTheme="majorHAnsi"/>
          <w:sz w:val="24"/>
        </w:rPr>
        <w:t>$50,000</w:t>
      </w:r>
      <w:r>
        <w:rPr>
          <w:rFonts w:asciiTheme="majorHAnsi" w:hAnsiTheme="majorHAnsi"/>
          <w:sz w:val="24"/>
        </w:rPr>
        <w:t xml:space="preserve"> and $400,000</w:t>
      </w:r>
      <w:r w:rsidRPr="00206EF5" w:rsidR="00206EF5">
        <w:rPr>
          <w:rFonts w:asciiTheme="majorHAnsi" w:hAnsiTheme="majorHAnsi"/>
          <w:sz w:val="24"/>
        </w:rPr>
        <w:t xml:space="preserve">. </w:t>
      </w:r>
      <w:r>
        <w:rPr>
          <w:rFonts w:asciiTheme="majorHAnsi" w:hAnsiTheme="majorHAnsi"/>
          <w:sz w:val="24"/>
        </w:rPr>
        <w:t>The total anticipated annual available funding is $</w:t>
      </w:r>
      <w:r w:rsidR="00C14FB3">
        <w:rPr>
          <w:rFonts w:asciiTheme="majorHAnsi" w:hAnsiTheme="majorHAnsi"/>
          <w:sz w:val="24"/>
        </w:rPr>
        <w:t>2</w:t>
      </w:r>
      <w:r>
        <w:rPr>
          <w:rFonts w:asciiTheme="majorHAnsi" w:hAnsiTheme="majorHAnsi"/>
          <w:sz w:val="24"/>
        </w:rPr>
        <w:t xml:space="preserve"> million.</w:t>
      </w:r>
    </w:p>
    <w:p w:rsidR="00E57A2B" w:rsidP="006A13FA" w14:paraId="7B860A75" w14:textId="77777777">
      <w:pPr>
        <w:spacing w:after="0" w:line="240" w:lineRule="auto"/>
        <w:rPr>
          <w:rFonts w:asciiTheme="majorHAnsi" w:hAnsiTheme="majorHAnsi"/>
          <w:sz w:val="24"/>
        </w:rPr>
      </w:pPr>
    </w:p>
    <w:p w:rsidR="00206EF5" w:rsidP="006A13FA" w14:paraId="367CC062" w14:textId="7C39B384">
      <w:pPr>
        <w:spacing w:after="0" w:line="240" w:lineRule="auto"/>
        <w:rPr>
          <w:rFonts w:asciiTheme="majorHAnsi" w:hAnsiTheme="majorHAnsi"/>
          <w:sz w:val="24"/>
        </w:rPr>
      </w:pPr>
      <w:r>
        <w:rPr>
          <w:rFonts w:asciiTheme="majorHAnsi" w:hAnsiTheme="majorHAnsi"/>
          <w:sz w:val="24"/>
        </w:rPr>
        <w:t>There are t</w:t>
      </w:r>
      <w:r w:rsidRPr="00206EF5">
        <w:rPr>
          <w:rFonts w:asciiTheme="majorHAnsi" w:hAnsiTheme="majorHAnsi"/>
          <w:sz w:val="24"/>
        </w:rPr>
        <w:t>hree fundable activities (</w:t>
      </w:r>
      <w:r w:rsidR="004C5ED6">
        <w:rPr>
          <w:rFonts w:asciiTheme="majorHAnsi" w:hAnsiTheme="majorHAnsi"/>
          <w:sz w:val="24"/>
        </w:rPr>
        <w:t xml:space="preserve">1. </w:t>
      </w:r>
      <w:r w:rsidRPr="00206EF5">
        <w:rPr>
          <w:rFonts w:asciiTheme="majorHAnsi" w:hAnsiTheme="majorHAnsi"/>
          <w:sz w:val="24"/>
        </w:rPr>
        <w:t xml:space="preserve">purchase and installation, </w:t>
      </w:r>
      <w:r w:rsidR="004C5ED6">
        <w:rPr>
          <w:rFonts w:asciiTheme="majorHAnsi" w:hAnsiTheme="majorHAnsi"/>
          <w:sz w:val="24"/>
        </w:rPr>
        <w:t xml:space="preserve">2. </w:t>
      </w:r>
      <w:r w:rsidRPr="00206EF5">
        <w:rPr>
          <w:rFonts w:asciiTheme="majorHAnsi" w:hAnsiTheme="majorHAnsi"/>
          <w:sz w:val="24"/>
        </w:rPr>
        <w:t xml:space="preserve">training, and </w:t>
      </w:r>
      <w:r w:rsidR="004C5ED6">
        <w:rPr>
          <w:rFonts w:asciiTheme="majorHAnsi" w:hAnsiTheme="majorHAnsi"/>
          <w:sz w:val="24"/>
        </w:rPr>
        <w:t xml:space="preserve">3. </w:t>
      </w:r>
      <w:r w:rsidRPr="00206EF5">
        <w:rPr>
          <w:rFonts w:asciiTheme="majorHAnsi" w:hAnsiTheme="majorHAnsi"/>
          <w:sz w:val="24"/>
        </w:rPr>
        <w:t xml:space="preserve">public outreach/ education) </w:t>
      </w:r>
      <w:r>
        <w:rPr>
          <w:rFonts w:asciiTheme="majorHAnsi" w:hAnsiTheme="majorHAnsi"/>
          <w:sz w:val="24"/>
        </w:rPr>
        <w:t xml:space="preserve">for the COPPGP, which </w:t>
      </w:r>
      <w:r w:rsidRPr="00206EF5">
        <w:rPr>
          <w:rFonts w:asciiTheme="majorHAnsi" w:hAnsiTheme="majorHAnsi"/>
          <w:sz w:val="24"/>
        </w:rPr>
        <w:t>collectively count towards the minimum award amount.</w:t>
      </w:r>
      <w:r>
        <w:rPr>
          <w:rFonts w:asciiTheme="majorHAnsi" w:hAnsiTheme="majorHAnsi"/>
          <w:sz w:val="24"/>
        </w:rPr>
        <w:t xml:space="preserve"> </w:t>
      </w:r>
      <w:r w:rsidRPr="00206EF5">
        <w:rPr>
          <w:rFonts w:asciiTheme="majorHAnsi" w:hAnsiTheme="majorHAnsi"/>
          <w:sz w:val="24"/>
        </w:rPr>
        <w:t>Payments are generally issued on a reimbursement basis but may include advance payments if permitted in the Notice of Award.</w:t>
      </w:r>
    </w:p>
    <w:p w:rsidR="00C60565" w:rsidP="006A13FA" w14:paraId="56537CDC" w14:textId="77777777">
      <w:pPr>
        <w:spacing w:after="0" w:line="240" w:lineRule="auto"/>
        <w:rPr>
          <w:rFonts w:asciiTheme="majorHAnsi" w:hAnsiTheme="majorHAnsi"/>
          <w:i/>
          <w:sz w:val="24"/>
        </w:rPr>
      </w:pPr>
    </w:p>
    <w:p w:rsidR="00F97482" w:rsidP="00590679" w14:paraId="3DB3A0A9" w14:textId="77777777">
      <w:pPr>
        <w:keepNext/>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C60565" w:rsidP="00590679" w14:paraId="098E0306" w14:textId="77777777">
      <w:pPr>
        <w:keepNext/>
        <w:spacing w:after="0" w:line="240" w:lineRule="auto"/>
        <w:rPr>
          <w:rFonts w:asciiTheme="majorHAnsi" w:hAnsiTheme="majorHAnsi"/>
          <w:sz w:val="24"/>
          <w:u w:val="single"/>
        </w:rPr>
      </w:pPr>
    </w:p>
    <w:p w:rsidR="000A70CB" w:rsidRPr="000A70CB" w:rsidP="00590679" w14:paraId="7A2CEB6E" w14:textId="77777777">
      <w:pPr>
        <w:keepNext/>
        <w:spacing w:after="0" w:line="240" w:lineRule="auto"/>
        <w:rPr>
          <w:rFonts w:asciiTheme="majorHAnsi" w:hAnsiTheme="majorHAnsi"/>
          <w:sz w:val="24"/>
        </w:rPr>
      </w:pPr>
      <w:r w:rsidRPr="000A70CB">
        <w:rPr>
          <w:rFonts w:asciiTheme="majorHAnsi" w:hAnsiTheme="majorHAnsi"/>
          <w:sz w:val="24"/>
        </w:rPr>
        <w:t>CPSC will perform a privacy threshold analysis for this collection to determine whether a privacy impact assessment or system of records notice is required.</w:t>
      </w:r>
    </w:p>
    <w:p w:rsidR="00996894" w:rsidP="00996894" w14:paraId="11DA52BE" w14:textId="77777777">
      <w:pPr>
        <w:spacing w:after="0" w:line="240" w:lineRule="auto"/>
        <w:rPr>
          <w:rFonts w:asciiTheme="majorHAnsi" w:hAnsiTheme="majorHAnsi"/>
          <w:i/>
          <w:sz w:val="24"/>
        </w:rPr>
      </w:pPr>
    </w:p>
    <w:p w:rsidR="00996894" w:rsidP="00996894" w14:paraId="7FA50A20" w14:textId="5141F4F9">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C60565" w:rsidP="00996894" w14:paraId="05F29507" w14:textId="77777777">
      <w:pPr>
        <w:spacing w:after="0" w:line="240" w:lineRule="auto"/>
        <w:rPr>
          <w:rFonts w:asciiTheme="majorHAnsi" w:hAnsiTheme="majorHAnsi"/>
          <w:sz w:val="24"/>
        </w:rPr>
      </w:pPr>
    </w:p>
    <w:p w:rsidR="009A6246" w:rsidP="00337EF1" w14:paraId="10695E69" w14:textId="26E6406B">
      <w:pPr>
        <w:spacing w:after="0" w:line="240" w:lineRule="auto"/>
        <w:rPr>
          <w:rFonts w:asciiTheme="majorHAnsi" w:hAnsiTheme="majorHAnsi"/>
          <w:sz w:val="24"/>
        </w:rPr>
      </w:pPr>
      <w:r w:rsidRPr="00C60565">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14:paraId="35579206" w14:textId="77777777">
      <w:pPr>
        <w:spacing w:after="0" w:line="240" w:lineRule="auto"/>
        <w:rPr>
          <w:rFonts w:asciiTheme="majorHAnsi" w:hAnsiTheme="majorHAnsi"/>
          <w:sz w:val="24"/>
        </w:rPr>
      </w:pPr>
    </w:p>
    <w:p w:rsidR="00D21AA6" w:rsidP="00337EF1" w14:paraId="7B89CCA3" w14:textId="77777777">
      <w:pPr>
        <w:spacing w:after="0" w:line="240" w:lineRule="auto"/>
        <w:rPr>
          <w:rFonts w:asciiTheme="majorHAnsi" w:hAnsiTheme="majorHAnsi"/>
          <w:sz w:val="24"/>
          <w:u w:val="single"/>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CC23C1" w:rsidP="00337EF1" w14:paraId="646A78DF" w14:textId="77777777">
      <w:pPr>
        <w:spacing w:after="0" w:line="240" w:lineRule="auto"/>
        <w:rPr>
          <w:rFonts w:asciiTheme="majorHAnsi" w:hAnsiTheme="majorHAnsi"/>
          <w:sz w:val="24"/>
          <w:u w:val="single"/>
        </w:rPr>
      </w:pPr>
    </w:p>
    <w:p w:rsidR="00CC23C1" w:rsidP="00CC23C1" w14:paraId="0B60F571" w14:textId="117CC278">
      <w:pPr>
        <w:spacing w:after="0" w:line="240" w:lineRule="auto"/>
        <w:rPr>
          <w:rFonts w:asciiTheme="majorHAnsi" w:hAnsiTheme="majorHAnsi"/>
          <w:sz w:val="24"/>
        </w:rPr>
      </w:pPr>
      <w:r>
        <w:rPr>
          <w:rFonts w:asciiTheme="majorHAnsi" w:hAnsiTheme="majorHAnsi"/>
          <w:sz w:val="24"/>
        </w:rPr>
        <w:t xml:space="preserve">To apply for the </w:t>
      </w:r>
      <w:r w:rsidR="008D03C0">
        <w:rPr>
          <w:rFonts w:asciiTheme="majorHAnsi" w:hAnsiTheme="majorHAnsi"/>
          <w:sz w:val="24"/>
        </w:rPr>
        <w:t>COPP</w:t>
      </w:r>
      <w:r>
        <w:rPr>
          <w:rFonts w:asciiTheme="majorHAnsi" w:hAnsiTheme="majorHAnsi"/>
          <w:sz w:val="24"/>
        </w:rPr>
        <w:t>GP,</w:t>
      </w:r>
      <w:r w:rsidRPr="00CC23C1">
        <w:rPr>
          <w:rFonts w:asciiTheme="majorHAnsi" w:hAnsiTheme="majorHAnsi"/>
          <w:sz w:val="24"/>
        </w:rPr>
        <w:t xml:space="preserve"> </w:t>
      </w:r>
      <w:r w:rsidR="00EB55B5">
        <w:rPr>
          <w:rFonts w:asciiTheme="majorHAnsi" w:hAnsiTheme="majorHAnsi"/>
          <w:sz w:val="24"/>
        </w:rPr>
        <w:t xml:space="preserve">applicants should provide justification for the requested funding, including information related to how the funding will be used, what types of activities will be funded, and what the expected benefit or goal is. Details should include what types of facilities or dwellings will be part of the program, who the target audience is, and cost estimates for time and materials. </w:t>
      </w:r>
      <w:r w:rsidR="00F37984">
        <w:rPr>
          <w:rFonts w:asciiTheme="majorHAnsi" w:hAnsiTheme="majorHAnsi"/>
          <w:sz w:val="24"/>
        </w:rPr>
        <w:t>To do this, a</w:t>
      </w:r>
      <w:r w:rsidR="00EB55B5">
        <w:rPr>
          <w:rFonts w:asciiTheme="majorHAnsi" w:hAnsiTheme="majorHAnsi"/>
          <w:sz w:val="24"/>
        </w:rPr>
        <w:t>n</w:t>
      </w:r>
      <w:r w:rsidRPr="00CC23C1">
        <w:rPr>
          <w:rFonts w:asciiTheme="majorHAnsi" w:hAnsiTheme="majorHAnsi"/>
          <w:sz w:val="24"/>
        </w:rPr>
        <w:t xml:space="preserve"> applicant would typically provide </w:t>
      </w:r>
      <w:r w:rsidR="007E473F">
        <w:rPr>
          <w:rFonts w:asciiTheme="majorHAnsi" w:hAnsiTheme="majorHAnsi"/>
          <w:sz w:val="24"/>
        </w:rPr>
        <w:t>six</w:t>
      </w:r>
      <w:r w:rsidRPr="00CC23C1">
        <w:rPr>
          <w:rFonts w:asciiTheme="majorHAnsi" w:hAnsiTheme="majorHAnsi"/>
          <w:sz w:val="24"/>
        </w:rPr>
        <w:t xml:space="preserve"> attachments</w:t>
      </w:r>
      <w:r w:rsidR="00F37984">
        <w:rPr>
          <w:rFonts w:asciiTheme="majorHAnsi" w:hAnsiTheme="majorHAnsi"/>
          <w:sz w:val="24"/>
        </w:rPr>
        <w:t xml:space="preserve"> </w:t>
      </w:r>
      <w:r>
        <w:rPr>
          <w:rFonts w:asciiTheme="majorHAnsi" w:hAnsiTheme="majorHAnsi"/>
          <w:sz w:val="24"/>
        </w:rPr>
        <w:t xml:space="preserve">specific to the grant program. </w:t>
      </w:r>
    </w:p>
    <w:p w:rsidR="00EB55B5" w:rsidP="00CC23C1" w14:paraId="78736EAC" w14:textId="77777777">
      <w:pPr>
        <w:spacing w:after="0" w:line="240" w:lineRule="auto"/>
        <w:rPr>
          <w:rFonts w:asciiTheme="majorHAnsi" w:hAnsiTheme="majorHAnsi"/>
          <w:sz w:val="24"/>
        </w:rPr>
      </w:pPr>
    </w:p>
    <w:p w:rsidR="00CC23C1" w:rsidP="00CC23C1" w14:paraId="1E878AF8" w14:textId="796D1729">
      <w:pPr>
        <w:spacing w:after="0" w:line="240" w:lineRule="auto"/>
        <w:rPr>
          <w:rFonts w:asciiTheme="majorHAnsi" w:hAnsiTheme="majorHAnsi"/>
          <w:sz w:val="24"/>
        </w:rPr>
      </w:pPr>
      <w:r>
        <w:rPr>
          <w:rFonts w:asciiTheme="majorHAnsi" w:hAnsiTheme="majorHAnsi"/>
          <w:sz w:val="24"/>
        </w:rPr>
        <w:t xml:space="preserve">Attachment 1, </w:t>
      </w:r>
      <w:r w:rsidR="00EB55B5">
        <w:rPr>
          <w:rFonts w:asciiTheme="majorHAnsi" w:hAnsiTheme="majorHAnsi"/>
          <w:sz w:val="24"/>
        </w:rPr>
        <w:t>the introduction</w:t>
      </w:r>
      <w:r>
        <w:rPr>
          <w:rFonts w:asciiTheme="majorHAnsi" w:hAnsiTheme="majorHAnsi"/>
          <w:sz w:val="24"/>
        </w:rPr>
        <w:t>,</w:t>
      </w:r>
      <w:r w:rsidR="00EB55B5">
        <w:rPr>
          <w:rFonts w:asciiTheme="majorHAnsi" w:hAnsiTheme="majorHAnsi"/>
          <w:sz w:val="24"/>
        </w:rPr>
        <w:t xml:space="preserve"> </w:t>
      </w:r>
      <w:r>
        <w:rPr>
          <w:rFonts w:asciiTheme="majorHAnsi" w:hAnsiTheme="majorHAnsi"/>
          <w:sz w:val="24"/>
        </w:rPr>
        <w:t xml:space="preserve">provides a </w:t>
      </w:r>
      <w:r w:rsidR="00EB55B5">
        <w:rPr>
          <w:rFonts w:asciiTheme="majorHAnsi" w:hAnsiTheme="majorHAnsi"/>
          <w:sz w:val="24"/>
        </w:rPr>
        <w:t>table of contents and introduction.</w:t>
      </w:r>
      <w:r w:rsidR="008A30D5">
        <w:rPr>
          <w:rFonts w:asciiTheme="majorHAnsi" w:hAnsiTheme="majorHAnsi"/>
          <w:sz w:val="24"/>
        </w:rPr>
        <w:t xml:space="preserve"> The table of contents includes section headers and corresponding page numbers. The introduction aids reviewers in understand</w:t>
      </w:r>
      <w:r w:rsidR="00F37984">
        <w:rPr>
          <w:rFonts w:asciiTheme="majorHAnsi" w:hAnsiTheme="majorHAnsi"/>
          <w:sz w:val="24"/>
        </w:rPr>
        <w:t>ing</w:t>
      </w:r>
      <w:r w:rsidR="008A30D5">
        <w:rPr>
          <w:rFonts w:asciiTheme="majorHAnsi" w:hAnsiTheme="majorHAnsi"/>
          <w:sz w:val="24"/>
        </w:rPr>
        <w:t xml:space="preserve"> the community that will be helped by the proposed project. </w:t>
      </w:r>
      <w:r w:rsidR="00F37984">
        <w:rPr>
          <w:rFonts w:asciiTheme="majorHAnsi" w:hAnsiTheme="majorHAnsi"/>
          <w:sz w:val="24"/>
        </w:rPr>
        <w:t>The introduction</w:t>
      </w:r>
      <w:r w:rsidR="008A30D5">
        <w:rPr>
          <w:rFonts w:asciiTheme="majorHAnsi" w:hAnsiTheme="majorHAnsi"/>
          <w:sz w:val="24"/>
        </w:rPr>
        <w:t xml:space="preserve"> describes the proposed project, also used in the SF-424 set of documents. </w:t>
      </w:r>
      <w:r w:rsidR="00F37984">
        <w:rPr>
          <w:rFonts w:asciiTheme="majorHAnsi" w:hAnsiTheme="majorHAnsi"/>
          <w:sz w:val="24"/>
        </w:rPr>
        <w:t>Attachment 1</w:t>
      </w:r>
      <w:r w:rsidR="00EB55B5">
        <w:rPr>
          <w:rFonts w:asciiTheme="majorHAnsi" w:hAnsiTheme="majorHAnsi"/>
          <w:sz w:val="24"/>
        </w:rPr>
        <w:t xml:space="preserve"> is</w:t>
      </w:r>
      <w:r>
        <w:rPr>
          <w:rFonts w:asciiTheme="majorHAnsi" w:hAnsiTheme="majorHAnsi"/>
          <w:sz w:val="24"/>
        </w:rPr>
        <w:t xml:space="preserve"> estimated to take </w:t>
      </w:r>
      <w:r w:rsidR="00EB55B5">
        <w:rPr>
          <w:rFonts w:asciiTheme="majorHAnsi" w:hAnsiTheme="majorHAnsi"/>
          <w:sz w:val="24"/>
        </w:rPr>
        <w:t>1</w:t>
      </w:r>
      <w:r>
        <w:rPr>
          <w:rFonts w:asciiTheme="majorHAnsi" w:hAnsiTheme="majorHAnsi"/>
          <w:sz w:val="24"/>
        </w:rPr>
        <w:t xml:space="preserve"> hour to prepare, on average. </w:t>
      </w:r>
    </w:p>
    <w:p w:rsidR="00CC23C1" w:rsidP="00CC23C1" w14:paraId="56C4DE8A" w14:textId="77777777">
      <w:pPr>
        <w:spacing w:after="0" w:line="240" w:lineRule="auto"/>
        <w:rPr>
          <w:rFonts w:asciiTheme="majorHAnsi" w:hAnsiTheme="majorHAnsi"/>
          <w:sz w:val="24"/>
        </w:rPr>
      </w:pPr>
    </w:p>
    <w:p w:rsidR="00CC23C1" w:rsidRPr="00CC23C1" w:rsidP="00CC23C1" w14:paraId="56E1F07F" w14:textId="71E596AA">
      <w:pPr>
        <w:spacing w:after="0" w:line="240" w:lineRule="auto"/>
        <w:rPr>
          <w:rFonts w:asciiTheme="majorHAnsi" w:hAnsiTheme="majorHAnsi"/>
          <w:sz w:val="24"/>
        </w:rPr>
      </w:pPr>
      <w:r w:rsidRPr="00CC23C1">
        <w:rPr>
          <w:rFonts w:asciiTheme="majorHAnsi" w:hAnsiTheme="majorHAnsi"/>
          <w:sz w:val="24"/>
        </w:rPr>
        <w:t>Attachment 2</w:t>
      </w:r>
      <w:r>
        <w:rPr>
          <w:rFonts w:asciiTheme="majorHAnsi" w:hAnsiTheme="majorHAnsi"/>
          <w:sz w:val="24"/>
        </w:rPr>
        <w:t xml:space="preserve">, </w:t>
      </w:r>
      <w:r w:rsidR="00E0538E">
        <w:rPr>
          <w:rFonts w:asciiTheme="majorHAnsi" w:hAnsiTheme="majorHAnsi"/>
          <w:sz w:val="24"/>
        </w:rPr>
        <w:t>legal eligibility</w:t>
      </w:r>
      <w:r>
        <w:rPr>
          <w:rFonts w:asciiTheme="majorHAnsi" w:hAnsiTheme="majorHAnsi"/>
          <w:sz w:val="24"/>
        </w:rPr>
        <w:t>,</w:t>
      </w:r>
      <w:r w:rsidRPr="00CC23C1">
        <w:rPr>
          <w:rFonts w:asciiTheme="majorHAnsi" w:hAnsiTheme="majorHAnsi"/>
          <w:sz w:val="24"/>
        </w:rPr>
        <w:t xml:space="preserve"> </w:t>
      </w:r>
      <w:r w:rsidR="00E0538E">
        <w:rPr>
          <w:rFonts w:asciiTheme="majorHAnsi" w:hAnsiTheme="majorHAnsi"/>
          <w:sz w:val="24"/>
        </w:rPr>
        <w:t>provides citation(s) necessary to support that the applicant meets the legal eligibility requirements</w:t>
      </w:r>
      <w:r>
        <w:rPr>
          <w:rFonts w:asciiTheme="majorHAnsi" w:hAnsiTheme="majorHAnsi"/>
          <w:sz w:val="24"/>
        </w:rPr>
        <w:t xml:space="preserve">. </w:t>
      </w:r>
      <w:r w:rsidR="008A30D5">
        <w:rPr>
          <w:rFonts w:asciiTheme="majorHAnsi" w:hAnsiTheme="majorHAnsi"/>
          <w:sz w:val="24"/>
        </w:rPr>
        <w:t xml:space="preserve">The applicant must document that they have adopted a statute, rule, or similar measure </w:t>
      </w:r>
      <w:r w:rsidR="001B4770">
        <w:rPr>
          <w:rFonts w:asciiTheme="majorHAnsi" w:hAnsiTheme="majorHAnsi"/>
          <w:sz w:val="24"/>
        </w:rPr>
        <w:t>that is comparable to</w:t>
      </w:r>
      <w:r w:rsidRPr="007D2BDF" w:rsidR="001B4770">
        <w:rPr>
          <w:rFonts w:asciiTheme="majorHAnsi" w:hAnsiTheme="majorHAnsi"/>
          <w:sz w:val="24"/>
        </w:rPr>
        <w:t xml:space="preserve"> National Fire Protection Association (NFPA) 72, the International Fire Code (IFC), or the International Residential Code (IRC)</w:t>
      </w:r>
      <w:r w:rsidR="008A30D5">
        <w:rPr>
          <w:rFonts w:asciiTheme="majorHAnsi" w:hAnsiTheme="majorHAnsi"/>
          <w:sz w:val="24"/>
        </w:rPr>
        <w:t xml:space="preserve">. </w:t>
      </w:r>
      <w:r>
        <w:rPr>
          <w:rFonts w:asciiTheme="majorHAnsi" w:hAnsiTheme="majorHAnsi"/>
          <w:sz w:val="24"/>
        </w:rPr>
        <w:t xml:space="preserve">Attachment 2 is estimated to take </w:t>
      </w:r>
      <w:r w:rsidR="00E0538E">
        <w:rPr>
          <w:rFonts w:asciiTheme="majorHAnsi" w:hAnsiTheme="majorHAnsi"/>
          <w:sz w:val="24"/>
        </w:rPr>
        <w:t>1</w:t>
      </w:r>
      <w:r>
        <w:rPr>
          <w:rFonts w:asciiTheme="majorHAnsi" w:hAnsiTheme="majorHAnsi"/>
          <w:sz w:val="24"/>
        </w:rPr>
        <w:t xml:space="preserve"> hour to prepare, on average. </w:t>
      </w:r>
    </w:p>
    <w:p w:rsidR="00CC23C1" w:rsidP="00CC23C1" w14:paraId="374432E3" w14:textId="77777777">
      <w:pPr>
        <w:spacing w:after="0" w:line="240" w:lineRule="auto"/>
        <w:rPr>
          <w:rFonts w:asciiTheme="majorHAnsi" w:hAnsiTheme="majorHAnsi"/>
          <w:sz w:val="24"/>
        </w:rPr>
      </w:pPr>
    </w:p>
    <w:p w:rsidR="00CC23C1" w:rsidRPr="00CC23C1" w:rsidP="00CC23C1" w14:paraId="45A0228E" w14:textId="0FD1DA97">
      <w:pPr>
        <w:spacing w:after="0" w:line="240" w:lineRule="auto"/>
        <w:rPr>
          <w:rFonts w:asciiTheme="majorHAnsi" w:hAnsiTheme="majorHAnsi"/>
          <w:sz w:val="24"/>
        </w:rPr>
      </w:pPr>
      <w:r w:rsidRPr="00CC23C1">
        <w:rPr>
          <w:rFonts w:asciiTheme="majorHAnsi" w:hAnsiTheme="majorHAnsi"/>
          <w:sz w:val="24"/>
        </w:rPr>
        <w:t>Attachment 3</w:t>
      </w:r>
      <w:r>
        <w:rPr>
          <w:rFonts w:asciiTheme="majorHAnsi" w:hAnsiTheme="majorHAnsi"/>
          <w:sz w:val="24"/>
        </w:rPr>
        <w:t>, the</w:t>
      </w:r>
      <w:r w:rsidRPr="00CC23C1">
        <w:rPr>
          <w:rFonts w:asciiTheme="majorHAnsi" w:hAnsiTheme="majorHAnsi"/>
          <w:sz w:val="24"/>
        </w:rPr>
        <w:t xml:space="preserve"> </w:t>
      </w:r>
      <w:r w:rsidR="00E0538E">
        <w:rPr>
          <w:rFonts w:asciiTheme="majorHAnsi" w:hAnsiTheme="majorHAnsi"/>
          <w:sz w:val="24"/>
        </w:rPr>
        <w:t>work plan</w:t>
      </w:r>
      <w:r>
        <w:rPr>
          <w:rFonts w:asciiTheme="majorHAnsi" w:hAnsiTheme="majorHAnsi"/>
          <w:sz w:val="24"/>
        </w:rPr>
        <w:t xml:space="preserve">, </w:t>
      </w:r>
      <w:r w:rsidR="00E0538E">
        <w:rPr>
          <w:rFonts w:asciiTheme="majorHAnsi" w:hAnsiTheme="majorHAnsi"/>
          <w:sz w:val="24"/>
        </w:rPr>
        <w:t xml:space="preserve">provides </w:t>
      </w:r>
      <w:r w:rsidR="008A30D5">
        <w:rPr>
          <w:rFonts w:asciiTheme="majorHAnsi" w:hAnsiTheme="majorHAnsi"/>
          <w:sz w:val="24"/>
        </w:rPr>
        <w:t xml:space="preserve">the framework and describes all aspects of the proposed </w:t>
      </w:r>
      <w:r w:rsidR="00443410">
        <w:rPr>
          <w:rFonts w:asciiTheme="majorHAnsi" w:hAnsiTheme="majorHAnsi"/>
          <w:sz w:val="24"/>
        </w:rPr>
        <w:t xml:space="preserve">project. It includes the project’s goals, objectives, strategies, activities, timeframes assigned for work plan execution during project implementation (including completion dates for each activity), and identifies individuals and organizational representatives responsible for carrying out each work plan activity. It also includes </w:t>
      </w:r>
      <w:r w:rsidR="00E0538E">
        <w:rPr>
          <w:rFonts w:asciiTheme="majorHAnsi" w:hAnsiTheme="majorHAnsi"/>
          <w:sz w:val="24"/>
        </w:rPr>
        <w:t>details on how the work might meet the favorable consideration factor</w:t>
      </w:r>
      <w:r w:rsidRPr="00CC23C1">
        <w:rPr>
          <w:rFonts w:asciiTheme="majorHAnsi" w:hAnsiTheme="majorHAnsi"/>
          <w:sz w:val="24"/>
        </w:rPr>
        <w:t>.</w:t>
      </w:r>
      <w:r>
        <w:rPr>
          <w:rFonts w:asciiTheme="majorHAnsi" w:hAnsiTheme="majorHAnsi"/>
          <w:sz w:val="24"/>
        </w:rPr>
        <w:t xml:space="preserve"> Attachment 3 is estimated to take </w:t>
      </w:r>
      <w:r w:rsidR="00443410">
        <w:rPr>
          <w:rFonts w:asciiTheme="majorHAnsi" w:hAnsiTheme="majorHAnsi"/>
          <w:sz w:val="24"/>
        </w:rPr>
        <w:t>40</w:t>
      </w:r>
      <w:r>
        <w:rPr>
          <w:rFonts w:asciiTheme="majorHAnsi" w:hAnsiTheme="majorHAnsi"/>
          <w:sz w:val="24"/>
        </w:rPr>
        <w:t xml:space="preserve"> hours to prepare, on average.</w:t>
      </w:r>
    </w:p>
    <w:p w:rsidR="00CC23C1" w:rsidP="00CC23C1" w14:paraId="0658F3DE" w14:textId="77777777">
      <w:pPr>
        <w:spacing w:after="0" w:line="240" w:lineRule="auto"/>
        <w:rPr>
          <w:rFonts w:asciiTheme="majorHAnsi" w:hAnsiTheme="majorHAnsi"/>
          <w:sz w:val="24"/>
        </w:rPr>
      </w:pPr>
    </w:p>
    <w:p w:rsidR="00321156" w:rsidP="00CC23C1" w14:paraId="45CD83D8" w14:textId="51ABFFDD">
      <w:pPr>
        <w:spacing w:after="0" w:line="240" w:lineRule="auto"/>
        <w:rPr>
          <w:rFonts w:asciiTheme="majorHAnsi" w:hAnsiTheme="majorHAnsi"/>
          <w:sz w:val="24"/>
        </w:rPr>
      </w:pPr>
      <w:r>
        <w:rPr>
          <w:rFonts w:asciiTheme="majorHAnsi" w:hAnsiTheme="majorHAnsi"/>
          <w:sz w:val="24"/>
        </w:rPr>
        <w:t xml:space="preserve">Attachment </w:t>
      </w:r>
      <w:r w:rsidR="00E0538E">
        <w:rPr>
          <w:rFonts w:asciiTheme="majorHAnsi" w:hAnsiTheme="majorHAnsi"/>
          <w:sz w:val="24"/>
        </w:rPr>
        <w:t>4, the budget</w:t>
      </w:r>
      <w:r w:rsidR="00443410">
        <w:rPr>
          <w:rFonts w:asciiTheme="majorHAnsi" w:hAnsiTheme="majorHAnsi"/>
          <w:sz w:val="24"/>
        </w:rPr>
        <w:t xml:space="preserve"> table</w:t>
      </w:r>
      <w:r w:rsidR="00E0538E">
        <w:rPr>
          <w:rFonts w:asciiTheme="majorHAnsi" w:hAnsiTheme="majorHAnsi"/>
          <w:sz w:val="24"/>
        </w:rPr>
        <w:t>,</w:t>
      </w:r>
      <w:r>
        <w:rPr>
          <w:rFonts w:asciiTheme="majorHAnsi" w:hAnsiTheme="majorHAnsi"/>
          <w:sz w:val="24"/>
        </w:rPr>
        <w:t xml:space="preserve"> </w:t>
      </w:r>
      <w:r w:rsidR="00E0538E">
        <w:rPr>
          <w:rFonts w:asciiTheme="majorHAnsi" w:hAnsiTheme="majorHAnsi"/>
          <w:sz w:val="24"/>
        </w:rPr>
        <w:t>provides a budget narrative and table for the 2-year project schedule</w:t>
      </w:r>
      <w:r w:rsidR="00443410">
        <w:rPr>
          <w:rFonts w:asciiTheme="majorHAnsi" w:hAnsiTheme="majorHAnsi"/>
          <w:sz w:val="24"/>
        </w:rPr>
        <w:t xml:space="preserve"> including a detailed breakout of costs</w:t>
      </w:r>
      <w:r w:rsidR="00E0538E">
        <w:rPr>
          <w:rFonts w:asciiTheme="majorHAnsi" w:hAnsiTheme="majorHAnsi"/>
          <w:sz w:val="24"/>
        </w:rPr>
        <w:t>. The information provided in this section must follow the format provided in the sample budget</w:t>
      </w:r>
      <w:r>
        <w:rPr>
          <w:rFonts w:asciiTheme="majorHAnsi" w:hAnsiTheme="majorHAnsi"/>
          <w:sz w:val="24"/>
        </w:rPr>
        <w:t>.</w:t>
      </w:r>
      <w:r w:rsidR="00002264">
        <w:rPr>
          <w:rFonts w:asciiTheme="majorHAnsi" w:hAnsiTheme="majorHAnsi"/>
          <w:sz w:val="24"/>
        </w:rPr>
        <w:t xml:space="preserve"> </w:t>
      </w:r>
      <w:r w:rsidR="00443410">
        <w:rPr>
          <w:rFonts w:asciiTheme="majorHAnsi" w:hAnsiTheme="majorHAnsi"/>
          <w:sz w:val="24"/>
        </w:rPr>
        <w:t xml:space="preserve">In the budget schedule, applicants should include milestones aligned with project goals, an indication of when each milestone will occur, and the person(s) responsible for managing each activity. </w:t>
      </w:r>
      <w:r w:rsidR="00002264">
        <w:rPr>
          <w:rFonts w:asciiTheme="majorHAnsi" w:hAnsiTheme="majorHAnsi"/>
          <w:sz w:val="24"/>
        </w:rPr>
        <w:t xml:space="preserve">Attachment </w:t>
      </w:r>
      <w:r w:rsidR="00E0538E">
        <w:rPr>
          <w:rFonts w:asciiTheme="majorHAnsi" w:hAnsiTheme="majorHAnsi"/>
          <w:sz w:val="24"/>
        </w:rPr>
        <w:t>4</w:t>
      </w:r>
      <w:r w:rsidR="00002264">
        <w:rPr>
          <w:rFonts w:asciiTheme="majorHAnsi" w:hAnsiTheme="majorHAnsi"/>
          <w:sz w:val="24"/>
        </w:rPr>
        <w:t xml:space="preserve"> is estimated to take </w:t>
      </w:r>
      <w:r w:rsidR="00FF3909">
        <w:rPr>
          <w:rFonts w:asciiTheme="majorHAnsi" w:hAnsiTheme="majorHAnsi"/>
          <w:sz w:val="24"/>
        </w:rPr>
        <w:t>1</w:t>
      </w:r>
      <w:r w:rsidR="00E0538E">
        <w:rPr>
          <w:rFonts w:asciiTheme="majorHAnsi" w:hAnsiTheme="majorHAnsi"/>
          <w:sz w:val="24"/>
        </w:rPr>
        <w:t>0</w:t>
      </w:r>
      <w:r w:rsidR="00002264">
        <w:rPr>
          <w:rFonts w:asciiTheme="majorHAnsi" w:hAnsiTheme="majorHAnsi"/>
          <w:sz w:val="24"/>
        </w:rPr>
        <w:t xml:space="preserve"> hour</w:t>
      </w:r>
      <w:r w:rsidR="00E0538E">
        <w:rPr>
          <w:rFonts w:asciiTheme="majorHAnsi" w:hAnsiTheme="majorHAnsi"/>
          <w:sz w:val="24"/>
        </w:rPr>
        <w:t>s</w:t>
      </w:r>
      <w:r w:rsidR="00002264">
        <w:rPr>
          <w:rFonts w:asciiTheme="majorHAnsi" w:hAnsiTheme="majorHAnsi"/>
          <w:sz w:val="24"/>
        </w:rPr>
        <w:t xml:space="preserve"> to prepare, on average.</w:t>
      </w:r>
    </w:p>
    <w:p w:rsidR="00E0538E" w:rsidP="00CC23C1" w14:paraId="708D6E25" w14:textId="77777777">
      <w:pPr>
        <w:spacing w:after="0" w:line="240" w:lineRule="auto"/>
        <w:rPr>
          <w:rFonts w:asciiTheme="majorHAnsi" w:hAnsiTheme="majorHAnsi"/>
          <w:sz w:val="24"/>
        </w:rPr>
      </w:pPr>
    </w:p>
    <w:p w:rsidR="00E0538E" w:rsidP="00CC23C1" w14:paraId="0B301B00" w14:textId="04F137D4">
      <w:pPr>
        <w:spacing w:after="0" w:line="240" w:lineRule="auto"/>
        <w:rPr>
          <w:rFonts w:asciiTheme="majorHAnsi" w:hAnsiTheme="majorHAnsi"/>
          <w:sz w:val="24"/>
        </w:rPr>
      </w:pPr>
      <w:r w:rsidRPr="00CC23C1">
        <w:rPr>
          <w:rFonts w:asciiTheme="majorHAnsi" w:hAnsiTheme="majorHAnsi"/>
          <w:sz w:val="24"/>
        </w:rPr>
        <w:t xml:space="preserve">Attachment </w:t>
      </w:r>
      <w:r>
        <w:rPr>
          <w:rFonts w:asciiTheme="majorHAnsi" w:hAnsiTheme="majorHAnsi"/>
          <w:sz w:val="24"/>
        </w:rPr>
        <w:t>5,</w:t>
      </w:r>
      <w:r w:rsidRPr="00CC23C1">
        <w:rPr>
          <w:rFonts w:asciiTheme="majorHAnsi" w:hAnsiTheme="majorHAnsi"/>
          <w:sz w:val="24"/>
        </w:rPr>
        <w:t xml:space="preserve"> </w:t>
      </w:r>
      <w:r>
        <w:rPr>
          <w:rFonts w:asciiTheme="majorHAnsi" w:hAnsiTheme="majorHAnsi"/>
          <w:sz w:val="24"/>
        </w:rPr>
        <w:t>cost share, is a</w:t>
      </w:r>
      <w:r w:rsidR="00443410">
        <w:rPr>
          <w:rFonts w:asciiTheme="majorHAnsi" w:hAnsiTheme="majorHAnsi"/>
          <w:sz w:val="24"/>
        </w:rPr>
        <w:t xml:space="preserve">n additional </w:t>
      </w:r>
      <w:r>
        <w:rPr>
          <w:rFonts w:asciiTheme="majorHAnsi" w:hAnsiTheme="majorHAnsi"/>
          <w:sz w:val="24"/>
        </w:rPr>
        <w:t>narrative</w:t>
      </w:r>
      <w:r w:rsidR="00FF3909">
        <w:rPr>
          <w:rFonts w:asciiTheme="majorHAnsi" w:hAnsiTheme="majorHAnsi"/>
          <w:sz w:val="24"/>
        </w:rPr>
        <w:t xml:space="preserve"> documenting cost share on the budget. This attachment is not required for tribal organizations. It provides details on how the applicant will contribute non-Federal funds, showing</w:t>
      </w:r>
      <w:r>
        <w:rPr>
          <w:rFonts w:asciiTheme="majorHAnsi" w:hAnsiTheme="majorHAnsi"/>
          <w:sz w:val="24"/>
        </w:rPr>
        <w:t xml:space="preserve"> the source and amount of cost share. Attachment </w:t>
      </w:r>
      <w:r w:rsidR="007E473F">
        <w:rPr>
          <w:rFonts w:asciiTheme="majorHAnsi" w:hAnsiTheme="majorHAnsi"/>
          <w:sz w:val="24"/>
        </w:rPr>
        <w:t>5</w:t>
      </w:r>
      <w:r>
        <w:rPr>
          <w:rFonts w:asciiTheme="majorHAnsi" w:hAnsiTheme="majorHAnsi"/>
          <w:sz w:val="24"/>
        </w:rPr>
        <w:t xml:space="preserve"> is estimated to take </w:t>
      </w:r>
      <w:r w:rsidR="00FF3909">
        <w:rPr>
          <w:rFonts w:asciiTheme="majorHAnsi" w:hAnsiTheme="majorHAnsi"/>
          <w:sz w:val="24"/>
        </w:rPr>
        <w:t>5</w:t>
      </w:r>
      <w:r>
        <w:rPr>
          <w:rFonts w:asciiTheme="majorHAnsi" w:hAnsiTheme="majorHAnsi"/>
          <w:sz w:val="24"/>
        </w:rPr>
        <w:t xml:space="preserve"> hours to prepare, on average.</w:t>
      </w:r>
    </w:p>
    <w:p w:rsidR="00321156" w:rsidP="00CC23C1" w14:paraId="54D5C6D4" w14:textId="77777777">
      <w:pPr>
        <w:spacing w:after="0" w:line="240" w:lineRule="auto"/>
        <w:rPr>
          <w:rFonts w:asciiTheme="majorHAnsi" w:hAnsiTheme="majorHAnsi"/>
          <w:sz w:val="24"/>
        </w:rPr>
      </w:pPr>
    </w:p>
    <w:p w:rsidR="00321156" w:rsidP="00CC23C1" w14:paraId="43A6B62D" w14:textId="717CAE7C">
      <w:pPr>
        <w:spacing w:after="0" w:line="240" w:lineRule="auto"/>
        <w:rPr>
          <w:rFonts w:asciiTheme="majorHAnsi" w:hAnsiTheme="majorHAnsi"/>
          <w:sz w:val="24"/>
        </w:rPr>
      </w:pPr>
      <w:r>
        <w:rPr>
          <w:rFonts w:asciiTheme="majorHAnsi" w:hAnsiTheme="majorHAnsi"/>
          <w:sz w:val="24"/>
        </w:rPr>
        <w:t xml:space="preserve">Attachment 6, the indirect cost rate agreement, </w:t>
      </w:r>
      <w:r w:rsidR="00002264">
        <w:rPr>
          <w:rFonts w:asciiTheme="majorHAnsi" w:hAnsiTheme="majorHAnsi"/>
          <w:sz w:val="24"/>
        </w:rPr>
        <w:t>certifies that the award recipient (1) has never received a federally negotiated indirect cost rate for any federal awards, (2) has received less than $35 million in direct funding for the fiscal year requested, (3) the di minimus rate approved will be applied to Modified Total Direct Costs regarding salaries, wages, applicable fringe benefits, supplies and other items, (4) the project costs will not be double charged, and (5) the proper use and application of the di minimus rate is the responsibility of the award recipient. The certification must be signed and dated.  Attachment 6 is estimated to take 1 hour to prepare, on average.</w:t>
      </w:r>
    </w:p>
    <w:p w:rsidR="00321156" w:rsidP="00CC23C1" w14:paraId="26501127" w14:textId="77777777">
      <w:pPr>
        <w:spacing w:after="0" w:line="240" w:lineRule="auto"/>
        <w:rPr>
          <w:rFonts w:asciiTheme="majorHAnsi" w:hAnsiTheme="majorHAnsi"/>
          <w:sz w:val="24"/>
        </w:rPr>
      </w:pPr>
    </w:p>
    <w:p w:rsidR="00CC23C1" w:rsidP="00CC23C1" w14:paraId="55F08A16" w14:textId="64524ED8">
      <w:pPr>
        <w:spacing w:after="0" w:line="240" w:lineRule="auto"/>
        <w:rPr>
          <w:rFonts w:asciiTheme="majorHAnsi" w:hAnsiTheme="majorHAnsi"/>
          <w:sz w:val="24"/>
        </w:rPr>
      </w:pPr>
      <w:r w:rsidRPr="00CC23C1">
        <w:rPr>
          <w:rFonts w:asciiTheme="majorHAnsi" w:hAnsiTheme="majorHAnsi"/>
          <w:sz w:val="24"/>
        </w:rPr>
        <w:t>Therefore, to complete attachments 1-</w:t>
      </w:r>
      <w:r w:rsidR="00002264">
        <w:rPr>
          <w:rFonts w:asciiTheme="majorHAnsi" w:hAnsiTheme="majorHAnsi"/>
          <w:sz w:val="24"/>
        </w:rPr>
        <w:t>6</w:t>
      </w:r>
      <w:r w:rsidRPr="00CC23C1">
        <w:rPr>
          <w:rFonts w:asciiTheme="majorHAnsi" w:hAnsiTheme="majorHAnsi"/>
          <w:sz w:val="24"/>
        </w:rPr>
        <w:t xml:space="preserve"> we estimate it would take the applicant approximately </w:t>
      </w:r>
      <w:r w:rsidR="00FF3909">
        <w:rPr>
          <w:rFonts w:asciiTheme="majorHAnsi" w:hAnsiTheme="majorHAnsi"/>
          <w:sz w:val="24"/>
        </w:rPr>
        <w:t>58</w:t>
      </w:r>
      <w:r w:rsidRPr="00CC23C1">
        <w:rPr>
          <w:rFonts w:asciiTheme="majorHAnsi" w:hAnsiTheme="majorHAnsi"/>
          <w:sz w:val="24"/>
        </w:rPr>
        <w:t xml:space="preserve"> hours to compile these materials.</w:t>
      </w:r>
      <w:r w:rsidR="006B2A21">
        <w:rPr>
          <w:rFonts w:asciiTheme="majorHAnsi" w:hAnsiTheme="majorHAnsi"/>
          <w:sz w:val="24"/>
        </w:rPr>
        <w:t xml:space="preserve"> CPSC expects to receive </w:t>
      </w:r>
      <w:r w:rsidR="00E0538E">
        <w:rPr>
          <w:rFonts w:asciiTheme="majorHAnsi" w:hAnsiTheme="majorHAnsi"/>
          <w:sz w:val="24"/>
        </w:rPr>
        <w:t>35</w:t>
      </w:r>
      <w:r w:rsidR="006B2A21">
        <w:rPr>
          <w:rFonts w:asciiTheme="majorHAnsi" w:hAnsiTheme="majorHAnsi"/>
          <w:sz w:val="24"/>
        </w:rPr>
        <w:t xml:space="preserve"> grant applications that utilize the attachments described, for a total burden hour estimate of </w:t>
      </w:r>
      <w:r w:rsidR="00FF3909">
        <w:rPr>
          <w:rFonts w:asciiTheme="majorHAnsi" w:hAnsiTheme="majorHAnsi"/>
          <w:sz w:val="24"/>
        </w:rPr>
        <w:t>2,</w:t>
      </w:r>
      <w:r w:rsidR="001B4770">
        <w:rPr>
          <w:rFonts w:asciiTheme="majorHAnsi" w:hAnsiTheme="majorHAnsi"/>
          <w:sz w:val="24"/>
        </w:rPr>
        <w:t>030</w:t>
      </w:r>
      <w:r w:rsidR="006B2A21">
        <w:rPr>
          <w:rFonts w:asciiTheme="majorHAnsi" w:hAnsiTheme="majorHAnsi"/>
          <w:sz w:val="24"/>
        </w:rPr>
        <w:t xml:space="preserve"> hours (</w:t>
      </w:r>
      <w:r w:rsidR="00FF3909">
        <w:rPr>
          <w:rFonts w:asciiTheme="majorHAnsi" w:hAnsiTheme="majorHAnsi"/>
          <w:sz w:val="24"/>
        </w:rPr>
        <w:t>58</w:t>
      </w:r>
      <w:r w:rsidR="006B2A21">
        <w:rPr>
          <w:rFonts w:asciiTheme="majorHAnsi" w:hAnsiTheme="majorHAnsi"/>
          <w:sz w:val="24"/>
        </w:rPr>
        <w:t xml:space="preserve"> hours per application × </w:t>
      </w:r>
      <w:r w:rsidR="00FF3909">
        <w:rPr>
          <w:rFonts w:asciiTheme="majorHAnsi" w:hAnsiTheme="majorHAnsi"/>
          <w:sz w:val="24"/>
        </w:rPr>
        <w:t>35</w:t>
      </w:r>
      <w:r w:rsidR="006B2A21">
        <w:rPr>
          <w:rFonts w:asciiTheme="majorHAnsi" w:hAnsiTheme="majorHAnsi"/>
          <w:sz w:val="24"/>
        </w:rPr>
        <w:t xml:space="preserve"> applications).</w:t>
      </w:r>
    </w:p>
    <w:p w:rsidR="000F66CC" w:rsidP="00CC23C1" w14:paraId="31F34265" w14:textId="77777777">
      <w:pPr>
        <w:spacing w:after="0" w:line="240" w:lineRule="auto"/>
        <w:rPr>
          <w:rFonts w:asciiTheme="majorHAnsi" w:hAnsiTheme="majorHAnsi"/>
          <w:sz w:val="24"/>
        </w:rPr>
      </w:pPr>
    </w:p>
    <w:p w:rsidR="000F66CC" w:rsidP="000F66CC" w14:paraId="784C63EB" w14:textId="63D3631A">
      <w:pPr>
        <w:autoSpaceDE w:val="0"/>
        <w:autoSpaceDN w:val="0"/>
        <w:adjustRightInd w:val="0"/>
        <w:spacing w:after="0" w:line="240" w:lineRule="auto"/>
        <w:rPr>
          <w:rFonts w:asciiTheme="majorHAnsi" w:hAnsiTheme="majorHAnsi" w:cs="Melior"/>
          <w:sz w:val="24"/>
          <w:szCs w:val="24"/>
        </w:rPr>
      </w:pPr>
      <w:r w:rsidRPr="00506DD2">
        <w:rPr>
          <w:rFonts w:asciiTheme="majorHAnsi" w:hAnsiTheme="majorHAnsi" w:cs="Melior"/>
          <w:sz w:val="24"/>
          <w:szCs w:val="24"/>
        </w:rPr>
        <w:t>We estimate t</w:t>
      </w:r>
      <w:r w:rsidR="006B2A21">
        <w:rPr>
          <w:rFonts w:asciiTheme="majorHAnsi" w:hAnsiTheme="majorHAnsi" w:cs="Melior"/>
          <w:sz w:val="24"/>
          <w:szCs w:val="24"/>
        </w:rPr>
        <w:t>he</w:t>
      </w:r>
      <w:r w:rsidRPr="00506DD2">
        <w:rPr>
          <w:rFonts w:asciiTheme="majorHAnsi" w:hAnsiTheme="majorHAnsi" w:cs="Melior"/>
          <w:sz w:val="24"/>
          <w:szCs w:val="24"/>
        </w:rPr>
        <w:t xml:space="preserve"> compensation</w:t>
      </w:r>
      <w:r>
        <w:rPr>
          <w:rFonts w:asciiTheme="majorHAnsi" w:hAnsiTheme="majorHAnsi" w:cs="Melior"/>
          <w:sz w:val="24"/>
          <w:szCs w:val="24"/>
        </w:rPr>
        <w:t xml:space="preserve"> </w:t>
      </w:r>
      <w:r w:rsidRPr="00506DD2">
        <w:rPr>
          <w:rFonts w:asciiTheme="majorHAnsi" w:hAnsiTheme="majorHAnsi" w:cs="Melior"/>
          <w:sz w:val="24"/>
          <w:szCs w:val="24"/>
        </w:rPr>
        <w:t xml:space="preserve">for the </w:t>
      </w:r>
      <w:r w:rsidR="006B2A21">
        <w:rPr>
          <w:rFonts w:asciiTheme="majorHAnsi" w:hAnsiTheme="majorHAnsi" w:cs="Melior"/>
          <w:sz w:val="24"/>
          <w:szCs w:val="24"/>
        </w:rPr>
        <w:t>creation and compilation of Attachments 1-</w:t>
      </w:r>
      <w:r w:rsidR="00002264">
        <w:rPr>
          <w:rFonts w:asciiTheme="majorHAnsi" w:hAnsiTheme="majorHAnsi" w:cs="Melior"/>
          <w:sz w:val="24"/>
          <w:szCs w:val="24"/>
        </w:rPr>
        <w:t>6</w:t>
      </w:r>
      <w:r w:rsidRPr="00506DD2">
        <w:rPr>
          <w:rFonts w:asciiTheme="majorHAnsi" w:hAnsiTheme="majorHAnsi" w:cs="Melior"/>
          <w:sz w:val="24"/>
          <w:szCs w:val="24"/>
        </w:rPr>
        <w:t xml:space="preserve"> is</w:t>
      </w:r>
      <w:r>
        <w:rPr>
          <w:rFonts w:asciiTheme="majorHAnsi" w:hAnsiTheme="majorHAnsi" w:cs="Melior"/>
          <w:sz w:val="24"/>
          <w:szCs w:val="24"/>
        </w:rPr>
        <w:t xml:space="preserve"> </w:t>
      </w:r>
      <w:r w:rsidRPr="00F906F8">
        <w:rPr>
          <w:rFonts w:asciiTheme="majorHAnsi" w:hAnsiTheme="majorHAnsi" w:cs="Melior"/>
          <w:sz w:val="24"/>
          <w:szCs w:val="24"/>
        </w:rPr>
        <w:t>$</w:t>
      </w:r>
      <w:r w:rsidR="006B2A21">
        <w:rPr>
          <w:rFonts w:asciiTheme="majorHAnsi" w:hAnsiTheme="majorHAnsi" w:cs="Melior"/>
          <w:sz w:val="24"/>
          <w:szCs w:val="24"/>
        </w:rPr>
        <w:t>62.92 per hour</w:t>
      </w:r>
      <w:r w:rsidRPr="00F906F8">
        <w:rPr>
          <w:rFonts w:asciiTheme="majorHAnsi" w:hAnsiTheme="majorHAnsi" w:cs="Melior"/>
          <w:sz w:val="24"/>
          <w:szCs w:val="24"/>
        </w:rPr>
        <w:t xml:space="preserve"> (U.S. Bureau of Labor Statistics,</w:t>
      </w:r>
      <w:r>
        <w:rPr>
          <w:rFonts w:asciiTheme="majorHAnsi" w:hAnsiTheme="majorHAnsi" w:cs="Melior"/>
          <w:sz w:val="24"/>
          <w:szCs w:val="24"/>
        </w:rPr>
        <w:t xml:space="preserve"> </w:t>
      </w:r>
      <w:r w:rsidRPr="00F906F8">
        <w:rPr>
          <w:rFonts w:asciiTheme="majorHAnsi" w:hAnsiTheme="majorHAnsi" w:cs="Melior"/>
          <w:sz w:val="24"/>
          <w:szCs w:val="24"/>
        </w:rPr>
        <w:t>‘‘Employer Costs for Employee</w:t>
      </w:r>
      <w:r>
        <w:rPr>
          <w:rFonts w:asciiTheme="majorHAnsi" w:hAnsiTheme="majorHAnsi" w:cs="Melior"/>
          <w:sz w:val="24"/>
          <w:szCs w:val="24"/>
        </w:rPr>
        <w:t xml:space="preserve"> </w:t>
      </w:r>
      <w:r w:rsidRPr="00F906F8">
        <w:rPr>
          <w:rFonts w:asciiTheme="majorHAnsi" w:hAnsiTheme="majorHAnsi" w:cs="Melior"/>
          <w:sz w:val="24"/>
          <w:szCs w:val="24"/>
        </w:rPr>
        <w:t xml:space="preserve">Compensation,’’ </w:t>
      </w:r>
      <w:r w:rsidR="006B2A21">
        <w:rPr>
          <w:rFonts w:asciiTheme="majorHAnsi" w:hAnsiTheme="majorHAnsi" w:cs="Melior"/>
          <w:sz w:val="24"/>
          <w:szCs w:val="24"/>
        </w:rPr>
        <w:t>September 2024</w:t>
      </w:r>
      <w:r w:rsidRPr="00F906F8">
        <w:rPr>
          <w:rFonts w:asciiTheme="majorHAnsi" w:hAnsiTheme="majorHAnsi" w:cs="Melior"/>
          <w:sz w:val="24"/>
          <w:szCs w:val="24"/>
        </w:rPr>
        <w:t>, total compensation for</w:t>
      </w:r>
      <w:r w:rsidR="006B2A21">
        <w:rPr>
          <w:rFonts w:asciiTheme="majorHAnsi" w:hAnsiTheme="majorHAnsi" w:cs="Melior"/>
          <w:sz w:val="24"/>
          <w:szCs w:val="24"/>
        </w:rPr>
        <w:t xml:space="preserve"> state and local government workers</w:t>
      </w:r>
      <w:r w:rsidRPr="00F906F8">
        <w:rPr>
          <w:rFonts w:asciiTheme="majorHAnsi" w:hAnsiTheme="majorHAnsi" w:cs="Melior"/>
          <w:sz w:val="24"/>
          <w:szCs w:val="24"/>
        </w:rPr>
        <w:t xml:space="preserve">: </w:t>
      </w:r>
      <w:r w:rsidRPr="006B2A21" w:rsidR="006B2A21">
        <w:rPr>
          <w:rFonts w:asciiTheme="majorHAnsi" w:hAnsiTheme="majorHAnsi" w:cs="Melior"/>
          <w:sz w:val="24"/>
          <w:szCs w:val="24"/>
        </w:rPr>
        <w:t>https://www.bls.gov/news.release/archives/ecec_12172024.pdf</w:t>
      </w:r>
      <w:r w:rsidRPr="00F906F8">
        <w:rPr>
          <w:rFonts w:asciiTheme="majorHAnsi" w:hAnsiTheme="majorHAnsi" w:cs="Melior"/>
          <w:sz w:val="24"/>
          <w:szCs w:val="24"/>
        </w:rPr>
        <w:t>). Therefore, the estimated</w:t>
      </w:r>
      <w:r>
        <w:rPr>
          <w:rFonts w:asciiTheme="majorHAnsi" w:hAnsiTheme="majorHAnsi" w:cs="Melior"/>
          <w:sz w:val="24"/>
          <w:szCs w:val="24"/>
        </w:rPr>
        <w:t xml:space="preserve"> </w:t>
      </w:r>
      <w:r w:rsidRPr="00F906F8">
        <w:rPr>
          <w:rFonts w:asciiTheme="majorHAnsi" w:hAnsiTheme="majorHAnsi" w:cs="Melior"/>
          <w:sz w:val="24"/>
          <w:szCs w:val="24"/>
        </w:rPr>
        <w:t>annual cost of the burden requirements</w:t>
      </w:r>
      <w:r>
        <w:rPr>
          <w:rFonts w:asciiTheme="majorHAnsi" w:hAnsiTheme="majorHAnsi" w:cs="Melior"/>
          <w:sz w:val="24"/>
          <w:szCs w:val="24"/>
        </w:rPr>
        <w:t xml:space="preserve"> </w:t>
      </w:r>
      <w:r w:rsidRPr="00F906F8">
        <w:rPr>
          <w:rFonts w:asciiTheme="majorHAnsi" w:hAnsiTheme="majorHAnsi" w:cs="Melior"/>
          <w:sz w:val="24"/>
          <w:szCs w:val="24"/>
        </w:rPr>
        <w:t>is $</w:t>
      </w:r>
      <w:r w:rsidR="00FF3909">
        <w:rPr>
          <w:rFonts w:asciiTheme="majorHAnsi" w:hAnsiTheme="majorHAnsi" w:cs="Melior"/>
          <w:sz w:val="24"/>
          <w:szCs w:val="24"/>
        </w:rPr>
        <w:t>1</w:t>
      </w:r>
      <w:r w:rsidR="001B4770">
        <w:rPr>
          <w:rFonts w:asciiTheme="majorHAnsi" w:hAnsiTheme="majorHAnsi" w:cs="Melior"/>
          <w:sz w:val="24"/>
          <w:szCs w:val="24"/>
        </w:rPr>
        <w:t>27,728</w:t>
      </w:r>
      <w:r w:rsidRPr="00F906F8">
        <w:rPr>
          <w:rFonts w:asciiTheme="majorHAnsi" w:hAnsiTheme="majorHAnsi" w:cs="Melior"/>
          <w:sz w:val="24"/>
          <w:szCs w:val="24"/>
        </w:rPr>
        <w:t xml:space="preserve"> ($</w:t>
      </w:r>
      <w:r w:rsidR="006B2A21">
        <w:rPr>
          <w:rFonts w:asciiTheme="majorHAnsi" w:hAnsiTheme="majorHAnsi" w:cs="Melior"/>
          <w:sz w:val="24"/>
          <w:szCs w:val="24"/>
        </w:rPr>
        <w:t>62.92</w:t>
      </w:r>
      <w:r w:rsidRPr="00F906F8">
        <w:rPr>
          <w:rFonts w:asciiTheme="majorHAnsi" w:hAnsiTheme="majorHAnsi" w:cs="Melior"/>
          <w:sz w:val="24"/>
          <w:szCs w:val="24"/>
        </w:rPr>
        <w:t xml:space="preserve"> per hour × </w:t>
      </w:r>
      <w:r w:rsidR="00FF3909">
        <w:rPr>
          <w:rFonts w:asciiTheme="majorHAnsi" w:hAnsiTheme="majorHAnsi" w:cs="Melior"/>
          <w:sz w:val="24"/>
          <w:szCs w:val="24"/>
        </w:rPr>
        <w:t>2,</w:t>
      </w:r>
      <w:r w:rsidR="001B4770">
        <w:rPr>
          <w:rFonts w:asciiTheme="majorHAnsi" w:hAnsiTheme="majorHAnsi" w:cs="Melior"/>
          <w:sz w:val="24"/>
          <w:szCs w:val="24"/>
        </w:rPr>
        <w:t>030</w:t>
      </w:r>
      <w:r w:rsidR="006B2A21">
        <w:rPr>
          <w:rFonts w:asciiTheme="majorHAnsi" w:hAnsiTheme="majorHAnsi" w:cs="Melior"/>
          <w:sz w:val="24"/>
          <w:szCs w:val="24"/>
        </w:rPr>
        <w:t xml:space="preserve"> hours</w:t>
      </w:r>
      <w:r w:rsidRPr="00F906F8">
        <w:rPr>
          <w:rFonts w:asciiTheme="majorHAnsi" w:hAnsiTheme="majorHAnsi" w:cs="Melior"/>
          <w:sz w:val="24"/>
          <w:szCs w:val="24"/>
        </w:rPr>
        <w:t xml:space="preserve"> = $</w:t>
      </w:r>
      <w:r w:rsidR="00FF3909">
        <w:rPr>
          <w:rFonts w:asciiTheme="majorHAnsi" w:hAnsiTheme="majorHAnsi" w:cs="Melior"/>
          <w:sz w:val="24"/>
          <w:szCs w:val="24"/>
        </w:rPr>
        <w:t>1</w:t>
      </w:r>
      <w:r w:rsidR="001B4770">
        <w:rPr>
          <w:rFonts w:asciiTheme="majorHAnsi" w:hAnsiTheme="majorHAnsi" w:cs="Melior"/>
          <w:sz w:val="24"/>
          <w:szCs w:val="24"/>
        </w:rPr>
        <w:t>27,727</w:t>
      </w:r>
      <w:r w:rsidR="00002264">
        <w:rPr>
          <w:rFonts w:asciiTheme="majorHAnsi" w:hAnsiTheme="majorHAnsi" w:cs="Melior"/>
          <w:sz w:val="24"/>
          <w:szCs w:val="24"/>
        </w:rPr>
        <w:t>.60</w:t>
      </w:r>
      <w:r w:rsidRPr="00F906F8">
        <w:rPr>
          <w:rFonts w:asciiTheme="majorHAnsi" w:hAnsiTheme="majorHAnsi" w:cs="Melior"/>
          <w:sz w:val="24"/>
          <w:szCs w:val="24"/>
        </w:rPr>
        <w:t xml:space="preserve">). </w:t>
      </w:r>
    </w:p>
    <w:p w:rsidR="000F66CC" w:rsidP="000F66CC" w14:paraId="25A2145A" w14:textId="77777777">
      <w:pPr>
        <w:spacing w:after="0" w:line="240" w:lineRule="auto"/>
        <w:rPr>
          <w:rFonts w:asciiTheme="majorHAnsi" w:hAnsiTheme="majorHAnsi" w:cs="Melior"/>
          <w:sz w:val="24"/>
          <w:szCs w:val="24"/>
        </w:rPr>
      </w:pPr>
    </w:p>
    <w:p w:rsidR="000F66CC" w:rsidP="000F66CC" w14:paraId="55F37C6A" w14:textId="21EF8B9F">
      <w:pPr>
        <w:spacing w:after="0" w:line="240" w:lineRule="auto"/>
        <w:rPr>
          <w:rFonts w:asciiTheme="majorHAnsi" w:hAnsiTheme="majorHAnsi" w:cs="Melior"/>
          <w:sz w:val="24"/>
          <w:szCs w:val="24"/>
        </w:rPr>
      </w:pPr>
      <w:r w:rsidRPr="00F906F8">
        <w:rPr>
          <w:rFonts w:asciiTheme="majorHAnsi" w:hAnsiTheme="majorHAnsi" w:cs="Melior"/>
          <w:sz w:val="24"/>
          <w:szCs w:val="24"/>
        </w:rPr>
        <w:t>Based on</w:t>
      </w:r>
      <w:r>
        <w:rPr>
          <w:rFonts w:asciiTheme="majorHAnsi" w:hAnsiTheme="majorHAnsi" w:cs="Melior"/>
          <w:sz w:val="24"/>
          <w:szCs w:val="24"/>
        </w:rPr>
        <w:t xml:space="preserve"> </w:t>
      </w:r>
      <w:r w:rsidRPr="00F906F8">
        <w:rPr>
          <w:rFonts w:asciiTheme="majorHAnsi" w:hAnsiTheme="majorHAnsi" w:cs="Melior"/>
          <w:sz w:val="24"/>
          <w:szCs w:val="24"/>
        </w:rPr>
        <w:t xml:space="preserve">this analysis, </w:t>
      </w:r>
      <w:r w:rsidR="0046666E">
        <w:rPr>
          <w:rFonts w:asciiTheme="majorHAnsi" w:hAnsiTheme="majorHAnsi" w:cs="Melior"/>
          <w:sz w:val="24"/>
          <w:szCs w:val="24"/>
        </w:rPr>
        <w:t xml:space="preserve">the </w:t>
      </w:r>
      <w:r w:rsidR="006B2A21">
        <w:rPr>
          <w:rFonts w:asciiTheme="majorHAnsi" w:hAnsiTheme="majorHAnsi" w:cs="Melior"/>
          <w:sz w:val="24"/>
          <w:szCs w:val="24"/>
        </w:rPr>
        <w:t>collection of information would</w:t>
      </w:r>
      <w:r w:rsidRPr="00F906F8">
        <w:rPr>
          <w:rFonts w:asciiTheme="majorHAnsi" w:hAnsiTheme="majorHAnsi" w:cs="Melior"/>
          <w:sz w:val="24"/>
          <w:szCs w:val="24"/>
        </w:rPr>
        <w:t xml:space="preserve"> impose a </w:t>
      </w:r>
      <w:r w:rsidR="0046666E">
        <w:rPr>
          <w:rFonts w:asciiTheme="majorHAnsi" w:hAnsiTheme="majorHAnsi" w:cs="Melior"/>
          <w:sz w:val="24"/>
          <w:szCs w:val="24"/>
        </w:rPr>
        <w:t xml:space="preserve">total </w:t>
      </w:r>
      <w:r w:rsidRPr="00F906F8">
        <w:rPr>
          <w:rFonts w:asciiTheme="majorHAnsi" w:hAnsiTheme="majorHAnsi" w:cs="Melior"/>
          <w:sz w:val="24"/>
          <w:szCs w:val="24"/>
        </w:rPr>
        <w:t>burden to</w:t>
      </w:r>
      <w:r>
        <w:rPr>
          <w:rFonts w:asciiTheme="majorHAnsi" w:hAnsiTheme="majorHAnsi" w:cs="Melior"/>
          <w:sz w:val="24"/>
          <w:szCs w:val="24"/>
        </w:rPr>
        <w:t xml:space="preserve"> </w:t>
      </w:r>
      <w:r w:rsidR="006B2A21">
        <w:rPr>
          <w:rFonts w:asciiTheme="majorHAnsi" w:hAnsiTheme="majorHAnsi" w:cs="Melior"/>
          <w:sz w:val="24"/>
          <w:szCs w:val="24"/>
        </w:rPr>
        <w:t>applicants</w:t>
      </w:r>
      <w:r w:rsidRPr="00F906F8">
        <w:rPr>
          <w:rFonts w:asciiTheme="majorHAnsi" w:hAnsiTheme="majorHAnsi" w:cs="Melior"/>
          <w:sz w:val="24"/>
          <w:szCs w:val="24"/>
        </w:rPr>
        <w:t xml:space="preserve"> of </w:t>
      </w:r>
      <w:r w:rsidR="00FF3909">
        <w:rPr>
          <w:rFonts w:asciiTheme="majorHAnsi" w:hAnsiTheme="majorHAnsi" w:cs="Melior"/>
          <w:sz w:val="24"/>
          <w:szCs w:val="24"/>
        </w:rPr>
        <w:t>2,</w:t>
      </w:r>
      <w:r w:rsidR="001B4770">
        <w:rPr>
          <w:rFonts w:asciiTheme="majorHAnsi" w:hAnsiTheme="majorHAnsi" w:cs="Melior"/>
          <w:sz w:val="24"/>
          <w:szCs w:val="24"/>
        </w:rPr>
        <w:t>030</w:t>
      </w:r>
      <w:r w:rsidRPr="00F906F8">
        <w:rPr>
          <w:rFonts w:asciiTheme="majorHAnsi" w:hAnsiTheme="majorHAnsi" w:cs="Melior"/>
          <w:sz w:val="24"/>
          <w:szCs w:val="24"/>
        </w:rPr>
        <w:t xml:space="preserve"> hours at a cost of</w:t>
      </w:r>
      <w:r>
        <w:rPr>
          <w:rFonts w:asciiTheme="majorHAnsi" w:hAnsiTheme="majorHAnsi" w:cs="Melior"/>
          <w:sz w:val="24"/>
          <w:szCs w:val="24"/>
        </w:rPr>
        <w:t xml:space="preserve"> </w:t>
      </w:r>
      <w:r w:rsidRPr="00F906F8">
        <w:rPr>
          <w:rFonts w:asciiTheme="majorHAnsi" w:hAnsiTheme="majorHAnsi" w:cs="Melior"/>
          <w:sz w:val="24"/>
          <w:szCs w:val="24"/>
        </w:rPr>
        <w:t>$</w:t>
      </w:r>
      <w:r w:rsidR="00FF3909">
        <w:rPr>
          <w:rFonts w:asciiTheme="majorHAnsi" w:hAnsiTheme="majorHAnsi" w:cs="Melior"/>
          <w:sz w:val="24"/>
          <w:szCs w:val="24"/>
        </w:rPr>
        <w:t>1</w:t>
      </w:r>
      <w:r w:rsidR="001B4770">
        <w:rPr>
          <w:rFonts w:asciiTheme="majorHAnsi" w:hAnsiTheme="majorHAnsi" w:cs="Melior"/>
          <w:sz w:val="24"/>
          <w:szCs w:val="24"/>
        </w:rPr>
        <w:t>27,728</w:t>
      </w:r>
      <w:r w:rsidR="006B2A21">
        <w:rPr>
          <w:rFonts w:asciiTheme="majorHAnsi" w:hAnsiTheme="majorHAnsi" w:cs="Melior"/>
          <w:sz w:val="24"/>
          <w:szCs w:val="24"/>
        </w:rPr>
        <w:t xml:space="preserve"> for this round of grant funding</w:t>
      </w:r>
      <w:r w:rsidRPr="00F906F8">
        <w:rPr>
          <w:rFonts w:asciiTheme="majorHAnsi" w:hAnsiTheme="majorHAnsi" w:cs="Melior"/>
          <w:sz w:val="24"/>
          <w:szCs w:val="24"/>
        </w:rPr>
        <w:t>.</w:t>
      </w:r>
    </w:p>
    <w:p w:rsidR="000F66CC" w:rsidP="00CC23C1" w14:paraId="28FC7620" w14:textId="77777777">
      <w:pPr>
        <w:spacing w:after="0" w:line="240" w:lineRule="auto"/>
        <w:rPr>
          <w:rFonts w:asciiTheme="majorHAnsi" w:hAnsiTheme="majorHAnsi"/>
          <w:sz w:val="24"/>
        </w:rPr>
      </w:pPr>
    </w:p>
    <w:p w:rsidR="006F2DF8" w:rsidP="00337EF1" w14:paraId="0A01ECF4" w14:textId="77777777">
      <w:pPr>
        <w:spacing w:after="0" w:line="240" w:lineRule="auto"/>
        <w:rPr>
          <w:rFonts w:asciiTheme="majorHAnsi" w:hAnsiTheme="majorHAnsi"/>
          <w:sz w:val="24"/>
        </w:rPr>
      </w:pPr>
    </w:p>
    <w:p w:rsidR="0019309D" w:rsidP="00337EF1" w14:paraId="06EC01FE" w14:textId="6BFED7FA">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CC23C1" w:rsidP="0019309D" w14:paraId="47478C7F" w14:textId="77777777">
      <w:pPr>
        <w:spacing w:after="0" w:line="240" w:lineRule="auto"/>
        <w:rPr>
          <w:rFonts w:asciiTheme="majorHAnsi" w:hAnsiTheme="majorHAnsi"/>
          <w:i/>
          <w:sz w:val="24"/>
        </w:rPr>
      </w:pPr>
    </w:p>
    <w:p w:rsidR="0019309D" w:rsidP="0019309D" w14:paraId="5A51814F" w14:textId="5DB36C1D">
      <w:pPr>
        <w:spacing w:after="0" w:line="240" w:lineRule="auto"/>
        <w:rPr>
          <w:rFonts w:asciiTheme="majorHAnsi" w:hAnsiTheme="majorHAnsi"/>
          <w:sz w:val="24"/>
        </w:rPr>
      </w:pPr>
      <w:r w:rsidRPr="00CC23C1">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03DA98EE" w14:textId="77777777">
      <w:pPr>
        <w:spacing w:after="0" w:line="240" w:lineRule="auto"/>
        <w:rPr>
          <w:rFonts w:asciiTheme="majorHAnsi" w:hAnsiTheme="majorHAnsi"/>
          <w:sz w:val="24"/>
        </w:rPr>
      </w:pPr>
    </w:p>
    <w:p w:rsidR="00F25499" w:rsidP="0019309D" w14:paraId="7429A525" w14:textId="77777777">
      <w:pPr>
        <w:spacing w:after="0" w:line="240" w:lineRule="auto"/>
        <w:rPr>
          <w:rFonts w:asciiTheme="majorHAnsi" w:hAnsiTheme="majorHAnsi"/>
          <w:sz w:val="24"/>
          <w:u w:val="single"/>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68690E" w:rsidP="0019309D" w14:paraId="4C97EAAF" w14:textId="77777777">
      <w:pPr>
        <w:spacing w:after="0" w:line="240" w:lineRule="auto"/>
        <w:rPr>
          <w:rFonts w:asciiTheme="majorHAnsi" w:hAnsiTheme="majorHAnsi"/>
          <w:sz w:val="24"/>
          <w:u w:val="single"/>
        </w:rPr>
      </w:pPr>
    </w:p>
    <w:p w:rsidR="00590679" w:rsidRPr="0068690E" w:rsidP="00590679" w14:paraId="44DA23A1" w14:textId="58192887">
      <w:pPr>
        <w:spacing w:after="0" w:line="240" w:lineRule="auto"/>
        <w:rPr>
          <w:rFonts w:asciiTheme="majorHAnsi" w:hAnsiTheme="majorHAnsi"/>
          <w:sz w:val="24"/>
        </w:rPr>
      </w:pPr>
      <w:r>
        <w:rPr>
          <w:rFonts w:asciiTheme="majorHAnsi" w:hAnsiTheme="majorHAnsi"/>
          <w:sz w:val="24"/>
        </w:rPr>
        <w:t>Costs to the Federal Government for running the COPPGP include labor costs for work done by CPSCs Grants Specialist, Object Review Committee (ORC) and legal staff. The ORC is made up of 3-6 volunteers from CPSC that spend time reviewing the applications. Legal staff review applicant eligibility and budget questions.</w:t>
      </w:r>
      <w:r w:rsidRPr="0068690E">
        <w:rPr>
          <w:rFonts w:asciiTheme="majorHAnsi" w:hAnsiTheme="majorHAnsi"/>
          <w:sz w:val="24"/>
        </w:rPr>
        <w:t xml:space="preserve"> </w:t>
      </w:r>
    </w:p>
    <w:p w:rsidR="00590679" w:rsidP="00590679" w14:paraId="7F95AB54" w14:textId="77777777">
      <w:pPr>
        <w:spacing w:after="0" w:line="240" w:lineRule="auto"/>
        <w:rPr>
          <w:rFonts w:asciiTheme="majorHAnsi" w:hAnsiTheme="majorHAnsi"/>
          <w:sz w:val="24"/>
        </w:rPr>
      </w:pPr>
    </w:p>
    <w:p w:rsidR="00590679" w:rsidP="00590679" w14:paraId="2BDABF89" w14:textId="77777777">
      <w:pPr>
        <w:spacing w:after="0" w:line="240" w:lineRule="auto"/>
        <w:rPr>
          <w:rFonts w:asciiTheme="majorHAnsi" w:hAnsiTheme="majorHAnsi"/>
          <w:sz w:val="24"/>
          <w:szCs w:val="24"/>
        </w:rPr>
      </w:pPr>
      <w:r w:rsidRPr="00C97147">
        <w:rPr>
          <w:rFonts w:asciiTheme="majorHAnsi" w:hAnsiTheme="majorHAnsi"/>
          <w:sz w:val="24"/>
          <w:szCs w:val="24"/>
        </w:rPr>
        <w:t>The estimated annual cost of the information collection to the Federal Government is approximately $</w:t>
      </w:r>
      <w:r>
        <w:rPr>
          <w:rFonts w:asciiTheme="majorHAnsi" w:hAnsiTheme="majorHAnsi"/>
          <w:sz w:val="24"/>
          <w:szCs w:val="24"/>
        </w:rPr>
        <w:t>57,948</w:t>
      </w:r>
      <w:r w:rsidRPr="00C97147">
        <w:rPr>
          <w:rFonts w:asciiTheme="majorHAnsi" w:hAnsiTheme="majorHAnsi"/>
          <w:sz w:val="24"/>
          <w:szCs w:val="24"/>
        </w:rPr>
        <w:t xml:space="preserve">, which includes </w:t>
      </w:r>
      <w:r>
        <w:rPr>
          <w:rFonts w:asciiTheme="majorHAnsi" w:hAnsiTheme="majorHAnsi"/>
          <w:sz w:val="24"/>
          <w:szCs w:val="24"/>
        </w:rPr>
        <w:t>600</w:t>
      </w:r>
      <w:r w:rsidRPr="00C97147">
        <w:rPr>
          <w:rFonts w:asciiTheme="majorHAnsi" w:hAnsiTheme="majorHAnsi"/>
          <w:sz w:val="24"/>
          <w:szCs w:val="24"/>
        </w:rPr>
        <w:t xml:space="preserve"> staff hours to </w:t>
      </w:r>
      <w:r>
        <w:rPr>
          <w:rFonts w:asciiTheme="majorHAnsi" w:hAnsiTheme="majorHAnsi"/>
          <w:sz w:val="24"/>
          <w:szCs w:val="24"/>
        </w:rPr>
        <w:t xml:space="preserve">prepare for the grant program, </w:t>
      </w:r>
      <w:r w:rsidRPr="00C97147">
        <w:rPr>
          <w:rFonts w:asciiTheme="majorHAnsi" w:hAnsiTheme="majorHAnsi"/>
          <w:sz w:val="24"/>
          <w:szCs w:val="24"/>
        </w:rPr>
        <w:t>examine and evaluate the information</w:t>
      </w:r>
      <w:r>
        <w:rPr>
          <w:rFonts w:asciiTheme="majorHAnsi" w:hAnsiTheme="majorHAnsi"/>
          <w:sz w:val="24"/>
          <w:szCs w:val="24"/>
        </w:rPr>
        <w:t xml:space="preserve"> in the grant applications and award the grants</w:t>
      </w:r>
      <w:r w:rsidRPr="00C97147">
        <w:rPr>
          <w:rFonts w:asciiTheme="majorHAnsi" w:hAnsiTheme="majorHAnsi"/>
          <w:sz w:val="24"/>
          <w:szCs w:val="24"/>
        </w:rPr>
        <w:t>.  This is based on a GS-1</w:t>
      </w:r>
      <w:r>
        <w:rPr>
          <w:rFonts w:asciiTheme="majorHAnsi" w:hAnsiTheme="majorHAnsi"/>
          <w:sz w:val="24"/>
          <w:szCs w:val="24"/>
        </w:rPr>
        <w:t>3</w:t>
      </w:r>
      <w:r w:rsidRPr="00C97147">
        <w:rPr>
          <w:rFonts w:asciiTheme="majorHAnsi" w:hAnsiTheme="majorHAnsi"/>
          <w:sz w:val="24"/>
          <w:szCs w:val="24"/>
        </w:rPr>
        <w:t>, step 5 level salaried employee.  The average hourly wage rate for a mid-level salaried GS-1</w:t>
      </w:r>
      <w:r>
        <w:rPr>
          <w:rFonts w:asciiTheme="majorHAnsi" w:hAnsiTheme="majorHAnsi"/>
          <w:sz w:val="24"/>
          <w:szCs w:val="24"/>
        </w:rPr>
        <w:t>3</w:t>
      </w:r>
      <w:r w:rsidRPr="00C97147">
        <w:rPr>
          <w:rFonts w:asciiTheme="majorHAnsi" w:hAnsiTheme="majorHAnsi"/>
          <w:sz w:val="24"/>
          <w:szCs w:val="24"/>
        </w:rPr>
        <w:t xml:space="preserve"> employee in the Washington, DC metropolitan area (effective as of January 202</w:t>
      </w:r>
      <w:r>
        <w:rPr>
          <w:rFonts w:asciiTheme="majorHAnsi" w:hAnsiTheme="majorHAnsi"/>
          <w:sz w:val="24"/>
          <w:szCs w:val="24"/>
        </w:rPr>
        <w:t>5</w:t>
      </w:r>
      <w:r w:rsidRPr="00C97147">
        <w:rPr>
          <w:rFonts w:asciiTheme="majorHAnsi" w:hAnsiTheme="majorHAnsi"/>
          <w:sz w:val="24"/>
          <w:szCs w:val="24"/>
        </w:rPr>
        <w:t>) is $</w:t>
      </w:r>
      <w:r>
        <w:rPr>
          <w:rFonts w:asciiTheme="majorHAnsi" w:hAnsiTheme="majorHAnsi"/>
          <w:sz w:val="24"/>
          <w:szCs w:val="24"/>
        </w:rPr>
        <w:t>65.48</w:t>
      </w:r>
      <w:r w:rsidRPr="00C97147">
        <w:rPr>
          <w:rFonts w:asciiTheme="majorHAnsi" w:hAnsiTheme="majorHAnsi"/>
          <w:sz w:val="24"/>
          <w:szCs w:val="24"/>
        </w:rPr>
        <w:t xml:space="preserve"> (GS-1</w:t>
      </w:r>
      <w:r>
        <w:rPr>
          <w:rFonts w:asciiTheme="majorHAnsi" w:hAnsiTheme="majorHAnsi"/>
          <w:sz w:val="24"/>
          <w:szCs w:val="24"/>
        </w:rPr>
        <w:t>3</w:t>
      </w:r>
      <w:r w:rsidRPr="00C97147">
        <w:rPr>
          <w:rFonts w:asciiTheme="majorHAnsi" w:hAnsiTheme="majorHAnsi"/>
          <w:sz w:val="24"/>
          <w:szCs w:val="24"/>
        </w:rPr>
        <w:t>, step 5).  This represents 6</w:t>
      </w:r>
      <w:r>
        <w:rPr>
          <w:rFonts w:asciiTheme="majorHAnsi" w:hAnsiTheme="majorHAnsi"/>
          <w:sz w:val="24"/>
          <w:szCs w:val="24"/>
        </w:rPr>
        <w:t>7.8</w:t>
      </w:r>
      <w:r w:rsidRPr="00C97147">
        <w:rPr>
          <w:rFonts w:asciiTheme="majorHAnsi" w:hAnsiTheme="majorHAnsi"/>
          <w:sz w:val="24"/>
          <w:szCs w:val="24"/>
        </w:rPr>
        <w:t xml:space="preserve"> percent of total</w:t>
      </w:r>
      <w:r>
        <w:rPr>
          <w:rFonts w:asciiTheme="majorHAnsi" w:hAnsiTheme="majorHAnsi"/>
          <w:sz w:val="24"/>
          <w:szCs w:val="24"/>
        </w:rPr>
        <w:t xml:space="preserve"> </w:t>
      </w:r>
      <w:r w:rsidRPr="00C97147">
        <w:rPr>
          <w:rFonts w:asciiTheme="majorHAnsi" w:hAnsiTheme="majorHAnsi"/>
          <w:sz w:val="24"/>
          <w:szCs w:val="24"/>
        </w:rPr>
        <w:t>compensation</w:t>
      </w:r>
      <w:r>
        <w:rPr>
          <w:rFonts w:asciiTheme="majorHAnsi" w:hAnsiTheme="majorHAnsi"/>
          <w:sz w:val="24"/>
          <w:szCs w:val="24"/>
        </w:rPr>
        <w:t xml:space="preserve"> </w:t>
      </w:r>
      <w:r w:rsidRPr="00C97147">
        <w:rPr>
          <w:rFonts w:asciiTheme="majorHAnsi" w:hAnsiTheme="majorHAnsi"/>
          <w:sz w:val="24"/>
          <w:szCs w:val="24"/>
        </w:rPr>
        <w:t xml:space="preserve">(U.S. Bureau of Labor Statistics, “Employer Costs for Employee Compensation,” </w:t>
      </w:r>
      <w:r>
        <w:rPr>
          <w:rFonts w:asciiTheme="majorHAnsi" w:hAnsiTheme="majorHAnsi"/>
          <w:sz w:val="24"/>
          <w:szCs w:val="24"/>
        </w:rPr>
        <w:t>September</w:t>
      </w:r>
      <w:r w:rsidRPr="00C97147">
        <w:rPr>
          <w:rFonts w:asciiTheme="majorHAnsi" w:hAnsiTheme="majorHAnsi"/>
          <w:sz w:val="24"/>
          <w:szCs w:val="24"/>
        </w:rPr>
        <w:t xml:space="preserve"> 202</w:t>
      </w:r>
      <w:r>
        <w:rPr>
          <w:rFonts w:asciiTheme="majorHAnsi" w:hAnsiTheme="majorHAnsi"/>
          <w:sz w:val="24"/>
          <w:szCs w:val="24"/>
        </w:rPr>
        <w:t>4</w:t>
      </w:r>
      <w:r w:rsidRPr="00C97147">
        <w:rPr>
          <w:rFonts w:asciiTheme="majorHAnsi" w:hAnsiTheme="majorHAnsi"/>
          <w:sz w:val="24"/>
          <w:szCs w:val="24"/>
        </w:rPr>
        <w:t>, Table 2., percentage of wages and salaries for all civilian management, professional, and related employees</w:t>
      </w:r>
      <w:r>
        <w:rPr>
          <w:rFonts w:asciiTheme="majorHAnsi" w:hAnsiTheme="majorHAnsi"/>
          <w:sz w:val="24"/>
          <w:szCs w:val="24"/>
        </w:rPr>
        <w:t>:</w:t>
      </w:r>
      <w:r w:rsidRPr="00AC6288">
        <w:rPr>
          <w:rFonts w:asciiTheme="majorHAnsi" w:hAnsiTheme="majorHAnsi" w:cs="Melior"/>
          <w:sz w:val="24"/>
          <w:szCs w:val="24"/>
        </w:rPr>
        <w:t xml:space="preserve"> </w:t>
      </w:r>
      <w:r w:rsidRPr="006B2A21">
        <w:rPr>
          <w:rFonts w:asciiTheme="majorHAnsi" w:hAnsiTheme="majorHAnsi" w:cs="Melior"/>
          <w:sz w:val="24"/>
          <w:szCs w:val="24"/>
        </w:rPr>
        <w:t>https://www.bls.gov/news.release/archives/ecec_12172024.pdf</w:t>
      </w:r>
      <w:r w:rsidRPr="00C97147">
        <w:rPr>
          <w:rFonts w:asciiTheme="majorHAnsi" w:hAnsiTheme="majorHAnsi"/>
          <w:sz w:val="24"/>
          <w:szCs w:val="24"/>
        </w:rPr>
        <w:t>).  Adding an additional 3</w:t>
      </w:r>
      <w:r>
        <w:rPr>
          <w:rFonts w:asciiTheme="majorHAnsi" w:hAnsiTheme="majorHAnsi"/>
          <w:sz w:val="24"/>
          <w:szCs w:val="24"/>
        </w:rPr>
        <w:t>2.2</w:t>
      </w:r>
      <w:r w:rsidRPr="00C97147">
        <w:rPr>
          <w:rFonts w:asciiTheme="majorHAnsi" w:hAnsiTheme="majorHAnsi"/>
          <w:sz w:val="24"/>
          <w:szCs w:val="24"/>
        </w:rPr>
        <w:t xml:space="preserve"> percent for benefits brings average annual compensation for a mid-level salaried GS-1</w:t>
      </w:r>
      <w:r>
        <w:rPr>
          <w:rFonts w:asciiTheme="majorHAnsi" w:hAnsiTheme="majorHAnsi"/>
          <w:sz w:val="24"/>
          <w:szCs w:val="24"/>
        </w:rPr>
        <w:t>3</w:t>
      </w:r>
      <w:r w:rsidRPr="00C97147">
        <w:rPr>
          <w:rFonts w:asciiTheme="majorHAnsi" w:hAnsiTheme="majorHAnsi"/>
          <w:sz w:val="24"/>
          <w:szCs w:val="24"/>
        </w:rPr>
        <w:t xml:space="preserve"> employee to $</w:t>
      </w:r>
      <w:r>
        <w:rPr>
          <w:rFonts w:asciiTheme="majorHAnsi" w:hAnsiTheme="majorHAnsi"/>
          <w:sz w:val="24"/>
          <w:szCs w:val="24"/>
        </w:rPr>
        <w:t>96.58</w:t>
      </w:r>
      <w:r w:rsidRPr="00C97147">
        <w:rPr>
          <w:rFonts w:asciiTheme="majorHAnsi" w:hAnsiTheme="majorHAnsi"/>
          <w:sz w:val="24"/>
          <w:szCs w:val="24"/>
        </w:rPr>
        <w:t xml:space="preserve"> per hour.  Assuming that approximately </w:t>
      </w:r>
      <w:r>
        <w:rPr>
          <w:rFonts w:asciiTheme="majorHAnsi" w:hAnsiTheme="majorHAnsi"/>
          <w:sz w:val="24"/>
          <w:szCs w:val="24"/>
        </w:rPr>
        <w:t>600</w:t>
      </w:r>
      <w:r w:rsidRPr="00C97147">
        <w:rPr>
          <w:rFonts w:asciiTheme="majorHAnsi" w:hAnsiTheme="majorHAnsi"/>
          <w:sz w:val="24"/>
          <w:szCs w:val="24"/>
        </w:rPr>
        <w:t xml:space="preserve"> hours will be required annually, this results in an annual cost of $</w:t>
      </w:r>
      <w:r>
        <w:rPr>
          <w:rFonts w:asciiTheme="majorHAnsi" w:hAnsiTheme="majorHAnsi"/>
          <w:sz w:val="24"/>
          <w:szCs w:val="24"/>
        </w:rPr>
        <w:t>57,948</w:t>
      </w:r>
      <w:r w:rsidRPr="00C97147">
        <w:rPr>
          <w:rFonts w:asciiTheme="majorHAnsi" w:hAnsiTheme="majorHAnsi"/>
          <w:sz w:val="24"/>
          <w:szCs w:val="24"/>
        </w:rPr>
        <w:t xml:space="preserve"> ($</w:t>
      </w:r>
      <w:r>
        <w:rPr>
          <w:rFonts w:asciiTheme="majorHAnsi" w:hAnsiTheme="majorHAnsi"/>
          <w:sz w:val="24"/>
          <w:szCs w:val="24"/>
        </w:rPr>
        <w:t>96.58</w:t>
      </w:r>
      <w:r w:rsidRPr="00C97147">
        <w:rPr>
          <w:rFonts w:asciiTheme="majorHAnsi" w:hAnsiTheme="majorHAnsi"/>
          <w:sz w:val="24"/>
          <w:szCs w:val="24"/>
        </w:rPr>
        <w:t xml:space="preserve"> per hour × </w:t>
      </w:r>
      <w:r>
        <w:rPr>
          <w:rFonts w:asciiTheme="majorHAnsi" w:hAnsiTheme="majorHAnsi"/>
          <w:sz w:val="24"/>
          <w:szCs w:val="24"/>
        </w:rPr>
        <w:t>600</w:t>
      </w:r>
      <w:r w:rsidRPr="00C97147">
        <w:rPr>
          <w:rFonts w:asciiTheme="majorHAnsi" w:hAnsiTheme="majorHAnsi"/>
          <w:sz w:val="24"/>
          <w:szCs w:val="24"/>
        </w:rPr>
        <w:t xml:space="preserve"> hours = $</w:t>
      </w:r>
      <w:r>
        <w:rPr>
          <w:rFonts w:asciiTheme="majorHAnsi" w:hAnsiTheme="majorHAnsi"/>
          <w:sz w:val="24"/>
          <w:szCs w:val="24"/>
        </w:rPr>
        <w:t>57,948</w:t>
      </w:r>
      <w:r w:rsidRPr="00C97147">
        <w:rPr>
          <w:rFonts w:asciiTheme="majorHAnsi" w:hAnsiTheme="majorHAnsi"/>
          <w:sz w:val="24"/>
          <w:szCs w:val="24"/>
        </w:rPr>
        <w:t>).</w:t>
      </w:r>
    </w:p>
    <w:p w:rsidR="00486235" w:rsidP="00486235" w14:paraId="102269BD" w14:textId="77777777">
      <w:pPr>
        <w:spacing w:after="0" w:line="240" w:lineRule="auto"/>
        <w:rPr>
          <w:rFonts w:asciiTheme="majorHAnsi" w:hAnsiTheme="majorHAnsi"/>
          <w:sz w:val="24"/>
        </w:rPr>
      </w:pPr>
    </w:p>
    <w:p w:rsidR="00DA2B37" w:rsidRPr="00AC6288" w:rsidP="00486235" w14:paraId="133F3F12" w14:textId="5E75769E">
      <w:pPr>
        <w:spacing w:after="0" w:line="240" w:lineRule="auto"/>
        <w:rPr>
          <w:rFonts w:asciiTheme="majorHAnsi" w:hAnsiTheme="majorHAnsi"/>
          <w:sz w:val="24"/>
          <w:u w:val="single"/>
        </w:rPr>
      </w:pPr>
      <w:r w:rsidRPr="00AC6288">
        <w:rPr>
          <w:rFonts w:asciiTheme="majorHAnsi" w:hAnsiTheme="majorHAnsi"/>
          <w:sz w:val="24"/>
        </w:rPr>
        <w:t xml:space="preserve">15. </w:t>
      </w:r>
      <w:r w:rsidRPr="00AC6288">
        <w:rPr>
          <w:rFonts w:asciiTheme="majorHAnsi" w:hAnsiTheme="majorHAnsi"/>
          <w:sz w:val="24"/>
        </w:rPr>
        <w:tab/>
      </w:r>
      <w:r w:rsidRPr="00AC6288">
        <w:rPr>
          <w:rFonts w:asciiTheme="majorHAnsi" w:hAnsiTheme="majorHAnsi"/>
          <w:sz w:val="24"/>
          <w:u w:val="single"/>
        </w:rPr>
        <w:t>Reasons for Change in Burden</w:t>
      </w:r>
      <w:r w:rsidRPr="00AC6288" w:rsidR="0085688C">
        <w:rPr>
          <w:rFonts w:asciiTheme="majorHAnsi" w:hAnsiTheme="majorHAnsi"/>
          <w:sz w:val="24"/>
          <w:u w:val="single"/>
        </w:rPr>
        <w:t xml:space="preserve"> </w:t>
      </w:r>
    </w:p>
    <w:p w:rsidR="00AC6288" w:rsidRPr="00AC6288" w:rsidP="00AC6288" w14:paraId="1BA5AF09" w14:textId="77777777">
      <w:pPr>
        <w:spacing w:after="0" w:line="240" w:lineRule="auto"/>
        <w:rPr>
          <w:rFonts w:asciiTheme="majorHAnsi" w:hAnsiTheme="majorHAnsi"/>
          <w:sz w:val="24"/>
        </w:rPr>
      </w:pPr>
    </w:p>
    <w:p w:rsidR="00DA2B37" w:rsidP="00AC6288" w14:paraId="1DD90932" w14:textId="1EDCE764">
      <w:pPr>
        <w:spacing w:after="0" w:line="240" w:lineRule="auto"/>
        <w:rPr>
          <w:rFonts w:asciiTheme="majorHAnsi" w:hAnsiTheme="majorHAnsi"/>
          <w:sz w:val="24"/>
        </w:rPr>
      </w:pPr>
      <w:r w:rsidRPr="00AC6288">
        <w:rPr>
          <w:rFonts w:asciiTheme="majorHAnsi" w:hAnsiTheme="majorHAnsi"/>
          <w:sz w:val="24"/>
        </w:rPr>
        <w:t>This is a new collection with a new associated burden.</w:t>
      </w:r>
    </w:p>
    <w:p w:rsidR="00B55E9F" w:rsidP="00DA2B37" w14:paraId="2A427691" w14:textId="77777777">
      <w:pPr>
        <w:spacing w:after="0" w:line="240" w:lineRule="auto"/>
        <w:ind w:firstLine="720"/>
        <w:rPr>
          <w:rFonts w:asciiTheme="majorHAnsi" w:hAnsiTheme="majorHAnsi"/>
          <w:sz w:val="24"/>
        </w:rPr>
      </w:pPr>
    </w:p>
    <w:p w:rsidR="00DA2B37" w:rsidP="00486235" w14:paraId="4556E4CA" w14:textId="2EF36C74">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AC6288" w:rsidP="00486235" w14:paraId="31CADE9B" w14:textId="77777777">
      <w:pPr>
        <w:spacing w:after="0" w:line="240" w:lineRule="auto"/>
        <w:rPr>
          <w:rFonts w:asciiTheme="majorHAnsi" w:hAnsiTheme="majorHAnsi"/>
          <w:sz w:val="24"/>
        </w:rPr>
      </w:pPr>
    </w:p>
    <w:p w:rsidR="00AC6288" w:rsidP="00486235" w14:paraId="4F1DFA77" w14:textId="026CE544">
      <w:pPr>
        <w:spacing w:after="0" w:line="240" w:lineRule="auto"/>
        <w:rPr>
          <w:rFonts w:asciiTheme="majorHAnsi" w:hAnsiTheme="majorHAnsi"/>
          <w:sz w:val="24"/>
        </w:rPr>
      </w:pPr>
      <w:r>
        <w:rPr>
          <w:rFonts w:asciiTheme="majorHAnsi" w:hAnsiTheme="majorHAnsi"/>
          <w:sz w:val="24"/>
        </w:rPr>
        <w:t>COPPGP</w:t>
      </w:r>
      <w:r>
        <w:rPr>
          <w:rFonts w:asciiTheme="majorHAnsi" w:hAnsiTheme="majorHAnsi"/>
          <w:sz w:val="24"/>
        </w:rPr>
        <w:t xml:space="preserve"> Awards are posted to the CPSC’s website and via press release.</w:t>
      </w:r>
      <w:r>
        <w:rPr>
          <w:rStyle w:val="FootnoteReference"/>
          <w:rFonts w:asciiTheme="majorHAnsi" w:hAnsiTheme="majorHAnsi"/>
          <w:sz w:val="24"/>
        </w:rPr>
        <w:footnoteReference w:id="2"/>
      </w:r>
      <w:r>
        <w:rPr>
          <w:rFonts w:asciiTheme="majorHAnsi" w:hAnsiTheme="majorHAnsi"/>
          <w:sz w:val="24"/>
        </w:rPr>
        <w:t xml:space="preserve"> Information released includes the awardee name, state, and award amount.</w:t>
      </w:r>
    </w:p>
    <w:p w:rsidR="005C3A95" w:rsidP="00486235" w14:paraId="72B6314E" w14:textId="77777777">
      <w:pPr>
        <w:spacing w:after="0" w:line="240" w:lineRule="auto"/>
        <w:rPr>
          <w:rFonts w:asciiTheme="majorHAnsi" w:hAnsiTheme="majorHAnsi"/>
          <w:sz w:val="24"/>
        </w:rPr>
      </w:pPr>
    </w:p>
    <w:p w:rsidR="005C3A95" w:rsidRPr="0085688C" w:rsidP="00486235" w14:paraId="528E6BEE" w14:textId="35D7E8CF">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AC6288" w:rsidRPr="00AC6288" w:rsidP="00486235" w14:paraId="5D1C95D4" w14:textId="77777777">
      <w:pPr>
        <w:spacing w:after="0" w:line="240" w:lineRule="auto"/>
        <w:rPr>
          <w:rFonts w:asciiTheme="majorHAnsi" w:hAnsiTheme="majorHAnsi"/>
          <w:sz w:val="24"/>
        </w:rPr>
      </w:pPr>
    </w:p>
    <w:p w:rsidR="00C62D17" w:rsidP="00486235" w14:paraId="2BC59EB9" w14:textId="16EEAAD6">
      <w:pPr>
        <w:spacing w:after="0" w:line="240" w:lineRule="auto"/>
        <w:rPr>
          <w:rFonts w:asciiTheme="majorHAnsi" w:hAnsiTheme="majorHAnsi"/>
          <w:sz w:val="24"/>
        </w:rPr>
      </w:pPr>
      <w:r w:rsidRPr="00AC6288">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5766FA9E" w14:textId="77777777">
      <w:pPr>
        <w:spacing w:after="0" w:line="240" w:lineRule="auto"/>
        <w:rPr>
          <w:rFonts w:asciiTheme="majorHAnsi" w:hAnsiTheme="majorHAnsi"/>
          <w:sz w:val="24"/>
        </w:rPr>
      </w:pPr>
    </w:p>
    <w:p w:rsidR="00C62D17" w:rsidRPr="0085688C" w:rsidP="00486235" w14:paraId="24A97051" w14:textId="09AA146E">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B55E9F" w:rsidP="00B55E9F" w14:paraId="2920D227" w14:textId="77777777">
      <w:pPr>
        <w:spacing w:after="0" w:line="240" w:lineRule="auto"/>
        <w:rPr>
          <w:rFonts w:asciiTheme="majorHAnsi" w:hAnsiTheme="majorHAnsi"/>
          <w:i/>
          <w:sz w:val="24"/>
        </w:rPr>
      </w:pPr>
    </w:p>
    <w:p w:rsidR="00A50A0F" w:rsidRPr="00C62D17" w:rsidP="00B55E9F" w14:paraId="6B2ADDA9" w14:textId="3585F77F">
      <w:pPr>
        <w:spacing w:after="0" w:line="240" w:lineRule="auto"/>
        <w:rPr>
          <w:rFonts w:asciiTheme="majorHAnsi" w:hAnsiTheme="majorHAnsi"/>
          <w:i/>
          <w:sz w:val="24"/>
        </w:rPr>
      </w:pPr>
      <w:r w:rsidRPr="00AC6288">
        <w:rPr>
          <w:rFonts w:asciiTheme="majorHAnsi" w:hAnsiTheme="majorHAnsi"/>
          <w:sz w:val="24"/>
        </w:rPr>
        <w:t>We are not requesting an</w:t>
      </w:r>
      <w:r w:rsidRPr="00AC6288" w:rsidR="00420AE9">
        <w:rPr>
          <w:rFonts w:asciiTheme="majorHAnsi" w:hAnsiTheme="majorHAnsi"/>
          <w:sz w:val="24"/>
        </w:rPr>
        <w:t>y</w:t>
      </w:r>
      <w:r w:rsidRPr="00AC6288">
        <w:rPr>
          <w:rFonts w:asciiTheme="majorHAnsi" w:hAnsiTheme="majorHAnsi"/>
          <w:sz w:val="24"/>
        </w:rPr>
        <w:t xml:space="preserve"> exemption</w:t>
      </w:r>
      <w:r w:rsidRPr="00AC6288" w:rsidR="00420AE9">
        <w:rPr>
          <w:rFonts w:asciiTheme="majorHAnsi" w:hAnsiTheme="majorHAnsi"/>
          <w:sz w:val="24"/>
        </w:rPr>
        <w:t>s</w:t>
      </w:r>
      <w:r w:rsidRPr="00AC6288">
        <w:rPr>
          <w:rFonts w:asciiTheme="majorHAnsi" w:hAnsiTheme="majorHAnsi"/>
          <w:sz w:val="24"/>
        </w:rPr>
        <w:t xml:space="preserve"> to the provisions </w:t>
      </w:r>
      <w:r w:rsidRPr="00AC6288"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141A" w:rsidP="00FB569C" w14:paraId="575C8DE3" w14:textId="77777777">
      <w:pPr>
        <w:spacing w:after="0" w:line="240" w:lineRule="auto"/>
      </w:pPr>
      <w:r>
        <w:separator/>
      </w:r>
    </w:p>
  </w:footnote>
  <w:footnote w:type="continuationSeparator" w:id="1">
    <w:p w:rsidR="003D141A" w:rsidP="00FB569C" w14:paraId="0E38C420" w14:textId="77777777">
      <w:pPr>
        <w:spacing w:after="0" w:line="240" w:lineRule="auto"/>
      </w:pPr>
      <w:r>
        <w:continuationSeparator/>
      </w:r>
    </w:p>
  </w:footnote>
  <w:footnote w:id="2">
    <w:p w:rsidR="00AC6288" w:rsidRPr="00AC6288" w:rsidP="00AC6288" w14:paraId="77DA51B1" w14:textId="0DCE6478">
      <w:pPr>
        <w:spacing w:after="0" w:line="240" w:lineRule="auto"/>
        <w:rPr>
          <w:rFonts w:asciiTheme="majorHAnsi" w:hAnsiTheme="majorHAnsi"/>
          <w:sz w:val="24"/>
        </w:rPr>
      </w:pPr>
      <w:r>
        <w:rPr>
          <w:rStyle w:val="FootnoteReference"/>
        </w:rPr>
        <w:footnoteRef/>
      </w:r>
      <w:r>
        <w:t xml:space="preserve"> </w:t>
      </w:r>
      <w:hyperlink r:id="rId1" w:history="1">
        <w:r w:rsidRPr="004D78D8" w:rsidR="00DA105B">
          <w:rPr>
            <w:rStyle w:val="Hyperlink"/>
          </w:rPr>
          <w:t>https://www.cpsc.gov/Newsroom/News-Releases/2024/CPSC-Awards-More-than-3-Million-in-Grants-to-22-State-and-Local-Governments-to-Prevent-Carbon-Monoxide-Poisoning</w:t>
        </w:r>
      </w:hyperlink>
      <w:r w:rsidR="00DA105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B768B9"/>
    <w:multiLevelType w:val="hybridMultilevel"/>
    <w:tmpl w:val="CCD48CE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457454"/>
    <w:multiLevelType w:val="hybridMultilevel"/>
    <w:tmpl w:val="0ECC0D6A"/>
    <w:lvl w:ilvl="0">
      <w:start w:val="0"/>
      <w:numFmt w:val="bullet"/>
      <w:lvlText w:val=""/>
      <w:lvlJc w:val="left"/>
      <w:pPr>
        <w:ind w:left="660" w:hanging="360"/>
      </w:pPr>
      <w:rPr>
        <w:rFonts w:ascii="Symbol" w:eastAsia="Symbol" w:hAnsi="Symbol" w:cs="Symbol" w:hint="default"/>
        <w:b w:val="0"/>
        <w:bCs w:val="0"/>
        <w:i w:val="0"/>
        <w:iCs w:val="0"/>
        <w:spacing w:val="0"/>
        <w:w w:val="100"/>
        <w:sz w:val="24"/>
        <w:szCs w:val="24"/>
        <w:lang w:val="en-US" w:eastAsia="en-US" w:bidi="ar-SA"/>
      </w:rPr>
    </w:lvl>
    <w:lvl w:ilvl="1">
      <w:start w:val="1"/>
      <w:numFmt w:val="lowerRoman"/>
      <w:lvlText w:val="%2."/>
      <w:lvlJc w:val="left"/>
      <w:pPr>
        <w:ind w:left="192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853" w:hanging="488"/>
      </w:pPr>
      <w:rPr>
        <w:rFonts w:hint="default"/>
        <w:lang w:val="en-US" w:eastAsia="en-US" w:bidi="ar-SA"/>
      </w:rPr>
    </w:lvl>
    <w:lvl w:ilvl="3">
      <w:start w:val="0"/>
      <w:numFmt w:val="bullet"/>
      <w:lvlText w:val="•"/>
      <w:lvlJc w:val="left"/>
      <w:pPr>
        <w:ind w:left="3786" w:hanging="488"/>
      </w:pPr>
      <w:rPr>
        <w:rFonts w:hint="default"/>
        <w:lang w:val="en-US" w:eastAsia="en-US" w:bidi="ar-SA"/>
      </w:rPr>
    </w:lvl>
    <w:lvl w:ilvl="4">
      <w:start w:val="0"/>
      <w:numFmt w:val="bullet"/>
      <w:lvlText w:val="•"/>
      <w:lvlJc w:val="left"/>
      <w:pPr>
        <w:ind w:left="4720" w:hanging="488"/>
      </w:pPr>
      <w:rPr>
        <w:rFonts w:hint="default"/>
        <w:lang w:val="en-US" w:eastAsia="en-US" w:bidi="ar-SA"/>
      </w:rPr>
    </w:lvl>
    <w:lvl w:ilvl="5">
      <w:start w:val="0"/>
      <w:numFmt w:val="bullet"/>
      <w:lvlText w:val="•"/>
      <w:lvlJc w:val="left"/>
      <w:pPr>
        <w:ind w:left="5653" w:hanging="488"/>
      </w:pPr>
      <w:rPr>
        <w:rFonts w:hint="default"/>
        <w:lang w:val="en-US" w:eastAsia="en-US" w:bidi="ar-SA"/>
      </w:rPr>
    </w:lvl>
    <w:lvl w:ilvl="6">
      <w:start w:val="0"/>
      <w:numFmt w:val="bullet"/>
      <w:lvlText w:val="•"/>
      <w:lvlJc w:val="left"/>
      <w:pPr>
        <w:ind w:left="6586" w:hanging="488"/>
      </w:pPr>
      <w:rPr>
        <w:rFonts w:hint="default"/>
        <w:lang w:val="en-US" w:eastAsia="en-US" w:bidi="ar-SA"/>
      </w:rPr>
    </w:lvl>
    <w:lvl w:ilvl="7">
      <w:start w:val="0"/>
      <w:numFmt w:val="bullet"/>
      <w:lvlText w:val="•"/>
      <w:lvlJc w:val="left"/>
      <w:pPr>
        <w:ind w:left="7520" w:hanging="488"/>
      </w:pPr>
      <w:rPr>
        <w:rFonts w:hint="default"/>
        <w:lang w:val="en-US" w:eastAsia="en-US" w:bidi="ar-SA"/>
      </w:rPr>
    </w:lvl>
    <w:lvl w:ilvl="8">
      <w:start w:val="0"/>
      <w:numFmt w:val="bullet"/>
      <w:lvlText w:val="•"/>
      <w:lvlJc w:val="left"/>
      <w:pPr>
        <w:ind w:left="8453" w:hanging="488"/>
      </w:pPr>
      <w:rPr>
        <w:rFonts w:hint="default"/>
        <w:lang w:val="en-US" w:eastAsia="en-US" w:bidi="ar-SA"/>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E00917"/>
    <w:multiLevelType w:val="hybridMultilevel"/>
    <w:tmpl w:val="DD6C3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40431589"/>
    <w:multiLevelType w:val="hybridMultilevel"/>
    <w:tmpl w:val="B54CA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2">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43895791">
    <w:abstractNumId w:val="18"/>
  </w:num>
  <w:num w:numId="2" w16cid:durableId="1007444803">
    <w:abstractNumId w:val="0"/>
  </w:num>
  <w:num w:numId="3" w16cid:durableId="1214582232">
    <w:abstractNumId w:val="15"/>
  </w:num>
  <w:num w:numId="4" w16cid:durableId="1878807727">
    <w:abstractNumId w:val="13"/>
  </w:num>
  <w:num w:numId="5" w16cid:durableId="1395011521">
    <w:abstractNumId w:val="22"/>
  </w:num>
  <w:num w:numId="6" w16cid:durableId="260182768">
    <w:abstractNumId w:val="1"/>
  </w:num>
  <w:num w:numId="7" w16cid:durableId="534150905">
    <w:abstractNumId w:val="23"/>
  </w:num>
  <w:num w:numId="8" w16cid:durableId="101927049">
    <w:abstractNumId w:val="20"/>
  </w:num>
  <w:num w:numId="9" w16cid:durableId="36861514">
    <w:abstractNumId w:val="24"/>
  </w:num>
  <w:num w:numId="10" w16cid:durableId="1407024742">
    <w:abstractNumId w:val="4"/>
  </w:num>
  <w:num w:numId="11" w16cid:durableId="6299695">
    <w:abstractNumId w:val="19"/>
  </w:num>
  <w:num w:numId="12" w16cid:durableId="978415616">
    <w:abstractNumId w:val="21"/>
  </w:num>
  <w:num w:numId="13" w16cid:durableId="1755736952">
    <w:abstractNumId w:val="26"/>
  </w:num>
  <w:num w:numId="14" w16cid:durableId="426732162">
    <w:abstractNumId w:val="27"/>
  </w:num>
  <w:num w:numId="15" w16cid:durableId="253056319">
    <w:abstractNumId w:val="12"/>
  </w:num>
  <w:num w:numId="16" w16cid:durableId="1758554464">
    <w:abstractNumId w:val="10"/>
  </w:num>
  <w:num w:numId="17" w16cid:durableId="1293294312">
    <w:abstractNumId w:val="16"/>
  </w:num>
  <w:num w:numId="18" w16cid:durableId="320935165">
    <w:abstractNumId w:val="9"/>
  </w:num>
  <w:num w:numId="19" w16cid:durableId="2087607669">
    <w:abstractNumId w:val="8"/>
  </w:num>
  <w:num w:numId="20" w16cid:durableId="946087043">
    <w:abstractNumId w:val="7"/>
  </w:num>
  <w:num w:numId="21" w16cid:durableId="814301182">
    <w:abstractNumId w:val="17"/>
  </w:num>
  <w:num w:numId="22" w16cid:durableId="2088920511">
    <w:abstractNumId w:val="2"/>
  </w:num>
  <w:num w:numId="23" w16cid:durableId="1035891508">
    <w:abstractNumId w:val="5"/>
  </w:num>
  <w:num w:numId="24" w16cid:durableId="1003626652">
    <w:abstractNumId w:val="25"/>
  </w:num>
  <w:num w:numId="25" w16cid:durableId="1298145670">
    <w:abstractNumId w:val="14"/>
  </w:num>
  <w:num w:numId="26" w16cid:durableId="414395915">
    <w:abstractNumId w:val="11"/>
  </w:num>
  <w:num w:numId="27" w16cid:durableId="1658918731">
    <w:abstractNumId w:val="3"/>
  </w:num>
  <w:num w:numId="28" w16cid:durableId="94330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2264"/>
    <w:rsid w:val="000268B0"/>
    <w:rsid w:val="000A70CB"/>
    <w:rsid w:val="000B0E70"/>
    <w:rsid w:val="000B77A7"/>
    <w:rsid w:val="000D34C5"/>
    <w:rsid w:val="000F66CC"/>
    <w:rsid w:val="00105F45"/>
    <w:rsid w:val="00116222"/>
    <w:rsid w:val="00127B46"/>
    <w:rsid w:val="00180C31"/>
    <w:rsid w:val="0019309D"/>
    <w:rsid w:val="001B4770"/>
    <w:rsid w:val="001F526C"/>
    <w:rsid w:val="00200261"/>
    <w:rsid w:val="00203BC2"/>
    <w:rsid w:val="00206EF5"/>
    <w:rsid w:val="00211832"/>
    <w:rsid w:val="00222D1B"/>
    <w:rsid w:val="00224A44"/>
    <w:rsid w:val="00235D71"/>
    <w:rsid w:val="0024335E"/>
    <w:rsid w:val="00254DCF"/>
    <w:rsid w:val="00255CD3"/>
    <w:rsid w:val="002567F9"/>
    <w:rsid w:val="0027655B"/>
    <w:rsid w:val="0027743E"/>
    <w:rsid w:val="002871E6"/>
    <w:rsid w:val="00294E92"/>
    <w:rsid w:val="002D7713"/>
    <w:rsid w:val="003132E7"/>
    <w:rsid w:val="00321156"/>
    <w:rsid w:val="00331D7E"/>
    <w:rsid w:val="00337EF1"/>
    <w:rsid w:val="00340D9B"/>
    <w:rsid w:val="00394A8A"/>
    <w:rsid w:val="003C0540"/>
    <w:rsid w:val="003D141A"/>
    <w:rsid w:val="00420AE9"/>
    <w:rsid w:val="00443410"/>
    <w:rsid w:val="0046666E"/>
    <w:rsid w:val="00480AFF"/>
    <w:rsid w:val="004851E2"/>
    <w:rsid w:val="00486235"/>
    <w:rsid w:val="00490797"/>
    <w:rsid w:val="004C1144"/>
    <w:rsid w:val="004C5ED6"/>
    <w:rsid w:val="004C74D6"/>
    <w:rsid w:val="004D78D8"/>
    <w:rsid w:val="004F4F5D"/>
    <w:rsid w:val="00502FF3"/>
    <w:rsid w:val="00506DD2"/>
    <w:rsid w:val="00510F0C"/>
    <w:rsid w:val="005152E1"/>
    <w:rsid w:val="00520B36"/>
    <w:rsid w:val="00571698"/>
    <w:rsid w:val="00576EDB"/>
    <w:rsid w:val="00590679"/>
    <w:rsid w:val="00594B6B"/>
    <w:rsid w:val="00596BBA"/>
    <w:rsid w:val="005C3A95"/>
    <w:rsid w:val="005C7428"/>
    <w:rsid w:val="005D5C81"/>
    <w:rsid w:val="00642741"/>
    <w:rsid w:val="0064274D"/>
    <w:rsid w:val="0065530D"/>
    <w:rsid w:val="0068690E"/>
    <w:rsid w:val="006A13FA"/>
    <w:rsid w:val="006B2A21"/>
    <w:rsid w:val="006C3E4E"/>
    <w:rsid w:val="006E563D"/>
    <w:rsid w:val="006F2DF8"/>
    <w:rsid w:val="006F444C"/>
    <w:rsid w:val="00722FDB"/>
    <w:rsid w:val="00723E8A"/>
    <w:rsid w:val="00732292"/>
    <w:rsid w:val="0077261C"/>
    <w:rsid w:val="007D15EF"/>
    <w:rsid w:val="007D2BDF"/>
    <w:rsid w:val="007E29F6"/>
    <w:rsid w:val="007E473F"/>
    <w:rsid w:val="0085688C"/>
    <w:rsid w:val="008635C4"/>
    <w:rsid w:val="008A06EF"/>
    <w:rsid w:val="008A30D5"/>
    <w:rsid w:val="008D03C0"/>
    <w:rsid w:val="008D1294"/>
    <w:rsid w:val="008E025D"/>
    <w:rsid w:val="008E3029"/>
    <w:rsid w:val="0090130E"/>
    <w:rsid w:val="009357C0"/>
    <w:rsid w:val="0098628F"/>
    <w:rsid w:val="00994F2B"/>
    <w:rsid w:val="00996894"/>
    <w:rsid w:val="009A6246"/>
    <w:rsid w:val="009B5574"/>
    <w:rsid w:val="009F2544"/>
    <w:rsid w:val="00A238DA"/>
    <w:rsid w:val="00A24175"/>
    <w:rsid w:val="00A44528"/>
    <w:rsid w:val="00A50A0F"/>
    <w:rsid w:val="00A76F7E"/>
    <w:rsid w:val="00A77157"/>
    <w:rsid w:val="00AC6288"/>
    <w:rsid w:val="00B105D1"/>
    <w:rsid w:val="00B52F4E"/>
    <w:rsid w:val="00B55E9F"/>
    <w:rsid w:val="00B933B0"/>
    <w:rsid w:val="00BA2943"/>
    <w:rsid w:val="00BD7755"/>
    <w:rsid w:val="00C12575"/>
    <w:rsid w:val="00C14FB3"/>
    <w:rsid w:val="00C27984"/>
    <w:rsid w:val="00C33684"/>
    <w:rsid w:val="00C44558"/>
    <w:rsid w:val="00C60565"/>
    <w:rsid w:val="00C62D17"/>
    <w:rsid w:val="00C808F4"/>
    <w:rsid w:val="00C97147"/>
    <w:rsid w:val="00CA15B1"/>
    <w:rsid w:val="00CA5316"/>
    <w:rsid w:val="00CB128D"/>
    <w:rsid w:val="00CC23C1"/>
    <w:rsid w:val="00CC24D5"/>
    <w:rsid w:val="00CC2835"/>
    <w:rsid w:val="00D21AA6"/>
    <w:rsid w:val="00D462F7"/>
    <w:rsid w:val="00D734A2"/>
    <w:rsid w:val="00D92C1A"/>
    <w:rsid w:val="00DA105B"/>
    <w:rsid w:val="00DA2B37"/>
    <w:rsid w:val="00E0538E"/>
    <w:rsid w:val="00E225A2"/>
    <w:rsid w:val="00E376E1"/>
    <w:rsid w:val="00E5409A"/>
    <w:rsid w:val="00E57A2B"/>
    <w:rsid w:val="00E65D41"/>
    <w:rsid w:val="00E95FFB"/>
    <w:rsid w:val="00E977FD"/>
    <w:rsid w:val="00EA6C04"/>
    <w:rsid w:val="00EB55B5"/>
    <w:rsid w:val="00F25499"/>
    <w:rsid w:val="00F37984"/>
    <w:rsid w:val="00F82466"/>
    <w:rsid w:val="00F86C35"/>
    <w:rsid w:val="00F906F8"/>
    <w:rsid w:val="00F97482"/>
    <w:rsid w:val="00FB569C"/>
    <w:rsid w:val="00FF39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E2AD34"/>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7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1E6"/>
    <w:rPr>
      <w:sz w:val="20"/>
      <w:szCs w:val="20"/>
    </w:rPr>
  </w:style>
  <w:style w:type="character" w:styleId="FootnoteReference">
    <w:name w:val="footnote reference"/>
    <w:basedOn w:val="DefaultParagraphFont"/>
    <w:uiPriority w:val="99"/>
    <w:semiHidden/>
    <w:unhideWhenUsed/>
    <w:rsid w:val="002871E6"/>
    <w:rPr>
      <w:vertAlign w:val="superscript"/>
    </w:rPr>
  </w:style>
  <w:style w:type="character" w:styleId="UnresolvedMention">
    <w:name w:val="Unresolved Mention"/>
    <w:basedOn w:val="DefaultParagraphFont"/>
    <w:uiPriority w:val="99"/>
    <w:semiHidden/>
    <w:unhideWhenUsed/>
    <w:rsid w:val="002871E6"/>
    <w:rPr>
      <w:color w:val="605E5C"/>
      <w:shd w:val="clear" w:color="auto" w:fill="E1DFDD"/>
    </w:rPr>
  </w:style>
  <w:style w:type="character" w:styleId="CommentReference">
    <w:name w:val="annotation reference"/>
    <w:basedOn w:val="DefaultParagraphFont"/>
    <w:uiPriority w:val="99"/>
    <w:semiHidden/>
    <w:unhideWhenUsed/>
    <w:rsid w:val="00C60565"/>
    <w:rPr>
      <w:sz w:val="16"/>
      <w:szCs w:val="16"/>
    </w:rPr>
  </w:style>
  <w:style w:type="paragraph" w:styleId="CommentText">
    <w:name w:val="annotation text"/>
    <w:basedOn w:val="Normal"/>
    <w:link w:val="CommentTextChar"/>
    <w:uiPriority w:val="99"/>
    <w:unhideWhenUsed/>
    <w:rsid w:val="00C60565"/>
    <w:pPr>
      <w:spacing w:line="240" w:lineRule="auto"/>
    </w:pPr>
    <w:rPr>
      <w:sz w:val="20"/>
      <w:szCs w:val="20"/>
    </w:rPr>
  </w:style>
  <w:style w:type="character" w:customStyle="1" w:styleId="CommentTextChar">
    <w:name w:val="Comment Text Char"/>
    <w:basedOn w:val="DefaultParagraphFont"/>
    <w:link w:val="CommentText"/>
    <w:uiPriority w:val="99"/>
    <w:rsid w:val="00C60565"/>
    <w:rPr>
      <w:sz w:val="20"/>
      <w:szCs w:val="20"/>
    </w:rPr>
  </w:style>
  <w:style w:type="paragraph" w:styleId="CommentSubject">
    <w:name w:val="annotation subject"/>
    <w:basedOn w:val="CommentText"/>
    <w:next w:val="CommentText"/>
    <w:link w:val="CommentSubjectChar"/>
    <w:uiPriority w:val="99"/>
    <w:semiHidden/>
    <w:unhideWhenUsed/>
    <w:rsid w:val="00C60565"/>
    <w:rPr>
      <w:b/>
      <w:bCs/>
    </w:rPr>
  </w:style>
  <w:style w:type="character" w:customStyle="1" w:styleId="CommentSubjectChar">
    <w:name w:val="Comment Subject Char"/>
    <w:basedOn w:val="CommentTextChar"/>
    <w:link w:val="CommentSubject"/>
    <w:uiPriority w:val="99"/>
    <w:semiHidden/>
    <w:rsid w:val="00C60565"/>
    <w:rPr>
      <w:b/>
      <w:bCs/>
      <w:sz w:val="20"/>
      <w:szCs w:val="20"/>
    </w:rPr>
  </w:style>
  <w:style w:type="paragraph" w:styleId="BodyText">
    <w:name w:val="Body Text"/>
    <w:basedOn w:val="Normal"/>
    <w:link w:val="BodyTextChar"/>
    <w:uiPriority w:val="1"/>
    <w:qFormat/>
    <w:rsid w:val="00E57A2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57A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ongress.gov/bill/117th-congress/house-bill/1460/text?r=142&amp;s=1"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psc.gov/Newsroom/News-Releases/2024/CPSC-Awards-More-than-3-Million-in-Grants-to-22-State-and-Local-Governments-to-Prevent-Carbon-Monoxide-Poison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7dbbc-a89a-4499-b4ce-0d8d138f1174" xsi:nil="true"/>
    <lcf76f155ced4ddcb4097134ff3c332f xmlns="81d5c1c9-3c8a-41e1-921b-abb7aea3d9a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0ACB156F469B4A93A5D430B492853F" ma:contentTypeVersion="12" ma:contentTypeDescription="Create a new document." ma:contentTypeScope="" ma:versionID="928e8d567d54e7cf7aec5a27d1a55b6b">
  <xsd:schema xmlns:xsd="http://www.w3.org/2001/XMLSchema" xmlns:xs="http://www.w3.org/2001/XMLSchema" xmlns:p="http://schemas.microsoft.com/office/2006/metadata/properties" xmlns:ns2="81d5c1c9-3c8a-41e1-921b-abb7aea3d9aa" xmlns:ns3="9287dbbc-a89a-4499-b4ce-0d8d138f1174" targetNamespace="http://schemas.microsoft.com/office/2006/metadata/properties" ma:root="true" ma:fieldsID="b3b891c47f0510e981a283f0d1ea6f8e" ns2:_="" ns3:_="">
    <xsd:import namespace="81d5c1c9-3c8a-41e1-921b-abb7aea3d9aa"/>
    <xsd:import namespace="9287dbbc-a89a-4499-b4ce-0d8d138f11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5c1c9-3c8a-41e1-921b-abb7aea3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7dbbc-a89a-4499-b4ce-0d8d138f11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4e7259-5053-4d93-8f7e-f2bb5895ab9d}" ma:internalName="TaxCatchAll" ma:showField="CatchAllData" ma:web="9287dbbc-a89a-4499-b4ce-0d8d138f1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6241E-1C00-4C6D-8FF8-EF5ABE721728}">
  <ds:schemaRefs>
    <ds:schemaRef ds:uri="http://schemas.openxmlformats.org/officeDocument/2006/bibliography"/>
  </ds:schemaRefs>
</ds:datastoreItem>
</file>

<file path=customXml/itemProps2.xml><?xml version="1.0" encoding="utf-8"?>
<ds:datastoreItem xmlns:ds="http://schemas.openxmlformats.org/officeDocument/2006/customXml" ds:itemID="{AE0307EB-032A-485F-83D2-895EB3F9DC77}">
  <ds:schemaRefs>
    <ds:schemaRef ds:uri="http://schemas.microsoft.com/sharepoint/v3/contenttype/forms"/>
  </ds:schemaRefs>
</ds:datastoreItem>
</file>

<file path=customXml/itemProps3.xml><?xml version="1.0" encoding="utf-8"?>
<ds:datastoreItem xmlns:ds="http://schemas.openxmlformats.org/officeDocument/2006/customXml" ds:itemID="{3AF8FC92-9835-4C4F-BE8E-4C1805952A6B}">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9287dbbc-a89a-4499-b4ce-0d8d138f1174"/>
    <ds:schemaRef ds:uri="81d5c1c9-3c8a-41e1-921b-abb7aea3d9aa"/>
    <ds:schemaRef ds:uri="http://www.w3.org/XML/1998/namespace"/>
  </ds:schemaRefs>
</ds:datastoreItem>
</file>

<file path=customXml/itemProps4.xml><?xml version="1.0" encoding="utf-8"?>
<ds:datastoreItem xmlns:ds="http://schemas.openxmlformats.org/officeDocument/2006/customXml" ds:itemID="{D806D527-67E0-4DCC-9B7A-16C5010C7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5c1c9-3c8a-41e1-921b-abb7aea3d9aa"/>
    <ds:schemaRef ds:uri="9287dbbc-a89a-4499-b4ce-0d8d138f1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Gillham, Cynthia</cp:lastModifiedBy>
  <cp:revision>20</cp:revision>
  <cp:lastPrinted>2016-09-20T19:55:00Z</cp:lastPrinted>
  <dcterms:created xsi:type="dcterms:W3CDTF">2025-01-21T12:38:00Z</dcterms:created>
  <dcterms:modified xsi:type="dcterms:W3CDTF">2025-06-16T14:11:00Z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0x010100510ACB156F469B4A93A5D430B492853F</vt:lpwstr>
  </property>
  <property fmtid="{D5CDD505-2E9C-101B-9397-08002B2CF9AE}" pid="3" name="MediaServiceImageTags">
    <vt:lpwstr/>
  </property>
</Properties>
</file>