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5364" w:rsidRPr="00460EDD" w:rsidP="00DA5364" w14:paraId="282B3382" w14:textId="77777777">
      <w:pPr>
        <w:suppressAutoHyphens/>
        <w:jc w:val="center"/>
      </w:pPr>
      <w:r w:rsidRPr="00460EDD">
        <w:t>SUPPORTING STATEMENT</w:t>
      </w:r>
    </w:p>
    <w:p w:rsidR="00DA5364" w:rsidRPr="008F57E7" w:rsidP="00DA5364" w14:paraId="1C63D58D" w14:textId="77777777">
      <w:pPr>
        <w:suppressAutoHyphens/>
        <w:jc w:val="center"/>
        <w:rPr>
          <w:caps/>
        </w:rPr>
      </w:pPr>
      <w:r w:rsidRPr="008F57E7">
        <w:rPr>
          <w:caps/>
        </w:rPr>
        <w:t>Consolidated Reports of Condition and Income</w:t>
      </w:r>
    </w:p>
    <w:p w:rsidR="00DA5364" w:rsidRPr="008F57E7" w:rsidP="00DA5364" w14:paraId="3D043519" w14:textId="77777777">
      <w:pPr>
        <w:suppressAutoHyphens/>
        <w:jc w:val="center"/>
      </w:pPr>
      <w:r w:rsidRPr="008F57E7">
        <w:t>FFIEC 031</w:t>
      </w:r>
      <w:r w:rsidRPr="008F57E7" w:rsidR="006245F5">
        <w:t>,</w:t>
      </w:r>
      <w:r w:rsidRPr="008F57E7">
        <w:t xml:space="preserve"> 041</w:t>
      </w:r>
      <w:r w:rsidRPr="008F57E7" w:rsidR="006245F5">
        <w:t>, and 051</w:t>
      </w:r>
    </w:p>
    <w:p w:rsidR="00DA5364" w:rsidRPr="008F57E7" w:rsidP="00DA5364" w14:paraId="6575E6BB" w14:textId="77777777">
      <w:pPr>
        <w:suppressAutoHyphens/>
        <w:jc w:val="center"/>
      </w:pPr>
      <w:r>
        <w:t xml:space="preserve"> </w:t>
      </w:r>
      <w:r w:rsidRPr="008F57E7">
        <w:t>OMB No. 3064-0052</w:t>
      </w:r>
    </w:p>
    <w:p w:rsidR="00DA5364" w:rsidRPr="00460EDD" w:rsidP="00DA5364" w14:paraId="77218E4A" w14:textId="77777777">
      <w:pPr>
        <w:suppressAutoHyphens/>
      </w:pPr>
    </w:p>
    <w:p w:rsidR="00DA5364" w:rsidRPr="00460EDD" w:rsidP="00DA5364" w14:paraId="5D5C9E79" w14:textId="77777777">
      <w:pPr>
        <w:suppressAutoHyphens/>
      </w:pPr>
    </w:p>
    <w:p w:rsidR="00EE6476" w:rsidRPr="00492080" w:rsidP="00EE6476" w14:paraId="45386FE2" w14:textId="77777777">
      <w:pPr>
        <w:suppressAutoHyphens/>
        <w:rPr>
          <w:b/>
          <w:u w:val="single"/>
        </w:rPr>
      </w:pPr>
      <w:r w:rsidRPr="00492080">
        <w:rPr>
          <w:b/>
          <w:u w:val="single"/>
        </w:rPr>
        <w:t>INTRODUCTION</w:t>
      </w:r>
    </w:p>
    <w:p w:rsidR="00F333B3" w:rsidP="00DB4567" w14:paraId="1382F72D" w14:textId="08CA30D3">
      <w:pPr>
        <w:spacing w:before="200"/>
      </w:pPr>
      <w:r>
        <w:t>T</w:t>
      </w:r>
      <w:r w:rsidRPr="008B7F76">
        <w:t xml:space="preserve">he </w:t>
      </w:r>
      <w:r>
        <w:t>Federal Deposit Insurance Corporation (FDIC) is requesting approval from the</w:t>
      </w:r>
      <w:r w:rsidRPr="008B7F76" w:rsidR="006A054C">
        <w:t xml:space="preserve"> Office </w:t>
      </w:r>
      <w:r w:rsidR="006A054C">
        <w:t xml:space="preserve">of Management and Budget’s (OMB) </w:t>
      </w:r>
      <w:r w:rsidRPr="00460EDD">
        <w:t xml:space="preserve">to extend for three years, with revision, </w:t>
      </w:r>
      <w:r>
        <w:t xml:space="preserve">the </w:t>
      </w:r>
      <w:r w:rsidRPr="00460EDD">
        <w:t>Federal Financial Institutions Examination Council (FFIEC) Consolidated Reports of Condition and Income (Call Reports) (FFIEC 031</w:t>
      </w:r>
      <w:r>
        <w:t>, FFIEC 041, and FFIEC 051; OMB </w:t>
      </w:r>
      <w:r w:rsidRPr="00460EDD">
        <w:t xml:space="preserve">No. 3064-0052).  </w:t>
      </w:r>
      <w:r w:rsidRPr="00460EDD" w:rsidR="00AD5D5A">
        <w:t xml:space="preserve">These reports are required </w:t>
      </w:r>
      <w:r w:rsidRPr="00460EDD" w:rsidR="00AD5D5A">
        <w:t>of</w:t>
      </w:r>
      <w:r w:rsidRPr="00460EDD" w:rsidR="00AD5D5A">
        <w:t xml:space="preserve"> </w:t>
      </w:r>
      <w:r w:rsidR="00AD5D5A">
        <w:t xml:space="preserve">the </w:t>
      </w:r>
      <w:r w:rsidRPr="00460EDD" w:rsidR="00AD5D5A">
        <w:t>in</w:t>
      </w:r>
      <w:r w:rsidR="00AD5D5A">
        <w:t xml:space="preserve">sured state </w:t>
      </w:r>
      <w:r w:rsidR="00AD5D5A">
        <w:t>nonmember</w:t>
      </w:r>
      <w:r w:rsidR="00AD5D5A">
        <w:t xml:space="preserve"> banks and </w:t>
      </w:r>
      <w:r w:rsidRPr="00460EDD" w:rsidR="00AD5D5A">
        <w:t>insured state savings associations</w:t>
      </w:r>
      <w:r w:rsidR="00AD5D5A">
        <w:t xml:space="preserve"> </w:t>
      </w:r>
      <w:r w:rsidRPr="00460EDD" w:rsidR="00AD5D5A">
        <w:t>and are filed on a quarterly basis.</w:t>
      </w:r>
      <w:r w:rsidR="00AD5D5A">
        <w:t xml:space="preserve">  </w:t>
      </w:r>
      <w:r>
        <w:t xml:space="preserve">The Federal Reserve Board (FRB or </w:t>
      </w:r>
      <w:r w:rsidRPr="008B7F76" w:rsidR="006A054C">
        <w:t xml:space="preserve">Board) and </w:t>
      </w:r>
      <w:r w:rsidR="006A054C">
        <w:t xml:space="preserve">the </w:t>
      </w:r>
      <w:r w:rsidRPr="008B7F76" w:rsidR="006A054C">
        <w:t xml:space="preserve">Office of the Comptroller of the Currency (OCC) </w:t>
      </w:r>
      <w:r w:rsidRPr="00460EDD" w:rsidR="00DC23C5">
        <w:t xml:space="preserve">are submitting these same Call Report changes to OMB for the institutions under their supervision.  </w:t>
      </w:r>
    </w:p>
    <w:p w:rsidR="00DB4567" w:rsidP="00C85250" w14:paraId="6AB08BF9" w14:textId="2E0E51D7">
      <w:pPr>
        <w:shd w:val="clear" w:color="auto" w:fill="FFFFFF"/>
        <w:spacing w:before="100" w:beforeAutospacing="1" w:after="100" w:afterAutospacing="1"/>
      </w:pPr>
      <w:r>
        <w:t xml:space="preserve">The proposed revisions </w:t>
      </w:r>
      <w:r w:rsidR="00151982">
        <w:t xml:space="preserve">are in </w:t>
      </w:r>
      <w:r>
        <w:t xml:space="preserve">response to the </w:t>
      </w:r>
      <w:r w:rsidRPr="00D16749">
        <w:t>Financial Accounting Standards Board's (FASB) Accounting Standards Update (ASU) 2022–02, “Financial Instruments—Credit Losses (Topic 326): Troubled Debt Restructurings and Vintage Disclosures” (ASU 2022–02</w:t>
      </w:r>
      <w:r>
        <w:t xml:space="preserve">). The agencies are now finalizing instructional </w:t>
      </w:r>
      <w:r w:rsidRPr="2B5B8C27">
        <w:t>revision</w:t>
      </w:r>
      <w:r>
        <w:t>s</w:t>
      </w:r>
      <w:r w:rsidRPr="2B5B8C27">
        <w:t xml:space="preserve"> related to the length of time that loan modifications to borrowers experiencing financial difficulty </w:t>
      </w:r>
      <w:r>
        <w:t>would be</w:t>
      </w:r>
      <w:r w:rsidRPr="2B5B8C27">
        <w:t xml:space="preserve"> reported in the Call Report </w:t>
      </w:r>
      <w:r>
        <w:t xml:space="preserve">and </w:t>
      </w:r>
      <w:r w:rsidRPr="00BA5C62" w:rsidR="00367EFD">
        <w:t>Report of Assets and Liabilities of U.S. Branches and Agencies of Foreign Banks (FFIEC 002)</w:t>
      </w:r>
      <w:r w:rsidR="00367EFD">
        <w:t xml:space="preserve"> </w:t>
      </w:r>
      <w:r w:rsidRPr="2B5B8C27">
        <w:t>forms</w:t>
      </w:r>
      <w:r>
        <w:t>.</w:t>
      </w:r>
    </w:p>
    <w:p w:rsidR="00DB4567" w:rsidP="00DB4567" w14:paraId="42A0AE0D" w14:textId="61A975EF">
      <w:pPr>
        <w:pStyle w:val="Preformatted"/>
        <w:spacing w:line="240" w:lineRule="auto"/>
        <w:rPr>
          <w:rFonts w:ascii="Times New Roman" w:hAnsi="Times New Roman"/>
          <w:snapToGrid/>
          <w:sz w:val="24"/>
          <w:szCs w:val="24"/>
        </w:rPr>
      </w:pPr>
      <w:r w:rsidRPr="00DB4567">
        <w:rPr>
          <w:rFonts w:ascii="Times New Roman" w:hAnsi="Times New Roman"/>
          <w:snapToGrid/>
          <w:sz w:val="24"/>
          <w:szCs w:val="24"/>
        </w:rPr>
        <w:t xml:space="preserve">These revisions will be effective as of </w:t>
      </w:r>
      <w:r w:rsidRPr="00DB4567">
        <w:rPr>
          <w:rFonts w:ascii="Times New Roman" w:hAnsi="Times New Roman"/>
          <w:snapToGrid/>
          <w:sz w:val="24"/>
          <w:szCs w:val="24"/>
        </w:rPr>
        <w:t>the December</w:t>
      </w:r>
      <w:r w:rsidRPr="00DB4567">
        <w:rPr>
          <w:rFonts w:ascii="Times New Roman" w:hAnsi="Times New Roman"/>
          <w:snapToGrid/>
          <w:sz w:val="24"/>
          <w:szCs w:val="24"/>
        </w:rPr>
        <w:t xml:space="preserve"> 31, 2025, report date.  However, the agencies do not object if an institution chooses to implement this revised reporting in advance of the effective date for the September 30, 2025, report date.</w:t>
      </w:r>
    </w:p>
    <w:p w:rsidR="00DB4567" w:rsidRPr="00DB4567" w:rsidP="00DB4567" w14:paraId="4CFEC214" w14:textId="77777777">
      <w:pPr>
        <w:pStyle w:val="Preformatted"/>
        <w:spacing w:line="240" w:lineRule="auto"/>
        <w:rPr>
          <w:rFonts w:ascii="Times New Roman" w:hAnsi="Times New Roman"/>
          <w:snapToGrid/>
          <w:sz w:val="24"/>
          <w:szCs w:val="24"/>
        </w:rPr>
      </w:pPr>
    </w:p>
    <w:p w:rsidR="00D451AB" w:rsidP="00410366" w14:paraId="7DB5FB7E" w14:textId="157A02B2">
      <w:pPr>
        <w:suppressAutoHyphens/>
      </w:pPr>
      <w:r w:rsidRPr="00F2712D">
        <w:t>For FDIC-supervised institutions, t</w:t>
      </w:r>
      <w:r w:rsidRPr="00F2712D" w:rsidR="00EE6476">
        <w:t xml:space="preserve">he </w:t>
      </w:r>
      <w:r w:rsidRPr="00F2712D" w:rsidR="00410366">
        <w:t xml:space="preserve">estimated </w:t>
      </w:r>
      <w:r w:rsidRPr="00F2712D" w:rsidR="00EE6476">
        <w:t xml:space="preserve">burden for </w:t>
      </w:r>
      <w:r w:rsidRPr="00F2712D" w:rsidR="00410366">
        <w:t xml:space="preserve">filing </w:t>
      </w:r>
      <w:r w:rsidRPr="00F2712D" w:rsidR="00EE6476">
        <w:t xml:space="preserve">the Call Reports is estimated to </w:t>
      </w:r>
      <w:r w:rsidRPr="00F2712D" w:rsidR="00410366">
        <w:t>decrease from</w:t>
      </w:r>
      <w:r w:rsidRPr="00091D8B" w:rsidR="00410366">
        <w:t xml:space="preserve"> </w:t>
      </w:r>
      <w:r w:rsidRPr="00DF5508" w:rsidR="00DF5508">
        <w:t>461,962</w:t>
      </w:r>
      <w:r w:rsidR="0059452E">
        <w:t xml:space="preserve"> </w:t>
      </w:r>
      <w:r w:rsidRPr="00A21E42" w:rsidR="00E5247A">
        <w:t>hours</w:t>
      </w:r>
      <w:r w:rsidRPr="00A21E42" w:rsidR="00410366">
        <w:t xml:space="preserve"> to </w:t>
      </w:r>
      <w:r w:rsidR="00FD4F02">
        <w:t>442,621</w:t>
      </w:r>
      <w:r w:rsidRPr="00F2712D" w:rsidR="00410366">
        <w:t>, which is due to the</w:t>
      </w:r>
      <w:r w:rsidR="00410366">
        <w:t xml:space="preserve"> reduction of institutions filing the Call Report. </w:t>
      </w:r>
      <w:r w:rsidR="004A386B">
        <w:t xml:space="preserve"> The number of filers decreased fro</w:t>
      </w:r>
      <w:r w:rsidRPr="00A21E42" w:rsidR="004A386B">
        <w:t xml:space="preserve">m </w:t>
      </w:r>
      <w:r w:rsidR="004A386B">
        <w:t>2,929</w:t>
      </w:r>
      <w:r w:rsidRPr="00A21E42" w:rsidR="004A386B">
        <w:t xml:space="preserve"> to </w:t>
      </w:r>
      <w:r w:rsidR="004A386B">
        <w:t>2,82</w:t>
      </w:r>
      <w:r w:rsidR="00FD4F02">
        <w:t>5</w:t>
      </w:r>
      <w:r w:rsidRPr="00A21E42" w:rsidR="004A386B">
        <w:t xml:space="preserve"> resulting in a reduction of </w:t>
      </w:r>
      <w:r w:rsidR="00282957">
        <w:t xml:space="preserve">19,341 </w:t>
      </w:r>
      <w:r w:rsidRPr="00A21E42" w:rsidR="004A386B">
        <w:t xml:space="preserve">burden hours.  </w:t>
      </w:r>
      <w:r w:rsidRPr="00334C19" w:rsidR="00375019">
        <w:t xml:space="preserve">The changes to the Call Report instructions proposed in this notice would </w:t>
      </w:r>
      <w:r w:rsidR="00375019">
        <w:t>not result in a</w:t>
      </w:r>
      <w:r w:rsidRPr="00334C19" w:rsidR="00375019">
        <w:t xml:space="preserve"> burden change for </w:t>
      </w:r>
      <w:r w:rsidR="00375019">
        <w:t>all three Call Reports</w:t>
      </w:r>
      <w:r w:rsidRPr="00334C19" w:rsidR="00375019">
        <w:t>.</w:t>
      </w:r>
    </w:p>
    <w:p w:rsidR="00C85250" w:rsidP="00410366" w14:paraId="48459CF2" w14:textId="4BFBDB7A">
      <w:pPr>
        <w:suppressAutoHyphens/>
      </w:pPr>
    </w:p>
    <w:p w:rsidR="00E5247A" w:rsidRPr="00D65C32" w:rsidP="00E5247A" w14:paraId="2A9F6C45" w14:textId="77777777">
      <w:pPr>
        <w:suppressAutoHyphens/>
        <w:rPr>
          <w:highlight w:val="yellow"/>
        </w:rPr>
      </w:pPr>
    </w:p>
    <w:p w:rsidR="00DA5364" w:rsidRPr="003B144B" w:rsidP="00DC23C5" w14:paraId="41095F7E" w14:textId="77777777">
      <w:pPr>
        <w:keepNext/>
        <w:suppressAutoHyphens/>
        <w:outlineLvl w:val="1"/>
        <w:rPr>
          <w:b/>
          <w:u w:val="single"/>
        </w:rPr>
      </w:pPr>
      <w:r w:rsidRPr="003B144B">
        <w:rPr>
          <w:b/>
          <w:u w:val="single"/>
        </w:rPr>
        <w:t>JUSTIFICATION</w:t>
      </w:r>
    </w:p>
    <w:p w:rsidR="00DA5364" w:rsidRPr="003B144B" w:rsidP="00DA5364" w14:paraId="1FA1491B" w14:textId="77777777">
      <w:pPr>
        <w:suppressAutoHyphens/>
      </w:pPr>
    </w:p>
    <w:p w:rsidR="00DA5364" w:rsidRPr="003B144B" w:rsidP="00DA5364" w14:paraId="097E4C9B" w14:textId="77777777">
      <w:pPr>
        <w:tabs>
          <w:tab w:val="left" w:pos="-1440"/>
          <w:tab w:val="left" w:pos="-720"/>
          <w:tab w:val="left" w:pos="0"/>
          <w:tab w:val="left" w:pos="432"/>
          <w:tab w:val="left" w:pos="720"/>
          <w:tab w:val="left" w:pos="1008"/>
          <w:tab w:val="left" w:pos="1440"/>
        </w:tabs>
        <w:suppressAutoHyphens/>
      </w:pPr>
      <w:r w:rsidRPr="003B144B">
        <w:t>1</w:t>
      </w:r>
      <w:r w:rsidRPr="003B144B">
        <w:t xml:space="preserve">.  </w:t>
      </w:r>
      <w:r w:rsidRPr="003B144B">
        <w:rPr>
          <w:u w:val="single"/>
        </w:rPr>
        <w:t>Circumstances</w:t>
      </w:r>
      <w:r w:rsidRPr="003B144B">
        <w:rPr>
          <w:u w:val="single"/>
        </w:rPr>
        <w:t xml:space="preserve"> and Need</w:t>
      </w:r>
    </w:p>
    <w:p w:rsidR="00DA5364" w:rsidRPr="003B144B" w:rsidP="00DA5364" w14:paraId="4D4D87D6" w14:textId="77777777">
      <w:pPr>
        <w:tabs>
          <w:tab w:val="left" w:pos="-1440"/>
          <w:tab w:val="left" w:pos="-720"/>
          <w:tab w:val="left" w:pos="0"/>
          <w:tab w:val="left" w:pos="432"/>
          <w:tab w:val="left" w:pos="720"/>
          <w:tab w:val="left" w:pos="1008"/>
          <w:tab w:val="left" w:pos="1440"/>
        </w:tabs>
        <w:suppressAutoHyphens/>
      </w:pPr>
    </w:p>
    <w:p w:rsidR="00DA5364" w:rsidRPr="003B144B" w:rsidP="00DA5364" w14:paraId="3260F90E" w14:textId="77777777">
      <w:pPr>
        <w:tabs>
          <w:tab w:val="left" w:pos="-1440"/>
          <w:tab w:val="left" w:pos="-720"/>
          <w:tab w:val="left" w:pos="0"/>
          <w:tab w:val="left" w:pos="432"/>
          <w:tab w:val="left" w:pos="720"/>
          <w:tab w:val="left" w:pos="1008"/>
          <w:tab w:val="left" w:pos="1440"/>
        </w:tabs>
        <w:suppressAutoHyphens/>
      </w:pPr>
      <w:r w:rsidRPr="003B144B">
        <w:t xml:space="preserve">Section 7 of the Federal Deposit Insurance Act requires all insured depository institutions to submit four “reports of condition” each year to their primary federal bank supervisory authority, i.e., </w:t>
      </w:r>
      <w:r w:rsidRPr="003B144B" w:rsidR="000074FE">
        <w:t>the</w:t>
      </w:r>
      <w:r w:rsidRPr="003B144B">
        <w:t xml:space="preserve"> FDIC, the OCC, or the </w:t>
      </w:r>
      <w:r w:rsidRPr="003B144B" w:rsidR="00FC77AC">
        <w:t>Board</w:t>
      </w:r>
      <w:r w:rsidRPr="003B144B">
        <w:t xml:space="preserve">, as appropriate.  FDIC-supervised institutions, i.e., insured state </w:t>
      </w:r>
      <w:r w:rsidRPr="003B144B">
        <w:t>nonmember</w:t>
      </w:r>
      <w:r w:rsidRPr="003B144B">
        <w:t xml:space="preserve"> banks and </w:t>
      </w:r>
      <w:r w:rsidRPr="003B144B" w:rsidR="002428BD">
        <w:t xml:space="preserve">insured </w:t>
      </w:r>
      <w:r w:rsidRPr="003B144B">
        <w:t>state savings associations</w:t>
      </w:r>
      <w:r w:rsidRPr="003B144B" w:rsidR="00703F70">
        <w:t>,</w:t>
      </w:r>
      <w:r w:rsidRPr="003B144B">
        <w:t xml:space="preserve"> submit these reports to the FDIC.  </w:t>
      </w:r>
      <w:r w:rsidRPr="003B144B">
        <w:t xml:space="preserve">The FDIC uses the quarterly Call Reports to monitor </w:t>
      </w:r>
      <w:r w:rsidRPr="003B144B">
        <w:t>the condition</w:t>
      </w:r>
      <w:r w:rsidRPr="003B144B" w:rsidR="00D324B2">
        <w:t>,</w:t>
      </w:r>
      <w:r w:rsidRPr="003B144B">
        <w:t xml:space="preserve"> performance</w:t>
      </w:r>
      <w:r w:rsidRPr="003B144B" w:rsidR="00D324B2">
        <w:t xml:space="preserve">, and risk </w:t>
      </w:r>
      <w:r w:rsidRPr="003B144B" w:rsidR="00C37947">
        <w:t>profile</w:t>
      </w:r>
      <w:r w:rsidRPr="003B144B">
        <w:t xml:space="preserve"> of individual </w:t>
      </w:r>
      <w:r w:rsidRPr="003B144B">
        <w:t>institutions</w:t>
      </w:r>
      <w:r w:rsidRPr="003B144B">
        <w:t xml:space="preserve"> and the </w:t>
      </w:r>
      <w:r w:rsidRPr="003B144B">
        <w:t>industry as a whole</w:t>
      </w:r>
      <w:r w:rsidRPr="003B144B">
        <w:t xml:space="preserve">.  In addition, Call Reports provide the FDIC with the most current statistical data available for evaluating </w:t>
      </w:r>
      <w:r w:rsidRPr="003B144B">
        <w:t>depository institution</w:t>
      </w:r>
      <w:r w:rsidRPr="003B144B">
        <w:t xml:space="preserve"> corporate applications such as mergers; identifying areas of </w:t>
      </w:r>
      <w:r w:rsidRPr="003B144B" w:rsidR="00BA75EF">
        <w:t xml:space="preserve">heightened </w:t>
      </w:r>
      <w:r w:rsidRPr="003B144B">
        <w:t xml:space="preserve">focus </w:t>
      </w:r>
      <w:r w:rsidRPr="003B144B" w:rsidR="00BA75EF">
        <w:t xml:space="preserve">and reduced emphasis </w:t>
      </w:r>
      <w:r w:rsidRPr="003B144B">
        <w:t xml:space="preserve">for both on-site and off-site examinations; calculating all </w:t>
      </w:r>
      <w:r w:rsidRPr="003B144B">
        <w:t>insured institutions</w:t>
      </w:r>
      <w:r w:rsidRPr="003B144B">
        <w:t>’ deposit insurance</w:t>
      </w:r>
      <w:r w:rsidRPr="003B144B">
        <w:t xml:space="preserve"> </w:t>
      </w:r>
      <w:r w:rsidRPr="003B144B">
        <w:t>assessments; and other public purposes.</w:t>
      </w:r>
    </w:p>
    <w:p w:rsidR="00DA5364" w:rsidRPr="00D65C32" w:rsidP="00DA5364" w14:paraId="4D3F5F88" w14:textId="77777777">
      <w:pPr>
        <w:tabs>
          <w:tab w:val="left" w:pos="-1440"/>
          <w:tab w:val="left" w:pos="-720"/>
          <w:tab w:val="left" w:pos="0"/>
          <w:tab w:val="left" w:pos="432"/>
          <w:tab w:val="left" w:pos="720"/>
          <w:tab w:val="left" w:pos="1008"/>
          <w:tab w:val="left" w:pos="1440"/>
        </w:tabs>
        <w:suppressAutoHyphens/>
        <w:rPr>
          <w:highlight w:val="yellow"/>
        </w:rPr>
      </w:pPr>
    </w:p>
    <w:p w:rsidR="00D324B2" w:rsidRPr="003B144B" w:rsidP="00DA5364" w14:paraId="1340CF42" w14:textId="77777777">
      <w:pPr>
        <w:tabs>
          <w:tab w:val="left" w:pos="-1440"/>
          <w:tab w:val="left" w:pos="-720"/>
          <w:tab w:val="left" w:pos="0"/>
          <w:tab w:val="left" w:pos="432"/>
          <w:tab w:val="left" w:pos="720"/>
          <w:tab w:val="left" w:pos="1008"/>
          <w:tab w:val="left" w:pos="1440"/>
        </w:tabs>
        <w:suppressAutoHyphens/>
      </w:pPr>
      <w:r w:rsidRPr="003B144B">
        <w:t>At present w</w:t>
      </w:r>
      <w:r w:rsidRPr="003B144B" w:rsidR="00DA5364">
        <w:t>ithin the Call Report information collection system</w:t>
      </w:r>
      <w:r w:rsidRPr="003B144B" w:rsidR="00E666BA">
        <w:t xml:space="preserve"> as </w:t>
      </w:r>
      <w:r w:rsidRPr="003B144B" w:rsidR="00BA75EF">
        <w:t>a whole</w:t>
      </w:r>
      <w:r w:rsidRPr="003B144B" w:rsidR="00DA5364">
        <w:t xml:space="preserve">, separate </w:t>
      </w:r>
      <w:r w:rsidRPr="003B144B" w:rsidR="00E666BA">
        <w:t xml:space="preserve">report </w:t>
      </w:r>
      <w:r w:rsidRPr="003B144B" w:rsidR="00DA5364">
        <w:t xml:space="preserve">forms apply to </w:t>
      </w:r>
      <w:r w:rsidRPr="003B144B" w:rsidR="00DB7D09">
        <w:t xml:space="preserve">(1) </w:t>
      </w:r>
      <w:r w:rsidRPr="003B144B" w:rsidR="00517B6F">
        <w:t>institutions</w:t>
      </w:r>
      <w:r w:rsidRPr="003B144B" w:rsidR="00DA5364">
        <w:t xml:space="preserve"> that have domestic and foreign offices </w:t>
      </w:r>
      <w:r w:rsidRPr="003B144B" w:rsidR="00DB7D09">
        <w:t xml:space="preserve">and institutions with domestic offices only and consolidated total assets of $100 billion or more </w:t>
      </w:r>
      <w:r w:rsidRPr="003B144B" w:rsidR="00DA5364">
        <w:t>(FFIEC 031</w:t>
      </w:r>
      <w:r w:rsidRPr="003B144B" w:rsidR="0054395E">
        <w:t xml:space="preserve">); </w:t>
      </w:r>
      <w:r w:rsidRPr="003B144B" w:rsidR="00DB7D09">
        <w:t xml:space="preserve">(2) </w:t>
      </w:r>
      <w:r w:rsidRPr="003B144B" w:rsidR="00517B6F">
        <w:t>institutions</w:t>
      </w:r>
      <w:r w:rsidRPr="003B144B" w:rsidR="00DB7D09">
        <w:t xml:space="preserve"> with domestic offices only and consolidated total assets less than $100 billion, except those institutions that file the FFIEC 051 </w:t>
      </w:r>
      <w:r w:rsidRPr="003B144B" w:rsidR="00DA5364">
        <w:t>(FFIEC 041</w:t>
      </w:r>
      <w:r w:rsidRPr="003B144B" w:rsidR="0054395E">
        <w:t xml:space="preserve">); </w:t>
      </w:r>
      <w:r w:rsidRPr="003B144B" w:rsidR="00E666BA">
        <w:t xml:space="preserve">and </w:t>
      </w:r>
      <w:r w:rsidRPr="003B144B" w:rsidR="00DB7D09">
        <w:t>(3) </w:t>
      </w:r>
      <w:r w:rsidRPr="003B144B" w:rsidR="00BA75EF">
        <w:t>institutions</w:t>
      </w:r>
      <w:r w:rsidRPr="003B144B" w:rsidR="00E666BA">
        <w:t xml:space="preserve"> with </w:t>
      </w:r>
      <w:r w:rsidRPr="003B144B" w:rsidR="00BA75EF">
        <w:t xml:space="preserve">domestic offices only and </w:t>
      </w:r>
      <w:r w:rsidRPr="003B144B" w:rsidR="00E666BA">
        <w:t>total assets less than $</w:t>
      </w:r>
      <w:r w:rsidRPr="003B144B" w:rsidR="00131EF3">
        <w:t>5</w:t>
      </w:r>
      <w:r w:rsidRPr="003B144B" w:rsidR="00E666BA">
        <w:t> billion</w:t>
      </w:r>
      <w:r w:rsidRPr="003B144B" w:rsidR="00BA75EF">
        <w:t xml:space="preserve"> not otherwise required to file the FFIEC 041</w:t>
      </w:r>
      <w:r w:rsidRPr="003B144B" w:rsidR="00E666BA">
        <w:t xml:space="preserve"> </w:t>
      </w:r>
      <w:r w:rsidRPr="003B144B" w:rsidR="00BA75EF">
        <w:t>(</w:t>
      </w:r>
      <w:r w:rsidRPr="003B144B" w:rsidR="00E666BA">
        <w:t>FFIEC 051</w:t>
      </w:r>
      <w:r w:rsidRPr="003B144B" w:rsidR="00DA5364">
        <w:t>).</w:t>
      </w:r>
      <w:r w:rsidRPr="003B144B" w:rsidR="00A735ED">
        <w:t xml:space="preserve">  </w:t>
      </w:r>
      <w:r w:rsidRPr="003B144B" w:rsidR="00DA549B">
        <w:t>A</w:t>
      </w:r>
      <w:r w:rsidRPr="003B144B" w:rsidR="00131EF3">
        <w:t>ll institutions that are advanced approaches institutions for regulatory capital purposes, regardless of size, would file the FFIEC 031 Call Report</w:t>
      </w:r>
      <w:r w:rsidRPr="003B144B" w:rsidR="00A735ED">
        <w:t xml:space="preserve">.  </w:t>
      </w:r>
    </w:p>
    <w:p w:rsidR="00C46827" w:rsidRPr="00D65C32" w:rsidP="00DA5364" w14:paraId="385BCB34" w14:textId="77777777">
      <w:pPr>
        <w:tabs>
          <w:tab w:val="left" w:pos="-1440"/>
          <w:tab w:val="left" w:pos="-720"/>
          <w:tab w:val="left" w:pos="0"/>
          <w:tab w:val="left" w:pos="432"/>
          <w:tab w:val="left" w:pos="720"/>
          <w:tab w:val="left" w:pos="1008"/>
          <w:tab w:val="left" w:pos="1440"/>
        </w:tabs>
        <w:suppressAutoHyphens/>
        <w:rPr>
          <w:highlight w:val="yellow"/>
        </w:rPr>
      </w:pPr>
    </w:p>
    <w:p w:rsidR="00DA5364" w:rsidRPr="00D65C32" w:rsidP="00DA5364" w14:paraId="348F5485" w14:textId="77777777">
      <w:pPr>
        <w:tabs>
          <w:tab w:val="left" w:pos="-1440"/>
          <w:tab w:val="left" w:pos="-720"/>
          <w:tab w:val="left" w:pos="0"/>
          <w:tab w:val="left" w:pos="432"/>
          <w:tab w:val="left" w:pos="720"/>
          <w:tab w:val="left" w:pos="1008"/>
          <w:tab w:val="left" w:pos="1440"/>
        </w:tabs>
        <w:suppressAutoHyphens/>
        <w:rPr>
          <w:highlight w:val="yellow"/>
        </w:rPr>
      </w:pPr>
      <w:r w:rsidRPr="003B144B">
        <w:rPr>
          <w:color w:val="000000"/>
        </w:rPr>
        <w:t xml:space="preserve">The amount of data required to be reported varies between the </w:t>
      </w:r>
      <w:r w:rsidRPr="003B144B" w:rsidR="0053599A">
        <w:rPr>
          <w:color w:val="000000"/>
        </w:rPr>
        <w:t>three</w:t>
      </w:r>
      <w:r w:rsidRPr="003B144B">
        <w:rPr>
          <w:color w:val="000000"/>
        </w:rPr>
        <w:t xml:space="preserve"> versions of the report form</w:t>
      </w:r>
      <w:r w:rsidRPr="003B144B" w:rsidR="00E771C1">
        <w:rPr>
          <w:color w:val="000000"/>
        </w:rPr>
        <w:t>s</w:t>
      </w:r>
      <w:r w:rsidRPr="003B144B">
        <w:rPr>
          <w:color w:val="000000"/>
        </w:rPr>
        <w:t xml:space="preserve">, with the </w:t>
      </w:r>
      <w:r w:rsidRPr="003B144B" w:rsidR="00DB7D09">
        <w:rPr>
          <w:color w:val="000000"/>
        </w:rPr>
        <w:t xml:space="preserve">FFIEC 031 </w:t>
      </w:r>
      <w:r w:rsidRPr="003B144B" w:rsidR="00DD2319">
        <w:rPr>
          <w:color w:val="000000"/>
        </w:rPr>
        <w:t xml:space="preserve">report form, which, in </w:t>
      </w:r>
      <w:r w:rsidRPr="003B144B" w:rsidR="00DB7D09">
        <w:rPr>
          <w:color w:val="000000"/>
        </w:rPr>
        <w:t xml:space="preserve">general, is filed by the largest </w:t>
      </w:r>
      <w:r w:rsidRPr="003B144B" w:rsidR="00517B6F">
        <w:rPr>
          <w:color w:val="000000"/>
        </w:rPr>
        <w:t>institutions</w:t>
      </w:r>
      <w:r w:rsidRPr="003B144B">
        <w:rPr>
          <w:color w:val="000000"/>
        </w:rPr>
        <w:t xml:space="preserve"> </w:t>
      </w:r>
      <w:r w:rsidRPr="003B144B" w:rsidR="00DB7D09">
        <w:rPr>
          <w:color w:val="000000"/>
        </w:rPr>
        <w:t xml:space="preserve">(i.e., institutions </w:t>
      </w:r>
      <w:r w:rsidRPr="003B144B">
        <w:rPr>
          <w:color w:val="000000"/>
        </w:rPr>
        <w:t xml:space="preserve">with domestic and foreign offices </w:t>
      </w:r>
      <w:r w:rsidRPr="003B144B" w:rsidR="00DB7D09">
        <w:t>and institutions with domestic offices only and consolidated total assets of $100 billion or more</w:t>
      </w:r>
      <w:r w:rsidRPr="003B144B">
        <w:rPr>
          <w:color w:val="000000"/>
        </w:rPr>
        <w:t xml:space="preserve">) </w:t>
      </w:r>
      <w:r w:rsidRPr="003B144B" w:rsidR="0053599A">
        <w:rPr>
          <w:color w:val="000000"/>
        </w:rPr>
        <w:t xml:space="preserve">having more data items than </w:t>
      </w:r>
      <w:r w:rsidRPr="003B144B" w:rsidR="00DB7D09">
        <w:rPr>
          <w:color w:val="000000"/>
        </w:rPr>
        <w:t>the FFIEC 041 and FFIEC 051</w:t>
      </w:r>
      <w:r w:rsidRPr="003B144B" w:rsidR="0053599A">
        <w:rPr>
          <w:color w:val="000000"/>
        </w:rPr>
        <w:t xml:space="preserve"> </w:t>
      </w:r>
      <w:r w:rsidRPr="003B144B">
        <w:rPr>
          <w:color w:val="000000"/>
        </w:rPr>
        <w:t xml:space="preserve">report forms </w:t>
      </w:r>
      <w:r w:rsidRPr="003B144B" w:rsidR="00DB7D09">
        <w:rPr>
          <w:color w:val="000000"/>
        </w:rPr>
        <w:t xml:space="preserve">that, in general, are filed by smaller </w:t>
      </w:r>
      <w:r w:rsidRPr="003B144B" w:rsidR="00517B6F">
        <w:rPr>
          <w:color w:val="000000"/>
        </w:rPr>
        <w:t>institutions</w:t>
      </w:r>
      <w:r w:rsidRPr="003B144B" w:rsidR="00DB7D09">
        <w:rPr>
          <w:color w:val="000000"/>
        </w:rPr>
        <w:t>, i.e., institutions with domestic offices only and consolidated total assets less than $100 billion.  Further</w:t>
      </w:r>
      <w:r w:rsidRPr="003B144B">
        <w:rPr>
          <w:color w:val="000000"/>
        </w:rPr>
        <w:t xml:space="preserve">more, </w:t>
      </w:r>
      <w:r w:rsidRPr="003B144B" w:rsidR="0053599A">
        <w:rPr>
          <w:color w:val="000000"/>
        </w:rPr>
        <w:t xml:space="preserve">within the FFIEC 041 report form, </w:t>
      </w:r>
      <w:r w:rsidRPr="003B144B">
        <w:rPr>
          <w:color w:val="000000"/>
        </w:rPr>
        <w:t xml:space="preserve">the amount of data required to be reported varies, primarily based on the size of </w:t>
      </w:r>
      <w:r w:rsidRPr="003B144B" w:rsidR="00D324B2">
        <w:rPr>
          <w:color w:val="000000"/>
        </w:rPr>
        <w:t>an</w:t>
      </w:r>
      <w:r w:rsidRPr="003B144B">
        <w:rPr>
          <w:color w:val="000000"/>
        </w:rPr>
        <w:t xml:space="preserve"> </w:t>
      </w:r>
      <w:r w:rsidRPr="003B144B" w:rsidR="00517B6F">
        <w:rPr>
          <w:color w:val="000000"/>
        </w:rPr>
        <w:t>institution</w:t>
      </w:r>
      <w:r w:rsidRPr="003B144B">
        <w:rPr>
          <w:color w:val="000000"/>
        </w:rPr>
        <w:t xml:space="preserve">, but also in some cases based on activity levels.  </w:t>
      </w:r>
      <w:r w:rsidRPr="003B144B" w:rsidR="0053599A">
        <w:rPr>
          <w:color w:val="000000"/>
        </w:rPr>
        <w:t xml:space="preserve">The FFIEC 051 report form is a </w:t>
      </w:r>
      <w:r w:rsidRPr="003B144B" w:rsidR="00BA75EF">
        <w:rPr>
          <w:color w:val="000000"/>
        </w:rPr>
        <w:t xml:space="preserve">significantly </w:t>
      </w:r>
      <w:r w:rsidRPr="003B144B" w:rsidR="0053599A">
        <w:rPr>
          <w:color w:val="000000"/>
        </w:rPr>
        <w:t>streamlined version of the FFIEC 041</w:t>
      </w:r>
      <w:r w:rsidRPr="003B144B" w:rsidR="008F6093">
        <w:rPr>
          <w:color w:val="000000"/>
        </w:rPr>
        <w:t xml:space="preserve"> that includes</w:t>
      </w:r>
      <w:r w:rsidRPr="003B144B" w:rsidR="00160A78">
        <w:rPr>
          <w:color w:val="000000"/>
        </w:rPr>
        <w:t xml:space="preserve"> numer</w:t>
      </w:r>
      <w:r w:rsidRPr="003B144B" w:rsidR="008F6093">
        <w:rPr>
          <w:color w:val="000000"/>
        </w:rPr>
        <w:t>ous</w:t>
      </w:r>
      <w:r w:rsidRPr="003B144B" w:rsidR="004D49FC">
        <w:rPr>
          <w:color w:val="000000"/>
        </w:rPr>
        <w:t xml:space="preserve"> data items that </w:t>
      </w:r>
      <w:r w:rsidRPr="003B144B" w:rsidR="0054395E">
        <w:rPr>
          <w:color w:val="000000"/>
        </w:rPr>
        <w:t>are</w:t>
      </w:r>
      <w:r w:rsidRPr="003B144B" w:rsidR="00492080">
        <w:rPr>
          <w:color w:val="000000"/>
        </w:rPr>
        <w:t xml:space="preserve"> </w:t>
      </w:r>
      <w:r w:rsidRPr="003B144B" w:rsidR="0054395E">
        <w:rPr>
          <w:color w:val="000000"/>
        </w:rPr>
        <w:t>collected</w:t>
      </w:r>
      <w:r w:rsidRPr="003B144B" w:rsidR="004D49FC">
        <w:rPr>
          <w:color w:val="000000"/>
        </w:rPr>
        <w:t xml:space="preserve"> less frequently </w:t>
      </w:r>
      <w:r w:rsidRPr="003B144B" w:rsidR="00D62776">
        <w:rPr>
          <w:color w:val="000000"/>
        </w:rPr>
        <w:t xml:space="preserve">than </w:t>
      </w:r>
      <w:r w:rsidRPr="003B144B" w:rsidR="004D49FC">
        <w:rPr>
          <w:color w:val="000000"/>
        </w:rPr>
        <w:t>quarterly</w:t>
      </w:r>
      <w:r w:rsidRPr="003B144B" w:rsidR="00160A78">
        <w:rPr>
          <w:color w:val="000000"/>
        </w:rPr>
        <w:t>,</w:t>
      </w:r>
      <w:r w:rsidRPr="003B144B" w:rsidR="0053599A">
        <w:rPr>
          <w:color w:val="000000"/>
        </w:rPr>
        <w:t xml:space="preserve"> but the amount of data required in the FFIEC 051 also varies depending on the size of an institution and activity </w:t>
      </w:r>
      <w:r w:rsidRPr="001B2545" w:rsidR="0053599A">
        <w:rPr>
          <w:color w:val="000000"/>
        </w:rPr>
        <w:t>levels.</w:t>
      </w:r>
      <w:r w:rsidRPr="001B2545" w:rsidR="00A735ED">
        <w:rPr>
          <w:color w:val="000000"/>
        </w:rPr>
        <w:t xml:space="preserve">  </w:t>
      </w:r>
      <w:r w:rsidRPr="001B2545" w:rsidR="004D49FC">
        <w:t xml:space="preserve">  </w:t>
      </w:r>
      <w:r w:rsidRPr="001B2545" w:rsidR="00A735ED">
        <w:rPr>
          <w:color w:val="000000"/>
        </w:rPr>
        <w:t xml:space="preserve"> </w:t>
      </w:r>
      <w:r w:rsidRPr="001B2545" w:rsidR="0053599A">
        <w:rPr>
          <w:color w:val="000000"/>
        </w:rPr>
        <w:t xml:space="preserve">  </w:t>
      </w:r>
    </w:p>
    <w:p w:rsidR="00DA5364" w:rsidRPr="00D65C32" w:rsidP="00DA5364" w14:paraId="79AA48DB" w14:textId="77777777">
      <w:pPr>
        <w:tabs>
          <w:tab w:val="left" w:pos="-1440"/>
          <w:tab w:val="left" w:pos="-720"/>
          <w:tab w:val="left" w:pos="0"/>
          <w:tab w:val="left" w:pos="432"/>
          <w:tab w:val="left" w:pos="720"/>
          <w:tab w:val="left" w:pos="1008"/>
          <w:tab w:val="left" w:pos="1440"/>
        </w:tabs>
        <w:suppressAutoHyphens/>
        <w:rPr>
          <w:highlight w:val="yellow"/>
        </w:rPr>
      </w:pPr>
    </w:p>
    <w:p w:rsidR="00E733D3" w:rsidP="00E9373E" w14:paraId="3C81AD3E" w14:textId="470E3E2D">
      <w:r w:rsidRPr="001B2545">
        <w:rPr>
          <w:u w:val="single"/>
        </w:rPr>
        <w:t xml:space="preserve">Proposed Revisions </w:t>
      </w:r>
      <w:r w:rsidRPr="001B2545">
        <w:rPr>
          <w:u w:val="single"/>
        </w:rPr>
        <w:t>that</w:t>
      </w:r>
      <w:r w:rsidRPr="001B2545">
        <w:rPr>
          <w:u w:val="single"/>
        </w:rPr>
        <w:t xml:space="preserve"> are the Subject of This </w:t>
      </w:r>
      <w:r w:rsidRPr="001B2545" w:rsidR="00D266FD">
        <w:rPr>
          <w:u w:val="single"/>
        </w:rPr>
        <w:t>Proposal</w:t>
      </w:r>
      <w:r w:rsidRPr="001B2545">
        <w:t xml:space="preserve"> </w:t>
      </w:r>
    </w:p>
    <w:p w:rsidR="008605A3" w:rsidP="008605A3" w14:paraId="37ADBB22" w14:textId="1692423C">
      <w:pPr>
        <w:shd w:val="clear" w:color="auto" w:fill="FFFFFF"/>
        <w:spacing w:before="100" w:beforeAutospacing="1" w:after="100" w:afterAutospacing="1"/>
      </w:pPr>
      <w:r>
        <w:t xml:space="preserve">The proposed revisions are in response to </w:t>
      </w:r>
      <w:r w:rsidRPr="00D16749">
        <w:t>ASU 2022–02</w:t>
      </w:r>
      <w:r>
        <w:t xml:space="preserve">. </w:t>
      </w:r>
      <w:r w:rsidR="0059452E">
        <w:t xml:space="preserve"> </w:t>
      </w:r>
      <w:r>
        <w:t xml:space="preserve">The agencies are now finalizing instructional </w:t>
      </w:r>
      <w:r w:rsidRPr="2B5B8C27">
        <w:t>revision</w:t>
      </w:r>
      <w:r>
        <w:t>s</w:t>
      </w:r>
      <w:r w:rsidRPr="2B5B8C27">
        <w:t xml:space="preserve"> related to the length of time that loan modifications to borrowers experiencing financial difficulty </w:t>
      </w:r>
      <w:r>
        <w:t>would be</w:t>
      </w:r>
      <w:r w:rsidRPr="2B5B8C27">
        <w:t xml:space="preserve"> reported in the Call Report</w:t>
      </w:r>
      <w:r>
        <w:t>.</w:t>
      </w:r>
    </w:p>
    <w:p w:rsidR="008605A3" w:rsidP="008605A3" w14:paraId="1EF0E038" w14:textId="77777777">
      <w:pPr>
        <w:pStyle w:val="Preformatted"/>
        <w:spacing w:line="240" w:lineRule="auto"/>
        <w:rPr>
          <w:rFonts w:ascii="Times New Roman" w:hAnsi="Times New Roman"/>
          <w:snapToGrid/>
          <w:sz w:val="24"/>
          <w:szCs w:val="24"/>
        </w:rPr>
      </w:pPr>
      <w:r w:rsidRPr="00DB4567">
        <w:rPr>
          <w:rFonts w:ascii="Times New Roman" w:hAnsi="Times New Roman"/>
          <w:snapToGrid/>
          <w:sz w:val="24"/>
          <w:szCs w:val="24"/>
        </w:rPr>
        <w:t xml:space="preserve">These revisions will be effective as of </w:t>
      </w:r>
      <w:r w:rsidRPr="00DB4567">
        <w:rPr>
          <w:rFonts w:ascii="Times New Roman" w:hAnsi="Times New Roman"/>
          <w:snapToGrid/>
          <w:sz w:val="24"/>
          <w:szCs w:val="24"/>
        </w:rPr>
        <w:t>the December</w:t>
      </w:r>
      <w:r w:rsidRPr="00DB4567">
        <w:rPr>
          <w:rFonts w:ascii="Times New Roman" w:hAnsi="Times New Roman"/>
          <w:snapToGrid/>
          <w:sz w:val="24"/>
          <w:szCs w:val="24"/>
        </w:rPr>
        <w:t xml:space="preserve"> 31, 2025, report date.  However, the agencies do not object if an institution chooses to implement this revised reporting in advance of the effective date for the September 30, 2025, report date.</w:t>
      </w:r>
    </w:p>
    <w:p w:rsidR="008605A3" w:rsidRPr="00E9373E" w:rsidP="00E9373E" w14:paraId="4C1AB565" w14:textId="77777777">
      <w:pPr>
        <w:rPr>
          <w:highlight w:val="yellow"/>
        </w:rPr>
      </w:pPr>
    </w:p>
    <w:p w:rsidR="00DA5364" w:rsidRPr="001B2545" w:rsidP="003B4260" w14:paraId="088391E3" w14:textId="77777777">
      <w:r w:rsidRPr="001B2545">
        <w:t>2</w:t>
      </w:r>
      <w:r w:rsidRPr="001B2545">
        <w:t xml:space="preserve">.  </w:t>
      </w:r>
      <w:r w:rsidRPr="001B2545">
        <w:rPr>
          <w:u w:val="single"/>
        </w:rPr>
        <w:t>Use</w:t>
      </w:r>
      <w:r w:rsidRPr="001B2545">
        <w:rPr>
          <w:u w:val="single"/>
        </w:rPr>
        <w:t xml:space="preserve"> of Information Collected</w:t>
      </w:r>
    </w:p>
    <w:p w:rsidR="00DA5364" w:rsidRPr="001B2545" w:rsidP="00DA5364" w14:paraId="3A806AC9" w14:textId="77777777">
      <w:pPr>
        <w:tabs>
          <w:tab w:val="left" w:pos="-1440"/>
          <w:tab w:val="left" w:pos="-720"/>
          <w:tab w:val="left" w:pos="0"/>
          <w:tab w:val="left" w:pos="432"/>
          <w:tab w:val="left" w:pos="720"/>
          <w:tab w:val="left" w:pos="1008"/>
          <w:tab w:val="left" w:pos="1440"/>
        </w:tabs>
        <w:suppressAutoHyphens/>
      </w:pPr>
    </w:p>
    <w:p w:rsidR="00DA5364" w:rsidRPr="001B2545" w:rsidP="00DA5364" w14:paraId="6B8D7922" w14:textId="77777777">
      <w:pPr>
        <w:tabs>
          <w:tab w:val="left" w:pos="-1440"/>
          <w:tab w:val="left" w:pos="-720"/>
          <w:tab w:val="left" w:pos="0"/>
          <w:tab w:val="left" w:pos="432"/>
          <w:tab w:val="left" w:pos="720"/>
          <w:tab w:val="left" w:pos="1008"/>
          <w:tab w:val="left" w:pos="1440"/>
        </w:tabs>
        <w:suppressAutoHyphens/>
      </w:pPr>
      <w:r w:rsidRPr="001B2545">
        <w:t>The information collected in the Call Reports is used by the FDIC and the other federal bank</w:t>
      </w:r>
      <w:r w:rsidRPr="001B2545" w:rsidR="006570AF">
        <w:t>ing</w:t>
      </w:r>
      <w:r w:rsidRPr="001B2545">
        <w:t xml:space="preserve"> agencies both on an individual </w:t>
      </w:r>
      <w:r w:rsidRPr="001B2545" w:rsidR="006570AF">
        <w:t>institution</w:t>
      </w:r>
      <w:r w:rsidRPr="001B2545">
        <w:t xml:space="preserve"> basis and in aggregate form for supervisory, surveillance, regulatory, research, statistical, insurance assessment, and informational purposes.  Call Report data for all </w:t>
      </w:r>
      <w:r w:rsidRPr="001B2545" w:rsidR="006570AF">
        <w:t>institutions</w:t>
      </w:r>
      <w:r w:rsidRPr="001B2545">
        <w:t xml:space="preserve">, not just the </w:t>
      </w:r>
      <w:r w:rsidRPr="001B2545" w:rsidR="006570AF">
        <w:t>institutions</w:t>
      </w:r>
      <w:r w:rsidRPr="001B2545">
        <w:t xml:space="preserve"> </w:t>
      </w:r>
      <w:r w:rsidRPr="001B2545">
        <w:t xml:space="preserve">under </w:t>
      </w:r>
      <w:r w:rsidRPr="001B2545" w:rsidR="006570AF">
        <w:t>an individual banking agency’s</w:t>
      </w:r>
      <w:r w:rsidRPr="001B2545">
        <w:t xml:space="preserve"> primary supervision, are available to each of the three banking agencies </w:t>
      </w:r>
      <w:r w:rsidRPr="001B2545">
        <w:t>in order for</w:t>
      </w:r>
      <w:r w:rsidRPr="001B2545">
        <w:t xml:space="preserve"> each agency to have access to information for the </w:t>
      </w:r>
      <w:r w:rsidRPr="001B2545" w:rsidR="006570AF">
        <w:t xml:space="preserve">insured depository institution </w:t>
      </w:r>
      <w:r w:rsidRPr="001B2545" w:rsidR="003B0251">
        <w:t xml:space="preserve">system </w:t>
      </w:r>
      <w:r w:rsidRPr="001B2545">
        <w:t>as a whole</w:t>
      </w:r>
      <w:r w:rsidRPr="001B2545">
        <w:t>.</w:t>
      </w:r>
    </w:p>
    <w:p w:rsidR="00DA5364" w:rsidRPr="00D65C32" w:rsidP="00DA5364" w14:paraId="2D6CFE92" w14:textId="77777777">
      <w:pPr>
        <w:tabs>
          <w:tab w:val="left" w:pos="-1440"/>
          <w:tab w:val="left" w:pos="-720"/>
          <w:tab w:val="left" w:pos="0"/>
          <w:tab w:val="left" w:pos="432"/>
          <w:tab w:val="left" w:pos="720"/>
          <w:tab w:val="left" w:pos="1008"/>
          <w:tab w:val="left" w:pos="1440"/>
        </w:tabs>
        <w:suppressAutoHyphens/>
        <w:rPr>
          <w:highlight w:val="yellow"/>
        </w:rPr>
      </w:pPr>
    </w:p>
    <w:p w:rsidR="00DA5364" w:rsidRPr="001B2545" w:rsidP="00DA5364" w14:paraId="496EEC33" w14:textId="77777777">
      <w:pPr>
        <w:tabs>
          <w:tab w:val="left" w:pos="-1440"/>
          <w:tab w:val="left" w:pos="-720"/>
          <w:tab w:val="left" w:pos="0"/>
          <w:tab w:val="left" w:pos="432"/>
          <w:tab w:val="left" w:pos="720"/>
          <w:tab w:val="left" w:pos="1008"/>
          <w:tab w:val="left" w:pos="1440"/>
        </w:tabs>
        <w:suppressAutoHyphens/>
      </w:pPr>
      <w:r w:rsidRPr="001B2545">
        <w:t xml:space="preserve">The FDIC uses the data collected in the Call Reports extensively for supervisory and surveillance purposes </w:t>
      </w:r>
      <w:r w:rsidRPr="001B2545">
        <w:t>in an effort to</w:t>
      </w:r>
      <w:r w:rsidRPr="001B2545">
        <w:t xml:space="preserve"> detect at an early date those </w:t>
      </w:r>
      <w:r w:rsidRPr="001B2545" w:rsidR="006570AF">
        <w:t>institutions</w:t>
      </w:r>
      <w:r w:rsidRPr="001B2545">
        <w:t xml:space="preserve"> that are experiencing deterioration or some other significant change in their condition</w:t>
      </w:r>
      <w:r w:rsidRPr="001B2545" w:rsidR="003A063D">
        <w:t>, performance, or risk profile</w:t>
      </w:r>
      <w:r w:rsidRPr="001B2545">
        <w:t xml:space="preserve">.  The underlying basis for this activity at the FDIC, as well as at the OCC and the </w:t>
      </w:r>
      <w:r w:rsidRPr="001B2545" w:rsidR="00FC77AC">
        <w:t>Board</w:t>
      </w:r>
      <w:r w:rsidRPr="001B2545">
        <w:t xml:space="preserve">, is the goal of maintaining a safe and sound banking system and reducing the possibility of the failure of individual institutions and the concomitant exposure of the </w:t>
      </w:r>
      <w:r w:rsidRPr="001B2545" w:rsidR="006570AF">
        <w:t>Deposit</w:t>
      </w:r>
      <w:r w:rsidRPr="001B2545">
        <w:t xml:space="preserve"> </w:t>
      </w:r>
      <w:r w:rsidRPr="001B2545" w:rsidR="006570AF">
        <w:t>I</w:t>
      </w:r>
      <w:r w:rsidRPr="001B2545">
        <w:t xml:space="preserve">nsurance </w:t>
      </w:r>
      <w:r w:rsidRPr="001B2545" w:rsidR="006570AF">
        <w:t>F</w:t>
      </w:r>
      <w:r w:rsidRPr="001B2545">
        <w:t>und</w:t>
      </w:r>
      <w:r w:rsidRPr="001B2545" w:rsidR="006570AF">
        <w:t xml:space="preserve"> administered by the FDIC</w:t>
      </w:r>
      <w:r w:rsidRPr="001B2545">
        <w:t xml:space="preserve">.  The FDIC has two major surveillance programs (EWS and UBPR) for its use in performing off-site evaluation of the condition of </w:t>
      </w:r>
      <w:r w:rsidRPr="001B2545" w:rsidR="006570AF">
        <w:t>banks and savings associations</w:t>
      </w:r>
      <w:r w:rsidRPr="001B2545">
        <w:t>.  In addition, various quarterly management and supervisory reports used for off</w:t>
      </w:r>
      <w:r w:rsidRPr="001B2545" w:rsidR="0080408C">
        <w:noBreakHyphen/>
      </w:r>
      <w:r w:rsidRPr="001B2545">
        <w:t xml:space="preserve">site monitoring capabilities are available in web-based systems like </w:t>
      </w:r>
      <w:r w:rsidRPr="001B2545">
        <w:t>ViSION</w:t>
      </w:r>
      <w:r w:rsidRPr="001B2545">
        <w:t xml:space="preserve"> (Virtual Supervisory Information on the Net) and distributed systems like ARIS (Automated Regional Information System).</w:t>
      </w:r>
    </w:p>
    <w:p w:rsidR="00484280" w:rsidRPr="001B2545" w:rsidP="00DA5364" w14:paraId="3F682D1B" w14:textId="77777777">
      <w:pPr>
        <w:tabs>
          <w:tab w:val="left" w:pos="-1440"/>
          <w:tab w:val="left" w:pos="-720"/>
          <w:tab w:val="left" w:pos="0"/>
          <w:tab w:val="left" w:pos="432"/>
          <w:tab w:val="left" w:pos="720"/>
          <w:tab w:val="left" w:pos="1008"/>
          <w:tab w:val="left" w:pos="1440"/>
        </w:tabs>
        <w:suppressAutoHyphens/>
      </w:pPr>
    </w:p>
    <w:p w:rsidR="00DA5364" w:rsidRPr="001B2545" w:rsidP="00DA5364" w14:paraId="1A9730B7" w14:textId="77777777">
      <w:pPr>
        <w:tabs>
          <w:tab w:val="left" w:pos="-1440"/>
          <w:tab w:val="left" w:pos="-720"/>
          <w:tab w:val="left" w:pos="0"/>
          <w:tab w:val="left" w:pos="432"/>
          <w:tab w:val="left" w:pos="720"/>
          <w:tab w:val="left" w:pos="1008"/>
          <w:tab w:val="left" w:pos="1440"/>
        </w:tabs>
        <w:suppressAutoHyphens/>
      </w:pPr>
      <w:r w:rsidRPr="001B2545">
        <w:rPr>
          <w:u w:val="single"/>
        </w:rPr>
        <w:t>Early Warning Systems (EWS)</w:t>
      </w:r>
      <w:r w:rsidRPr="001B2545">
        <w:t xml:space="preserve"> – The EWS is the FDIC’s umbrella of off-site surveillance models that are used to monitor the condition of insured institutions between regular </w:t>
      </w:r>
      <w:r w:rsidRPr="001B2545" w:rsidR="00471AEA">
        <w:t>on-site</w:t>
      </w:r>
      <w:r w:rsidRPr="001B2545">
        <w:t xml:space="preserve"> examinations.  Data collected from each </w:t>
      </w:r>
      <w:r w:rsidRPr="001B2545" w:rsidR="00471AEA">
        <w:t>institution</w:t>
      </w:r>
      <w:r w:rsidRPr="001B2545">
        <w:t>’s Call Report are subjected to a screening process in the EWS known as SCOR (Statistical CAMELS Off</w:t>
      </w:r>
      <w:r w:rsidRPr="001B2545" w:rsidR="006A4C03">
        <w:noBreakHyphen/>
      </w:r>
      <w:r w:rsidRPr="001B2545">
        <w:t xml:space="preserve">site Rating).  SCOR is an off-site model for insured institutions that compares an institution’s financial condition against examination ratings for comparable financial institutions.  SCOR derives a rating for each component of the Uniform Financial Institutions Rating System (UFIRS).  The composite and component ratings are then compared to those given at the last examination and a downgrade probability is derived for each institution.  Those institutions whose downgrade probability exceeds a specified level are subject to supervisory follow-up procedures including the prompt scheduling of examinations or visitations.  The FDIC also has developed two off-site rating tools called GMS (Growth Monitoring System) and REST (Real Estate Stress Test) </w:t>
      </w:r>
      <w:r w:rsidRPr="001B2545">
        <w:t>in order to</w:t>
      </w:r>
      <w:r w:rsidRPr="001B2545">
        <w:t xml:space="preserve"> effectively and efficiently </w:t>
      </w:r>
      <w:r w:rsidRPr="001B2545" w:rsidR="000C59F7">
        <w:t>monitor</w:t>
      </w:r>
      <w:r w:rsidRPr="001B2545">
        <w:t xml:space="preserve"> risk </w:t>
      </w:r>
      <w:r w:rsidRPr="001B2545" w:rsidR="008F6093">
        <w:t>at individual insured depository institutions</w:t>
      </w:r>
      <w:r w:rsidRPr="001B2545">
        <w:t xml:space="preserve">.  GMS identifies institutions that may pose greater risks due to rapid growth and/or funding issues.  GMS places institutions into percentile rankings based on GMS scores.  Those with the highest GMS scores are subject to formal off-site review requirements </w:t>
      </w:r>
      <w:r w:rsidRPr="001B2545">
        <w:t>similar to</w:t>
      </w:r>
      <w:r w:rsidRPr="001B2545">
        <w:t xml:space="preserve"> SCOR.  REST identifies institutions with high concentrations of commercial real estate and other exposures </w:t>
      </w:r>
      <w:r w:rsidRPr="001B2545">
        <w:t>similar to</w:t>
      </w:r>
      <w:r w:rsidRPr="001B2545">
        <w:t xml:space="preserve"> the exposure characteristics of problem </w:t>
      </w:r>
      <w:r w:rsidRPr="001B2545" w:rsidR="00471AEA">
        <w:t>institutions</w:t>
      </w:r>
      <w:r w:rsidRPr="001B2545">
        <w:t xml:space="preserve"> and institutions that failed during the New England crisis of the late 1980s and early 1990s. </w:t>
      </w:r>
    </w:p>
    <w:p w:rsidR="00DA5364" w:rsidRPr="00D65C32" w:rsidP="00DA5364" w14:paraId="35349008" w14:textId="77777777">
      <w:pPr>
        <w:tabs>
          <w:tab w:val="left" w:pos="-1440"/>
          <w:tab w:val="left" w:pos="-720"/>
          <w:tab w:val="left" w:pos="0"/>
          <w:tab w:val="left" w:pos="432"/>
          <w:tab w:val="left" w:pos="720"/>
          <w:tab w:val="left" w:pos="1008"/>
          <w:tab w:val="left" w:pos="1440"/>
        </w:tabs>
        <w:suppressAutoHyphens/>
        <w:rPr>
          <w:highlight w:val="yellow"/>
        </w:rPr>
      </w:pPr>
    </w:p>
    <w:p w:rsidR="00DA5364" w:rsidRPr="001B2545" w:rsidP="00DA5364" w14:paraId="3C865B8C" w14:textId="77777777">
      <w:pPr>
        <w:tabs>
          <w:tab w:val="left" w:pos="-1440"/>
          <w:tab w:val="left" w:pos="-720"/>
          <w:tab w:val="left" w:pos="0"/>
          <w:tab w:val="left" w:pos="432"/>
          <w:tab w:val="left" w:pos="720"/>
          <w:tab w:val="left" w:pos="1008"/>
          <w:tab w:val="left" w:pos="1440"/>
        </w:tabs>
        <w:suppressAutoHyphens/>
      </w:pPr>
      <w:r w:rsidRPr="001B2545">
        <w:t xml:space="preserve">Another part of the EWS includes the Uniform Bank Performance System (UBPS).  The UBPS is an on-line support subsystem that calculates for each </w:t>
      </w:r>
      <w:r w:rsidRPr="001B2545" w:rsidR="00471AEA">
        <w:t>institution</w:t>
      </w:r>
      <w:r w:rsidRPr="001B2545">
        <w:t xml:space="preserve"> approximately 300 financial ratios and accompanying peer group and ranking data and presents this information in a manner consistent with the Uniform Bank Performance Report, which is discussed below.  The UBPS covers the most recent and preceding 15 quarters. </w:t>
      </w:r>
    </w:p>
    <w:p w:rsidR="00DA5364" w:rsidRPr="001B2545" w:rsidP="00DA5364" w14:paraId="0972DF22" w14:textId="77777777">
      <w:pPr>
        <w:tabs>
          <w:tab w:val="left" w:pos="-1440"/>
          <w:tab w:val="left" w:pos="-720"/>
          <w:tab w:val="left" w:pos="0"/>
          <w:tab w:val="left" w:pos="432"/>
          <w:tab w:val="left" w:pos="720"/>
          <w:tab w:val="left" w:pos="1008"/>
          <w:tab w:val="left" w:pos="1440"/>
        </w:tabs>
        <w:suppressAutoHyphens/>
      </w:pPr>
    </w:p>
    <w:p w:rsidR="00B900EA" w:rsidRPr="001B2545" w:rsidP="00DA5364" w14:paraId="16E6C397" w14:textId="77777777">
      <w:pPr>
        <w:tabs>
          <w:tab w:val="left" w:pos="-1440"/>
          <w:tab w:val="left" w:pos="-720"/>
          <w:tab w:val="left" w:pos="0"/>
          <w:tab w:val="left" w:pos="432"/>
          <w:tab w:val="left" w:pos="720"/>
          <w:tab w:val="left" w:pos="1008"/>
          <w:tab w:val="left" w:pos="1440"/>
        </w:tabs>
        <w:suppressAutoHyphens/>
      </w:pPr>
      <w:r w:rsidRPr="001B2545">
        <w:rPr>
          <w:u w:val="single"/>
        </w:rPr>
        <w:t>Uniform Bank Performance Report (UBPR)</w:t>
      </w:r>
      <w:r w:rsidRPr="001B2545">
        <w:t xml:space="preserve"> – This report is prepared quarterly for each insured </w:t>
      </w:r>
      <w:r w:rsidRPr="001B2545" w:rsidR="00471AEA">
        <w:t>institution</w:t>
      </w:r>
      <w:r w:rsidRPr="001B2545">
        <w:t xml:space="preserve"> from Call Report data and presents information for five periods on a</w:t>
      </w:r>
      <w:r w:rsidRPr="001B2545" w:rsidR="00471AEA">
        <w:t>n institution</w:t>
      </w:r>
      <w:r w:rsidRPr="001B2545">
        <w:t xml:space="preserve">’s performance and financial statement composition in the form of ratios, percentages, and dollar amounts.  Each UBPR also includes corresponding average data for the </w:t>
      </w:r>
      <w:r w:rsidRPr="001B2545" w:rsidR="00471AEA">
        <w:t>institution</w:t>
      </w:r>
      <w:r w:rsidRPr="001B2545">
        <w:t xml:space="preserve">’s peer group and percentile rankings for most ratios.  </w:t>
      </w:r>
      <w:r w:rsidRPr="001B2545">
        <w:t xml:space="preserve">In 2017, data visualization features (e.g., graphs and charts) were added to the UBPR to assist users in gaining further value from UBPR ratio data. </w:t>
      </w:r>
    </w:p>
    <w:p w:rsidR="00B900EA" w:rsidRPr="00D65C32" w:rsidP="00DA5364" w14:paraId="2DEA4016" w14:textId="77777777">
      <w:pPr>
        <w:tabs>
          <w:tab w:val="left" w:pos="-1440"/>
          <w:tab w:val="left" w:pos="-720"/>
          <w:tab w:val="left" w:pos="0"/>
          <w:tab w:val="left" w:pos="432"/>
          <w:tab w:val="left" w:pos="720"/>
          <w:tab w:val="left" w:pos="1008"/>
          <w:tab w:val="left" w:pos="1440"/>
        </w:tabs>
        <w:suppressAutoHyphens/>
        <w:rPr>
          <w:highlight w:val="yellow"/>
        </w:rPr>
      </w:pPr>
    </w:p>
    <w:p w:rsidR="00DA5364" w:rsidRPr="001B2545" w:rsidP="00DA5364" w14:paraId="0EA969BB" w14:textId="77777777">
      <w:pPr>
        <w:tabs>
          <w:tab w:val="left" w:pos="-1440"/>
          <w:tab w:val="left" w:pos="-720"/>
          <w:tab w:val="left" w:pos="0"/>
          <w:tab w:val="left" w:pos="432"/>
          <w:tab w:val="left" w:pos="720"/>
          <w:tab w:val="left" w:pos="1008"/>
          <w:tab w:val="left" w:pos="1440"/>
        </w:tabs>
        <w:suppressAutoHyphens/>
      </w:pPr>
      <w:r w:rsidRPr="001B2545">
        <w:t>The comparative and trend data contained in the</w:t>
      </w:r>
      <w:r w:rsidRPr="001B2545" w:rsidR="00B900EA">
        <w:t xml:space="preserve"> UBPR</w:t>
      </w:r>
      <w:r w:rsidRPr="001B2545" w:rsidR="008B0A2C">
        <w:t xml:space="preserve"> complement the EWS</w:t>
      </w:r>
      <w:r w:rsidRPr="001B2545">
        <w:t xml:space="preserve"> data and are utilized </w:t>
      </w:r>
      <w:r w:rsidRPr="001B2545" w:rsidR="00B900EA">
        <w:t xml:space="preserve">by FDIC supervisory staff </w:t>
      </w:r>
      <w:r w:rsidRPr="001B2545">
        <w:t xml:space="preserve">for further off-premises review of individual </w:t>
      </w:r>
      <w:r w:rsidRPr="001B2545" w:rsidR="00471AEA">
        <w:t>institutions</w:t>
      </w:r>
      <w:r w:rsidRPr="001B2545">
        <w:t>, particularly at the field office level.  Based on an analysis of the information in the UBPR, an examiner can set the priorities for the examination of a</w:t>
      </w:r>
      <w:r w:rsidRPr="001B2545" w:rsidR="00471AEA">
        <w:t>n individual institution</w:t>
      </w:r>
      <w:r w:rsidRPr="001B2545">
        <w:t xml:space="preserve">.  </w:t>
      </w:r>
      <w:r w:rsidRPr="001B2545" w:rsidR="00471AEA">
        <w:t xml:space="preserve">An institution’s </w:t>
      </w:r>
      <w:r w:rsidRPr="001B2545">
        <w:t>condition</w:t>
      </w:r>
      <w:r w:rsidRPr="001B2545" w:rsidR="003A063D">
        <w:t>, performance, and risk profile</w:t>
      </w:r>
      <w:r w:rsidRPr="001B2545">
        <w:t xml:space="preserve"> can then be evaluated during the examination </w:t>
      </w:r>
      <w:r w:rsidRPr="001B2545">
        <w:t>in light of</w:t>
      </w:r>
      <w:r w:rsidRPr="001B2545">
        <w:t xml:space="preserve"> its recent trends and the examiner’s findings can be communicated to the </w:t>
      </w:r>
      <w:r w:rsidRPr="001B2545" w:rsidR="00471AEA">
        <w:t>institution</w:t>
      </w:r>
      <w:r w:rsidRPr="001B2545">
        <w:t xml:space="preserve">’s management.  Management can verify this trend data </w:t>
      </w:r>
      <w:r w:rsidRPr="001B2545" w:rsidR="00483AF4">
        <w:t>for itself in the i</w:t>
      </w:r>
      <w:r w:rsidRPr="001B2545" w:rsidR="00471AEA">
        <w:t>nstitution</w:t>
      </w:r>
      <w:r w:rsidRPr="001B2545">
        <w:t xml:space="preserve">’s </w:t>
      </w:r>
      <w:r w:rsidRPr="001B2545" w:rsidR="00483AF4">
        <w:t xml:space="preserve">own </w:t>
      </w:r>
      <w:r w:rsidRPr="001B2545">
        <w:t xml:space="preserve">UBPRs.  UBPRs are available on-line on the Internet for access by </w:t>
      </w:r>
      <w:r w:rsidRPr="001B2545" w:rsidR="00471AEA">
        <w:t>institutions</w:t>
      </w:r>
      <w:r w:rsidRPr="001B2545">
        <w:t xml:space="preserve">, regulators, and the public. </w:t>
      </w:r>
    </w:p>
    <w:p w:rsidR="00DA5364" w:rsidRPr="001B2545" w:rsidP="00DA5364" w14:paraId="1449E754" w14:textId="77777777">
      <w:pPr>
        <w:tabs>
          <w:tab w:val="left" w:pos="-1440"/>
          <w:tab w:val="left" w:pos="-720"/>
          <w:tab w:val="left" w:pos="0"/>
          <w:tab w:val="left" w:pos="432"/>
          <w:tab w:val="left" w:pos="720"/>
          <w:tab w:val="left" w:pos="1008"/>
          <w:tab w:val="left" w:pos="1440"/>
        </w:tabs>
        <w:suppressAutoHyphens/>
      </w:pPr>
    </w:p>
    <w:p w:rsidR="00DA5364" w:rsidRPr="001B2545" w:rsidP="00DA5364" w14:paraId="723C446D" w14:textId="77777777">
      <w:pPr>
        <w:tabs>
          <w:tab w:val="left" w:pos="-1440"/>
          <w:tab w:val="left" w:pos="-720"/>
          <w:tab w:val="left" w:pos="0"/>
          <w:tab w:val="left" w:pos="432"/>
          <w:tab w:val="left" w:pos="720"/>
          <w:tab w:val="left" w:pos="1008"/>
          <w:tab w:val="left" w:pos="1440"/>
        </w:tabs>
        <w:suppressAutoHyphens/>
        <w:rPr>
          <w:u w:val="single"/>
        </w:rPr>
      </w:pPr>
      <w:r w:rsidRPr="001B2545">
        <w:rPr>
          <w:u w:val="single"/>
        </w:rPr>
        <w:t>ViSION</w:t>
      </w:r>
      <w:r w:rsidRPr="001B2545">
        <w:rPr>
          <w:u w:val="single"/>
        </w:rPr>
        <w:t xml:space="preserve"> and ARIS</w:t>
      </w:r>
      <w:r w:rsidRPr="001B2545">
        <w:t xml:space="preserve"> – </w:t>
      </w:r>
      <w:r w:rsidRPr="001B2545">
        <w:t>ViSION</w:t>
      </w:r>
      <w:r w:rsidRPr="001B2545">
        <w:t xml:space="preserve"> is a secure web-enabled system that was developed as a comprehensive and easy-to-use reporting source for the FDIC’s supervisory and financial data.  The system provides FDIC users with multiple reports that display information for a specific institution or set of institutions.  </w:t>
      </w:r>
      <w:r w:rsidRPr="001B2545">
        <w:t>ViSION</w:t>
      </w:r>
      <w:r w:rsidRPr="001B2545">
        <w:t xml:space="preserve"> provides </w:t>
      </w:r>
      <w:r w:rsidRPr="001B2545">
        <w:t>users</w:t>
      </w:r>
      <w:r w:rsidRPr="001B2545">
        <w:t xml:space="preserve"> the ability to retrieve various supervisory and off-site reports.  These various management reports are used to assist in off-site monitoring efforts and are reviewed at the regional or field office level on a regular basis.  ARIS is a localized database and reporting system that includes many levels of drill-down management and supervisory reporting.   </w:t>
      </w:r>
    </w:p>
    <w:p w:rsidR="00DA5364" w:rsidRPr="001B2545" w:rsidP="00DA5364" w14:paraId="0D19EB4F" w14:textId="77777777">
      <w:pPr>
        <w:tabs>
          <w:tab w:val="left" w:pos="-1440"/>
          <w:tab w:val="left" w:pos="-720"/>
          <w:tab w:val="left" w:pos="0"/>
          <w:tab w:val="left" w:pos="432"/>
          <w:tab w:val="left" w:pos="720"/>
          <w:tab w:val="left" w:pos="1008"/>
          <w:tab w:val="left" w:pos="1440"/>
        </w:tabs>
        <w:suppressAutoHyphens/>
        <w:rPr>
          <w:u w:val="single"/>
        </w:rPr>
      </w:pPr>
    </w:p>
    <w:p w:rsidR="00DA5364" w:rsidRPr="001B2545" w:rsidP="00DA5364" w14:paraId="3664E3C8" w14:textId="77777777">
      <w:pPr>
        <w:tabs>
          <w:tab w:val="left" w:pos="-1440"/>
          <w:tab w:val="left" w:pos="-720"/>
          <w:tab w:val="left" w:pos="0"/>
          <w:tab w:val="left" w:pos="432"/>
          <w:tab w:val="left" w:pos="720"/>
          <w:tab w:val="left" w:pos="1008"/>
          <w:tab w:val="left" w:pos="1440"/>
        </w:tabs>
        <w:suppressAutoHyphens/>
      </w:pPr>
      <w:r w:rsidRPr="001B2545">
        <w:t>Through the use of</w:t>
      </w:r>
      <w:r w:rsidRPr="001B2545">
        <w:t xml:space="preserve"> monitoring and surveillance systems that rely on Call Report information, the FDIC </w:t>
      </w:r>
      <w:r w:rsidRPr="001B2545">
        <w:t>is able to</w:t>
      </w:r>
      <w:r w:rsidRPr="001B2545">
        <w:t xml:space="preserve"> more effectively and efficiently allocate resources to those institutions experiencing difficulties</w:t>
      </w:r>
      <w:r w:rsidRPr="001B2545" w:rsidR="003A063D">
        <w:t xml:space="preserve"> or exhibiting heightened risk profiles</w:t>
      </w:r>
      <w:r w:rsidRPr="001B2545">
        <w:t>.  Also, FDIC policy requires examiners to use information from Call Reports as well as data available from monitoring and surveillance systems to assist in their examination planning activities.  Through examination planning, examiners can determine the areas of a</w:t>
      </w:r>
      <w:r w:rsidRPr="001B2545" w:rsidR="00556F43">
        <w:t>n institution</w:t>
      </w:r>
      <w:r w:rsidRPr="001B2545">
        <w:t xml:space="preserve">’s operations and activities on which to focus </w:t>
      </w:r>
      <w:r w:rsidRPr="001B2545" w:rsidR="00321826">
        <w:t>heightened</w:t>
      </w:r>
      <w:r w:rsidRPr="001B2545">
        <w:t xml:space="preserve"> attention </w:t>
      </w:r>
      <w:r w:rsidRPr="001B2545" w:rsidR="00321826">
        <w:t xml:space="preserve">or </w:t>
      </w:r>
      <w:r w:rsidRPr="001B2545" w:rsidR="00A844A8">
        <w:t xml:space="preserve">place </w:t>
      </w:r>
      <w:r w:rsidRPr="001B2545" w:rsidR="00321826">
        <w:t xml:space="preserve">reduced emphasis </w:t>
      </w:r>
      <w:r w:rsidRPr="001B2545">
        <w:t xml:space="preserve">during their time on-site at the </w:t>
      </w:r>
      <w:r w:rsidRPr="001B2545" w:rsidR="00556F43">
        <w:t>institution</w:t>
      </w:r>
      <w:r w:rsidRPr="001B2545">
        <w:t>.  Moreover, effective examination planning can help to limit the amount of time examiners need to spend on-site during an examination.  These efforts would not be feasible if Call Report</w:t>
      </w:r>
      <w:r w:rsidRPr="001B2545" w:rsidR="00321826">
        <w:t xml:space="preserve"> data</w:t>
      </w:r>
      <w:r w:rsidRPr="001B2545">
        <w:t xml:space="preserve">, with their emphasis on the collection of </w:t>
      </w:r>
      <w:r w:rsidRPr="001B2545" w:rsidR="00321826">
        <w:t>information</w:t>
      </w:r>
      <w:r w:rsidRPr="001B2545">
        <w:t xml:space="preserve"> for supervisory and surveillance purposes, were not available on a quarterly</w:t>
      </w:r>
      <w:r w:rsidRPr="001B2545" w:rsidR="00321826">
        <w:t xml:space="preserve"> or, for certain </w:t>
      </w:r>
      <w:r w:rsidRPr="001B2545" w:rsidR="00321826">
        <w:t>data</w:t>
      </w:r>
      <w:r w:rsidRPr="001B2545" w:rsidR="00321826">
        <w:t xml:space="preserve">, </w:t>
      </w:r>
      <w:r w:rsidRPr="001B2545" w:rsidR="00321826">
        <w:t>a semiannual</w:t>
      </w:r>
      <w:r w:rsidRPr="001B2545" w:rsidR="00321826">
        <w:t xml:space="preserve"> or </w:t>
      </w:r>
      <w:r w:rsidRPr="001B2545" w:rsidR="00321826">
        <w:t>annual,</w:t>
      </w:r>
      <w:r w:rsidRPr="001B2545">
        <w:t xml:space="preserve"> basis.</w:t>
      </w:r>
    </w:p>
    <w:p w:rsidR="00DA5364" w:rsidRPr="001B2545" w:rsidP="00DA5364" w14:paraId="57833E54" w14:textId="77777777">
      <w:pPr>
        <w:tabs>
          <w:tab w:val="left" w:pos="-1440"/>
          <w:tab w:val="left" w:pos="-720"/>
          <w:tab w:val="left" w:pos="0"/>
          <w:tab w:val="left" w:pos="432"/>
          <w:tab w:val="left" w:pos="720"/>
          <w:tab w:val="left" w:pos="1008"/>
          <w:tab w:val="left" w:pos="1440"/>
        </w:tabs>
        <w:suppressAutoHyphens/>
      </w:pPr>
    </w:p>
    <w:p w:rsidR="00DA5364" w:rsidRPr="001B2545" w:rsidP="00DA5364" w14:paraId="60FB1214" w14:textId="77777777">
      <w:pPr>
        <w:tabs>
          <w:tab w:val="left" w:pos="-1440"/>
          <w:tab w:val="left" w:pos="-720"/>
          <w:tab w:val="left" w:pos="0"/>
          <w:tab w:val="left" w:pos="432"/>
          <w:tab w:val="left" w:pos="720"/>
          <w:tab w:val="left" w:pos="1008"/>
          <w:tab w:val="left" w:pos="1440"/>
        </w:tabs>
        <w:suppressAutoHyphens/>
      </w:pPr>
      <w:r w:rsidRPr="001B2545">
        <w:t xml:space="preserve">Call Reports also provide the most current statistical data available for evaluating statutory factors relating to the FDIC’s consideration of </w:t>
      </w:r>
      <w:r w:rsidRPr="001B2545" w:rsidR="00556F43">
        <w:t xml:space="preserve">institutions’ </w:t>
      </w:r>
      <w:r w:rsidRPr="001B2545">
        <w:t>applications for deposit insurance and for consent to merge, establish a branch, relocate an office, and retire capital</w:t>
      </w:r>
      <w:r w:rsidRPr="001B2545" w:rsidR="009D724D">
        <w:t xml:space="preserve">.  </w:t>
      </w:r>
      <w:r w:rsidRPr="001B2545" w:rsidR="002B0368">
        <w:t>T</w:t>
      </w:r>
      <w:r w:rsidRPr="001B2545">
        <w:t xml:space="preserve">he amount of each individual </w:t>
      </w:r>
      <w:r w:rsidRPr="001B2545" w:rsidR="002B0368">
        <w:t>institution</w:t>
      </w:r>
      <w:r w:rsidRPr="001B2545">
        <w:t xml:space="preserve">’s </w:t>
      </w:r>
      <w:r w:rsidRPr="001B2545" w:rsidR="002B0368">
        <w:t xml:space="preserve">deposit insurance </w:t>
      </w:r>
      <w:r w:rsidRPr="001B2545">
        <w:t xml:space="preserve">assessment is calculated directly by the FDIC from the data reported </w:t>
      </w:r>
      <w:r w:rsidRPr="001B2545" w:rsidR="00672D93">
        <w:t>i</w:t>
      </w:r>
      <w:r w:rsidRPr="001B2545">
        <w:t>n the institution’s Call Report.  In addition, under the FDIC’s risk</w:t>
      </w:r>
      <w:r w:rsidRPr="001B2545">
        <w:noBreakHyphen/>
        <w:t xml:space="preserve">related insurance assessment system, Call Report data are </w:t>
      </w:r>
      <w:r w:rsidRPr="001B2545">
        <w:t xml:space="preserve">used to help determine the risk </w:t>
      </w:r>
      <w:r w:rsidRPr="001B2545" w:rsidR="008354B0">
        <w:t>assignment for</w:t>
      </w:r>
      <w:r w:rsidRPr="001B2545">
        <w:t xml:space="preserve"> each insured institution.  The FDIC’s Division of Insurance and Research uses data collected in the Call Reports to prepare quarterly reports on the condition and performance of the banking system</w:t>
      </w:r>
      <w:r w:rsidRPr="001B2545" w:rsidR="0094763B">
        <w:t xml:space="preserve">, with separate reports also prepared for community institutions, </w:t>
      </w:r>
      <w:r w:rsidRPr="001B2545">
        <w:t>and for numerous economic studies and analyses of trends in banking that are incorporated into reports submitted to Congress and made available to the public.</w:t>
      </w:r>
    </w:p>
    <w:p w:rsidR="002A6B7A" w:rsidRPr="001B2545" w:rsidP="00DA5364" w14:paraId="1AF162E2" w14:textId="77777777">
      <w:pPr>
        <w:tabs>
          <w:tab w:val="left" w:pos="-1440"/>
          <w:tab w:val="left" w:pos="-720"/>
          <w:tab w:val="left" w:pos="0"/>
          <w:tab w:val="left" w:pos="432"/>
          <w:tab w:val="left" w:pos="720"/>
          <w:tab w:val="left" w:pos="1008"/>
          <w:tab w:val="left" w:pos="1440"/>
        </w:tabs>
        <w:suppressAutoHyphens/>
      </w:pPr>
    </w:p>
    <w:p w:rsidR="00B900EA" w:rsidRPr="00D65C32" w:rsidP="00EF33A8" w14:paraId="396B34DE" w14:textId="77777777">
      <w:pPr>
        <w:rPr>
          <w:highlight w:val="yellow"/>
        </w:rPr>
      </w:pPr>
    </w:p>
    <w:p w:rsidR="00DA5364" w:rsidRPr="001B2545" w:rsidP="00DA5364" w14:paraId="60D80E66" w14:textId="77777777">
      <w:pPr>
        <w:suppressAutoHyphens/>
      </w:pPr>
      <w:r w:rsidRPr="001B2545">
        <w:t>3</w:t>
      </w:r>
      <w:r w:rsidRPr="001B2545">
        <w:t xml:space="preserve">.  </w:t>
      </w:r>
      <w:r w:rsidRPr="001B2545">
        <w:rPr>
          <w:u w:val="single"/>
        </w:rPr>
        <w:t>Use</w:t>
      </w:r>
      <w:r w:rsidRPr="001B2545">
        <w:rPr>
          <w:u w:val="single"/>
        </w:rPr>
        <w:t xml:space="preserve"> of Technology to Reduce Burden</w:t>
      </w:r>
    </w:p>
    <w:p w:rsidR="00DA5364" w:rsidRPr="001B2545" w:rsidP="00DA5364" w14:paraId="5BAD5285" w14:textId="77777777">
      <w:pPr>
        <w:suppressAutoHyphens/>
      </w:pPr>
    </w:p>
    <w:p w:rsidR="00DA5364" w:rsidRPr="001B2545" w:rsidP="00DA5364" w14:paraId="23438EA3" w14:textId="77777777">
      <w:r w:rsidRPr="001B2545">
        <w:t>All banks</w:t>
      </w:r>
      <w:r w:rsidRPr="001B2545" w:rsidR="009C692B">
        <w:t xml:space="preserve"> and savings associations </w:t>
      </w:r>
      <w:r w:rsidRPr="001B2545">
        <w:t>are subject to an electro</w:t>
      </w:r>
      <w:r w:rsidRPr="001B2545" w:rsidR="0085548F">
        <w:t xml:space="preserve">nic filing requirement for </w:t>
      </w:r>
      <w:r w:rsidRPr="001B2545" w:rsidR="00832FFF">
        <w:t xml:space="preserve">the </w:t>
      </w:r>
      <w:r w:rsidRPr="001B2545" w:rsidR="0085548F">
        <w:t>Call </w:t>
      </w:r>
      <w:r w:rsidRPr="001B2545">
        <w:t>Report.  In this regard, the agencies have created a secure shared database for collecting, managing, validating</w:t>
      </w:r>
      <w:r w:rsidRPr="001B2545" w:rsidR="000C55BB">
        <w:t>,</w:t>
      </w:r>
      <w:r w:rsidRPr="001B2545">
        <w:t xml:space="preserve"> and distributing Call Report data.  This database system, the Central Data Repository (CDR), was implemented </w:t>
      </w:r>
      <w:r w:rsidRPr="001B2545" w:rsidR="009C692B">
        <w:t>in</w:t>
      </w:r>
      <w:r w:rsidRPr="001B2545">
        <w:t xml:space="preserve"> 2005 and is the only method available </w:t>
      </w:r>
      <w:r w:rsidRPr="001B2545" w:rsidR="005803EC">
        <w:t>to</w:t>
      </w:r>
      <w:r w:rsidRPr="001B2545">
        <w:t xml:space="preserve"> banks </w:t>
      </w:r>
      <w:r w:rsidRPr="001B2545" w:rsidR="009C692B">
        <w:t xml:space="preserve">and savings associations </w:t>
      </w:r>
      <w:r w:rsidRPr="001B2545" w:rsidR="005803EC">
        <w:t>f</w:t>
      </w:r>
      <w:r w:rsidRPr="001B2545">
        <w:t>o</w:t>
      </w:r>
      <w:r w:rsidRPr="001B2545" w:rsidR="005803EC">
        <w:t>r</w:t>
      </w:r>
      <w:r w:rsidRPr="001B2545">
        <w:t xml:space="preserve"> submit</w:t>
      </w:r>
      <w:r w:rsidRPr="001B2545" w:rsidR="005803EC">
        <w:t>ting</w:t>
      </w:r>
      <w:r w:rsidRPr="001B2545">
        <w:t xml:space="preserve"> their Call Report</w:t>
      </w:r>
      <w:r w:rsidRPr="001B2545" w:rsidR="000C55BB">
        <w:t xml:space="preserve"> data</w:t>
      </w:r>
      <w:r w:rsidRPr="001B2545">
        <w:t>.  Under the CD</w:t>
      </w:r>
      <w:r w:rsidRPr="001B2545" w:rsidR="00D30EB6">
        <w:t xml:space="preserve">R system, </w:t>
      </w:r>
      <w:r w:rsidRPr="001B2545" w:rsidR="009C692B">
        <w:t>institutions</w:t>
      </w:r>
      <w:r w:rsidRPr="001B2545" w:rsidR="00D30EB6">
        <w:t xml:space="preserve"> file their Call </w:t>
      </w:r>
      <w:r w:rsidRPr="001B2545">
        <w:t xml:space="preserve">Report data via the Internet using software that contains the FFIEC’s edits for validating Call Report data before submission. </w:t>
      </w:r>
    </w:p>
    <w:p w:rsidR="00455230" w:rsidRPr="001B2545" w14:paraId="71C3C047" w14:textId="77777777"/>
    <w:p w:rsidR="005E291A" w:rsidRPr="00D65C32" w14:paraId="7DB4656A" w14:textId="77777777">
      <w:pPr>
        <w:rPr>
          <w:highlight w:val="yellow"/>
        </w:rPr>
      </w:pPr>
    </w:p>
    <w:p w:rsidR="00DA5364" w:rsidRPr="001B2545" w:rsidP="00DA5364" w14:paraId="0CA39D01" w14:textId="77777777">
      <w:pPr>
        <w:suppressAutoHyphens/>
      </w:pPr>
      <w:r w:rsidRPr="001B2545">
        <w:t>4</w:t>
      </w:r>
      <w:r w:rsidRPr="001B2545">
        <w:t xml:space="preserve">.  </w:t>
      </w:r>
      <w:r w:rsidRPr="001B2545">
        <w:rPr>
          <w:u w:val="single"/>
        </w:rPr>
        <w:t>Efforts</w:t>
      </w:r>
      <w:r w:rsidRPr="001B2545">
        <w:rPr>
          <w:u w:val="single"/>
        </w:rPr>
        <w:t xml:space="preserve"> to Identify Duplication</w:t>
      </w:r>
    </w:p>
    <w:p w:rsidR="00DA5364" w:rsidRPr="001B2545" w:rsidP="00DA5364" w14:paraId="7BCAEED3" w14:textId="77777777">
      <w:pPr>
        <w:suppressAutoHyphens/>
      </w:pPr>
    </w:p>
    <w:p w:rsidR="00DA5364" w:rsidRPr="001B2545" w:rsidP="00DA5364" w14:paraId="33390F16" w14:textId="77777777">
      <w:pPr>
        <w:suppressAutoHyphens/>
      </w:pPr>
      <w:r w:rsidRPr="001B2545">
        <w:t xml:space="preserve">There is no other report or series of reports that collects from all </w:t>
      </w:r>
      <w:r w:rsidRPr="001B2545" w:rsidR="00F47099">
        <w:t xml:space="preserve">insured </w:t>
      </w:r>
      <w:r w:rsidRPr="001B2545">
        <w:t xml:space="preserve">banks </w:t>
      </w:r>
      <w:r w:rsidRPr="001B2545" w:rsidR="00F47099">
        <w:t xml:space="preserve">and savings associations </w:t>
      </w:r>
      <w:r w:rsidRPr="001B2545">
        <w:t>the</w:t>
      </w:r>
      <w:r w:rsidRPr="001B2545" w:rsidR="006529F2">
        <w:t xml:space="preserve"> regulatory capital and other </w:t>
      </w:r>
      <w:r w:rsidRPr="001B2545">
        <w:t xml:space="preserve">information gathered through the </w:t>
      </w:r>
      <w:r w:rsidRPr="001B2545" w:rsidR="00D30EB6">
        <w:t xml:space="preserve">Consolidated </w:t>
      </w:r>
      <w:r w:rsidRPr="001B2545">
        <w:t>Reports of Condi</w:t>
      </w:r>
      <w:r w:rsidRPr="001B2545" w:rsidR="006529F2">
        <w:t>tion and Income taken as a whole</w:t>
      </w:r>
      <w:r w:rsidRPr="001B2545">
        <w:t>.  There are other information collection systems which tend to duplicate certain parts of the Call Report; however, the information they provide would be of limited value as a replacement for the Call Report.</w:t>
      </w:r>
    </w:p>
    <w:p w:rsidR="00DA5364" w:rsidRPr="001B2545" w:rsidP="00DA5364" w14:paraId="2F049157" w14:textId="77777777">
      <w:pPr>
        <w:suppressAutoHyphens/>
      </w:pPr>
    </w:p>
    <w:p w:rsidR="005E09C3" w:rsidRPr="001B2545" w:rsidP="00DA5364" w14:paraId="6EAABB63" w14:textId="77777777">
      <w:pPr>
        <w:suppressAutoHyphens/>
      </w:pPr>
    </w:p>
    <w:p w:rsidR="00DA5364" w:rsidRPr="001B2545" w:rsidP="00DA5364" w14:paraId="26E3AADF" w14:textId="77777777">
      <w:pPr>
        <w:tabs>
          <w:tab w:val="left" w:pos="-1440"/>
          <w:tab w:val="left" w:pos="-720"/>
          <w:tab w:val="left" w:pos="0"/>
          <w:tab w:val="left" w:pos="432"/>
          <w:tab w:val="left" w:pos="720"/>
        </w:tabs>
        <w:suppressAutoHyphens/>
      </w:pPr>
      <w:r w:rsidRPr="001B2545">
        <w:t>5</w:t>
      </w:r>
      <w:r w:rsidRPr="001B2545">
        <w:t xml:space="preserve">.  </w:t>
      </w:r>
      <w:r w:rsidRPr="001B2545">
        <w:rPr>
          <w:u w:val="single"/>
        </w:rPr>
        <w:t>Minimizing</w:t>
      </w:r>
      <w:r w:rsidRPr="001B2545">
        <w:rPr>
          <w:u w:val="single"/>
        </w:rPr>
        <w:t xml:space="preserve"> the Burden on Small </w:t>
      </w:r>
      <w:r w:rsidRPr="001B2545" w:rsidR="00C66ECF">
        <w:rPr>
          <w:u w:val="single"/>
        </w:rPr>
        <w:t>Institutions</w:t>
      </w:r>
    </w:p>
    <w:p w:rsidR="00DA5364" w:rsidRPr="001B2545" w:rsidP="00DA5364" w14:paraId="071EE1B1" w14:textId="77777777">
      <w:pPr>
        <w:tabs>
          <w:tab w:val="left" w:pos="-1440"/>
          <w:tab w:val="left" w:pos="-720"/>
          <w:tab w:val="left" w:pos="0"/>
          <w:tab w:val="left" w:pos="432"/>
          <w:tab w:val="left" w:pos="720"/>
        </w:tabs>
        <w:suppressAutoHyphens/>
      </w:pPr>
    </w:p>
    <w:p w:rsidR="005E09C3" w:rsidRPr="00AA76F7" w:rsidP="00DA5364" w14:paraId="30F54949" w14:textId="44471367">
      <w:pPr>
        <w:autoSpaceDE w:val="0"/>
        <w:autoSpaceDN w:val="0"/>
        <w:adjustRightInd w:val="0"/>
      </w:pPr>
      <w:r w:rsidRPr="00AA76F7">
        <w:rPr>
          <w:color w:val="000000"/>
        </w:rPr>
        <w:t>T</w:t>
      </w:r>
      <w:r w:rsidRPr="00AA76F7" w:rsidR="00DA5364">
        <w:rPr>
          <w:color w:val="000000"/>
        </w:rPr>
        <w:t xml:space="preserve">he Call Report requires the least amount of data from </w:t>
      </w:r>
      <w:r w:rsidRPr="00AA76F7" w:rsidR="00ED02B4">
        <w:rPr>
          <w:color w:val="000000"/>
        </w:rPr>
        <w:t xml:space="preserve">small </w:t>
      </w:r>
      <w:r w:rsidRPr="00AA76F7" w:rsidR="00C66ECF">
        <w:rPr>
          <w:color w:val="000000"/>
        </w:rPr>
        <w:t>institutions</w:t>
      </w:r>
      <w:r w:rsidRPr="00AA76F7" w:rsidR="00DA5364">
        <w:rPr>
          <w:color w:val="000000"/>
        </w:rPr>
        <w:t xml:space="preserve"> with </w:t>
      </w:r>
      <w:r w:rsidRPr="00AA76F7">
        <w:rPr>
          <w:color w:val="000000"/>
        </w:rPr>
        <w:t xml:space="preserve">domestic offices only and </w:t>
      </w:r>
      <w:r w:rsidRPr="00AA76F7" w:rsidR="00DA5364">
        <w:rPr>
          <w:color w:val="000000"/>
        </w:rPr>
        <w:t>less than $</w:t>
      </w:r>
      <w:r w:rsidRPr="00AA76F7" w:rsidR="006C0AE3">
        <w:rPr>
          <w:color w:val="000000"/>
        </w:rPr>
        <w:t>5</w:t>
      </w:r>
      <w:r w:rsidRPr="00AA76F7" w:rsidR="00DA5364">
        <w:rPr>
          <w:color w:val="000000"/>
        </w:rPr>
        <w:t xml:space="preserve"> </w:t>
      </w:r>
      <w:r w:rsidRPr="00AA76F7">
        <w:rPr>
          <w:color w:val="000000"/>
        </w:rPr>
        <w:t>b</w:t>
      </w:r>
      <w:r w:rsidRPr="00AA76F7" w:rsidR="00DA5364">
        <w:rPr>
          <w:color w:val="000000"/>
        </w:rPr>
        <w:t>illion in total assets</w:t>
      </w:r>
      <w:r w:rsidRPr="00AA76F7" w:rsidR="00ED02B4">
        <w:rPr>
          <w:color w:val="000000"/>
        </w:rPr>
        <w:t xml:space="preserve"> that </w:t>
      </w:r>
      <w:r w:rsidR="00DD01B1">
        <w:rPr>
          <w:color w:val="000000"/>
        </w:rPr>
        <w:t xml:space="preserve">are eligible to </w:t>
      </w:r>
      <w:r w:rsidRPr="00AA76F7" w:rsidR="00ED02B4">
        <w:rPr>
          <w:color w:val="000000"/>
        </w:rPr>
        <w:t>file the streamlined FFIEC 051 report form</w:t>
      </w:r>
      <w:r w:rsidRPr="00AA76F7" w:rsidR="00DA5364">
        <w:t xml:space="preserve">.  </w:t>
      </w:r>
      <w:r w:rsidRPr="00AA76F7" w:rsidR="00261B6B">
        <w:t xml:space="preserve">Within </w:t>
      </w:r>
      <w:r w:rsidRPr="00AA76F7" w:rsidR="00261B6B">
        <w:t>the FFIEC</w:t>
      </w:r>
      <w:r w:rsidRPr="00AA76F7" w:rsidR="00261B6B">
        <w:t xml:space="preserve"> 051, </w:t>
      </w:r>
      <w:r w:rsidRPr="00AA76F7" w:rsidR="006225D9">
        <w:t xml:space="preserve">for example, </w:t>
      </w:r>
      <w:r w:rsidRPr="00AA76F7" w:rsidR="00261B6B">
        <w:t xml:space="preserve">certain institutions with less than $300 million in total assets have fewer </w:t>
      </w:r>
      <w:r w:rsidRPr="00AA76F7" w:rsidR="00A40F68">
        <w:t>data item</w:t>
      </w:r>
      <w:r w:rsidRPr="00AA76F7" w:rsidR="00261B6B">
        <w:t xml:space="preserve">s applicable to them than do institutions with $300 million </w:t>
      </w:r>
      <w:r w:rsidRPr="00AA76F7" w:rsidR="006C0AE3">
        <w:t>or more</w:t>
      </w:r>
      <w:r w:rsidRPr="00AA76F7" w:rsidR="00261B6B">
        <w:t xml:space="preserve"> in </w:t>
      </w:r>
      <w:r w:rsidRPr="00AA76F7" w:rsidR="006C0AE3">
        <w:t xml:space="preserve">total </w:t>
      </w:r>
      <w:r w:rsidRPr="00AA76F7" w:rsidR="00261B6B">
        <w:t xml:space="preserve">assets.  </w:t>
      </w:r>
      <w:r w:rsidRPr="00AA76F7" w:rsidR="006225D9">
        <w:t xml:space="preserve">Exemptions from reporting certain Call Report data within the FFIEC 051 report form also apply to institutions with less than $100 million and $1 billion in total assets.  </w:t>
      </w:r>
      <w:r w:rsidRPr="00AA76F7" w:rsidR="00C069AA">
        <w:t>In addition, the supplemental in</w:t>
      </w:r>
      <w:r w:rsidRPr="00AA76F7" w:rsidR="008D0856">
        <w:t>formation schedule in the FFIEC </w:t>
      </w:r>
      <w:r w:rsidRPr="00AA76F7" w:rsidR="00C069AA">
        <w:t>051</w:t>
      </w:r>
      <w:r w:rsidRPr="00AA76F7" w:rsidR="00234EF2">
        <w:t>, which replaced five entire schedules and part</w:t>
      </w:r>
      <w:r w:rsidRPr="00AA76F7" w:rsidR="00BA5CB6">
        <w:t>s</w:t>
      </w:r>
      <w:r w:rsidRPr="00AA76F7" w:rsidR="00234EF2">
        <w:t xml:space="preserve"> of </w:t>
      </w:r>
      <w:r w:rsidRPr="00AA76F7" w:rsidR="00BA5CB6">
        <w:t>certain other schedules that had been in the FFIEC 041,</w:t>
      </w:r>
      <w:r w:rsidRPr="00AA76F7" w:rsidR="00C069AA">
        <w:t xml:space="preserve"> includes </w:t>
      </w:r>
      <w:r w:rsidR="005111CE">
        <w:t>eight</w:t>
      </w:r>
      <w:r w:rsidRPr="00AA76F7" w:rsidR="005111CE">
        <w:t xml:space="preserve"> </w:t>
      </w:r>
      <w:r w:rsidRPr="00AA76F7" w:rsidR="00C069AA">
        <w:t>indicator questions with “yes”</w:t>
      </w:r>
      <w:r w:rsidRPr="00AA76F7" w:rsidR="00C069AA">
        <w:t>/</w:t>
      </w:r>
      <w:r w:rsidR="00A3666B">
        <w:t>“</w:t>
      </w:r>
      <w:r w:rsidRPr="00AA76F7" w:rsidR="00C069AA">
        <w:t>no” responses that ask about an institution’s involvement in certain complex or specialized activities.  Only if the response to a particular indicator question is a “yes” is an institution required to complete</w:t>
      </w:r>
      <w:r w:rsidRPr="00AA76F7" w:rsidR="00AB36F2">
        <w:t>,</w:t>
      </w:r>
      <w:r w:rsidRPr="00AA76F7" w:rsidR="00C069AA">
        <w:t xml:space="preserve"> </w:t>
      </w:r>
      <w:r w:rsidRPr="00AA76F7" w:rsidR="00AB36F2">
        <w:t>o</w:t>
      </w:r>
      <w:r w:rsidRPr="00AA76F7" w:rsidR="00BA5CB6">
        <w:t>n average</w:t>
      </w:r>
      <w:r w:rsidRPr="00AA76F7" w:rsidR="00AB36F2">
        <w:t>,</w:t>
      </w:r>
      <w:r w:rsidRPr="00AA76F7" w:rsidR="00BA5CB6">
        <w:t xml:space="preserve"> three</w:t>
      </w:r>
      <w:r w:rsidRPr="00AA76F7" w:rsidR="00234EF2">
        <w:t xml:space="preserve"> </w:t>
      </w:r>
      <w:r w:rsidR="00C23D6A">
        <w:t>additional sub-</w:t>
      </w:r>
      <w:r w:rsidRPr="00AA76F7" w:rsidR="00234EF2">
        <w:t xml:space="preserve">indicator items that provide </w:t>
      </w:r>
      <w:r w:rsidRPr="00AA76F7" w:rsidR="00BA5CB6">
        <w:t xml:space="preserve">data on the extent of the institution’s </w:t>
      </w:r>
      <w:r w:rsidRPr="00AA76F7" w:rsidR="00234EF2">
        <w:t xml:space="preserve">involvement </w:t>
      </w:r>
      <w:r w:rsidRPr="00AA76F7" w:rsidR="00BA5CB6">
        <w:t>in that activity.</w:t>
      </w:r>
      <w:r w:rsidRPr="00AA76F7" w:rsidR="00C069AA">
        <w:t xml:space="preserve"> </w:t>
      </w:r>
      <w:r w:rsidRPr="00AA76F7" w:rsidR="00BA5CB6">
        <w:t xml:space="preserve"> </w:t>
      </w:r>
      <w:r w:rsidRPr="00AA76F7">
        <w:t xml:space="preserve">  </w:t>
      </w:r>
    </w:p>
    <w:p w:rsidR="005E09C3" w:rsidRPr="00AA76F7" w:rsidP="00DA5364" w14:paraId="4D0955A7" w14:textId="77777777">
      <w:pPr>
        <w:autoSpaceDE w:val="0"/>
        <w:autoSpaceDN w:val="0"/>
        <w:adjustRightInd w:val="0"/>
      </w:pPr>
    </w:p>
    <w:p w:rsidR="004A0A0C" w:rsidRPr="00AA76F7" w:rsidP="00DA5364" w14:paraId="7A27C33A" w14:textId="2816D90C">
      <w:pPr>
        <w:autoSpaceDE w:val="0"/>
        <w:autoSpaceDN w:val="0"/>
        <w:adjustRightInd w:val="0"/>
      </w:pPr>
      <w:r w:rsidRPr="00AA76F7">
        <w:t xml:space="preserve">The next least amount of data is collected from </w:t>
      </w:r>
      <w:r w:rsidRPr="00AA76F7" w:rsidR="00ED02B4">
        <w:t xml:space="preserve">other </w:t>
      </w:r>
      <w:r w:rsidRPr="00AA76F7" w:rsidR="00C66ECF">
        <w:t>institutions</w:t>
      </w:r>
      <w:r w:rsidRPr="00AA76F7">
        <w:t xml:space="preserve"> with </w:t>
      </w:r>
      <w:r w:rsidRPr="00AA76F7" w:rsidR="00ED02B4">
        <w:t>domestic offices only that file the FFIEC 0</w:t>
      </w:r>
      <w:r w:rsidRPr="00AA76F7" w:rsidR="003843E2">
        <w:t>4</w:t>
      </w:r>
      <w:r w:rsidRPr="00AA76F7" w:rsidR="00ED02B4">
        <w:t xml:space="preserve">1 </w:t>
      </w:r>
      <w:r w:rsidRPr="00AA76F7" w:rsidR="003843E2">
        <w:t>r</w:t>
      </w:r>
      <w:r w:rsidRPr="00AA76F7" w:rsidR="00ED02B4">
        <w:t xml:space="preserve">eport </w:t>
      </w:r>
      <w:r w:rsidRPr="00AA76F7" w:rsidR="003843E2">
        <w:t>for</w:t>
      </w:r>
      <w:r w:rsidRPr="00AA76F7" w:rsidR="00261B6B">
        <w:t>m</w:t>
      </w:r>
      <w:r w:rsidRPr="00AA76F7" w:rsidR="003843E2">
        <w:t xml:space="preserve"> </w:t>
      </w:r>
      <w:r w:rsidRPr="00AA76F7" w:rsidR="00146A71">
        <w:t xml:space="preserve">(even if they are eligible to file the FFIEC 051) </w:t>
      </w:r>
      <w:r w:rsidRPr="00AA76F7" w:rsidR="003843E2">
        <w:t>and</w:t>
      </w:r>
      <w:r w:rsidRPr="00AA76F7" w:rsidR="00146A71">
        <w:t xml:space="preserve"> have </w:t>
      </w:r>
      <w:r w:rsidRPr="00AA76F7" w:rsidR="003843E2">
        <w:t xml:space="preserve">less than </w:t>
      </w:r>
      <w:r w:rsidRPr="00AA76F7">
        <w:t>$</w:t>
      </w:r>
      <w:r w:rsidR="00D24E0A">
        <w:t>1</w:t>
      </w:r>
      <w:r w:rsidRPr="00AA76F7" w:rsidR="00D24E0A">
        <w:t xml:space="preserve">00 </w:t>
      </w:r>
      <w:r w:rsidR="00D24E0A">
        <w:t>b</w:t>
      </w:r>
      <w:r w:rsidRPr="00AA76F7" w:rsidR="00D24E0A">
        <w:t xml:space="preserve">illion </w:t>
      </w:r>
      <w:r w:rsidRPr="00AA76F7">
        <w:t>in total assets.</w:t>
      </w:r>
      <w:r w:rsidRPr="00AA76F7" w:rsidR="00311F12">
        <w:t xml:space="preserve">  </w:t>
      </w:r>
      <w:r w:rsidRPr="00AA76F7" w:rsidR="006D7587">
        <w:t>Exempti</w:t>
      </w:r>
      <w:r w:rsidRPr="00AA76F7" w:rsidR="002F53E3">
        <w:t>ons from reporting certain Call </w:t>
      </w:r>
      <w:r w:rsidRPr="00AA76F7" w:rsidR="006D7587">
        <w:t xml:space="preserve">Report data </w:t>
      </w:r>
      <w:r w:rsidRPr="00AA76F7" w:rsidR="00C069AA">
        <w:t xml:space="preserve">within the FFIEC 041 report form </w:t>
      </w:r>
      <w:r w:rsidRPr="00AA76F7" w:rsidR="006D7587">
        <w:t xml:space="preserve">also apply </w:t>
      </w:r>
      <w:r w:rsidRPr="00AA76F7" w:rsidR="0085548F">
        <w:t>to institutions with less than</w:t>
      </w:r>
      <w:r w:rsidRPr="00AA76F7" w:rsidR="006D7587">
        <w:t xml:space="preserve"> $</w:t>
      </w:r>
      <w:r w:rsidRPr="00AA76F7" w:rsidR="00DD4C9C">
        <w:t>1</w:t>
      </w:r>
      <w:r w:rsidRPr="00AA76F7" w:rsidR="005E40BE">
        <w:t>0</w:t>
      </w:r>
      <w:r w:rsidRPr="00AA76F7" w:rsidR="006D7587">
        <w:t>0 million</w:t>
      </w:r>
      <w:r w:rsidRPr="00AA76F7" w:rsidR="002F53E3">
        <w:t xml:space="preserve">, </w:t>
      </w:r>
      <w:r w:rsidR="0063187E">
        <w:t xml:space="preserve">$300 million, </w:t>
      </w:r>
      <w:r w:rsidRPr="00AA76F7" w:rsidR="006D7587">
        <w:t>$1 billion</w:t>
      </w:r>
      <w:r w:rsidRPr="00AA76F7" w:rsidR="002F53E3">
        <w:t>, and $10 billion</w:t>
      </w:r>
      <w:r w:rsidRPr="00AA76F7" w:rsidR="006D7587">
        <w:t xml:space="preserve"> </w:t>
      </w:r>
      <w:r w:rsidRPr="00AA76F7" w:rsidR="0085548F">
        <w:t xml:space="preserve">in total </w:t>
      </w:r>
      <w:r w:rsidRPr="00AA76F7" w:rsidR="006D7587">
        <w:t>asset</w:t>
      </w:r>
      <w:r w:rsidRPr="00AA76F7" w:rsidR="0085548F">
        <w:t>s</w:t>
      </w:r>
      <w:r w:rsidRPr="00AA76F7" w:rsidR="006D7587">
        <w:t>.</w:t>
      </w:r>
      <w:r w:rsidRPr="00AA76F7" w:rsidR="00F2252B">
        <w:t xml:space="preserve">  </w:t>
      </w:r>
      <w:r w:rsidRPr="00AA76F7" w:rsidR="00146A71">
        <w:t>In both the FFIEC 051 and the FFIEC 041, o</w:t>
      </w:r>
      <w:r w:rsidRPr="00AA76F7" w:rsidR="00F2252B">
        <w:t>ther exemptions are based on activity levels rather than total assets and these activity-based thresholds tend to benefit small institutions.</w:t>
      </w:r>
      <w:r w:rsidRPr="00AA76F7" w:rsidR="006D7587">
        <w:t xml:space="preserve">  </w:t>
      </w:r>
      <w:r w:rsidRPr="00AA76F7" w:rsidR="0040051C">
        <w:t xml:space="preserve">In addition, </w:t>
      </w:r>
      <w:r w:rsidRPr="00AA76F7" w:rsidR="002F53E3">
        <w:t xml:space="preserve">for </w:t>
      </w:r>
      <w:r w:rsidRPr="00AA76F7" w:rsidR="002F53E3">
        <w:rPr>
          <w:color w:val="000000"/>
        </w:rPr>
        <w:t>small institutions with domestic offices only and less than $</w:t>
      </w:r>
      <w:r w:rsidRPr="00AA76F7" w:rsidR="006C0AE3">
        <w:rPr>
          <w:color w:val="000000"/>
        </w:rPr>
        <w:t>5</w:t>
      </w:r>
      <w:r w:rsidRPr="00AA76F7" w:rsidR="002F53E3">
        <w:rPr>
          <w:color w:val="000000"/>
        </w:rPr>
        <w:t xml:space="preserve"> billion in total assets that file the FFIEC 051, </w:t>
      </w:r>
      <w:r w:rsidRPr="00AA76F7" w:rsidR="00557895">
        <w:t xml:space="preserve">a significant number of data items in the </w:t>
      </w:r>
      <w:r w:rsidRPr="00AA76F7" w:rsidR="003C3D4E">
        <w:t>FFIEC </w:t>
      </w:r>
      <w:r w:rsidRPr="00AA76F7" w:rsidR="0040051C">
        <w:t xml:space="preserve">051 report </w:t>
      </w:r>
      <w:r w:rsidRPr="00AA76F7" w:rsidR="003C3D4E">
        <w:t>a</w:t>
      </w:r>
      <w:r w:rsidRPr="00AA76F7" w:rsidR="00557895">
        <w:t>re collected semiannually or annually</w:t>
      </w:r>
      <w:r w:rsidRPr="00AA76F7" w:rsidR="002F53E3">
        <w:t xml:space="preserve"> rather than quarterly </w:t>
      </w:r>
      <w:r w:rsidRPr="00AA76F7" w:rsidR="003C3D4E">
        <w:t xml:space="preserve">as they had been </w:t>
      </w:r>
      <w:r w:rsidRPr="00AA76F7" w:rsidR="003D1A66">
        <w:t xml:space="preserve">when these institutions filed </w:t>
      </w:r>
      <w:r w:rsidRPr="00AA76F7" w:rsidR="00EE2221">
        <w:t>the FFIEC 0</w:t>
      </w:r>
      <w:r w:rsidRPr="00AA76F7" w:rsidR="003D1A66">
        <w:t>4</w:t>
      </w:r>
      <w:r w:rsidRPr="00AA76F7" w:rsidR="00EE2221">
        <w:t>1 report</w:t>
      </w:r>
      <w:r w:rsidRPr="00AA76F7" w:rsidR="00557895">
        <w:t>.</w:t>
      </w:r>
      <w:r w:rsidRPr="00AA76F7" w:rsidR="00C85AE0">
        <w:t xml:space="preserve">  </w:t>
      </w:r>
      <w:r w:rsidRPr="00AA76F7" w:rsidR="007474D4">
        <w:t xml:space="preserve">    </w:t>
      </w:r>
    </w:p>
    <w:p w:rsidR="00C85AE0" w:rsidRPr="00D65C32" w:rsidP="00DA5364" w14:paraId="627986EC" w14:textId="77777777">
      <w:pPr>
        <w:autoSpaceDE w:val="0"/>
        <w:autoSpaceDN w:val="0"/>
        <w:adjustRightInd w:val="0"/>
        <w:rPr>
          <w:highlight w:val="yellow"/>
        </w:rPr>
      </w:pPr>
    </w:p>
    <w:p w:rsidR="00DA5364" w:rsidRPr="00D65C32" w:rsidP="00DA5364" w14:paraId="6B39F981" w14:textId="77777777">
      <w:pPr>
        <w:autoSpaceDE w:val="0"/>
        <w:autoSpaceDN w:val="0"/>
        <w:adjustRightInd w:val="0"/>
        <w:rPr>
          <w:highlight w:val="yellow"/>
        </w:rPr>
      </w:pPr>
      <w:r w:rsidRPr="00D65C32">
        <w:rPr>
          <w:highlight w:val="yellow"/>
        </w:rPr>
        <w:t xml:space="preserve"> </w:t>
      </w:r>
      <w:r w:rsidRPr="00D65C32">
        <w:rPr>
          <w:highlight w:val="yellow"/>
        </w:rPr>
        <w:t xml:space="preserve">  </w:t>
      </w:r>
    </w:p>
    <w:p w:rsidR="00DA5364" w:rsidRPr="00AA76F7" w:rsidP="00C85AE0" w14:paraId="2A25A7AD" w14:textId="77777777">
      <w:r w:rsidRPr="00AA76F7">
        <w:t>6</w:t>
      </w:r>
      <w:r w:rsidRPr="00AA76F7">
        <w:t xml:space="preserve">.  </w:t>
      </w:r>
      <w:r w:rsidRPr="00AA76F7">
        <w:rPr>
          <w:u w:val="single"/>
        </w:rPr>
        <w:t>Consequences</w:t>
      </w:r>
      <w:r w:rsidRPr="00AA76F7">
        <w:rPr>
          <w:u w:val="single"/>
        </w:rPr>
        <w:t xml:space="preserve"> of Less Frequent Collection</w:t>
      </w:r>
    </w:p>
    <w:p w:rsidR="002337EF" w:rsidRPr="00AA76F7" w:rsidP="006540AB" w14:paraId="019E5B36" w14:textId="77777777">
      <w:pPr>
        <w:tabs>
          <w:tab w:val="left" w:pos="-1440"/>
          <w:tab w:val="left" w:pos="-720"/>
          <w:tab w:val="left" w:pos="0"/>
          <w:tab w:val="left" w:pos="432"/>
          <w:tab w:val="left" w:pos="720"/>
        </w:tabs>
        <w:suppressAutoHyphens/>
      </w:pPr>
    </w:p>
    <w:p w:rsidR="002337EF" w:rsidRPr="00AA76F7" w:rsidP="002337EF" w14:paraId="331DE569" w14:textId="77777777">
      <w:pPr>
        <w:tabs>
          <w:tab w:val="left" w:pos="-1440"/>
          <w:tab w:val="left" w:pos="-720"/>
          <w:tab w:val="left" w:pos="0"/>
          <w:tab w:val="left" w:pos="432"/>
          <w:tab w:val="left" w:pos="720"/>
        </w:tabs>
        <w:suppressAutoHyphens/>
      </w:pPr>
      <w:r w:rsidRPr="00AA76F7">
        <w:t>Collecting</w:t>
      </w:r>
      <w:r w:rsidRPr="00AA76F7" w:rsidR="00086E0C">
        <w:t xml:space="preserve"> Call Report data</w:t>
      </w:r>
      <w:r w:rsidRPr="00AA76F7">
        <w:t xml:space="preserve"> </w:t>
      </w:r>
      <w:r w:rsidRPr="00AA76F7" w:rsidR="00D36B70">
        <w:t xml:space="preserve">less frequently than quarterly </w:t>
      </w:r>
      <w:r w:rsidRPr="00AA76F7">
        <w:t>would reduce the FDIC’s ability to identify on a timely basis those institutions experiencing adverse changes in their condition or risk profile</w:t>
      </w:r>
      <w:r w:rsidRPr="00AA76F7" w:rsidR="00086E0C">
        <w:t>.  Timely identification enables the FDIC to work with the managements of such institutions to initiate</w:t>
      </w:r>
      <w:r w:rsidRPr="00AA76F7">
        <w:t xml:space="preserve"> appropriate corrective measures at an early stage to restore the</w:t>
      </w:r>
      <w:r w:rsidRPr="00AA76F7" w:rsidR="00086E0C">
        <w:t xml:space="preserve"> institutions’</w:t>
      </w:r>
      <w:r w:rsidRPr="00AA76F7">
        <w:t xml:space="preserve"> safety and soundness.  </w:t>
      </w:r>
      <w:r w:rsidRPr="00AA76F7" w:rsidR="00086E0C">
        <w:t>Timely</w:t>
      </w:r>
      <w:r w:rsidRPr="00AA76F7">
        <w:t xml:space="preserve"> identification cannot be accomplished through periodic on-site examinations alone.  To allocate its examination resources in the most efficient manner, off-site analysis of Call Report data to single out institutions in need of accelerated on-site follow-up must be performed (see Item 2 above).  Submission of </w:t>
      </w:r>
      <w:r w:rsidRPr="00AA76F7" w:rsidR="003D1A66">
        <w:t>Call Reports</w:t>
      </w:r>
      <w:r w:rsidRPr="00AA76F7">
        <w:t xml:space="preserve"> less frequently than quarterly would permit deteriorating conditions at institutions to fester considerably longer before they would be detected through the FDIC’s monitoring systems, through the fortunate scheduling of examination</w:t>
      </w:r>
      <w:r w:rsidRPr="00AA76F7" w:rsidR="007770AD">
        <w:t>s</w:t>
      </w:r>
      <w:r w:rsidRPr="00AA76F7">
        <w:t xml:space="preserve">, or by other means. </w:t>
      </w:r>
      <w:r w:rsidRPr="00AA76F7" w:rsidR="00BB0792">
        <w:t xml:space="preserve"> </w:t>
      </w:r>
      <w:r w:rsidRPr="00AA76F7">
        <w:t xml:space="preserve">Such institutions would therefore run a greater risk of failure because of delays in </w:t>
      </w:r>
      <w:r w:rsidRPr="00AA76F7">
        <w:t>effecting</w:t>
      </w:r>
      <w:r w:rsidRPr="00AA76F7">
        <w:t xml:space="preserve"> corrective action, either on institution management’s own initiative or at the behest of the FDIC.</w:t>
      </w:r>
      <w:r w:rsidRPr="00AA76F7" w:rsidR="00D36B70">
        <w:t xml:space="preserve">  Nevertheless, </w:t>
      </w:r>
      <w:r w:rsidRPr="00AA76F7" w:rsidR="003D1A66">
        <w:t>certain</w:t>
      </w:r>
      <w:r w:rsidRPr="00AA76F7" w:rsidR="00D36B70">
        <w:t xml:space="preserve"> Call Report data items </w:t>
      </w:r>
      <w:r w:rsidRPr="00AA76F7" w:rsidR="003D1A66">
        <w:t xml:space="preserve">are collected less frequently than </w:t>
      </w:r>
      <w:r w:rsidRPr="00AA76F7" w:rsidR="00D36B70">
        <w:t xml:space="preserve">quarterly </w:t>
      </w:r>
      <w:r w:rsidRPr="00AA76F7" w:rsidR="003D1A66">
        <w:t xml:space="preserve">from </w:t>
      </w:r>
      <w:r w:rsidRPr="00AA76F7" w:rsidR="00D36B70">
        <w:t>some or all institutions, particularly in the streamlined FFIEC 051 Call Report for eligible small institutions.</w:t>
      </w:r>
      <w:r w:rsidRPr="00AA76F7" w:rsidR="007472FB">
        <w:t xml:space="preserve">  </w:t>
      </w:r>
    </w:p>
    <w:p w:rsidR="002337EF" w:rsidRPr="00AA76F7" w:rsidP="006540AB" w14:paraId="1CF6A8DE" w14:textId="77777777">
      <w:pPr>
        <w:tabs>
          <w:tab w:val="left" w:pos="-1440"/>
          <w:tab w:val="left" w:pos="-720"/>
          <w:tab w:val="left" w:pos="0"/>
          <w:tab w:val="left" w:pos="432"/>
          <w:tab w:val="left" w:pos="720"/>
        </w:tabs>
        <w:suppressAutoHyphens/>
      </w:pPr>
    </w:p>
    <w:p w:rsidR="002337EF" w:rsidRPr="00AA76F7" w:rsidP="006540AB" w14:paraId="3DB902B6" w14:textId="77777777">
      <w:pPr>
        <w:tabs>
          <w:tab w:val="left" w:pos="-1440"/>
          <w:tab w:val="left" w:pos="-720"/>
          <w:tab w:val="left" w:pos="0"/>
          <w:tab w:val="left" w:pos="432"/>
          <w:tab w:val="left" w:pos="720"/>
        </w:tabs>
        <w:suppressAutoHyphens/>
      </w:pPr>
      <w:r w:rsidRPr="00AA76F7">
        <w:t>In addition to supporting the identification</w:t>
      </w:r>
      <w:r w:rsidRPr="00AA76F7" w:rsidR="00086E0C">
        <w:t xml:space="preserve"> of</w:t>
      </w:r>
      <w:r w:rsidRPr="00AA76F7">
        <w:t xml:space="preserve"> higher-risk situations and enabling timely corrective action for such cases, the quarterly reporting of Call Report data also aids in the identification of low-risk areas prior to on-site examinations, allowing the agencies to improve the allocation of their supervisory resources and increase the efficiency of supervisory assessments, which reduces the scope of examinations in these areas, thereby reducing regulatory burden.</w:t>
      </w:r>
    </w:p>
    <w:p w:rsidR="002337EF" w:rsidRPr="00AA76F7" w:rsidP="006540AB" w14:paraId="7DA9C8D5" w14:textId="77777777">
      <w:pPr>
        <w:tabs>
          <w:tab w:val="left" w:pos="-1440"/>
          <w:tab w:val="left" w:pos="-720"/>
          <w:tab w:val="left" w:pos="0"/>
          <w:tab w:val="left" w:pos="432"/>
          <w:tab w:val="left" w:pos="720"/>
        </w:tabs>
        <w:suppressAutoHyphens/>
      </w:pPr>
    </w:p>
    <w:p w:rsidR="002337EF" w:rsidRPr="00AA76F7" w:rsidP="006540AB" w14:paraId="758A8B43" w14:textId="77777777">
      <w:pPr>
        <w:tabs>
          <w:tab w:val="left" w:pos="-1440"/>
          <w:tab w:val="left" w:pos="-720"/>
          <w:tab w:val="left" w:pos="0"/>
          <w:tab w:val="left" w:pos="432"/>
          <w:tab w:val="left" w:pos="720"/>
        </w:tabs>
        <w:suppressAutoHyphens/>
      </w:pPr>
      <w:r w:rsidRPr="00AA76F7">
        <w:t>Furthermore, certain Call Report data items are required quarterly due to various statutes or regulations.</w:t>
      </w:r>
      <w:r w:rsidRPr="00AA76F7" w:rsidR="000C1FED">
        <w:t xml:space="preserve">  Leverage ratios based on average quarter</w:t>
      </w:r>
      <w:r w:rsidRPr="00AA76F7" w:rsidR="00460EDD">
        <w:t>ly assets (reported on Schedule </w:t>
      </w:r>
      <w:r w:rsidRPr="00AA76F7" w:rsidR="000C1FED">
        <w:t>RC-K) and</w:t>
      </w:r>
      <w:r w:rsidRPr="00AA76F7" w:rsidR="007770AD">
        <w:t xml:space="preserve">, for institutions that do not have a community bank leverage ratio framework election in effect as of a quarter-end report date, </w:t>
      </w:r>
      <w:r w:rsidRPr="00AA76F7" w:rsidR="000C1FED">
        <w:t>risk-based capital ratios (reported on Schedule RC-R) are necessary under the prompt corrective action framework established under 12 U.S.C. 1831o.  Data on off</w:t>
      </w:r>
      <w:r w:rsidRPr="00AA76F7" w:rsidR="00205D6E">
        <w:noBreakHyphen/>
      </w:r>
      <w:r w:rsidRPr="00AA76F7" w:rsidR="000C1FED">
        <w:t xml:space="preserve">balance sheet assets and </w:t>
      </w:r>
      <w:r w:rsidRPr="00AA76F7" w:rsidR="000C1FED">
        <w:t>liabilities (reported on Schedule RC-L) are required every quarter for which an institution submits a balance sheet</w:t>
      </w:r>
      <w:r w:rsidRPr="00AA76F7" w:rsidR="008D0856">
        <w:t xml:space="preserve"> to the agencies pursuant to 12 </w:t>
      </w:r>
      <w:r w:rsidRPr="00AA76F7" w:rsidR="000C1FED">
        <w:t>U.S.C. 1831n.  Granular data on deposit liabilities and data affecting risk assessments for deposit insurance (reported on Schedules RC-E and RC-O) are required four times per year under 12 U.S.C. 1817.</w:t>
      </w:r>
    </w:p>
    <w:p w:rsidR="00F26A93" w:rsidRPr="00AA76F7" w:rsidP="00DA5364" w14:paraId="5F0D7B28" w14:textId="77777777">
      <w:pPr>
        <w:tabs>
          <w:tab w:val="left" w:pos="-1440"/>
          <w:tab w:val="left" w:pos="-720"/>
          <w:tab w:val="left" w:pos="0"/>
          <w:tab w:val="left" w:pos="432"/>
          <w:tab w:val="left" w:pos="720"/>
        </w:tabs>
        <w:suppressAutoHyphens/>
      </w:pPr>
    </w:p>
    <w:p w:rsidR="00F26A93" w:rsidRPr="00AA76F7" w:rsidP="00DA5364" w14:paraId="233A8413" w14:textId="77777777">
      <w:pPr>
        <w:tabs>
          <w:tab w:val="left" w:pos="-1440"/>
          <w:tab w:val="left" w:pos="-720"/>
          <w:tab w:val="left" w:pos="0"/>
          <w:tab w:val="left" w:pos="432"/>
          <w:tab w:val="left" w:pos="720"/>
        </w:tabs>
        <w:suppressAutoHyphens/>
      </w:pPr>
    </w:p>
    <w:p w:rsidR="00DA5364" w:rsidRPr="00AA76F7" w:rsidP="00DA5364" w14:paraId="16E99EE0" w14:textId="77777777">
      <w:pPr>
        <w:tabs>
          <w:tab w:val="left" w:pos="-1440"/>
          <w:tab w:val="left" w:pos="-720"/>
          <w:tab w:val="left" w:pos="0"/>
          <w:tab w:val="left" w:pos="432"/>
          <w:tab w:val="left" w:pos="720"/>
        </w:tabs>
        <w:suppressAutoHyphens/>
      </w:pPr>
      <w:r w:rsidRPr="00AA76F7">
        <w:t>7</w:t>
      </w:r>
      <w:r w:rsidRPr="00AA76F7">
        <w:t xml:space="preserve">.  </w:t>
      </w:r>
      <w:r w:rsidRPr="00AA76F7">
        <w:rPr>
          <w:u w:val="single"/>
        </w:rPr>
        <w:t>Special</w:t>
      </w:r>
      <w:r w:rsidRPr="00AA76F7">
        <w:rPr>
          <w:u w:val="single"/>
        </w:rPr>
        <w:t xml:space="preserve"> Circumstances</w:t>
      </w:r>
    </w:p>
    <w:p w:rsidR="00DA5364" w:rsidRPr="00AA76F7" w:rsidP="00DA5364" w14:paraId="1B80C647" w14:textId="77777777">
      <w:pPr>
        <w:tabs>
          <w:tab w:val="left" w:pos="-1440"/>
          <w:tab w:val="left" w:pos="-720"/>
          <w:tab w:val="left" w:pos="0"/>
          <w:tab w:val="left" w:pos="432"/>
          <w:tab w:val="left" w:pos="720"/>
        </w:tabs>
        <w:suppressAutoHyphens/>
      </w:pPr>
    </w:p>
    <w:p w:rsidR="00DA5364" w:rsidRPr="00AA76F7" w:rsidP="00DA5364" w14:paraId="36434F89" w14:textId="77777777">
      <w:pPr>
        <w:tabs>
          <w:tab w:val="left" w:pos="-1440"/>
          <w:tab w:val="left" w:pos="-720"/>
          <w:tab w:val="left" w:pos="0"/>
          <w:tab w:val="left" w:pos="432"/>
          <w:tab w:val="left" w:pos="720"/>
        </w:tabs>
        <w:suppressAutoHyphens/>
      </w:pPr>
      <w:r w:rsidRPr="00AA76F7">
        <w:t>There are no special circumstances.</w:t>
      </w:r>
    </w:p>
    <w:p w:rsidR="00DA5364" w:rsidRPr="00AA76F7" w:rsidP="00DA5364" w14:paraId="4F4F0805" w14:textId="77777777">
      <w:pPr>
        <w:tabs>
          <w:tab w:val="left" w:pos="-1440"/>
          <w:tab w:val="left" w:pos="-720"/>
          <w:tab w:val="left" w:pos="0"/>
          <w:tab w:val="left" w:pos="432"/>
          <w:tab w:val="left" w:pos="720"/>
        </w:tabs>
        <w:suppressAutoHyphens/>
      </w:pPr>
    </w:p>
    <w:p w:rsidR="00A04B01" w:rsidRPr="00AA76F7" w:rsidP="00DA5364" w14:paraId="25F38C13" w14:textId="77777777">
      <w:pPr>
        <w:tabs>
          <w:tab w:val="left" w:pos="-1440"/>
          <w:tab w:val="left" w:pos="-720"/>
          <w:tab w:val="left" w:pos="0"/>
          <w:tab w:val="left" w:pos="432"/>
          <w:tab w:val="left" w:pos="720"/>
        </w:tabs>
        <w:suppressAutoHyphens/>
      </w:pPr>
    </w:p>
    <w:p w:rsidR="00DA5364" w:rsidRPr="00AA76F7" w:rsidP="001676F4" w14:paraId="0B5169BB" w14:textId="77777777">
      <w:pPr>
        <w:rPr>
          <w:u w:val="single"/>
        </w:rPr>
      </w:pPr>
      <w:r w:rsidRPr="00AA76F7">
        <w:t xml:space="preserve">8.  </w:t>
      </w:r>
      <w:r w:rsidRPr="00AA76F7" w:rsidR="004C6477">
        <w:rPr>
          <w:u w:val="single"/>
        </w:rPr>
        <w:t xml:space="preserve">Consultation with Persons </w:t>
      </w:r>
      <w:r w:rsidRPr="00AA76F7" w:rsidR="00F21CA8">
        <w:rPr>
          <w:u w:val="single"/>
        </w:rPr>
        <w:t>Outside</w:t>
      </w:r>
      <w:r w:rsidRPr="00AA76F7" w:rsidR="004C6477">
        <w:rPr>
          <w:u w:val="single"/>
        </w:rPr>
        <w:t xml:space="preserve"> the FDIC</w:t>
      </w:r>
    </w:p>
    <w:p w:rsidR="00DA5364" w:rsidP="00DA5364" w14:paraId="4D51E095" w14:textId="77777777">
      <w:pPr>
        <w:suppressAutoHyphens/>
        <w:rPr>
          <w:u w:val="single"/>
        </w:rPr>
      </w:pPr>
    </w:p>
    <w:p w:rsidR="00967DEF" w:rsidP="00967DEF" w14:paraId="29BD9394" w14:textId="4D850DBD">
      <w:pPr>
        <w:tabs>
          <w:tab w:val="left" w:pos="432"/>
          <w:tab w:val="left" w:pos="720"/>
        </w:tabs>
        <w:suppressAutoHyphens/>
      </w:pPr>
      <w:r>
        <w:t>On September 28, 2023, the agencies proposed revisions to all three versions of the Call Report (FFIEC 031, FFIEC 041 and FFIEC 051) in response</w:t>
      </w:r>
      <w:r w:rsidR="009828A9">
        <w:t xml:space="preserve"> </w:t>
      </w:r>
      <w:r>
        <w:t>to FASB’s ASU 2022-02, reporting on past due loans and reporting on internet website addresses of depository institution trade names</w:t>
      </w:r>
      <w:r w:rsidR="00D40924">
        <w:t xml:space="preserve">.  </w:t>
      </w:r>
      <w:r>
        <w:t>In general, these revisions</w:t>
      </w:r>
      <w:r w:rsidR="006A2399">
        <w:t xml:space="preserve"> in response to ASU 2022-02</w:t>
      </w:r>
      <w:r>
        <w:t xml:space="preserve"> eliminate reporting of troubled debt restructurings and align the data collected in the Call Report forms and instructions with the definition of loan modifications to borrowers experiencing financial difficulty that is used in U.S. generally accepted accounting principles (GAAP)</w:t>
      </w:r>
      <w:r w:rsidR="00D40924">
        <w:t xml:space="preserve">.  </w:t>
      </w:r>
      <w:r>
        <w:t>The comment period for the September notice ended on November 27, 2023</w:t>
      </w:r>
      <w:r w:rsidR="00D40924">
        <w:t xml:space="preserve">.  </w:t>
      </w:r>
      <w:r>
        <w:t xml:space="preserve">The agencies received six </w:t>
      </w:r>
      <w:r>
        <w:t>comment letters</w:t>
      </w:r>
      <w:r>
        <w:t xml:space="preserve"> on the September notice. </w:t>
      </w:r>
    </w:p>
    <w:p w:rsidR="00967DEF" w:rsidP="00967DEF" w14:paraId="68D36E87" w14:textId="77777777">
      <w:pPr>
        <w:tabs>
          <w:tab w:val="left" w:pos="432"/>
          <w:tab w:val="left" w:pos="720"/>
        </w:tabs>
        <w:suppressAutoHyphens/>
      </w:pPr>
    </w:p>
    <w:p w:rsidR="00967DEF" w:rsidP="00967DEF" w14:paraId="1244221D" w14:textId="046CE607">
      <w:pPr>
        <w:tabs>
          <w:tab w:val="left" w:pos="432"/>
          <w:tab w:val="left" w:pos="720"/>
        </w:tabs>
        <w:suppressAutoHyphens/>
      </w:pPr>
      <w:r>
        <w:t>No commenters objected to the adoption in the Call Report of the revised GAAP terminology or to the change in accounting for modifications to borrowers experiencing financial difficulty</w:t>
      </w:r>
      <w:r w:rsidR="00D40924">
        <w:t xml:space="preserve">.  </w:t>
      </w:r>
      <w:r>
        <w:t xml:space="preserve">These updates </w:t>
      </w:r>
      <w:r w:rsidR="003A3BD2">
        <w:t>were effective</w:t>
      </w:r>
      <w:r>
        <w:t xml:space="preserve"> as of </w:t>
      </w:r>
      <w:r>
        <w:t>the June</w:t>
      </w:r>
      <w:r>
        <w:t xml:space="preserve"> 30, 2024, report date</w:t>
      </w:r>
      <w:r w:rsidR="00D40924">
        <w:t xml:space="preserve">.  </w:t>
      </w:r>
      <w:r>
        <w:t>The September proposal also included instruction revisions related to the length of time for reporting modifications</w:t>
      </w:r>
      <w:r w:rsidR="00D40924">
        <w:t xml:space="preserve">.  </w:t>
      </w:r>
      <w:r>
        <w:t xml:space="preserve">Four commenters objected to the length of time for which these modifications would be reported </w:t>
      </w:r>
      <w:r>
        <w:t>on</w:t>
      </w:r>
      <w:r>
        <w:t xml:space="preserve"> the Call Report</w:t>
      </w:r>
      <w:r w:rsidR="00D40924">
        <w:t xml:space="preserve">.  </w:t>
      </w:r>
      <w:r>
        <w:t>These commenters indicated that the timeline divergence from GAAP disclosure requirements in accordance with ASU 2022-02 would create additional costs, complexity, and operational challenges without any substantial corresponding benefit to the institutions or agencies</w:t>
      </w:r>
      <w:r w:rsidR="00D40924">
        <w:t xml:space="preserve">.  </w:t>
      </w:r>
    </w:p>
    <w:p w:rsidR="0062448D" w:rsidP="00967DEF" w14:paraId="11F67270" w14:textId="77777777">
      <w:pPr>
        <w:tabs>
          <w:tab w:val="left" w:pos="432"/>
          <w:tab w:val="left" w:pos="720"/>
        </w:tabs>
        <w:suppressAutoHyphens/>
      </w:pPr>
    </w:p>
    <w:p w:rsidR="00363283" w:rsidRPr="009F0051" w:rsidP="009F0051" w14:paraId="3850A83B" w14:textId="5F71F0FC">
      <w:pPr>
        <w:tabs>
          <w:tab w:val="left" w:pos="432"/>
          <w:tab w:val="left" w:pos="720"/>
        </w:tabs>
        <w:suppressAutoHyphens/>
      </w:pPr>
      <w:r>
        <w:t xml:space="preserve">After evaluating these comments, the agencies </w:t>
      </w:r>
      <w:r w:rsidRPr="01779EAE">
        <w:rPr>
          <w:rFonts w:eastAsia="Cambria"/>
        </w:rPr>
        <w:t xml:space="preserve">determined that consistency with the GAAP financial statement disclosure requirements under </w:t>
      </w:r>
      <w:r>
        <w:rPr>
          <w:rFonts w:eastAsia="Cambria"/>
        </w:rPr>
        <w:t>ASU </w:t>
      </w:r>
      <w:r w:rsidRPr="01779EAE">
        <w:rPr>
          <w:rFonts w:eastAsia="Cambria"/>
        </w:rPr>
        <w:t xml:space="preserve">2022-02 would provide sufficient supervisory data on loan modifications due to the debtor’s financial difficulty. </w:t>
      </w:r>
    </w:p>
    <w:p w:rsidR="00E87CEA" w:rsidRPr="004E19C6" w:rsidP="00D7177E" w14:paraId="4A7F8732" w14:textId="48CF02D0">
      <w:pPr>
        <w:tabs>
          <w:tab w:val="left" w:pos="432"/>
          <w:tab w:val="left" w:pos="720"/>
        </w:tabs>
        <w:suppressAutoHyphens/>
      </w:pPr>
    </w:p>
    <w:p w:rsidR="009A735D" w:rsidRPr="00D65C32" w:rsidP="00A02204" w14:paraId="19726C5F" w14:textId="77777777">
      <w:pPr>
        <w:tabs>
          <w:tab w:val="left" w:pos="-1440"/>
          <w:tab w:val="left" w:pos="-720"/>
          <w:tab w:val="left" w:pos="0"/>
          <w:tab w:val="left" w:pos="432"/>
          <w:tab w:val="left" w:pos="720"/>
        </w:tabs>
        <w:suppressAutoHyphens/>
        <w:rPr>
          <w:highlight w:val="yellow"/>
        </w:rPr>
      </w:pPr>
    </w:p>
    <w:p w:rsidR="00DA5364" w:rsidRPr="002E09B0" w:rsidP="006C4F6D" w14:paraId="55B43EDE" w14:textId="77777777">
      <w:pPr>
        <w:suppressAutoHyphens/>
      </w:pPr>
      <w:r w:rsidRPr="002E09B0">
        <w:t>9</w:t>
      </w:r>
      <w:r w:rsidRPr="002E09B0">
        <w:t xml:space="preserve">.  </w:t>
      </w:r>
      <w:r w:rsidRPr="002E09B0">
        <w:rPr>
          <w:u w:val="single"/>
        </w:rPr>
        <w:t>Payment</w:t>
      </w:r>
      <w:r w:rsidRPr="002E09B0">
        <w:rPr>
          <w:u w:val="single"/>
        </w:rPr>
        <w:t xml:space="preserve"> or Gift to Respondents</w:t>
      </w:r>
    </w:p>
    <w:p w:rsidR="00DA5364" w:rsidRPr="002E09B0" w:rsidP="00DA5364" w14:paraId="7EDCB9FD" w14:textId="77777777">
      <w:pPr>
        <w:tabs>
          <w:tab w:val="left" w:pos="-1440"/>
          <w:tab w:val="left" w:pos="-720"/>
          <w:tab w:val="left" w:pos="0"/>
          <w:tab w:val="left" w:pos="432"/>
          <w:tab w:val="left" w:pos="720"/>
        </w:tabs>
        <w:suppressAutoHyphens/>
      </w:pPr>
    </w:p>
    <w:p w:rsidR="00DA5364" w:rsidRPr="002E09B0" w:rsidP="00DA5364" w14:paraId="74D81BF6" w14:textId="77777777">
      <w:pPr>
        <w:tabs>
          <w:tab w:val="left" w:pos="-1440"/>
          <w:tab w:val="left" w:pos="-720"/>
          <w:tab w:val="left" w:pos="0"/>
          <w:tab w:val="left" w:pos="432"/>
          <w:tab w:val="left" w:pos="720"/>
        </w:tabs>
        <w:suppressAutoHyphens/>
      </w:pPr>
      <w:r w:rsidRPr="002E09B0">
        <w:t xml:space="preserve">No payment or gift will be provided </w:t>
      </w:r>
      <w:r w:rsidRPr="002E09B0">
        <w:t>to</w:t>
      </w:r>
      <w:r w:rsidRPr="002E09B0">
        <w:t xml:space="preserve"> respondents.</w:t>
      </w:r>
    </w:p>
    <w:p w:rsidR="007B49A4" w14:paraId="1C141BC5" w14:textId="61543682">
      <w:r>
        <w:br/>
      </w:r>
    </w:p>
    <w:p w:rsidR="005158FC" w14:paraId="2485380C" w14:textId="77777777"/>
    <w:p w:rsidR="005158FC" w14:paraId="674726E0" w14:textId="77777777"/>
    <w:p w:rsidR="005158FC" w:rsidRPr="002E09B0" w14:paraId="5942A7AF" w14:textId="77777777"/>
    <w:p w:rsidR="00DA5364" w:rsidRPr="002E09B0" w:rsidP="00DA5364" w14:paraId="5B5FA069" w14:textId="77777777">
      <w:pPr>
        <w:tabs>
          <w:tab w:val="left" w:pos="-1440"/>
          <w:tab w:val="left" w:pos="-720"/>
          <w:tab w:val="left" w:pos="0"/>
          <w:tab w:val="left" w:pos="432"/>
          <w:tab w:val="left" w:pos="720"/>
        </w:tabs>
        <w:suppressAutoHyphens/>
      </w:pPr>
      <w:r w:rsidRPr="002E09B0">
        <w:t>10</w:t>
      </w:r>
      <w:r w:rsidRPr="002E09B0">
        <w:t xml:space="preserve">.  </w:t>
      </w:r>
      <w:r w:rsidRPr="002E09B0">
        <w:rPr>
          <w:u w:val="single"/>
        </w:rPr>
        <w:t>Confidentiality</w:t>
      </w:r>
    </w:p>
    <w:p w:rsidR="00DA5364" w:rsidRPr="002E09B0" w:rsidP="00DA5364" w14:paraId="7E99C4F7" w14:textId="77777777">
      <w:pPr>
        <w:tabs>
          <w:tab w:val="left" w:pos="-1440"/>
          <w:tab w:val="left" w:pos="-720"/>
          <w:tab w:val="left" w:pos="0"/>
          <w:tab w:val="left" w:pos="432"/>
          <w:tab w:val="left" w:pos="720"/>
        </w:tabs>
        <w:suppressAutoHyphens/>
      </w:pPr>
    </w:p>
    <w:p w:rsidR="00C35579" w:rsidRPr="002E09B0" w:rsidP="004E24F8" w14:paraId="6C263C5A" w14:textId="77777777">
      <w:pPr>
        <w:suppressAutoHyphens/>
        <w:rPr>
          <w:color w:val="000000"/>
        </w:rPr>
      </w:pPr>
      <w:r w:rsidRPr="002E09B0">
        <w:t xml:space="preserve">At present, </w:t>
      </w:r>
      <w:r w:rsidRPr="002E09B0" w:rsidR="00B06302">
        <w:t>all</w:t>
      </w:r>
      <w:r w:rsidRPr="002E09B0">
        <w:t xml:space="preserve"> </w:t>
      </w:r>
      <w:r w:rsidRPr="002E09B0">
        <w:t>data items</w:t>
      </w:r>
      <w:r w:rsidRPr="002E09B0">
        <w:t xml:space="preserve"> collected from individual </w:t>
      </w:r>
      <w:r w:rsidRPr="002E09B0" w:rsidR="009E266D">
        <w:t>institutions</w:t>
      </w:r>
      <w:r w:rsidRPr="002E09B0">
        <w:t xml:space="preserve"> in the Call Report are publicly available with </w:t>
      </w:r>
      <w:r w:rsidRPr="002E09B0" w:rsidR="00AE5103">
        <w:t xml:space="preserve">limited </w:t>
      </w:r>
      <w:r w:rsidRPr="002E09B0">
        <w:t>exception</w:t>
      </w:r>
      <w:r w:rsidRPr="002E09B0" w:rsidR="00AE5103">
        <w:t xml:space="preserve">s.  </w:t>
      </w:r>
      <w:r w:rsidRPr="002E09B0" w:rsidR="002404F2">
        <w:t>In this regard, f</w:t>
      </w:r>
      <w:r w:rsidRPr="002E09B0" w:rsidR="00AE5103">
        <w:t xml:space="preserve">or all institutions, the </w:t>
      </w:r>
      <w:r w:rsidRPr="002E09B0">
        <w:t>amount</w:t>
      </w:r>
      <w:r w:rsidRPr="002E09B0" w:rsidR="00AE5103">
        <w:t xml:space="preserve">, if any, </w:t>
      </w:r>
      <w:r w:rsidRPr="002E09B0">
        <w:t>report</w:t>
      </w:r>
      <w:r w:rsidRPr="002E09B0" w:rsidR="00AE5103">
        <w:t xml:space="preserve">ed </w:t>
      </w:r>
      <w:r w:rsidRPr="002E09B0">
        <w:t>in</w:t>
      </w:r>
      <w:r w:rsidRPr="002E09B0" w:rsidR="004144E4">
        <w:t xml:space="preserve"> Schedule </w:t>
      </w:r>
      <w:r w:rsidRPr="002E09B0" w:rsidR="00D53513">
        <w:t>RI-E, item 2.g, “FDIC </w:t>
      </w:r>
      <w:r w:rsidRPr="002E09B0">
        <w:t>deposit insurance assessments</w:t>
      </w:r>
      <w:r w:rsidRPr="002E09B0" w:rsidR="004E5CFF">
        <w:t>,</w:t>
      </w:r>
      <w:r w:rsidRPr="002E09B0">
        <w:t>”</w:t>
      </w:r>
      <w:r w:rsidRPr="002E09B0" w:rsidR="004E5CFF">
        <w:t xml:space="preserve"> </w:t>
      </w:r>
      <w:r w:rsidRPr="002E09B0">
        <w:t xml:space="preserve">is treated as confidential on an individual institution basis.  </w:t>
      </w:r>
      <w:r w:rsidRPr="002E09B0" w:rsidR="002404F2">
        <w:t>In addition, o</w:t>
      </w:r>
      <w:r w:rsidRPr="002E09B0">
        <w:t xml:space="preserve">n </w:t>
      </w:r>
      <w:r w:rsidRPr="002E09B0">
        <w:t>the FFIEC</w:t>
      </w:r>
      <w:r w:rsidRPr="002E09B0">
        <w:t xml:space="preserve"> 031 and FFIEC 041 versions of the Call Report, the following data are treated as confidential on an individual institution basis: </w:t>
      </w:r>
      <w:r w:rsidRPr="002E09B0">
        <w:rPr>
          <w:color w:val="000000"/>
        </w:rPr>
        <w:t xml:space="preserve"> </w:t>
      </w:r>
    </w:p>
    <w:p w:rsidR="00C35579" w:rsidRPr="002E09B0" w:rsidP="004E24F8" w14:paraId="11E63605" w14:textId="77777777">
      <w:pPr>
        <w:suppressAutoHyphens/>
        <w:rPr>
          <w:color w:val="000000"/>
        </w:rPr>
      </w:pPr>
    </w:p>
    <w:p w:rsidR="00C35579" w:rsidRPr="002E09B0" w:rsidP="00C35579" w14:paraId="47B311E4" w14:textId="77777777">
      <w:pPr>
        <w:tabs>
          <w:tab w:val="left" w:pos="360"/>
        </w:tabs>
        <w:suppressAutoHyphens/>
        <w:ind w:left="360" w:hanging="360"/>
      </w:pPr>
      <w:r w:rsidRPr="002E09B0">
        <w:rPr>
          <w:color w:val="000000"/>
        </w:rPr>
        <w:t>(1)</w:t>
      </w:r>
      <w:r w:rsidRPr="002E09B0">
        <w:rPr>
          <w:color w:val="000000"/>
        </w:rPr>
        <w:tab/>
        <w:t>A</w:t>
      </w:r>
      <w:r w:rsidRPr="002E09B0">
        <w:t>mounts reported in</w:t>
      </w:r>
      <w:r w:rsidRPr="002E09B0" w:rsidR="004E5CFF">
        <w:t xml:space="preserve"> </w:t>
      </w:r>
      <w:r w:rsidRPr="002E09B0" w:rsidR="004E24F8">
        <w:t xml:space="preserve">Schedule RC-P, items 7.a and 7.b, for representation and warranty reserves for 1-4 family residential mortgages sold to specified </w:t>
      </w:r>
      <w:r w:rsidRPr="002E09B0" w:rsidR="004E24F8">
        <w:t>parties</w:t>
      </w:r>
      <w:r w:rsidRPr="002E09B0">
        <w:t>;</w:t>
      </w:r>
      <w:r w:rsidRPr="002E09B0">
        <w:t xml:space="preserve"> </w:t>
      </w:r>
    </w:p>
    <w:p w:rsidR="00C35579" w:rsidRPr="002E09B0" w:rsidP="00C35579" w14:paraId="3BC23AE2" w14:textId="77777777">
      <w:pPr>
        <w:tabs>
          <w:tab w:val="left" w:pos="360"/>
        </w:tabs>
        <w:suppressAutoHyphens/>
        <w:ind w:left="360" w:hanging="360"/>
        <w:rPr>
          <w:color w:val="000000"/>
        </w:rPr>
      </w:pPr>
      <w:r w:rsidRPr="002E09B0">
        <w:t>(2)</w:t>
      </w:r>
      <w:r w:rsidRPr="002E09B0">
        <w:tab/>
        <w:t>Information</w:t>
      </w:r>
      <w:r w:rsidRPr="002E09B0" w:rsidR="00EE4362">
        <w:rPr>
          <w:color w:val="000000"/>
        </w:rPr>
        <w:t xml:space="preserve"> that large and highly complex institutions</w:t>
      </w:r>
      <w:r w:rsidRPr="002E09B0" w:rsidR="00910766">
        <w:rPr>
          <w:color w:val="000000"/>
        </w:rPr>
        <w:t xml:space="preserve"> </w:t>
      </w:r>
      <w:r w:rsidRPr="002E09B0" w:rsidR="00EE4362">
        <w:rPr>
          <w:color w:val="000000"/>
        </w:rPr>
        <w:t xml:space="preserve">report on criticized and classified items, nontraditional </w:t>
      </w:r>
      <w:r w:rsidRPr="002E09B0" w:rsidR="00427D73">
        <w:rPr>
          <w:color w:val="000000"/>
        </w:rPr>
        <w:t xml:space="preserve">1-4 family residential </w:t>
      </w:r>
      <w:r w:rsidRPr="002E09B0" w:rsidR="00EE4362">
        <w:rPr>
          <w:color w:val="000000"/>
        </w:rPr>
        <w:t xml:space="preserve">mortgage loans, </w:t>
      </w:r>
      <w:r w:rsidRPr="002E09B0" w:rsidR="00427D73">
        <w:rPr>
          <w:color w:val="000000"/>
        </w:rPr>
        <w:t xml:space="preserve">higher-risk </w:t>
      </w:r>
      <w:r w:rsidRPr="002E09B0" w:rsidR="00EE4362">
        <w:rPr>
          <w:color w:val="000000"/>
        </w:rPr>
        <w:t xml:space="preserve">consumer loans, </w:t>
      </w:r>
      <w:r w:rsidRPr="002E09B0" w:rsidR="00427D73">
        <w:rPr>
          <w:color w:val="000000"/>
        </w:rPr>
        <w:t>higher risk commercial and industrial loans and securities</w:t>
      </w:r>
      <w:r w:rsidRPr="002E09B0" w:rsidR="00EE4362">
        <w:rPr>
          <w:color w:val="000000"/>
        </w:rPr>
        <w:t xml:space="preserve">, top 20 counterparty exposures, and largest counterparty exposure for assessment purposes in </w:t>
      </w:r>
      <w:r w:rsidRPr="002E09B0" w:rsidR="009E266D">
        <w:rPr>
          <w:color w:val="000000"/>
        </w:rPr>
        <w:t xml:space="preserve">Schedule RC-O, </w:t>
      </w:r>
      <w:r w:rsidRPr="002E09B0" w:rsidR="00A04B01">
        <w:rPr>
          <w:color w:val="000000"/>
        </w:rPr>
        <w:t xml:space="preserve">Memorandum </w:t>
      </w:r>
      <w:r w:rsidRPr="002E09B0" w:rsidR="009E266D">
        <w:rPr>
          <w:color w:val="000000"/>
        </w:rPr>
        <w:t xml:space="preserve">items 6 through 9, 14, and 15, which are used as inputs to scorecard measures in the FDIC’s </w:t>
      </w:r>
      <w:r w:rsidRPr="002E09B0" w:rsidR="004E24F8">
        <w:rPr>
          <w:color w:val="000000"/>
        </w:rPr>
        <w:t xml:space="preserve">deposit insurance assessment system for </w:t>
      </w:r>
      <w:r w:rsidRPr="002E09B0">
        <w:rPr>
          <w:color w:val="000000"/>
        </w:rPr>
        <w:t>these</w:t>
      </w:r>
      <w:r w:rsidRPr="002E09B0" w:rsidR="004E24F8">
        <w:rPr>
          <w:color w:val="000000"/>
        </w:rPr>
        <w:t xml:space="preserve"> institutions</w:t>
      </w:r>
      <w:r w:rsidRPr="002E09B0">
        <w:rPr>
          <w:color w:val="000000"/>
        </w:rPr>
        <w:t xml:space="preserve">; and </w:t>
      </w:r>
    </w:p>
    <w:p w:rsidR="00C35579" w:rsidRPr="002E09B0" w:rsidP="00C35579" w14:paraId="2559CEE3" w14:textId="77777777">
      <w:pPr>
        <w:tabs>
          <w:tab w:val="left" w:pos="360"/>
        </w:tabs>
        <w:suppressAutoHyphens/>
        <w:ind w:left="360" w:hanging="360"/>
      </w:pPr>
      <w:r w:rsidRPr="002E09B0">
        <w:rPr>
          <w:color w:val="000000"/>
        </w:rPr>
        <w:t>(3)</w:t>
      </w:r>
      <w:r w:rsidRPr="002E09B0">
        <w:rPr>
          <w:color w:val="000000"/>
        </w:rPr>
        <w:tab/>
        <w:t>The</w:t>
      </w:r>
      <w:r w:rsidRPr="002E09B0">
        <w:t xml:space="preserve"> table of consumer loans by loan type and probability of default band </w:t>
      </w:r>
      <w:r w:rsidRPr="002E09B0" w:rsidR="008A324D">
        <w:t>reported</w:t>
      </w:r>
      <w:r w:rsidRPr="002E09B0">
        <w:t xml:space="preserve"> for deposit insurance assessment purposes</w:t>
      </w:r>
      <w:r w:rsidRPr="002E09B0" w:rsidR="008A324D">
        <w:t xml:space="preserve"> </w:t>
      </w:r>
      <w:r w:rsidRPr="002E09B0" w:rsidR="00CC6D11">
        <w:t xml:space="preserve">by large and highly complex institutions </w:t>
      </w:r>
      <w:r w:rsidRPr="002E09B0" w:rsidR="00A04B01">
        <w:t>in Schedule RC-O, Memorandum item 18</w:t>
      </w:r>
      <w:r w:rsidRPr="002E09B0">
        <w:t xml:space="preserve">.  </w:t>
      </w:r>
    </w:p>
    <w:p w:rsidR="00C35579" w:rsidRPr="002E09B0" w:rsidP="004E24F8" w14:paraId="0162ABB1" w14:textId="77777777">
      <w:pPr>
        <w:suppressAutoHyphens/>
      </w:pPr>
    </w:p>
    <w:p w:rsidR="00DA5364" w:rsidRPr="002E09B0" w:rsidP="004E24F8" w14:paraId="416154E1" w14:textId="77777777">
      <w:pPr>
        <w:suppressAutoHyphens/>
        <w:rPr>
          <w:color w:val="000000"/>
        </w:rPr>
      </w:pPr>
      <w:r w:rsidRPr="002E09B0">
        <w:rPr>
          <w:color w:val="000000"/>
        </w:rPr>
        <w:t>Furthermore</w:t>
      </w:r>
      <w:r w:rsidRPr="002E09B0" w:rsidR="009E266D">
        <w:rPr>
          <w:color w:val="000000"/>
        </w:rPr>
        <w:t>, c</w:t>
      </w:r>
      <w:r w:rsidRPr="002E09B0">
        <w:rPr>
          <w:color w:val="000000"/>
        </w:rPr>
        <w:t xml:space="preserve">ontact information for </w:t>
      </w:r>
      <w:r w:rsidRPr="002E09B0" w:rsidR="009E266D">
        <w:rPr>
          <w:color w:val="000000"/>
        </w:rPr>
        <w:t>depository institution</w:t>
      </w:r>
      <w:r w:rsidRPr="002E09B0">
        <w:rPr>
          <w:color w:val="000000"/>
        </w:rPr>
        <w:t xml:space="preserve"> personnel that is provided in </w:t>
      </w:r>
      <w:r w:rsidRPr="002E09B0" w:rsidR="009E266D">
        <w:rPr>
          <w:color w:val="000000"/>
        </w:rPr>
        <w:t>institutions</w:t>
      </w:r>
      <w:r w:rsidRPr="002E09B0">
        <w:rPr>
          <w:color w:val="000000"/>
        </w:rPr>
        <w:t xml:space="preserve">’ Call Report submissions is not available to the public.  </w:t>
      </w:r>
    </w:p>
    <w:p w:rsidR="00E875CD" w:rsidRPr="002E09B0" w:rsidP="004E24F8" w14:paraId="4E0222B1" w14:textId="77777777">
      <w:pPr>
        <w:suppressAutoHyphens/>
        <w:rPr>
          <w:color w:val="000000"/>
        </w:rPr>
      </w:pPr>
    </w:p>
    <w:p w:rsidR="00E875CD" w:rsidRPr="002E09B0" w:rsidP="00E875CD" w14:paraId="42F9B545" w14:textId="78D038E3">
      <w:pPr>
        <w:contextualSpacing/>
      </w:pPr>
      <w:r w:rsidRPr="002E09B0">
        <w:t>C</w:t>
      </w:r>
      <w:r w:rsidRPr="002E09B0">
        <w:t xml:space="preserve">onsistent with Section 4013 </w:t>
      </w:r>
      <w:r w:rsidRPr="002E09B0" w:rsidR="00D82DF6">
        <w:t>o</w:t>
      </w:r>
      <w:r w:rsidRPr="002E09B0">
        <w:t xml:space="preserve">f the CARES Act, the agencies requested and received emergency approvals from OMB to add two new </w:t>
      </w:r>
      <w:r w:rsidR="00D32259">
        <w:t xml:space="preserve">confidential </w:t>
      </w:r>
      <w:r w:rsidRPr="002E09B0">
        <w:t xml:space="preserve">data items for Section 4013 loans to the Call Report, which </w:t>
      </w:r>
      <w:r w:rsidRPr="002E09B0" w:rsidR="00D82DF6">
        <w:t>have</w:t>
      </w:r>
      <w:r w:rsidRPr="002E09B0">
        <w:t xml:space="preserve"> be</w:t>
      </w:r>
      <w:r w:rsidRPr="002E09B0" w:rsidR="00D82DF6">
        <w:t>en</w:t>
      </w:r>
      <w:r w:rsidRPr="002E09B0">
        <w:t xml:space="preserve"> collected quarterly beginning with </w:t>
      </w:r>
      <w:r w:rsidRPr="002E09B0">
        <w:t>the June</w:t>
      </w:r>
      <w:r w:rsidRPr="002E09B0">
        <w:t xml:space="preserve"> 30, 2020, report date, with the collection of these items expected to be </w:t>
      </w:r>
      <w:r w:rsidRPr="002E09B0">
        <w:t>time-limited</w:t>
      </w:r>
      <w:r w:rsidRPr="002E09B0">
        <w:t xml:space="preserve">.  These items, Memorandum item 17.a, </w:t>
      </w:r>
      <w:r w:rsidRPr="002E09B0" w:rsidR="00D2371B">
        <w:t>“</w:t>
      </w:r>
      <w:r w:rsidRPr="002E09B0">
        <w:t>Number of Section 4013 loans outstanding,</w:t>
      </w:r>
      <w:r w:rsidRPr="002E09B0" w:rsidR="00D2371B">
        <w:t>”</w:t>
      </w:r>
      <w:r w:rsidRPr="002E09B0">
        <w:t xml:space="preserve"> and Memorandum item 17.b, </w:t>
      </w:r>
      <w:r w:rsidRPr="002E09B0" w:rsidR="00D2371B">
        <w:t>“</w:t>
      </w:r>
      <w:r w:rsidRPr="002E09B0">
        <w:t>Outstanding balance of Section 4013 loans,</w:t>
      </w:r>
      <w:r w:rsidRPr="002E09B0" w:rsidR="00D2371B">
        <w:t>”</w:t>
      </w:r>
      <w:r w:rsidRPr="002E09B0">
        <w:t xml:space="preserve"> </w:t>
      </w:r>
      <w:r w:rsidRPr="002E09B0" w:rsidR="00D82DF6">
        <w:t>have</w:t>
      </w:r>
      <w:r w:rsidRPr="002E09B0">
        <w:t xml:space="preserve"> be</w:t>
      </w:r>
      <w:r w:rsidRPr="002E09B0" w:rsidR="00D82DF6">
        <w:t>en</w:t>
      </w:r>
      <w:r w:rsidRPr="002E09B0">
        <w:t xml:space="preserve"> added to Call Report Schedule RC</w:t>
      </w:r>
      <w:r w:rsidRPr="002E09B0" w:rsidR="00D82DF6">
        <w:t>-</w:t>
      </w:r>
      <w:r w:rsidRPr="002E09B0">
        <w:t xml:space="preserve">C, Part I, Loans and Leases.  These items enable the agencies to monitor individual institutions and the industry’s use of the temporary relief provided by Section 4013 as well as the volume of loans modified in accordance with Section 4013.  The </w:t>
      </w:r>
      <w:r w:rsidRPr="002E09B0">
        <w:t>agencies plan to</w:t>
      </w:r>
      <w:r w:rsidRPr="002E09B0">
        <w:t xml:space="preserve"> propose to discontinue the collection of these specific items once the aggregate industry activity has diminished to a point where individual institution information is of limited practical utility.</w:t>
      </w:r>
      <w:r>
        <w:rPr>
          <w:rStyle w:val="FootnoteReference"/>
        </w:rPr>
        <w:footnoteReference w:id="3"/>
      </w:r>
      <w:r w:rsidRPr="002E09B0">
        <w:t xml:space="preserve"> </w:t>
      </w:r>
    </w:p>
    <w:p w:rsidR="00E875CD" w:rsidRPr="00D65C32" w:rsidP="004E24F8" w14:paraId="00ABF129" w14:textId="77777777">
      <w:pPr>
        <w:suppressAutoHyphens/>
        <w:rPr>
          <w:color w:val="000000"/>
          <w:highlight w:val="yellow"/>
        </w:rPr>
      </w:pPr>
    </w:p>
    <w:p w:rsidR="009F2912" w:rsidRPr="002E09B0" w:rsidP="004E24F8" w14:paraId="5F4F643F" w14:textId="77777777">
      <w:pPr>
        <w:suppressAutoHyphens/>
        <w:rPr>
          <w:color w:val="000000"/>
        </w:rPr>
      </w:pPr>
    </w:p>
    <w:p w:rsidR="00DA5364" w:rsidRPr="002E09B0" w:rsidP="00DA5364" w14:paraId="03C5A121" w14:textId="77777777">
      <w:pPr>
        <w:tabs>
          <w:tab w:val="left" w:pos="-1440"/>
          <w:tab w:val="left" w:pos="-720"/>
          <w:tab w:val="left" w:pos="0"/>
          <w:tab w:val="left" w:pos="432"/>
          <w:tab w:val="left" w:pos="720"/>
        </w:tabs>
        <w:suppressAutoHyphens/>
      </w:pPr>
      <w:r w:rsidRPr="002E09B0">
        <w:t>11</w:t>
      </w:r>
      <w:r w:rsidRPr="002E09B0">
        <w:t xml:space="preserve">.  </w:t>
      </w:r>
      <w:r w:rsidRPr="002E09B0">
        <w:rPr>
          <w:u w:val="single"/>
        </w:rPr>
        <w:t>Information</w:t>
      </w:r>
      <w:r w:rsidRPr="002E09B0">
        <w:rPr>
          <w:u w:val="single"/>
        </w:rPr>
        <w:t xml:space="preserve"> </w:t>
      </w:r>
      <w:r w:rsidRPr="002E09B0">
        <w:rPr>
          <w:u w:val="single"/>
        </w:rPr>
        <w:t>of</w:t>
      </w:r>
      <w:r w:rsidRPr="002E09B0">
        <w:rPr>
          <w:u w:val="single"/>
        </w:rPr>
        <w:t xml:space="preserve"> </w:t>
      </w:r>
      <w:r w:rsidRPr="002E09B0">
        <w:rPr>
          <w:u w:val="single"/>
        </w:rPr>
        <w:t>a Sensitive</w:t>
      </w:r>
      <w:r w:rsidRPr="002E09B0">
        <w:rPr>
          <w:u w:val="single"/>
        </w:rPr>
        <w:t xml:space="preserve"> Nature</w:t>
      </w:r>
    </w:p>
    <w:p w:rsidR="00DA5364" w:rsidRPr="002E09B0" w:rsidP="00DA5364" w14:paraId="4FC31E91" w14:textId="77777777">
      <w:pPr>
        <w:tabs>
          <w:tab w:val="left" w:pos="-1440"/>
          <w:tab w:val="left" w:pos="-720"/>
          <w:tab w:val="left" w:pos="0"/>
          <w:tab w:val="left" w:pos="432"/>
          <w:tab w:val="left" w:pos="720"/>
        </w:tabs>
        <w:suppressAutoHyphens/>
      </w:pPr>
    </w:p>
    <w:p w:rsidR="00DA5364" w:rsidRPr="002E09B0" w:rsidP="00DA5364" w14:paraId="0B7887A1" w14:textId="77777777">
      <w:pPr>
        <w:tabs>
          <w:tab w:val="left" w:pos="-1440"/>
          <w:tab w:val="left" w:pos="-720"/>
          <w:tab w:val="left" w:pos="0"/>
          <w:tab w:val="left" w:pos="432"/>
          <w:tab w:val="left" w:pos="720"/>
        </w:tabs>
        <w:suppressAutoHyphens/>
      </w:pPr>
      <w:r w:rsidRPr="002E09B0">
        <w:t>The Call Report contains no questions of a sensitive nature.</w:t>
      </w:r>
    </w:p>
    <w:p w:rsidR="00DD6B5C" w14:paraId="63418FB3" w14:textId="19C9BCCD">
      <w:pPr>
        <w:rPr>
          <w:highlight w:val="yellow"/>
        </w:rPr>
      </w:pPr>
    </w:p>
    <w:p w:rsidR="00DD6B5C" w:rsidRPr="00D65C32" w14:paraId="6B5CB64C" w14:textId="77777777">
      <w:pPr>
        <w:rPr>
          <w:highlight w:val="yellow"/>
        </w:rPr>
      </w:pPr>
    </w:p>
    <w:p w:rsidR="00DA5364" w:rsidRPr="001E07AC" w:rsidP="00DA5364" w14:paraId="1B3593AA" w14:textId="77777777">
      <w:pPr>
        <w:tabs>
          <w:tab w:val="left" w:pos="-1440"/>
          <w:tab w:val="left" w:pos="-720"/>
          <w:tab w:val="left" w:pos="0"/>
          <w:tab w:val="left" w:pos="432"/>
          <w:tab w:val="left" w:pos="720"/>
        </w:tabs>
        <w:suppressAutoHyphens/>
      </w:pPr>
      <w:r w:rsidRPr="00475A51">
        <w:t>12</w:t>
      </w:r>
      <w:r w:rsidRPr="00475A51">
        <w:t xml:space="preserve">.  </w:t>
      </w:r>
      <w:r w:rsidRPr="00475A51">
        <w:rPr>
          <w:u w:val="single"/>
        </w:rPr>
        <w:t>Estimate</w:t>
      </w:r>
      <w:r w:rsidRPr="00475A51">
        <w:rPr>
          <w:u w:val="single"/>
        </w:rPr>
        <w:t xml:space="preserve"> of Annual Burden</w:t>
      </w:r>
    </w:p>
    <w:p w:rsidR="0084243C" w:rsidP="0084243C" w14:paraId="716EAA09" w14:textId="77777777">
      <w:pPr>
        <w:keepLines/>
        <w:rPr>
          <w:highlight w:val="yellow"/>
        </w:rPr>
      </w:pPr>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6"/>
        <w:gridCol w:w="1548"/>
        <w:gridCol w:w="1516"/>
        <w:gridCol w:w="1516"/>
        <w:gridCol w:w="1896"/>
      </w:tblGrid>
      <w:tr w14:paraId="5A738692" w14:textId="77777777" w:rsidTr="009F242B">
        <w:tblPrEx>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516" w:type="dxa"/>
            <w:shd w:val="clear" w:color="auto" w:fill="auto"/>
            <w:noWrap/>
            <w:vAlign w:val="bottom"/>
            <w:hideMark/>
          </w:tcPr>
          <w:p w:rsidR="009F242B" w:rsidRPr="009F242B" w14:paraId="3D7E0DD6" w14:textId="77777777">
            <w:pPr>
              <w:rPr>
                <w:color w:val="000000"/>
              </w:rPr>
            </w:pPr>
            <w:r w:rsidRPr="009F242B">
              <w:rPr>
                <w:color w:val="000000"/>
              </w:rPr>
              <w:t>Form</w:t>
            </w:r>
          </w:p>
        </w:tc>
        <w:tc>
          <w:tcPr>
            <w:tcW w:w="1548" w:type="dxa"/>
            <w:shd w:val="clear" w:color="auto" w:fill="auto"/>
            <w:noWrap/>
            <w:vAlign w:val="bottom"/>
            <w:hideMark/>
          </w:tcPr>
          <w:p w:rsidR="009F242B" w:rsidRPr="009F242B" w14:paraId="27E59A3E" w14:textId="6B32447B">
            <w:pPr>
              <w:rPr>
                <w:color w:val="000000"/>
              </w:rPr>
            </w:pPr>
            <w:r>
              <w:rPr>
                <w:color w:val="000000"/>
              </w:rPr>
              <w:t xml:space="preserve">Number of </w:t>
            </w:r>
            <w:r w:rsidRPr="009F242B">
              <w:rPr>
                <w:color w:val="000000"/>
              </w:rPr>
              <w:t>Resp</w:t>
            </w:r>
            <w:r>
              <w:rPr>
                <w:color w:val="000000"/>
              </w:rPr>
              <w:t>ondents</w:t>
            </w:r>
          </w:p>
        </w:tc>
        <w:tc>
          <w:tcPr>
            <w:tcW w:w="1516" w:type="dxa"/>
            <w:shd w:val="clear" w:color="auto" w:fill="auto"/>
            <w:noWrap/>
            <w:vAlign w:val="bottom"/>
            <w:hideMark/>
          </w:tcPr>
          <w:p w:rsidR="009F242B" w:rsidRPr="009F242B" w14:paraId="2E5B0BA6" w14:textId="3CCB8C54">
            <w:pPr>
              <w:rPr>
                <w:color w:val="000000"/>
              </w:rPr>
            </w:pPr>
            <w:r w:rsidRPr="009F242B">
              <w:rPr>
                <w:color w:val="000000"/>
              </w:rPr>
              <w:t>Freq</w:t>
            </w:r>
            <w:r w:rsidR="008206BA">
              <w:rPr>
                <w:color w:val="000000"/>
              </w:rPr>
              <w:t>uency</w:t>
            </w:r>
            <w:r w:rsidRPr="009F242B">
              <w:rPr>
                <w:color w:val="000000"/>
              </w:rPr>
              <w:t xml:space="preserve"> </w:t>
            </w:r>
          </w:p>
        </w:tc>
        <w:tc>
          <w:tcPr>
            <w:tcW w:w="1516" w:type="dxa"/>
            <w:shd w:val="clear" w:color="auto" w:fill="auto"/>
            <w:noWrap/>
            <w:vAlign w:val="bottom"/>
            <w:hideMark/>
          </w:tcPr>
          <w:p w:rsidR="009F242B" w:rsidRPr="009F242B" w14:paraId="75DAB1F3" w14:textId="5FB9F9D2">
            <w:pPr>
              <w:rPr>
                <w:color w:val="000000"/>
              </w:rPr>
            </w:pPr>
            <w:r w:rsidRPr="009F242B">
              <w:rPr>
                <w:color w:val="000000"/>
              </w:rPr>
              <w:t>Time</w:t>
            </w:r>
            <w:r w:rsidR="008206BA">
              <w:rPr>
                <w:color w:val="000000"/>
              </w:rPr>
              <w:t xml:space="preserve"> (Hour</w:t>
            </w:r>
            <w:r w:rsidR="00FF127C">
              <w:rPr>
                <w:color w:val="000000"/>
              </w:rPr>
              <w:t>s</w:t>
            </w:r>
            <w:r w:rsidR="008206BA">
              <w:rPr>
                <w:color w:val="000000"/>
              </w:rPr>
              <w:t>)</w:t>
            </w:r>
          </w:p>
        </w:tc>
        <w:tc>
          <w:tcPr>
            <w:tcW w:w="1896" w:type="dxa"/>
            <w:shd w:val="clear" w:color="auto" w:fill="auto"/>
            <w:noWrap/>
            <w:vAlign w:val="bottom"/>
            <w:hideMark/>
          </w:tcPr>
          <w:p w:rsidR="009F242B" w:rsidRPr="009F242B" w:rsidP="00451D5B" w14:paraId="61E99E87" w14:textId="6FD2E4F1">
            <w:pPr>
              <w:rPr>
                <w:color w:val="000000"/>
              </w:rPr>
            </w:pPr>
            <w:r w:rsidRPr="009F242B">
              <w:rPr>
                <w:color w:val="000000"/>
              </w:rPr>
              <w:t>Burden</w:t>
            </w:r>
            <w:r w:rsidR="007B49A4">
              <w:rPr>
                <w:color w:val="000000"/>
              </w:rPr>
              <w:t xml:space="preserve"> (Hour</w:t>
            </w:r>
            <w:r w:rsidR="00FF127C">
              <w:rPr>
                <w:color w:val="000000"/>
              </w:rPr>
              <w:t>s</w:t>
            </w:r>
            <w:r w:rsidR="007B49A4">
              <w:rPr>
                <w:color w:val="000000"/>
              </w:rPr>
              <w:t>)</w:t>
            </w:r>
            <w:r w:rsidR="008206BA">
              <w:rPr>
                <w:color w:val="000000"/>
              </w:rPr>
              <w:t xml:space="preserve"> </w:t>
            </w:r>
          </w:p>
        </w:tc>
      </w:tr>
      <w:tr w14:paraId="4500C090" w14:textId="77777777" w:rsidTr="00846600">
        <w:tblPrEx>
          <w:tblW w:w="7992" w:type="dxa"/>
          <w:tblLook w:val="04A0"/>
        </w:tblPrEx>
        <w:trPr>
          <w:trHeight w:val="165"/>
        </w:trPr>
        <w:tc>
          <w:tcPr>
            <w:tcW w:w="1516" w:type="dxa"/>
            <w:shd w:val="clear" w:color="auto" w:fill="auto"/>
            <w:noWrap/>
            <w:vAlign w:val="bottom"/>
            <w:hideMark/>
          </w:tcPr>
          <w:p w:rsidR="00DD7414" w:rsidRPr="009F242B" w:rsidP="00DD7414" w14:paraId="1CFE6D9A" w14:textId="77777777">
            <w:pPr>
              <w:rPr>
                <w:color w:val="000000"/>
              </w:rPr>
            </w:pPr>
            <w:r w:rsidRPr="009F242B">
              <w:rPr>
                <w:color w:val="000000"/>
              </w:rPr>
              <w:t>FFIEC 031</w:t>
            </w:r>
          </w:p>
        </w:tc>
        <w:tc>
          <w:tcPr>
            <w:tcW w:w="1548" w:type="dxa"/>
            <w:shd w:val="clear" w:color="auto" w:fill="auto"/>
            <w:noWrap/>
            <w:vAlign w:val="center"/>
            <w:hideMark/>
          </w:tcPr>
          <w:p w:rsidR="00DD7414" w:rsidRPr="002B452A" w:rsidP="00DD7414" w14:paraId="67BF6943" w14:textId="47E1ADF4">
            <w:pPr>
              <w:jc w:val="right"/>
              <w:rPr>
                <w:color w:val="000000"/>
              </w:rPr>
            </w:pPr>
            <w:r>
              <w:rPr>
                <w:color w:val="000000"/>
              </w:rPr>
              <w:t>20</w:t>
            </w:r>
          </w:p>
        </w:tc>
        <w:tc>
          <w:tcPr>
            <w:tcW w:w="1516" w:type="dxa"/>
            <w:shd w:val="clear" w:color="auto" w:fill="auto"/>
            <w:noWrap/>
            <w:vAlign w:val="center"/>
            <w:hideMark/>
          </w:tcPr>
          <w:p w:rsidR="00DD7414" w:rsidRPr="002B452A" w:rsidP="00DD7414" w14:paraId="353611A6" w14:textId="71EC5506">
            <w:pPr>
              <w:jc w:val="right"/>
              <w:rPr>
                <w:color w:val="000000"/>
              </w:rPr>
            </w:pPr>
            <w:r>
              <w:rPr>
                <w:color w:val="000000"/>
              </w:rPr>
              <w:t>4</w:t>
            </w:r>
          </w:p>
        </w:tc>
        <w:tc>
          <w:tcPr>
            <w:tcW w:w="1516" w:type="dxa"/>
            <w:shd w:val="clear" w:color="auto" w:fill="auto"/>
            <w:noWrap/>
            <w:vAlign w:val="center"/>
            <w:hideMark/>
          </w:tcPr>
          <w:p w:rsidR="00DD7414" w:rsidRPr="002B452A" w:rsidP="00DD7414" w14:paraId="764FCCC4" w14:textId="598FD69E">
            <w:pPr>
              <w:jc w:val="right"/>
              <w:rPr>
                <w:color w:val="000000"/>
              </w:rPr>
            </w:pPr>
            <w:r>
              <w:rPr>
                <w:color w:val="000000"/>
              </w:rPr>
              <w:t>68.</w:t>
            </w:r>
            <w:r w:rsidR="00897F4F">
              <w:rPr>
                <w:color w:val="000000"/>
              </w:rPr>
              <w:t>64</w:t>
            </w:r>
            <w:r w:rsidR="00A80821">
              <w:rPr>
                <w:color w:val="000000"/>
              </w:rPr>
              <w:t>4</w:t>
            </w:r>
            <w:r w:rsidR="005E5321">
              <w:rPr>
                <w:color w:val="000000"/>
              </w:rPr>
              <w:t>0</w:t>
            </w:r>
          </w:p>
        </w:tc>
        <w:tc>
          <w:tcPr>
            <w:tcW w:w="1896" w:type="dxa"/>
            <w:shd w:val="clear" w:color="auto" w:fill="auto"/>
            <w:noWrap/>
            <w:vAlign w:val="center"/>
            <w:hideMark/>
          </w:tcPr>
          <w:p w:rsidR="00DD7414" w:rsidRPr="002B452A" w:rsidP="00DD7414" w14:paraId="6E6F75A2" w14:textId="44EEC313">
            <w:pPr>
              <w:jc w:val="right"/>
              <w:rPr>
                <w:color w:val="000000"/>
              </w:rPr>
            </w:pPr>
            <w:r>
              <w:rPr>
                <w:color w:val="000000"/>
              </w:rPr>
              <w:t>5,492</w:t>
            </w:r>
          </w:p>
        </w:tc>
      </w:tr>
      <w:tr w14:paraId="57032513" w14:textId="77777777" w:rsidTr="00B40CC7">
        <w:tblPrEx>
          <w:tblW w:w="7992" w:type="dxa"/>
          <w:tblLook w:val="04A0"/>
        </w:tblPrEx>
        <w:trPr>
          <w:trHeight w:val="165"/>
        </w:trPr>
        <w:tc>
          <w:tcPr>
            <w:tcW w:w="1516" w:type="dxa"/>
            <w:shd w:val="clear" w:color="auto" w:fill="auto"/>
            <w:noWrap/>
            <w:vAlign w:val="bottom"/>
            <w:hideMark/>
          </w:tcPr>
          <w:p w:rsidR="00DD7414" w:rsidRPr="009F242B" w:rsidP="00DD7414" w14:paraId="48E81FC4" w14:textId="77777777">
            <w:pPr>
              <w:rPr>
                <w:color w:val="000000"/>
              </w:rPr>
            </w:pPr>
            <w:r w:rsidRPr="009F242B">
              <w:rPr>
                <w:color w:val="000000"/>
              </w:rPr>
              <w:t>F</w:t>
            </w:r>
            <w:bookmarkStart w:id="0" w:name="OLE_LINK16"/>
            <w:bookmarkStart w:id="1" w:name="OLE_LINK17"/>
            <w:r w:rsidRPr="009F242B">
              <w:rPr>
                <w:color w:val="000000"/>
              </w:rPr>
              <w:t>FI</w:t>
            </w:r>
            <w:bookmarkEnd w:id="0"/>
            <w:bookmarkEnd w:id="1"/>
            <w:r w:rsidRPr="009F242B">
              <w:rPr>
                <w:color w:val="000000"/>
              </w:rPr>
              <w:t>EC 041</w:t>
            </w:r>
          </w:p>
        </w:tc>
        <w:tc>
          <w:tcPr>
            <w:tcW w:w="1548" w:type="dxa"/>
            <w:shd w:val="clear" w:color="auto" w:fill="auto"/>
            <w:noWrap/>
            <w:vAlign w:val="center"/>
            <w:hideMark/>
          </w:tcPr>
          <w:p w:rsidR="00DD7414" w:rsidRPr="002B452A" w:rsidP="00DD7414" w14:paraId="0C1778AD" w14:textId="32AEA989">
            <w:pPr>
              <w:jc w:val="right"/>
              <w:rPr>
                <w:color w:val="000000"/>
              </w:rPr>
            </w:pPr>
            <w:r>
              <w:rPr>
                <w:color w:val="000000"/>
              </w:rPr>
              <w:t>5</w:t>
            </w:r>
            <w:r w:rsidR="00A706E6">
              <w:rPr>
                <w:color w:val="000000"/>
              </w:rPr>
              <w:t>78</w:t>
            </w:r>
          </w:p>
        </w:tc>
        <w:tc>
          <w:tcPr>
            <w:tcW w:w="1516" w:type="dxa"/>
            <w:shd w:val="clear" w:color="auto" w:fill="auto"/>
            <w:noWrap/>
            <w:vAlign w:val="center"/>
            <w:hideMark/>
          </w:tcPr>
          <w:p w:rsidR="00DD7414" w:rsidRPr="002B452A" w:rsidP="00DD7414" w14:paraId="7B7D297C" w14:textId="0A517073">
            <w:pPr>
              <w:jc w:val="right"/>
              <w:rPr>
                <w:color w:val="000000"/>
              </w:rPr>
            </w:pPr>
            <w:r>
              <w:rPr>
                <w:color w:val="000000"/>
              </w:rPr>
              <w:t>4</w:t>
            </w:r>
          </w:p>
        </w:tc>
        <w:tc>
          <w:tcPr>
            <w:tcW w:w="1516" w:type="dxa"/>
            <w:shd w:val="clear" w:color="auto" w:fill="auto"/>
            <w:noWrap/>
            <w:vAlign w:val="center"/>
            <w:hideMark/>
          </w:tcPr>
          <w:p w:rsidR="00DD7414" w:rsidRPr="002B452A" w:rsidP="00DD7414" w14:paraId="0BAD736F" w14:textId="7DAF512C">
            <w:pPr>
              <w:jc w:val="right"/>
              <w:rPr>
                <w:color w:val="000000"/>
              </w:rPr>
            </w:pPr>
            <w:r>
              <w:rPr>
                <w:color w:val="000000"/>
              </w:rPr>
              <w:t>54.</w:t>
            </w:r>
            <w:r w:rsidR="00AC08C1">
              <w:rPr>
                <w:color w:val="000000"/>
              </w:rPr>
              <w:t>1458</w:t>
            </w:r>
          </w:p>
        </w:tc>
        <w:tc>
          <w:tcPr>
            <w:tcW w:w="1896" w:type="dxa"/>
            <w:shd w:val="clear" w:color="auto" w:fill="auto"/>
            <w:noWrap/>
            <w:vAlign w:val="center"/>
          </w:tcPr>
          <w:p w:rsidR="00DD7414" w:rsidRPr="002B452A" w:rsidP="00DD7414" w14:paraId="183226B1" w14:textId="0BD499D9">
            <w:pPr>
              <w:jc w:val="right"/>
              <w:rPr>
                <w:color w:val="000000"/>
              </w:rPr>
            </w:pPr>
            <w:r>
              <w:rPr>
                <w:color w:val="000000"/>
              </w:rPr>
              <w:t xml:space="preserve"> 125,1</w:t>
            </w:r>
            <w:r w:rsidR="00A57E3F">
              <w:rPr>
                <w:color w:val="000000"/>
              </w:rPr>
              <w:t>85</w:t>
            </w:r>
          </w:p>
        </w:tc>
      </w:tr>
      <w:tr w14:paraId="3FF76F5F" w14:textId="77777777" w:rsidTr="00846600">
        <w:tblPrEx>
          <w:tblW w:w="7992" w:type="dxa"/>
          <w:tblLook w:val="04A0"/>
        </w:tblPrEx>
        <w:trPr>
          <w:trHeight w:val="165"/>
        </w:trPr>
        <w:tc>
          <w:tcPr>
            <w:tcW w:w="1516" w:type="dxa"/>
            <w:shd w:val="clear" w:color="auto" w:fill="auto"/>
            <w:noWrap/>
            <w:vAlign w:val="bottom"/>
            <w:hideMark/>
          </w:tcPr>
          <w:p w:rsidR="00DD7414" w:rsidRPr="009F242B" w:rsidP="00DD7414" w14:paraId="2EB21C66" w14:textId="77777777">
            <w:pPr>
              <w:rPr>
                <w:color w:val="000000"/>
              </w:rPr>
            </w:pPr>
            <w:r w:rsidRPr="009F242B">
              <w:rPr>
                <w:color w:val="000000"/>
              </w:rPr>
              <w:t>FFIEC 051</w:t>
            </w:r>
          </w:p>
        </w:tc>
        <w:tc>
          <w:tcPr>
            <w:tcW w:w="1548" w:type="dxa"/>
            <w:shd w:val="clear" w:color="auto" w:fill="auto"/>
            <w:noWrap/>
            <w:vAlign w:val="center"/>
            <w:hideMark/>
          </w:tcPr>
          <w:p w:rsidR="00DD7414" w:rsidRPr="002B452A" w:rsidP="00DD7414" w14:paraId="01F84E60" w14:textId="2B8A1010">
            <w:pPr>
              <w:jc w:val="right"/>
              <w:rPr>
                <w:color w:val="000000"/>
              </w:rPr>
            </w:pPr>
            <w:r>
              <w:rPr>
                <w:color w:val="000000"/>
              </w:rPr>
              <w:t>2,227</w:t>
            </w:r>
          </w:p>
        </w:tc>
        <w:tc>
          <w:tcPr>
            <w:tcW w:w="1516" w:type="dxa"/>
            <w:shd w:val="clear" w:color="auto" w:fill="auto"/>
            <w:noWrap/>
            <w:vAlign w:val="center"/>
            <w:hideMark/>
          </w:tcPr>
          <w:p w:rsidR="00DD7414" w:rsidRPr="002B452A" w:rsidP="00DD7414" w14:paraId="2DE359C5" w14:textId="40404B57">
            <w:pPr>
              <w:jc w:val="right"/>
              <w:rPr>
                <w:color w:val="000000"/>
              </w:rPr>
            </w:pPr>
            <w:r>
              <w:rPr>
                <w:color w:val="000000"/>
              </w:rPr>
              <w:t>4</w:t>
            </w:r>
          </w:p>
        </w:tc>
        <w:tc>
          <w:tcPr>
            <w:tcW w:w="1516" w:type="dxa"/>
            <w:shd w:val="clear" w:color="auto" w:fill="auto"/>
            <w:noWrap/>
            <w:vAlign w:val="center"/>
            <w:hideMark/>
          </w:tcPr>
          <w:p w:rsidR="00DD7414" w:rsidRPr="002B452A" w:rsidP="00DD7414" w14:paraId="05F7AA72" w14:textId="190746BC">
            <w:pPr>
              <w:jc w:val="right"/>
              <w:rPr>
                <w:color w:val="000000"/>
              </w:rPr>
            </w:pPr>
            <w:r>
              <w:rPr>
                <w:color w:val="000000"/>
              </w:rPr>
              <w:t>35.</w:t>
            </w:r>
            <w:r w:rsidR="00897F4F">
              <w:rPr>
                <w:color w:val="000000"/>
              </w:rPr>
              <w:t>01</w:t>
            </w:r>
            <w:r w:rsidR="00A57E3F">
              <w:rPr>
                <w:color w:val="000000"/>
              </w:rPr>
              <w:t>49</w:t>
            </w:r>
          </w:p>
        </w:tc>
        <w:tc>
          <w:tcPr>
            <w:tcW w:w="1896" w:type="dxa"/>
            <w:shd w:val="clear" w:color="auto" w:fill="auto"/>
            <w:noWrap/>
            <w:vAlign w:val="center"/>
            <w:hideMark/>
          </w:tcPr>
          <w:p w:rsidR="00DD7414" w:rsidRPr="007F4CA2" w:rsidP="00DD7414" w14:paraId="095293A9" w14:textId="354E0961">
            <w:pPr>
              <w:jc w:val="right"/>
            </w:pPr>
            <w:r>
              <w:rPr>
                <w:color w:val="000000"/>
              </w:rPr>
              <w:t>311,</w:t>
            </w:r>
            <w:r w:rsidR="00A67AB4">
              <w:rPr>
                <w:color w:val="000000"/>
              </w:rPr>
              <w:t>913</w:t>
            </w:r>
          </w:p>
        </w:tc>
      </w:tr>
      <w:tr w14:paraId="5ABBF643" w14:textId="77777777" w:rsidTr="00846600">
        <w:tblPrEx>
          <w:tblW w:w="7992" w:type="dxa"/>
          <w:tblLook w:val="04A0"/>
        </w:tblPrEx>
        <w:trPr>
          <w:trHeight w:val="165"/>
        </w:trPr>
        <w:tc>
          <w:tcPr>
            <w:tcW w:w="1516" w:type="dxa"/>
            <w:shd w:val="clear" w:color="auto" w:fill="auto"/>
            <w:noWrap/>
            <w:vAlign w:val="bottom"/>
            <w:hideMark/>
          </w:tcPr>
          <w:p w:rsidR="00DD7414" w:rsidRPr="009F242B" w:rsidP="00DD7414" w14:paraId="1278531A" w14:textId="50FB9420">
            <w:pPr>
              <w:rPr>
                <w:color w:val="000000"/>
              </w:rPr>
            </w:pPr>
            <w:r>
              <w:rPr>
                <w:color w:val="000000"/>
              </w:rPr>
              <w:t xml:space="preserve">Subtotal: </w:t>
            </w:r>
          </w:p>
        </w:tc>
        <w:tc>
          <w:tcPr>
            <w:tcW w:w="1548" w:type="dxa"/>
            <w:shd w:val="clear" w:color="auto" w:fill="auto"/>
            <w:noWrap/>
            <w:vAlign w:val="center"/>
            <w:hideMark/>
          </w:tcPr>
          <w:p w:rsidR="00DD7414" w:rsidRPr="002B452A" w:rsidP="00DD7414" w14:paraId="2D18B9C7" w14:textId="6D16108E">
            <w:pPr>
              <w:jc w:val="right"/>
              <w:rPr>
                <w:color w:val="000000"/>
              </w:rPr>
            </w:pPr>
            <w:r>
              <w:rPr>
                <w:color w:val="000000"/>
              </w:rPr>
              <w:t>2,82</w:t>
            </w:r>
            <w:r w:rsidR="00F80FE9">
              <w:rPr>
                <w:color w:val="000000"/>
              </w:rPr>
              <w:t>5</w:t>
            </w:r>
          </w:p>
        </w:tc>
        <w:tc>
          <w:tcPr>
            <w:tcW w:w="1516" w:type="dxa"/>
            <w:shd w:val="clear" w:color="auto" w:fill="auto"/>
            <w:noWrap/>
            <w:vAlign w:val="bottom"/>
            <w:hideMark/>
          </w:tcPr>
          <w:p w:rsidR="00DD7414" w:rsidRPr="002B452A" w:rsidP="00DD7414" w14:paraId="289BDD03" w14:textId="164F8474">
            <w:pPr>
              <w:rPr>
                <w:color w:val="000000"/>
              </w:rPr>
            </w:pPr>
            <w:r>
              <w:rPr>
                <w:color w:val="000000"/>
                <w:sz w:val="20"/>
                <w:szCs w:val="20"/>
              </w:rPr>
              <w:t> </w:t>
            </w:r>
          </w:p>
        </w:tc>
        <w:tc>
          <w:tcPr>
            <w:tcW w:w="1516" w:type="dxa"/>
            <w:shd w:val="clear" w:color="auto" w:fill="auto"/>
            <w:noWrap/>
            <w:vAlign w:val="bottom"/>
            <w:hideMark/>
          </w:tcPr>
          <w:p w:rsidR="00DD7414" w:rsidRPr="002B452A" w:rsidP="00DD7414" w14:paraId="7E7A8E22" w14:textId="03992139">
            <w:pPr>
              <w:rPr>
                <w:color w:val="000000"/>
              </w:rPr>
            </w:pPr>
            <w:r>
              <w:rPr>
                <w:color w:val="000000"/>
                <w:sz w:val="20"/>
                <w:szCs w:val="20"/>
              </w:rPr>
              <w:t> </w:t>
            </w:r>
          </w:p>
        </w:tc>
        <w:tc>
          <w:tcPr>
            <w:tcW w:w="1896" w:type="dxa"/>
            <w:shd w:val="clear" w:color="auto" w:fill="auto"/>
            <w:noWrap/>
            <w:vAlign w:val="center"/>
            <w:hideMark/>
          </w:tcPr>
          <w:p w:rsidR="00DD7414" w:rsidRPr="007F4CA2" w:rsidP="00DD7414" w14:paraId="3EABAA95" w14:textId="69EE5910">
            <w:pPr>
              <w:jc w:val="right"/>
            </w:pPr>
            <w:r>
              <w:rPr>
                <w:color w:val="000000"/>
              </w:rPr>
              <w:t>44</w:t>
            </w:r>
            <w:r w:rsidR="00B77D12">
              <w:rPr>
                <w:color w:val="000000"/>
              </w:rPr>
              <w:t>2,</w:t>
            </w:r>
            <w:r w:rsidR="00916903">
              <w:rPr>
                <w:color w:val="000000"/>
              </w:rPr>
              <w:t>5</w:t>
            </w:r>
            <w:r w:rsidR="00F721FC">
              <w:rPr>
                <w:color w:val="000000"/>
              </w:rPr>
              <w:t>90</w:t>
            </w:r>
          </w:p>
        </w:tc>
      </w:tr>
      <w:tr w14:paraId="7E4C38C3" w14:textId="77777777" w:rsidTr="00846600">
        <w:tblPrEx>
          <w:tblW w:w="7992" w:type="dxa"/>
          <w:tblLook w:val="04A0"/>
        </w:tblPrEx>
        <w:trPr>
          <w:trHeight w:val="165"/>
        </w:trPr>
        <w:tc>
          <w:tcPr>
            <w:tcW w:w="1516" w:type="dxa"/>
            <w:shd w:val="clear" w:color="auto" w:fill="auto"/>
            <w:noWrap/>
            <w:vAlign w:val="bottom"/>
          </w:tcPr>
          <w:p w:rsidR="00DD7414" w:rsidRPr="009F242B" w:rsidP="00DD7414" w14:paraId="5FC52C88" w14:textId="016783EE">
            <w:pPr>
              <w:rPr>
                <w:color w:val="000000"/>
              </w:rPr>
            </w:pPr>
            <w:r>
              <w:rPr>
                <w:color w:val="000000"/>
              </w:rPr>
              <w:t>Rounding</w:t>
            </w:r>
          </w:p>
        </w:tc>
        <w:tc>
          <w:tcPr>
            <w:tcW w:w="1548" w:type="dxa"/>
            <w:shd w:val="clear" w:color="auto" w:fill="auto"/>
            <w:noWrap/>
            <w:vAlign w:val="center"/>
          </w:tcPr>
          <w:p w:rsidR="00DD7414" w:rsidRPr="002B452A" w:rsidP="00DD7414" w14:paraId="2A4A5452" w14:textId="5BCE8B8E">
            <w:pPr>
              <w:rPr>
                <w:color w:val="000000"/>
              </w:rPr>
            </w:pPr>
            <w:r>
              <w:rPr>
                <w:color w:val="000000"/>
              </w:rPr>
              <w:t> </w:t>
            </w:r>
          </w:p>
        </w:tc>
        <w:tc>
          <w:tcPr>
            <w:tcW w:w="1516" w:type="dxa"/>
            <w:shd w:val="clear" w:color="auto" w:fill="auto"/>
            <w:noWrap/>
            <w:vAlign w:val="center"/>
          </w:tcPr>
          <w:p w:rsidR="00DD7414" w:rsidRPr="002B452A" w:rsidP="00DD7414" w14:paraId="00918B62" w14:textId="1DCCBBED">
            <w:pPr>
              <w:rPr>
                <w:color w:val="000000"/>
              </w:rPr>
            </w:pPr>
            <w:r>
              <w:rPr>
                <w:color w:val="000000"/>
              </w:rPr>
              <w:t> </w:t>
            </w:r>
          </w:p>
        </w:tc>
        <w:tc>
          <w:tcPr>
            <w:tcW w:w="1516" w:type="dxa"/>
            <w:shd w:val="clear" w:color="auto" w:fill="auto"/>
            <w:noWrap/>
            <w:vAlign w:val="center"/>
          </w:tcPr>
          <w:p w:rsidR="00DD7414" w:rsidRPr="002B452A" w:rsidP="00DD7414" w14:paraId="6A9CEDEA" w14:textId="525237CE">
            <w:pPr>
              <w:rPr>
                <w:color w:val="000000"/>
              </w:rPr>
            </w:pPr>
            <w:r>
              <w:rPr>
                <w:color w:val="000000"/>
              </w:rPr>
              <w:t> </w:t>
            </w:r>
          </w:p>
        </w:tc>
        <w:tc>
          <w:tcPr>
            <w:tcW w:w="1896" w:type="dxa"/>
            <w:shd w:val="clear" w:color="auto" w:fill="auto"/>
            <w:noWrap/>
            <w:vAlign w:val="center"/>
          </w:tcPr>
          <w:p w:rsidR="00DD7414" w:rsidRPr="00475A51" w:rsidP="00DD7414" w14:paraId="21601682" w14:textId="4FF651CC">
            <w:pPr>
              <w:jc w:val="right"/>
            </w:pPr>
            <w:r>
              <w:rPr>
                <w:color w:val="000000"/>
              </w:rPr>
              <w:t>31</w:t>
            </w:r>
          </w:p>
        </w:tc>
      </w:tr>
      <w:tr w14:paraId="476BB8D3" w14:textId="77777777" w:rsidTr="00846600">
        <w:tblPrEx>
          <w:tblW w:w="7992" w:type="dxa"/>
          <w:tblLook w:val="04A0"/>
        </w:tblPrEx>
        <w:trPr>
          <w:trHeight w:val="165"/>
        </w:trPr>
        <w:tc>
          <w:tcPr>
            <w:tcW w:w="1516" w:type="dxa"/>
            <w:shd w:val="clear" w:color="auto" w:fill="auto"/>
            <w:noWrap/>
            <w:vAlign w:val="bottom"/>
          </w:tcPr>
          <w:p w:rsidR="00DD7414" w:rsidRPr="003736DA" w:rsidP="00DD7414" w14:paraId="1B95CB03" w14:textId="28889FAC">
            <w:pPr>
              <w:rPr>
                <w:b/>
                <w:bCs/>
                <w:color w:val="000000"/>
              </w:rPr>
            </w:pPr>
            <w:r w:rsidRPr="003736DA">
              <w:rPr>
                <w:b/>
                <w:bCs/>
                <w:color w:val="000000"/>
              </w:rPr>
              <w:t xml:space="preserve">Total: </w:t>
            </w:r>
          </w:p>
        </w:tc>
        <w:tc>
          <w:tcPr>
            <w:tcW w:w="1548" w:type="dxa"/>
            <w:shd w:val="clear" w:color="auto" w:fill="auto"/>
            <w:noWrap/>
            <w:vAlign w:val="center"/>
          </w:tcPr>
          <w:p w:rsidR="00DD7414" w:rsidRPr="003736DA" w:rsidP="00DD7414" w14:paraId="5C99FB71" w14:textId="6C965A33">
            <w:pPr>
              <w:jc w:val="right"/>
              <w:rPr>
                <w:b/>
                <w:bCs/>
                <w:color w:val="000000"/>
              </w:rPr>
            </w:pPr>
            <w:r w:rsidRPr="003736DA">
              <w:rPr>
                <w:b/>
                <w:bCs/>
                <w:color w:val="000000"/>
              </w:rPr>
              <w:t>2,82</w:t>
            </w:r>
            <w:r w:rsidRPr="003736DA" w:rsidR="00F80FE9">
              <w:rPr>
                <w:b/>
                <w:bCs/>
                <w:color w:val="000000"/>
              </w:rPr>
              <w:t>5</w:t>
            </w:r>
          </w:p>
        </w:tc>
        <w:tc>
          <w:tcPr>
            <w:tcW w:w="1516" w:type="dxa"/>
            <w:shd w:val="clear" w:color="auto" w:fill="auto"/>
            <w:noWrap/>
            <w:vAlign w:val="center"/>
          </w:tcPr>
          <w:p w:rsidR="00DD7414" w:rsidRPr="003736DA" w:rsidP="00DD7414" w14:paraId="1A501796" w14:textId="7E87BB93">
            <w:pPr>
              <w:rPr>
                <w:b/>
                <w:bCs/>
                <w:color w:val="000000"/>
              </w:rPr>
            </w:pPr>
            <w:r w:rsidRPr="003736DA">
              <w:rPr>
                <w:b/>
                <w:bCs/>
                <w:color w:val="000000"/>
              </w:rPr>
              <w:t> </w:t>
            </w:r>
          </w:p>
        </w:tc>
        <w:tc>
          <w:tcPr>
            <w:tcW w:w="1516" w:type="dxa"/>
            <w:shd w:val="clear" w:color="auto" w:fill="auto"/>
            <w:noWrap/>
            <w:vAlign w:val="center"/>
          </w:tcPr>
          <w:p w:rsidR="00DD7414" w:rsidRPr="003736DA" w:rsidP="00DD7414" w14:paraId="0DA5A0CC" w14:textId="3833E021">
            <w:pPr>
              <w:rPr>
                <w:b/>
                <w:bCs/>
                <w:color w:val="000000"/>
              </w:rPr>
            </w:pPr>
            <w:r w:rsidRPr="003736DA">
              <w:rPr>
                <w:b/>
                <w:bCs/>
                <w:color w:val="000000"/>
              </w:rPr>
              <w:t> </w:t>
            </w:r>
          </w:p>
        </w:tc>
        <w:tc>
          <w:tcPr>
            <w:tcW w:w="1896" w:type="dxa"/>
            <w:shd w:val="clear" w:color="auto" w:fill="auto"/>
            <w:noWrap/>
            <w:vAlign w:val="center"/>
          </w:tcPr>
          <w:p w:rsidR="00DD7414" w:rsidRPr="003736DA" w:rsidP="00DD7414" w14:paraId="26167AA4" w14:textId="5B9CDAB9">
            <w:pPr>
              <w:jc w:val="right"/>
              <w:rPr>
                <w:b/>
                <w:bCs/>
                <w:color w:val="000000"/>
              </w:rPr>
            </w:pPr>
            <w:r w:rsidRPr="003736DA">
              <w:rPr>
                <w:b/>
                <w:bCs/>
                <w:color w:val="000000"/>
              </w:rPr>
              <w:t>442,621</w:t>
            </w:r>
          </w:p>
        </w:tc>
      </w:tr>
    </w:tbl>
    <w:p w:rsidR="009F242B" w:rsidRPr="00D65C32" w:rsidP="0084243C" w14:paraId="77E343E6" w14:textId="77777777">
      <w:pPr>
        <w:keepLines/>
        <w:rPr>
          <w:highlight w:val="yellow"/>
        </w:rPr>
      </w:pPr>
    </w:p>
    <w:p w:rsidR="00451D5B" w:rsidRPr="003736DA" w:rsidP="0084243C" w14:paraId="7A581665" w14:textId="6D27BB90">
      <w:pPr>
        <w:keepLines/>
      </w:pPr>
      <w:r w:rsidRPr="003736DA">
        <w:t xml:space="preserve">Due to </w:t>
      </w:r>
      <w:r w:rsidR="003736DA">
        <w:t>decimal rounding</w:t>
      </w:r>
      <w:r w:rsidRPr="003736DA" w:rsidR="0076619F">
        <w:t xml:space="preserve">, </w:t>
      </w:r>
      <w:r w:rsidR="00641EF0">
        <w:t xml:space="preserve">approximately </w:t>
      </w:r>
      <w:r w:rsidRPr="003736DA" w:rsidR="0076619F">
        <w:t xml:space="preserve">31 hours </w:t>
      </w:r>
      <w:r w:rsidR="008206BA">
        <w:t xml:space="preserve">are not reflected in the </w:t>
      </w:r>
      <w:r w:rsidR="00413A4C">
        <w:t xml:space="preserve">estimated </w:t>
      </w:r>
      <w:r w:rsidR="00CD0943">
        <w:t>sub</w:t>
      </w:r>
      <w:r w:rsidR="00817957">
        <w:t>total</w:t>
      </w:r>
      <w:r w:rsidRPr="003736DA" w:rsidR="0076619F">
        <w:t>.</w:t>
      </w:r>
      <w:r w:rsidRPr="003736DA">
        <w:t xml:space="preserve"> </w:t>
      </w:r>
    </w:p>
    <w:p w:rsidR="0063377C" w:rsidRPr="00D65C32" w:rsidP="0084243C" w14:paraId="3A49EA64" w14:textId="77777777">
      <w:pPr>
        <w:keepLines/>
        <w:rPr>
          <w:highlight w:val="yellow"/>
        </w:rPr>
      </w:pPr>
    </w:p>
    <w:p w:rsidR="00DA5364" w:rsidRPr="00B11722" w:rsidP="00DA5364" w14:paraId="6DC4FC8C" w14:textId="77777777">
      <w:pPr>
        <w:suppressAutoHyphens/>
      </w:pPr>
      <w:r w:rsidRPr="00B11722">
        <w:t>13</w:t>
      </w:r>
      <w:r w:rsidRPr="00B11722">
        <w:t xml:space="preserve">.  </w:t>
      </w:r>
      <w:r w:rsidRPr="00B11722">
        <w:rPr>
          <w:u w:val="single"/>
        </w:rPr>
        <w:t>Estimate</w:t>
      </w:r>
      <w:r w:rsidRPr="00B11722">
        <w:rPr>
          <w:u w:val="single"/>
        </w:rPr>
        <w:t xml:space="preserve"> of </w:t>
      </w:r>
      <w:r w:rsidRPr="00B11722" w:rsidR="00311148">
        <w:rPr>
          <w:u w:val="single"/>
        </w:rPr>
        <w:t>Start-up Costs to Respondents</w:t>
      </w:r>
    </w:p>
    <w:p w:rsidR="00CC72FE" w:rsidRPr="00B11722" w:rsidP="00CC72FE" w14:paraId="39198B09" w14:textId="77777777">
      <w:pPr>
        <w:suppressAutoHyphens/>
      </w:pPr>
    </w:p>
    <w:p w:rsidR="00BE6AAC" w:rsidRPr="00B11722" w:rsidP="00BE6AAC" w14:paraId="23F79BA2" w14:textId="77777777">
      <w:pPr>
        <w:rPr>
          <w:color w:val="000000"/>
        </w:rPr>
      </w:pPr>
      <w:r w:rsidRPr="00B11722">
        <w:t>None.</w:t>
      </w:r>
    </w:p>
    <w:p w:rsidR="00DA5364" w:rsidRPr="00B11722" w:rsidP="00DA5364" w14:paraId="6D1A54A4" w14:textId="77777777">
      <w:pPr>
        <w:tabs>
          <w:tab w:val="left" w:pos="-1440"/>
          <w:tab w:val="left" w:pos="-720"/>
          <w:tab w:val="left" w:pos="0"/>
          <w:tab w:val="left" w:pos="432"/>
          <w:tab w:val="left" w:pos="720"/>
        </w:tabs>
        <w:suppressAutoHyphens/>
      </w:pPr>
    </w:p>
    <w:p w:rsidR="00CD3353" w:rsidRPr="00B11722" w14:paraId="262DF9A9" w14:textId="77777777"/>
    <w:p w:rsidR="00DA5364" w:rsidRPr="00B11722" w:rsidP="004C1B25" w14:paraId="4CCF9964" w14:textId="77777777">
      <w:r w:rsidRPr="00B11722">
        <w:t>14</w:t>
      </w:r>
      <w:r w:rsidRPr="00B11722">
        <w:t xml:space="preserve">.  </w:t>
      </w:r>
      <w:r w:rsidRPr="00B11722">
        <w:rPr>
          <w:u w:val="single"/>
        </w:rPr>
        <w:t>Estimate</w:t>
      </w:r>
      <w:r w:rsidRPr="00B11722">
        <w:rPr>
          <w:u w:val="single"/>
        </w:rPr>
        <w:t xml:space="preserve"> of Total Annual Cost to the Federal Government</w:t>
      </w:r>
    </w:p>
    <w:p w:rsidR="00311148" w:rsidRPr="00B11722" w:rsidP="00311148" w14:paraId="533C78BA" w14:textId="77777777">
      <w:pPr>
        <w:tabs>
          <w:tab w:val="left" w:pos="-1440"/>
          <w:tab w:val="left" w:pos="-720"/>
          <w:tab w:val="left" w:pos="0"/>
          <w:tab w:val="left" w:pos="432"/>
          <w:tab w:val="left" w:pos="720"/>
        </w:tabs>
        <w:suppressAutoHyphens/>
      </w:pPr>
    </w:p>
    <w:p w:rsidR="00311148" w:rsidRPr="00B11722" w:rsidP="00311148" w14:paraId="51F06AE2" w14:textId="61DEF433">
      <w:pPr>
        <w:tabs>
          <w:tab w:val="left" w:pos="-1440"/>
          <w:tab w:val="left" w:pos="-720"/>
          <w:tab w:val="left" w:pos="0"/>
          <w:tab w:val="left" w:pos="432"/>
          <w:tab w:val="left" w:pos="720"/>
        </w:tabs>
        <w:suppressAutoHyphens/>
        <w:rPr>
          <w:szCs w:val="20"/>
        </w:rPr>
      </w:pPr>
      <w:r>
        <w:rPr>
          <w:szCs w:val="20"/>
        </w:rPr>
        <w:t>The FFIEC pays for hosting and maintenance expenses for the CDR and bills the three participating FFIEC member agencies (i.e., FDIC, FRB, and OCC). The FDIC’s current allocation for 2025 is $1,527,036.84.</w:t>
      </w:r>
    </w:p>
    <w:p w:rsidR="00DA5364" w:rsidRPr="00D65C32" w:rsidP="00DA5364" w14:paraId="0F414ED9" w14:textId="77777777">
      <w:pPr>
        <w:suppressAutoHyphens/>
        <w:rPr>
          <w:highlight w:val="yellow"/>
        </w:rPr>
      </w:pPr>
    </w:p>
    <w:p w:rsidR="00F6774E" w:rsidRPr="00D65C32" w14:paraId="577AA024" w14:textId="77777777">
      <w:pPr>
        <w:rPr>
          <w:highlight w:val="yellow"/>
        </w:rPr>
      </w:pPr>
    </w:p>
    <w:p w:rsidR="00DA5364" w:rsidP="00DA5364" w14:paraId="165E5F98" w14:textId="17453812">
      <w:pPr>
        <w:suppressAutoHyphens/>
        <w:rPr>
          <w:u w:val="single"/>
        </w:rPr>
      </w:pPr>
      <w:r w:rsidRPr="00CE1BD5">
        <w:t>15</w:t>
      </w:r>
      <w:r w:rsidRPr="00CE1BD5">
        <w:t xml:space="preserve">.  </w:t>
      </w:r>
      <w:r w:rsidRPr="00CE1BD5">
        <w:rPr>
          <w:u w:val="single"/>
        </w:rPr>
        <w:t>Reason</w:t>
      </w:r>
      <w:r w:rsidRPr="00CE1BD5">
        <w:rPr>
          <w:u w:val="single"/>
        </w:rPr>
        <w:t xml:space="preserve"> for Change in Burden</w:t>
      </w:r>
    </w:p>
    <w:p w:rsidR="000A6ACF" w:rsidRPr="00CE1BD5" w:rsidP="0058662A" w14:paraId="3D860DE1" w14:textId="1728B03E">
      <w:pPr>
        <w:pStyle w:val="CommentText"/>
        <w:rPr>
          <w:sz w:val="24"/>
          <w:szCs w:val="24"/>
        </w:rPr>
      </w:pPr>
    </w:p>
    <w:p w:rsidR="00CE1BD5" w:rsidRPr="00A21E42" w:rsidP="00CE1BD5" w14:paraId="336112FB" w14:textId="0AFB3074">
      <w:pPr>
        <w:suppressAutoHyphens/>
      </w:pPr>
      <w:r w:rsidRPr="00CE1BD5">
        <w:t xml:space="preserve">The </w:t>
      </w:r>
      <w:r w:rsidRPr="00CE1BD5">
        <w:t>decrease</w:t>
      </w:r>
      <w:r w:rsidRPr="00CE1BD5">
        <w:t xml:space="preserve"> in burden </w:t>
      </w:r>
      <w:r w:rsidRPr="00CE1BD5">
        <w:t xml:space="preserve">of </w:t>
      </w:r>
      <w:r w:rsidR="00614EA0">
        <w:t>19</w:t>
      </w:r>
      <w:r w:rsidR="00890AB0">
        <w:t>,</w:t>
      </w:r>
      <w:r w:rsidR="00614EA0">
        <w:t>341</w:t>
      </w:r>
      <w:r w:rsidRPr="00CE1BD5">
        <w:t xml:space="preserve"> hours </w:t>
      </w:r>
      <w:r w:rsidRPr="00CE1BD5">
        <w:t xml:space="preserve">from </w:t>
      </w:r>
      <w:r w:rsidR="00890AB0">
        <w:t>46</w:t>
      </w:r>
      <w:r w:rsidR="004A386B">
        <w:t>1</w:t>
      </w:r>
      <w:r w:rsidR="00890AB0">
        <w:t>,</w:t>
      </w:r>
      <w:r w:rsidR="004A386B">
        <w:t>962</w:t>
      </w:r>
      <w:r w:rsidRPr="00CE1BD5">
        <w:t xml:space="preserve"> hours to </w:t>
      </w:r>
      <w:r w:rsidR="00890AB0">
        <w:t>4</w:t>
      </w:r>
      <w:r w:rsidR="004A386B">
        <w:t>4</w:t>
      </w:r>
      <w:r w:rsidR="00CF0BA4">
        <w:t>2</w:t>
      </w:r>
      <w:r w:rsidR="00890AB0">
        <w:t>,</w:t>
      </w:r>
      <w:r w:rsidR="00CF0BA4">
        <w:t>621</w:t>
      </w:r>
      <w:r w:rsidR="00890AB0">
        <w:t xml:space="preserve"> hours</w:t>
      </w:r>
      <w:r w:rsidRPr="00CE1BD5">
        <w:t xml:space="preserve"> is due to </w:t>
      </w:r>
      <w:r w:rsidRPr="00CE1BD5">
        <w:t>the reduction of institutions filing t</w:t>
      </w:r>
      <w:r>
        <w:t>he Call Report</w:t>
      </w:r>
      <w:r w:rsidR="00591B72">
        <w:t xml:space="preserve">. </w:t>
      </w:r>
      <w:r>
        <w:t>The number of filers decreased fro</w:t>
      </w:r>
      <w:r w:rsidRPr="00A21E42">
        <w:t xml:space="preserve">m </w:t>
      </w:r>
      <w:r w:rsidR="00890AB0">
        <w:t>2,</w:t>
      </w:r>
      <w:r w:rsidR="004A386B">
        <w:t>929</w:t>
      </w:r>
      <w:r w:rsidRPr="00A21E42">
        <w:t xml:space="preserve"> to </w:t>
      </w:r>
      <w:r w:rsidR="003C105C">
        <w:t xml:space="preserve">2,825. </w:t>
      </w:r>
      <w:r w:rsidR="005418D4">
        <w:t xml:space="preserve"> </w:t>
      </w:r>
    </w:p>
    <w:p w:rsidR="00CE1BD5" w:rsidRPr="008F16F9" w:rsidP="00DA5364" w14:paraId="3F973E03" w14:textId="77777777">
      <w:pPr>
        <w:suppressAutoHyphens/>
        <w:rPr>
          <w:snapToGrid w:val="0"/>
          <w:lang w:eastAsia="ja-JP"/>
        </w:rPr>
      </w:pPr>
    </w:p>
    <w:p w:rsidR="008F16F9" w:rsidRPr="00D65C32" w:rsidP="00DA5364" w14:paraId="5D8C8003" w14:textId="77777777">
      <w:pPr>
        <w:suppressAutoHyphens/>
        <w:rPr>
          <w:highlight w:val="yellow"/>
        </w:rPr>
      </w:pPr>
    </w:p>
    <w:p w:rsidR="00DA5364" w:rsidRPr="00B11722" w:rsidP="00DA5364" w14:paraId="7217EBDF" w14:textId="77777777">
      <w:pPr>
        <w:suppressAutoHyphens/>
      </w:pPr>
      <w:r w:rsidRPr="00B11722">
        <w:t>16</w:t>
      </w:r>
      <w:r w:rsidRPr="00B11722">
        <w:t xml:space="preserve">.  </w:t>
      </w:r>
      <w:r w:rsidRPr="00B11722">
        <w:rPr>
          <w:u w:val="single"/>
        </w:rPr>
        <w:t>Publication</w:t>
      </w:r>
    </w:p>
    <w:p w:rsidR="00DA5364" w:rsidRPr="00B11722" w:rsidP="00DA5364" w14:paraId="1AC0C2B9" w14:textId="77777777">
      <w:pPr>
        <w:suppressAutoHyphens/>
      </w:pPr>
    </w:p>
    <w:p w:rsidR="00DA3CD4" w:rsidRPr="00B11722" w:rsidP="00DA3CD4" w14:paraId="6FFAFEA8" w14:textId="77777777">
      <w:pPr>
        <w:suppressAutoHyphens/>
      </w:pPr>
      <w:r w:rsidRPr="00B11722">
        <w:t>Not applicable</w:t>
      </w:r>
      <w:r w:rsidRPr="00B11722">
        <w:t>.</w:t>
      </w:r>
    </w:p>
    <w:p w:rsidR="00DA3CD4" w:rsidRPr="00B11722" w:rsidP="00DA3CD4" w14:paraId="0B086FDE" w14:textId="77777777">
      <w:pPr>
        <w:suppressAutoHyphens/>
      </w:pPr>
    </w:p>
    <w:p w:rsidR="00787E35" w:rsidRPr="00B11722" w:rsidP="00DA5364" w14:paraId="5DB83C70" w14:textId="77777777">
      <w:pPr>
        <w:suppressAutoHyphens/>
      </w:pPr>
    </w:p>
    <w:p w:rsidR="00DA5364" w:rsidRPr="00B11722" w:rsidP="00DA5364" w14:paraId="7FF375A4" w14:textId="77777777">
      <w:pPr>
        <w:suppressAutoHyphens/>
      </w:pPr>
      <w:r w:rsidRPr="00B11722">
        <w:t>17</w:t>
      </w:r>
      <w:r w:rsidRPr="00B11722">
        <w:t xml:space="preserve">.  </w:t>
      </w:r>
      <w:r w:rsidRPr="00B11722">
        <w:rPr>
          <w:u w:val="single"/>
        </w:rPr>
        <w:t>Display</w:t>
      </w:r>
      <w:r w:rsidRPr="00B11722">
        <w:rPr>
          <w:u w:val="single"/>
        </w:rPr>
        <w:t xml:space="preserve"> of Expiration Date</w:t>
      </w:r>
    </w:p>
    <w:p w:rsidR="00DA5364" w:rsidRPr="00B11722" w:rsidP="00DA5364" w14:paraId="39F5166E" w14:textId="77777777">
      <w:pPr>
        <w:suppressAutoHyphens/>
      </w:pPr>
    </w:p>
    <w:p w:rsidR="00DA5364" w:rsidRPr="00B11722" w:rsidP="00DA5364" w14:paraId="0A6A4B90" w14:textId="77777777">
      <w:pPr>
        <w:suppressAutoHyphens/>
      </w:pPr>
      <w:r w:rsidRPr="00B11722">
        <w:t>Not applicable.</w:t>
      </w:r>
    </w:p>
    <w:p w:rsidR="003F4E9A" w:rsidRPr="00D65C32" w14:paraId="2AE17F5F" w14:textId="77777777">
      <w:pPr>
        <w:rPr>
          <w:highlight w:val="yellow"/>
        </w:rPr>
      </w:pPr>
    </w:p>
    <w:p w:rsidR="00810589" w:rsidRPr="00D65C32" w14:paraId="27E031DC" w14:textId="77777777">
      <w:pPr>
        <w:rPr>
          <w:highlight w:val="yellow"/>
        </w:rPr>
      </w:pPr>
    </w:p>
    <w:p w:rsidR="00DA5364" w:rsidRPr="00B11722" w:rsidP="00DA5364" w14:paraId="5EE5904C" w14:textId="77777777">
      <w:pPr>
        <w:suppressAutoHyphens/>
      </w:pPr>
      <w:r w:rsidRPr="00B11722">
        <w:t>18</w:t>
      </w:r>
      <w:r w:rsidRPr="00B11722">
        <w:t xml:space="preserve">.  </w:t>
      </w:r>
      <w:r w:rsidRPr="00B11722">
        <w:rPr>
          <w:u w:val="single"/>
        </w:rPr>
        <w:t>Exceptions</w:t>
      </w:r>
      <w:r w:rsidRPr="00B11722">
        <w:rPr>
          <w:u w:val="single"/>
        </w:rPr>
        <w:t xml:space="preserve"> to Certification</w:t>
      </w:r>
    </w:p>
    <w:p w:rsidR="00DA5364" w:rsidRPr="00B11722" w:rsidP="00DA5364" w14:paraId="27DDA979" w14:textId="77777777">
      <w:pPr>
        <w:suppressAutoHyphens/>
      </w:pPr>
    </w:p>
    <w:p w:rsidR="00DA5364" w:rsidRPr="00B11722" w:rsidP="00DA5364" w14:paraId="7DBB5614" w14:textId="77777777">
      <w:pPr>
        <w:suppressAutoHyphens/>
      </w:pPr>
      <w:r w:rsidRPr="00B11722">
        <w:t>None.</w:t>
      </w:r>
    </w:p>
    <w:p w:rsidR="00F6639B" w:rsidRPr="00B11722" w:rsidP="00DA5364" w14:paraId="16E23647" w14:textId="77777777">
      <w:pPr>
        <w:suppressAutoHyphens/>
      </w:pPr>
    </w:p>
    <w:p w:rsidR="00F6639B" w:rsidRPr="00B11722" w:rsidP="00DA5364" w14:paraId="7F4902C1" w14:textId="77777777">
      <w:pPr>
        <w:suppressAutoHyphens/>
      </w:pPr>
    </w:p>
    <w:p w:rsidR="00DA5364" w:rsidRPr="00B11722" w:rsidP="00CA66AA" w14:paraId="2EFB9276" w14:textId="77777777">
      <w:pPr>
        <w:suppressAutoHyphens/>
      </w:pPr>
      <w:r w:rsidRPr="00B11722">
        <w:t xml:space="preserve">B.  </w:t>
      </w:r>
      <w:r w:rsidRPr="00B11722">
        <w:rPr>
          <w:u w:val="single"/>
        </w:rPr>
        <w:t>COLLECTION OF INFORMATION EMPLOYING STATISTICAL METHODS</w:t>
      </w:r>
    </w:p>
    <w:p w:rsidR="00DA5364" w:rsidRPr="00B11722" w:rsidP="00CA66AA" w14:paraId="042E8586" w14:textId="77777777">
      <w:pPr>
        <w:suppressAutoHyphens/>
      </w:pPr>
    </w:p>
    <w:p w:rsidR="00EB076D" w:rsidP="005654C6" w14:paraId="07C51231" w14:textId="77777777">
      <w:pPr>
        <w:suppressAutoHyphens/>
      </w:pPr>
      <w:r w:rsidRPr="00B11722">
        <w:t>Not applicable.</w:t>
      </w:r>
    </w:p>
    <w:p w:rsidR="00330E78" w:rsidP="005654C6" w14:paraId="2E57913B" w14:textId="77777777">
      <w:pPr>
        <w:suppressAutoHyphens/>
      </w:pPr>
    </w:p>
    <w:sectPr w:rsidSect="007D3E19">
      <w:headerReference w:type="default" r:id="rId6"/>
      <w:pgSz w:w="12240" w:h="15840" w:code="1"/>
      <w:pgMar w:top="1440" w:right="1800" w:bottom="1440" w:left="180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ourier 12pt">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5A88" w14:paraId="575C7D9D" w14:textId="77777777">
      <w:r>
        <w:separator/>
      </w:r>
    </w:p>
  </w:footnote>
  <w:footnote w:type="continuationSeparator" w:id="1">
    <w:p w:rsidR="00975A88" w14:paraId="03A2E47C" w14:textId="77777777">
      <w:r>
        <w:continuationSeparator/>
      </w:r>
    </w:p>
  </w:footnote>
  <w:footnote w:type="continuationNotice" w:id="2">
    <w:p w:rsidR="00975A88" w14:paraId="55F954BC" w14:textId="77777777"/>
  </w:footnote>
  <w:footnote w:id="3">
    <w:p w:rsidR="009550EE" w:rsidRPr="00345417" w:rsidP="00E875CD" w14:paraId="78A4F001" w14:textId="26FAC677">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These Call Report items will be reviewed in connection with the statutorily mandated review of the Call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0EE" w14:paraId="334DB344" w14:textId="77777777">
    <w:pPr>
      <w:tabs>
        <w:tab w:val="left" w:pos="-1440"/>
        <w:tab w:val="left" w:pos="-720"/>
        <w:tab w:val="left" w:pos="0"/>
        <w:tab w:val="left" w:pos="432"/>
        <w:tab w:val="left" w:pos="720"/>
        <w:tab w:val="left" w:pos="1008"/>
        <w:tab w:val="left" w:pos="1440"/>
      </w:tabs>
      <w:suppressAutoHyphens/>
      <w:jc w:val="both"/>
    </w:pPr>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0</wp:posOffset>
              </wp:positionV>
              <wp:extent cx="5943600" cy="139700"/>
              <wp:effectExtent l="0" t="0" r="0" b="3175"/>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397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9550EE" w:rsidRPr="00C02911" w14:textId="2183125B">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4E19C6">
                            <w:rPr>
                              <w:noProof/>
                              <w:spacing w:val="-2"/>
                            </w:rPr>
                            <w:t>11</w:t>
                          </w:r>
                          <w:r w:rsidRPr="00C02911">
                            <w:rPr>
                              <w:spacing w:val="-2"/>
                            </w:rPr>
                            <w:fldChar w:fldCharType="end"/>
                          </w:r>
                          <w:r w:rsidRPr="00C02911">
                            <w:rPr>
                              <w:spacing w:val="-2"/>
                            </w:rPr>
                            <w:t xml:space="preserve"> </w:t>
                          </w:r>
                          <w:r w:rsidRPr="00C02911">
                            <w:rPr>
                              <w:spacing w:val="-2"/>
                            </w:rPr>
                            <w:noBreakHyphen/>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1pt;margin-top:0;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9550EE" w:rsidRPr="00C02911" w14:paraId="6D471826" w14:textId="2183125B">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4E19C6">
                      <w:rPr>
                        <w:noProof/>
                        <w:spacing w:val="-2"/>
                      </w:rPr>
                      <w:t>11</w:t>
                    </w:r>
                    <w:r w:rsidRPr="00C02911">
                      <w:rPr>
                        <w:spacing w:val="-2"/>
                      </w:rPr>
                      <w:fldChar w:fldCharType="end"/>
                    </w:r>
                    <w:r w:rsidRPr="00C02911">
                      <w:rPr>
                        <w:spacing w:val="-2"/>
                      </w:rPr>
                      <w:t xml:space="preserve"> </w:t>
                    </w:r>
                    <w:r w:rsidRPr="00C02911">
                      <w:rPr>
                        <w:spacing w:val="-2"/>
                      </w:rPr>
                      <w:noBreakHyphen/>
                    </w:r>
                  </w:p>
                </w:txbxContent>
              </v:textbox>
            </v:rect>
          </w:pict>
        </mc:Fallback>
      </mc:AlternateContent>
    </w:r>
  </w:p>
  <w:p w:rsidR="009550EE" w14:paraId="46E2F418" w14:textId="77777777">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8209E"/>
    <w:multiLevelType w:val="hybridMultilevel"/>
    <w:tmpl w:val="B984A3F0"/>
    <w:lvl w:ilvl="0">
      <w:start w:val="1"/>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951E07"/>
    <w:multiLevelType w:val="hybridMultilevel"/>
    <w:tmpl w:val="629207C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863162"/>
    <w:multiLevelType w:val="hybridMultilevel"/>
    <w:tmpl w:val="9006B5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F13D38"/>
    <w:multiLevelType w:val="hybridMultilevel"/>
    <w:tmpl w:val="7C7E82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C0302D2"/>
    <w:multiLevelType w:val="hybridMultilevel"/>
    <w:tmpl w:val="DC5EC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4F6EE3"/>
    <w:multiLevelType w:val="hybridMultilevel"/>
    <w:tmpl w:val="FB581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69209B"/>
    <w:multiLevelType w:val="hybridMultilevel"/>
    <w:tmpl w:val="96B418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2E1D02"/>
    <w:multiLevelType w:val="hybridMultilevel"/>
    <w:tmpl w:val="352E77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25F0C35"/>
    <w:multiLevelType w:val="hybridMultilevel"/>
    <w:tmpl w:val="DBB442FC"/>
    <w:lvl w:ilvl="0">
      <w:start w:val="1"/>
      <w:numFmt w:val="upperLetter"/>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6DF1E1B"/>
    <w:multiLevelType w:val="hybridMultilevel"/>
    <w:tmpl w:val="CE90F5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FE96075"/>
    <w:multiLevelType w:val="hybridMultilevel"/>
    <w:tmpl w:val="8BA271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F24297"/>
    <w:multiLevelType w:val="hybridMultilevel"/>
    <w:tmpl w:val="D92054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26F24CD"/>
    <w:multiLevelType w:val="hybridMultilevel"/>
    <w:tmpl w:val="25F0AA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3A70384"/>
    <w:multiLevelType w:val="hybridMultilevel"/>
    <w:tmpl w:val="35B25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7A1C76"/>
    <w:multiLevelType w:val="hybridMultilevel"/>
    <w:tmpl w:val="351A7ED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93C2F0D"/>
    <w:multiLevelType w:val="hybridMultilevel"/>
    <w:tmpl w:val="8EBE7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DC10DC"/>
    <w:multiLevelType w:val="hybridMultilevel"/>
    <w:tmpl w:val="629207C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A98544B"/>
    <w:multiLevelType w:val="hybridMultilevel"/>
    <w:tmpl w:val="4412D0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2C1D08BD"/>
    <w:multiLevelType w:val="hybridMultilevel"/>
    <w:tmpl w:val="352E77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3527D96"/>
    <w:multiLevelType w:val="hybridMultilevel"/>
    <w:tmpl w:val="CE90F5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4BB3417"/>
    <w:multiLevelType w:val="hybridMultilevel"/>
    <w:tmpl w:val="96EEC4F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997029A"/>
    <w:multiLevelType w:val="hybridMultilevel"/>
    <w:tmpl w:val="E0665E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D4715DC"/>
    <w:multiLevelType w:val="hybridMultilevel"/>
    <w:tmpl w:val="53626CE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7A71BCD"/>
    <w:multiLevelType w:val="hybridMultilevel"/>
    <w:tmpl w:val="629207C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E0B3627"/>
    <w:multiLevelType w:val="hybridMultilevel"/>
    <w:tmpl w:val="5AC22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2DD32D2"/>
    <w:multiLevelType w:val="hybridMultilevel"/>
    <w:tmpl w:val="D828FE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6705D06"/>
    <w:multiLevelType w:val="hybridMultilevel"/>
    <w:tmpl w:val="FD9E57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9282798"/>
    <w:multiLevelType w:val="hybridMultilevel"/>
    <w:tmpl w:val="6DC6A8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C0B6751"/>
    <w:multiLevelType w:val="hybridMultilevel"/>
    <w:tmpl w:val="92C4DB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D6D734B"/>
    <w:multiLevelType w:val="singleLevel"/>
    <w:tmpl w:val="EFCCE67C"/>
    <w:lvl w:ilvl="0">
      <w:start w:val="1"/>
      <w:numFmt w:val="decimal"/>
      <w:lvlText w:val="%1"/>
      <w:lvlJc w:val="left"/>
      <w:pPr>
        <w:tabs>
          <w:tab w:val="num" w:pos="1440"/>
        </w:tabs>
        <w:ind w:left="1440" w:hanging="1080"/>
      </w:pPr>
      <w:rPr>
        <w:rFonts w:ascii="Arial" w:hAnsi="Arial" w:hint="default"/>
        <w:b/>
        <w:i w:val="0"/>
        <w:sz w:val="20"/>
      </w:rPr>
    </w:lvl>
  </w:abstractNum>
  <w:abstractNum w:abstractNumId="30">
    <w:nsid w:val="5DA42EB3"/>
    <w:multiLevelType w:val="hybridMultilevel"/>
    <w:tmpl w:val="5854F17E"/>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B766A4"/>
    <w:multiLevelType w:val="hybridMultilevel"/>
    <w:tmpl w:val="CE90F5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27D0ED1"/>
    <w:multiLevelType w:val="hybridMultilevel"/>
    <w:tmpl w:val="2A14C2C4"/>
    <w:lvl w:ilvl="0">
      <w:start w:val="1"/>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2FA6580"/>
    <w:multiLevelType w:val="hybridMultilevel"/>
    <w:tmpl w:val="CABE7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5C87ED3"/>
    <w:multiLevelType w:val="hybridMultilevel"/>
    <w:tmpl w:val="3F38C9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698259B"/>
    <w:multiLevelType w:val="hybridMultilevel"/>
    <w:tmpl w:val="924AC74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8B95088"/>
    <w:multiLevelType w:val="hybridMultilevel"/>
    <w:tmpl w:val="352E77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CCE683B"/>
    <w:multiLevelType w:val="hybridMultilevel"/>
    <w:tmpl w:val="F3C203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3293BF5"/>
    <w:multiLevelType w:val="hybridMultilevel"/>
    <w:tmpl w:val="C34813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F962F2"/>
    <w:multiLevelType w:val="hybridMultilevel"/>
    <w:tmpl w:val="302EA756"/>
    <w:lvl w:ilvl="0">
      <w:start w:val="1"/>
      <w:numFmt w:val="decimal"/>
      <w:lvlText w:val="%1."/>
      <w:lvlJc w:val="left"/>
      <w:pPr>
        <w:ind w:left="1440" w:hanging="360"/>
      </w:pPr>
      <w:rPr>
        <w: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4750710"/>
    <w:multiLevelType w:val="hybridMultilevel"/>
    <w:tmpl w:val="6630C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967DB8"/>
    <w:multiLevelType w:val="hybridMultilevel"/>
    <w:tmpl w:val="B8D43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0C7984"/>
    <w:multiLevelType w:val="hybridMultilevel"/>
    <w:tmpl w:val="3392C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DE8729B"/>
    <w:multiLevelType w:val="hybridMultilevel"/>
    <w:tmpl w:val="0F9ADA64"/>
    <w:lvl w:ilvl="0">
      <w:start w:val="1"/>
      <w:numFmt w:val="lowerLetter"/>
      <w:lvlText w:val="(%1)"/>
      <w:lvlJc w:val="left"/>
      <w:pPr>
        <w:ind w:left="774" w:hanging="360"/>
      </w:p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num w:numId="1" w16cid:durableId="321351824">
    <w:abstractNumId w:val="21"/>
  </w:num>
  <w:num w:numId="2" w16cid:durableId="227888602">
    <w:abstractNumId w:val="14"/>
  </w:num>
  <w:num w:numId="3" w16cid:durableId="452284960">
    <w:abstractNumId w:val="37"/>
  </w:num>
  <w:num w:numId="4" w16cid:durableId="1037462989">
    <w:abstractNumId w:val="27"/>
  </w:num>
  <w:num w:numId="5" w16cid:durableId="15665188">
    <w:abstractNumId w:val="3"/>
  </w:num>
  <w:num w:numId="6" w16cid:durableId="2081633981">
    <w:abstractNumId w:val="11"/>
  </w:num>
  <w:num w:numId="7" w16cid:durableId="1715227181">
    <w:abstractNumId w:val="29"/>
  </w:num>
  <w:num w:numId="8" w16cid:durableId="809513650">
    <w:abstractNumId w:val="38"/>
  </w:num>
  <w:num w:numId="9" w16cid:durableId="2064331269">
    <w:abstractNumId w:val="30"/>
  </w:num>
  <w:num w:numId="10" w16cid:durableId="1468891112">
    <w:abstractNumId w:val="43"/>
  </w:num>
  <w:num w:numId="11" w16cid:durableId="1573781665">
    <w:abstractNumId w:val="26"/>
  </w:num>
  <w:num w:numId="12" w16cid:durableId="1995865617">
    <w:abstractNumId w:val="25"/>
  </w:num>
  <w:num w:numId="13" w16cid:durableId="1508976913">
    <w:abstractNumId w:val="34"/>
  </w:num>
  <w:num w:numId="14" w16cid:durableId="369112267">
    <w:abstractNumId w:val="6"/>
  </w:num>
  <w:num w:numId="15" w16cid:durableId="1821380040">
    <w:abstractNumId w:val="2"/>
  </w:num>
  <w:num w:numId="16" w16cid:durableId="1951542287">
    <w:abstractNumId w:val="17"/>
  </w:num>
  <w:num w:numId="17" w16cid:durableId="26952518">
    <w:abstractNumId w:val="8"/>
  </w:num>
  <w:num w:numId="18" w16cid:durableId="471796629">
    <w:abstractNumId w:val="32"/>
  </w:num>
  <w:num w:numId="19" w16cid:durableId="1998654933">
    <w:abstractNumId w:val="0"/>
  </w:num>
  <w:num w:numId="20" w16cid:durableId="373819371">
    <w:abstractNumId w:val="9"/>
  </w:num>
  <w:num w:numId="21" w16cid:durableId="2110810137">
    <w:abstractNumId w:val="16"/>
  </w:num>
  <w:num w:numId="22" w16cid:durableId="1750537138">
    <w:abstractNumId w:val="7"/>
  </w:num>
  <w:num w:numId="23" w16cid:durableId="61756612">
    <w:abstractNumId w:val="23"/>
  </w:num>
  <w:num w:numId="24" w16cid:durableId="2068408558">
    <w:abstractNumId w:val="19"/>
  </w:num>
  <w:num w:numId="25" w16cid:durableId="1677803328">
    <w:abstractNumId w:val="39"/>
  </w:num>
  <w:num w:numId="26" w16cid:durableId="173956983">
    <w:abstractNumId w:val="40"/>
  </w:num>
  <w:num w:numId="27" w16cid:durableId="619724121">
    <w:abstractNumId w:val="5"/>
  </w:num>
  <w:num w:numId="28" w16cid:durableId="291987862">
    <w:abstractNumId w:val="1"/>
  </w:num>
  <w:num w:numId="29" w16cid:durableId="2020620814">
    <w:abstractNumId w:val="18"/>
  </w:num>
  <w:num w:numId="30" w16cid:durableId="485435741">
    <w:abstractNumId w:val="31"/>
  </w:num>
  <w:num w:numId="31" w16cid:durableId="1080979850">
    <w:abstractNumId w:val="36"/>
  </w:num>
  <w:num w:numId="32" w16cid:durableId="1472283750">
    <w:abstractNumId w:val="13"/>
  </w:num>
  <w:num w:numId="33" w16cid:durableId="1143155444">
    <w:abstractNumId w:val="28"/>
  </w:num>
  <w:num w:numId="34" w16cid:durableId="2104033471">
    <w:abstractNumId w:val="22"/>
  </w:num>
  <w:num w:numId="35" w16cid:durableId="1956668374">
    <w:abstractNumId w:val="24"/>
  </w:num>
  <w:num w:numId="36" w16cid:durableId="1337656643">
    <w:abstractNumId w:val="10"/>
  </w:num>
  <w:num w:numId="37" w16cid:durableId="76558130">
    <w:abstractNumId w:val="41"/>
  </w:num>
  <w:num w:numId="38" w16cid:durableId="1569918541">
    <w:abstractNumId w:val="15"/>
  </w:num>
  <w:num w:numId="39" w16cid:durableId="821460087">
    <w:abstractNumId w:val="42"/>
  </w:num>
  <w:num w:numId="40" w16cid:durableId="1362702998">
    <w:abstractNumId w:val="35"/>
  </w:num>
  <w:num w:numId="41" w16cid:durableId="2102600616">
    <w:abstractNumId w:val="12"/>
  </w:num>
  <w:num w:numId="42" w16cid:durableId="1148595139">
    <w:abstractNumId w:val="4"/>
  </w:num>
  <w:num w:numId="43" w16cid:durableId="27605997">
    <w:abstractNumId w:val="20"/>
  </w:num>
  <w:num w:numId="44" w16cid:durableId="1127427023">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364"/>
    <w:rsid w:val="0000034D"/>
    <w:rsid w:val="00000EBE"/>
    <w:rsid w:val="0000182B"/>
    <w:rsid w:val="000036AE"/>
    <w:rsid w:val="000067F9"/>
    <w:rsid w:val="000074FE"/>
    <w:rsid w:val="000079F8"/>
    <w:rsid w:val="00007B06"/>
    <w:rsid w:val="0001044C"/>
    <w:rsid w:val="000121CB"/>
    <w:rsid w:val="00012786"/>
    <w:rsid w:val="0001344D"/>
    <w:rsid w:val="0001371C"/>
    <w:rsid w:val="00013774"/>
    <w:rsid w:val="000138E6"/>
    <w:rsid w:val="00014019"/>
    <w:rsid w:val="000157DC"/>
    <w:rsid w:val="0001708F"/>
    <w:rsid w:val="00017967"/>
    <w:rsid w:val="00017F32"/>
    <w:rsid w:val="000246B3"/>
    <w:rsid w:val="0003363E"/>
    <w:rsid w:val="00035820"/>
    <w:rsid w:val="00036B3A"/>
    <w:rsid w:val="00043207"/>
    <w:rsid w:val="00043F48"/>
    <w:rsid w:val="0004681D"/>
    <w:rsid w:val="000504D3"/>
    <w:rsid w:val="00050E99"/>
    <w:rsid w:val="00052442"/>
    <w:rsid w:val="000578BC"/>
    <w:rsid w:val="00060FCC"/>
    <w:rsid w:val="00061E58"/>
    <w:rsid w:val="00063ABC"/>
    <w:rsid w:val="00063DD0"/>
    <w:rsid w:val="00064713"/>
    <w:rsid w:val="0007005A"/>
    <w:rsid w:val="00070653"/>
    <w:rsid w:val="00070BC9"/>
    <w:rsid w:val="0007320C"/>
    <w:rsid w:val="000766EB"/>
    <w:rsid w:val="0007757C"/>
    <w:rsid w:val="0008199B"/>
    <w:rsid w:val="000820B4"/>
    <w:rsid w:val="000828D5"/>
    <w:rsid w:val="00082BB5"/>
    <w:rsid w:val="00083BA5"/>
    <w:rsid w:val="00086E0C"/>
    <w:rsid w:val="00091262"/>
    <w:rsid w:val="00091C72"/>
    <w:rsid w:val="00091D8B"/>
    <w:rsid w:val="000939F7"/>
    <w:rsid w:val="00094016"/>
    <w:rsid w:val="000942C7"/>
    <w:rsid w:val="000A08BA"/>
    <w:rsid w:val="000A22C8"/>
    <w:rsid w:val="000A2A10"/>
    <w:rsid w:val="000A2BB4"/>
    <w:rsid w:val="000A47AF"/>
    <w:rsid w:val="000A6ACF"/>
    <w:rsid w:val="000B1734"/>
    <w:rsid w:val="000B1A2D"/>
    <w:rsid w:val="000B1DFC"/>
    <w:rsid w:val="000B33BA"/>
    <w:rsid w:val="000B3D55"/>
    <w:rsid w:val="000B402E"/>
    <w:rsid w:val="000B42B8"/>
    <w:rsid w:val="000B5092"/>
    <w:rsid w:val="000B5800"/>
    <w:rsid w:val="000C1028"/>
    <w:rsid w:val="000C1FED"/>
    <w:rsid w:val="000C3103"/>
    <w:rsid w:val="000C3205"/>
    <w:rsid w:val="000C55BB"/>
    <w:rsid w:val="000C59F7"/>
    <w:rsid w:val="000D020F"/>
    <w:rsid w:val="000D0BC0"/>
    <w:rsid w:val="000D21D5"/>
    <w:rsid w:val="000D4B0A"/>
    <w:rsid w:val="000D5593"/>
    <w:rsid w:val="000D668C"/>
    <w:rsid w:val="000E023B"/>
    <w:rsid w:val="000E2097"/>
    <w:rsid w:val="000E2A0D"/>
    <w:rsid w:val="000F19E2"/>
    <w:rsid w:val="000F3773"/>
    <w:rsid w:val="000F55D1"/>
    <w:rsid w:val="00100A5A"/>
    <w:rsid w:val="001017BF"/>
    <w:rsid w:val="001017C9"/>
    <w:rsid w:val="00102603"/>
    <w:rsid w:val="00102BE9"/>
    <w:rsid w:val="0010514A"/>
    <w:rsid w:val="00107B70"/>
    <w:rsid w:val="001141BF"/>
    <w:rsid w:val="00115F28"/>
    <w:rsid w:val="00117853"/>
    <w:rsid w:val="0012031D"/>
    <w:rsid w:val="00121A06"/>
    <w:rsid w:val="00122B7E"/>
    <w:rsid w:val="00122B87"/>
    <w:rsid w:val="00123335"/>
    <w:rsid w:val="00123871"/>
    <w:rsid w:val="0012415F"/>
    <w:rsid w:val="00131EF3"/>
    <w:rsid w:val="00135DF9"/>
    <w:rsid w:val="00137215"/>
    <w:rsid w:val="00140673"/>
    <w:rsid w:val="00140841"/>
    <w:rsid w:val="00142A49"/>
    <w:rsid w:val="0014605C"/>
    <w:rsid w:val="001461F2"/>
    <w:rsid w:val="00146A71"/>
    <w:rsid w:val="00147104"/>
    <w:rsid w:val="001473D5"/>
    <w:rsid w:val="00147C9D"/>
    <w:rsid w:val="00150F6F"/>
    <w:rsid w:val="00151982"/>
    <w:rsid w:val="00152912"/>
    <w:rsid w:val="00154E3D"/>
    <w:rsid w:val="001571F8"/>
    <w:rsid w:val="001577FD"/>
    <w:rsid w:val="001603A6"/>
    <w:rsid w:val="00160A78"/>
    <w:rsid w:val="00162226"/>
    <w:rsid w:val="001622E3"/>
    <w:rsid w:val="00165658"/>
    <w:rsid w:val="00166426"/>
    <w:rsid w:val="0016683D"/>
    <w:rsid w:val="001676F4"/>
    <w:rsid w:val="001762E5"/>
    <w:rsid w:val="001813E0"/>
    <w:rsid w:val="00183A52"/>
    <w:rsid w:val="001843B5"/>
    <w:rsid w:val="00185DB2"/>
    <w:rsid w:val="0018793B"/>
    <w:rsid w:val="0019278A"/>
    <w:rsid w:val="00192C76"/>
    <w:rsid w:val="00192F58"/>
    <w:rsid w:val="00193B9D"/>
    <w:rsid w:val="00195B56"/>
    <w:rsid w:val="0019630E"/>
    <w:rsid w:val="00196400"/>
    <w:rsid w:val="0019721C"/>
    <w:rsid w:val="001A37D0"/>
    <w:rsid w:val="001A3CF9"/>
    <w:rsid w:val="001A3EED"/>
    <w:rsid w:val="001A593F"/>
    <w:rsid w:val="001A5A9C"/>
    <w:rsid w:val="001A6CB3"/>
    <w:rsid w:val="001A75C4"/>
    <w:rsid w:val="001A78A4"/>
    <w:rsid w:val="001A7CA2"/>
    <w:rsid w:val="001B06DF"/>
    <w:rsid w:val="001B0D70"/>
    <w:rsid w:val="001B0DA0"/>
    <w:rsid w:val="001B1079"/>
    <w:rsid w:val="001B21EF"/>
    <w:rsid w:val="001B2545"/>
    <w:rsid w:val="001B301C"/>
    <w:rsid w:val="001B6613"/>
    <w:rsid w:val="001C067A"/>
    <w:rsid w:val="001C1F99"/>
    <w:rsid w:val="001C2FC9"/>
    <w:rsid w:val="001C382B"/>
    <w:rsid w:val="001C49FA"/>
    <w:rsid w:val="001C4BA4"/>
    <w:rsid w:val="001C73D9"/>
    <w:rsid w:val="001D4BCB"/>
    <w:rsid w:val="001E07AC"/>
    <w:rsid w:val="001E0EEE"/>
    <w:rsid w:val="001E45AB"/>
    <w:rsid w:val="001E587D"/>
    <w:rsid w:val="001E5DA3"/>
    <w:rsid w:val="001E6B96"/>
    <w:rsid w:val="001F1817"/>
    <w:rsid w:val="001F44DD"/>
    <w:rsid w:val="001F4C07"/>
    <w:rsid w:val="001F615B"/>
    <w:rsid w:val="001F6F69"/>
    <w:rsid w:val="002026E3"/>
    <w:rsid w:val="00202717"/>
    <w:rsid w:val="00205D6E"/>
    <w:rsid w:val="00206AE9"/>
    <w:rsid w:val="00207645"/>
    <w:rsid w:val="002108C0"/>
    <w:rsid w:val="0021415E"/>
    <w:rsid w:val="00214D21"/>
    <w:rsid w:val="00214E69"/>
    <w:rsid w:val="002164AF"/>
    <w:rsid w:val="0021666E"/>
    <w:rsid w:val="00217983"/>
    <w:rsid w:val="00221033"/>
    <w:rsid w:val="002221A9"/>
    <w:rsid w:val="002226D8"/>
    <w:rsid w:val="00222F70"/>
    <w:rsid w:val="00223DDF"/>
    <w:rsid w:val="00225344"/>
    <w:rsid w:val="002337EF"/>
    <w:rsid w:val="00233DA6"/>
    <w:rsid w:val="00234B6E"/>
    <w:rsid w:val="00234EF2"/>
    <w:rsid w:val="002351BE"/>
    <w:rsid w:val="0023786A"/>
    <w:rsid w:val="002404F2"/>
    <w:rsid w:val="002428BD"/>
    <w:rsid w:val="0024369E"/>
    <w:rsid w:val="00244C5D"/>
    <w:rsid w:val="00247568"/>
    <w:rsid w:val="00256704"/>
    <w:rsid w:val="00257989"/>
    <w:rsid w:val="002607BD"/>
    <w:rsid w:val="00260913"/>
    <w:rsid w:val="00261B6B"/>
    <w:rsid w:val="00263E95"/>
    <w:rsid w:val="00263EFA"/>
    <w:rsid w:val="00266648"/>
    <w:rsid w:val="00266F21"/>
    <w:rsid w:val="00267EAC"/>
    <w:rsid w:val="00272C29"/>
    <w:rsid w:val="00274EE1"/>
    <w:rsid w:val="00274FD3"/>
    <w:rsid w:val="00275E56"/>
    <w:rsid w:val="00280CB8"/>
    <w:rsid w:val="002822B9"/>
    <w:rsid w:val="002823DE"/>
    <w:rsid w:val="00282957"/>
    <w:rsid w:val="002835DE"/>
    <w:rsid w:val="00291F56"/>
    <w:rsid w:val="0029572A"/>
    <w:rsid w:val="00295F47"/>
    <w:rsid w:val="002973FE"/>
    <w:rsid w:val="002A01F6"/>
    <w:rsid w:val="002A03C3"/>
    <w:rsid w:val="002A6B7A"/>
    <w:rsid w:val="002A75F8"/>
    <w:rsid w:val="002B0368"/>
    <w:rsid w:val="002B452A"/>
    <w:rsid w:val="002B5035"/>
    <w:rsid w:val="002B5653"/>
    <w:rsid w:val="002B56B3"/>
    <w:rsid w:val="002B5B2F"/>
    <w:rsid w:val="002B66AF"/>
    <w:rsid w:val="002C08BD"/>
    <w:rsid w:val="002C20BE"/>
    <w:rsid w:val="002C241E"/>
    <w:rsid w:val="002C4878"/>
    <w:rsid w:val="002D2387"/>
    <w:rsid w:val="002D2E46"/>
    <w:rsid w:val="002D3C32"/>
    <w:rsid w:val="002D548A"/>
    <w:rsid w:val="002D558C"/>
    <w:rsid w:val="002D5BE0"/>
    <w:rsid w:val="002D6604"/>
    <w:rsid w:val="002E0316"/>
    <w:rsid w:val="002E09B0"/>
    <w:rsid w:val="002E0B6F"/>
    <w:rsid w:val="002E256C"/>
    <w:rsid w:val="002E2B1B"/>
    <w:rsid w:val="002E30A1"/>
    <w:rsid w:val="002E349C"/>
    <w:rsid w:val="002E4255"/>
    <w:rsid w:val="002F53E3"/>
    <w:rsid w:val="002F5D83"/>
    <w:rsid w:val="002F7078"/>
    <w:rsid w:val="00302E69"/>
    <w:rsid w:val="003055B6"/>
    <w:rsid w:val="003069D4"/>
    <w:rsid w:val="00306CB6"/>
    <w:rsid w:val="00310E61"/>
    <w:rsid w:val="00311148"/>
    <w:rsid w:val="003112DB"/>
    <w:rsid w:val="00311F12"/>
    <w:rsid w:val="003123FD"/>
    <w:rsid w:val="00321826"/>
    <w:rsid w:val="00322909"/>
    <w:rsid w:val="0032328D"/>
    <w:rsid w:val="00330E78"/>
    <w:rsid w:val="00331F7D"/>
    <w:rsid w:val="0033220C"/>
    <w:rsid w:val="00332CC1"/>
    <w:rsid w:val="00334760"/>
    <w:rsid w:val="00334C19"/>
    <w:rsid w:val="00336E8F"/>
    <w:rsid w:val="00336F0C"/>
    <w:rsid w:val="00341D99"/>
    <w:rsid w:val="00343E7B"/>
    <w:rsid w:val="00344CBB"/>
    <w:rsid w:val="00345417"/>
    <w:rsid w:val="003458B9"/>
    <w:rsid w:val="00353BBC"/>
    <w:rsid w:val="00353F91"/>
    <w:rsid w:val="00354901"/>
    <w:rsid w:val="00354B93"/>
    <w:rsid w:val="0035601C"/>
    <w:rsid w:val="00356D0D"/>
    <w:rsid w:val="00357CAF"/>
    <w:rsid w:val="00361CD4"/>
    <w:rsid w:val="0036259A"/>
    <w:rsid w:val="00363125"/>
    <w:rsid w:val="00363283"/>
    <w:rsid w:val="00364554"/>
    <w:rsid w:val="003648F1"/>
    <w:rsid w:val="0036490D"/>
    <w:rsid w:val="00366000"/>
    <w:rsid w:val="00366155"/>
    <w:rsid w:val="00367EFD"/>
    <w:rsid w:val="003736DA"/>
    <w:rsid w:val="00373809"/>
    <w:rsid w:val="00375019"/>
    <w:rsid w:val="00375C43"/>
    <w:rsid w:val="00375F07"/>
    <w:rsid w:val="003766CF"/>
    <w:rsid w:val="00380FD9"/>
    <w:rsid w:val="0038366B"/>
    <w:rsid w:val="00384313"/>
    <w:rsid w:val="003843E2"/>
    <w:rsid w:val="0038505B"/>
    <w:rsid w:val="00387778"/>
    <w:rsid w:val="003931DB"/>
    <w:rsid w:val="0039337B"/>
    <w:rsid w:val="003939B7"/>
    <w:rsid w:val="00394A6D"/>
    <w:rsid w:val="003A063D"/>
    <w:rsid w:val="003A3BD2"/>
    <w:rsid w:val="003A6058"/>
    <w:rsid w:val="003B0251"/>
    <w:rsid w:val="003B0DF1"/>
    <w:rsid w:val="003B144B"/>
    <w:rsid w:val="003B14B2"/>
    <w:rsid w:val="003B2407"/>
    <w:rsid w:val="003B4260"/>
    <w:rsid w:val="003B4AC9"/>
    <w:rsid w:val="003B512A"/>
    <w:rsid w:val="003B5ED5"/>
    <w:rsid w:val="003B63B9"/>
    <w:rsid w:val="003C105C"/>
    <w:rsid w:val="003C28C4"/>
    <w:rsid w:val="003C3D4E"/>
    <w:rsid w:val="003C4D51"/>
    <w:rsid w:val="003C662B"/>
    <w:rsid w:val="003C665B"/>
    <w:rsid w:val="003C6F63"/>
    <w:rsid w:val="003D0D30"/>
    <w:rsid w:val="003D1A66"/>
    <w:rsid w:val="003D5944"/>
    <w:rsid w:val="003D7DD0"/>
    <w:rsid w:val="003E115D"/>
    <w:rsid w:val="003E1F7F"/>
    <w:rsid w:val="003E2E5D"/>
    <w:rsid w:val="003E336A"/>
    <w:rsid w:val="003E44AC"/>
    <w:rsid w:val="003E6C6E"/>
    <w:rsid w:val="003F05DD"/>
    <w:rsid w:val="003F108B"/>
    <w:rsid w:val="003F162A"/>
    <w:rsid w:val="003F28F3"/>
    <w:rsid w:val="003F2F78"/>
    <w:rsid w:val="003F4E9A"/>
    <w:rsid w:val="003F675C"/>
    <w:rsid w:val="003F744A"/>
    <w:rsid w:val="003F7944"/>
    <w:rsid w:val="0040051C"/>
    <w:rsid w:val="00401037"/>
    <w:rsid w:val="00406922"/>
    <w:rsid w:val="00410366"/>
    <w:rsid w:val="00413A4C"/>
    <w:rsid w:val="004144E4"/>
    <w:rsid w:val="00414A3B"/>
    <w:rsid w:val="0042035A"/>
    <w:rsid w:val="0042038F"/>
    <w:rsid w:val="00420455"/>
    <w:rsid w:val="00420FEE"/>
    <w:rsid w:val="00422668"/>
    <w:rsid w:val="00425636"/>
    <w:rsid w:val="00427967"/>
    <w:rsid w:val="00427D73"/>
    <w:rsid w:val="004301E5"/>
    <w:rsid w:val="00430538"/>
    <w:rsid w:val="004338AC"/>
    <w:rsid w:val="00437B51"/>
    <w:rsid w:val="00437E79"/>
    <w:rsid w:val="00442A0F"/>
    <w:rsid w:val="00444FA8"/>
    <w:rsid w:val="00445803"/>
    <w:rsid w:val="00451D5B"/>
    <w:rsid w:val="00454167"/>
    <w:rsid w:val="00454EAB"/>
    <w:rsid w:val="00455230"/>
    <w:rsid w:val="00456548"/>
    <w:rsid w:val="00460EDD"/>
    <w:rsid w:val="00460FB2"/>
    <w:rsid w:val="00470DC5"/>
    <w:rsid w:val="00471AEA"/>
    <w:rsid w:val="00473C02"/>
    <w:rsid w:val="00473FB3"/>
    <w:rsid w:val="004742AB"/>
    <w:rsid w:val="00474CEF"/>
    <w:rsid w:val="00475A51"/>
    <w:rsid w:val="00475E7B"/>
    <w:rsid w:val="00477194"/>
    <w:rsid w:val="00477711"/>
    <w:rsid w:val="004814CA"/>
    <w:rsid w:val="004828E0"/>
    <w:rsid w:val="00483AF4"/>
    <w:rsid w:val="00484280"/>
    <w:rsid w:val="00484D0A"/>
    <w:rsid w:val="0049004C"/>
    <w:rsid w:val="004902B9"/>
    <w:rsid w:val="00492080"/>
    <w:rsid w:val="004A06A2"/>
    <w:rsid w:val="004A0A0C"/>
    <w:rsid w:val="004A15F0"/>
    <w:rsid w:val="004A386B"/>
    <w:rsid w:val="004A5001"/>
    <w:rsid w:val="004A51F3"/>
    <w:rsid w:val="004B0A20"/>
    <w:rsid w:val="004C0829"/>
    <w:rsid w:val="004C1B25"/>
    <w:rsid w:val="004C201A"/>
    <w:rsid w:val="004C50BE"/>
    <w:rsid w:val="004C6477"/>
    <w:rsid w:val="004D00C2"/>
    <w:rsid w:val="004D069D"/>
    <w:rsid w:val="004D2B88"/>
    <w:rsid w:val="004D2FB8"/>
    <w:rsid w:val="004D4684"/>
    <w:rsid w:val="004D49FC"/>
    <w:rsid w:val="004E138D"/>
    <w:rsid w:val="004E19C6"/>
    <w:rsid w:val="004E24F8"/>
    <w:rsid w:val="004E2820"/>
    <w:rsid w:val="004E2FAE"/>
    <w:rsid w:val="004E5180"/>
    <w:rsid w:val="004E57E2"/>
    <w:rsid w:val="004E5CFF"/>
    <w:rsid w:val="004E69C4"/>
    <w:rsid w:val="004F0AB2"/>
    <w:rsid w:val="004F11FC"/>
    <w:rsid w:val="004F42DD"/>
    <w:rsid w:val="004F4300"/>
    <w:rsid w:val="004F5C64"/>
    <w:rsid w:val="00501A83"/>
    <w:rsid w:val="00502307"/>
    <w:rsid w:val="0050661F"/>
    <w:rsid w:val="00510B5B"/>
    <w:rsid w:val="005111CE"/>
    <w:rsid w:val="00511E53"/>
    <w:rsid w:val="00512A98"/>
    <w:rsid w:val="00513E7C"/>
    <w:rsid w:val="00514799"/>
    <w:rsid w:val="005158FC"/>
    <w:rsid w:val="0051755B"/>
    <w:rsid w:val="005175B2"/>
    <w:rsid w:val="00517B6F"/>
    <w:rsid w:val="00517D71"/>
    <w:rsid w:val="005202B2"/>
    <w:rsid w:val="00520417"/>
    <w:rsid w:val="005219FF"/>
    <w:rsid w:val="00524653"/>
    <w:rsid w:val="005268A4"/>
    <w:rsid w:val="00530FB2"/>
    <w:rsid w:val="00532EE2"/>
    <w:rsid w:val="0053599A"/>
    <w:rsid w:val="00536074"/>
    <w:rsid w:val="0053787E"/>
    <w:rsid w:val="0054038B"/>
    <w:rsid w:val="005418D4"/>
    <w:rsid w:val="00542E2B"/>
    <w:rsid w:val="00542F5C"/>
    <w:rsid w:val="0054395E"/>
    <w:rsid w:val="005456DE"/>
    <w:rsid w:val="00545984"/>
    <w:rsid w:val="00546775"/>
    <w:rsid w:val="0054715F"/>
    <w:rsid w:val="00551533"/>
    <w:rsid w:val="0055180C"/>
    <w:rsid w:val="005567C1"/>
    <w:rsid w:val="00556F43"/>
    <w:rsid w:val="00557895"/>
    <w:rsid w:val="00560E9B"/>
    <w:rsid w:val="00561426"/>
    <w:rsid w:val="005623C2"/>
    <w:rsid w:val="005625F6"/>
    <w:rsid w:val="00563255"/>
    <w:rsid w:val="005643CB"/>
    <w:rsid w:val="005654C6"/>
    <w:rsid w:val="00570A9F"/>
    <w:rsid w:val="00570AE2"/>
    <w:rsid w:val="0057408F"/>
    <w:rsid w:val="005752AD"/>
    <w:rsid w:val="00576033"/>
    <w:rsid w:val="00577CD7"/>
    <w:rsid w:val="005803EC"/>
    <w:rsid w:val="00580D33"/>
    <w:rsid w:val="00583910"/>
    <w:rsid w:val="00584287"/>
    <w:rsid w:val="00584D3B"/>
    <w:rsid w:val="005860DE"/>
    <w:rsid w:val="0058662A"/>
    <w:rsid w:val="005868B0"/>
    <w:rsid w:val="005870C5"/>
    <w:rsid w:val="00590603"/>
    <w:rsid w:val="00590B99"/>
    <w:rsid w:val="00591B72"/>
    <w:rsid w:val="0059452E"/>
    <w:rsid w:val="005A0268"/>
    <w:rsid w:val="005A0C4D"/>
    <w:rsid w:val="005A2811"/>
    <w:rsid w:val="005A2A09"/>
    <w:rsid w:val="005A4949"/>
    <w:rsid w:val="005A6496"/>
    <w:rsid w:val="005A7D41"/>
    <w:rsid w:val="005A7F78"/>
    <w:rsid w:val="005B2488"/>
    <w:rsid w:val="005B60AE"/>
    <w:rsid w:val="005B66D2"/>
    <w:rsid w:val="005B6ED9"/>
    <w:rsid w:val="005B7A79"/>
    <w:rsid w:val="005C26DD"/>
    <w:rsid w:val="005C272B"/>
    <w:rsid w:val="005C3B89"/>
    <w:rsid w:val="005C3BBB"/>
    <w:rsid w:val="005D362F"/>
    <w:rsid w:val="005D5552"/>
    <w:rsid w:val="005E09C3"/>
    <w:rsid w:val="005E291A"/>
    <w:rsid w:val="005E2AF7"/>
    <w:rsid w:val="005E40BE"/>
    <w:rsid w:val="005E5321"/>
    <w:rsid w:val="005E5AA4"/>
    <w:rsid w:val="005E6BA9"/>
    <w:rsid w:val="005E770A"/>
    <w:rsid w:val="005E7A56"/>
    <w:rsid w:val="005F0363"/>
    <w:rsid w:val="005F1F21"/>
    <w:rsid w:val="005F30D2"/>
    <w:rsid w:val="005F48D6"/>
    <w:rsid w:val="006000C8"/>
    <w:rsid w:val="00600797"/>
    <w:rsid w:val="0060317E"/>
    <w:rsid w:val="00603C68"/>
    <w:rsid w:val="00603DC1"/>
    <w:rsid w:val="00604EFE"/>
    <w:rsid w:val="006069BE"/>
    <w:rsid w:val="00610BEF"/>
    <w:rsid w:val="00613196"/>
    <w:rsid w:val="006141D4"/>
    <w:rsid w:val="00614650"/>
    <w:rsid w:val="00614EA0"/>
    <w:rsid w:val="006160F6"/>
    <w:rsid w:val="00620276"/>
    <w:rsid w:val="006225D9"/>
    <w:rsid w:val="00623EB2"/>
    <w:rsid w:val="0062448D"/>
    <w:rsid w:val="006245F5"/>
    <w:rsid w:val="0063187E"/>
    <w:rsid w:val="006321CC"/>
    <w:rsid w:val="006331DE"/>
    <w:rsid w:val="0063377C"/>
    <w:rsid w:val="006341EC"/>
    <w:rsid w:val="00634518"/>
    <w:rsid w:val="00641E3F"/>
    <w:rsid w:val="00641EF0"/>
    <w:rsid w:val="00643D27"/>
    <w:rsid w:val="006442EE"/>
    <w:rsid w:val="006455D6"/>
    <w:rsid w:val="00646DFF"/>
    <w:rsid w:val="00652448"/>
    <w:rsid w:val="006529F2"/>
    <w:rsid w:val="00652E10"/>
    <w:rsid w:val="00652E45"/>
    <w:rsid w:val="006540AB"/>
    <w:rsid w:val="00656442"/>
    <w:rsid w:val="006570AF"/>
    <w:rsid w:val="0066172C"/>
    <w:rsid w:val="00661BE3"/>
    <w:rsid w:val="00662C78"/>
    <w:rsid w:val="00662ED9"/>
    <w:rsid w:val="00663DA4"/>
    <w:rsid w:val="00665420"/>
    <w:rsid w:val="00665687"/>
    <w:rsid w:val="00666A12"/>
    <w:rsid w:val="006725F5"/>
    <w:rsid w:val="00672D93"/>
    <w:rsid w:val="00674772"/>
    <w:rsid w:val="00675CAF"/>
    <w:rsid w:val="00680338"/>
    <w:rsid w:val="00680823"/>
    <w:rsid w:val="0068429D"/>
    <w:rsid w:val="006857BD"/>
    <w:rsid w:val="00685F1E"/>
    <w:rsid w:val="0068683C"/>
    <w:rsid w:val="006869A7"/>
    <w:rsid w:val="00687140"/>
    <w:rsid w:val="00687583"/>
    <w:rsid w:val="006878D8"/>
    <w:rsid w:val="00687EF5"/>
    <w:rsid w:val="00690335"/>
    <w:rsid w:val="00691F42"/>
    <w:rsid w:val="00692EFB"/>
    <w:rsid w:val="0069536E"/>
    <w:rsid w:val="006A031E"/>
    <w:rsid w:val="006A054C"/>
    <w:rsid w:val="006A2399"/>
    <w:rsid w:val="006A2F8C"/>
    <w:rsid w:val="006A2FCB"/>
    <w:rsid w:val="006A4C03"/>
    <w:rsid w:val="006B61A3"/>
    <w:rsid w:val="006B6856"/>
    <w:rsid w:val="006C0AE3"/>
    <w:rsid w:val="006C20CA"/>
    <w:rsid w:val="006C3A9C"/>
    <w:rsid w:val="006C3F0B"/>
    <w:rsid w:val="006C4A38"/>
    <w:rsid w:val="006C4F6D"/>
    <w:rsid w:val="006C6F79"/>
    <w:rsid w:val="006C75EA"/>
    <w:rsid w:val="006D217D"/>
    <w:rsid w:val="006D21BB"/>
    <w:rsid w:val="006D2271"/>
    <w:rsid w:val="006D38B0"/>
    <w:rsid w:val="006D5E73"/>
    <w:rsid w:val="006D7587"/>
    <w:rsid w:val="006E1587"/>
    <w:rsid w:val="006E3921"/>
    <w:rsid w:val="006E3DA9"/>
    <w:rsid w:val="006E4E12"/>
    <w:rsid w:val="006E6D62"/>
    <w:rsid w:val="006F49D3"/>
    <w:rsid w:val="006F55CB"/>
    <w:rsid w:val="006F7CD5"/>
    <w:rsid w:val="007019E9"/>
    <w:rsid w:val="00703170"/>
    <w:rsid w:val="00703F70"/>
    <w:rsid w:val="007049AD"/>
    <w:rsid w:val="00707336"/>
    <w:rsid w:val="00707506"/>
    <w:rsid w:val="007105BC"/>
    <w:rsid w:val="00713650"/>
    <w:rsid w:val="00717548"/>
    <w:rsid w:val="00720AA2"/>
    <w:rsid w:val="00720E04"/>
    <w:rsid w:val="00723AC5"/>
    <w:rsid w:val="00724873"/>
    <w:rsid w:val="00726404"/>
    <w:rsid w:val="00726E05"/>
    <w:rsid w:val="00731EBE"/>
    <w:rsid w:val="00732D09"/>
    <w:rsid w:val="0073437F"/>
    <w:rsid w:val="007343A6"/>
    <w:rsid w:val="00734A36"/>
    <w:rsid w:val="00734B85"/>
    <w:rsid w:val="00737AF5"/>
    <w:rsid w:val="00741F99"/>
    <w:rsid w:val="007425C0"/>
    <w:rsid w:val="00742FFE"/>
    <w:rsid w:val="00745A63"/>
    <w:rsid w:val="007472FB"/>
    <w:rsid w:val="007474D4"/>
    <w:rsid w:val="00750E48"/>
    <w:rsid w:val="0075329F"/>
    <w:rsid w:val="007546C1"/>
    <w:rsid w:val="0075493F"/>
    <w:rsid w:val="00760FB9"/>
    <w:rsid w:val="00764CEC"/>
    <w:rsid w:val="0076619F"/>
    <w:rsid w:val="007667BF"/>
    <w:rsid w:val="00766EBA"/>
    <w:rsid w:val="0077075A"/>
    <w:rsid w:val="00770BC1"/>
    <w:rsid w:val="007770AD"/>
    <w:rsid w:val="00780C09"/>
    <w:rsid w:val="007824AD"/>
    <w:rsid w:val="00782E6F"/>
    <w:rsid w:val="007835D2"/>
    <w:rsid w:val="0078514E"/>
    <w:rsid w:val="007858F3"/>
    <w:rsid w:val="00787717"/>
    <w:rsid w:val="00787E35"/>
    <w:rsid w:val="007928ED"/>
    <w:rsid w:val="007959F4"/>
    <w:rsid w:val="00795BA6"/>
    <w:rsid w:val="007966B7"/>
    <w:rsid w:val="00796719"/>
    <w:rsid w:val="00797003"/>
    <w:rsid w:val="007A222A"/>
    <w:rsid w:val="007A2B2A"/>
    <w:rsid w:val="007A2D6B"/>
    <w:rsid w:val="007A464F"/>
    <w:rsid w:val="007A5532"/>
    <w:rsid w:val="007A5D9C"/>
    <w:rsid w:val="007A5E10"/>
    <w:rsid w:val="007A67DB"/>
    <w:rsid w:val="007A7581"/>
    <w:rsid w:val="007B0B7C"/>
    <w:rsid w:val="007B2EA7"/>
    <w:rsid w:val="007B35C1"/>
    <w:rsid w:val="007B3EB8"/>
    <w:rsid w:val="007B49A4"/>
    <w:rsid w:val="007B4D7E"/>
    <w:rsid w:val="007B5FC1"/>
    <w:rsid w:val="007B6265"/>
    <w:rsid w:val="007C0299"/>
    <w:rsid w:val="007C1FE7"/>
    <w:rsid w:val="007C4B9C"/>
    <w:rsid w:val="007C5219"/>
    <w:rsid w:val="007D3070"/>
    <w:rsid w:val="007D3E19"/>
    <w:rsid w:val="007D48A5"/>
    <w:rsid w:val="007D66E1"/>
    <w:rsid w:val="007D69E4"/>
    <w:rsid w:val="007D717B"/>
    <w:rsid w:val="007D73DA"/>
    <w:rsid w:val="007E0923"/>
    <w:rsid w:val="007E0FC2"/>
    <w:rsid w:val="007E183E"/>
    <w:rsid w:val="007E33F3"/>
    <w:rsid w:val="007E4F20"/>
    <w:rsid w:val="007E6FEF"/>
    <w:rsid w:val="007E7F55"/>
    <w:rsid w:val="007F3404"/>
    <w:rsid w:val="007F3C09"/>
    <w:rsid w:val="007F4CA2"/>
    <w:rsid w:val="008023A2"/>
    <w:rsid w:val="00802672"/>
    <w:rsid w:val="00802744"/>
    <w:rsid w:val="0080408C"/>
    <w:rsid w:val="008068A7"/>
    <w:rsid w:val="00806B46"/>
    <w:rsid w:val="00810589"/>
    <w:rsid w:val="008121DA"/>
    <w:rsid w:val="00812ACB"/>
    <w:rsid w:val="00813D23"/>
    <w:rsid w:val="008164B6"/>
    <w:rsid w:val="00816B85"/>
    <w:rsid w:val="00817957"/>
    <w:rsid w:val="008206BA"/>
    <w:rsid w:val="00820791"/>
    <w:rsid w:val="00821D67"/>
    <w:rsid w:val="0082252C"/>
    <w:rsid w:val="00823F99"/>
    <w:rsid w:val="008262D9"/>
    <w:rsid w:val="00826976"/>
    <w:rsid w:val="008269AC"/>
    <w:rsid w:val="008275E3"/>
    <w:rsid w:val="00830D6E"/>
    <w:rsid w:val="008316C5"/>
    <w:rsid w:val="00831980"/>
    <w:rsid w:val="00831B5E"/>
    <w:rsid w:val="00832FFF"/>
    <w:rsid w:val="008354B0"/>
    <w:rsid w:val="008364C3"/>
    <w:rsid w:val="0084243C"/>
    <w:rsid w:val="0084593C"/>
    <w:rsid w:val="00850D87"/>
    <w:rsid w:val="0085109D"/>
    <w:rsid w:val="00851100"/>
    <w:rsid w:val="008523E1"/>
    <w:rsid w:val="0085548F"/>
    <w:rsid w:val="008605A3"/>
    <w:rsid w:val="00862776"/>
    <w:rsid w:val="00865D90"/>
    <w:rsid w:val="008666D9"/>
    <w:rsid w:val="00867ADA"/>
    <w:rsid w:val="0087080D"/>
    <w:rsid w:val="00870DA2"/>
    <w:rsid w:val="00877012"/>
    <w:rsid w:val="0087732F"/>
    <w:rsid w:val="0088000F"/>
    <w:rsid w:val="008805CF"/>
    <w:rsid w:val="00882268"/>
    <w:rsid w:val="00882A96"/>
    <w:rsid w:val="00883658"/>
    <w:rsid w:val="00884F62"/>
    <w:rsid w:val="008876D8"/>
    <w:rsid w:val="00890AB0"/>
    <w:rsid w:val="0089245A"/>
    <w:rsid w:val="00893397"/>
    <w:rsid w:val="008942FD"/>
    <w:rsid w:val="00897F4F"/>
    <w:rsid w:val="008A14BB"/>
    <w:rsid w:val="008A2ACE"/>
    <w:rsid w:val="008A310B"/>
    <w:rsid w:val="008A324D"/>
    <w:rsid w:val="008A5659"/>
    <w:rsid w:val="008A58BA"/>
    <w:rsid w:val="008A596B"/>
    <w:rsid w:val="008B061B"/>
    <w:rsid w:val="008B0A2C"/>
    <w:rsid w:val="008B6DA3"/>
    <w:rsid w:val="008B7F76"/>
    <w:rsid w:val="008C2640"/>
    <w:rsid w:val="008C3C0E"/>
    <w:rsid w:val="008C6D62"/>
    <w:rsid w:val="008D0856"/>
    <w:rsid w:val="008D09DA"/>
    <w:rsid w:val="008D45D9"/>
    <w:rsid w:val="008D4BD1"/>
    <w:rsid w:val="008D4ED8"/>
    <w:rsid w:val="008D531F"/>
    <w:rsid w:val="008E6A02"/>
    <w:rsid w:val="008E6DBF"/>
    <w:rsid w:val="008E727F"/>
    <w:rsid w:val="008F0C8F"/>
    <w:rsid w:val="008F15B7"/>
    <w:rsid w:val="008F16F9"/>
    <w:rsid w:val="008F3AF7"/>
    <w:rsid w:val="008F57E7"/>
    <w:rsid w:val="008F6093"/>
    <w:rsid w:val="008F6397"/>
    <w:rsid w:val="008F7639"/>
    <w:rsid w:val="008F76E5"/>
    <w:rsid w:val="008F7E31"/>
    <w:rsid w:val="009021AA"/>
    <w:rsid w:val="009022A3"/>
    <w:rsid w:val="009024B8"/>
    <w:rsid w:val="0090396A"/>
    <w:rsid w:val="009042EC"/>
    <w:rsid w:val="00905C36"/>
    <w:rsid w:val="00906146"/>
    <w:rsid w:val="00910766"/>
    <w:rsid w:val="00910963"/>
    <w:rsid w:val="00916903"/>
    <w:rsid w:val="00921B17"/>
    <w:rsid w:val="00921F16"/>
    <w:rsid w:val="0094481F"/>
    <w:rsid w:val="0094763B"/>
    <w:rsid w:val="0095003E"/>
    <w:rsid w:val="009503EA"/>
    <w:rsid w:val="00951EE9"/>
    <w:rsid w:val="00953E8A"/>
    <w:rsid w:val="0095427F"/>
    <w:rsid w:val="009550EE"/>
    <w:rsid w:val="00955D1B"/>
    <w:rsid w:val="00955F60"/>
    <w:rsid w:val="009574CA"/>
    <w:rsid w:val="00960C8A"/>
    <w:rsid w:val="00960CF3"/>
    <w:rsid w:val="00961878"/>
    <w:rsid w:val="00962484"/>
    <w:rsid w:val="00962B61"/>
    <w:rsid w:val="00962D3D"/>
    <w:rsid w:val="00962D64"/>
    <w:rsid w:val="00963752"/>
    <w:rsid w:val="00964559"/>
    <w:rsid w:val="009667B6"/>
    <w:rsid w:val="00967DEF"/>
    <w:rsid w:val="00970465"/>
    <w:rsid w:val="00970893"/>
    <w:rsid w:val="00970D2E"/>
    <w:rsid w:val="00971AB8"/>
    <w:rsid w:val="00973E45"/>
    <w:rsid w:val="00975A88"/>
    <w:rsid w:val="00976F51"/>
    <w:rsid w:val="009808C3"/>
    <w:rsid w:val="0098102D"/>
    <w:rsid w:val="009812B5"/>
    <w:rsid w:val="009828A9"/>
    <w:rsid w:val="00983616"/>
    <w:rsid w:val="0099154C"/>
    <w:rsid w:val="0099278A"/>
    <w:rsid w:val="0099354B"/>
    <w:rsid w:val="009953A2"/>
    <w:rsid w:val="00996DA4"/>
    <w:rsid w:val="0099773F"/>
    <w:rsid w:val="009A19E0"/>
    <w:rsid w:val="009A25B1"/>
    <w:rsid w:val="009A4019"/>
    <w:rsid w:val="009A50A7"/>
    <w:rsid w:val="009A5A06"/>
    <w:rsid w:val="009A735D"/>
    <w:rsid w:val="009A7A1E"/>
    <w:rsid w:val="009A7B49"/>
    <w:rsid w:val="009B052B"/>
    <w:rsid w:val="009B314D"/>
    <w:rsid w:val="009B356A"/>
    <w:rsid w:val="009B5328"/>
    <w:rsid w:val="009B6B1C"/>
    <w:rsid w:val="009B6F99"/>
    <w:rsid w:val="009C12ED"/>
    <w:rsid w:val="009C19A2"/>
    <w:rsid w:val="009C332D"/>
    <w:rsid w:val="009C3750"/>
    <w:rsid w:val="009C4705"/>
    <w:rsid w:val="009C692B"/>
    <w:rsid w:val="009C6BFC"/>
    <w:rsid w:val="009C7470"/>
    <w:rsid w:val="009D02C8"/>
    <w:rsid w:val="009D2F4B"/>
    <w:rsid w:val="009D4EB8"/>
    <w:rsid w:val="009D65A9"/>
    <w:rsid w:val="009D724D"/>
    <w:rsid w:val="009D727C"/>
    <w:rsid w:val="009D76BB"/>
    <w:rsid w:val="009E09AF"/>
    <w:rsid w:val="009E0D1C"/>
    <w:rsid w:val="009E266D"/>
    <w:rsid w:val="009E54CC"/>
    <w:rsid w:val="009F0051"/>
    <w:rsid w:val="009F242B"/>
    <w:rsid w:val="009F24E5"/>
    <w:rsid w:val="009F2912"/>
    <w:rsid w:val="009F3193"/>
    <w:rsid w:val="009F36BC"/>
    <w:rsid w:val="009F3BB3"/>
    <w:rsid w:val="009F61BB"/>
    <w:rsid w:val="00A015D9"/>
    <w:rsid w:val="00A01B87"/>
    <w:rsid w:val="00A01D2B"/>
    <w:rsid w:val="00A02204"/>
    <w:rsid w:val="00A0420F"/>
    <w:rsid w:val="00A04B01"/>
    <w:rsid w:val="00A04CE4"/>
    <w:rsid w:val="00A053B3"/>
    <w:rsid w:val="00A11C80"/>
    <w:rsid w:val="00A1272F"/>
    <w:rsid w:val="00A13CA7"/>
    <w:rsid w:val="00A144CB"/>
    <w:rsid w:val="00A21E42"/>
    <w:rsid w:val="00A22D88"/>
    <w:rsid w:val="00A23940"/>
    <w:rsid w:val="00A24922"/>
    <w:rsid w:val="00A24EF1"/>
    <w:rsid w:val="00A25779"/>
    <w:rsid w:val="00A25C45"/>
    <w:rsid w:val="00A30909"/>
    <w:rsid w:val="00A313B1"/>
    <w:rsid w:val="00A31A5A"/>
    <w:rsid w:val="00A3300E"/>
    <w:rsid w:val="00A34FEB"/>
    <w:rsid w:val="00A35909"/>
    <w:rsid w:val="00A3619E"/>
    <w:rsid w:val="00A3666B"/>
    <w:rsid w:val="00A373D1"/>
    <w:rsid w:val="00A40F68"/>
    <w:rsid w:val="00A410BA"/>
    <w:rsid w:val="00A411C8"/>
    <w:rsid w:val="00A41B49"/>
    <w:rsid w:val="00A4241C"/>
    <w:rsid w:val="00A4252E"/>
    <w:rsid w:val="00A427C6"/>
    <w:rsid w:val="00A467DF"/>
    <w:rsid w:val="00A51C44"/>
    <w:rsid w:val="00A54926"/>
    <w:rsid w:val="00A5522A"/>
    <w:rsid w:val="00A57E3F"/>
    <w:rsid w:val="00A600AB"/>
    <w:rsid w:val="00A62952"/>
    <w:rsid w:val="00A630E6"/>
    <w:rsid w:val="00A65829"/>
    <w:rsid w:val="00A6619D"/>
    <w:rsid w:val="00A66225"/>
    <w:rsid w:val="00A67AB4"/>
    <w:rsid w:val="00A706E6"/>
    <w:rsid w:val="00A72D67"/>
    <w:rsid w:val="00A735ED"/>
    <w:rsid w:val="00A77677"/>
    <w:rsid w:val="00A80821"/>
    <w:rsid w:val="00A80C02"/>
    <w:rsid w:val="00A81C36"/>
    <w:rsid w:val="00A844A8"/>
    <w:rsid w:val="00A85C90"/>
    <w:rsid w:val="00A8621D"/>
    <w:rsid w:val="00A912D9"/>
    <w:rsid w:val="00A94D32"/>
    <w:rsid w:val="00A95190"/>
    <w:rsid w:val="00A955C9"/>
    <w:rsid w:val="00A963D3"/>
    <w:rsid w:val="00A97F83"/>
    <w:rsid w:val="00AA022C"/>
    <w:rsid w:val="00AA21C1"/>
    <w:rsid w:val="00AA3B6A"/>
    <w:rsid w:val="00AA448B"/>
    <w:rsid w:val="00AA4645"/>
    <w:rsid w:val="00AA4C12"/>
    <w:rsid w:val="00AA58D0"/>
    <w:rsid w:val="00AA76F7"/>
    <w:rsid w:val="00AB31D7"/>
    <w:rsid w:val="00AB36F2"/>
    <w:rsid w:val="00AB5665"/>
    <w:rsid w:val="00AC08C1"/>
    <w:rsid w:val="00AC102A"/>
    <w:rsid w:val="00AC10E0"/>
    <w:rsid w:val="00AC1EC2"/>
    <w:rsid w:val="00AC5EFD"/>
    <w:rsid w:val="00AD10B0"/>
    <w:rsid w:val="00AD1FAE"/>
    <w:rsid w:val="00AD4B48"/>
    <w:rsid w:val="00AD506C"/>
    <w:rsid w:val="00AD5AB1"/>
    <w:rsid w:val="00AD5D5A"/>
    <w:rsid w:val="00AE1F3A"/>
    <w:rsid w:val="00AE4626"/>
    <w:rsid w:val="00AE5103"/>
    <w:rsid w:val="00AE7BB5"/>
    <w:rsid w:val="00AF0E5C"/>
    <w:rsid w:val="00AF1B06"/>
    <w:rsid w:val="00AF39CC"/>
    <w:rsid w:val="00AF5C7A"/>
    <w:rsid w:val="00B038E9"/>
    <w:rsid w:val="00B04497"/>
    <w:rsid w:val="00B06302"/>
    <w:rsid w:val="00B06EA6"/>
    <w:rsid w:val="00B11722"/>
    <w:rsid w:val="00B16F11"/>
    <w:rsid w:val="00B21038"/>
    <w:rsid w:val="00B228C0"/>
    <w:rsid w:val="00B22B16"/>
    <w:rsid w:val="00B23C00"/>
    <w:rsid w:val="00B26E29"/>
    <w:rsid w:val="00B30622"/>
    <w:rsid w:val="00B32677"/>
    <w:rsid w:val="00B35605"/>
    <w:rsid w:val="00B40CC7"/>
    <w:rsid w:val="00B41F9D"/>
    <w:rsid w:val="00B42A17"/>
    <w:rsid w:val="00B5109C"/>
    <w:rsid w:val="00B513AE"/>
    <w:rsid w:val="00B53D40"/>
    <w:rsid w:val="00B5498B"/>
    <w:rsid w:val="00B559B0"/>
    <w:rsid w:val="00B57E48"/>
    <w:rsid w:val="00B613DE"/>
    <w:rsid w:val="00B62DA4"/>
    <w:rsid w:val="00B64F3B"/>
    <w:rsid w:val="00B65953"/>
    <w:rsid w:val="00B73324"/>
    <w:rsid w:val="00B73E17"/>
    <w:rsid w:val="00B77AB8"/>
    <w:rsid w:val="00B77D12"/>
    <w:rsid w:val="00B77E90"/>
    <w:rsid w:val="00B77F7B"/>
    <w:rsid w:val="00B81675"/>
    <w:rsid w:val="00B82250"/>
    <w:rsid w:val="00B82A61"/>
    <w:rsid w:val="00B84A36"/>
    <w:rsid w:val="00B84D66"/>
    <w:rsid w:val="00B900EA"/>
    <w:rsid w:val="00B90542"/>
    <w:rsid w:val="00B91DCA"/>
    <w:rsid w:val="00B92886"/>
    <w:rsid w:val="00B92B9A"/>
    <w:rsid w:val="00B94FE7"/>
    <w:rsid w:val="00B95F16"/>
    <w:rsid w:val="00B96D95"/>
    <w:rsid w:val="00B96F06"/>
    <w:rsid w:val="00BA1847"/>
    <w:rsid w:val="00BA1AB3"/>
    <w:rsid w:val="00BA1D4A"/>
    <w:rsid w:val="00BA1EF4"/>
    <w:rsid w:val="00BA2ADE"/>
    <w:rsid w:val="00BA3195"/>
    <w:rsid w:val="00BA5C62"/>
    <w:rsid w:val="00BA5CB6"/>
    <w:rsid w:val="00BA75EF"/>
    <w:rsid w:val="00BA7DA9"/>
    <w:rsid w:val="00BB0792"/>
    <w:rsid w:val="00BB0B34"/>
    <w:rsid w:val="00BB2B9E"/>
    <w:rsid w:val="00BB2F69"/>
    <w:rsid w:val="00BB31C2"/>
    <w:rsid w:val="00BB5224"/>
    <w:rsid w:val="00BB5A92"/>
    <w:rsid w:val="00BB6817"/>
    <w:rsid w:val="00BC037F"/>
    <w:rsid w:val="00BC1A7A"/>
    <w:rsid w:val="00BC3301"/>
    <w:rsid w:val="00BC45C1"/>
    <w:rsid w:val="00BC4CDD"/>
    <w:rsid w:val="00BC79B6"/>
    <w:rsid w:val="00BD14FA"/>
    <w:rsid w:val="00BD1971"/>
    <w:rsid w:val="00BD250B"/>
    <w:rsid w:val="00BD675B"/>
    <w:rsid w:val="00BD718C"/>
    <w:rsid w:val="00BD7C7E"/>
    <w:rsid w:val="00BE01FD"/>
    <w:rsid w:val="00BE26B0"/>
    <w:rsid w:val="00BE6AAC"/>
    <w:rsid w:val="00BE6C08"/>
    <w:rsid w:val="00BE6FFB"/>
    <w:rsid w:val="00BE77E3"/>
    <w:rsid w:val="00BF1A78"/>
    <w:rsid w:val="00BF2DBE"/>
    <w:rsid w:val="00BF34FF"/>
    <w:rsid w:val="00BF4EE6"/>
    <w:rsid w:val="00C006D4"/>
    <w:rsid w:val="00C01FE7"/>
    <w:rsid w:val="00C02911"/>
    <w:rsid w:val="00C069AA"/>
    <w:rsid w:val="00C075C9"/>
    <w:rsid w:val="00C106AE"/>
    <w:rsid w:val="00C125E8"/>
    <w:rsid w:val="00C13485"/>
    <w:rsid w:val="00C143AE"/>
    <w:rsid w:val="00C15EF8"/>
    <w:rsid w:val="00C215C3"/>
    <w:rsid w:val="00C23D6A"/>
    <w:rsid w:val="00C35579"/>
    <w:rsid w:val="00C37947"/>
    <w:rsid w:val="00C402F9"/>
    <w:rsid w:val="00C41991"/>
    <w:rsid w:val="00C4276E"/>
    <w:rsid w:val="00C46827"/>
    <w:rsid w:val="00C479C0"/>
    <w:rsid w:val="00C552F9"/>
    <w:rsid w:val="00C55E55"/>
    <w:rsid w:val="00C61ACC"/>
    <w:rsid w:val="00C63A8B"/>
    <w:rsid w:val="00C66ECF"/>
    <w:rsid w:val="00C72CFB"/>
    <w:rsid w:val="00C743F7"/>
    <w:rsid w:val="00C7628D"/>
    <w:rsid w:val="00C84552"/>
    <w:rsid w:val="00C85250"/>
    <w:rsid w:val="00C85AE0"/>
    <w:rsid w:val="00C87BA9"/>
    <w:rsid w:val="00C94337"/>
    <w:rsid w:val="00C95C6E"/>
    <w:rsid w:val="00C96022"/>
    <w:rsid w:val="00CA0A00"/>
    <w:rsid w:val="00CA11DF"/>
    <w:rsid w:val="00CA215E"/>
    <w:rsid w:val="00CA2C0E"/>
    <w:rsid w:val="00CA66AA"/>
    <w:rsid w:val="00CA7986"/>
    <w:rsid w:val="00CB072A"/>
    <w:rsid w:val="00CB3002"/>
    <w:rsid w:val="00CB54BB"/>
    <w:rsid w:val="00CB59DB"/>
    <w:rsid w:val="00CC0068"/>
    <w:rsid w:val="00CC23C2"/>
    <w:rsid w:val="00CC6D11"/>
    <w:rsid w:val="00CC72FE"/>
    <w:rsid w:val="00CD0943"/>
    <w:rsid w:val="00CD286C"/>
    <w:rsid w:val="00CD31CC"/>
    <w:rsid w:val="00CD3353"/>
    <w:rsid w:val="00CD3A8D"/>
    <w:rsid w:val="00CD5F0B"/>
    <w:rsid w:val="00CD7247"/>
    <w:rsid w:val="00CD7A3A"/>
    <w:rsid w:val="00CE044D"/>
    <w:rsid w:val="00CE1BD5"/>
    <w:rsid w:val="00CE2163"/>
    <w:rsid w:val="00CE6965"/>
    <w:rsid w:val="00CE7FAB"/>
    <w:rsid w:val="00CF015F"/>
    <w:rsid w:val="00CF0BA4"/>
    <w:rsid w:val="00CF779D"/>
    <w:rsid w:val="00D01DD5"/>
    <w:rsid w:val="00D02A8A"/>
    <w:rsid w:val="00D0342C"/>
    <w:rsid w:val="00D04094"/>
    <w:rsid w:val="00D0552A"/>
    <w:rsid w:val="00D05C87"/>
    <w:rsid w:val="00D07531"/>
    <w:rsid w:val="00D10EB4"/>
    <w:rsid w:val="00D115E1"/>
    <w:rsid w:val="00D1448C"/>
    <w:rsid w:val="00D146FC"/>
    <w:rsid w:val="00D1478E"/>
    <w:rsid w:val="00D16749"/>
    <w:rsid w:val="00D202DF"/>
    <w:rsid w:val="00D21794"/>
    <w:rsid w:val="00D22AF8"/>
    <w:rsid w:val="00D2371B"/>
    <w:rsid w:val="00D24E0A"/>
    <w:rsid w:val="00D24EF2"/>
    <w:rsid w:val="00D25AC7"/>
    <w:rsid w:val="00D266FD"/>
    <w:rsid w:val="00D26777"/>
    <w:rsid w:val="00D26D12"/>
    <w:rsid w:val="00D26F07"/>
    <w:rsid w:val="00D304FD"/>
    <w:rsid w:val="00D30EB6"/>
    <w:rsid w:val="00D32259"/>
    <w:rsid w:val="00D324B2"/>
    <w:rsid w:val="00D32B93"/>
    <w:rsid w:val="00D36B70"/>
    <w:rsid w:val="00D37CBB"/>
    <w:rsid w:val="00D40924"/>
    <w:rsid w:val="00D41818"/>
    <w:rsid w:val="00D43AA8"/>
    <w:rsid w:val="00D44000"/>
    <w:rsid w:val="00D451AB"/>
    <w:rsid w:val="00D46565"/>
    <w:rsid w:val="00D472B7"/>
    <w:rsid w:val="00D473EB"/>
    <w:rsid w:val="00D47B42"/>
    <w:rsid w:val="00D50784"/>
    <w:rsid w:val="00D50DA8"/>
    <w:rsid w:val="00D53513"/>
    <w:rsid w:val="00D53964"/>
    <w:rsid w:val="00D55B36"/>
    <w:rsid w:val="00D55BCC"/>
    <w:rsid w:val="00D5792C"/>
    <w:rsid w:val="00D57DE4"/>
    <w:rsid w:val="00D6015D"/>
    <w:rsid w:val="00D60C2D"/>
    <w:rsid w:val="00D62776"/>
    <w:rsid w:val="00D628D3"/>
    <w:rsid w:val="00D65262"/>
    <w:rsid w:val="00D65633"/>
    <w:rsid w:val="00D65C32"/>
    <w:rsid w:val="00D661B1"/>
    <w:rsid w:val="00D66781"/>
    <w:rsid w:val="00D66A7A"/>
    <w:rsid w:val="00D67D3C"/>
    <w:rsid w:val="00D7177E"/>
    <w:rsid w:val="00D72DEA"/>
    <w:rsid w:val="00D72F85"/>
    <w:rsid w:val="00D74A67"/>
    <w:rsid w:val="00D750D0"/>
    <w:rsid w:val="00D7519D"/>
    <w:rsid w:val="00D760DD"/>
    <w:rsid w:val="00D77B9C"/>
    <w:rsid w:val="00D82920"/>
    <w:rsid w:val="00D82DF6"/>
    <w:rsid w:val="00D82EAC"/>
    <w:rsid w:val="00D83DCD"/>
    <w:rsid w:val="00D844A9"/>
    <w:rsid w:val="00D86560"/>
    <w:rsid w:val="00D86A56"/>
    <w:rsid w:val="00D87955"/>
    <w:rsid w:val="00DA03D0"/>
    <w:rsid w:val="00DA3CD4"/>
    <w:rsid w:val="00DA5364"/>
    <w:rsid w:val="00DA549B"/>
    <w:rsid w:val="00DA6FE7"/>
    <w:rsid w:val="00DA7D89"/>
    <w:rsid w:val="00DB01E6"/>
    <w:rsid w:val="00DB1995"/>
    <w:rsid w:val="00DB3920"/>
    <w:rsid w:val="00DB4567"/>
    <w:rsid w:val="00DB6A5D"/>
    <w:rsid w:val="00DB71CA"/>
    <w:rsid w:val="00DB7D09"/>
    <w:rsid w:val="00DC12DF"/>
    <w:rsid w:val="00DC228E"/>
    <w:rsid w:val="00DC23C5"/>
    <w:rsid w:val="00DC38A3"/>
    <w:rsid w:val="00DC3E3F"/>
    <w:rsid w:val="00DC6382"/>
    <w:rsid w:val="00DC6D92"/>
    <w:rsid w:val="00DD001C"/>
    <w:rsid w:val="00DD01B1"/>
    <w:rsid w:val="00DD0F29"/>
    <w:rsid w:val="00DD14AD"/>
    <w:rsid w:val="00DD2319"/>
    <w:rsid w:val="00DD4C9C"/>
    <w:rsid w:val="00DD52B9"/>
    <w:rsid w:val="00DD63F1"/>
    <w:rsid w:val="00DD6612"/>
    <w:rsid w:val="00DD6B5C"/>
    <w:rsid w:val="00DD6E55"/>
    <w:rsid w:val="00DD7414"/>
    <w:rsid w:val="00DD7C78"/>
    <w:rsid w:val="00DE0C9B"/>
    <w:rsid w:val="00DE30DE"/>
    <w:rsid w:val="00DE71FB"/>
    <w:rsid w:val="00DE72F6"/>
    <w:rsid w:val="00DF01F5"/>
    <w:rsid w:val="00DF3008"/>
    <w:rsid w:val="00DF30C0"/>
    <w:rsid w:val="00DF3B48"/>
    <w:rsid w:val="00DF50D0"/>
    <w:rsid w:val="00DF5508"/>
    <w:rsid w:val="00DF58EC"/>
    <w:rsid w:val="00DF5E03"/>
    <w:rsid w:val="00DF758E"/>
    <w:rsid w:val="00E002E1"/>
    <w:rsid w:val="00E04C1D"/>
    <w:rsid w:val="00E04F48"/>
    <w:rsid w:val="00E0691C"/>
    <w:rsid w:val="00E06A11"/>
    <w:rsid w:val="00E06F2B"/>
    <w:rsid w:val="00E07E55"/>
    <w:rsid w:val="00E11542"/>
    <w:rsid w:val="00E117B6"/>
    <w:rsid w:val="00E125E2"/>
    <w:rsid w:val="00E15B1A"/>
    <w:rsid w:val="00E16854"/>
    <w:rsid w:val="00E220B5"/>
    <w:rsid w:val="00E22B54"/>
    <w:rsid w:val="00E236F5"/>
    <w:rsid w:val="00E23CCC"/>
    <w:rsid w:val="00E269C7"/>
    <w:rsid w:val="00E32E80"/>
    <w:rsid w:val="00E37E2B"/>
    <w:rsid w:val="00E5247A"/>
    <w:rsid w:val="00E53E5A"/>
    <w:rsid w:val="00E55A08"/>
    <w:rsid w:val="00E564A5"/>
    <w:rsid w:val="00E565C8"/>
    <w:rsid w:val="00E57B52"/>
    <w:rsid w:val="00E6152C"/>
    <w:rsid w:val="00E62859"/>
    <w:rsid w:val="00E6391F"/>
    <w:rsid w:val="00E666BA"/>
    <w:rsid w:val="00E66AF3"/>
    <w:rsid w:val="00E733D3"/>
    <w:rsid w:val="00E7352B"/>
    <w:rsid w:val="00E736CF"/>
    <w:rsid w:val="00E771C1"/>
    <w:rsid w:val="00E83F3A"/>
    <w:rsid w:val="00E875CD"/>
    <w:rsid w:val="00E87CEA"/>
    <w:rsid w:val="00E900E4"/>
    <w:rsid w:val="00E93001"/>
    <w:rsid w:val="00E9373E"/>
    <w:rsid w:val="00E94900"/>
    <w:rsid w:val="00E958B4"/>
    <w:rsid w:val="00EA0C3E"/>
    <w:rsid w:val="00EA3C51"/>
    <w:rsid w:val="00EB076D"/>
    <w:rsid w:val="00EB108D"/>
    <w:rsid w:val="00EB16A1"/>
    <w:rsid w:val="00EB1F7B"/>
    <w:rsid w:val="00EB29FC"/>
    <w:rsid w:val="00EB3C6C"/>
    <w:rsid w:val="00EB4502"/>
    <w:rsid w:val="00EB4CCA"/>
    <w:rsid w:val="00EB580D"/>
    <w:rsid w:val="00EC0561"/>
    <w:rsid w:val="00EC0CC4"/>
    <w:rsid w:val="00EC14E4"/>
    <w:rsid w:val="00EC5572"/>
    <w:rsid w:val="00EC6270"/>
    <w:rsid w:val="00ED02B4"/>
    <w:rsid w:val="00ED0435"/>
    <w:rsid w:val="00ED0AB9"/>
    <w:rsid w:val="00ED2DA5"/>
    <w:rsid w:val="00ED3B52"/>
    <w:rsid w:val="00ED48F9"/>
    <w:rsid w:val="00ED518B"/>
    <w:rsid w:val="00ED65B0"/>
    <w:rsid w:val="00EE2221"/>
    <w:rsid w:val="00EE4362"/>
    <w:rsid w:val="00EE6476"/>
    <w:rsid w:val="00EF0F2F"/>
    <w:rsid w:val="00EF181B"/>
    <w:rsid w:val="00EF33A8"/>
    <w:rsid w:val="00EF467C"/>
    <w:rsid w:val="00F0377A"/>
    <w:rsid w:val="00F056C4"/>
    <w:rsid w:val="00F06F2E"/>
    <w:rsid w:val="00F07B23"/>
    <w:rsid w:val="00F10848"/>
    <w:rsid w:val="00F123CF"/>
    <w:rsid w:val="00F130AE"/>
    <w:rsid w:val="00F14853"/>
    <w:rsid w:val="00F21CA8"/>
    <w:rsid w:val="00F2252B"/>
    <w:rsid w:val="00F227C6"/>
    <w:rsid w:val="00F233D0"/>
    <w:rsid w:val="00F24425"/>
    <w:rsid w:val="00F252E1"/>
    <w:rsid w:val="00F26A93"/>
    <w:rsid w:val="00F2712D"/>
    <w:rsid w:val="00F276B4"/>
    <w:rsid w:val="00F333B3"/>
    <w:rsid w:val="00F35036"/>
    <w:rsid w:val="00F40313"/>
    <w:rsid w:val="00F41D8E"/>
    <w:rsid w:val="00F43152"/>
    <w:rsid w:val="00F453DC"/>
    <w:rsid w:val="00F4678C"/>
    <w:rsid w:val="00F46D07"/>
    <w:rsid w:val="00F47099"/>
    <w:rsid w:val="00F472DF"/>
    <w:rsid w:val="00F4787E"/>
    <w:rsid w:val="00F47E8D"/>
    <w:rsid w:val="00F5166B"/>
    <w:rsid w:val="00F56EBB"/>
    <w:rsid w:val="00F605D0"/>
    <w:rsid w:val="00F642BD"/>
    <w:rsid w:val="00F643AC"/>
    <w:rsid w:val="00F6639B"/>
    <w:rsid w:val="00F67437"/>
    <w:rsid w:val="00F6774E"/>
    <w:rsid w:val="00F70EE6"/>
    <w:rsid w:val="00F714A2"/>
    <w:rsid w:val="00F721FC"/>
    <w:rsid w:val="00F760C0"/>
    <w:rsid w:val="00F763CA"/>
    <w:rsid w:val="00F80FE9"/>
    <w:rsid w:val="00F81C2E"/>
    <w:rsid w:val="00F84DC9"/>
    <w:rsid w:val="00F85E3D"/>
    <w:rsid w:val="00F86DE5"/>
    <w:rsid w:val="00F879D3"/>
    <w:rsid w:val="00F90958"/>
    <w:rsid w:val="00F974AA"/>
    <w:rsid w:val="00FA011B"/>
    <w:rsid w:val="00FA03D3"/>
    <w:rsid w:val="00FA10C4"/>
    <w:rsid w:val="00FA14A1"/>
    <w:rsid w:val="00FA2668"/>
    <w:rsid w:val="00FA3CDE"/>
    <w:rsid w:val="00FA48C2"/>
    <w:rsid w:val="00FB06DB"/>
    <w:rsid w:val="00FB1744"/>
    <w:rsid w:val="00FB6FCB"/>
    <w:rsid w:val="00FC1AF8"/>
    <w:rsid w:val="00FC2E2A"/>
    <w:rsid w:val="00FC2FF2"/>
    <w:rsid w:val="00FC749A"/>
    <w:rsid w:val="00FC76CD"/>
    <w:rsid w:val="00FC77AC"/>
    <w:rsid w:val="00FD4F02"/>
    <w:rsid w:val="00FE613D"/>
    <w:rsid w:val="00FE7BC7"/>
    <w:rsid w:val="00FF127C"/>
    <w:rsid w:val="00FF2D57"/>
    <w:rsid w:val="00FF3426"/>
    <w:rsid w:val="00FF4A35"/>
    <w:rsid w:val="00FF66C6"/>
    <w:rsid w:val="00FF6D00"/>
    <w:rsid w:val="01779EAE"/>
    <w:rsid w:val="2B5B8C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0A657E"/>
  <w15:docId w15:val="{2B1212B8-EE39-4549-AEDE-65FB2094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373E"/>
    <w:rPr>
      <w:sz w:val="24"/>
      <w:szCs w:val="24"/>
    </w:rPr>
  </w:style>
  <w:style w:type="paragraph" w:styleId="Heading1">
    <w:name w:val="heading 1"/>
    <w:basedOn w:val="Normal"/>
    <w:next w:val="Normal"/>
    <w:link w:val="Heading1Char"/>
    <w:qFormat/>
    <w:rsid w:val="00F10848"/>
    <w:pPr>
      <w:keepNext/>
      <w:widowControl w:val="0"/>
      <w:spacing w:line="480" w:lineRule="auto"/>
      <w:outlineLvl w:val="0"/>
    </w:pPr>
    <w:rPr>
      <w:snapToGrid w:val="0"/>
      <w:szCs w:val="20"/>
    </w:rPr>
  </w:style>
  <w:style w:type="paragraph" w:styleId="Heading2">
    <w:name w:val="heading 2"/>
    <w:basedOn w:val="Normal"/>
    <w:next w:val="Normal"/>
    <w:link w:val="Heading2Char"/>
    <w:qFormat/>
    <w:rsid w:val="00DA5364"/>
    <w:pPr>
      <w:keepNext/>
      <w:widowControl w:val="0"/>
      <w:tabs>
        <w:tab w:val="left" w:pos="-1440"/>
        <w:tab w:val="left" w:pos="-720"/>
        <w:tab w:val="left" w:pos="0"/>
        <w:tab w:val="left" w:pos="432"/>
        <w:tab w:val="left" w:pos="720"/>
        <w:tab w:val="left" w:pos="1008"/>
        <w:tab w:val="left" w:pos="1440"/>
      </w:tabs>
      <w:suppressAutoHyphens/>
      <w:outlineLvl w:val="1"/>
    </w:pPr>
    <w:rPr>
      <w:rFonts w:ascii="CG Times" w:hAnsi="CG Times"/>
      <w:b/>
      <w:sz w:val="22"/>
      <w:szCs w:val="20"/>
      <w:u w:val="single"/>
    </w:rPr>
  </w:style>
  <w:style w:type="paragraph" w:styleId="Heading3">
    <w:name w:val="heading 3"/>
    <w:basedOn w:val="Normal"/>
    <w:next w:val="Normal"/>
    <w:link w:val="Heading3Char"/>
    <w:qFormat/>
    <w:rsid w:val="00F10848"/>
    <w:pPr>
      <w:keepNext/>
      <w:widowControl w:val="0"/>
      <w:spacing w:line="480" w:lineRule="auto"/>
      <w:outlineLvl w:val="2"/>
    </w:pPr>
    <w:rPr>
      <w:szCs w:val="20"/>
      <w:u w:val="single"/>
    </w:rPr>
  </w:style>
  <w:style w:type="paragraph" w:styleId="Heading4">
    <w:name w:val="heading 4"/>
    <w:basedOn w:val="Normal"/>
    <w:next w:val="Normal"/>
    <w:link w:val="Heading4Char"/>
    <w:qFormat/>
    <w:rsid w:val="00F10848"/>
    <w:pPr>
      <w:keepNext/>
      <w:spacing w:line="480" w:lineRule="auto"/>
      <w:ind w:left="-900"/>
      <w:outlineLvl w:val="3"/>
    </w:pPr>
    <w:rPr>
      <w:b/>
      <w:szCs w:val="20"/>
      <w:u w:val="single"/>
    </w:rPr>
  </w:style>
  <w:style w:type="paragraph" w:styleId="Heading5">
    <w:name w:val="heading 5"/>
    <w:basedOn w:val="Normal"/>
    <w:next w:val="Normal"/>
    <w:link w:val="Heading5Char"/>
    <w:qFormat/>
    <w:rsid w:val="00F10848"/>
    <w:pPr>
      <w:keepNext/>
      <w:spacing w:line="480" w:lineRule="auto"/>
      <w:outlineLvl w:val="4"/>
    </w:pPr>
    <w:rPr>
      <w:szCs w:val="20"/>
      <w:u w:val="single"/>
    </w:rPr>
  </w:style>
  <w:style w:type="paragraph" w:styleId="Heading6">
    <w:name w:val="heading 6"/>
    <w:basedOn w:val="Normal"/>
    <w:next w:val="Normal"/>
    <w:link w:val="Heading6Char"/>
    <w:qFormat/>
    <w:rsid w:val="00F10848"/>
    <w:pPr>
      <w:keepNext/>
      <w:spacing w:line="480" w:lineRule="auto"/>
      <w:outlineLvl w:val="5"/>
    </w:pPr>
    <w:rPr>
      <w:b/>
      <w:szCs w:val="20"/>
    </w:rPr>
  </w:style>
  <w:style w:type="paragraph" w:styleId="Heading7">
    <w:name w:val="heading 7"/>
    <w:basedOn w:val="Normal"/>
    <w:next w:val="Normal"/>
    <w:link w:val="Heading7Char"/>
    <w:qFormat/>
    <w:rsid w:val="00F10848"/>
    <w:pPr>
      <w:keepNext/>
      <w:spacing w:line="480" w:lineRule="auto"/>
      <w:ind w:left="-900"/>
      <w:outlineLvl w:val="6"/>
    </w:pPr>
    <w:rPr>
      <w:b/>
      <w:szCs w:val="20"/>
    </w:rPr>
  </w:style>
  <w:style w:type="paragraph" w:styleId="Heading8">
    <w:name w:val="heading 8"/>
    <w:basedOn w:val="Normal"/>
    <w:next w:val="Normal"/>
    <w:link w:val="Heading8Char"/>
    <w:qFormat/>
    <w:rsid w:val="00F10848"/>
    <w:pPr>
      <w:keepNext/>
      <w:spacing w:line="480" w:lineRule="auto"/>
      <w:jc w:val="center"/>
      <w:outlineLvl w:val="7"/>
    </w:pPr>
    <w:rPr>
      <w:b/>
      <w:szCs w:val="20"/>
    </w:rPr>
  </w:style>
  <w:style w:type="paragraph" w:styleId="Heading9">
    <w:name w:val="heading 9"/>
    <w:basedOn w:val="Normal"/>
    <w:next w:val="Normal"/>
    <w:link w:val="Heading9Char"/>
    <w:qFormat/>
    <w:rsid w:val="00F10848"/>
    <w:pPr>
      <w:keepNext/>
      <w:autoSpaceDE w:val="0"/>
      <w:autoSpaceDN w:val="0"/>
      <w:adjustRightInd w:val="0"/>
      <w:spacing w:line="480" w:lineRule="auto"/>
      <w:outlineLvl w:val="8"/>
    </w:pPr>
    <w:rPr>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A5364"/>
    <w:pPr>
      <w:widowControl w:val="0"/>
    </w:pPr>
    <w:rPr>
      <w:rFonts w:ascii="Courier" w:hAnsi="Courier"/>
      <w:szCs w:val="20"/>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qFormat/>
    <w:rsid w:val="00DA5364"/>
    <w:pPr>
      <w:widowControl w:val="0"/>
    </w:pPr>
    <w:rPr>
      <w:rFonts w:ascii="Courier" w:hAnsi="Courier"/>
      <w:szCs w:val="20"/>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rsid w:val="00DA5364"/>
    <w:rPr>
      <w:rFonts w:cs="Times New Roman"/>
      <w:vertAlign w:val="superscript"/>
    </w:rPr>
  </w:style>
  <w:style w:type="character" w:customStyle="1" w:styleId="text">
    <w:name w:val="text"/>
    <w:rsid w:val="00DA5364"/>
    <w:rPr>
      <w:rFonts w:ascii="Courier" w:hAnsi="Courier" w:cs="Times New Roman"/>
      <w:sz w:val="24"/>
      <w:lang w:val="en-US"/>
    </w:rPr>
  </w:style>
  <w:style w:type="paragraph" w:styleId="BodyText">
    <w:name w:val="Body Text"/>
    <w:basedOn w:val="Normal"/>
    <w:link w:val="BodyTextChar"/>
    <w:rsid w:val="00DA5364"/>
    <w:pPr>
      <w:widowControl w:val="0"/>
      <w:tabs>
        <w:tab w:val="left" w:pos="-720"/>
        <w:tab w:val="left" w:pos="0"/>
        <w:tab w:val="left" w:pos="1008"/>
        <w:tab w:val="left" w:pos="2160"/>
        <w:tab w:val="left" w:pos="4176"/>
        <w:tab w:val="left" w:pos="5472"/>
        <w:tab w:val="left" w:pos="6912"/>
      </w:tabs>
      <w:suppressAutoHyphens/>
    </w:pPr>
    <w:rPr>
      <w:rFonts w:ascii="CG Times" w:hAnsi="CG Times"/>
      <w:sz w:val="22"/>
      <w:szCs w:val="20"/>
    </w:rPr>
  </w:style>
  <w:style w:type="character" w:customStyle="1" w:styleId="BodyTextChar">
    <w:name w:val="Body Text Char"/>
    <w:link w:val="BodyText"/>
    <w:locked/>
    <w:rsid w:val="00DA5364"/>
    <w:rPr>
      <w:rFonts w:ascii="CG Times" w:hAnsi="CG Times"/>
      <w:sz w:val="22"/>
      <w:lang w:val="en-US" w:eastAsia="en-US" w:bidi="ar-SA"/>
    </w:rPr>
  </w:style>
  <w:style w:type="paragraph" w:styleId="HTMLPreformatted">
    <w:name w:val="HTML Preformatted"/>
    <w:basedOn w:val="Normal"/>
    <w:link w:val="HTMLPreformattedChar"/>
    <w:rsid w:val="00D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Header">
    <w:name w:val="header"/>
    <w:basedOn w:val="Normal"/>
    <w:link w:val="HeaderChar"/>
    <w:uiPriority w:val="99"/>
    <w:rsid w:val="00A3619E"/>
    <w:pPr>
      <w:tabs>
        <w:tab w:val="center" w:pos="4320"/>
        <w:tab w:val="right" w:pos="8640"/>
      </w:tabs>
    </w:pPr>
  </w:style>
  <w:style w:type="paragraph" w:styleId="Footer">
    <w:name w:val="footer"/>
    <w:basedOn w:val="Normal"/>
    <w:link w:val="FooterChar"/>
    <w:uiPriority w:val="99"/>
    <w:rsid w:val="00A3619E"/>
    <w:pPr>
      <w:tabs>
        <w:tab w:val="center" w:pos="4320"/>
        <w:tab w:val="right" w:pos="8640"/>
      </w:tabs>
    </w:pPr>
  </w:style>
  <w:style w:type="character" w:styleId="Hyperlink">
    <w:name w:val="Hyperlink"/>
    <w:rsid w:val="003C665B"/>
    <w:rPr>
      <w:color w:val="0000FF"/>
      <w:u w:val="single"/>
    </w:rPr>
  </w:style>
  <w:style w:type="character" w:styleId="CommentReference">
    <w:name w:val="annotation reference"/>
    <w:uiPriority w:val="99"/>
    <w:semiHidden/>
    <w:rsid w:val="003C665B"/>
    <w:rPr>
      <w:sz w:val="16"/>
      <w:szCs w:val="16"/>
    </w:rPr>
  </w:style>
  <w:style w:type="paragraph" w:styleId="CommentText">
    <w:name w:val="annotation text"/>
    <w:basedOn w:val="Normal"/>
    <w:link w:val="CommentTextChar"/>
    <w:uiPriority w:val="99"/>
    <w:rsid w:val="003C665B"/>
    <w:rPr>
      <w:sz w:val="20"/>
      <w:szCs w:val="20"/>
    </w:rPr>
  </w:style>
  <w:style w:type="paragraph" w:styleId="CommentSubject">
    <w:name w:val="annotation subject"/>
    <w:basedOn w:val="CommentText"/>
    <w:next w:val="CommentText"/>
    <w:link w:val="CommentSubjectChar"/>
    <w:uiPriority w:val="99"/>
    <w:semiHidden/>
    <w:rsid w:val="003C665B"/>
    <w:rPr>
      <w:b/>
      <w:bCs/>
    </w:rPr>
  </w:style>
  <w:style w:type="paragraph" w:styleId="BalloonText">
    <w:name w:val="Balloon Text"/>
    <w:basedOn w:val="Normal"/>
    <w:link w:val="BalloonTextChar"/>
    <w:uiPriority w:val="99"/>
    <w:semiHidden/>
    <w:rsid w:val="003C665B"/>
    <w:rPr>
      <w:rFonts w:ascii="Tahoma" w:hAnsi="Tahoma" w:cs="Tahoma"/>
      <w:sz w:val="16"/>
      <w:szCs w:val="16"/>
    </w:rPr>
  </w:style>
  <w:style w:type="character" w:customStyle="1" w:styleId="FootnoteTextChar">
    <w:name w:val="Footnote Text Char"/>
    <w:aliases w:val="Footnote Text Char Char Char,Footnote Text Char Char Char Char Char,Footnote Text Char Char Char Char Char Char Char Char Char Char Char Char Char Char Char Char Char Char,Footnote Text Char1 Char Char Char,Style 15 Char,fn Char"/>
    <w:link w:val="FootnoteText"/>
    <w:uiPriority w:val="99"/>
    <w:rsid w:val="0084243C"/>
    <w:rPr>
      <w:rFonts w:ascii="Courier" w:hAnsi="Courier"/>
      <w:sz w:val="24"/>
      <w:lang w:val="en-US" w:eastAsia="en-US" w:bidi="ar-SA"/>
    </w:rPr>
  </w:style>
  <w:style w:type="character" w:customStyle="1" w:styleId="FootnoteTextChar1">
    <w:name w:val="Footnote Text Char1"/>
    <w:semiHidden/>
    <w:rsid w:val="00070BC9"/>
    <w:rPr>
      <w:lang w:val="en-US" w:eastAsia="en-US" w:bidi="ar-SA"/>
    </w:rPr>
  </w:style>
  <w:style w:type="paragraph" w:styleId="ListParagraph">
    <w:name w:val="List Paragraph"/>
    <w:aliases w:val="Colorful List - Accent 11,Colorful List Accent 1,EC,Paragraphe EI,Paragraphe de liste1,Paragraphe de liste2"/>
    <w:basedOn w:val="Normal"/>
    <w:link w:val="ListParagraphChar"/>
    <w:uiPriority w:val="34"/>
    <w:qFormat/>
    <w:rsid w:val="00341D99"/>
    <w:pPr>
      <w:spacing w:after="200"/>
      <w:ind w:left="720"/>
      <w:contextualSpacing/>
    </w:pPr>
    <w:rPr>
      <w:rFonts w:ascii="Cambria" w:eastAsia="Cambria" w:hAnsi="Cambria"/>
    </w:rPr>
  </w:style>
  <w:style w:type="paragraph" w:customStyle="1" w:styleId="Default">
    <w:name w:val="Default"/>
    <w:rsid w:val="00510B5B"/>
    <w:pPr>
      <w:autoSpaceDE w:val="0"/>
      <w:autoSpaceDN w:val="0"/>
      <w:adjustRightInd w:val="0"/>
    </w:pPr>
    <w:rPr>
      <w:color w:val="000000"/>
      <w:sz w:val="24"/>
      <w:szCs w:val="24"/>
    </w:rPr>
  </w:style>
  <w:style w:type="character" w:customStyle="1" w:styleId="Heading1Char">
    <w:name w:val="Heading 1 Char"/>
    <w:link w:val="Heading1"/>
    <w:rsid w:val="00F10848"/>
    <w:rPr>
      <w:snapToGrid w:val="0"/>
      <w:sz w:val="24"/>
    </w:rPr>
  </w:style>
  <w:style w:type="character" w:customStyle="1" w:styleId="Heading3Char">
    <w:name w:val="Heading 3 Char"/>
    <w:link w:val="Heading3"/>
    <w:rsid w:val="00F10848"/>
    <w:rPr>
      <w:sz w:val="24"/>
      <w:u w:val="single"/>
    </w:rPr>
  </w:style>
  <w:style w:type="character" w:customStyle="1" w:styleId="Heading4Char">
    <w:name w:val="Heading 4 Char"/>
    <w:link w:val="Heading4"/>
    <w:rsid w:val="00F10848"/>
    <w:rPr>
      <w:b/>
      <w:sz w:val="24"/>
      <w:u w:val="single"/>
    </w:rPr>
  </w:style>
  <w:style w:type="character" w:customStyle="1" w:styleId="Heading5Char">
    <w:name w:val="Heading 5 Char"/>
    <w:link w:val="Heading5"/>
    <w:rsid w:val="00F10848"/>
    <w:rPr>
      <w:sz w:val="24"/>
      <w:u w:val="single"/>
    </w:rPr>
  </w:style>
  <w:style w:type="character" w:customStyle="1" w:styleId="Heading6Char">
    <w:name w:val="Heading 6 Char"/>
    <w:link w:val="Heading6"/>
    <w:rsid w:val="00F10848"/>
    <w:rPr>
      <w:b/>
      <w:sz w:val="24"/>
    </w:rPr>
  </w:style>
  <w:style w:type="character" w:customStyle="1" w:styleId="Heading7Char">
    <w:name w:val="Heading 7 Char"/>
    <w:link w:val="Heading7"/>
    <w:rsid w:val="00F10848"/>
    <w:rPr>
      <w:b/>
      <w:sz w:val="24"/>
    </w:rPr>
  </w:style>
  <w:style w:type="character" w:customStyle="1" w:styleId="Heading8Char">
    <w:name w:val="Heading 8 Char"/>
    <w:link w:val="Heading8"/>
    <w:rsid w:val="00F10848"/>
    <w:rPr>
      <w:b/>
      <w:sz w:val="24"/>
    </w:rPr>
  </w:style>
  <w:style w:type="character" w:customStyle="1" w:styleId="Heading9Char">
    <w:name w:val="Heading 9 Char"/>
    <w:link w:val="Heading9"/>
    <w:rsid w:val="00F10848"/>
    <w:rPr>
      <w:color w:val="000000"/>
      <w:sz w:val="24"/>
      <w:u w:val="single"/>
    </w:rPr>
  </w:style>
  <w:style w:type="numbering" w:customStyle="1" w:styleId="NoList1">
    <w:name w:val="No List1"/>
    <w:next w:val="NoList"/>
    <w:uiPriority w:val="99"/>
    <w:semiHidden/>
    <w:unhideWhenUsed/>
    <w:rsid w:val="00F10848"/>
  </w:style>
  <w:style w:type="character" w:customStyle="1" w:styleId="Heading2Char">
    <w:name w:val="Heading 2 Char"/>
    <w:link w:val="Heading2"/>
    <w:rsid w:val="00F10848"/>
    <w:rPr>
      <w:rFonts w:ascii="CG Times" w:hAnsi="CG Times"/>
      <w:b/>
      <w:sz w:val="22"/>
      <w:u w:val="single"/>
    </w:rPr>
  </w:style>
  <w:style w:type="numbering" w:customStyle="1" w:styleId="NoList11">
    <w:name w:val="No List11"/>
    <w:next w:val="NoList"/>
    <w:uiPriority w:val="99"/>
    <w:semiHidden/>
    <w:unhideWhenUsed/>
    <w:rsid w:val="00F10848"/>
  </w:style>
  <w:style w:type="character" w:customStyle="1" w:styleId="HeaderChar">
    <w:name w:val="Header Char"/>
    <w:link w:val="Header"/>
    <w:uiPriority w:val="99"/>
    <w:rsid w:val="00F10848"/>
    <w:rPr>
      <w:sz w:val="24"/>
      <w:szCs w:val="24"/>
    </w:rPr>
  </w:style>
  <w:style w:type="paragraph" w:styleId="BodyText2">
    <w:name w:val="Body Text 2"/>
    <w:basedOn w:val="Normal"/>
    <w:link w:val="BodyText2Char"/>
    <w:rsid w:val="00F10848"/>
    <w:pPr>
      <w:spacing w:line="480" w:lineRule="auto"/>
    </w:pPr>
    <w:rPr>
      <w:sz w:val="20"/>
      <w:szCs w:val="20"/>
    </w:rPr>
  </w:style>
  <w:style w:type="character" w:customStyle="1" w:styleId="BodyText2Char">
    <w:name w:val="Body Text 2 Char"/>
    <w:basedOn w:val="DefaultParagraphFont"/>
    <w:link w:val="BodyText2"/>
    <w:rsid w:val="00F10848"/>
  </w:style>
  <w:style w:type="paragraph" w:styleId="BodyTextIndent">
    <w:name w:val="Body Text Indent"/>
    <w:basedOn w:val="Normal"/>
    <w:link w:val="BodyTextIndentChar"/>
    <w:rsid w:val="00F10848"/>
    <w:pPr>
      <w:widowControl w:val="0"/>
      <w:spacing w:line="480" w:lineRule="auto"/>
      <w:ind w:firstLine="720"/>
    </w:pPr>
    <w:rPr>
      <w:snapToGrid w:val="0"/>
      <w:szCs w:val="20"/>
    </w:rPr>
  </w:style>
  <w:style w:type="character" w:customStyle="1" w:styleId="BodyTextIndentChar">
    <w:name w:val="Body Text Indent Char"/>
    <w:link w:val="BodyTextIndent"/>
    <w:rsid w:val="00F10848"/>
    <w:rPr>
      <w:snapToGrid w:val="0"/>
      <w:sz w:val="24"/>
    </w:rPr>
  </w:style>
  <w:style w:type="character" w:customStyle="1" w:styleId="FooterChar">
    <w:name w:val="Footer Char"/>
    <w:link w:val="Footer"/>
    <w:uiPriority w:val="99"/>
    <w:rsid w:val="00F10848"/>
    <w:rPr>
      <w:sz w:val="24"/>
      <w:szCs w:val="24"/>
    </w:rPr>
  </w:style>
  <w:style w:type="character" w:styleId="PageNumber">
    <w:name w:val="page number"/>
    <w:rsid w:val="00F10848"/>
  </w:style>
  <w:style w:type="character" w:customStyle="1" w:styleId="EndnoteTextChar">
    <w:name w:val="Endnote Text Char"/>
    <w:link w:val="EndnoteText"/>
    <w:semiHidden/>
    <w:rsid w:val="00F10848"/>
    <w:rPr>
      <w:rFonts w:ascii="Courier" w:hAnsi="Courier"/>
      <w:sz w:val="24"/>
    </w:rPr>
  </w:style>
  <w:style w:type="character" w:styleId="FollowedHyperlink">
    <w:name w:val="FollowedHyperlink"/>
    <w:rsid w:val="00F10848"/>
    <w:rPr>
      <w:color w:val="800080"/>
      <w:u w:val="single"/>
    </w:rPr>
  </w:style>
  <w:style w:type="paragraph" w:styleId="BodyText3">
    <w:name w:val="Body Text 3"/>
    <w:basedOn w:val="Normal"/>
    <w:link w:val="BodyText3Char"/>
    <w:rsid w:val="00F10848"/>
    <w:pPr>
      <w:spacing w:line="480" w:lineRule="auto"/>
    </w:pPr>
    <w:rPr>
      <w:szCs w:val="20"/>
      <w:u w:val="single"/>
    </w:rPr>
  </w:style>
  <w:style w:type="character" w:customStyle="1" w:styleId="BodyText3Char">
    <w:name w:val="Body Text 3 Char"/>
    <w:link w:val="BodyText3"/>
    <w:rsid w:val="00F10848"/>
    <w:rPr>
      <w:sz w:val="24"/>
      <w:u w:val="single"/>
    </w:rPr>
  </w:style>
  <w:style w:type="paragraph" w:styleId="Title">
    <w:name w:val="Title"/>
    <w:basedOn w:val="Normal"/>
    <w:link w:val="TitleChar"/>
    <w:uiPriority w:val="10"/>
    <w:qFormat/>
    <w:rsid w:val="00F10848"/>
    <w:pPr>
      <w:spacing w:line="480" w:lineRule="auto"/>
      <w:jc w:val="center"/>
    </w:pPr>
    <w:rPr>
      <w:b/>
      <w:szCs w:val="20"/>
    </w:rPr>
  </w:style>
  <w:style w:type="character" w:customStyle="1" w:styleId="TitleChar">
    <w:name w:val="Title Char"/>
    <w:link w:val="Title"/>
    <w:uiPriority w:val="10"/>
    <w:rsid w:val="00F10848"/>
    <w:rPr>
      <w:b/>
      <w:sz w:val="24"/>
    </w:rPr>
  </w:style>
  <w:style w:type="paragraph" w:styleId="BodyTextIndent2">
    <w:name w:val="Body Text Indent 2"/>
    <w:basedOn w:val="Normal"/>
    <w:link w:val="BodyTextIndent2Char"/>
    <w:rsid w:val="00F10848"/>
    <w:pPr>
      <w:spacing w:line="480" w:lineRule="auto"/>
      <w:ind w:firstLine="504"/>
    </w:pPr>
    <w:rPr>
      <w:szCs w:val="20"/>
    </w:rPr>
  </w:style>
  <w:style w:type="character" w:customStyle="1" w:styleId="BodyTextIndent2Char">
    <w:name w:val="Body Text Indent 2 Char"/>
    <w:link w:val="BodyTextIndent2"/>
    <w:rsid w:val="00F10848"/>
    <w:rPr>
      <w:sz w:val="24"/>
    </w:rPr>
  </w:style>
  <w:style w:type="paragraph" w:styleId="BodyTextIndent3">
    <w:name w:val="Body Text Indent 3"/>
    <w:basedOn w:val="Normal"/>
    <w:link w:val="BodyTextIndent3Char"/>
    <w:rsid w:val="00F10848"/>
    <w:pPr>
      <w:spacing w:line="480" w:lineRule="auto"/>
      <w:ind w:left="360"/>
    </w:pPr>
    <w:rPr>
      <w:szCs w:val="20"/>
    </w:rPr>
  </w:style>
  <w:style w:type="character" w:customStyle="1" w:styleId="BodyTextIndent3Char">
    <w:name w:val="Body Text Indent 3 Char"/>
    <w:link w:val="BodyTextIndent3"/>
    <w:rsid w:val="00F10848"/>
    <w:rPr>
      <w:sz w:val="24"/>
    </w:rPr>
  </w:style>
  <w:style w:type="paragraph" w:customStyle="1" w:styleId="Preformatted">
    <w:name w:val="Preformatted"/>
    <w:basedOn w:val="Normal"/>
    <w:rsid w:val="00F1084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480" w:lineRule="auto"/>
    </w:pPr>
    <w:rPr>
      <w:rFonts w:ascii="Courier New" w:hAnsi="Courier New"/>
      <w:snapToGrid w:val="0"/>
      <w:sz w:val="20"/>
      <w:szCs w:val="20"/>
    </w:rPr>
  </w:style>
  <w:style w:type="character" w:customStyle="1" w:styleId="HTMLPreformattedChar">
    <w:name w:val="HTML Preformatted Char"/>
    <w:link w:val="HTMLPreformatted"/>
    <w:rsid w:val="00F10848"/>
    <w:rPr>
      <w:rFonts w:ascii="Courier New" w:hAnsi="Courier New"/>
      <w:color w:val="000000"/>
    </w:rPr>
  </w:style>
  <w:style w:type="paragraph" w:styleId="BlockText">
    <w:name w:val="Block Text"/>
    <w:basedOn w:val="Normal"/>
    <w:rsid w:val="00F10848"/>
    <w:pPr>
      <w:autoSpaceDE w:val="0"/>
      <w:autoSpaceDN w:val="0"/>
      <w:adjustRightInd w:val="0"/>
      <w:spacing w:line="480" w:lineRule="auto"/>
      <w:ind w:left="720" w:right="720"/>
    </w:pPr>
    <w:rPr>
      <w:color w:val="000000"/>
      <w:szCs w:val="20"/>
    </w:rPr>
  </w:style>
  <w:style w:type="paragraph" w:styleId="NormalWeb">
    <w:name w:val="Normal (Web)"/>
    <w:basedOn w:val="Normal"/>
    <w:uiPriority w:val="99"/>
    <w:rsid w:val="00F10848"/>
    <w:pPr>
      <w:spacing w:before="100" w:beforeAutospacing="1" w:after="100" w:afterAutospacing="1" w:line="480" w:lineRule="auto"/>
    </w:pPr>
    <w:rPr>
      <w:color w:val="000000"/>
    </w:rPr>
  </w:style>
  <w:style w:type="character" w:customStyle="1" w:styleId="BalloonTextChar">
    <w:name w:val="Balloon Text Char"/>
    <w:link w:val="BalloonText"/>
    <w:uiPriority w:val="99"/>
    <w:semiHidden/>
    <w:rsid w:val="00F10848"/>
    <w:rPr>
      <w:rFonts w:ascii="Tahoma" w:hAnsi="Tahoma" w:cs="Tahoma"/>
      <w:sz w:val="16"/>
      <w:szCs w:val="16"/>
    </w:rPr>
  </w:style>
  <w:style w:type="character" w:customStyle="1" w:styleId="CommentTextChar">
    <w:name w:val="Comment Text Char"/>
    <w:link w:val="CommentText"/>
    <w:uiPriority w:val="99"/>
    <w:rsid w:val="00F10848"/>
  </w:style>
  <w:style w:type="character" w:customStyle="1" w:styleId="CommentSubjectChar">
    <w:name w:val="Comment Subject Char"/>
    <w:link w:val="CommentSubject"/>
    <w:uiPriority w:val="99"/>
    <w:semiHidden/>
    <w:rsid w:val="00F10848"/>
    <w:rPr>
      <w:b/>
      <w:bCs/>
    </w:rPr>
  </w:style>
  <w:style w:type="paragraph" w:customStyle="1" w:styleId="CM4">
    <w:name w:val="CM4"/>
    <w:basedOn w:val="Default"/>
    <w:next w:val="Default"/>
    <w:rsid w:val="00F10848"/>
    <w:pPr>
      <w:spacing w:line="280" w:lineRule="atLeast"/>
    </w:pPr>
    <w:rPr>
      <w:rFonts w:ascii="MACFA D+ Bembo" w:hAnsi="MACFA D+ Bembo"/>
      <w:color w:val="auto"/>
    </w:rPr>
  </w:style>
  <w:style w:type="character" w:styleId="Emphasis">
    <w:name w:val="Emphasis"/>
    <w:qFormat/>
    <w:rsid w:val="00F10848"/>
    <w:rPr>
      <w:i/>
      <w:iCs/>
    </w:rPr>
  </w:style>
  <w:style w:type="paragraph" w:customStyle="1" w:styleId="CM120">
    <w:name w:val="CM120"/>
    <w:basedOn w:val="Default"/>
    <w:next w:val="Default"/>
    <w:rsid w:val="00F10848"/>
    <w:pPr>
      <w:spacing w:after="230" w:line="480" w:lineRule="auto"/>
    </w:pPr>
    <w:rPr>
      <w:rFonts w:ascii="Helvetica" w:hAnsi="Helvetica"/>
      <w:color w:val="auto"/>
    </w:rPr>
  </w:style>
  <w:style w:type="paragraph" w:customStyle="1" w:styleId="body">
    <w:name w:val="body"/>
    <w:basedOn w:val="Normal"/>
    <w:rsid w:val="00F10848"/>
    <w:pPr>
      <w:spacing w:before="100" w:beforeAutospacing="1" w:after="100" w:afterAutospacing="1" w:line="480" w:lineRule="auto"/>
    </w:pPr>
  </w:style>
  <w:style w:type="character" w:customStyle="1" w:styleId="TechInit">
    <w:name w:val="Tech Init"/>
    <w:rsid w:val="00F10848"/>
    <w:rPr>
      <w:rFonts w:ascii="Helvetica" w:hAnsi="Helvetica"/>
      <w:noProof w:val="0"/>
      <w:sz w:val="24"/>
      <w:lang w:val="en-US"/>
    </w:rPr>
  </w:style>
  <w:style w:type="table" w:styleId="TableGrid">
    <w:name w:val="Table Grid"/>
    <w:basedOn w:val="TableNormal"/>
    <w:uiPriority w:val="59"/>
    <w:rsid w:val="00F10848"/>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10848"/>
    <w:pPr>
      <w:spacing w:line="480" w:lineRule="auto"/>
    </w:pPr>
    <w:rPr>
      <w:rFonts w:ascii="Calibri" w:eastAsia="Calibri" w:hAnsi="Calibri"/>
      <w:sz w:val="22"/>
      <w:szCs w:val="22"/>
    </w:rPr>
  </w:style>
  <w:style w:type="character" w:customStyle="1" w:styleId="volume">
    <w:name w:val="volume"/>
    <w:rsid w:val="00F10848"/>
  </w:style>
  <w:style w:type="character" w:customStyle="1" w:styleId="page">
    <w:name w:val="page"/>
    <w:rsid w:val="00F10848"/>
  </w:style>
  <w:style w:type="paragraph" w:styleId="Revision">
    <w:name w:val="Revision"/>
    <w:hidden/>
    <w:uiPriority w:val="99"/>
    <w:semiHidden/>
    <w:rsid w:val="00F10848"/>
    <w:pPr>
      <w:spacing w:line="480" w:lineRule="auto"/>
    </w:pPr>
  </w:style>
  <w:style w:type="paragraph" w:customStyle="1" w:styleId="xl65">
    <w:name w:val="xl65"/>
    <w:basedOn w:val="Normal"/>
    <w:rsid w:val="00F10848"/>
    <w:pPr>
      <w:spacing w:before="100" w:beforeAutospacing="1" w:after="100" w:afterAutospacing="1" w:line="480" w:lineRule="auto"/>
      <w:textAlignment w:val="top"/>
    </w:pPr>
    <w:rPr>
      <w:rFonts w:ascii="Calibri" w:hAnsi="Calibri"/>
      <w:b/>
      <w:bCs/>
      <w:u w:val="single"/>
    </w:rPr>
  </w:style>
  <w:style w:type="paragraph" w:customStyle="1" w:styleId="xl66">
    <w:name w:val="xl66"/>
    <w:basedOn w:val="Normal"/>
    <w:rsid w:val="00F10848"/>
    <w:pPr>
      <w:spacing w:before="100" w:beforeAutospacing="1" w:after="100" w:afterAutospacing="1" w:line="480" w:lineRule="auto"/>
      <w:textAlignment w:val="top"/>
    </w:pPr>
    <w:rPr>
      <w:rFonts w:ascii="Calibri" w:hAnsi="Calibri"/>
    </w:rPr>
  </w:style>
  <w:style w:type="paragraph" w:customStyle="1" w:styleId="xl67">
    <w:name w:val="xl67"/>
    <w:basedOn w:val="Normal"/>
    <w:rsid w:val="00F10848"/>
    <w:pPr>
      <w:spacing w:before="100" w:beforeAutospacing="1" w:after="100" w:afterAutospacing="1" w:line="480" w:lineRule="auto"/>
      <w:textAlignment w:val="top"/>
    </w:pPr>
    <w:rPr>
      <w:rFonts w:ascii="Calibri" w:hAnsi="Calibri"/>
    </w:rPr>
  </w:style>
  <w:style w:type="paragraph" w:customStyle="1" w:styleId="xl68">
    <w:name w:val="xl68"/>
    <w:basedOn w:val="Normal"/>
    <w:rsid w:val="00F10848"/>
    <w:pPr>
      <w:spacing w:before="100" w:beforeAutospacing="1" w:after="100" w:afterAutospacing="1" w:line="480" w:lineRule="auto"/>
      <w:textAlignment w:val="top"/>
    </w:pPr>
    <w:rPr>
      <w:rFonts w:ascii="Calibri" w:hAnsi="Calibri"/>
    </w:rPr>
  </w:style>
  <w:style w:type="paragraph" w:customStyle="1" w:styleId="xl69">
    <w:name w:val="xl69"/>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0">
    <w:name w:val="xl70"/>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1">
    <w:name w:val="xl71"/>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2">
    <w:name w:val="xl72"/>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3">
    <w:name w:val="xl73"/>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4">
    <w:name w:val="xl74"/>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5">
    <w:name w:val="xl75"/>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numbering" w:customStyle="1" w:styleId="NoList111">
    <w:name w:val="No List111"/>
    <w:next w:val="NoList"/>
    <w:uiPriority w:val="99"/>
    <w:semiHidden/>
    <w:unhideWhenUsed/>
    <w:rsid w:val="00F10848"/>
  </w:style>
  <w:style w:type="table" w:customStyle="1" w:styleId="TableGrid1">
    <w:name w:val="Table Grid1"/>
    <w:basedOn w:val="TableNormal"/>
    <w:next w:val="TableGrid"/>
    <w:uiPriority w:val="59"/>
    <w:rsid w:val="00F1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0848"/>
  </w:style>
  <w:style w:type="numbering" w:customStyle="1" w:styleId="NoList2">
    <w:name w:val="No List2"/>
    <w:next w:val="NoList"/>
    <w:uiPriority w:val="99"/>
    <w:semiHidden/>
    <w:unhideWhenUsed/>
    <w:rsid w:val="00E220B5"/>
  </w:style>
  <w:style w:type="table" w:customStyle="1" w:styleId="TableGrid2">
    <w:name w:val="Table Grid2"/>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20B5"/>
  </w:style>
  <w:style w:type="table" w:customStyle="1" w:styleId="TableGrid11">
    <w:name w:val="Table Grid11"/>
    <w:basedOn w:val="TableNormal"/>
    <w:next w:val="TableGrid"/>
    <w:uiPriority w:val="59"/>
    <w:rsid w:val="00E220B5"/>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220B5"/>
  </w:style>
  <w:style w:type="table" w:customStyle="1" w:styleId="TableGrid111">
    <w:name w:val="Table Grid111"/>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3E19"/>
  </w:style>
  <w:style w:type="table" w:customStyle="1" w:styleId="TableGrid3">
    <w:name w:val="Table Grid3"/>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3E19"/>
  </w:style>
  <w:style w:type="table" w:customStyle="1" w:styleId="TableGrid12">
    <w:name w:val="Table Grid12"/>
    <w:basedOn w:val="TableNormal"/>
    <w:next w:val="TableGrid"/>
    <w:uiPriority w:val="59"/>
    <w:rsid w:val="007D3E19"/>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3E19"/>
  </w:style>
  <w:style w:type="table" w:customStyle="1" w:styleId="TableGrid112">
    <w:name w:val="Table Grid112"/>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D3353"/>
  </w:style>
  <w:style w:type="paragraph" w:customStyle="1" w:styleId="Style">
    <w:name w:val="Style"/>
    <w:basedOn w:val="Normal"/>
    <w:rsid w:val="00CD3353"/>
    <w:pPr>
      <w:widowControl w:val="0"/>
      <w:autoSpaceDE w:val="0"/>
      <w:autoSpaceDN w:val="0"/>
      <w:adjustRightInd w:val="0"/>
      <w:ind w:left="360" w:hanging="360"/>
    </w:pPr>
    <w:rPr>
      <w:rFonts w:ascii="Times" w:hAnsi="Times"/>
    </w:rPr>
  </w:style>
  <w:style w:type="paragraph" w:styleId="TOC6">
    <w:name w:val="toc 6"/>
    <w:basedOn w:val="Normal"/>
    <w:next w:val="Normal"/>
    <w:autoRedefine/>
    <w:rsid w:val="00CD3353"/>
    <w:pPr>
      <w:widowControl w:val="0"/>
      <w:tabs>
        <w:tab w:val="right" w:pos="9360"/>
      </w:tabs>
      <w:suppressAutoHyphens/>
      <w:ind w:left="720" w:hanging="720"/>
    </w:pPr>
    <w:rPr>
      <w:rFonts w:ascii="Courier" w:hAnsi="Courier"/>
      <w:snapToGrid w:val="0"/>
      <w:szCs w:val="20"/>
    </w:rPr>
  </w:style>
  <w:style w:type="paragraph" w:styleId="Subtitle">
    <w:name w:val="Subtitle"/>
    <w:basedOn w:val="Normal"/>
    <w:link w:val="SubtitleChar"/>
    <w:qFormat/>
    <w:rsid w:val="00CD3353"/>
    <w:pPr>
      <w:autoSpaceDE w:val="0"/>
      <w:autoSpaceDN w:val="0"/>
      <w:adjustRightInd w:val="0"/>
    </w:pPr>
    <w:rPr>
      <w:rFonts w:ascii="TimesNewRoman,Bold" w:hAnsi="TimesNewRoman,Bold"/>
      <w:b/>
      <w:bCs/>
    </w:rPr>
  </w:style>
  <w:style w:type="character" w:customStyle="1" w:styleId="SubtitleChar">
    <w:name w:val="Subtitle Char"/>
    <w:basedOn w:val="DefaultParagraphFont"/>
    <w:link w:val="Subtitle"/>
    <w:rsid w:val="00CD3353"/>
    <w:rPr>
      <w:rFonts w:ascii="TimesNewRoman,Bold" w:hAnsi="TimesNewRoman,Bold"/>
      <w:b/>
      <w:bCs/>
      <w:sz w:val="24"/>
      <w:szCs w:val="24"/>
    </w:rPr>
  </w:style>
  <w:style w:type="paragraph" w:customStyle="1" w:styleId="5RightPar">
    <w:name w:val="5Right Par"/>
    <w:rsid w:val="00CD3353"/>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table" w:customStyle="1" w:styleId="TableGrid4">
    <w:name w:val="Table Grid4"/>
    <w:basedOn w:val="TableNormal"/>
    <w:next w:val="TableGrid"/>
    <w:uiPriority w:val="3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D3353"/>
  </w:style>
  <w:style w:type="numbering" w:customStyle="1" w:styleId="NoList114">
    <w:name w:val="No List114"/>
    <w:next w:val="NoList"/>
    <w:uiPriority w:val="99"/>
    <w:semiHidden/>
    <w:unhideWhenUsed/>
    <w:rsid w:val="00CD3353"/>
  </w:style>
  <w:style w:type="table" w:customStyle="1" w:styleId="TableGrid113">
    <w:name w:val="Table Grid113"/>
    <w:basedOn w:val="TableNormal"/>
    <w:next w:val="TableGrid"/>
    <w:uiPriority w:val="5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D3353"/>
    <w:rPr>
      <w:rFonts w:cs="Times New Roman"/>
      <w:b/>
      <w:bCs/>
    </w:rPr>
  </w:style>
  <w:style w:type="character" w:customStyle="1" w:styleId="documentbody1">
    <w:name w:val="documentbody1"/>
    <w:basedOn w:val="DefaultParagraphFont"/>
    <w:uiPriority w:val="99"/>
    <w:rsid w:val="00CD3353"/>
    <w:rPr>
      <w:rFonts w:ascii="Verdana" w:hAnsi="Verdana" w:cs="Times New Roman"/>
      <w:sz w:val="19"/>
      <w:szCs w:val="19"/>
    </w:rPr>
  </w:style>
  <w:style w:type="character" w:customStyle="1" w:styleId="null1">
    <w:name w:val="null1"/>
    <w:basedOn w:val="DefaultParagraphFont"/>
    <w:rsid w:val="00CD3353"/>
  </w:style>
  <w:style w:type="character" w:customStyle="1" w:styleId="ListParagraphChar">
    <w:name w:val="List Paragraph Char"/>
    <w:aliases w:val="Colorful List - Accent 11 Char,Colorful List Accent 1 Char,EC Char,Paragraphe EI Char,Paragraphe de liste1 Char,Paragraphe de liste2 Char"/>
    <w:link w:val="ListParagraph"/>
    <w:uiPriority w:val="34"/>
    <w:locked/>
    <w:rsid w:val="00967DEF"/>
    <w:rPr>
      <w:rFonts w:ascii="Cambria" w:eastAsia="Cambria" w:hAnsi="Cambria"/>
      <w:sz w:val="24"/>
      <w:szCs w:val="24"/>
    </w:rPr>
  </w:style>
  <w:style w:type="character" w:styleId="UnresolvedMention">
    <w:name w:val="Unresolved Mention"/>
    <w:basedOn w:val="DefaultParagraphFont"/>
    <w:uiPriority w:val="99"/>
    <w:semiHidden/>
    <w:unhideWhenUsed/>
    <w:rsid w:val="00043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9B77A-DD32-4812-AD7B-379807B2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3733</Words>
  <Characters>21329</Characters>
  <Application>Microsoft Office Word</Application>
  <DocSecurity>0</DocSecurity>
  <Lines>177</Lines>
  <Paragraphs>50</Paragraphs>
  <ScaleCrop>false</ScaleCrop>
  <Company/>
  <LinksUpToDate>false</LinksUpToDate>
  <CharactersWithSpaces>25012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KYeh (FDIC)</cp:lastModifiedBy>
  <cp:revision>2</cp:revision>
  <dcterms:created xsi:type="dcterms:W3CDTF">2025-07-17T16:11:00Z</dcterms:created>
  <dcterms:modified xsi:type="dcterms:W3CDTF">2025-07-17T16:11:00Z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43a68978-d756-43d9-b81b-eb19a8a98dd2</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2025-07-17T16:11:52Z</vt:lpwstr>
  </property>
  <property fmtid="{D5CDD505-2E9C-101B-9397-08002B2CF9AE}" pid="8" name="MSIP_Label_3be8ab8c-433c-4394-a4fb-cd2d5c4d0a5e_SiteId">
    <vt:lpwstr>26c83bc9-31c1-4d77-a523-0816095aba31</vt:lpwstr>
  </property>
  <property fmtid="{D5CDD505-2E9C-101B-9397-08002B2CF9AE}" pid="9" name="MSIP_Label_3be8ab8c-433c-4394-a4fb-cd2d5c4d0a5e_Tag">
    <vt:lpwstr>10, 0, 1, 1</vt:lpwstr>
  </property>
</Properties>
</file>