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126D" w:rsidRPr="005A7013" w:rsidP="00B7126D" w14:paraId="5A65FD15" w14:textId="5E01EEC1">
      <w:pPr>
        <w:jc w:val="center"/>
        <w:rPr>
          <w:b/>
        </w:rPr>
      </w:pPr>
      <w:r w:rsidRPr="005A7013">
        <w:rPr>
          <w:b/>
        </w:rPr>
        <w:t>SUPPORTING STATEMENT</w:t>
      </w:r>
    </w:p>
    <w:p w:rsidR="0037391A" w:rsidP="005A7013" w14:paraId="474454B9" w14:textId="77777777">
      <w:pPr>
        <w:jc w:val="center"/>
        <w:rPr>
          <w:b/>
        </w:rPr>
      </w:pPr>
    </w:p>
    <w:p w:rsidR="0037391A" w:rsidRPr="006F0C95" w:rsidP="005A7013" w14:paraId="254E60A1" w14:textId="77777777">
      <w:pPr>
        <w:jc w:val="center"/>
        <w:rPr>
          <w:b/>
          <w:caps/>
        </w:rPr>
      </w:pPr>
      <w:r w:rsidRPr="006F0C95">
        <w:rPr>
          <w:b/>
          <w:caps/>
        </w:rPr>
        <w:t>Federal Maritime Commission</w:t>
      </w:r>
    </w:p>
    <w:p w:rsidR="00B7126D" w:rsidRPr="006F0C95" w:rsidP="005A7013" w14:paraId="0C0A6C55" w14:textId="1EB7456C">
      <w:pPr>
        <w:jc w:val="center"/>
        <w:rPr>
          <w:b/>
          <w:caps/>
        </w:rPr>
      </w:pPr>
      <w:r w:rsidRPr="006F0C95">
        <w:rPr>
          <w:b/>
          <w:caps/>
        </w:rPr>
        <w:t xml:space="preserve">46 CFR PART </w:t>
      </w:r>
      <w:r w:rsidRPr="006F0C95" w:rsidR="00E5322A">
        <w:rPr>
          <w:b/>
          <w:caps/>
        </w:rPr>
        <w:t>5</w:t>
      </w:r>
      <w:r w:rsidRPr="006F0C95" w:rsidR="00CB615F">
        <w:rPr>
          <w:b/>
          <w:caps/>
        </w:rPr>
        <w:t>3</w:t>
      </w:r>
      <w:r w:rsidRPr="006F0C95" w:rsidR="005A7013">
        <w:rPr>
          <w:b/>
          <w:caps/>
        </w:rPr>
        <w:t>1</w:t>
      </w:r>
      <w:r w:rsidRPr="006F0C95" w:rsidR="00E5322A">
        <w:rPr>
          <w:b/>
          <w:caps/>
        </w:rPr>
        <w:t xml:space="preserve"> – </w:t>
      </w:r>
      <w:r w:rsidRPr="006F0C95" w:rsidR="005A7013">
        <w:rPr>
          <w:b/>
          <w:caps/>
        </w:rPr>
        <w:t>NVOCC SERVICE ARRANGEMENTS (NSA</w:t>
      </w:r>
      <w:r w:rsidRPr="009D7120" w:rsidR="005A7013">
        <w:rPr>
          <w:b/>
          <w:smallCaps/>
        </w:rPr>
        <w:t>s</w:t>
      </w:r>
      <w:r w:rsidRPr="006F0C95" w:rsidR="005A7013">
        <w:rPr>
          <w:b/>
          <w:caps/>
        </w:rPr>
        <w:t>)</w:t>
      </w:r>
    </w:p>
    <w:p w:rsidR="00B7126D" w:rsidRPr="00D66806" w:rsidP="00B7126D" w14:paraId="557F8FC9" w14:textId="3A9FAFAE">
      <w:pPr>
        <w:jc w:val="center"/>
        <w:rPr>
          <w:b/>
        </w:rPr>
      </w:pPr>
      <w:r w:rsidRPr="00D66806">
        <w:rPr>
          <w:b/>
        </w:rPr>
        <w:t>(OMB No. 3072-</w:t>
      </w:r>
      <w:r w:rsidR="004C10E3">
        <w:rPr>
          <w:b/>
        </w:rPr>
        <w:t>00</w:t>
      </w:r>
      <w:r w:rsidRPr="00D66806" w:rsidR="000B371E">
        <w:rPr>
          <w:b/>
        </w:rPr>
        <w:t>7</w:t>
      </w:r>
      <w:r w:rsidRPr="00D66806" w:rsidR="00022FBD">
        <w:rPr>
          <w:b/>
        </w:rPr>
        <w:t>0</w:t>
      </w:r>
      <w:r w:rsidRPr="00D66806" w:rsidR="000B371E">
        <w:rPr>
          <w:b/>
        </w:rPr>
        <w:t>)</w:t>
      </w:r>
    </w:p>
    <w:p w:rsidR="00B7126D" w:rsidRPr="005A7013" w:rsidP="00B7126D" w14:paraId="6887D5A8" w14:textId="77777777"/>
    <w:p w:rsidR="00B7126D" w:rsidRPr="005A7013" w:rsidP="00B7126D" w14:paraId="3E1C6B05" w14:textId="480EA218">
      <w:pPr>
        <w:rPr>
          <w:b/>
          <w:bCs/>
        </w:rPr>
      </w:pPr>
      <w:r w:rsidRPr="005A7013">
        <w:rPr>
          <w:b/>
          <w:bCs/>
        </w:rPr>
        <w:t xml:space="preserve">A. Justification </w:t>
      </w:r>
    </w:p>
    <w:p w:rsidR="00B7126D" w:rsidRPr="005A7013" w:rsidP="00B7126D" w14:paraId="1E169308" w14:textId="77777777"/>
    <w:p w:rsidR="00B7126D" w:rsidRPr="005A7013" w:rsidP="00B7126D" w14:paraId="63426240" w14:textId="77777777">
      <w:pPr>
        <w:rPr>
          <w:b/>
          <w:bCs/>
        </w:rPr>
      </w:pPr>
      <w:r w:rsidRPr="005A7013">
        <w:rPr>
          <w:b/>
          <w:bCs/>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 </w:t>
      </w:r>
    </w:p>
    <w:p w:rsidR="00C046F2" w:rsidRPr="00C046F2" w:rsidP="00C046F2" w14:paraId="781AF62C" w14:textId="77777777"/>
    <w:p w:rsidR="00B2115C" w:rsidP="001F4DA5" w14:paraId="4FA7B21F" w14:textId="110948EB">
      <w:pPr>
        <w:ind w:firstLine="720"/>
      </w:pPr>
      <w:r w:rsidRPr="00C046F2">
        <w:t xml:space="preserve">46 U.S.C. 40103, authorizes the Federal Maritime Commission to exempt “any class of agreements between persons subject to this Act or any specified activity of those persons from any requirement of this Act if </w:t>
      </w:r>
      <w:r w:rsidRPr="004A091B" w:rsidR="000E6038">
        <w:t>the Commission</w:t>
      </w:r>
      <w:r w:rsidRPr="00C046F2">
        <w:t xml:space="preserve"> finds that the exemption will not result in substantial reduction in competition or be detrimental to commerce. The Commission may attach conditions to any exemption and may, by order, revoke any exemption.” </w:t>
      </w:r>
      <w:r w:rsidR="00EE5139">
        <w:t>Pursuant to that authority, t</w:t>
      </w:r>
      <w:r>
        <w:t xml:space="preserve">he Commission </w:t>
      </w:r>
      <w:r w:rsidR="00EE5139">
        <w:t>has</w:t>
      </w:r>
      <w:r>
        <w:t xml:space="preserve"> exempt</w:t>
      </w:r>
      <w:r w:rsidR="00EE5139">
        <w:t>ed</w:t>
      </w:r>
      <w:r w:rsidR="00713FC7">
        <w:t>, with conditions,</w:t>
      </w:r>
      <w:r>
        <w:t xml:space="preserve"> non-vessel-operating common carriers (NVOCCs) from the more stringent tariff rate publication requirements of the Shipping Act of 1984 and related provisions of the Commission’s regulations to permit them to </w:t>
      </w:r>
      <w:r>
        <w:t>enter into</w:t>
      </w:r>
      <w:r>
        <w:t xml:space="preserve"> contracts with shippers similar to ocean common carrier service contracts</w:t>
      </w:r>
      <w:r w:rsidR="00046549">
        <w:t>,</w:t>
      </w:r>
      <w:r w:rsidR="006D36B9">
        <w:t xml:space="preserve"> </w:t>
      </w:r>
      <w:r w:rsidR="001F4DA5">
        <w:t>46</w:t>
      </w:r>
      <w:r w:rsidR="00D5187E">
        <w:t> </w:t>
      </w:r>
      <w:r w:rsidR="001F4DA5">
        <w:t xml:space="preserve">CFR </w:t>
      </w:r>
      <w:r w:rsidR="006D36B9">
        <w:t>P</w:t>
      </w:r>
      <w:r w:rsidR="001F4DA5">
        <w:t>art 531</w:t>
      </w:r>
      <w:r>
        <w:t xml:space="preserve">. </w:t>
      </w:r>
      <w:r w:rsidR="00857375">
        <w:t>These contracts are called “NVOCC Service Arrangements” (NSAs),</w:t>
      </w:r>
      <w:r w:rsidR="00095D40">
        <w:t xml:space="preserve"> 46 CFR 531.3(b)(i). </w:t>
      </w:r>
    </w:p>
    <w:p w:rsidR="00B2115C" w:rsidP="001F4DA5" w14:paraId="73046B80" w14:textId="77777777">
      <w:pPr>
        <w:ind w:firstLine="720"/>
      </w:pPr>
    </w:p>
    <w:p w:rsidR="00D7492A" w:rsidP="001F4DA5" w14:paraId="4B1AFFC4" w14:textId="7A22D280">
      <w:pPr>
        <w:ind w:firstLine="720"/>
      </w:pPr>
      <w:r>
        <w:t xml:space="preserve"> NVOCC</w:t>
      </w:r>
      <w:r w:rsidR="00C02D49">
        <w:t xml:space="preserve">s </w:t>
      </w:r>
      <w:r w:rsidR="00591A57">
        <w:t>wishing to invoke</w:t>
      </w:r>
      <w:r w:rsidR="00414B2D">
        <w:t xml:space="preserve"> the exemption </w:t>
      </w:r>
      <w:r w:rsidR="00C02D49">
        <w:t>must</w:t>
      </w:r>
      <w:r>
        <w:t>:</w:t>
      </w:r>
    </w:p>
    <w:p w:rsidR="0082215C" w:rsidRPr="006F0C95" w:rsidP="001F4DA5" w14:paraId="184A0C6C" w14:textId="77777777">
      <w:pPr>
        <w:ind w:firstLine="720"/>
        <w:rPr>
          <w:sz w:val="12"/>
          <w:szCs w:val="12"/>
        </w:rPr>
      </w:pPr>
    </w:p>
    <w:p w:rsidR="00D2519A" w:rsidP="00D7492A" w14:paraId="63360F7D" w14:textId="57A0BBDC">
      <w:pPr>
        <w:pStyle w:val="ListParagraph"/>
        <w:numPr>
          <w:ilvl w:val="0"/>
          <w:numId w:val="4"/>
        </w:numPr>
      </w:pPr>
      <w:r>
        <w:t>Including the terms</w:t>
      </w:r>
      <w:r w:rsidR="00122416">
        <w:t xml:space="preserve"> listed in 46 CFR 531.6(b) in their </w:t>
      </w:r>
      <w:r w:rsidR="00D86BC7">
        <w:t>NSA</w:t>
      </w:r>
      <w:r w:rsidR="00122416">
        <w:t>;</w:t>
      </w:r>
    </w:p>
    <w:p w:rsidR="00D721CE" w:rsidP="00D7492A" w14:paraId="38105AF8" w14:textId="0859644A">
      <w:pPr>
        <w:pStyle w:val="ListParagraph"/>
        <w:numPr>
          <w:ilvl w:val="0"/>
          <w:numId w:val="4"/>
        </w:numPr>
      </w:pPr>
      <w:r>
        <w:t>Abide by the prohibitions in 46 CFR 531.6(c);</w:t>
      </w:r>
    </w:p>
    <w:p w:rsidR="00D721CE" w:rsidP="00D7492A" w14:paraId="59221358" w14:textId="1AC86D34">
      <w:pPr>
        <w:pStyle w:val="ListParagraph"/>
        <w:numPr>
          <w:ilvl w:val="0"/>
          <w:numId w:val="4"/>
        </w:numPr>
      </w:pPr>
      <w:r>
        <w:t>Assign a unique NSA number to each agreement (46 CFR</w:t>
      </w:r>
      <w:r w:rsidR="00D32DD4">
        <w:t>531.6(d)</w:t>
      </w:r>
      <w:r w:rsidR="004417BE">
        <w:t>)</w:t>
      </w:r>
      <w:r w:rsidR="00D32DD4">
        <w:t>;</w:t>
      </w:r>
    </w:p>
    <w:p w:rsidR="007940C0" w:rsidP="00D7492A" w14:paraId="2523AAAE" w14:textId="3C342C03">
      <w:pPr>
        <w:pStyle w:val="ListParagraph"/>
        <w:numPr>
          <w:ilvl w:val="0"/>
          <w:numId w:val="4"/>
        </w:numPr>
      </w:pPr>
      <w:r>
        <w:t>P</w:t>
      </w:r>
      <w:r w:rsidR="00252DE3">
        <w:t>rovid</w:t>
      </w:r>
      <w:r w:rsidR="00D32DD4">
        <w:t>e</w:t>
      </w:r>
      <w:r w:rsidR="00252DE3">
        <w:t xml:space="preserve"> electronic access to its </w:t>
      </w:r>
      <w:r w:rsidR="00252DE3">
        <w:t>rules</w:t>
      </w:r>
      <w:r>
        <w:t xml:space="preserve"> tariffs to the public free of charge</w:t>
      </w:r>
      <w:r w:rsidR="00AE2D6D">
        <w:t xml:space="preserve"> (46 CFR 531.4(a)</w:t>
      </w:r>
      <w:r w:rsidR="008A3B36">
        <w:t>)</w:t>
      </w:r>
      <w:r w:rsidR="00C046F2">
        <w:t>;</w:t>
      </w:r>
    </w:p>
    <w:p w:rsidR="00056632" w:rsidP="00D7492A" w14:paraId="070D26E2" w14:textId="5199A115">
      <w:pPr>
        <w:pStyle w:val="ListParagraph"/>
        <w:numPr>
          <w:ilvl w:val="0"/>
          <w:numId w:val="4"/>
        </w:numPr>
      </w:pPr>
      <w:r>
        <w:t>Indicat</w:t>
      </w:r>
      <w:r w:rsidR="00390A87">
        <w:t>e</w:t>
      </w:r>
      <w:r>
        <w:t xml:space="preserve"> their intention to invoke the exemption</w:t>
      </w:r>
      <w:r w:rsidR="00AE2D6D">
        <w:t xml:space="preserve"> by including a prominent notice on its rules tariff (46 CFR 531.4(b)</w:t>
      </w:r>
      <w:r w:rsidR="008A3B36">
        <w:t>)</w:t>
      </w:r>
      <w:r w:rsidR="00AE2D6D">
        <w:t>;</w:t>
      </w:r>
      <w:r w:rsidR="00AE2D6D">
        <w:t xml:space="preserve"> </w:t>
      </w:r>
    </w:p>
    <w:p w:rsidR="00D71B78" w:rsidP="00D7492A" w14:paraId="57D66CD8" w14:textId="6D1ACF39">
      <w:pPr>
        <w:pStyle w:val="ListParagraph"/>
        <w:numPr>
          <w:ilvl w:val="0"/>
          <w:numId w:val="4"/>
        </w:numPr>
      </w:pPr>
      <w:r>
        <w:t>Maintain</w:t>
      </w:r>
      <w:r w:rsidR="00C046F2">
        <w:t xml:space="preserve"> </w:t>
      </w:r>
      <w:r w:rsidR="00CB0EE2">
        <w:t xml:space="preserve">original </w:t>
      </w:r>
      <w:r w:rsidR="00C046F2">
        <w:t>NSAs</w:t>
      </w:r>
      <w:r w:rsidR="00260F8B">
        <w:t>, amendments,</w:t>
      </w:r>
      <w:r w:rsidR="00C046F2">
        <w:t xml:space="preserve"> and </w:t>
      </w:r>
      <w:r w:rsidR="00260F8B">
        <w:t xml:space="preserve">their </w:t>
      </w:r>
      <w:r w:rsidR="00C046F2">
        <w:t>associated records for five years</w:t>
      </w:r>
      <w:r w:rsidR="51DD6744">
        <w:t xml:space="preserve"> </w:t>
      </w:r>
      <w:r w:rsidR="00260F8B">
        <w:t xml:space="preserve">from the termination of each NSA </w:t>
      </w:r>
      <w:r w:rsidR="51DD6744">
        <w:t xml:space="preserve">in a format </w:t>
      </w:r>
      <w:r w:rsidR="00E601A6">
        <w:t>that is readily available and useable by</w:t>
      </w:r>
      <w:r w:rsidR="51DD6744">
        <w:t xml:space="preserve"> Commission</w:t>
      </w:r>
      <w:r>
        <w:t xml:space="preserve"> (46 CFR 531.12(a)</w:t>
      </w:r>
      <w:r w:rsidR="00984019">
        <w:t>)</w:t>
      </w:r>
      <w:r>
        <w:t>;</w:t>
      </w:r>
      <w:r w:rsidR="51DD6744">
        <w:t xml:space="preserve"> and </w:t>
      </w:r>
    </w:p>
    <w:p w:rsidR="00C046F2" w:rsidRPr="008D46C2" w:rsidP="006F0C95" w14:paraId="424D6420" w14:textId="137832CD">
      <w:pPr>
        <w:pStyle w:val="ListParagraph"/>
        <w:numPr>
          <w:ilvl w:val="0"/>
          <w:numId w:val="4"/>
        </w:numPr>
      </w:pPr>
      <w:r>
        <w:t>P</w:t>
      </w:r>
      <w:r w:rsidR="51DD6744">
        <w:t xml:space="preserve">rovide those records </w:t>
      </w:r>
      <w:r>
        <w:t xml:space="preserve">to the agency </w:t>
      </w:r>
      <w:r w:rsidR="51DD6744">
        <w:t xml:space="preserve">upon </w:t>
      </w:r>
      <w:r w:rsidR="0082215C">
        <w:t>a written</w:t>
      </w:r>
      <w:r>
        <w:t xml:space="preserve"> </w:t>
      </w:r>
      <w:r w:rsidR="51DD6744">
        <w:t>request from the Commission</w:t>
      </w:r>
      <w:r w:rsidR="0082215C">
        <w:t xml:space="preserve"> (46 CFR 531.12(b))</w:t>
      </w:r>
      <w:r w:rsidR="51DD6744">
        <w:t xml:space="preserve">. </w:t>
      </w:r>
      <w:r>
        <w:t xml:space="preserve"> </w:t>
      </w:r>
    </w:p>
    <w:p w:rsidR="00C046F2" w:rsidP="00C046F2" w14:paraId="59C2FCC0" w14:textId="77777777">
      <w:pPr>
        <w:rPr>
          <w:highlight w:val="yellow"/>
        </w:rPr>
      </w:pPr>
    </w:p>
    <w:p w:rsidR="00B7126D" w:rsidRPr="009B02D2" w:rsidP="00B7126D" w14:paraId="04285151" w14:textId="77777777">
      <w:pPr>
        <w:rPr>
          <w:b/>
          <w:bCs/>
        </w:rPr>
      </w:pPr>
      <w:r w:rsidRPr="009B02D2">
        <w:rPr>
          <w:b/>
          <w:bCs/>
        </w:rPr>
        <w:t xml:space="preserve">2. Indicate how, by whom, and for what purpose the information is to be used. Except for a new collection, indicate the actual use the agency has made of the information received from the current collection. </w:t>
      </w:r>
    </w:p>
    <w:p w:rsidR="00237D0C" w:rsidRPr="009B02D2" w:rsidP="00237D0C" w14:paraId="3322ED2C" w14:textId="77777777"/>
    <w:p w:rsidR="000C7DB2" w:rsidP="000C7DB2" w14:paraId="7A234452" w14:textId="232233E5">
      <w:pPr>
        <w:ind w:firstLine="720"/>
      </w:pPr>
      <w:r>
        <w:t xml:space="preserve">A tariff is a publication containing the actual rates, charges, classifications, rules, regulations and practices of a common carrier. The rules tariff (or portion of a tariff) refers to those stated terms or conditions set by the carrier which affect, determine or change the </w:t>
      </w:r>
      <w:r>
        <w:t xml:space="preserve">transportation rates, charges or services provided by a common carrier, including those rules or practices applicable to shipments under NSAs. </w:t>
      </w:r>
    </w:p>
    <w:p w:rsidR="009B085A" w:rsidRPr="009B02D2" w:rsidP="000C7DB2" w14:paraId="7D208999" w14:textId="77777777">
      <w:pPr>
        <w:ind w:firstLine="720"/>
      </w:pPr>
    </w:p>
    <w:p w:rsidR="00237D0C" w:rsidRPr="005179A8" w:rsidP="00441954" w14:paraId="18358D7F" w14:textId="4EB984B3">
      <w:pPr>
        <w:ind w:firstLine="720"/>
      </w:pPr>
      <w:r>
        <w:t>The tariff publication requirements are intended to permit shippers and other members of the public to obtain reliable and useful information concerning the rates and charges that will be assessed by common carriers (including NVOCCs) and conferences for their transportation services</w:t>
      </w:r>
      <w:r w:rsidR="009F00F1">
        <w:t xml:space="preserve">. This also enables </w:t>
      </w:r>
      <w:r>
        <w:t>the Commission to ensure that common carrier tariff publications are accurate and accessible and to protect the public from violations by common carriers of 46 U.S.C. 41101-41106.  The Commission uses information published by an NVOCC in its publicly available rules tariff to determine whether an NVOCC is eligible to invoke the exemption for a particular shipment or shipments. Thereafter, NVOCCs receiving a written request for records from the Commission’s Bureau of Enforcement,</w:t>
      </w:r>
      <w:r w:rsidR="006D36B9">
        <w:t xml:space="preserve"> Investigations, and Compliance</w:t>
      </w:r>
      <w:r>
        <w:t xml:space="preserve"> or in connection with formal administrative hearings conducted under Part 502 of the Commission’s regulations, will have 30 days to respond to a request for an NSA or associated records. 46 CFR 531.12.</w:t>
      </w:r>
    </w:p>
    <w:p w:rsidR="000C7DB2" w:rsidRPr="005179A8" w:rsidP="000C7DB2" w14:paraId="7CD7A53A" w14:textId="77777777">
      <w:pPr>
        <w:ind w:firstLine="720"/>
      </w:pPr>
    </w:p>
    <w:p w:rsidR="00B7126D" w:rsidRPr="00C374C5" w:rsidP="00B7126D" w14:paraId="7EE2841F" w14:textId="77777777">
      <w:pPr>
        <w:rPr>
          <w:b/>
          <w:bCs/>
        </w:rPr>
      </w:pPr>
      <w:r w:rsidRPr="005179A8">
        <w:rPr>
          <w:b/>
          <w:bCs/>
        </w:rPr>
        <w:t xml:space="preserve">3. Describe whether, and to what extent, the collection of information involves the use of automated, electronic, mechanical, or other technological collection techniques or other </w:t>
      </w:r>
      <w:r w:rsidRPr="00C374C5">
        <w:rPr>
          <w:b/>
          <w:bCs/>
        </w:rPr>
        <w:t xml:space="preserve">forms of information technology, e.g., permitting electronic submission of responses. </w:t>
      </w:r>
    </w:p>
    <w:p w:rsidR="00B7126D" w:rsidRPr="00C374C5" w:rsidP="00B7126D" w14:paraId="1B928FC7" w14:textId="77777777"/>
    <w:p w:rsidR="00483E9A" w:rsidRPr="00C374C5" w:rsidP="005179A8" w14:paraId="5EF3FDFE" w14:textId="33D7B783">
      <w:pPr>
        <w:ind w:firstLine="720"/>
      </w:pPr>
      <w:r w:rsidRPr="00C374C5">
        <w:t>The regulation allows licensed NVOCCs and foreign-based registered NVOCCs to invoke the exemption by adding a prominent notice to its electronically published rules tariff.</w:t>
      </w:r>
    </w:p>
    <w:p w:rsidR="005179A8" w:rsidRPr="00C374C5" w:rsidP="00483E9A" w14:paraId="37F29E49" w14:textId="77777777"/>
    <w:p w:rsidR="00B7126D" w:rsidRPr="00C374C5" w:rsidP="00B7126D" w14:paraId="6B227C5F" w14:textId="77777777">
      <w:pPr>
        <w:rPr>
          <w:b/>
          <w:bCs/>
        </w:rPr>
      </w:pPr>
      <w:r w:rsidRPr="00C374C5">
        <w:rPr>
          <w:b/>
          <w:bCs/>
        </w:rPr>
        <w:t xml:space="preserve">4. Describe efforts to identify duplication. </w:t>
      </w:r>
    </w:p>
    <w:p w:rsidR="00037EC3" w:rsidRPr="00C374C5" w:rsidP="00037EC3" w14:paraId="17AF7A79" w14:textId="77777777"/>
    <w:p w:rsidR="001767FD" w:rsidP="00C374C5" w14:paraId="373BFF9A" w14:textId="231CCC3E">
      <w:pPr>
        <w:ind w:firstLine="720"/>
      </w:pPr>
      <w:r>
        <w:t xml:space="preserve">The NVOCC is the sole source of accurate information as to whether a particular shipment is exempt from the otherwise applicable statutory and regulatory requirements of the Shipping Act and the Commission’s tariff regulations to file rates. By employing the NSA exemption, the NVOCC eliminates </w:t>
      </w:r>
      <w:r w:rsidR="003F5697">
        <w:t xml:space="preserve">its </w:t>
      </w:r>
      <w:r>
        <w:t xml:space="preserve">obligation to simultaneously publish in its </w:t>
      </w:r>
      <w:r>
        <w:t>publicly-accessible</w:t>
      </w:r>
      <w:r>
        <w:t xml:space="preserve"> tariff those rates and charges agreed by the NVOCC with a particular shipper or shippers. </w:t>
      </w:r>
    </w:p>
    <w:p w:rsidR="001767FD" w:rsidP="00C374C5" w14:paraId="52503AFF" w14:textId="77777777">
      <w:pPr>
        <w:ind w:firstLine="720"/>
      </w:pPr>
    </w:p>
    <w:p w:rsidR="003D5A73" w:rsidRPr="00C374C5" w:rsidP="00C374C5" w14:paraId="1C5446F8" w14:textId="3FA146CA">
      <w:pPr>
        <w:ind w:firstLine="720"/>
      </w:pPr>
      <w:r>
        <w:t xml:space="preserve">Amendments </w:t>
      </w:r>
      <w:r w:rsidR="00925DEB">
        <w:t xml:space="preserve">to </w:t>
      </w:r>
      <w:r w:rsidR="006D36B9">
        <w:t>P</w:t>
      </w:r>
      <w:r w:rsidR="00925DEB">
        <w:t xml:space="preserve">art 531 </w:t>
      </w:r>
      <w:r w:rsidR="0025174F">
        <w:t xml:space="preserve">in </w:t>
      </w:r>
      <w:r w:rsidR="00925DEB">
        <w:t xml:space="preserve">2018 </w:t>
      </w:r>
      <w:r>
        <w:t>remove</w:t>
      </w:r>
      <w:r w:rsidR="11B51EAE">
        <w:t>d</w:t>
      </w:r>
      <w:r>
        <w:t xml:space="preserve"> the requirement to file with the Commission a copy of each NSA and amendment</w:t>
      </w:r>
      <w:r w:rsidR="0025174F">
        <w:t xml:space="preserve"> and</w:t>
      </w:r>
      <w:r>
        <w:t xml:space="preserve"> to publish a </w:t>
      </w:r>
      <w:r>
        <w:t>publicly-accessible</w:t>
      </w:r>
      <w:r>
        <w:t xml:space="preserve"> summary of the essential terms of each NSA</w:t>
      </w:r>
      <w:r w:rsidR="00883E6A">
        <w:t xml:space="preserve"> (RIN 3072-AC68</w:t>
      </w:r>
      <w:r w:rsidR="006454B7">
        <w:t xml:space="preserve">, </w:t>
      </w:r>
      <w:r w:rsidRPr="006454B7" w:rsidR="006454B7">
        <w:rPr>
          <w:i/>
          <w:iCs/>
        </w:rPr>
        <w:t>Amendments to Regulations Governing NVOCC Negotiated Rate Arrangements and NVOCC Service Arrangements</w:t>
      </w:r>
      <w:r w:rsidR="00883E6A">
        <w:t>)</w:t>
      </w:r>
      <w:r>
        <w:t xml:space="preserve">. As amended by </w:t>
      </w:r>
      <w:r w:rsidR="00883E6A">
        <w:t>that rule</w:t>
      </w:r>
      <w:r>
        <w:t>, the NSA exemption further reduces duplication of effort by NVOCC</w:t>
      </w:r>
      <w:r w:rsidR="006454B7">
        <w:t>s</w:t>
      </w:r>
      <w:r>
        <w:t xml:space="preserve"> and removes the attendant costs of essential term publication.</w:t>
      </w:r>
    </w:p>
    <w:p w:rsidR="00C374C5" w:rsidRPr="00110672" w:rsidP="00C374C5" w14:paraId="4E29E194" w14:textId="77777777">
      <w:pPr>
        <w:ind w:firstLine="720"/>
        <w:rPr>
          <w:highlight w:val="yellow"/>
        </w:rPr>
      </w:pPr>
    </w:p>
    <w:p w:rsidR="00B7126D" w:rsidRPr="00A15BEE" w:rsidP="00B7126D" w14:paraId="1601CCC0" w14:textId="2301EFAB">
      <w:pPr>
        <w:rPr>
          <w:b/>
          <w:bCs/>
        </w:rPr>
      </w:pPr>
      <w:r w:rsidRPr="00A15BEE">
        <w:rPr>
          <w:b/>
          <w:bCs/>
        </w:rPr>
        <w:t xml:space="preserve">5. If the collection of information impacts small businesses or other small entities, describe any methods used to minimize burden. </w:t>
      </w:r>
    </w:p>
    <w:p w:rsidR="00B7126D" w:rsidRPr="00A15BEE" w:rsidP="00B7126D" w14:paraId="06B111E2" w14:textId="77777777"/>
    <w:p w:rsidR="007F6198" w:rsidRPr="00A97445" w:rsidP="00B7126D" w14:paraId="3F6364CB" w14:textId="1DBB1504">
      <w:pPr>
        <w:ind w:firstLine="720"/>
      </w:pPr>
      <w:r>
        <w:t xml:space="preserve">The Commission has historically recognized the NVOCC industry as composed primarily of small businesses, as that term is defined under the Regulatory Flexibility Act, 5 U.S.C. 601. While use of NSAs is optional, NVOCCs are thereby exempted from the more stringent tariff rate publication requirements of the Shipping Act of 1984 and related provisions of the Commission’s regulations at 46 CFR Part 520. NVOCCs invoking the exemption do not file with </w:t>
      </w:r>
      <w:r>
        <w:t>the Commission their NSAs nor are they required to electronically publish NSA rates or essential terms agreed with their shipper customers. Finally, NVOCCs who do not wish to avail themselves of the exemption are not subject to any new filing or information requirements.</w:t>
      </w:r>
    </w:p>
    <w:p w:rsidR="00A15BEE" w:rsidRPr="00A97445" w:rsidP="00B7126D" w14:paraId="76996D48" w14:textId="77777777">
      <w:pPr>
        <w:ind w:firstLine="720"/>
      </w:pPr>
    </w:p>
    <w:p w:rsidR="00B7126D" w:rsidRPr="00A97445" w:rsidP="00B7126D" w14:paraId="25765D3D" w14:textId="77777777">
      <w:pPr>
        <w:rPr>
          <w:b/>
          <w:bCs/>
        </w:rPr>
      </w:pPr>
      <w:r w:rsidRPr="00A97445">
        <w:rPr>
          <w:b/>
          <w:bCs/>
        </w:rPr>
        <w:t xml:space="preserve">6. Describe the consequence to Federal program or policy activities if the collection is not conducted or is conducted less frequently, as well as any technical or legal obstacles to reducing burden. </w:t>
      </w:r>
    </w:p>
    <w:p w:rsidR="00B7126D" w:rsidRPr="00A97445" w:rsidP="00B7126D" w14:paraId="2C0C7D40" w14:textId="3DF7C56C">
      <w:r w:rsidRPr="00A97445">
        <w:tab/>
      </w:r>
    </w:p>
    <w:p w:rsidR="00DE4AAC" w:rsidRPr="00A97445" w:rsidP="00DE4AAC" w14:paraId="539D3587" w14:textId="2D21FD84">
      <w:pPr>
        <w:ind w:firstLine="720"/>
      </w:pPr>
      <w:r>
        <w:t xml:space="preserve">If the collection requirement were to be removed, </w:t>
      </w:r>
      <w:r w:rsidR="41F38BC5">
        <w:t>thereby</w:t>
      </w:r>
      <w:r>
        <w:t xml:space="preserve"> revoking the exemption granted as to NSAs, all rates negotiated by an NVOCC with a shipper would again be subject to the tariff publication requirements of the Shipping Act, 46 U.S.C. 40501, and related provisions of the Commission’s tariff regulations, 46 CFR Part 520. The burden upon the NVOCC would thus be increased.</w:t>
      </w:r>
    </w:p>
    <w:p w:rsidR="00A97445" w:rsidRPr="00635A54" w:rsidP="00DE4AAC" w14:paraId="1F0C38D5" w14:textId="77777777">
      <w:pPr>
        <w:ind w:firstLine="720"/>
      </w:pPr>
    </w:p>
    <w:p w:rsidR="00B7126D" w:rsidRPr="00635A54" w:rsidP="00B7126D" w14:paraId="0B894393" w14:textId="0F349F0D">
      <w:pPr>
        <w:rPr>
          <w:b/>
          <w:bCs/>
        </w:rPr>
      </w:pPr>
      <w:r w:rsidRPr="00635A54">
        <w:rPr>
          <w:b/>
          <w:bCs/>
        </w:rPr>
        <w:t xml:space="preserve">7. Explain any special circumstances that require the collection to be conducted in a </w:t>
      </w:r>
      <w:r w:rsidRPr="00635A54" w:rsidR="003C236C">
        <w:rPr>
          <w:b/>
          <w:bCs/>
        </w:rPr>
        <w:t>m</w:t>
      </w:r>
      <w:r w:rsidRPr="00635A54">
        <w:rPr>
          <w:b/>
          <w:bCs/>
        </w:rPr>
        <w:t>anner inconsistent with OMB guidelines. (a) requiring respondents to report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than health, medical government contract, grant-in-aid, or tax records, for more than three years; (e) in connection with a statistical survey, that is not designed to product valid and reliable results that can be generalized to the universe of study; (f) requiring the use of statistical data classification that has not been reviewed and approved by OMB; (g) that includes a pledge of confidentially that is not supported by authority established in statute of regulation, that is not supported by disclosure and data security policies that are consistent with the pledge, or which unnecessarily impedes sharing of data with other agencies for compatible confidential use; (h) requiring respondents to submit proprietary trade secrets, or other confidential information unless the agency can demonstrate that it has instituted procedures to protect the information’s confidentiality to the extent permitted by law.</w:t>
      </w:r>
    </w:p>
    <w:p w:rsidR="00B7126D" w:rsidRPr="00635A54" w:rsidP="00B7126D" w14:paraId="53D851F8" w14:textId="77777777">
      <w:pPr>
        <w:rPr>
          <w:b/>
          <w:bCs/>
        </w:rPr>
      </w:pPr>
    </w:p>
    <w:p w:rsidR="00A37D11" w:rsidRPr="007626EB" w:rsidP="006A12B9" w14:paraId="6B78E4B5" w14:textId="4702ECCF">
      <w:pPr>
        <w:ind w:firstLine="720"/>
      </w:pPr>
      <w:r>
        <w:t xml:space="preserve">This information collection does not (1) require respondents to report information to the agency more often than quarterly; (2) require written responses in fewer than 30 days; (3) require respondents to submit more than an original and two copies of any document; (4) include confidentiality pledges that are not supported by established statutory authority; or (5) require respondents to submit proprietary information without protecting such information to the full extent of the law. The five-year recordkeeping requirement in 46 CFR </w:t>
      </w:r>
      <w:r w:rsidR="006D36B9">
        <w:t>P</w:t>
      </w:r>
      <w:r>
        <w:t>art 531 is consistent with the statute of limitations provisions in section 13(f) of the Shipping Act of 1984, 46 U.S.C. 41109(e). NVOCCs employing the NSA exemption are subject to the same five-year recordkeeping requirement applied to other ocean transportation intermediaries (NVOCCs and ocean freight forwarders) under 46 CFR Part 515.</w:t>
      </w:r>
    </w:p>
    <w:p w:rsidR="00635A54" w:rsidRPr="007626EB" w:rsidP="00B7126D" w14:paraId="0A9A35F2" w14:textId="77777777"/>
    <w:p w:rsidR="00B7126D" w:rsidRPr="007626EB" w:rsidP="00B7126D" w14:paraId="3810222E" w14:textId="77777777">
      <w:pPr>
        <w:rPr>
          <w:b/>
          <w:bCs/>
        </w:rPr>
      </w:pPr>
      <w:r w:rsidRPr="007626EB">
        <w:rPr>
          <w:b/>
          <w:bCs/>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in response to the comments. </w:t>
      </w:r>
      <w:r w:rsidRPr="007626EB">
        <w:rPr>
          <w:b/>
          <w:bCs/>
        </w:rPr>
        <w:t>Specifically address comments received on cost and hour burden. Describe efforts to consult with persons outside FMC to obtain their views on the availability of data, frequency of collection, the clarity of instructions and recordkeeping, disclosure, or reporting format (if any), and on the data elements to be recorded, disclosed, or report.</w:t>
      </w:r>
    </w:p>
    <w:p w:rsidR="00B7126D" w:rsidRPr="007626EB" w:rsidP="00B7126D" w14:paraId="2E4770E4" w14:textId="77777777"/>
    <w:p w:rsidR="00B7126D" w:rsidRPr="007626EB" w:rsidP="00EE1E19" w14:paraId="508419D8" w14:textId="79EC975C">
      <w:pPr>
        <w:ind w:firstLine="720"/>
      </w:pPr>
      <w:r w:rsidRPr="007626EB">
        <w:t xml:space="preserve">The 60-day Federal Register Notice regarding this extension was published </w:t>
      </w:r>
      <w:r w:rsidRPr="007626EB" w:rsidR="00A17DFA">
        <w:t>November 20</w:t>
      </w:r>
      <w:r w:rsidRPr="007626EB">
        <w:t>, 20</w:t>
      </w:r>
      <w:r w:rsidRPr="007626EB" w:rsidR="00A17DFA">
        <w:t>24</w:t>
      </w:r>
      <w:r w:rsidRPr="009D7120">
        <w:t>,</w:t>
      </w:r>
      <w:r w:rsidRPr="007626EB">
        <w:rPr>
          <w:b/>
          <w:bCs/>
        </w:rPr>
        <w:t xml:space="preserve"> </w:t>
      </w:r>
      <w:r w:rsidRPr="007626EB">
        <w:t>at 8</w:t>
      </w:r>
      <w:r w:rsidRPr="007626EB" w:rsidR="00A17DFA">
        <w:t>9</w:t>
      </w:r>
      <w:r w:rsidRPr="007626EB">
        <w:t xml:space="preserve"> FR </w:t>
      </w:r>
      <w:r w:rsidRPr="007626EB" w:rsidR="00A17DFA">
        <w:t>91749</w:t>
      </w:r>
      <w:r w:rsidRPr="007626EB">
        <w:t>.  Respondents had 60 days to respond with their views regarding the collection of information; no comments were received.   </w:t>
      </w:r>
    </w:p>
    <w:p w:rsidR="00EE1E19" w:rsidRPr="007626EB" w:rsidP="00B7126D" w14:paraId="6E3A443E" w14:textId="77777777">
      <w:pPr>
        <w:rPr>
          <w:b/>
          <w:bCs/>
        </w:rPr>
      </w:pPr>
    </w:p>
    <w:p w:rsidR="00B7126D" w:rsidRPr="007626EB" w:rsidP="00B7126D" w14:paraId="23E412E6" w14:textId="77777777">
      <w:pPr>
        <w:rPr>
          <w:b/>
          <w:bCs/>
        </w:rPr>
      </w:pPr>
      <w:r w:rsidRPr="007626EB">
        <w:rPr>
          <w:b/>
          <w:bCs/>
        </w:rPr>
        <w:t xml:space="preserve">9. Explain any decision to provide any payment or gift to respondents, other than remuneration of contractors or grantees. </w:t>
      </w:r>
    </w:p>
    <w:p w:rsidR="00B7126D" w:rsidRPr="007626EB" w:rsidP="00B7126D" w14:paraId="71BBDC12" w14:textId="77777777"/>
    <w:p w:rsidR="00B7126D" w:rsidRPr="008701D8" w:rsidP="00B7126D" w14:paraId="7FB5C776" w14:textId="15E91C00">
      <w:pPr>
        <w:ind w:firstLine="720"/>
      </w:pPr>
      <w:r>
        <w:t>Not applicable</w:t>
      </w:r>
      <w:r w:rsidR="6462A8F7">
        <w:t xml:space="preserve">. </w:t>
      </w:r>
      <w:r>
        <w:t xml:space="preserve">The Commission does not provide any payments or gifts to respondents. </w:t>
      </w:r>
    </w:p>
    <w:p w:rsidR="00B7126D" w:rsidRPr="008701D8" w:rsidP="00B7126D" w14:paraId="63FB8A60" w14:textId="77777777"/>
    <w:p w:rsidR="00B7126D" w:rsidRPr="008701D8" w:rsidP="00B7126D" w14:paraId="7BB1E5C3" w14:textId="77777777">
      <w:pPr>
        <w:rPr>
          <w:b/>
          <w:bCs/>
        </w:rPr>
      </w:pPr>
      <w:r w:rsidRPr="008701D8">
        <w:rPr>
          <w:b/>
          <w:bCs/>
        </w:rPr>
        <w:t xml:space="preserve">10. Describe any assurance of confidentiality provided to respondents and the basis for the assurance in statute, regulation, or agency policy. </w:t>
      </w:r>
    </w:p>
    <w:p w:rsidR="00B7126D" w:rsidRPr="008701D8" w:rsidP="00B7126D" w14:paraId="2CDD270E" w14:textId="77777777"/>
    <w:p w:rsidR="00CA6B91" w:rsidRPr="008701D8" w:rsidP="00CA6B91" w14:paraId="45558ABB" w14:textId="5510F348">
      <w:pPr>
        <w:ind w:firstLine="720"/>
      </w:pPr>
      <w:r>
        <w:t xml:space="preserve">The Commission provides no assurance of confidentiality with respect to information submitted by an NVOCC in response to this collection. Information contained in the NVOCC’s electronically published tariff is required by statute to be available to the public. The purpose of the Commission’s requirement is </w:t>
      </w:r>
      <w:r w:rsidR="4196E2EA">
        <w:t xml:space="preserve">for the NVOCC </w:t>
      </w:r>
      <w:r>
        <w:t xml:space="preserve">to inform the public of the NVOCC’s intentions </w:t>
      </w:r>
      <w:r>
        <w:t>with regard to</w:t>
      </w:r>
      <w:r>
        <w:t xml:space="preserve"> invocation of the exemption.</w:t>
      </w:r>
    </w:p>
    <w:p w:rsidR="008701D8" w:rsidRPr="008701D8" w:rsidP="00CA6B91" w14:paraId="2CB9B349" w14:textId="77777777">
      <w:pPr>
        <w:ind w:firstLine="720"/>
      </w:pPr>
    </w:p>
    <w:p w:rsidR="00B7126D" w:rsidRPr="008701D8" w:rsidP="00B7126D" w14:paraId="0B1516B7" w14:textId="77777777">
      <w:pPr>
        <w:rPr>
          <w:b/>
          <w:bCs/>
        </w:rPr>
      </w:pPr>
      <w:r w:rsidRPr="008701D8">
        <w:rPr>
          <w:b/>
          <w:bCs/>
        </w:rPr>
        <w:t xml:space="preserve">11. Provide additional justification for any questions of a sensitive nature, such as sexual behavior and attitudes, religious beliefs, and other matters that are commonly considered private. This justification should include the reasons why FMC considers the questions necessary, the specific uses to be made of the information, the explanation to be given to persons from whom the information is requested, and any steps to be taken to obtain their consent. </w:t>
      </w:r>
    </w:p>
    <w:p w:rsidR="00B7126D" w:rsidRPr="008701D8" w:rsidP="00B7126D" w14:paraId="291CD660" w14:textId="77777777"/>
    <w:p w:rsidR="00B7126D" w:rsidRPr="008701D8" w:rsidP="00B7126D" w14:paraId="1878250D" w14:textId="679DC487">
      <w:pPr>
        <w:ind w:firstLine="720"/>
      </w:pPr>
      <w:r w:rsidRPr="008701D8">
        <w:t>There are no questions of a sensitive nature.</w:t>
      </w:r>
    </w:p>
    <w:p w:rsidR="00B7126D" w:rsidRPr="00110672" w:rsidP="00B7126D" w14:paraId="34ECF300" w14:textId="77777777">
      <w:pPr>
        <w:rPr>
          <w:highlight w:val="yellow"/>
        </w:rPr>
      </w:pPr>
    </w:p>
    <w:p w:rsidR="00B7126D" w:rsidRPr="00E801D6" w:rsidP="00B7126D" w14:paraId="6D644705" w14:textId="77777777">
      <w:pPr>
        <w:rPr>
          <w:b/>
          <w:bCs/>
        </w:rPr>
      </w:pPr>
      <w:r w:rsidRPr="00E801D6">
        <w:rPr>
          <w:b/>
          <w:bCs/>
        </w:rPr>
        <w:t xml:space="preserve">12. Provide estimates of the hour burden of the collection of information. The statement should indicate the number of respondents, frequency of response, annual hour burden, and an explanation of how the burden was estimated. Unless directed to do so, FMC should not conduct special surveys to obtain information on which to base hour burden estimates. Consultation with a sample fewer than 10 potential respondents is desirable. </w:t>
      </w:r>
    </w:p>
    <w:p w:rsidR="00B7126D" w:rsidRPr="00E801D6" w:rsidP="00B7126D" w14:paraId="682C868E" w14:textId="77777777"/>
    <w:p w:rsidR="002842C3" w:rsidP="0007311C" w14:paraId="7D512713" w14:textId="095A5EE2">
      <w:pPr>
        <w:ind w:firstLine="720"/>
      </w:pPr>
      <w:r>
        <w:t xml:space="preserve">Of the total respondent universe of approximately 8,700 active NVOCCs, an average of 325 annually over the last three years have added a prominent notice to its electronically published rules tariff indicating the intention to invoke the NSA exemption. </w:t>
      </w:r>
      <w:r w:rsidR="0007311C">
        <w:t xml:space="preserve">The Commission estimates that approximately 1,500 NVOCCs in total have invoked this exemption and would therefore be subject to the recordkeeping requirements. </w:t>
      </w:r>
      <w:r>
        <w:t xml:space="preserve">The estimated hour burden for this information collection is </w:t>
      </w:r>
      <w:r w:rsidR="00761E93">
        <w:t>1,581</w:t>
      </w:r>
      <w:r>
        <w:t xml:space="preserve"> hours, as set forth below. The annual cost to respondents is estimated at </w:t>
      </w:r>
      <w:r w:rsidR="003F1938">
        <w:t xml:space="preserve">$ </w:t>
      </w:r>
      <w:r w:rsidR="00E94D79">
        <w:rPr>
          <w:b/>
          <w:bCs/>
        </w:rPr>
        <w:t>41,343.30</w:t>
      </w:r>
      <w:r w:rsidRPr="0B67610A" w:rsidR="00E94D79">
        <w:rPr>
          <w:b/>
          <w:bCs/>
        </w:rPr>
        <w:t xml:space="preserve"> </w:t>
      </w:r>
      <w:r>
        <w:t>(see Attachment 1).</w:t>
      </w:r>
    </w:p>
    <w:p w:rsidR="00E621D9" w:rsidP="0007311C" w14:paraId="631638B4" w14:textId="77777777">
      <w:pPr>
        <w:ind w:firstLine="720"/>
      </w:pPr>
    </w:p>
    <w:tbl>
      <w:tblPr>
        <w:tblStyle w:val="TableGrid"/>
        <w:tblW w:w="0" w:type="auto"/>
        <w:tblLook w:val="04A0"/>
      </w:tblPr>
      <w:tblGrid>
        <w:gridCol w:w="2515"/>
        <w:gridCol w:w="1523"/>
        <w:gridCol w:w="1771"/>
        <w:gridCol w:w="1771"/>
        <w:gridCol w:w="1770"/>
      </w:tblGrid>
      <w:tr w14:paraId="69049537" w14:textId="77777777" w:rsidTr="006F0C95">
        <w:tblPrEx>
          <w:tblW w:w="0" w:type="auto"/>
          <w:tblLook w:val="04A0"/>
        </w:tblPrEx>
        <w:tc>
          <w:tcPr>
            <w:tcW w:w="2515" w:type="dxa"/>
          </w:tcPr>
          <w:p w:rsidR="0046603B" w:rsidRPr="00761E93" w:rsidP="003A5D71" w14:paraId="771BA177" w14:textId="68F37949">
            <w:pPr>
              <w:rPr>
                <w:b/>
                <w:bCs/>
              </w:rPr>
            </w:pPr>
            <w:r w:rsidRPr="00761E93">
              <w:rPr>
                <w:b/>
                <w:bCs/>
              </w:rPr>
              <w:t>Requirement</w:t>
            </w:r>
          </w:p>
        </w:tc>
        <w:tc>
          <w:tcPr>
            <w:tcW w:w="1523" w:type="dxa"/>
          </w:tcPr>
          <w:p w:rsidR="0046603B" w:rsidRPr="00761E93" w:rsidP="003A5D71" w14:paraId="7A0E5B1F" w14:textId="58C9FC8B">
            <w:pPr>
              <w:rPr>
                <w:b/>
                <w:bCs/>
              </w:rPr>
            </w:pPr>
            <w:r w:rsidRPr="00761E93">
              <w:rPr>
                <w:b/>
                <w:bCs/>
              </w:rPr>
              <w:t>Annual Respondents</w:t>
            </w:r>
          </w:p>
        </w:tc>
        <w:tc>
          <w:tcPr>
            <w:tcW w:w="1771" w:type="dxa"/>
          </w:tcPr>
          <w:p w:rsidR="0046603B" w:rsidRPr="00761E93" w:rsidP="003A5D71" w14:paraId="13CAAF12" w14:textId="3527FC8C">
            <w:pPr>
              <w:rPr>
                <w:b/>
                <w:bCs/>
              </w:rPr>
            </w:pPr>
            <w:r w:rsidRPr="00761E93">
              <w:rPr>
                <w:b/>
                <w:bCs/>
              </w:rPr>
              <w:t>Annual Instances</w:t>
            </w:r>
          </w:p>
        </w:tc>
        <w:tc>
          <w:tcPr>
            <w:tcW w:w="1771" w:type="dxa"/>
          </w:tcPr>
          <w:p w:rsidR="0046603B" w:rsidRPr="00761E93" w:rsidP="003A5D71" w14:paraId="61AB1449" w14:textId="3D71E786">
            <w:pPr>
              <w:rPr>
                <w:b/>
                <w:bCs/>
              </w:rPr>
            </w:pPr>
            <w:r w:rsidRPr="00761E93">
              <w:rPr>
                <w:b/>
                <w:bCs/>
              </w:rPr>
              <w:t xml:space="preserve">Average Hours </w:t>
            </w:r>
            <w:r w:rsidRPr="00761E93" w:rsidR="00931F71">
              <w:rPr>
                <w:b/>
                <w:bCs/>
              </w:rPr>
              <w:t>Per Response</w:t>
            </w:r>
          </w:p>
        </w:tc>
        <w:tc>
          <w:tcPr>
            <w:tcW w:w="1770" w:type="dxa"/>
          </w:tcPr>
          <w:p w:rsidR="0046603B" w:rsidRPr="00761E93" w:rsidP="003A5D71" w14:paraId="7B36310C" w14:textId="324406D5">
            <w:pPr>
              <w:rPr>
                <w:b/>
                <w:bCs/>
              </w:rPr>
            </w:pPr>
            <w:r w:rsidRPr="00761E93">
              <w:rPr>
                <w:b/>
                <w:bCs/>
              </w:rPr>
              <w:t xml:space="preserve">Total Hours </w:t>
            </w:r>
          </w:p>
        </w:tc>
      </w:tr>
      <w:tr w14:paraId="17938100" w14:textId="77777777" w:rsidTr="006F0C95">
        <w:tblPrEx>
          <w:tblW w:w="0" w:type="auto"/>
          <w:tblLook w:val="04A0"/>
        </w:tblPrEx>
        <w:tc>
          <w:tcPr>
            <w:tcW w:w="2515" w:type="dxa"/>
          </w:tcPr>
          <w:p w:rsidR="0046603B" w:rsidRPr="00761E93" w:rsidP="00931F71" w14:paraId="6FDD428F" w14:textId="3229A446">
            <w:pPr>
              <w:pStyle w:val="Default"/>
              <w:rPr>
                <w:sz w:val="23"/>
                <w:szCs w:val="23"/>
              </w:rPr>
            </w:pPr>
            <w:r w:rsidRPr="00761E93">
              <w:rPr>
                <w:sz w:val="23"/>
                <w:szCs w:val="23"/>
              </w:rPr>
              <w:t>Modification of Tariff Invoking Exemption to use NSAs</w:t>
            </w:r>
            <w:r w:rsidRPr="00761E93" w:rsidR="00931F71">
              <w:rPr>
                <w:sz w:val="23"/>
                <w:szCs w:val="23"/>
              </w:rPr>
              <w:t xml:space="preserve"> </w:t>
            </w:r>
          </w:p>
        </w:tc>
        <w:tc>
          <w:tcPr>
            <w:tcW w:w="1523" w:type="dxa"/>
          </w:tcPr>
          <w:p w:rsidR="0046603B" w:rsidRPr="00761E93" w:rsidP="00710707" w14:paraId="164F5127" w14:textId="6E72DA19">
            <w:pPr>
              <w:jc w:val="center"/>
            </w:pPr>
            <w:r w:rsidRPr="00761E93">
              <w:t>325</w:t>
            </w:r>
          </w:p>
        </w:tc>
        <w:tc>
          <w:tcPr>
            <w:tcW w:w="1771" w:type="dxa"/>
          </w:tcPr>
          <w:p w:rsidR="0046603B" w:rsidRPr="00761E93" w:rsidP="00710707" w14:paraId="7BE8F98A" w14:textId="50A6933B">
            <w:pPr>
              <w:jc w:val="center"/>
            </w:pPr>
            <w:r w:rsidRPr="00761E93">
              <w:t>325</w:t>
            </w:r>
            <w:r>
              <w:rPr>
                <w:rStyle w:val="FootnoteReference"/>
              </w:rPr>
              <w:footnoteReference w:id="3"/>
            </w:r>
          </w:p>
        </w:tc>
        <w:tc>
          <w:tcPr>
            <w:tcW w:w="1771" w:type="dxa"/>
          </w:tcPr>
          <w:p w:rsidR="0046603B" w:rsidRPr="00761E93" w:rsidP="00710707" w14:paraId="33BA2210" w14:textId="7B76C140">
            <w:pPr>
              <w:jc w:val="center"/>
            </w:pPr>
            <w:r>
              <w:t>0</w:t>
            </w:r>
            <w:r w:rsidRPr="00761E93" w:rsidR="00B724B8">
              <w:t>.25</w:t>
            </w:r>
          </w:p>
        </w:tc>
        <w:tc>
          <w:tcPr>
            <w:tcW w:w="1770" w:type="dxa"/>
          </w:tcPr>
          <w:p w:rsidR="0046603B" w:rsidRPr="00761E93" w:rsidP="00710707" w14:paraId="06B98E44" w14:textId="672647EC">
            <w:pPr>
              <w:jc w:val="center"/>
            </w:pPr>
            <w:r w:rsidRPr="00761E93">
              <w:t>81</w:t>
            </w:r>
          </w:p>
        </w:tc>
      </w:tr>
      <w:tr w14:paraId="624984CB" w14:textId="77777777" w:rsidTr="006F0C95">
        <w:tblPrEx>
          <w:tblW w:w="0" w:type="auto"/>
          <w:tblLook w:val="04A0"/>
        </w:tblPrEx>
        <w:tc>
          <w:tcPr>
            <w:tcW w:w="2515" w:type="dxa"/>
          </w:tcPr>
          <w:p w:rsidR="0046603B" w:rsidRPr="00761E93" w:rsidP="00710707" w14:paraId="7D1D5495" w14:textId="166DCE90">
            <w:pPr>
              <w:pStyle w:val="Default"/>
              <w:rPr>
                <w:sz w:val="23"/>
                <w:szCs w:val="23"/>
              </w:rPr>
            </w:pPr>
            <w:r w:rsidRPr="00761E93">
              <w:rPr>
                <w:sz w:val="23"/>
                <w:szCs w:val="23"/>
              </w:rPr>
              <w:t xml:space="preserve">Recordkeeping/Audit Requirements </w:t>
            </w:r>
          </w:p>
        </w:tc>
        <w:tc>
          <w:tcPr>
            <w:tcW w:w="1523" w:type="dxa"/>
          </w:tcPr>
          <w:p w:rsidR="0046603B" w:rsidRPr="00761E93" w:rsidP="00710707" w14:paraId="6942DA80" w14:textId="2E2C6A8A">
            <w:pPr>
              <w:jc w:val="center"/>
            </w:pPr>
            <w:r w:rsidRPr="00761E93">
              <w:t>1,500</w:t>
            </w:r>
          </w:p>
        </w:tc>
        <w:tc>
          <w:tcPr>
            <w:tcW w:w="1771" w:type="dxa"/>
          </w:tcPr>
          <w:p w:rsidR="0046603B" w:rsidRPr="00761E93" w:rsidP="00710707" w14:paraId="44C562CD" w14:textId="38263E2F">
            <w:pPr>
              <w:jc w:val="center"/>
            </w:pPr>
            <w:r w:rsidRPr="00761E93">
              <w:t>1,500</w:t>
            </w:r>
          </w:p>
        </w:tc>
        <w:tc>
          <w:tcPr>
            <w:tcW w:w="1771" w:type="dxa"/>
          </w:tcPr>
          <w:p w:rsidR="0046603B" w:rsidRPr="00761E93" w:rsidP="00710707" w14:paraId="636C2771" w14:textId="1F70F310">
            <w:pPr>
              <w:jc w:val="center"/>
            </w:pPr>
            <w:r>
              <w:t>0</w:t>
            </w:r>
            <w:r w:rsidR="34D028B4">
              <w:t>.25</w:t>
            </w:r>
          </w:p>
        </w:tc>
        <w:tc>
          <w:tcPr>
            <w:tcW w:w="1770" w:type="dxa"/>
          </w:tcPr>
          <w:p w:rsidR="0046603B" w:rsidRPr="00761E93" w:rsidP="00710707" w14:paraId="4731F324" w14:textId="304CA2C3">
            <w:pPr>
              <w:jc w:val="center"/>
            </w:pPr>
            <w:r>
              <w:t>375</w:t>
            </w:r>
          </w:p>
        </w:tc>
      </w:tr>
      <w:tr w14:paraId="22AFC9E1" w14:textId="77777777" w:rsidTr="006F0C95">
        <w:tblPrEx>
          <w:tblW w:w="0" w:type="auto"/>
          <w:tblLook w:val="04A0"/>
        </w:tblPrEx>
        <w:tc>
          <w:tcPr>
            <w:tcW w:w="2515" w:type="dxa"/>
          </w:tcPr>
          <w:p w:rsidR="0046603B" w:rsidRPr="00761E93" w:rsidP="003A5D71" w14:paraId="39783BFC" w14:textId="3BA6060A">
            <w:pPr>
              <w:rPr>
                <w:b/>
                <w:bCs/>
              </w:rPr>
            </w:pPr>
            <w:r w:rsidRPr="00761E93">
              <w:rPr>
                <w:b/>
                <w:bCs/>
              </w:rPr>
              <w:t>TOTALS</w:t>
            </w:r>
          </w:p>
        </w:tc>
        <w:tc>
          <w:tcPr>
            <w:tcW w:w="1523" w:type="dxa"/>
          </w:tcPr>
          <w:p w:rsidR="0046603B" w:rsidRPr="00761E93" w:rsidP="00710707" w14:paraId="54A1FD06" w14:textId="0DD195D8">
            <w:pPr>
              <w:jc w:val="center"/>
              <w:rPr>
                <w:b/>
                <w:bCs/>
              </w:rPr>
            </w:pPr>
            <w:r w:rsidRPr="36BF1A23">
              <w:rPr>
                <w:b/>
                <w:bCs/>
              </w:rPr>
              <w:t>1825</w:t>
            </w:r>
          </w:p>
        </w:tc>
        <w:tc>
          <w:tcPr>
            <w:tcW w:w="1771" w:type="dxa"/>
          </w:tcPr>
          <w:p w:rsidR="0046603B" w:rsidRPr="00761E93" w:rsidP="00710707" w14:paraId="6574BE26" w14:textId="5A5F98C0">
            <w:pPr>
              <w:jc w:val="center"/>
              <w:rPr>
                <w:b/>
                <w:bCs/>
              </w:rPr>
            </w:pPr>
            <w:r w:rsidRPr="36BF1A23">
              <w:rPr>
                <w:b/>
                <w:bCs/>
              </w:rPr>
              <w:t>1825</w:t>
            </w:r>
          </w:p>
        </w:tc>
        <w:tc>
          <w:tcPr>
            <w:tcW w:w="1771" w:type="dxa"/>
          </w:tcPr>
          <w:p w:rsidR="0046603B" w:rsidRPr="00761E93" w:rsidP="00710707" w14:paraId="4AAF9205" w14:textId="070CD861">
            <w:pPr>
              <w:jc w:val="center"/>
              <w:rPr>
                <w:b/>
                <w:bCs/>
              </w:rPr>
            </w:pPr>
            <w:r>
              <w:rPr>
                <w:b/>
                <w:bCs/>
              </w:rPr>
              <w:t>.50</w:t>
            </w:r>
          </w:p>
        </w:tc>
        <w:tc>
          <w:tcPr>
            <w:tcW w:w="1770" w:type="dxa"/>
          </w:tcPr>
          <w:p w:rsidR="0046603B" w:rsidRPr="00761E93" w:rsidP="00710707" w14:paraId="4C8197F7" w14:textId="12D5A3EF">
            <w:pPr>
              <w:jc w:val="center"/>
              <w:rPr>
                <w:b/>
                <w:bCs/>
              </w:rPr>
            </w:pPr>
            <w:r>
              <w:rPr>
                <w:b/>
                <w:bCs/>
              </w:rPr>
              <w:t>456</w:t>
            </w:r>
          </w:p>
        </w:tc>
      </w:tr>
    </w:tbl>
    <w:p w:rsidR="002842C3" w:rsidRPr="00110672" w:rsidP="003A5D71" w14:paraId="312F55B2" w14:textId="77777777">
      <w:pPr>
        <w:rPr>
          <w:highlight w:val="yellow"/>
        </w:rPr>
      </w:pPr>
    </w:p>
    <w:p w:rsidR="000F231F" w:rsidRPr="00110672" w:rsidP="003A5D71" w14:paraId="05DB13F2" w14:textId="77777777">
      <w:pPr>
        <w:rPr>
          <w:highlight w:val="yellow"/>
        </w:rPr>
      </w:pPr>
    </w:p>
    <w:p w:rsidR="000D2E59" w:rsidRPr="00794F47" w:rsidP="000D2E59" w14:paraId="0FBF9989" w14:textId="77777777">
      <w:pPr>
        <w:ind w:firstLine="720"/>
      </w:pPr>
      <w:r w:rsidRPr="00794F47">
        <w:t>The FMC offers the following descriptions of the information collection requirements shown in the above table:</w:t>
      </w:r>
    </w:p>
    <w:p w:rsidR="000D2E59" w:rsidRPr="00794F47" w:rsidP="000D2E59" w14:paraId="5D79F09E" w14:textId="77777777"/>
    <w:p w:rsidR="000D2E59" w:rsidRPr="000D2E59" w:rsidP="000D2E59" w14:paraId="0B2FFA0D" w14:textId="4471D15F">
      <w:r w:rsidRPr="000D2E59">
        <w:rPr>
          <w:b/>
          <w:bCs/>
        </w:rPr>
        <w:t xml:space="preserve">Modification of Tariff Invoking Exemption to use NSAs: </w:t>
      </w:r>
      <w:r w:rsidRPr="000D2E59">
        <w:t xml:space="preserve">An NVOCC publishes a prominent notice in its tariff to invoke the exemption. The Commission uses the information filed by NVOCCs in its rules tariff to determine whether an NVOCC has invoked the exemption to use NSAs. </w:t>
      </w:r>
    </w:p>
    <w:p w:rsidR="000D2E59" w:rsidRPr="00794F47" w:rsidP="000D2E59" w14:paraId="2D520F20" w14:textId="77777777">
      <w:pPr>
        <w:rPr>
          <w:b/>
          <w:bCs/>
        </w:rPr>
      </w:pPr>
    </w:p>
    <w:p w:rsidR="000D2E59" w:rsidRPr="00794F47" w:rsidP="000D2E59" w14:paraId="1F74F649" w14:textId="121040CB">
      <w:r w:rsidRPr="50A307E2">
        <w:rPr>
          <w:b/>
          <w:bCs/>
        </w:rPr>
        <w:t xml:space="preserve">Recordkeeping/Audit Requirements: </w:t>
      </w:r>
      <w:r>
        <w:t>NVOCCs create original NSAs and amendments, which are kept primarily in MS Word, MS Excel</w:t>
      </w:r>
      <w:r w:rsidR="006D36B9">
        <w:t>,</w:t>
      </w:r>
      <w:r>
        <w:t xml:space="preserve"> or </w:t>
      </w:r>
      <w:r w:rsidR="0027681A">
        <w:t>PDF</w:t>
      </w:r>
      <w:r w:rsidR="006D36B9">
        <w:t xml:space="preserve"> </w:t>
      </w:r>
      <w:r>
        <w:t>formatted files and stored electronically in databases which are easily retrievable and produced. Today, many NSAs are electronic</w:t>
      </w:r>
      <w:r w:rsidR="008A3B36">
        <w:t xml:space="preserve">; </w:t>
      </w:r>
      <w:r>
        <w:t>however</w:t>
      </w:r>
      <w:r>
        <w:t xml:space="preserve"> in the case of a traditionally signed NSA, hard copy files </w:t>
      </w:r>
      <w:r w:rsidR="003A18EA">
        <w:t xml:space="preserve">may be </w:t>
      </w:r>
      <w:r>
        <w:t>kept</w:t>
      </w:r>
      <w:r w:rsidR="003D7F6F">
        <w:t xml:space="preserve"> by the NVOCC</w:t>
      </w:r>
      <w:r>
        <w:t xml:space="preserve">. Allowing for </w:t>
      </w:r>
      <w:r w:rsidR="00FA66EA">
        <w:t xml:space="preserve">15 minutes </w:t>
      </w:r>
      <w:r w:rsidR="0090758F">
        <w:t>(</w:t>
      </w:r>
      <w:r w:rsidR="00EC5B00">
        <w:t>.25</w:t>
      </w:r>
      <w:r w:rsidR="002854FD">
        <w:t xml:space="preserve"> </w:t>
      </w:r>
      <w:r>
        <w:t>hour</w:t>
      </w:r>
      <w:r w:rsidR="002854FD">
        <w:t>)</w:t>
      </w:r>
      <w:r>
        <w:t xml:space="preserve"> for recordkeeping/auditing purposes for each NVOCC that has invoked the exemption totals </w:t>
      </w:r>
      <w:r w:rsidR="005C6FFC">
        <w:t xml:space="preserve">375 </w:t>
      </w:r>
      <w:r>
        <w:t>hours.</w:t>
      </w:r>
    </w:p>
    <w:p w:rsidR="000D2E59" w:rsidRPr="00794F47" w:rsidP="00794F47" w14:paraId="56455599" w14:textId="77777777"/>
    <w:p w:rsidR="003F5448" w:rsidRPr="00794F47" w:rsidP="003F5448" w14:paraId="71A5E30F" w14:textId="0BAC821D">
      <w:pPr>
        <w:rPr>
          <w:b/>
          <w:bCs/>
        </w:rPr>
      </w:pPr>
      <w:r w:rsidRPr="00794F47">
        <w:rPr>
          <w:b/>
          <w:bCs/>
        </w:rPr>
        <w:t>13. Provide an estimate for the total annual cost burden to respondents or record keepers resulting from the collection of information. (Do not include the cost of any hour burden already reflected on the burden worksheet).</w:t>
      </w:r>
    </w:p>
    <w:p w:rsidR="003F5448" w:rsidRPr="00794F47" w:rsidP="003F5448" w14:paraId="6D12703D" w14:textId="77777777">
      <w:pPr>
        <w:rPr>
          <w:b/>
          <w:bCs/>
        </w:rPr>
      </w:pPr>
    </w:p>
    <w:p w:rsidR="003F5448" w:rsidRPr="00794F47" w:rsidP="003F5448" w14:paraId="748A97D2" w14:textId="6FE4E52A">
      <w:r w:rsidRPr="00794F47">
        <w:rPr>
          <w:b/>
          <w:bCs/>
        </w:rPr>
        <w:t xml:space="preserve">* The cost estimate should be split into two components: (a) a total capital and start-up cost component (annualized over its expected useful life) and (b) a total operation and maintenance and purchase of services component. The estimates should </w:t>
      </w:r>
      <w:r w:rsidRPr="00794F47">
        <w:rPr>
          <w:b/>
          <w:bCs/>
        </w:rPr>
        <w:t>take into account</w:t>
      </w:r>
      <w:r w:rsidRPr="00794F47">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794F47">
        <w:rPr>
          <w:b/>
          <w:bCs/>
        </w:rPr>
        <w:t>time period</w:t>
      </w:r>
      <w:r w:rsidRPr="00794F47">
        <w:rPr>
          <w:b/>
          <w:bCs/>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03F5448" w:rsidRPr="00794F47" w:rsidP="003F5448" w14:paraId="03EF475B" w14:textId="77777777">
      <w:r w:rsidRPr="00794F47">
        <w:rPr>
          <w:b/>
          <w:bCs/>
        </w:rPr>
        <w:t xml:space="preserve">*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w:t>
      </w:r>
      <w:r w:rsidRPr="00794F47">
        <w:rPr>
          <w:b/>
          <w:bCs/>
        </w:rPr>
        <w:t xml:space="preserve">or regulatory impact analysis associated with the rulemaking containing the information collection, as appropriate. </w:t>
      </w:r>
    </w:p>
    <w:p w:rsidR="003F5448" w:rsidRPr="00794F47" w:rsidP="003F5448" w14:paraId="073578C0" w14:textId="0D912F79">
      <w:pPr>
        <w:rPr>
          <w:b/>
          <w:bCs/>
        </w:rPr>
      </w:pPr>
      <w:r w:rsidRPr="00794F47">
        <w:rPr>
          <w:b/>
          <w:bCs/>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F5448" w:rsidRPr="00794F47" w:rsidP="003F5448" w14:paraId="7E9608DC" w14:textId="77777777">
      <w:pPr>
        <w:rPr>
          <w:b/>
          <w:bCs/>
        </w:rPr>
      </w:pPr>
    </w:p>
    <w:p w:rsidR="003F5448" w:rsidRPr="00794F47" w:rsidP="00442BCA" w14:paraId="1A40C39E" w14:textId="2BF3FA09">
      <w:pPr>
        <w:ind w:firstLine="720"/>
      </w:pPr>
      <w:r w:rsidRPr="00794F47">
        <w:t>There are no additional cost burdens to respondents or recordkeepers other than those reported in item 12. </w:t>
      </w:r>
    </w:p>
    <w:p w:rsidR="00442BCA" w:rsidRPr="00110672" w:rsidP="003F5448" w14:paraId="35CA7E2D" w14:textId="77777777">
      <w:pPr>
        <w:rPr>
          <w:highlight w:val="yellow"/>
        </w:rPr>
      </w:pPr>
    </w:p>
    <w:p w:rsidR="003F5448" w:rsidRPr="00EA26BF" w:rsidP="003F5448" w14:paraId="52519937" w14:textId="77777777">
      <w:pPr>
        <w:rPr>
          <w:b/>
          <w:bCs/>
        </w:rPr>
      </w:pPr>
      <w:r w:rsidRPr="00EA26BF">
        <w:rPr>
          <w:b/>
          <w:bCs/>
        </w:rPr>
        <w:t xml:space="preserve">14. Provide estimates of annualized cost to the Federal government. </w:t>
      </w:r>
    </w:p>
    <w:p w:rsidR="003F5448" w:rsidRPr="00EA26BF" w:rsidP="003F5448" w14:paraId="74D1B95A" w14:textId="77777777"/>
    <w:p w:rsidR="008F0F17" w:rsidRPr="00EA26BF" w:rsidP="008E3FB6" w14:paraId="197D7B1B" w14:textId="6778D895">
      <w:pPr>
        <w:ind w:firstLine="720"/>
      </w:pPr>
      <w:r>
        <w:t xml:space="preserve">Annualized cost to the government primarily involves staff time in determining whether an NVOCC has invoked the exemption and currently maintains an accessible rules tariff, for recordkeeping and enforcement-related purposes. Total estimated burden to the Federal Government for this proposed rule is 96 hours. Thus, the total estimated cost to the Federal Government, including overhead and operational expenses is </w:t>
      </w:r>
      <w:r w:rsidRPr="00D613FD" w:rsidR="00001592">
        <w:rPr>
          <w:b/>
          <w:bCs/>
        </w:rPr>
        <w:t>$13,062.40</w:t>
      </w:r>
      <w:r>
        <w:t>. (See Attachment 2).</w:t>
      </w:r>
    </w:p>
    <w:p w:rsidR="00EA26BF" w:rsidRPr="008E3FB6" w:rsidP="003F5448" w14:paraId="75048938" w14:textId="77777777"/>
    <w:p w:rsidR="003F5448" w:rsidRPr="008E3FB6" w:rsidP="003F5448" w14:paraId="3EE180C6" w14:textId="0376049A">
      <w:pPr>
        <w:rPr>
          <w:b/>
          <w:bCs/>
        </w:rPr>
      </w:pPr>
      <w:r w:rsidRPr="50A307E2">
        <w:rPr>
          <w:b/>
          <w:bCs/>
        </w:rPr>
        <w:t>15. Explain the reasons for any program changes or adjustments reported in Items 13 (or 14) of OMB Form 83-I.</w:t>
      </w:r>
    </w:p>
    <w:p w:rsidR="003F5448" w:rsidRPr="008E3FB6" w:rsidP="003F5448" w14:paraId="39BDD35E" w14:textId="77777777"/>
    <w:p w:rsidR="003F5448" w:rsidRPr="008E3FB6" w:rsidP="008E3FB6" w14:paraId="6B7B86A1" w14:textId="3DA21843">
      <w:pPr>
        <w:ind w:firstLine="720"/>
      </w:pPr>
      <w:r>
        <w:t>There have been no program changes or adjustments in Items 13 or 14 that require explanation. The respondent universe fluctuates annually, as new NVOCCs are licensed and existing NVOCCs go out of business.</w:t>
      </w:r>
    </w:p>
    <w:p w:rsidR="008E3FB6" w:rsidRPr="008E3FB6" w:rsidP="003F5448" w14:paraId="5251750F" w14:textId="77777777"/>
    <w:p w:rsidR="003F5448" w:rsidRPr="008E3FB6" w:rsidP="003F5448" w14:paraId="4220C7B2" w14:textId="77777777">
      <w:pPr>
        <w:rPr>
          <w:b/>
          <w:bCs/>
        </w:rPr>
      </w:pPr>
      <w:r w:rsidRPr="50A307E2">
        <w:rPr>
          <w:b/>
          <w:bCs/>
        </w:rPr>
        <w:t xml:space="preserve">16. For collections whose results will be published, outline the plans for tabulation and publication. </w:t>
      </w:r>
    </w:p>
    <w:p w:rsidR="003F5448" w:rsidRPr="008E3FB6" w:rsidP="003F5448" w14:paraId="147ECD11" w14:textId="77777777"/>
    <w:p w:rsidR="00B801BD" w:rsidRPr="008E3FB6" w:rsidP="00B801BD" w14:paraId="29ECB5AE" w14:textId="5764B59E">
      <w:pPr>
        <w:ind w:firstLine="720"/>
      </w:pPr>
      <w:r w:rsidRPr="008E3FB6">
        <w:t>Not applicable – no information will be published.</w:t>
      </w:r>
    </w:p>
    <w:p w:rsidR="00017EB0" w:rsidRPr="008E3FB6" w:rsidP="00B801BD" w14:paraId="74CD4FA8" w14:textId="77777777">
      <w:pPr>
        <w:ind w:firstLine="720"/>
      </w:pPr>
    </w:p>
    <w:p w:rsidR="003F5448" w:rsidRPr="00A9670C" w:rsidP="003F5448" w14:paraId="1DA8BEF1" w14:textId="56594132">
      <w:r w:rsidRPr="008E3FB6">
        <w:rPr>
          <w:b/>
          <w:bCs/>
        </w:rPr>
        <w:t xml:space="preserve">17. If seeking approval </w:t>
      </w:r>
      <w:r w:rsidRPr="00A9670C">
        <w:rPr>
          <w:b/>
          <w:bCs/>
        </w:rPr>
        <w:t xml:space="preserve">to not display the expiration date for OMB approval of the information collection, explain the reasons why display would be inappropriate. </w:t>
      </w:r>
    </w:p>
    <w:p w:rsidR="003F5448" w:rsidRPr="00A9670C" w:rsidP="003F5448" w14:paraId="02673B05" w14:textId="77777777"/>
    <w:p w:rsidR="003F5448" w:rsidRPr="00A9670C" w:rsidP="008E3FB6" w14:paraId="3AE17DDF" w14:textId="77758DBB">
      <w:pPr>
        <w:ind w:firstLine="720"/>
      </w:pPr>
      <w:r>
        <w:t xml:space="preserve">The </w:t>
      </w:r>
      <w:r w:rsidRPr="00A9670C" w:rsidR="008E3FB6">
        <w:t xml:space="preserve">OMB </w:t>
      </w:r>
      <w:r>
        <w:t xml:space="preserve">control number for this collection of </w:t>
      </w:r>
      <w:r w:rsidRPr="00A9670C" w:rsidR="008E3FB6">
        <w:t xml:space="preserve">information is displayed </w:t>
      </w:r>
      <w:r w:rsidR="00B50C32">
        <w:t xml:space="preserve">at </w:t>
      </w:r>
      <w:r w:rsidRPr="00A9670C" w:rsidR="008E3FB6">
        <w:t xml:space="preserve">46 CFR </w:t>
      </w:r>
      <w:r w:rsidR="00065742">
        <w:t xml:space="preserve">531.99 </w:t>
      </w:r>
      <w:r w:rsidR="00F665F9">
        <w:t>in accordance with 5 CFR 1320.3(f)</w:t>
      </w:r>
      <w:r w:rsidR="00F77632">
        <w:t xml:space="preserve"> and</w:t>
      </w:r>
      <w:r>
        <w:t xml:space="preserve"> </w:t>
      </w:r>
      <w:r w:rsidR="00F77632">
        <w:t>1320.5(b)(1)</w:t>
      </w:r>
      <w:r w:rsidR="005857B4">
        <w:t xml:space="preserve">. </w:t>
      </w:r>
      <w:r w:rsidR="00E57849">
        <w:t>This display do</w:t>
      </w:r>
      <w:r w:rsidR="007507C2">
        <w:t>e</w:t>
      </w:r>
      <w:r w:rsidR="00E57849">
        <w:t xml:space="preserve">s not include the expiration date as it would be an inefficient use of agency resources to update this regulation every time the collection is renewed to reflect the new expiration period. There are no forms </w:t>
      </w:r>
      <w:r w:rsidR="00320F85">
        <w:t xml:space="preserve">associated with the collection on which to display the expiration date. </w:t>
      </w:r>
      <w:r w:rsidR="005857B4">
        <w:t xml:space="preserve">FMC, will, however, display </w:t>
      </w:r>
      <w:r w:rsidR="007E3AD4">
        <w:t>such information on any</w:t>
      </w:r>
      <w:r w:rsidR="0097633F">
        <w:t xml:space="preserve"> request for information issued </w:t>
      </w:r>
      <w:r w:rsidR="008E3751">
        <w:t xml:space="preserve">to an NVOCC </w:t>
      </w:r>
      <w:r w:rsidR="0097633F">
        <w:t xml:space="preserve">under </w:t>
      </w:r>
      <w:r w:rsidR="008E3751">
        <w:t>46 CFR 531.12(b).</w:t>
      </w:r>
    </w:p>
    <w:p w:rsidR="008E3FB6" w:rsidRPr="00A9670C" w:rsidP="003F5448" w14:paraId="2BFA07A0" w14:textId="77777777"/>
    <w:p w:rsidR="003F5448" w:rsidRPr="00A9670C" w:rsidP="003F5448" w14:paraId="0A636B50" w14:textId="77777777">
      <w:pPr>
        <w:rPr>
          <w:b/>
          <w:bCs/>
        </w:rPr>
      </w:pPr>
      <w:r w:rsidRPr="00A9670C">
        <w:rPr>
          <w:b/>
          <w:bCs/>
        </w:rPr>
        <w:t xml:space="preserve">18. Explain each exception to the certification statement identified in Item 19 of OMB Form 83-I. </w:t>
      </w:r>
    </w:p>
    <w:p w:rsidR="003F5448" w:rsidRPr="00A9670C" w:rsidP="003F5448" w14:paraId="21F26C3F" w14:textId="77777777"/>
    <w:p w:rsidR="003F5448" w:rsidRPr="00A9670C" w:rsidP="00A9670C" w14:paraId="24F3EA53" w14:textId="3B655120">
      <w:pPr>
        <w:ind w:firstLine="720"/>
      </w:pPr>
      <w:r w:rsidRPr="00A9670C">
        <w:t>Not applicable – there are no exceptions to the certification statement.</w:t>
      </w:r>
    </w:p>
    <w:p w:rsidR="00B801BD" w:rsidRPr="00A9670C" w:rsidP="003F5448" w14:paraId="2F2B0F92" w14:textId="77777777"/>
    <w:p w:rsidR="003F5448" w:rsidRPr="00A9670C" w:rsidP="003F5448" w14:paraId="21F65E6A" w14:textId="77777777">
      <w:pPr>
        <w:rPr>
          <w:b/>
          <w:bCs/>
        </w:rPr>
      </w:pPr>
      <w:r w:rsidRPr="00A9670C">
        <w:rPr>
          <w:b/>
          <w:bCs/>
        </w:rPr>
        <w:t xml:space="preserve">B. Collections of Information Employing Statistical Methods </w:t>
      </w:r>
    </w:p>
    <w:p w:rsidR="003F5448" w:rsidRPr="00A9670C" w:rsidP="003F5448" w14:paraId="51DF2D56" w14:textId="77777777"/>
    <w:p w:rsidR="003F5448" w:rsidRPr="00A9670C" w:rsidP="003F5448" w14:paraId="190B394C" w14:textId="73CFC1A1">
      <w:pPr>
        <w:ind w:firstLine="720"/>
      </w:pPr>
      <w:r w:rsidRPr="00A9670C">
        <w:t>This collection of information does not employ statistical methods.</w:t>
      </w:r>
    </w:p>
    <w:p w:rsidR="003F5448" w:rsidRPr="00110672" w14:paraId="0444396C" w14:textId="77777777">
      <w:pPr>
        <w:spacing w:after="160" w:line="278" w:lineRule="auto"/>
        <w:rPr>
          <w:highlight w:val="yellow"/>
        </w:rPr>
      </w:pPr>
      <w:r w:rsidRPr="00110672">
        <w:rPr>
          <w:highlight w:val="yellow"/>
        </w:rPr>
        <w:br w:type="page"/>
      </w:r>
    </w:p>
    <w:p w:rsidR="003F5448" w:rsidRPr="00A22399" w:rsidP="003F5448" w14:paraId="4D84F98B" w14:textId="77777777">
      <w:r w:rsidRPr="00A22399">
        <w:rPr>
          <w:b/>
          <w:bCs/>
        </w:rPr>
        <w:t xml:space="preserve">Attachment 1 </w:t>
      </w:r>
    </w:p>
    <w:p w:rsidR="003F5448" w:rsidRPr="00A22399" w:rsidP="003F5448" w14:paraId="6CEFBC56" w14:textId="77777777">
      <w:pPr>
        <w:rPr>
          <w:b/>
          <w:bCs/>
        </w:rPr>
      </w:pPr>
    </w:p>
    <w:p w:rsidR="003F5448" w:rsidP="003F5448" w14:paraId="01661720" w14:textId="510FF9D2">
      <w:pPr>
        <w:rPr>
          <w:b/>
          <w:bCs/>
        </w:rPr>
      </w:pPr>
      <w:r w:rsidRPr="00A22399">
        <w:rPr>
          <w:b/>
          <w:bCs/>
        </w:rPr>
        <w:t xml:space="preserve">Estimated Burden and Costs, Including Overhead, to Respondents </w:t>
      </w:r>
    </w:p>
    <w:p w:rsidR="00C6327E" w:rsidP="003F5448" w14:paraId="6A3AA503" w14:textId="77777777">
      <w:pPr>
        <w:rPr>
          <w:b/>
          <w:bCs/>
        </w:rPr>
      </w:pPr>
    </w:p>
    <w:p w:rsidR="00C6327E" w:rsidP="00C6327E" w14:paraId="7825A4D9" w14:textId="2CD208AF">
      <w:r>
        <w:t>375</w:t>
      </w:r>
      <w:r>
        <w:t xml:space="preserve"> hours (reporting and recordkeeping requirements) + </w:t>
      </w:r>
      <w:r w:rsidR="006450FC">
        <w:t>81</w:t>
      </w:r>
      <w:r>
        <w:t xml:space="preserve"> hours (</w:t>
      </w:r>
      <w:r w:rsidRPr="00761E93" w:rsidR="006450FC">
        <w:rPr>
          <w:sz w:val="23"/>
          <w:szCs w:val="23"/>
        </w:rPr>
        <w:t>Modification of Tariff Invoking Exemption to use NSAs</w:t>
      </w:r>
      <w:r>
        <w:t xml:space="preserve">) = </w:t>
      </w:r>
      <w:r>
        <w:t>456</w:t>
      </w:r>
      <w:r w:rsidRPr="0080248F">
        <w:t xml:space="preserve"> total hours</w:t>
      </w:r>
    </w:p>
    <w:p w:rsidR="00C6327E" w:rsidRPr="00A22399" w:rsidP="003F5448" w14:paraId="77A9A2CD" w14:textId="77777777">
      <w:pPr>
        <w:rPr>
          <w:b/>
          <w:bCs/>
        </w:rPr>
      </w:pPr>
    </w:p>
    <w:p w:rsidR="00A54C1E" w:rsidRPr="00A54C1E" w:rsidP="00A54C1E" w14:paraId="4C719130" w14:textId="77777777"/>
    <w:p w:rsidR="00A54C1E" w:rsidRPr="00A54C1E" w:rsidP="00A54C1E" w14:paraId="090FFACA" w14:textId="6F7A7251">
      <w:r w:rsidRPr="00A54C1E">
        <w:t>33% Pricing Manager</w:t>
      </w:r>
      <w:r w:rsidR="009D243F">
        <w:t>/Operations Specialties Manager</w:t>
      </w:r>
      <w:r w:rsidRPr="00A54C1E">
        <w:t xml:space="preserve"> (</w:t>
      </w:r>
      <w:r w:rsidR="0071190C">
        <w:t>150</w:t>
      </w:r>
      <w:r w:rsidRPr="00A54C1E">
        <w:t xml:space="preserve"> hours) </w:t>
      </w:r>
    </w:p>
    <w:p w:rsidR="0016319F" w:rsidRPr="00A22399" w:rsidP="00A54C1E" w14:paraId="6336842A" w14:textId="26840469">
      <w:r w:rsidRPr="00A22399">
        <w:t>67% Tariff Publisher</w:t>
      </w:r>
      <w:r w:rsidR="003D7795">
        <w:t>/ Secretary and Administrative Assistant</w:t>
      </w:r>
      <w:r w:rsidRPr="00A22399">
        <w:t xml:space="preserve"> (</w:t>
      </w:r>
      <w:r w:rsidR="007B2245">
        <w:t>306</w:t>
      </w:r>
      <w:r w:rsidRPr="00A22399">
        <w:t xml:space="preserve"> hours)</w:t>
      </w:r>
    </w:p>
    <w:p w:rsidR="00A54C1E" w:rsidRPr="00110672" w:rsidP="00A54C1E" w14:paraId="3A25DCFF" w14:textId="77777777">
      <w:pPr>
        <w:rPr>
          <w:highlight w:val="yellow"/>
        </w:rPr>
      </w:pPr>
    </w:p>
    <w:p w:rsidR="00F22C24" w:rsidRPr="006F0C95" w:rsidP="00F22C24" w14:paraId="023205F2" w14:textId="3E9B387D">
      <w:r w:rsidRPr="006F0C95">
        <w:t xml:space="preserve">The annual salary calculations have been formulated using the </w:t>
      </w:r>
      <w:r w:rsidR="006D36B9">
        <w:t xml:space="preserve">U.S. </w:t>
      </w:r>
      <w:r w:rsidRPr="006F0C95">
        <w:t xml:space="preserve">Department of Labor’s </w:t>
      </w:r>
      <w:r w:rsidR="006D36B9">
        <w:t xml:space="preserve">U.S. </w:t>
      </w:r>
      <w:r w:rsidRPr="006F0C95" w:rsidR="0007317F">
        <w:t xml:space="preserve">Bureau of Labor Statistics’ </w:t>
      </w:r>
      <w:r w:rsidRPr="006F0C95">
        <w:t xml:space="preserve">May 2024 National Industry-Specific Occupational Employment and Wages Estimates for Water Transportation </w:t>
      </w:r>
      <w:r w:rsidRPr="006F0C95" w:rsidR="0007317F">
        <w:t xml:space="preserve">(NAICS 48300) </w:t>
      </w:r>
      <w:r w:rsidRPr="006F0C95">
        <w:t>(overhead of 102.93% has been added to the basic salary).  </w:t>
      </w:r>
    </w:p>
    <w:p w:rsidR="0007317F" w:rsidP="003F5448" w14:paraId="2985159A" w14:textId="7C37BFC4"/>
    <w:p w:rsidR="00B70923" w:rsidRPr="003F5448" w:rsidP="00B70923" w14:paraId="2CDEE2D8" w14:textId="77777777">
      <w:r>
        <w:t xml:space="preserve">Note: Occupation Codes “Operations Specialties Manager” and “Secretary and Administrative Assistant” are the closest analogous positions in the BLS tables to “Pricing Manager” and “Tariff Publisher). </w:t>
      </w:r>
    </w:p>
    <w:p w:rsidR="0007317F" w:rsidRPr="002A70C9" w:rsidP="003F5448" w14:paraId="026D007E" w14:textId="77777777"/>
    <w:p w:rsidR="00C0048F" w:rsidRPr="002A70C9" w:rsidP="003F5448" w14:paraId="3800E6F9" w14:textId="77777777"/>
    <w:p w:rsidR="00C0048F" w:rsidRPr="00E52B50" w:rsidP="003F5448" w14:paraId="29EDBA58" w14:textId="1F8D5EC8">
      <w:r w:rsidRPr="00E52B50">
        <w:t>Formula: Annual salary/2087 + overhead rate = adjusted annual salary</w:t>
      </w:r>
    </w:p>
    <w:p w:rsidR="003F5448" w:rsidRPr="00E52B50" w:rsidP="003F5448" w14:paraId="131EB2AE" w14:textId="77777777"/>
    <w:p w:rsidR="00C0048F" w:rsidRPr="00E52B50" w:rsidP="00C0048F" w14:paraId="08F9B30D" w14:textId="77777777">
      <w:r w:rsidRPr="00E52B50">
        <w:t>Pricing Manager</w:t>
      </w:r>
    </w:p>
    <w:p w:rsidR="00C0048F" w:rsidRPr="00E52B50" w:rsidP="00C0048F" w14:paraId="6E56A6FA" w14:textId="3FAE44CA">
      <w:r w:rsidRPr="00E52B50">
        <w:t>$</w:t>
      </w:r>
      <w:r w:rsidR="5697C89D">
        <w:t>148,030</w:t>
      </w:r>
      <w:r w:rsidRPr="00E52B50">
        <w:t>/2087 = $</w:t>
      </w:r>
      <w:r w:rsidR="3C14BA0D">
        <w:t>70.93</w:t>
      </w:r>
      <w:r w:rsidRPr="00E52B50">
        <w:t>(basic hourly rate) + $</w:t>
      </w:r>
      <w:r w:rsidR="7A0D6AAC">
        <w:t>73.01</w:t>
      </w:r>
      <w:r w:rsidRPr="00E52B50">
        <w:t>(overhead) = $</w:t>
      </w:r>
      <w:r w:rsidR="3D47D602">
        <w:t>143.94</w:t>
      </w:r>
      <w:r w:rsidR="47F172C6">
        <w:t xml:space="preserve"> </w:t>
      </w:r>
      <w:r w:rsidRPr="00E52B50">
        <w:t>(adjusted hourly salary)</w:t>
      </w:r>
    </w:p>
    <w:p w:rsidR="00C0048F" w:rsidRPr="00E52B50" w:rsidP="00C0048F" w14:paraId="08C04881" w14:textId="77777777"/>
    <w:p w:rsidR="00C0048F" w:rsidRPr="00E52B50" w:rsidP="00C0048F" w14:paraId="0D50B9F0" w14:textId="77777777">
      <w:r w:rsidRPr="00E52B50">
        <w:t>Tariff Publisher</w:t>
      </w:r>
    </w:p>
    <w:p w:rsidR="003E2644" w:rsidRPr="00E52B50" w:rsidP="00C0048F" w14:paraId="34404A88" w14:textId="44ABC004">
      <w:r w:rsidRPr="00E52B50">
        <w:t>$</w:t>
      </w:r>
      <w:r w:rsidR="356309DE">
        <w:t>66,390</w:t>
      </w:r>
      <w:r w:rsidRPr="00E52B50">
        <w:t>/2087 = $</w:t>
      </w:r>
      <w:r w:rsidR="610CA150">
        <w:t>31.81</w:t>
      </w:r>
      <w:r w:rsidRPr="00E52B50">
        <w:t>(basic hourly rate) + $</w:t>
      </w:r>
      <w:r w:rsidR="55F382A3">
        <w:t xml:space="preserve">32.74 </w:t>
      </w:r>
      <w:r w:rsidRPr="00E52B50">
        <w:t>(overhead) = $</w:t>
      </w:r>
      <w:r w:rsidR="62C68FB2">
        <w:t>64.55</w:t>
      </w:r>
      <w:r w:rsidR="55E23ED4">
        <w:t xml:space="preserve"> </w:t>
      </w:r>
      <w:r w:rsidRPr="00E52B50">
        <w:t>(adjusted hourly salary)</w:t>
      </w:r>
    </w:p>
    <w:p w:rsidR="00C0048F" w:rsidRPr="00E52B50" w:rsidP="00C0048F" w14:paraId="45073484" w14:textId="77777777"/>
    <w:p w:rsidR="00C0048F" w:rsidRPr="00E52B50" w:rsidP="00C0048F" w14:paraId="1E7048FD" w14:textId="77777777"/>
    <w:tbl>
      <w:tblPr>
        <w:tblW w:w="9468" w:type="dxa"/>
        <w:tblInd w:w="-168" w:type="dxa"/>
        <w:tblBorders>
          <w:top w:val="none" w:sz="6" w:space="0" w:color="auto"/>
          <w:left w:val="none" w:sz="6" w:space="0" w:color="auto"/>
          <w:bottom w:val="none" w:sz="6" w:space="0" w:color="auto"/>
          <w:right w:val="none" w:sz="6" w:space="0" w:color="auto"/>
        </w:tblBorders>
        <w:tblLayout w:type="fixed"/>
        <w:tblLook w:val="0000"/>
      </w:tblPr>
      <w:tblGrid>
        <w:gridCol w:w="2267"/>
        <w:gridCol w:w="2428"/>
        <w:gridCol w:w="2345"/>
        <w:gridCol w:w="2428"/>
      </w:tblGrid>
      <w:tr w14:paraId="73EB4B48" w14:textId="77777777" w:rsidTr="003E2644">
        <w:tblPrEx>
          <w:tblW w:w="9468" w:type="dxa"/>
          <w:tblInd w:w="-168" w:type="dxa"/>
          <w:tblBorders>
            <w:top w:val="none" w:sz="6" w:space="0" w:color="auto"/>
            <w:left w:val="none" w:sz="6" w:space="0" w:color="auto"/>
            <w:bottom w:val="none" w:sz="6" w:space="0" w:color="auto"/>
            <w:right w:val="none" w:sz="6" w:space="0" w:color="auto"/>
          </w:tblBorders>
          <w:tblLayout w:type="fixed"/>
          <w:tblLook w:val="0000"/>
        </w:tblPrEx>
        <w:trPr>
          <w:trHeight w:val="166"/>
        </w:trPr>
        <w:tc>
          <w:tcPr>
            <w:tcW w:w="2267" w:type="dxa"/>
            <w:tcBorders>
              <w:top w:val="none" w:sz="6" w:space="0" w:color="auto"/>
              <w:bottom w:val="none" w:sz="6" w:space="0" w:color="auto"/>
              <w:right w:val="none" w:sz="6" w:space="0" w:color="auto"/>
            </w:tcBorders>
          </w:tcPr>
          <w:p w:rsidR="003E2644" w:rsidRPr="00E52B50" w:rsidP="003E2644" w14:paraId="28F36A8E" w14:textId="77777777">
            <w:r w:rsidRPr="00E52B50">
              <w:rPr>
                <w:b/>
                <w:bCs/>
              </w:rPr>
              <w:t xml:space="preserve">Employee </w:t>
            </w:r>
          </w:p>
        </w:tc>
        <w:tc>
          <w:tcPr>
            <w:tcW w:w="2428" w:type="dxa"/>
            <w:tcBorders>
              <w:top w:val="none" w:sz="6" w:space="0" w:color="auto"/>
              <w:left w:val="none" w:sz="6" w:space="0" w:color="auto"/>
              <w:bottom w:val="none" w:sz="6" w:space="0" w:color="auto"/>
              <w:right w:val="none" w:sz="6" w:space="0" w:color="auto"/>
            </w:tcBorders>
          </w:tcPr>
          <w:p w:rsidR="003E2644" w:rsidRPr="00E52B50" w:rsidP="003E2644" w14:paraId="1D4B8890" w14:textId="77777777">
            <w:r w:rsidRPr="00E52B50">
              <w:rPr>
                <w:b/>
                <w:bCs/>
              </w:rPr>
              <w:t xml:space="preserve">Hourly Salary </w:t>
            </w:r>
          </w:p>
        </w:tc>
        <w:tc>
          <w:tcPr>
            <w:tcW w:w="2345" w:type="dxa"/>
            <w:tcBorders>
              <w:top w:val="none" w:sz="6" w:space="0" w:color="auto"/>
              <w:left w:val="none" w:sz="6" w:space="0" w:color="auto"/>
              <w:bottom w:val="none" w:sz="6" w:space="0" w:color="auto"/>
              <w:right w:val="none" w:sz="6" w:space="0" w:color="auto"/>
            </w:tcBorders>
          </w:tcPr>
          <w:p w:rsidR="003E2644" w:rsidRPr="00E52B50" w:rsidP="003E2644" w14:paraId="75C2AEA0" w14:textId="77777777">
            <w:r w:rsidRPr="00E52B50">
              <w:rPr>
                <w:b/>
                <w:bCs/>
              </w:rPr>
              <w:t xml:space="preserve">Number of Hours </w:t>
            </w:r>
          </w:p>
        </w:tc>
        <w:tc>
          <w:tcPr>
            <w:tcW w:w="2428" w:type="dxa"/>
            <w:tcBorders>
              <w:top w:val="none" w:sz="6" w:space="0" w:color="auto"/>
              <w:left w:val="none" w:sz="6" w:space="0" w:color="auto"/>
              <w:bottom w:val="none" w:sz="6" w:space="0" w:color="auto"/>
            </w:tcBorders>
          </w:tcPr>
          <w:p w:rsidR="003E2644" w:rsidRPr="00E52B50" w:rsidP="003E2644" w14:paraId="48B21C0F" w14:textId="584CD75E">
            <w:r>
              <w:rPr>
                <w:b/>
                <w:bCs/>
              </w:rPr>
              <w:t xml:space="preserve">        </w:t>
            </w:r>
            <w:r w:rsidR="00A42F12">
              <w:rPr>
                <w:b/>
                <w:bCs/>
              </w:rPr>
              <w:t xml:space="preserve"> </w:t>
            </w:r>
            <w:r>
              <w:rPr>
                <w:b/>
                <w:bCs/>
              </w:rPr>
              <w:t xml:space="preserve"> </w:t>
            </w:r>
            <w:r w:rsidRPr="00E52B50">
              <w:rPr>
                <w:b/>
                <w:bCs/>
              </w:rPr>
              <w:t xml:space="preserve">Total </w:t>
            </w:r>
          </w:p>
        </w:tc>
      </w:tr>
      <w:tr w14:paraId="7DE6FB6E" w14:textId="77777777" w:rsidTr="003E2644">
        <w:tblPrEx>
          <w:tblW w:w="9468" w:type="dxa"/>
          <w:tblInd w:w="-168" w:type="dxa"/>
          <w:tblLayout w:type="fixed"/>
          <w:tblLook w:val="0000"/>
        </w:tblPrEx>
        <w:trPr>
          <w:trHeight w:val="161"/>
        </w:trPr>
        <w:tc>
          <w:tcPr>
            <w:tcW w:w="2267" w:type="dxa"/>
            <w:tcBorders>
              <w:top w:val="none" w:sz="6" w:space="0" w:color="auto"/>
              <w:bottom w:val="none" w:sz="6" w:space="0" w:color="auto"/>
              <w:right w:val="none" w:sz="6" w:space="0" w:color="auto"/>
            </w:tcBorders>
          </w:tcPr>
          <w:p w:rsidR="003E2644" w:rsidRPr="00E52B50" w:rsidP="003E2644" w14:paraId="24B3EF36" w14:textId="78ED8DA6">
            <w:r w:rsidRPr="00E52B50">
              <w:t>Pricing Manager</w:t>
            </w:r>
            <w:r w:rsidRPr="00E52B50">
              <w:t xml:space="preserve"> </w:t>
            </w:r>
          </w:p>
        </w:tc>
        <w:tc>
          <w:tcPr>
            <w:tcW w:w="2428" w:type="dxa"/>
            <w:tcBorders>
              <w:top w:val="none" w:sz="6" w:space="0" w:color="auto"/>
              <w:left w:val="none" w:sz="6" w:space="0" w:color="auto"/>
              <w:bottom w:val="none" w:sz="6" w:space="0" w:color="auto"/>
              <w:right w:val="none" w:sz="6" w:space="0" w:color="auto"/>
            </w:tcBorders>
          </w:tcPr>
          <w:p w:rsidR="003E2644" w:rsidRPr="00E52B50" w:rsidP="003E2644" w14:paraId="25ECAD61" w14:textId="0BF23ACA">
            <w:r>
              <w:t xml:space="preserve">           </w:t>
            </w:r>
            <w:r w:rsidRPr="00E52B50">
              <w:t>$</w:t>
            </w:r>
            <w:r w:rsidR="5801F78D">
              <w:t>143.94</w:t>
            </w:r>
          </w:p>
        </w:tc>
        <w:tc>
          <w:tcPr>
            <w:tcW w:w="2345" w:type="dxa"/>
            <w:tcBorders>
              <w:top w:val="none" w:sz="6" w:space="0" w:color="auto"/>
              <w:left w:val="none" w:sz="6" w:space="0" w:color="auto"/>
              <w:bottom w:val="none" w:sz="6" w:space="0" w:color="auto"/>
              <w:right w:val="none" w:sz="6" w:space="0" w:color="auto"/>
            </w:tcBorders>
          </w:tcPr>
          <w:p w:rsidR="003E2644" w:rsidRPr="00E52B50" w:rsidP="003E2644" w14:paraId="03C43603" w14:textId="6C9F6AF3">
            <w:r>
              <w:t xml:space="preserve">                        </w:t>
            </w:r>
            <w:r w:rsidR="00A94167">
              <w:t>150</w:t>
            </w:r>
          </w:p>
        </w:tc>
        <w:tc>
          <w:tcPr>
            <w:tcW w:w="2428" w:type="dxa"/>
            <w:tcBorders>
              <w:top w:val="none" w:sz="6" w:space="0" w:color="auto"/>
              <w:left w:val="none" w:sz="6" w:space="0" w:color="auto"/>
              <w:bottom w:val="none" w:sz="6" w:space="0" w:color="auto"/>
            </w:tcBorders>
          </w:tcPr>
          <w:p w:rsidR="003E2644" w:rsidRPr="00E52B50" w:rsidP="003E2644" w14:paraId="1958C76A" w14:textId="66C608FC">
            <w:r>
              <w:t xml:space="preserve"> </w:t>
            </w:r>
            <w:r w:rsidR="00A42F12">
              <w:t xml:space="preserve"> </w:t>
            </w:r>
            <w:r w:rsidRPr="00E52B50">
              <w:t>$</w:t>
            </w:r>
            <w:r w:rsidR="00A94167">
              <w:t>21,591.00</w:t>
            </w:r>
          </w:p>
        </w:tc>
      </w:tr>
      <w:tr w14:paraId="38EFA04B" w14:textId="77777777" w:rsidTr="003E2644">
        <w:tblPrEx>
          <w:tblW w:w="9468" w:type="dxa"/>
          <w:tblInd w:w="-168" w:type="dxa"/>
          <w:tblLayout w:type="fixed"/>
          <w:tblLook w:val="0000"/>
        </w:tblPrEx>
        <w:trPr>
          <w:trHeight w:val="161"/>
        </w:trPr>
        <w:tc>
          <w:tcPr>
            <w:tcW w:w="2267" w:type="dxa"/>
            <w:tcBorders>
              <w:top w:val="none" w:sz="6" w:space="0" w:color="auto"/>
              <w:bottom w:val="none" w:sz="6" w:space="0" w:color="auto"/>
              <w:right w:val="none" w:sz="6" w:space="0" w:color="auto"/>
            </w:tcBorders>
          </w:tcPr>
          <w:p w:rsidR="003E2644" w:rsidRPr="00E52B50" w:rsidP="003E2644" w14:paraId="2148A792" w14:textId="3839DA88">
            <w:r w:rsidRPr="00E52B50">
              <w:t>Tariff Publisher</w:t>
            </w:r>
            <w:r w:rsidRPr="00E52B50">
              <w:t xml:space="preserve"> </w:t>
            </w:r>
          </w:p>
        </w:tc>
        <w:tc>
          <w:tcPr>
            <w:tcW w:w="2428" w:type="dxa"/>
            <w:tcBorders>
              <w:top w:val="none" w:sz="6" w:space="0" w:color="auto"/>
              <w:left w:val="none" w:sz="6" w:space="0" w:color="auto"/>
              <w:bottom w:val="none" w:sz="6" w:space="0" w:color="auto"/>
              <w:right w:val="none" w:sz="6" w:space="0" w:color="auto"/>
            </w:tcBorders>
          </w:tcPr>
          <w:p w:rsidR="003E2644" w:rsidRPr="00E52B50" w:rsidP="003E2644" w14:paraId="7B514235" w14:textId="56538ED3">
            <w:r>
              <w:t xml:space="preserve">             </w:t>
            </w:r>
            <w:r w:rsidRPr="00E52B50">
              <w:t>$</w:t>
            </w:r>
            <w:r w:rsidR="101FDF18">
              <w:t>64.55</w:t>
            </w:r>
          </w:p>
        </w:tc>
        <w:tc>
          <w:tcPr>
            <w:tcW w:w="2345" w:type="dxa"/>
            <w:tcBorders>
              <w:top w:val="none" w:sz="6" w:space="0" w:color="auto"/>
              <w:left w:val="none" w:sz="6" w:space="0" w:color="auto"/>
              <w:bottom w:val="none" w:sz="6" w:space="0" w:color="auto"/>
              <w:right w:val="none" w:sz="6" w:space="0" w:color="auto"/>
            </w:tcBorders>
          </w:tcPr>
          <w:p w:rsidR="003E2644" w:rsidRPr="00E52B50" w:rsidP="003E2644" w14:paraId="7765F7F7" w14:textId="4D54C434">
            <w:r>
              <w:t xml:space="preserve">                        </w:t>
            </w:r>
            <w:r w:rsidR="00A94167">
              <w:t>306</w:t>
            </w:r>
          </w:p>
        </w:tc>
        <w:tc>
          <w:tcPr>
            <w:tcW w:w="2428" w:type="dxa"/>
            <w:tcBorders>
              <w:top w:val="none" w:sz="6" w:space="0" w:color="auto"/>
              <w:left w:val="none" w:sz="6" w:space="0" w:color="auto"/>
              <w:bottom w:val="none" w:sz="6" w:space="0" w:color="auto"/>
            </w:tcBorders>
          </w:tcPr>
          <w:p w:rsidR="003E2644" w:rsidRPr="00E52B50" w:rsidP="003E2644" w14:paraId="1DE6C3BB" w14:textId="01677CD5">
            <w:r>
              <w:t xml:space="preserve">  </w:t>
            </w:r>
            <w:r w:rsidRPr="00E52B50">
              <w:t>$</w:t>
            </w:r>
            <w:r w:rsidR="000B016B">
              <w:t>19,752.30</w:t>
            </w:r>
          </w:p>
        </w:tc>
      </w:tr>
      <w:tr w14:paraId="432EAEE5" w14:textId="77777777" w:rsidTr="003E2644">
        <w:tblPrEx>
          <w:tblW w:w="9468" w:type="dxa"/>
          <w:tblInd w:w="-168" w:type="dxa"/>
          <w:tblLayout w:type="fixed"/>
          <w:tblLook w:val="0000"/>
        </w:tblPrEx>
        <w:trPr>
          <w:trHeight w:val="166"/>
        </w:trPr>
        <w:tc>
          <w:tcPr>
            <w:tcW w:w="2267" w:type="dxa"/>
            <w:tcBorders>
              <w:top w:val="none" w:sz="6" w:space="0" w:color="auto"/>
              <w:bottom w:val="none" w:sz="6" w:space="0" w:color="auto"/>
              <w:right w:val="none" w:sz="6" w:space="0" w:color="auto"/>
            </w:tcBorders>
          </w:tcPr>
          <w:p w:rsidR="006D36B9" w:rsidP="003E2644" w14:paraId="3AF0908E" w14:textId="77777777">
            <w:pPr>
              <w:rPr>
                <w:b/>
                <w:bCs/>
              </w:rPr>
            </w:pPr>
          </w:p>
          <w:p w:rsidR="003E2644" w:rsidRPr="00E52B50" w:rsidP="003E2644" w14:paraId="0C282ABE" w14:textId="5DE87C2C">
            <w:pPr>
              <w:rPr>
                <w:b/>
                <w:bCs/>
              </w:rPr>
            </w:pPr>
            <w:r w:rsidRPr="00E52B50">
              <w:rPr>
                <w:b/>
                <w:bCs/>
              </w:rPr>
              <w:t>TOTALS</w:t>
            </w:r>
          </w:p>
        </w:tc>
        <w:tc>
          <w:tcPr>
            <w:tcW w:w="2428" w:type="dxa"/>
            <w:tcBorders>
              <w:top w:val="none" w:sz="6" w:space="0" w:color="auto"/>
              <w:bottom w:val="none" w:sz="6" w:space="0" w:color="auto"/>
              <w:right w:val="none" w:sz="6" w:space="0" w:color="auto"/>
            </w:tcBorders>
          </w:tcPr>
          <w:p w:rsidR="003E2644" w:rsidRPr="00E52B50" w:rsidP="003E2644" w14:paraId="641F6F89" w14:textId="1F082C16"/>
        </w:tc>
        <w:tc>
          <w:tcPr>
            <w:tcW w:w="2345" w:type="dxa"/>
            <w:tcBorders>
              <w:top w:val="none" w:sz="6" w:space="0" w:color="auto"/>
              <w:left w:val="none" w:sz="6" w:space="0" w:color="auto"/>
              <w:bottom w:val="none" w:sz="6" w:space="0" w:color="auto"/>
              <w:right w:val="none" w:sz="6" w:space="0" w:color="auto"/>
            </w:tcBorders>
          </w:tcPr>
          <w:p w:rsidR="006D36B9" w:rsidP="003E2644" w14:paraId="14CC652B" w14:textId="77777777">
            <w:pPr>
              <w:rPr>
                <w:b/>
                <w:bCs/>
              </w:rPr>
            </w:pPr>
          </w:p>
          <w:p w:rsidR="003E2644" w:rsidRPr="00E52B50" w:rsidP="003E2644" w14:paraId="2506BD27" w14:textId="0E8675FE">
            <w:r>
              <w:rPr>
                <w:b/>
                <w:bCs/>
              </w:rPr>
              <w:t xml:space="preserve">                        </w:t>
            </w:r>
            <w:r w:rsidR="005C6FFC">
              <w:rPr>
                <w:b/>
                <w:bCs/>
              </w:rPr>
              <w:t>456</w:t>
            </w:r>
          </w:p>
        </w:tc>
        <w:tc>
          <w:tcPr>
            <w:tcW w:w="2428" w:type="dxa"/>
            <w:tcBorders>
              <w:top w:val="none" w:sz="6" w:space="0" w:color="auto"/>
              <w:left w:val="none" w:sz="6" w:space="0" w:color="auto"/>
              <w:bottom w:val="none" w:sz="6" w:space="0" w:color="auto"/>
            </w:tcBorders>
          </w:tcPr>
          <w:p w:rsidR="006D36B9" w:rsidP="003E2644" w14:paraId="7E1CCD71" w14:textId="77777777">
            <w:pPr>
              <w:rPr>
                <w:b/>
                <w:bCs/>
              </w:rPr>
            </w:pPr>
          </w:p>
          <w:p w:rsidR="003E2644" w:rsidRPr="003F1938" w:rsidP="003E2644" w14:paraId="0E93479B" w14:textId="7A2CA814">
            <w:r>
              <w:rPr>
                <w:b/>
                <w:bCs/>
              </w:rPr>
              <w:t xml:space="preserve"> </w:t>
            </w:r>
            <w:r w:rsidRPr="00E52B50">
              <w:rPr>
                <w:b/>
                <w:bCs/>
              </w:rPr>
              <w:t>$</w:t>
            </w:r>
            <w:r w:rsidR="000B016B">
              <w:rPr>
                <w:b/>
                <w:bCs/>
              </w:rPr>
              <w:t>41,343.30</w:t>
            </w:r>
          </w:p>
        </w:tc>
      </w:tr>
    </w:tbl>
    <w:p w:rsidR="003E2644" w:rsidRPr="00110672" w:rsidP="003F5448" w14:paraId="1945DD35" w14:textId="0058C4E3">
      <w:pPr>
        <w:rPr>
          <w:highlight w:val="yellow"/>
        </w:rPr>
      </w:pPr>
    </w:p>
    <w:p w:rsidR="003E2644" w:rsidRPr="00110672" w14:paraId="6885DB4E" w14:textId="77777777">
      <w:pPr>
        <w:spacing w:after="160" w:line="278" w:lineRule="auto"/>
        <w:rPr>
          <w:highlight w:val="yellow"/>
        </w:rPr>
      </w:pPr>
      <w:r w:rsidRPr="00110672">
        <w:rPr>
          <w:highlight w:val="yellow"/>
        </w:rPr>
        <w:br w:type="page"/>
      </w:r>
    </w:p>
    <w:p w:rsidR="003E2644" w:rsidRPr="00A6011D" w:rsidP="003E2644" w14:paraId="3F9FAA10" w14:textId="77777777">
      <w:pPr>
        <w:rPr>
          <w:b/>
          <w:bCs/>
        </w:rPr>
      </w:pPr>
      <w:r w:rsidRPr="00A6011D">
        <w:rPr>
          <w:b/>
          <w:bCs/>
        </w:rPr>
        <w:t xml:space="preserve">Attachment 2 </w:t>
      </w:r>
    </w:p>
    <w:p w:rsidR="003E2644" w:rsidRPr="00A6011D" w:rsidP="003E2644" w14:paraId="35EB4452" w14:textId="77777777"/>
    <w:p w:rsidR="003E2644" w:rsidRPr="00A6011D" w:rsidP="003E2644" w14:paraId="6B4BFAE8" w14:textId="2F7F73BF">
      <w:pPr>
        <w:rPr>
          <w:b/>
          <w:bCs/>
        </w:rPr>
      </w:pPr>
      <w:r w:rsidRPr="00A6011D">
        <w:rPr>
          <w:b/>
          <w:bCs/>
        </w:rPr>
        <w:t xml:space="preserve">Estimated Burden and Costs, Including Overhead, to Federal Government </w:t>
      </w:r>
    </w:p>
    <w:p w:rsidR="003E2644" w:rsidRPr="00A6011D" w:rsidP="003E2644" w14:paraId="4F8AF476" w14:textId="77777777"/>
    <w:p w:rsidR="003E2644" w:rsidRPr="00D613FD" w:rsidP="003E2644" w14:paraId="5CE580FA" w14:textId="7B804894">
      <w:r>
        <w:t xml:space="preserve">The annual salary calculations have been formulated using the Federal Government’s January 2025 salary table for the Washington D.C. metropolitan area (overhead of 102.93% has been added to </w:t>
      </w:r>
      <w:r w:rsidRPr="00D613FD">
        <w:t xml:space="preserve">the basic salary). </w:t>
      </w:r>
    </w:p>
    <w:p w:rsidR="003E2644" w:rsidRPr="00D613FD" w:rsidP="003E2644" w14:paraId="11FAE0F5" w14:textId="77777777"/>
    <w:p w:rsidR="003E2644" w:rsidRPr="00D613FD" w:rsidP="003E2644" w14:paraId="0030D87B" w14:textId="77777777">
      <w:r w:rsidRPr="00D613FD">
        <w:t>Formula:  Annual salary/2087 + overhead = adjusted hourly salary</w:t>
      </w:r>
    </w:p>
    <w:p w:rsidR="003E2644" w:rsidRPr="00D613FD" w:rsidP="003E2644" w14:paraId="1C36DFB5" w14:textId="77777777"/>
    <w:p w:rsidR="003E2644" w:rsidRPr="00D613FD" w:rsidP="003E2644" w14:paraId="6B91E9D5" w14:textId="76C539D5">
      <w:r w:rsidRPr="006D36B9">
        <w:rPr>
          <w:b/>
          <w:bCs/>
        </w:rPr>
        <w:t>Supervisory Program Analyst, Director of Maritime Analytics</w:t>
      </w:r>
      <w:r w:rsidRPr="00D613FD">
        <w:rPr>
          <w:b/>
          <w:bCs/>
        </w:rPr>
        <w:t xml:space="preserve"> </w:t>
      </w:r>
      <w:r w:rsidRPr="00D613FD">
        <w:t xml:space="preserve">(GS 15/5) – </w:t>
      </w:r>
      <w:r w:rsidRPr="00D613FD" w:rsidR="000C6154">
        <w:t>32 hours</w:t>
      </w:r>
      <w:r w:rsidRPr="00D613FD" w:rsidR="00957B72">
        <w:t xml:space="preserve"> </w:t>
      </w:r>
    </w:p>
    <w:p w:rsidR="003E2644" w:rsidRPr="00D613FD" w:rsidP="003E2644" w14:paraId="57C4899D" w14:textId="2C0C5371">
      <w:r w:rsidRPr="00D613FD">
        <w:t>$</w:t>
      </w:r>
      <w:r w:rsidRPr="00D613FD" w:rsidR="00C35267">
        <w:t>189,950</w:t>
      </w:r>
      <w:r w:rsidRPr="00D613FD">
        <w:t xml:space="preserve">/2087 </w:t>
      </w:r>
      <w:r w:rsidRPr="00D613FD" w:rsidR="00B90A79">
        <w:t xml:space="preserve">= $91.02 (basic hourly rate) </w:t>
      </w:r>
      <w:r w:rsidRPr="00D613FD">
        <w:t>+</w:t>
      </w:r>
      <w:r w:rsidRPr="00D613FD" w:rsidR="00B90A79">
        <w:t xml:space="preserve"> $</w:t>
      </w:r>
      <w:r w:rsidRPr="00D613FD" w:rsidR="0000449D">
        <w:t>93.68</w:t>
      </w:r>
      <w:r w:rsidRPr="00D613FD" w:rsidR="00B90A79">
        <w:t xml:space="preserve"> (overhead)</w:t>
      </w:r>
      <w:r w:rsidRPr="00D613FD">
        <w:t xml:space="preserve"> = $</w:t>
      </w:r>
      <w:r w:rsidRPr="00D613FD" w:rsidR="009B553E">
        <w:t>184.70</w:t>
      </w:r>
      <w:r w:rsidRPr="00D613FD">
        <w:t xml:space="preserve"> adjusted hourly salary </w:t>
      </w:r>
    </w:p>
    <w:p w:rsidR="003E2644" w:rsidRPr="00D613FD" w:rsidP="003E2644" w14:paraId="1484FD0C" w14:textId="77777777"/>
    <w:p w:rsidR="003E2644" w:rsidRPr="00D613FD" w:rsidP="003E2644" w14:paraId="29E021FB" w14:textId="2A422D3A">
      <w:r w:rsidRPr="00D613FD">
        <w:rPr>
          <w:b/>
          <w:bCs/>
        </w:rPr>
        <w:t>Transportation Specialist</w:t>
      </w:r>
      <w:r w:rsidRPr="00D613FD">
        <w:rPr>
          <w:b/>
          <w:bCs/>
        </w:rPr>
        <w:t xml:space="preserve"> </w:t>
      </w:r>
      <w:r w:rsidRPr="00D613FD">
        <w:t>(GS 1</w:t>
      </w:r>
      <w:r w:rsidRPr="00D613FD">
        <w:t>2</w:t>
      </w:r>
      <w:r w:rsidRPr="00D613FD">
        <w:t xml:space="preserve">/5) – </w:t>
      </w:r>
      <w:r w:rsidRPr="00D613FD" w:rsidR="000C6154">
        <w:t>64 hours</w:t>
      </w:r>
      <w:r w:rsidRPr="00D613FD">
        <w:t xml:space="preserve"> </w:t>
      </w:r>
    </w:p>
    <w:p w:rsidR="003E2644" w:rsidRPr="00D613FD" w:rsidP="003E2644" w14:paraId="16845AC6" w14:textId="2BAEDFB0">
      <w:r w:rsidRPr="00D613FD">
        <w:t>$</w:t>
      </w:r>
      <w:r w:rsidRPr="00D613FD" w:rsidR="00B9529B">
        <w:t>114,</w:t>
      </w:r>
      <w:r w:rsidRPr="00D613FD" w:rsidR="00E35A18">
        <w:t>923</w:t>
      </w:r>
      <w:r w:rsidRPr="00D613FD">
        <w:t xml:space="preserve">/2087 </w:t>
      </w:r>
      <w:r w:rsidRPr="00D613FD" w:rsidR="004A29C9">
        <w:t>= $</w:t>
      </w:r>
      <w:r w:rsidRPr="00D613FD" w:rsidR="00BA07EA">
        <w:t>55.07</w:t>
      </w:r>
      <w:r w:rsidRPr="00D613FD" w:rsidR="004A29C9">
        <w:t xml:space="preserve"> </w:t>
      </w:r>
      <w:r w:rsidRPr="00D613FD" w:rsidR="00D613FD">
        <w:t xml:space="preserve">basic hourly rate) </w:t>
      </w:r>
      <w:r w:rsidRPr="00D613FD">
        <w:t xml:space="preserve">+ </w:t>
      </w:r>
      <w:r w:rsidRPr="00D613FD" w:rsidR="004A29C9">
        <w:t>$</w:t>
      </w:r>
      <w:r w:rsidRPr="00D613FD" w:rsidR="00BA07EA">
        <w:t>56.68</w:t>
      </w:r>
      <w:r w:rsidRPr="00D613FD" w:rsidR="004A29C9">
        <w:t xml:space="preserve"> (overhead) </w:t>
      </w:r>
      <w:r w:rsidRPr="00D613FD">
        <w:t>= $</w:t>
      </w:r>
      <w:r w:rsidRPr="00D613FD" w:rsidR="00002DD4">
        <w:t>111.75</w:t>
      </w:r>
      <w:r w:rsidRPr="00D613FD">
        <w:t xml:space="preserve"> adjusted hourly salary </w:t>
      </w:r>
    </w:p>
    <w:p w:rsidR="003E2644" w:rsidRPr="00D613FD" w:rsidP="50A307E2" w14:paraId="27222D06" w14:textId="77777777"/>
    <w:p w:rsidR="00A6011D" w:rsidRPr="00D613FD" w:rsidP="50A307E2" w14:paraId="550681D9" w14:textId="77777777"/>
    <w:p w:rsidR="003E2644" w:rsidRPr="00D613FD" w:rsidP="50A307E2" w14:paraId="7EF1A7E6" w14:textId="77777777"/>
    <w:tbl>
      <w:tblPr>
        <w:tblW w:w="9468" w:type="dxa"/>
        <w:tblInd w:w="-168" w:type="dxa"/>
        <w:tblBorders>
          <w:top w:val="none" w:sz="6" w:space="0" w:color="auto"/>
          <w:left w:val="none" w:sz="6" w:space="0" w:color="auto"/>
          <w:bottom w:val="none" w:sz="6" w:space="0" w:color="auto"/>
          <w:right w:val="none" w:sz="6" w:space="0" w:color="auto"/>
        </w:tblBorders>
        <w:tblLayout w:type="fixed"/>
        <w:tblLook w:val="0000"/>
      </w:tblPr>
      <w:tblGrid>
        <w:gridCol w:w="2367"/>
        <w:gridCol w:w="2331"/>
        <w:gridCol w:w="2340"/>
        <w:gridCol w:w="2430"/>
      </w:tblGrid>
      <w:tr w14:paraId="57084A54" w14:textId="77777777" w:rsidTr="50A307E2">
        <w:tblPrEx>
          <w:tblW w:w="9468" w:type="dxa"/>
          <w:tblInd w:w="-168" w:type="dxa"/>
          <w:tblBorders>
            <w:top w:val="none" w:sz="6" w:space="0" w:color="auto"/>
            <w:left w:val="none" w:sz="6" w:space="0" w:color="auto"/>
            <w:bottom w:val="none" w:sz="6" w:space="0" w:color="auto"/>
            <w:right w:val="none" w:sz="6" w:space="0" w:color="auto"/>
          </w:tblBorders>
          <w:tblLayout w:type="fixed"/>
          <w:tblLook w:val="0000"/>
        </w:tblPrEx>
        <w:trPr>
          <w:trHeight w:val="166"/>
        </w:trPr>
        <w:tc>
          <w:tcPr>
            <w:tcW w:w="2367" w:type="dxa"/>
            <w:tcBorders>
              <w:top w:val="none" w:sz="6" w:space="0" w:color="auto"/>
              <w:bottom w:val="none" w:sz="6" w:space="0" w:color="auto"/>
              <w:right w:val="none" w:sz="6" w:space="0" w:color="auto"/>
            </w:tcBorders>
          </w:tcPr>
          <w:p w:rsidR="003E2644" w:rsidRPr="00D613FD" w:rsidP="50A307E2" w14:paraId="2729EE3F" w14:textId="383A750F">
            <w:pPr>
              <w:rPr>
                <w:b/>
                <w:bCs/>
              </w:rPr>
            </w:pPr>
            <w:r w:rsidRPr="00D613FD">
              <w:rPr>
                <w:b/>
                <w:bCs/>
              </w:rPr>
              <w:t xml:space="preserve">Employee </w:t>
            </w:r>
          </w:p>
        </w:tc>
        <w:tc>
          <w:tcPr>
            <w:tcW w:w="2331" w:type="dxa"/>
            <w:tcBorders>
              <w:top w:val="none" w:sz="6" w:space="0" w:color="auto"/>
              <w:left w:val="none" w:sz="6" w:space="0" w:color="auto"/>
              <w:bottom w:val="none" w:sz="6" w:space="0" w:color="auto"/>
              <w:right w:val="none" w:sz="6" w:space="0" w:color="auto"/>
            </w:tcBorders>
          </w:tcPr>
          <w:p w:rsidR="003E2644" w:rsidRPr="00D613FD" w:rsidP="50A307E2" w14:paraId="0EA5B318" w14:textId="77777777">
            <w:pPr>
              <w:rPr>
                <w:b/>
                <w:bCs/>
              </w:rPr>
            </w:pPr>
            <w:r w:rsidRPr="00D613FD">
              <w:rPr>
                <w:b/>
                <w:bCs/>
              </w:rPr>
              <w:t xml:space="preserve">Hourly Salary </w:t>
            </w:r>
          </w:p>
        </w:tc>
        <w:tc>
          <w:tcPr>
            <w:tcW w:w="2340" w:type="dxa"/>
            <w:tcBorders>
              <w:top w:val="none" w:sz="6" w:space="0" w:color="auto"/>
              <w:left w:val="none" w:sz="6" w:space="0" w:color="auto"/>
              <w:bottom w:val="none" w:sz="6" w:space="0" w:color="auto"/>
              <w:right w:val="none" w:sz="6" w:space="0" w:color="auto"/>
            </w:tcBorders>
          </w:tcPr>
          <w:p w:rsidR="003E2644" w:rsidRPr="00D613FD" w:rsidP="50A307E2" w14:paraId="05D448C9" w14:textId="77777777">
            <w:r w:rsidRPr="00D613FD">
              <w:rPr>
                <w:b/>
                <w:bCs/>
              </w:rPr>
              <w:t xml:space="preserve">Number of Hours </w:t>
            </w:r>
          </w:p>
        </w:tc>
        <w:tc>
          <w:tcPr>
            <w:tcW w:w="2430" w:type="dxa"/>
            <w:tcBorders>
              <w:top w:val="none" w:sz="6" w:space="0" w:color="auto"/>
              <w:left w:val="none" w:sz="6" w:space="0" w:color="auto"/>
              <w:bottom w:val="none" w:sz="6" w:space="0" w:color="auto"/>
            </w:tcBorders>
          </w:tcPr>
          <w:p w:rsidR="003E2644" w:rsidRPr="00D613FD" w:rsidP="50A307E2" w14:paraId="3BF8E8D0" w14:textId="0A853BE1">
            <w:r>
              <w:rPr>
                <w:b/>
                <w:bCs/>
              </w:rPr>
              <w:t xml:space="preserve">      </w:t>
            </w:r>
            <w:r w:rsidR="005E57A8">
              <w:rPr>
                <w:b/>
                <w:bCs/>
              </w:rPr>
              <w:t xml:space="preserve"> </w:t>
            </w:r>
            <w:r w:rsidRPr="00D613FD">
              <w:rPr>
                <w:b/>
                <w:bCs/>
              </w:rPr>
              <w:t xml:space="preserve">Total </w:t>
            </w:r>
          </w:p>
        </w:tc>
      </w:tr>
      <w:tr w14:paraId="33848A32" w14:textId="77777777" w:rsidTr="50A307E2">
        <w:tblPrEx>
          <w:tblW w:w="9468" w:type="dxa"/>
          <w:tblInd w:w="-168" w:type="dxa"/>
          <w:tblLayout w:type="fixed"/>
          <w:tblLook w:val="0000"/>
        </w:tblPrEx>
        <w:trPr>
          <w:trHeight w:val="161"/>
        </w:trPr>
        <w:tc>
          <w:tcPr>
            <w:tcW w:w="2367" w:type="dxa"/>
            <w:tcBorders>
              <w:top w:val="none" w:sz="6" w:space="0" w:color="auto"/>
              <w:bottom w:val="none" w:sz="6" w:space="0" w:color="auto"/>
              <w:right w:val="none" w:sz="6" w:space="0" w:color="auto"/>
            </w:tcBorders>
          </w:tcPr>
          <w:p w:rsidR="003E2644" w:rsidRPr="005E57A8" w:rsidP="003E2644" w14:paraId="74185F64" w14:textId="066DDB17">
            <w:r w:rsidRPr="009D7120">
              <w:t>Supervisory Program Analyst</w:t>
            </w:r>
          </w:p>
        </w:tc>
        <w:tc>
          <w:tcPr>
            <w:tcW w:w="2331" w:type="dxa"/>
            <w:tcBorders>
              <w:top w:val="none" w:sz="6" w:space="0" w:color="auto"/>
              <w:left w:val="none" w:sz="6" w:space="0" w:color="auto"/>
              <w:bottom w:val="none" w:sz="6" w:space="0" w:color="auto"/>
              <w:right w:val="none" w:sz="6" w:space="0" w:color="auto"/>
            </w:tcBorders>
          </w:tcPr>
          <w:p w:rsidR="003E2644" w:rsidRPr="00D613FD" w:rsidP="003E2644" w14:paraId="6610683A" w14:textId="3F5274F3">
            <w:r>
              <w:t xml:space="preserve">           </w:t>
            </w:r>
            <w:r w:rsidRPr="00D613FD">
              <w:t>$</w:t>
            </w:r>
            <w:r w:rsidRPr="00D613FD" w:rsidR="009B553E">
              <w:t>184.70</w:t>
            </w:r>
            <w:r w:rsidRPr="00D613FD">
              <w:t xml:space="preserve"> </w:t>
            </w:r>
          </w:p>
        </w:tc>
        <w:tc>
          <w:tcPr>
            <w:tcW w:w="2340" w:type="dxa"/>
            <w:tcBorders>
              <w:top w:val="none" w:sz="6" w:space="0" w:color="auto"/>
              <w:left w:val="none" w:sz="6" w:space="0" w:color="auto"/>
              <w:bottom w:val="none" w:sz="6" w:space="0" w:color="auto"/>
              <w:right w:val="none" w:sz="6" w:space="0" w:color="auto"/>
            </w:tcBorders>
          </w:tcPr>
          <w:p w:rsidR="003E2644" w:rsidRPr="00D613FD" w:rsidP="50A307E2" w14:paraId="1E7B5E4D" w14:textId="3D1A8252">
            <w:r>
              <w:t xml:space="preserve">                          </w:t>
            </w:r>
            <w:r w:rsidRPr="00D613FD" w:rsidR="009D5398">
              <w:t>32</w:t>
            </w:r>
          </w:p>
        </w:tc>
        <w:tc>
          <w:tcPr>
            <w:tcW w:w="2430" w:type="dxa"/>
            <w:tcBorders>
              <w:top w:val="none" w:sz="6" w:space="0" w:color="auto"/>
              <w:left w:val="none" w:sz="6" w:space="0" w:color="auto"/>
              <w:bottom w:val="none" w:sz="6" w:space="0" w:color="auto"/>
            </w:tcBorders>
          </w:tcPr>
          <w:p w:rsidR="003E2644" w:rsidRPr="00D613FD" w:rsidP="50A307E2" w14:paraId="7DDD72A8" w14:textId="704C9409">
            <w:r w:rsidRPr="00D613FD">
              <w:t>$</w:t>
            </w:r>
            <w:r w:rsidRPr="00D613FD" w:rsidR="0025457F">
              <w:t>5,910.40</w:t>
            </w:r>
          </w:p>
        </w:tc>
      </w:tr>
      <w:tr w14:paraId="46136533" w14:textId="77777777" w:rsidTr="50A307E2">
        <w:tblPrEx>
          <w:tblW w:w="9468" w:type="dxa"/>
          <w:tblInd w:w="-168" w:type="dxa"/>
          <w:tblLayout w:type="fixed"/>
          <w:tblLook w:val="0000"/>
        </w:tblPrEx>
        <w:trPr>
          <w:trHeight w:val="161"/>
        </w:trPr>
        <w:tc>
          <w:tcPr>
            <w:tcW w:w="2367" w:type="dxa"/>
            <w:tcBorders>
              <w:top w:val="none" w:sz="6" w:space="0" w:color="auto"/>
              <w:bottom w:val="none" w:sz="6" w:space="0" w:color="auto"/>
              <w:right w:val="none" w:sz="6" w:space="0" w:color="auto"/>
            </w:tcBorders>
          </w:tcPr>
          <w:p w:rsidR="00E35A18" w:rsidRPr="00D613FD" w:rsidP="003E2644" w14:paraId="492D3444" w14:textId="77777777">
            <w:r w:rsidRPr="00D613FD">
              <w:t xml:space="preserve">Transportation   </w:t>
            </w:r>
          </w:p>
          <w:p w:rsidR="003E2644" w:rsidRPr="00D613FD" w:rsidP="003E2644" w14:paraId="7EB6810B" w14:textId="12CAEDCB">
            <w:r w:rsidRPr="00D613FD">
              <w:t xml:space="preserve">    Specialist </w:t>
            </w:r>
            <w:r w:rsidRPr="00D613FD">
              <w:t xml:space="preserve"> </w:t>
            </w:r>
          </w:p>
        </w:tc>
        <w:tc>
          <w:tcPr>
            <w:tcW w:w="2331" w:type="dxa"/>
            <w:tcBorders>
              <w:top w:val="none" w:sz="6" w:space="0" w:color="auto"/>
              <w:left w:val="none" w:sz="6" w:space="0" w:color="auto"/>
              <w:bottom w:val="none" w:sz="6" w:space="0" w:color="auto"/>
              <w:right w:val="none" w:sz="6" w:space="0" w:color="auto"/>
            </w:tcBorders>
          </w:tcPr>
          <w:p w:rsidR="003E2644" w:rsidRPr="00D613FD" w:rsidP="003E2644" w14:paraId="3A817DE1" w14:textId="34D1BD7C">
            <w:r>
              <w:t xml:space="preserve">           </w:t>
            </w:r>
            <w:r w:rsidRPr="00D613FD">
              <w:t>$</w:t>
            </w:r>
            <w:r w:rsidRPr="00D613FD" w:rsidR="00002DD4">
              <w:t>111.75</w:t>
            </w:r>
            <w:r w:rsidRPr="00D613FD">
              <w:t xml:space="preserve"> </w:t>
            </w:r>
          </w:p>
        </w:tc>
        <w:tc>
          <w:tcPr>
            <w:tcW w:w="2340" w:type="dxa"/>
            <w:tcBorders>
              <w:top w:val="none" w:sz="6" w:space="0" w:color="auto"/>
              <w:left w:val="none" w:sz="6" w:space="0" w:color="auto"/>
              <w:bottom w:val="none" w:sz="6" w:space="0" w:color="auto"/>
              <w:right w:val="none" w:sz="6" w:space="0" w:color="auto"/>
            </w:tcBorders>
          </w:tcPr>
          <w:p w:rsidR="003E2644" w:rsidRPr="00D613FD" w:rsidP="50A307E2" w14:paraId="14C6F662" w14:textId="7D1587A4">
            <w:r>
              <w:t xml:space="preserve">                          </w:t>
            </w:r>
            <w:r w:rsidRPr="00D613FD" w:rsidR="009D5398">
              <w:t>64</w:t>
            </w:r>
            <w:r w:rsidRPr="00D613FD">
              <w:t xml:space="preserve"> </w:t>
            </w:r>
          </w:p>
        </w:tc>
        <w:tc>
          <w:tcPr>
            <w:tcW w:w="2430" w:type="dxa"/>
            <w:tcBorders>
              <w:top w:val="none" w:sz="6" w:space="0" w:color="auto"/>
              <w:left w:val="none" w:sz="6" w:space="0" w:color="auto"/>
              <w:bottom w:val="none" w:sz="6" w:space="0" w:color="auto"/>
            </w:tcBorders>
          </w:tcPr>
          <w:p w:rsidR="003E2644" w:rsidRPr="00D613FD" w:rsidP="50A307E2" w14:paraId="2FE6D8AE" w14:textId="135F197D">
            <w:r w:rsidRPr="00D613FD">
              <w:t>$</w:t>
            </w:r>
            <w:r w:rsidRPr="00D613FD" w:rsidR="25D296C3">
              <w:t>7,152.00</w:t>
            </w:r>
          </w:p>
        </w:tc>
      </w:tr>
      <w:tr w14:paraId="1451D372" w14:textId="77777777" w:rsidTr="50A307E2">
        <w:tblPrEx>
          <w:tblW w:w="9468" w:type="dxa"/>
          <w:tblInd w:w="-168" w:type="dxa"/>
          <w:tblLayout w:type="fixed"/>
          <w:tblLook w:val="0000"/>
        </w:tblPrEx>
        <w:trPr>
          <w:trHeight w:val="135"/>
        </w:trPr>
        <w:tc>
          <w:tcPr>
            <w:tcW w:w="4698" w:type="dxa"/>
            <w:gridSpan w:val="2"/>
            <w:tcBorders>
              <w:top w:val="none" w:sz="6" w:space="0" w:color="auto"/>
              <w:bottom w:val="none" w:sz="6" w:space="0" w:color="auto"/>
              <w:right w:val="none" w:sz="6" w:space="0" w:color="auto"/>
            </w:tcBorders>
          </w:tcPr>
          <w:p w:rsidR="006D36B9" w:rsidP="50A307E2" w14:paraId="5A19D0AB" w14:textId="77777777">
            <w:pPr>
              <w:rPr>
                <w:b/>
                <w:bCs/>
              </w:rPr>
            </w:pPr>
          </w:p>
          <w:p w:rsidR="00B022B7" w:rsidRPr="00D613FD" w:rsidP="50A307E2" w14:paraId="31A79F63" w14:textId="42D4003C">
            <w:pPr>
              <w:rPr>
                <w:b/>
                <w:bCs/>
              </w:rPr>
            </w:pPr>
            <w:r w:rsidRPr="00D613FD">
              <w:rPr>
                <w:b/>
                <w:bCs/>
              </w:rPr>
              <w:t xml:space="preserve">TOTALS </w:t>
            </w:r>
          </w:p>
        </w:tc>
        <w:tc>
          <w:tcPr>
            <w:tcW w:w="2340" w:type="dxa"/>
            <w:tcBorders>
              <w:top w:val="none" w:sz="6" w:space="0" w:color="auto"/>
              <w:left w:val="none" w:sz="6" w:space="0" w:color="auto"/>
              <w:bottom w:val="none" w:sz="6" w:space="0" w:color="auto"/>
              <w:right w:val="none" w:sz="6" w:space="0" w:color="auto"/>
            </w:tcBorders>
          </w:tcPr>
          <w:p w:rsidR="006D36B9" w:rsidP="50A307E2" w14:paraId="6DBF9CB6" w14:textId="77777777">
            <w:pPr>
              <w:rPr>
                <w:b/>
                <w:bCs/>
              </w:rPr>
            </w:pPr>
          </w:p>
          <w:p w:rsidR="00B022B7" w:rsidRPr="00D613FD" w:rsidP="50A307E2" w14:paraId="069A6B64" w14:textId="24A758AF">
            <w:r>
              <w:rPr>
                <w:b/>
                <w:bCs/>
              </w:rPr>
              <w:t xml:space="preserve">                          </w:t>
            </w:r>
            <w:r w:rsidRPr="00D613FD" w:rsidR="009D5398">
              <w:rPr>
                <w:b/>
                <w:bCs/>
              </w:rPr>
              <w:t>96</w:t>
            </w:r>
            <w:r w:rsidRPr="00D613FD">
              <w:rPr>
                <w:b/>
                <w:bCs/>
              </w:rPr>
              <w:t xml:space="preserve"> </w:t>
            </w:r>
          </w:p>
        </w:tc>
        <w:tc>
          <w:tcPr>
            <w:tcW w:w="2430" w:type="dxa"/>
            <w:tcBorders>
              <w:top w:val="none" w:sz="6" w:space="0" w:color="auto"/>
              <w:left w:val="none" w:sz="6" w:space="0" w:color="auto"/>
              <w:bottom w:val="none" w:sz="6" w:space="0" w:color="auto"/>
            </w:tcBorders>
          </w:tcPr>
          <w:p w:rsidR="006D36B9" w:rsidP="50A307E2" w14:paraId="0AC395D4" w14:textId="77777777">
            <w:pPr>
              <w:rPr>
                <w:b/>
                <w:bCs/>
              </w:rPr>
            </w:pPr>
          </w:p>
          <w:p w:rsidR="00B022B7" w:rsidRPr="00CB615F" w:rsidP="50A307E2" w14:paraId="6D16874F" w14:textId="1EDFCCE1">
            <w:pPr>
              <w:rPr>
                <w:b/>
                <w:bCs/>
              </w:rPr>
            </w:pPr>
            <w:r w:rsidRPr="00D613FD">
              <w:rPr>
                <w:b/>
                <w:bCs/>
              </w:rPr>
              <w:t>$</w:t>
            </w:r>
            <w:r w:rsidRPr="00D613FD" w:rsidR="457D96B2">
              <w:rPr>
                <w:b/>
                <w:bCs/>
              </w:rPr>
              <w:t>13,</w:t>
            </w:r>
            <w:r w:rsidRPr="00D613FD" w:rsidR="00D613FD">
              <w:rPr>
                <w:b/>
                <w:bCs/>
              </w:rPr>
              <w:t>062.40</w:t>
            </w:r>
          </w:p>
        </w:tc>
      </w:tr>
    </w:tbl>
    <w:p w:rsidR="003E2644" w:rsidRPr="00CB615F" w:rsidP="50A307E2" w14:paraId="1BB8170B" w14:textId="77777777"/>
    <w:p w:rsidR="003E2644" w:rsidRPr="00CB615F" w:rsidP="50A307E2" w14:paraId="25C44BDF" w14:textId="77777777"/>
    <w:p w:rsidR="003E2644" w:rsidP="003E2644" w14:paraId="5C1167BA" w14:textId="38D982C9"/>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27671" w:rsidP="00B7126D" w14:paraId="1E51A8C7" w14:textId="77777777">
      <w:r>
        <w:separator/>
      </w:r>
    </w:p>
  </w:footnote>
  <w:footnote w:type="continuationSeparator" w:id="1">
    <w:p w:rsidR="00C27671" w:rsidP="00B7126D" w14:paraId="3BAA2BC5" w14:textId="77777777">
      <w:r>
        <w:continuationSeparator/>
      </w:r>
    </w:p>
  </w:footnote>
  <w:footnote w:type="continuationNotice" w:id="2">
    <w:p w:rsidR="00C27671" w14:paraId="513541A1" w14:textId="77777777"/>
  </w:footnote>
  <w:footnote w:id="3">
    <w:p w:rsidR="0025524F" w14:paraId="216B1E92" w14:textId="18342130">
      <w:pPr>
        <w:pStyle w:val="FootnoteText"/>
      </w:pPr>
      <w:r>
        <w:rPr>
          <w:rStyle w:val="FootnoteReference"/>
        </w:rPr>
        <w:footnoteRef/>
      </w:r>
      <w:r>
        <w:t xml:space="preserve"> </w:t>
      </w:r>
      <w:r w:rsidRPr="00E621D9" w:rsidR="00E621D9">
        <w:t xml:space="preserve">The number of NVOCCs is approximately </w:t>
      </w:r>
      <w:r w:rsidR="00E621D9">
        <w:t>8,700</w:t>
      </w:r>
      <w:r w:rsidR="008A3B36">
        <w:t>;</w:t>
      </w:r>
      <w:r w:rsidRPr="00E621D9" w:rsidR="00E621D9">
        <w:t xml:space="preserve"> </w:t>
      </w:r>
      <w:r w:rsidRPr="00E621D9" w:rsidR="00E621D9">
        <w:t>however</w:t>
      </w:r>
      <w:r w:rsidRPr="00E621D9" w:rsidR="00E621D9">
        <w:t xml:space="preserve"> only 325 NVOCCs on average filed an NSA exemption annually during the past three years.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E6A4C"/>
    <w:multiLevelType w:val="hybridMultilevel"/>
    <w:tmpl w:val="5912651A"/>
    <w:lvl w:ilvl="0">
      <w:start w:val="1"/>
      <w:numFmt w:val="bullet"/>
      <w:lvlText w:val=""/>
      <w:lvlJc w:val="left"/>
      <w:pPr>
        <w:ind w:left="1505" w:hanging="360"/>
      </w:pPr>
      <w:rPr>
        <w:rFonts w:ascii="Symbol" w:hAnsi="Symbol" w:hint="default"/>
      </w:rPr>
    </w:lvl>
    <w:lvl w:ilvl="1" w:tentative="1">
      <w:start w:val="1"/>
      <w:numFmt w:val="bullet"/>
      <w:lvlText w:val="o"/>
      <w:lvlJc w:val="left"/>
      <w:pPr>
        <w:ind w:left="2225" w:hanging="360"/>
      </w:pPr>
      <w:rPr>
        <w:rFonts w:ascii="Courier New" w:hAnsi="Courier New" w:cs="Courier New" w:hint="default"/>
      </w:rPr>
    </w:lvl>
    <w:lvl w:ilvl="2" w:tentative="1">
      <w:start w:val="1"/>
      <w:numFmt w:val="bullet"/>
      <w:lvlText w:val=""/>
      <w:lvlJc w:val="left"/>
      <w:pPr>
        <w:ind w:left="2945" w:hanging="360"/>
      </w:pPr>
      <w:rPr>
        <w:rFonts w:ascii="Wingdings" w:hAnsi="Wingdings" w:hint="default"/>
      </w:rPr>
    </w:lvl>
    <w:lvl w:ilvl="3" w:tentative="1">
      <w:start w:val="1"/>
      <w:numFmt w:val="bullet"/>
      <w:lvlText w:val=""/>
      <w:lvlJc w:val="left"/>
      <w:pPr>
        <w:ind w:left="3665" w:hanging="360"/>
      </w:pPr>
      <w:rPr>
        <w:rFonts w:ascii="Symbol" w:hAnsi="Symbol" w:hint="default"/>
      </w:rPr>
    </w:lvl>
    <w:lvl w:ilvl="4" w:tentative="1">
      <w:start w:val="1"/>
      <w:numFmt w:val="bullet"/>
      <w:lvlText w:val="o"/>
      <w:lvlJc w:val="left"/>
      <w:pPr>
        <w:ind w:left="4385" w:hanging="360"/>
      </w:pPr>
      <w:rPr>
        <w:rFonts w:ascii="Courier New" w:hAnsi="Courier New" w:cs="Courier New" w:hint="default"/>
      </w:rPr>
    </w:lvl>
    <w:lvl w:ilvl="5" w:tentative="1">
      <w:start w:val="1"/>
      <w:numFmt w:val="bullet"/>
      <w:lvlText w:val=""/>
      <w:lvlJc w:val="left"/>
      <w:pPr>
        <w:ind w:left="5105" w:hanging="360"/>
      </w:pPr>
      <w:rPr>
        <w:rFonts w:ascii="Wingdings" w:hAnsi="Wingdings" w:hint="default"/>
      </w:rPr>
    </w:lvl>
    <w:lvl w:ilvl="6" w:tentative="1">
      <w:start w:val="1"/>
      <w:numFmt w:val="bullet"/>
      <w:lvlText w:val=""/>
      <w:lvlJc w:val="left"/>
      <w:pPr>
        <w:ind w:left="5825" w:hanging="360"/>
      </w:pPr>
      <w:rPr>
        <w:rFonts w:ascii="Symbol" w:hAnsi="Symbol" w:hint="default"/>
      </w:rPr>
    </w:lvl>
    <w:lvl w:ilvl="7" w:tentative="1">
      <w:start w:val="1"/>
      <w:numFmt w:val="bullet"/>
      <w:lvlText w:val="o"/>
      <w:lvlJc w:val="left"/>
      <w:pPr>
        <w:ind w:left="6545" w:hanging="360"/>
      </w:pPr>
      <w:rPr>
        <w:rFonts w:ascii="Courier New" w:hAnsi="Courier New" w:cs="Courier New" w:hint="default"/>
      </w:rPr>
    </w:lvl>
    <w:lvl w:ilvl="8" w:tentative="1">
      <w:start w:val="1"/>
      <w:numFmt w:val="bullet"/>
      <w:lvlText w:val=""/>
      <w:lvlJc w:val="left"/>
      <w:pPr>
        <w:ind w:left="7265" w:hanging="360"/>
      </w:pPr>
      <w:rPr>
        <w:rFonts w:ascii="Wingdings" w:hAnsi="Wingdings" w:hint="default"/>
      </w:rPr>
    </w:lvl>
  </w:abstractNum>
  <w:abstractNum w:abstractNumId="1">
    <w:nsid w:val="50800E8C"/>
    <w:multiLevelType w:val="hybridMultilevel"/>
    <w:tmpl w:val="9B12928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530526F6"/>
    <w:multiLevelType w:val="hybridMultilevel"/>
    <w:tmpl w:val="D5DA9BF4"/>
    <w:lvl w:ilvl="0">
      <w:start w:val="1"/>
      <w:numFmt w:val="bullet"/>
      <w:lvlText w:val=""/>
      <w:lvlJc w:val="left"/>
      <w:pPr>
        <w:ind w:left="1503" w:hanging="360"/>
      </w:pPr>
      <w:rPr>
        <w:rFonts w:ascii="Symbol" w:hAnsi="Symbol" w:hint="default"/>
      </w:rPr>
    </w:lvl>
    <w:lvl w:ilvl="1" w:tentative="1">
      <w:start w:val="1"/>
      <w:numFmt w:val="bullet"/>
      <w:lvlText w:val="o"/>
      <w:lvlJc w:val="left"/>
      <w:pPr>
        <w:ind w:left="2223" w:hanging="360"/>
      </w:pPr>
      <w:rPr>
        <w:rFonts w:ascii="Courier New" w:hAnsi="Courier New" w:cs="Courier New" w:hint="default"/>
      </w:rPr>
    </w:lvl>
    <w:lvl w:ilvl="2" w:tentative="1">
      <w:start w:val="1"/>
      <w:numFmt w:val="bullet"/>
      <w:lvlText w:val=""/>
      <w:lvlJc w:val="left"/>
      <w:pPr>
        <w:ind w:left="2943" w:hanging="360"/>
      </w:pPr>
      <w:rPr>
        <w:rFonts w:ascii="Wingdings" w:hAnsi="Wingdings" w:hint="default"/>
      </w:rPr>
    </w:lvl>
    <w:lvl w:ilvl="3" w:tentative="1">
      <w:start w:val="1"/>
      <w:numFmt w:val="bullet"/>
      <w:lvlText w:val=""/>
      <w:lvlJc w:val="left"/>
      <w:pPr>
        <w:ind w:left="3663" w:hanging="360"/>
      </w:pPr>
      <w:rPr>
        <w:rFonts w:ascii="Symbol" w:hAnsi="Symbol" w:hint="default"/>
      </w:rPr>
    </w:lvl>
    <w:lvl w:ilvl="4" w:tentative="1">
      <w:start w:val="1"/>
      <w:numFmt w:val="bullet"/>
      <w:lvlText w:val="o"/>
      <w:lvlJc w:val="left"/>
      <w:pPr>
        <w:ind w:left="4383" w:hanging="360"/>
      </w:pPr>
      <w:rPr>
        <w:rFonts w:ascii="Courier New" w:hAnsi="Courier New" w:cs="Courier New" w:hint="default"/>
      </w:rPr>
    </w:lvl>
    <w:lvl w:ilvl="5" w:tentative="1">
      <w:start w:val="1"/>
      <w:numFmt w:val="bullet"/>
      <w:lvlText w:val=""/>
      <w:lvlJc w:val="left"/>
      <w:pPr>
        <w:ind w:left="5103" w:hanging="360"/>
      </w:pPr>
      <w:rPr>
        <w:rFonts w:ascii="Wingdings" w:hAnsi="Wingdings" w:hint="default"/>
      </w:rPr>
    </w:lvl>
    <w:lvl w:ilvl="6" w:tentative="1">
      <w:start w:val="1"/>
      <w:numFmt w:val="bullet"/>
      <w:lvlText w:val=""/>
      <w:lvlJc w:val="left"/>
      <w:pPr>
        <w:ind w:left="5823" w:hanging="360"/>
      </w:pPr>
      <w:rPr>
        <w:rFonts w:ascii="Symbol" w:hAnsi="Symbol" w:hint="default"/>
      </w:rPr>
    </w:lvl>
    <w:lvl w:ilvl="7" w:tentative="1">
      <w:start w:val="1"/>
      <w:numFmt w:val="bullet"/>
      <w:lvlText w:val="o"/>
      <w:lvlJc w:val="left"/>
      <w:pPr>
        <w:ind w:left="6543" w:hanging="360"/>
      </w:pPr>
      <w:rPr>
        <w:rFonts w:ascii="Courier New" w:hAnsi="Courier New" w:cs="Courier New" w:hint="default"/>
      </w:rPr>
    </w:lvl>
    <w:lvl w:ilvl="8" w:tentative="1">
      <w:start w:val="1"/>
      <w:numFmt w:val="bullet"/>
      <w:lvlText w:val=""/>
      <w:lvlJc w:val="left"/>
      <w:pPr>
        <w:ind w:left="7263" w:hanging="360"/>
      </w:pPr>
      <w:rPr>
        <w:rFonts w:ascii="Wingdings" w:hAnsi="Wingdings" w:hint="default"/>
      </w:rPr>
    </w:lvl>
  </w:abstractNum>
  <w:abstractNum w:abstractNumId="3">
    <w:nsid w:val="596C4B89"/>
    <w:multiLevelType w:val="hybridMultilevel"/>
    <w:tmpl w:val="04F4519A"/>
    <w:lvl w:ilvl="0">
      <w:start w:val="1"/>
      <w:numFmt w:val="lowerLetter"/>
      <w:lvlText w:val="%1."/>
      <w:lvlJc w:val="left"/>
      <w:pPr>
        <w:ind w:left="1080" w:hanging="360"/>
      </w:pPr>
      <w:rPr>
        <w:rFonts w:hint="default"/>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76263115">
    <w:abstractNumId w:val="3"/>
  </w:num>
  <w:num w:numId="2" w16cid:durableId="2006667110">
    <w:abstractNumId w:val="1"/>
  </w:num>
  <w:num w:numId="3" w16cid:durableId="1294680765">
    <w:abstractNumId w:val="0"/>
  </w:num>
  <w:num w:numId="4" w16cid:durableId="114326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6D"/>
    <w:rsid w:val="00001592"/>
    <w:rsid w:val="00002DD4"/>
    <w:rsid w:val="00003223"/>
    <w:rsid w:val="0000449D"/>
    <w:rsid w:val="00004B66"/>
    <w:rsid w:val="00005C2C"/>
    <w:rsid w:val="0001433C"/>
    <w:rsid w:val="00015B4B"/>
    <w:rsid w:val="00017EB0"/>
    <w:rsid w:val="00022FBD"/>
    <w:rsid w:val="000339F8"/>
    <w:rsid w:val="00037EC3"/>
    <w:rsid w:val="00046549"/>
    <w:rsid w:val="00053401"/>
    <w:rsid w:val="00056632"/>
    <w:rsid w:val="000632E8"/>
    <w:rsid w:val="00065742"/>
    <w:rsid w:val="0007311C"/>
    <w:rsid w:val="0007317F"/>
    <w:rsid w:val="000771CC"/>
    <w:rsid w:val="00094467"/>
    <w:rsid w:val="000954E9"/>
    <w:rsid w:val="00095D40"/>
    <w:rsid w:val="000B016B"/>
    <w:rsid w:val="000B1551"/>
    <w:rsid w:val="000B371E"/>
    <w:rsid w:val="000C6154"/>
    <w:rsid w:val="000C7DB2"/>
    <w:rsid w:val="000D2E59"/>
    <w:rsid w:val="000D6349"/>
    <w:rsid w:val="000E0362"/>
    <w:rsid w:val="000E6038"/>
    <w:rsid w:val="000F231F"/>
    <w:rsid w:val="00104B92"/>
    <w:rsid w:val="00110672"/>
    <w:rsid w:val="00122416"/>
    <w:rsid w:val="001230A2"/>
    <w:rsid w:val="00124751"/>
    <w:rsid w:val="00125F5B"/>
    <w:rsid w:val="0013343B"/>
    <w:rsid w:val="00135CA7"/>
    <w:rsid w:val="0014276E"/>
    <w:rsid w:val="001546B4"/>
    <w:rsid w:val="0016319F"/>
    <w:rsid w:val="00164EE6"/>
    <w:rsid w:val="001658CD"/>
    <w:rsid w:val="001767FD"/>
    <w:rsid w:val="00193419"/>
    <w:rsid w:val="001C1D81"/>
    <w:rsid w:val="001D0D28"/>
    <w:rsid w:val="001D6CDE"/>
    <w:rsid w:val="001F4DA5"/>
    <w:rsid w:val="0020262D"/>
    <w:rsid w:val="00236FB4"/>
    <w:rsid w:val="00237D0C"/>
    <w:rsid w:val="0025174F"/>
    <w:rsid w:val="00252DE3"/>
    <w:rsid w:val="0025457F"/>
    <w:rsid w:val="00254C31"/>
    <w:rsid w:val="0025524F"/>
    <w:rsid w:val="00260F8B"/>
    <w:rsid w:val="00266595"/>
    <w:rsid w:val="0027667D"/>
    <w:rsid w:val="0027681A"/>
    <w:rsid w:val="00276CA8"/>
    <w:rsid w:val="002842C3"/>
    <w:rsid w:val="002854FD"/>
    <w:rsid w:val="00286966"/>
    <w:rsid w:val="002A193F"/>
    <w:rsid w:val="002A70C9"/>
    <w:rsid w:val="002B06F1"/>
    <w:rsid w:val="002B1AF2"/>
    <w:rsid w:val="002C3BB6"/>
    <w:rsid w:val="002D524F"/>
    <w:rsid w:val="002E68D6"/>
    <w:rsid w:val="002F25D8"/>
    <w:rsid w:val="00317F47"/>
    <w:rsid w:val="00320F85"/>
    <w:rsid w:val="00330856"/>
    <w:rsid w:val="00343544"/>
    <w:rsid w:val="00357AB6"/>
    <w:rsid w:val="00361A39"/>
    <w:rsid w:val="003662A9"/>
    <w:rsid w:val="0037391A"/>
    <w:rsid w:val="00374489"/>
    <w:rsid w:val="0038320C"/>
    <w:rsid w:val="003901E6"/>
    <w:rsid w:val="00390A87"/>
    <w:rsid w:val="00391406"/>
    <w:rsid w:val="003A18EA"/>
    <w:rsid w:val="003A5D71"/>
    <w:rsid w:val="003B258C"/>
    <w:rsid w:val="003C236C"/>
    <w:rsid w:val="003D55DA"/>
    <w:rsid w:val="003D5A73"/>
    <w:rsid w:val="003D7795"/>
    <w:rsid w:val="003D7F6F"/>
    <w:rsid w:val="003E2644"/>
    <w:rsid w:val="003F1938"/>
    <w:rsid w:val="003F5448"/>
    <w:rsid w:val="003F5697"/>
    <w:rsid w:val="003F7851"/>
    <w:rsid w:val="00414B2D"/>
    <w:rsid w:val="004168EF"/>
    <w:rsid w:val="004241ED"/>
    <w:rsid w:val="004417BE"/>
    <w:rsid w:val="00441954"/>
    <w:rsid w:val="00442BCA"/>
    <w:rsid w:val="004464CD"/>
    <w:rsid w:val="004506C7"/>
    <w:rsid w:val="00464BEC"/>
    <w:rsid w:val="0046603B"/>
    <w:rsid w:val="00471103"/>
    <w:rsid w:val="004713E5"/>
    <w:rsid w:val="00483E9A"/>
    <w:rsid w:val="00486A44"/>
    <w:rsid w:val="004A091B"/>
    <w:rsid w:val="004A29C9"/>
    <w:rsid w:val="004A4726"/>
    <w:rsid w:val="004C10E3"/>
    <w:rsid w:val="004C7EEC"/>
    <w:rsid w:val="004D53B5"/>
    <w:rsid w:val="004E6719"/>
    <w:rsid w:val="004E6A86"/>
    <w:rsid w:val="004F2C7C"/>
    <w:rsid w:val="00507F7F"/>
    <w:rsid w:val="00512F79"/>
    <w:rsid w:val="005179A8"/>
    <w:rsid w:val="00521626"/>
    <w:rsid w:val="0052197A"/>
    <w:rsid w:val="0053515C"/>
    <w:rsid w:val="005351C9"/>
    <w:rsid w:val="0054147D"/>
    <w:rsid w:val="00546567"/>
    <w:rsid w:val="005857B4"/>
    <w:rsid w:val="00591A57"/>
    <w:rsid w:val="00596464"/>
    <w:rsid w:val="005A7013"/>
    <w:rsid w:val="005B3822"/>
    <w:rsid w:val="005C31B0"/>
    <w:rsid w:val="005C6FFC"/>
    <w:rsid w:val="005E57A8"/>
    <w:rsid w:val="006015E8"/>
    <w:rsid w:val="00616B9A"/>
    <w:rsid w:val="00635A54"/>
    <w:rsid w:val="006450FC"/>
    <w:rsid w:val="006454B7"/>
    <w:rsid w:val="00667BBC"/>
    <w:rsid w:val="006A12B9"/>
    <w:rsid w:val="006C464B"/>
    <w:rsid w:val="006C6696"/>
    <w:rsid w:val="006D36B9"/>
    <w:rsid w:val="006D7076"/>
    <w:rsid w:val="006E1211"/>
    <w:rsid w:val="006F0C95"/>
    <w:rsid w:val="0070716E"/>
    <w:rsid w:val="00710707"/>
    <w:rsid w:val="0071190C"/>
    <w:rsid w:val="00713FC7"/>
    <w:rsid w:val="007329DB"/>
    <w:rsid w:val="007368CC"/>
    <w:rsid w:val="007507C2"/>
    <w:rsid w:val="00753C05"/>
    <w:rsid w:val="00761E93"/>
    <w:rsid w:val="007626EB"/>
    <w:rsid w:val="00765652"/>
    <w:rsid w:val="007732AE"/>
    <w:rsid w:val="007940C0"/>
    <w:rsid w:val="00794CA9"/>
    <w:rsid w:val="00794F47"/>
    <w:rsid w:val="007B2245"/>
    <w:rsid w:val="007E3AD4"/>
    <w:rsid w:val="007F6198"/>
    <w:rsid w:val="00800B37"/>
    <w:rsid w:val="0080248F"/>
    <w:rsid w:val="00802E99"/>
    <w:rsid w:val="00815D00"/>
    <w:rsid w:val="0082215C"/>
    <w:rsid w:val="00824FA6"/>
    <w:rsid w:val="00827010"/>
    <w:rsid w:val="00834C80"/>
    <w:rsid w:val="00837343"/>
    <w:rsid w:val="008421E8"/>
    <w:rsid w:val="00843AAA"/>
    <w:rsid w:val="00856539"/>
    <w:rsid w:val="00857375"/>
    <w:rsid w:val="008701D8"/>
    <w:rsid w:val="00883E6A"/>
    <w:rsid w:val="00890E6E"/>
    <w:rsid w:val="00896F7B"/>
    <w:rsid w:val="008A3B36"/>
    <w:rsid w:val="008D46C2"/>
    <w:rsid w:val="008E3751"/>
    <w:rsid w:val="008E3FB6"/>
    <w:rsid w:val="008F0F17"/>
    <w:rsid w:val="0090758F"/>
    <w:rsid w:val="0090786B"/>
    <w:rsid w:val="009216B8"/>
    <w:rsid w:val="00925DEB"/>
    <w:rsid w:val="00931F71"/>
    <w:rsid w:val="00931FC3"/>
    <w:rsid w:val="009417A2"/>
    <w:rsid w:val="00951C34"/>
    <w:rsid w:val="00954CFE"/>
    <w:rsid w:val="00957B72"/>
    <w:rsid w:val="00970C11"/>
    <w:rsid w:val="0097633F"/>
    <w:rsid w:val="009773F4"/>
    <w:rsid w:val="00984019"/>
    <w:rsid w:val="00997E63"/>
    <w:rsid w:val="009A5A6F"/>
    <w:rsid w:val="009B02D2"/>
    <w:rsid w:val="009B085A"/>
    <w:rsid w:val="009B553E"/>
    <w:rsid w:val="009D243F"/>
    <w:rsid w:val="009D5398"/>
    <w:rsid w:val="009D7120"/>
    <w:rsid w:val="009E2631"/>
    <w:rsid w:val="009F00F1"/>
    <w:rsid w:val="009F1BFA"/>
    <w:rsid w:val="00A01161"/>
    <w:rsid w:val="00A01B9B"/>
    <w:rsid w:val="00A0487D"/>
    <w:rsid w:val="00A15BEE"/>
    <w:rsid w:val="00A17DFA"/>
    <w:rsid w:val="00A22399"/>
    <w:rsid w:val="00A2243B"/>
    <w:rsid w:val="00A23903"/>
    <w:rsid w:val="00A33DE3"/>
    <w:rsid w:val="00A37D11"/>
    <w:rsid w:val="00A42F12"/>
    <w:rsid w:val="00A54C1E"/>
    <w:rsid w:val="00A6011D"/>
    <w:rsid w:val="00A64F22"/>
    <w:rsid w:val="00A94167"/>
    <w:rsid w:val="00A9670C"/>
    <w:rsid w:val="00A97445"/>
    <w:rsid w:val="00AA1287"/>
    <w:rsid w:val="00AC1C4C"/>
    <w:rsid w:val="00AD66FC"/>
    <w:rsid w:val="00AD750D"/>
    <w:rsid w:val="00AE2D6D"/>
    <w:rsid w:val="00AE45A9"/>
    <w:rsid w:val="00AF5300"/>
    <w:rsid w:val="00AF77E7"/>
    <w:rsid w:val="00B022B7"/>
    <w:rsid w:val="00B2115C"/>
    <w:rsid w:val="00B22259"/>
    <w:rsid w:val="00B32037"/>
    <w:rsid w:val="00B33EA3"/>
    <w:rsid w:val="00B50C32"/>
    <w:rsid w:val="00B54518"/>
    <w:rsid w:val="00B70923"/>
    <w:rsid w:val="00B7126D"/>
    <w:rsid w:val="00B724B8"/>
    <w:rsid w:val="00B73B13"/>
    <w:rsid w:val="00B74399"/>
    <w:rsid w:val="00B75741"/>
    <w:rsid w:val="00B76694"/>
    <w:rsid w:val="00B801BD"/>
    <w:rsid w:val="00B90A79"/>
    <w:rsid w:val="00B9529B"/>
    <w:rsid w:val="00BA07EA"/>
    <w:rsid w:val="00BA1AFA"/>
    <w:rsid w:val="00BC0BE4"/>
    <w:rsid w:val="00BC3806"/>
    <w:rsid w:val="00BD4B2F"/>
    <w:rsid w:val="00BE71B1"/>
    <w:rsid w:val="00C0048F"/>
    <w:rsid w:val="00C02D49"/>
    <w:rsid w:val="00C046F2"/>
    <w:rsid w:val="00C0660F"/>
    <w:rsid w:val="00C14F41"/>
    <w:rsid w:val="00C27671"/>
    <w:rsid w:val="00C33FB9"/>
    <w:rsid w:val="00C35267"/>
    <w:rsid w:val="00C374C5"/>
    <w:rsid w:val="00C47F4B"/>
    <w:rsid w:val="00C538B7"/>
    <w:rsid w:val="00C6327E"/>
    <w:rsid w:val="00C77423"/>
    <w:rsid w:val="00C94FBC"/>
    <w:rsid w:val="00C97DE2"/>
    <w:rsid w:val="00CA5BC7"/>
    <w:rsid w:val="00CA6B91"/>
    <w:rsid w:val="00CA7180"/>
    <w:rsid w:val="00CB0EE2"/>
    <w:rsid w:val="00CB615F"/>
    <w:rsid w:val="00CD02FF"/>
    <w:rsid w:val="00CD623D"/>
    <w:rsid w:val="00CF05F7"/>
    <w:rsid w:val="00CF1EB9"/>
    <w:rsid w:val="00D14962"/>
    <w:rsid w:val="00D15FF6"/>
    <w:rsid w:val="00D2519A"/>
    <w:rsid w:val="00D32DD4"/>
    <w:rsid w:val="00D37AB4"/>
    <w:rsid w:val="00D5187E"/>
    <w:rsid w:val="00D5640E"/>
    <w:rsid w:val="00D613FD"/>
    <w:rsid w:val="00D66806"/>
    <w:rsid w:val="00D7010D"/>
    <w:rsid w:val="00D71B78"/>
    <w:rsid w:val="00D721CE"/>
    <w:rsid w:val="00D7492A"/>
    <w:rsid w:val="00D86BC7"/>
    <w:rsid w:val="00D9520B"/>
    <w:rsid w:val="00D96C47"/>
    <w:rsid w:val="00DA389B"/>
    <w:rsid w:val="00DA7920"/>
    <w:rsid w:val="00DB0D67"/>
    <w:rsid w:val="00DB486E"/>
    <w:rsid w:val="00DC7A13"/>
    <w:rsid w:val="00DE4AAC"/>
    <w:rsid w:val="00DF46C1"/>
    <w:rsid w:val="00E046FC"/>
    <w:rsid w:val="00E11B80"/>
    <w:rsid w:val="00E14DC2"/>
    <w:rsid w:val="00E17FAA"/>
    <w:rsid w:val="00E3275F"/>
    <w:rsid w:val="00E35A18"/>
    <w:rsid w:val="00E43D5A"/>
    <w:rsid w:val="00E52B50"/>
    <w:rsid w:val="00E5322A"/>
    <w:rsid w:val="00E538E7"/>
    <w:rsid w:val="00E57849"/>
    <w:rsid w:val="00E601A6"/>
    <w:rsid w:val="00E621D9"/>
    <w:rsid w:val="00E70DD8"/>
    <w:rsid w:val="00E73489"/>
    <w:rsid w:val="00E801D6"/>
    <w:rsid w:val="00E8563E"/>
    <w:rsid w:val="00E92BC6"/>
    <w:rsid w:val="00E94D79"/>
    <w:rsid w:val="00EA26BF"/>
    <w:rsid w:val="00EA3BAC"/>
    <w:rsid w:val="00EB1D9C"/>
    <w:rsid w:val="00EC39C2"/>
    <w:rsid w:val="00EC4F96"/>
    <w:rsid w:val="00EC5B00"/>
    <w:rsid w:val="00ED40CA"/>
    <w:rsid w:val="00EE1B5C"/>
    <w:rsid w:val="00EE1E19"/>
    <w:rsid w:val="00EE5139"/>
    <w:rsid w:val="00EF1BD6"/>
    <w:rsid w:val="00EF4121"/>
    <w:rsid w:val="00F10FB5"/>
    <w:rsid w:val="00F115A3"/>
    <w:rsid w:val="00F22C24"/>
    <w:rsid w:val="00F33983"/>
    <w:rsid w:val="00F50BDD"/>
    <w:rsid w:val="00F62056"/>
    <w:rsid w:val="00F64CBC"/>
    <w:rsid w:val="00F665F9"/>
    <w:rsid w:val="00F77632"/>
    <w:rsid w:val="00F80587"/>
    <w:rsid w:val="00F91CBB"/>
    <w:rsid w:val="00FA0776"/>
    <w:rsid w:val="00FA2685"/>
    <w:rsid w:val="00FA62CC"/>
    <w:rsid w:val="00FA66EA"/>
    <w:rsid w:val="00FB4E1B"/>
    <w:rsid w:val="00FB76CF"/>
    <w:rsid w:val="00FC031B"/>
    <w:rsid w:val="00FD4626"/>
    <w:rsid w:val="00FE2124"/>
    <w:rsid w:val="00FE4523"/>
    <w:rsid w:val="0268693A"/>
    <w:rsid w:val="02C664ED"/>
    <w:rsid w:val="03F70837"/>
    <w:rsid w:val="048AE896"/>
    <w:rsid w:val="04BBD671"/>
    <w:rsid w:val="04C3840C"/>
    <w:rsid w:val="056CBDEB"/>
    <w:rsid w:val="0693C293"/>
    <w:rsid w:val="06B85B0B"/>
    <w:rsid w:val="08E37A13"/>
    <w:rsid w:val="0932C080"/>
    <w:rsid w:val="0A6A7818"/>
    <w:rsid w:val="0AC552B6"/>
    <w:rsid w:val="0AF42235"/>
    <w:rsid w:val="0B67610A"/>
    <w:rsid w:val="101FDF18"/>
    <w:rsid w:val="11B51EAE"/>
    <w:rsid w:val="15CBFC10"/>
    <w:rsid w:val="169D4CB7"/>
    <w:rsid w:val="1937ADD5"/>
    <w:rsid w:val="1C8A3769"/>
    <w:rsid w:val="1F1C617F"/>
    <w:rsid w:val="1F2CC4B0"/>
    <w:rsid w:val="1F4E84F3"/>
    <w:rsid w:val="22B74DDF"/>
    <w:rsid w:val="239DD3E0"/>
    <w:rsid w:val="23AEB2AB"/>
    <w:rsid w:val="24194F89"/>
    <w:rsid w:val="242ED3D8"/>
    <w:rsid w:val="245B07F9"/>
    <w:rsid w:val="25D296C3"/>
    <w:rsid w:val="28AE1FF8"/>
    <w:rsid w:val="294DA688"/>
    <w:rsid w:val="2A1122A2"/>
    <w:rsid w:val="2A95004D"/>
    <w:rsid w:val="2BC3F1D9"/>
    <w:rsid w:val="2DC260A5"/>
    <w:rsid w:val="2E6147FD"/>
    <w:rsid w:val="2F842ECE"/>
    <w:rsid w:val="2FB34CC5"/>
    <w:rsid w:val="30450E84"/>
    <w:rsid w:val="31BEC952"/>
    <w:rsid w:val="326C756E"/>
    <w:rsid w:val="34D028B4"/>
    <w:rsid w:val="356309DE"/>
    <w:rsid w:val="35966A55"/>
    <w:rsid w:val="36BF1A23"/>
    <w:rsid w:val="386B4E68"/>
    <w:rsid w:val="3905E4B4"/>
    <w:rsid w:val="3A8BAA91"/>
    <w:rsid w:val="3B3C9940"/>
    <w:rsid w:val="3C14BA0D"/>
    <w:rsid w:val="3D45E702"/>
    <w:rsid w:val="3D47D602"/>
    <w:rsid w:val="3D6DDC62"/>
    <w:rsid w:val="3EE050B3"/>
    <w:rsid w:val="403D3833"/>
    <w:rsid w:val="4196E2EA"/>
    <w:rsid w:val="41F38BC5"/>
    <w:rsid w:val="4240CD4E"/>
    <w:rsid w:val="43BA1EFB"/>
    <w:rsid w:val="457D96B2"/>
    <w:rsid w:val="47006199"/>
    <w:rsid w:val="4721A1EE"/>
    <w:rsid w:val="47F172C6"/>
    <w:rsid w:val="486F7377"/>
    <w:rsid w:val="48978923"/>
    <w:rsid w:val="4B28BC5B"/>
    <w:rsid w:val="4B501D59"/>
    <w:rsid w:val="4BB40817"/>
    <w:rsid w:val="4D0F457F"/>
    <w:rsid w:val="50A307E2"/>
    <w:rsid w:val="5158E684"/>
    <w:rsid w:val="51DD6744"/>
    <w:rsid w:val="51F2C7A5"/>
    <w:rsid w:val="528617E9"/>
    <w:rsid w:val="5547CFE0"/>
    <w:rsid w:val="558FEB1A"/>
    <w:rsid w:val="55E23ED4"/>
    <w:rsid w:val="55F382A3"/>
    <w:rsid w:val="5643C87F"/>
    <w:rsid w:val="5697C89D"/>
    <w:rsid w:val="56E2F0FA"/>
    <w:rsid w:val="57C51EDD"/>
    <w:rsid w:val="57F83438"/>
    <w:rsid w:val="5801F78D"/>
    <w:rsid w:val="5857F5C5"/>
    <w:rsid w:val="58CFAB26"/>
    <w:rsid w:val="59B25371"/>
    <w:rsid w:val="5A8D285F"/>
    <w:rsid w:val="5BB6A875"/>
    <w:rsid w:val="5DE8F928"/>
    <w:rsid w:val="610CA150"/>
    <w:rsid w:val="62C68FB2"/>
    <w:rsid w:val="6462A8F7"/>
    <w:rsid w:val="64922CB2"/>
    <w:rsid w:val="653DC912"/>
    <w:rsid w:val="659766A9"/>
    <w:rsid w:val="664EAE29"/>
    <w:rsid w:val="66F038B0"/>
    <w:rsid w:val="6854E466"/>
    <w:rsid w:val="69D81362"/>
    <w:rsid w:val="6BC4C499"/>
    <w:rsid w:val="6C7C74A2"/>
    <w:rsid w:val="6EA19257"/>
    <w:rsid w:val="6EF771DD"/>
    <w:rsid w:val="6F24D355"/>
    <w:rsid w:val="6FA85F48"/>
    <w:rsid w:val="755FB61D"/>
    <w:rsid w:val="765803BF"/>
    <w:rsid w:val="76B4CE35"/>
    <w:rsid w:val="775708B3"/>
    <w:rsid w:val="77FF0DAD"/>
    <w:rsid w:val="789019CE"/>
    <w:rsid w:val="79B94A52"/>
    <w:rsid w:val="79F15F07"/>
    <w:rsid w:val="7A0D6AAC"/>
    <w:rsid w:val="7A45531C"/>
    <w:rsid w:val="7AF8C472"/>
    <w:rsid w:val="7C317867"/>
    <w:rsid w:val="7C9214D7"/>
    <w:rsid w:val="7D369B9C"/>
    <w:rsid w:val="7D536606"/>
    <w:rsid w:val="7EB16EA6"/>
    <w:rsid w:val="7F3523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E255DD"/>
  <w15:chartTrackingRefBased/>
  <w15:docId w15:val="{283B58D8-F8A6-4100-B415-40BAA48E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2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71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2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2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2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2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26D"/>
    <w:rPr>
      <w:rFonts w:eastAsiaTheme="majorEastAsia" w:cstheme="majorBidi"/>
      <w:color w:val="272727" w:themeColor="text1" w:themeTint="D8"/>
    </w:rPr>
  </w:style>
  <w:style w:type="paragraph" w:styleId="Title">
    <w:name w:val="Title"/>
    <w:basedOn w:val="Normal"/>
    <w:next w:val="Normal"/>
    <w:link w:val="TitleChar"/>
    <w:uiPriority w:val="10"/>
    <w:qFormat/>
    <w:rsid w:val="00B712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26D"/>
    <w:pPr>
      <w:spacing w:before="160"/>
      <w:jc w:val="center"/>
    </w:pPr>
    <w:rPr>
      <w:i/>
      <w:iCs/>
      <w:color w:val="404040" w:themeColor="text1" w:themeTint="BF"/>
    </w:rPr>
  </w:style>
  <w:style w:type="character" w:customStyle="1" w:styleId="QuoteChar">
    <w:name w:val="Quote Char"/>
    <w:basedOn w:val="DefaultParagraphFont"/>
    <w:link w:val="Quote"/>
    <w:uiPriority w:val="29"/>
    <w:rsid w:val="00B7126D"/>
    <w:rPr>
      <w:i/>
      <w:iCs/>
      <w:color w:val="404040" w:themeColor="text1" w:themeTint="BF"/>
    </w:rPr>
  </w:style>
  <w:style w:type="paragraph" w:styleId="ListParagraph">
    <w:name w:val="List Paragraph"/>
    <w:basedOn w:val="Normal"/>
    <w:uiPriority w:val="34"/>
    <w:qFormat/>
    <w:rsid w:val="00B7126D"/>
    <w:pPr>
      <w:ind w:left="720"/>
      <w:contextualSpacing/>
    </w:pPr>
  </w:style>
  <w:style w:type="character" w:styleId="IntenseEmphasis">
    <w:name w:val="Intense Emphasis"/>
    <w:basedOn w:val="DefaultParagraphFont"/>
    <w:uiPriority w:val="21"/>
    <w:qFormat/>
    <w:rsid w:val="00B7126D"/>
    <w:rPr>
      <w:i/>
      <w:iCs/>
      <w:color w:val="0F4761" w:themeColor="accent1" w:themeShade="BF"/>
    </w:rPr>
  </w:style>
  <w:style w:type="paragraph" w:styleId="IntenseQuote">
    <w:name w:val="Intense Quote"/>
    <w:basedOn w:val="Normal"/>
    <w:next w:val="Normal"/>
    <w:link w:val="IntenseQuoteChar"/>
    <w:uiPriority w:val="30"/>
    <w:qFormat/>
    <w:rsid w:val="00B71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26D"/>
    <w:rPr>
      <w:i/>
      <w:iCs/>
      <w:color w:val="0F4761" w:themeColor="accent1" w:themeShade="BF"/>
    </w:rPr>
  </w:style>
  <w:style w:type="character" w:styleId="IntenseReference">
    <w:name w:val="Intense Reference"/>
    <w:basedOn w:val="DefaultParagraphFont"/>
    <w:uiPriority w:val="32"/>
    <w:qFormat/>
    <w:rsid w:val="00B7126D"/>
    <w:rPr>
      <w:b/>
      <w:bCs/>
      <w:smallCaps/>
      <w:color w:val="0F4761" w:themeColor="accent1" w:themeShade="BF"/>
      <w:spacing w:val="5"/>
    </w:rPr>
  </w:style>
  <w:style w:type="character" w:styleId="Hyperlink">
    <w:name w:val="Hyperlink"/>
    <w:basedOn w:val="DefaultParagraphFont"/>
    <w:uiPriority w:val="99"/>
    <w:unhideWhenUsed/>
    <w:rsid w:val="00B7126D"/>
    <w:rPr>
      <w:color w:val="467886" w:themeColor="hyperlink"/>
      <w:u w:val="single"/>
    </w:rPr>
  </w:style>
  <w:style w:type="character" w:styleId="UnresolvedMention">
    <w:name w:val="Unresolved Mention"/>
    <w:basedOn w:val="DefaultParagraphFont"/>
    <w:uiPriority w:val="99"/>
    <w:semiHidden/>
    <w:unhideWhenUsed/>
    <w:rsid w:val="00B7126D"/>
    <w:rPr>
      <w:color w:val="605E5C"/>
      <w:shd w:val="clear" w:color="auto" w:fill="E1DFDD"/>
    </w:rPr>
  </w:style>
  <w:style w:type="paragraph" w:styleId="FootnoteText">
    <w:name w:val="footnote text"/>
    <w:basedOn w:val="Normal"/>
    <w:link w:val="FootnoteTextChar"/>
    <w:uiPriority w:val="99"/>
    <w:semiHidden/>
    <w:unhideWhenUsed/>
    <w:rsid w:val="00B7126D"/>
    <w:rPr>
      <w:sz w:val="20"/>
      <w:szCs w:val="20"/>
    </w:rPr>
  </w:style>
  <w:style w:type="character" w:customStyle="1" w:styleId="FootnoteTextChar">
    <w:name w:val="Footnote Text Char"/>
    <w:basedOn w:val="DefaultParagraphFont"/>
    <w:link w:val="FootnoteText"/>
    <w:uiPriority w:val="99"/>
    <w:semiHidden/>
    <w:rsid w:val="00B7126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B7126D"/>
    <w:rPr>
      <w:vertAlign w:val="superscript"/>
    </w:rPr>
  </w:style>
  <w:style w:type="character" w:styleId="CommentReference">
    <w:name w:val="annotation reference"/>
    <w:basedOn w:val="DefaultParagraphFont"/>
    <w:uiPriority w:val="99"/>
    <w:semiHidden/>
    <w:unhideWhenUsed/>
    <w:rsid w:val="003C236C"/>
    <w:rPr>
      <w:sz w:val="16"/>
      <w:szCs w:val="16"/>
    </w:rPr>
  </w:style>
  <w:style w:type="paragraph" w:styleId="CommentText">
    <w:name w:val="annotation text"/>
    <w:basedOn w:val="Normal"/>
    <w:link w:val="CommentTextChar"/>
    <w:uiPriority w:val="99"/>
    <w:unhideWhenUsed/>
    <w:rsid w:val="003C236C"/>
    <w:rPr>
      <w:sz w:val="20"/>
      <w:szCs w:val="20"/>
    </w:rPr>
  </w:style>
  <w:style w:type="character" w:customStyle="1" w:styleId="CommentTextChar">
    <w:name w:val="Comment Text Char"/>
    <w:basedOn w:val="DefaultParagraphFont"/>
    <w:link w:val="CommentText"/>
    <w:uiPriority w:val="99"/>
    <w:rsid w:val="003C236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236C"/>
    <w:rPr>
      <w:b/>
      <w:bCs/>
    </w:rPr>
  </w:style>
  <w:style w:type="character" w:customStyle="1" w:styleId="CommentSubjectChar">
    <w:name w:val="Comment Subject Char"/>
    <w:basedOn w:val="CommentTextChar"/>
    <w:link w:val="CommentSubject"/>
    <w:uiPriority w:val="99"/>
    <w:semiHidden/>
    <w:rsid w:val="003C236C"/>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466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1F71"/>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9B085A"/>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BE71B1"/>
    <w:pPr>
      <w:tabs>
        <w:tab w:val="center" w:pos="4680"/>
        <w:tab w:val="right" w:pos="9360"/>
      </w:tabs>
    </w:pPr>
  </w:style>
  <w:style w:type="character" w:customStyle="1" w:styleId="HeaderChar">
    <w:name w:val="Header Char"/>
    <w:basedOn w:val="DefaultParagraphFont"/>
    <w:link w:val="Header"/>
    <w:uiPriority w:val="99"/>
    <w:semiHidden/>
    <w:rsid w:val="00BE71B1"/>
    <w:rPr>
      <w:rFonts w:ascii="Times New Roman" w:eastAsia="Times New Roman" w:hAnsi="Times New Roman" w:cs="Times New Roman"/>
      <w:kern w:val="0"/>
      <w14:ligatures w14:val="none"/>
    </w:rPr>
  </w:style>
  <w:style w:type="paragraph" w:styleId="Footer">
    <w:name w:val="footer"/>
    <w:basedOn w:val="Normal"/>
    <w:link w:val="FooterChar"/>
    <w:uiPriority w:val="99"/>
    <w:semiHidden/>
    <w:unhideWhenUsed/>
    <w:rsid w:val="00BE71B1"/>
    <w:pPr>
      <w:tabs>
        <w:tab w:val="center" w:pos="4680"/>
        <w:tab w:val="right" w:pos="9360"/>
      </w:tabs>
    </w:pPr>
  </w:style>
  <w:style w:type="character" w:customStyle="1" w:styleId="FooterChar">
    <w:name w:val="Footer Char"/>
    <w:basedOn w:val="DefaultParagraphFont"/>
    <w:link w:val="Footer"/>
    <w:uiPriority w:val="99"/>
    <w:semiHidden/>
    <w:rsid w:val="00BE71B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6A01D087FBE4B869242686FB7F63E" ma:contentTypeVersion="15" ma:contentTypeDescription="Create a new document." ma:contentTypeScope="" ma:versionID="3fcf3189ef16dc75d38c3e27427626a6">
  <xsd:schema xmlns:xsd="http://www.w3.org/2001/XMLSchema" xmlns:xs="http://www.w3.org/2001/XMLSchema" xmlns:p="http://schemas.microsoft.com/office/2006/metadata/properties" xmlns:ns2="bd843c79-0029-4b03-9d08-fce80cdd6d6f" xmlns:ns3="ea7d608b-d411-47f2-a893-ac2039c7c3ce" targetNamespace="http://schemas.microsoft.com/office/2006/metadata/properties" ma:root="true" ma:fieldsID="4680ce5aecd1ad472311b15dc2fea32f" ns2:_="" ns3:_="">
    <xsd:import namespace="bd843c79-0029-4b03-9d08-fce80cdd6d6f"/>
    <xsd:import namespace="ea7d608b-d411-47f2-a893-ac2039c7c3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43c79-0029-4b03-9d08-fce80cdd6d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0671388-ab63-4fa5-8009-35070586510d}" ma:internalName="TaxCatchAll" ma:showField="CatchAllData" ma:web="bd843c79-0029-4b03-9d08-fce80cdd6d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7d608b-d411-47f2-a893-ac2039c7c3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ad8285-8358-40ef-aa88-1e032fe15f78"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843c79-0029-4b03-9d08-fce80cdd6d6f" xsi:nil="true"/>
    <lcf76f155ced4ddcb4097134ff3c332f xmlns="ea7d608b-d411-47f2-a893-ac2039c7c3c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506943-FEC6-4F79-BEE5-C7FFFADD9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43c79-0029-4b03-9d08-fce80cdd6d6f"/>
    <ds:schemaRef ds:uri="ea7d608b-d411-47f2-a893-ac2039c7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EA85D-C611-448A-9078-7D1BBFD43E37}">
  <ds:schemaRefs>
    <ds:schemaRef ds:uri="http://schemas.microsoft.com/office/2006/metadata/properties"/>
    <ds:schemaRef ds:uri="http://schemas.microsoft.com/office/infopath/2007/PartnerControls"/>
    <ds:schemaRef ds:uri="bd843c79-0029-4b03-9d08-fce80cdd6d6f"/>
    <ds:schemaRef ds:uri="ea7d608b-d411-47f2-a893-ac2039c7c3ce"/>
  </ds:schemaRefs>
</ds:datastoreItem>
</file>

<file path=customXml/itemProps3.xml><?xml version="1.0" encoding="utf-8"?>
<ds:datastoreItem xmlns:ds="http://schemas.openxmlformats.org/officeDocument/2006/customXml" ds:itemID="{77810FD7-D20A-4F8E-A02D-857BDD0091C4}">
  <ds:schemaRefs>
    <ds:schemaRef ds:uri="http://schemas.openxmlformats.org/officeDocument/2006/bibliography"/>
  </ds:schemaRefs>
</ds:datastoreItem>
</file>

<file path=customXml/itemProps4.xml><?xml version="1.0" encoding="utf-8"?>
<ds:datastoreItem xmlns:ds="http://schemas.openxmlformats.org/officeDocument/2006/customXml" ds:itemID="{E612EA70-C460-48DC-B2CC-AEA206D557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Cinq Mars</dc:creator>
  <cp:lastModifiedBy>Sarah Cinq Mars</cp:lastModifiedBy>
  <cp:revision>2</cp:revision>
  <cp:lastPrinted>2025-03-20T19:13:00Z</cp:lastPrinted>
  <dcterms:created xsi:type="dcterms:W3CDTF">2025-07-01T17:52:00Z</dcterms:created>
  <dcterms:modified xsi:type="dcterms:W3CDTF">2025-07-01T17:52:00Z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0x010100F4F6A01D087FBE4B869242686FB7F63E</vt:lpwstr>
  </property>
  <property fmtid="{D5CDD505-2E9C-101B-9397-08002B2CF9AE}" pid="3" name="MediaServiceImageTags">
    <vt:lpwstr/>
  </property>
</Properties>
</file>