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9B1" w:rsidRPr="00F30483" w14:paraId="53CD7283" w14:textId="77777777">
      <w:pPr>
        <w:pStyle w:val="AbtHeadA"/>
        <w:rPr>
          <w:rFonts w:ascii="Times New Roman" w:hAnsi="Times New Roman"/>
          <w:sz w:val="24"/>
          <w:szCs w:val="24"/>
        </w:rPr>
      </w:pPr>
      <w:r w:rsidRPr="00F30483">
        <w:rPr>
          <w:rFonts w:ascii="Times New Roman" w:hAnsi="Times New Roman"/>
          <w:sz w:val="24"/>
          <w:szCs w:val="24"/>
        </w:rPr>
        <w:t xml:space="preserve">Supporting Statement for Paperwork Reduction Submission </w:t>
      </w:r>
    </w:p>
    <w:p w:rsidR="00F839B1" w:rsidRPr="00F30483" w14:paraId="0BAEED00" w14:textId="5FC89B38">
      <w:pPr>
        <w:pStyle w:val="AbtHeadB"/>
        <w:rPr>
          <w:rFonts w:ascii="Times New Roman" w:hAnsi="Times New Roman"/>
          <w:sz w:val="24"/>
          <w:szCs w:val="24"/>
        </w:rPr>
      </w:pPr>
      <w:r w:rsidRPr="00F30483">
        <w:rPr>
          <w:rFonts w:ascii="Times New Roman" w:hAnsi="Times New Roman"/>
          <w:sz w:val="24"/>
          <w:szCs w:val="24"/>
        </w:rPr>
        <w:t xml:space="preserve">Grantee Reporting Requirements for </w:t>
      </w:r>
      <w:r w:rsidRPr="00F30483" w:rsidR="00436C1C">
        <w:rPr>
          <w:rFonts w:ascii="Times New Roman" w:hAnsi="Times New Roman"/>
          <w:sz w:val="24"/>
          <w:szCs w:val="24"/>
        </w:rPr>
        <w:t xml:space="preserve">Partnership for Research and Education in Materials </w:t>
      </w:r>
      <w:r w:rsidRPr="00F30483">
        <w:rPr>
          <w:rFonts w:ascii="Times New Roman" w:hAnsi="Times New Roman"/>
          <w:sz w:val="24"/>
          <w:szCs w:val="24"/>
        </w:rPr>
        <w:t>(</w:t>
      </w:r>
      <w:r w:rsidRPr="00F30483" w:rsidR="00436C1C">
        <w:rPr>
          <w:rFonts w:ascii="Times New Roman" w:hAnsi="Times New Roman"/>
          <w:sz w:val="24"/>
          <w:szCs w:val="24"/>
        </w:rPr>
        <w:t>PREM</w:t>
      </w:r>
      <w:r w:rsidRPr="00F30483" w:rsidR="004266E9">
        <w:rPr>
          <w:rFonts w:ascii="Times New Roman" w:hAnsi="Times New Roman"/>
          <w:sz w:val="24"/>
          <w:szCs w:val="24"/>
        </w:rPr>
        <w:t>)</w:t>
      </w:r>
      <w:r w:rsidRPr="00F30483">
        <w:rPr>
          <w:rFonts w:ascii="Times New Roman" w:hAnsi="Times New Roman"/>
          <w:sz w:val="24"/>
          <w:szCs w:val="24"/>
        </w:rPr>
        <w:t xml:space="preserve"> (</w:t>
      </w:r>
      <w:r w:rsidRPr="00F30483" w:rsidR="00643CB0">
        <w:rPr>
          <w:rFonts w:ascii="Times New Roman" w:hAnsi="Times New Roman"/>
          <w:sz w:val="24"/>
          <w:szCs w:val="24"/>
        </w:rPr>
        <w:t>3145-</w:t>
      </w:r>
      <w:r w:rsidRPr="00F30483" w:rsidR="00A32B6C">
        <w:rPr>
          <w:rFonts w:ascii="Times New Roman" w:hAnsi="Times New Roman"/>
          <w:sz w:val="24"/>
          <w:szCs w:val="24"/>
        </w:rPr>
        <w:t>0232)</w:t>
      </w:r>
    </w:p>
    <w:p w:rsidR="00F839B1" w:rsidRPr="00F30483" w14:paraId="50C6D192" w14:textId="77777777">
      <w:pPr>
        <w:pStyle w:val="AbtHeadB"/>
        <w:rPr>
          <w:rFonts w:ascii="Times New Roman" w:hAnsi="Times New Roman"/>
          <w:sz w:val="24"/>
          <w:szCs w:val="24"/>
        </w:rPr>
      </w:pPr>
      <w:r w:rsidRPr="00F30483">
        <w:rPr>
          <w:rFonts w:ascii="Times New Roman" w:hAnsi="Times New Roman"/>
          <w:sz w:val="24"/>
          <w:szCs w:val="24"/>
        </w:rPr>
        <w:t>A. Justification</w:t>
      </w:r>
    </w:p>
    <w:p w:rsidR="00F839B1" w:rsidRPr="00F30483" w14:paraId="7662AD32" w14:textId="77777777">
      <w:pPr>
        <w:pStyle w:val="AbtHeadC"/>
        <w:rPr>
          <w:rFonts w:ascii="Times New Roman" w:hAnsi="Times New Roman"/>
          <w:sz w:val="24"/>
          <w:szCs w:val="24"/>
        </w:rPr>
      </w:pPr>
      <w:r w:rsidRPr="00F30483">
        <w:rPr>
          <w:rFonts w:ascii="Times New Roman" w:hAnsi="Times New Roman"/>
          <w:sz w:val="24"/>
          <w:szCs w:val="24"/>
        </w:rPr>
        <w:t>A.1. Circumstances Requiring the Collection of Data</w:t>
      </w:r>
    </w:p>
    <w:p w:rsidR="00F839B1" w:rsidRPr="00F30483" w14:paraId="429B4B3A" w14:textId="3D4B5DDD">
      <w:pPr>
        <w:autoSpaceDE w:val="0"/>
        <w:autoSpaceDN w:val="0"/>
        <w:adjustRightInd w:val="0"/>
        <w:spacing w:line="480" w:lineRule="auto"/>
        <w:rPr>
          <w:sz w:val="24"/>
          <w:szCs w:val="24"/>
        </w:rPr>
      </w:pPr>
      <w:r w:rsidRPr="00F30483">
        <w:rPr>
          <w:sz w:val="24"/>
          <w:szCs w:val="24"/>
        </w:rPr>
        <w:t>The</w:t>
      </w:r>
      <w:r w:rsidRPr="00F30483" w:rsidR="004266E9">
        <w:rPr>
          <w:sz w:val="24"/>
          <w:szCs w:val="24"/>
        </w:rPr>
        <w:t xml:space="preserve"> NSF</w:t>
      </w:r>
      <w:r w:rsidRPr="00F30483">
        <w:rPr>
          <w:sz w:val="24"/>
          <w:szCs w:val="24"/>
        </w:rPr>
        <w:t xml:space="preserve"> </w:t>
      </w:r>
      <w:r w:rsidRPr="00F30483" w:rsidR="009C2312">
        <w:rPr>
          <w:sz w:val="24"/>
          <w:szCs w:val="24"/>
        </w:rPr>
        <w:t>Partnership for Research and Education in Materials (PREM)</w:t>
      </w:r>
      <w:r w:rsidRPr="00F30483" w:rsidR="004266E9">
        <w:rPr>
          <w:sz w:val="24"/>
          <w:szCs w:val="24"/>
        </w:rPr>
        <w:t xml:space="preserve"> </w:t>
      </w:r>
      <w:r w:rsidRPr="00F30483">
        <w:rPr>
          <w:sz w:val="24"/>
          <w:szCs w:val="24"/>
        </w:rPr>
        <w:t xml:space="preserve">program provides </w:t>
      </w:r>
      <w:r w:rsidRPr="00F30483" w:rsidR="004266E9">
        <w:rPr>
          <w:sz w:val="24"/>
          <w:szCs w:val="24"/>
        </w:rPr>
        <w:t xml:space="preserve">significant support </w:t>
      </w:r>
      <w:r w:rsidRPr="00F30483" w:rsidR="00492F8A">
        <w:rPr>
          <w:sz w:val="24"/>
          <w:szCs w:val="24"/>
        </w:rPr>
        <w:t xml:space="preserve">(~ </w:t>
      </w:r>
      <w:r w:rsidRPr="00F30483" w:rsidR="009C2312">
        <w:rPr>
          <w:sz w:val="24"/>
          <w:szCs w:val="24"/>
        </w:rPr>
        <w:t>0.6</w:t>
      </w:r>
      <w:r w:rsidRPr="00F30483" w:rsidR="002C2A3C">
        <w:rPr>
          <w:sz w:val="24"/>
          <w:szCs w:val="24"/>
        </w:rPr>
        <w:t>35</w:t>
      </w:r>
      <w:r w:rsidRPr="00F30483" w:rsidR="004266E9">
        <w:rPr>
          <w:sz w:val="24"/>
          <w:szCs w:val="24"/>
        </w:rPr>
        <w:t xml:space="preserve"> million / year) for research, education, and infrastructure </w:t>
      </w:r>
      <w:r w:rsidRPr="00F30483" w:rsidR="008B0C63">
        <w:rPr>
          <w:sz w:val="24"/>
          <w:szCs w:val="24"/>
        </w:rPr>
        <w:t xml:space="preserve">with a renewable term of </w:t>
      </w:r>
      <w:r w:rsidRPr="00F30483" w:rsidR="00492F8A">
        <w:rPr>
          <w:sz w:val="24"/>
          <w:szCs w:val="24"/>
        </w:rPr>
        <w:t>6</w:t>
      </w:r>
      <w:r w:rsidRPr="00F30483" w:rsidR="004266E9">
        <w:rPr>
          <w:sz w:val="24"/>
          <w:szCs w:val="24"/>
        </w:rPr>
        <w:t xml:space="preserve"> years</w:t>
      </w:r>
      <w:r w:rsidRPr="00F30483" w:rsidR="00B47476">
        <w:rPr>
          <w:sz w:val="24"/>
          <w:szCs w:val="24"/>
        </w:rPr>
        <w:t xml:space="preserve">, for a total investment of </w:t>
      </w:r>
      <w:r w:rsidRPr="00F30483" w:rsidR="00492F8A">
        <w:rPr>
          <w:sz w:val="24"/>
          <w:szCs w:val="24"/>
        </w:rPr>
        <w:t xml:space="preserve">~ </w:t>
      </w:r>
      <w:r w:rsidRPr="00F30483" w:rsidR="00B47476">
        <w:rPr>
          <w:sz w:val="24"/>
          <w:szCs w:val="24"/>
        </w:rPr>
        <w:t>$</w:t>
      </w:r>
      <w:r w:rsidRPr="00F30483" w:rsidR="002C2A3C">
        <w:rPr>
          <w:sz w:val="24"/>
          <w:szCs w:val="24"/>
        </w:rPr>
        <w:t>3.8</w:t>
      </w:r>
      <w:r w:rsidRPr="00F30483" w:rsidR="00B47476">
        <w:rPr>
          <w:sz w:val="24"/>
          <w:szCs w:val="24"/>
        </w:rPr>
        <w:t>M</w:t>
      </w:r>
      <w:r w:rsidRPr="00F30483" w:rsidR="004266E9">
        <w:rPr>
          <w:sz w:val="24"/>
          <w:szCs w:val="24"/>
        </w:rPr>
        <w:t>.   Because of the</w:t>
      </w:r>
      <w:r w:rsidRPr="00F30483">
        <w:rPr>
          <w:sz w:val="24"/>
          <w:szCs w:val="24"/>
        </w:rPr>
        <w:t xml:space="preserve"> duration and size of these awards, it is necessary for the NSF to ensure that its substantial investment is spent appropriately, that each of the </w:t>
      </w:r>
      <w:r w:rsidRPr="00F30483" w:rsidR="004C5000">
        <w:rPr>
          <w:sz w:val="24"/>
          <w:szCs w:val="24"/>
        </w:rPr>
        <w:t>PREM</w:t>
      </w:r>
      <w:r w:rsidRPr="00F30483">
        <w:rPr>
          <w:sz w:val="24"/>
          <w:szCs w:val="24"/>
        </w:rPr>
        <w:t xml:space="preserve">s meets the goals stated in </w:t>
      </w:r>
      <w:r w:rsidRPr="00F30483" w:rsidR="00DD3639">
        <w:rPr>
          <w:sz w:val="24"/>
          <w:szCs w:val="24"/>
        </w:rPr>
        <w:t>its</w:t>
      </w:r>
      <w:r w:rsidRPr="00F30483">
        <w:rPr>
          <w:sz w:val="24"/>
          <w:szCs w:val="24"/>
        </w:rPr>
        <w:t xml:space="preserve"> strategic plan, and that each </w:t>
      </w:r>
      <w:r w:rsidRPr="00F30483" w:rsidR="004C5000">
        <w:rPr>
          <w:sz w:val="24"/>
          <w:szCs w:val="24"/>
        </w:rPr>
        <w:t>PREM</w:t>
      </w:r>
      <w:r w:rsidRPr="00F30483">
        <w:rPr>
          <w:sz w:val="24"/>
          <w:szCs w:val="24"/>
        </w:rPr>
        <w:t xml:space="preserve">’s activities satisfy the goals and objectives of the </w:t>
      </w:r>
      <w:r w:rsidRPr="00F30483" w:rsidR="005B0FD6">
        <w:rPr>
          <w:sz w:val="24"/>
          <w:szCs w:val="24"/>
        </w:rPr>
        <w:t>PREM</w:t>
      </w:r>
      <w:r w:rsidRPr="00F30483">
        <w:rPr>
          <w:sz w:val="24"/>
          <w:szCs w:val="24"/>
        </w:rPr>
        <w:t xml:space="preserve"> program. </w:t>
      </w:r>
      <w:r w:rsidRPr="00F30483" w:rsidR="004266E9">
        <w:rPr>
          <w:sz w:val="24"/>
          <w:szCs w:val="24"/>
        </w:rPr>
        <w:t xml:space="preserve"> </w:t>
      </w:r>
      <w:r w:rsidRPr="00F30483">
        <w:rPr>
          <w:sz w:val="24"/>
          <w:szCs w:val="24"/>
        </w:rPr>
        <w:t xml:space="preserve">The </w:t>
      </w:r>
      <w:r w:rsidRPr="00F30483" w:rsidR="005B0FD6">
        <w:rPr>
          <w:sz w:val="24"/>
          <w:szCs w:val="24"/>
        </w:rPr>
        <w:t>PREM</w:t>
      </w:r>
      <w:r w:rsidRPr="00F30483">
        <w:rPr>
          <w:sz w:val="24"/>
          <w:szCs w:val="24"/>
        </w:rPr>
        <w:t xml:space="preserve"> progr</w:t>
      </w:r>
      <w:r w:rsidRPr="00F30483" w:rsidR="00EF76F5">
        <w:rPr>
          <w:sz w:val="24"/>
          <w:szCs w:val="24"/>
        </w:rPr>
        <w:t xml:space="preserve">am currently funds a total of </w:t>
      </w:r>
      <w:r w:rsidRPr="00F30483" w:rsidR="00D85F11">
        <w:rPr>
          <w:sz w:val="24"/>
          <w:szCs w:val="24"/>
        </w:rPr>
        <w:t>32</w:t>
      </w:r>
      <w:r w:rsidRPr="00F30483" w:rsidR="001829E0">
        <w:rPr>
          <w:sz w:val="24"/>
          <w:szCs w:val="24"/>
        </w:rPr>
        <w:t xml:space="preserve"> </w:t>
      </w:r>
      <w:r w:rsidRPr="00F30483" w:rsidR="00B9714C">
        <w:rPr>
          <w:sz w:val="24"/>
          <w:szCs w:val="24"/>
        </w:rPr>
        <w:t xml:space="preserve">active </w:t>
      </w:r>
      <w:r w:rsidRPr="00F30483" w:rsidR="00B47476">
        <w:rPr>
          <w:sz w:val="24"/>
          <w:szCs w:val="24"/>
        </w:rPr>
        <w:t>awards</w:t>
      </w:r>
      <w:r w:rsidRPr="00F30483" w:rsidR="001829E0">
        <w:rPr>
          <w:sz w:val="24"/>
          <w:szCs w:val="24"/>
        </w:rPr>
        <w:t>—</w:t>
      </w:r>
      <w:r w:rsidRPr="00F30483" w:rsidR="00D85F11">
        <w:rPr>
          <w:sz w:val="24"/>
          <w:szCs w:val="24"/>
        </w:rPr>
        <w:t>4</w:t>
      </w:r>
      <w:r w:rsidRPr="00F30483" w:rsidR="009D13DB">
        <w:rPr>
          <w:sz w:val="24"/>
          <w:szCs w:val="24"/>
        </w:rPr>
        <w:t xml:space="preserve"> </w:t>
      </w:r>
      <w:r w:rsidRPr="00F30483" w:rsidR="009D13DB">
        <w:rPr>
          <w:sz w:val="24"/>
          <w:szCs w:val="24"/>
        </w:rPr>
        <w:t>were</w:t>
      </w:r>
      <w:r w:rsidRPr="00F30483" w:rsidR="009D13DB">
        <w:rPr>
          <w:sz w:val="24"/>
          <w:szCs w:val="24"/>
        </w:rPr>
        <w:t xml:space="preserve"> funded in FY1</w:t>
      </w:r>
      <w:r w:rsidRPr="00F30483" w:rsidR="00492F8A">
        <w:rPr>
          <w:sz w:val="24"/>
          <w:szCs w:val="24"/>
        </w:rPr>
        <w:t>5</w:t>
      </w:r>
      <w:r w:rsidRPr="00F30483" w:rsidR="001B3ECE">
        <w:rPr>
          <w:sz w:val="24"/>
          <w:szCs w:val="24"/>
        </w:rPr>
        <w:t xml:space="preserve">, </w:t>
      </w:r>
      <w:r w:rsidRPr="00F30483" w:rsidR="00492F8A">
        <w:rPr>
          <w:sz w:val="24"/>
          <w:szCs w:val="24"/>
        </w:rPr>
        <w:t>10 (including 2 Seed Funds)</w:t>
      </w:r>
      <w:r w:rsidRPr="00F30483" w:rsidR="001B3ECE">
        <w:rPr>
          <w:sz w:val="24"/>
          <w:szCs w:val="24"/>
        </w:rPr>
        <w:t xml:space="preserve"> </w:t>
      </w:r>
      <w:r w:rsidRPr="00F30483" w:rsidR="009D13DB">
        <w:rPr>
          <w:sz w:val="24"/>
          <w:szCs w:val="24"/>
        </w:rPr>
        <w:t>in FY1</w:t>
      </w:r>
      <w:r w:rsidRPr="00F30483" w:rsidR="00492F8A">
        <w:rPr>
          <w:sz w:val="24"/>
          <w:szCs w:val="24"/>
        </w:rPr>
        <w:t>8</w:t>
      </w:r>
      <w:r w:rsidRPr="00F30483" w:rsidR="007F3B78">
        <w:rPr>
          <w:sz w:val="24"/>
          <w:szCs w:val="24"/>
        </w:rPr>
        <w:t>, and 18 (including</w:t>
      </w:r>
      <w:r w:rsidRPr="00F30483" w:rsidR="004E1D71">
        <w:rPr>
          <w:sz w:val="24"/>
          <w:szCs w:val="24"/>
        </w:rPr>
        <w:t xml:space="preserve"> 10 Seed Funds) in FY21</w:t>
      </w:r>
      <w:r w:rsidRPr="00F30483" w:rsidR="001801DF">
        <w:rPr>
          <w:sz w:val="24"/>
          <w:szCs w:val="24"/>
        </w:rPr>
        <w:t xml:space="preserve">.  </w:t>
      </w:r>
      <w:r w:rsidRPr="00F30483" w:rsidR="00954F6F">
        <w:rPr>
          <w:sz w:val="24"/>
          <w:szCs w:val="24"/>
        </w:rPr>
        <w:t>For</w:t>
      </w:r>
      <w:r w:rsidRPr="00F30483">
        <w:rPr>
          <w:sz w:val="24"/>
          <w:szCs w:val="24"/>
        </w:rPr>
        <w:t xml:space="preserve"> effective oversight of </w:t>
      </w:r>
      <w:r w:rsidRPr="00F30483" w:rsidR="00954F6F">
        <w:rPr>
          <w:sz w:val="24"/>
          <w:szCs w:val="24"/>
        </w:rPr>
        <w:t>these substantial</w:t>
      </w:r>
      <w:r w:rsidRPr="00F30483">
        <w:rPr>
          <w:sz w:val="24"/>
          <w:szCs w:val="24"/>
        </w:rPr>
        <w:t xml:space="preserve"> investment</w:t>
      </w:r>
      <w:r w:rsidRPr="00F30483" w:rsidR="00954F6F">
        <w:rPr>
          <w:sz w:val="24"/>
          <w:szCs w:val="24"/>
        </w:rPr>
        <w:t>s</w:t>
      </w:r>
      <w:r w:rsidRPr="00F30483">
        <w:rPr>
          <w:sz w:val="24"/>
          <w:szCs w:val="24"/>
        </w:rPr>
        <w:t xml:space="preserve">, the NSF requires that each currently funded </w:t>
      </w:r>
      <w:r w:rsidRPr="00F30483" w:rsidR="00B9714C">
        <w:rPr>
          <w:sz w:val="24"/>
          <w:szCs w:val="24"/>
        </w:rPr>
        <w:t>PREM</w:t>
      </w:r>
      <w:r w:rsidRPr="00F30483">
        <w:rPr>
          <w:sz w:val="24"/>
          <w:szCs w:val="24"/>
        </w:rPr>
        <w:t xml:space="preserve"> submit an annual progress report that describes all </w:t>
      </w:r>
      <w:r w:rsidRPr="00F30483" w:rsidR="004C5000">
        <w:rPr>
          <w:sz w:val="24"/>
          <w:szCs w:val="24"/>
        </w:rPr>
        <w:t>its a</w:t>
      </w:r>
      <w:r w:rsidRPr="00F30483">
        <w:rPr>
          <w:sz w:val="24"/>
          <w:szCs w:val="24"/>
        </w:rPr>
        <w:t>ctivities</w:t>
      </w:r>
      <w:r w:rsidRPr="00F30483" w:rsidR="004266E9">
        <w:rPr>
          <w:sz w:val="24"/>
          <w:szCs w:val="24"/>
        </w:rPr>
        <w:t xml:space="preserve">.  </w:t>
      </w:r>
      <w:r w:rsidRPr="00F30483" w:rsidR="00486899">
        <w:rPr>
          <w:sz w:val="24"/>
          <w:szCs w:val="24"/>
        </w:rPr>
        <w:t xml:space="preserve">Each </w:t>
      </w:r>
      <w:r w:rsidRPr="00F30483" w:rsidR="004C5000">
        <w:rPr>
          <w:sz w:val="24"/>
          <w:szCs w:val="24"/>
        </w:rPr>
        <w:t>PREM</w:t>
      </w:r>
      <w:r w:rsidRPr="00F30483" w:rsidR="00486899">
        <w:rPr>
          <w:sz w:val="24"/>
          <w:szCs w:val="24"/>
        </w:rPr>
        <w:t xml:space="preserve"> is expected to submit a final report at the end of the award.</w:t>
      </w:r>
      <w:r w:rsidRPr="00F30483" w:rsidR="00492F8A">
        <w:rPr>
          <w:sz w:val="24"/>
          <w:szCs w:val="24"/>
        </w:rPr>
        <w:t xml:space="preserve"> </w:t>
      </w:r>
      <w:r w:rsidRPr="00F30483" w:rsidR="00486899">
        <w:rPr>
          <w:sz w:val="24"/>
          <w:szCs w:val="24"/>
        </w:rPr>
        <w:t xml:space="preserve">Data contained in these reports are also submitted to a website managed by a contractor for NSF.  Electronic submission facilitates program-wide data analysis.  </w:t>
      </w:r>
    </w:p>
    <w:p w:rsidR="00F839B1" w:rsidRPr="00F30483" w14:paraId="5AA1D7D8" w14:textId="77777777">
      <w:pPr>
        <w:autoSpaceDE w:val="0"/>
        <w:autoSpaceDN w:val="0"/>
        <w:adjustRightInd w:val="0"/>
        <w:spacing w:line="480" w:lineRule="auto"/>
        <w:rPr>
          <w:sz w:val="24"/>
          <w:szCs w:val="24"/>
        </w:rPr>
      </w:pPr>
    </w:p>
    <w:p w:rsidR="00F839B1" w:rsidRPr="00F30483" w14:paraId="11235F8F" w14:textId="06C87F71">
      <w:pPr>
        <w:autoSpaceDE w:val="0"/>
        <w:autoSpaceDN w:val="0"/>
        <w:adjustRightInd w:val="0"/>
        <w:spacing w:line="480" w:lineRule="auto"/>
        <w:rPr>
          <w:sz w:val="24"/>
          <w:szCs w:val="24"/>
        </w:rPr>
      </w:pPr>
      <w:r w:rsidRPr="00F30483">
        <w:rPr>
          <w:sz w:val="24"/>
          <w:szCs w:val="24"/>
        </w:rPr>
        <w:t xml:space="preserve">The annual </w:t>
      </w:r>
      <w:r w:rsidRPr="00F30483" w:rsidR="00486899">
        <w:rPr>
          <w:sz w:val="24"/>
          <w:szCs w:val="24"/>
        </w:rPr>
        <w:t xml:space="preserve">and final </w:t>
      </w:r>
      <w:r w:rsidRPr="00F30483">
        <w:rPr>
          <w:sz w:val="24"/>
          <w:szCs w:val="24"/>
        </w:rPr>
        <w:t>reports contain information to</w:t>
      </w:r>
      <w:r w:rsidRPr="00F30483" w:rsidR="00954F6F">
        <w:rPr>
          <w:sz w:val="24"/>
          <w:szCs w:val="24"/>
        </w:rPr>
        <w:t xml:space="preserve"> help</w:t>
      </w:r>
      <w:r w:rsidRPr="00F30483">
        <w:rPr>
          <w:sz w:val="24"/>
          <w:szCs w:val="24"/>
        </w:rPr>
        <w:t xml:space="preserve"> answer broad </w:t>
      </w:r>
      <w:r w:rsidRPr="00F30483" w:rsidR="001A7619">
        <w:rPr>
          <w:sz w:val="24"/>
          <w:szCs w:val="24"/>
        </w:rPr>
        <w:t>evaluation</w:t>
      </w:r>
      <w:r w:rsidRPr="00F30483">
        <w:rPr>
          <w:sz w:val="24"/>
          <w:szCs w:val="24"/>
        </w:rPr>
        <w:t xml:space="preserve"> questions: 1) What is the overall value-added of the NSF </w:t>
      </w:r>
      <w:r w:rsidRPr="00F30483" w:rsidR="005B0FD6">
        <w:rPr>
          <w:sz w:val="24"/>
          <w:szCs w:val="24"/>
        </w:rPr>
        <w:t>PREM</w:t>
      </w:r>
      <w:r w:rsidRPr="00F30483">
        <w:rPr>
          <w:sz w:val="24"/>
          <w:szCs w:val="24"/>
        </w:rPr>
        <w:t xml:space="preserve"> program?</w:t>
      </w:r>
      <w:r w:rsidRPr="00F30483" w:rsidR="00245A88">
        <w:rPr>
          <w:sz w:val="24"/>
          <w:szCs w:val="24"/>
        </w:rPr>
        <w:t xml:space="preserve">; </w:t>
      </w:r>
      <w:r w:rsidRPr="00F30483">
        <w:rPr>
          <w:sz w:val="24"/>
          <w:szCs w:val="24"/>
        </w:rPr>
        <w:t xml:space="preserve">2) What is the quality and impact of the research conducted in the </w:t>
      </w:r>
      <w:r w:rsidRPr="00F30483" w:rsidR="004C5000">
        <w:rPr>
          <w:sz w:val="24"/>
          <w:szCs w:val="24"/>
        </w:rPr>
        <w:t>PREM</w:t>
      </w:r>
      <w:r w:rsidRPr="00F30483">
        <w:rPr>
          <w:sz w:val="24"/>
          <w:szCs w:val="24"/>
        </w:rPr>
        <w:t>s?</w:t>
      </w:r>
      <w:r w:rsidRPr="00F30483" w:rsidR="00245A88">
        <w:rPr>
          <w:sz w:val="24"/>
          <w:szCs w:val="24"/>
        </w:rPr>
        <w:t>;</w:t>
      </w:r>
      <w:r w:rsidRPr="00F30483">
        <w:rPr>
          <w:sz w:val="24"/>
          <w:szCs w:val="24"/>
        </w:rPr>
        <w:t xml:space="preserve"> 3) What is the quality and impact of education supported by the </w:t>
      </w:r>
      <w:r w:rsidRPr="00F30483" w:rsidR="004C5000">
        <w:rPr>
          <w:sz w:val="24"/>
          <w:szCs w:val="24"/>
        </w:rPr>
        <w:t>PREM</w:t>
      </w:r>
      <w:r w:rsidRPr="00F30483">
        <w:rPr>
          <w:sz w:val="24"/>
          <w:szCs w:val="24"/>
        </w:rPr>
        <w:t>s?</w:t>
      </w:r>
      <w:r w:rsidRPr="00F30483" w:rsidR="00245A88">
        <w:rPr>
          <w:sz w:val="24"/>
          <w:szCs w:val="24"/>
        </w:rPr>
        <w:t>;</w:t>
      </w:r>
      <w:r w:rsidRPr="00F30483">
        <w:rPr>
          <w:sz w:val="24"/>
          <w:szCs w:val="24"/>
        </w:rPr>
        <w:t xml:space="preserve"> 4) What is the quality and impact of the knowledge transfer of the </w:t>
      </w:r>
      <w:r w:rsidRPr="00F30483" w:rsidR="004C5000">
        <w:rPr>
          <w:sz w:val="24"/>
          <w:szCs w:val="24"/>
        </w:rPr>
        <w:t>PREM</w:t>
      </w:r>
      <w:r w:rsidRPr="00F30483">
        <w:rPr>
          <w:sz w:val="24"/>
          <w:szCs w:val="24"/>
        </w:rPr>
        <w:t>s?</w:t>
      </w:r>
      <w:r w:rsidRPr="00F30483" w:rsidR="00245A88">
        <w:rPr>
          <w:sz w:val="24"/>
          <w:szCs w:val="24"/>
        </w:rPr>
        <w:t>;</w:t>
      </w:r>
      <w:r w:rsidRPr="00F30483">
        <w:rPr>
          <w:sz w:val="24"/>
          <w:szCs w:val="24"/>
        </w:rPr>
        <w:t xml:space="preserve"> 5) Do the </w:t>
      </w:r>
      <w:r w:rsidRPr="00F30483" w:rsidR="004C5000">
        <w:rPr>
          <w:sz w:val="24"/>
          <w:szCs w:val="24"/>
        </w:rPr>
        <w:t>PREM</w:t>
      </w:r>
      <w:r w:rsidRPr="00F30483">
        <w:rPr>
          <w:sz w:val="24"/>
          <w:szCs w:val="24"/>
        </w:rPr>
        <w:t xml:space="preserve">s effectively encourage the participation of </w:t>
      </w:r>
      <w:r w:rsidR="004578AB">
        <w:rPr>
          <w:sz w:val="24"/>
          <w:szCs w:val="24"/>
        </w:rPr>
        <w:t xml:space="preserve">all </w:t>
      </w:r>
      <w:r w:rsidRPr="00F30483">
        <w:rPr>
          <w:sz w:val="24"/>
          <w:szCs w:val="24"/>
        </w:rPr>
        <w:t xml:space="preserve">US </w:t>
      </w:r>
      <w:r w:rsidRPr="00F30483">
        <w:rPr>
          <w:sz w:val="24"/>
          <w:szCs w:val="24"/>
        </w:rPr>
        <w:t>citizens</w:t>
      </w:r>
      <w:r w:rsidR="004578AB">
        <w:rPr>
          <w:sz w:val="24"/>
          <w:szCs w:val="24"/>
        </w:rPr>
        <w:t xml:space="preserve"> </w:t>
      </w:r>
      <w:r w:rsidRPr="00F30483">
        <w:rPr>
          <w:sz w:val="24"/>
          <w:szCs w:val="24"/>
        </w:rPr>
        <w:t>in their activities?</w:t>
      </w:r>
      <w:r w:rsidRPr="00F30483" w:rsidR="00245A88">
        <w:rPr>
          <w:sz w:val="24"/>
          <w:szCs w:val="24"/>
        </w:rPr>
        <w:t xml:space="preserve">; and </w:t>
      </w:r>
      <w:r w:rsidRPr="00F30483">
        <w:rPr>
          <w:sz w:val="24"/>
          <w:szCs w:val="24"/>
        </w:rPr>
        <w:t xml:space="preserve">6) Do the </w:t>
      </w:r>
      <w:r w:rsidRPr="00F30483" w:rsidR="004C5000">
        <w:rPr>
          <w:sz w:val="24"/>
          <w:szCs w:val="24"/>
        </w:rPr>
        <w:t>PREM</w:t>
      </w:r>
      <w:r w:rsidRPr="00F30483">
        <w:rPr>
          <w:sz w:val="24"/>
          <w:szCs w:val="24"/>
        </w:rPr>
        <w:t>s create and sustain organizational connections and linkages within and among academia, government, and industry?</w:t>
      </w:r>
    </w:p>
    <w:p w:rsidR="001A7619" w:rsidRPr="00F30483" w14:paraId="7B764B75" w14:textId="77777777">
      <w:pPr>
        <w:autoSpaceDE w:val="0"/>
        <w:autoSpaceDN w:val="0"/>
        <w:adjustRightInd w:val="0"/>
        <w:spacing w:line="480" w:lineRule="auto"/>
        <w:rPr>
          <w:sz w:val="24"/>
          <w:szCs w:val="24"/>
        </w:rPr>
      </w:pPr>
    </w:p>
    <w:p w:rsidR="00F839B1" w:rsidRPr="00F30483" w14:paraId="15159A50" w14:textId="77777777">
      <w:pPr>
        <w:autoSpaceDE w:val="0"/>
        <w:autoSpaceDN w:val="0"/>
        <w:adjustRightInd w:val="0"/>
        <w:spacing w:line="480" w:lineRule="auto"/>
        <w:rPr>
          <w:sz w:val="24"/>
          <w:szCs w:val="24"/>
        </w:rPr>
      </w:pPr>
      <w:r w:rsidRPr="00F30483">
        <w:rPr>
          <w:sz w:val="24"/>
          <w:szCs w:val="24"/>
        </w:rPr>
        <w:t>The annual progress reports will be used to:</w:t>
      </w:r>
    </w:p>
    <w:p w:rsidR="00F43F64" w:rsidRPr="00F30483" w:rsidP="00F43F64" w14:paraId="78CDACBA" w14:textId="132FF5DA">
      <w:pPr>
        <w:numPr>
          <w:ilvl w:val="0"/>
          <w:numId w:val="20"/>
        </w:numPr>
        <w:autoSpaceDE w:val="0"/>
        <w:autoSpaceDN w:val="0"/>
        <w:adjustRightInd w:val="0"/>
        <w:spacing w:line="480" w:lineRule="auto"/>
        <w:rPr>
          <w:sz w:val="24"/>
          <w:szCs w:val="24"/>
        </w:rPr>
      </w:pPr>
      <w:r w:rsidRPr="00F30483">
        <w:rPr>
          <w:b/>
          <w:bCs/>
          <w:sz w:val="24"/>
          <w:szCs w:val="24"/>
        </w:rPr>
        <w:t>Evaluate annual progress</w:t>
      </w:r>
      <w:r w:rsidRPr="00F30483">
        <w:rPr>
          <w:b/>
          <w:bCs/>
          <w:sz w:val="24"/>
          <w:szCs w:val="24"/>
        </w:rPr>
        <w:t xml:space="preserve"> </w:t>
      </w:r>
      <w:r w:rsidRPr="00F30483">
        <w:rPr>
          <w:b/>
          <w:bCs/>
          <w:sz w:val="24"/>
          <w:szCs w:val="24"/>
        </w:rPr>
        <w:t xml:space="preserve">of a </w:t>
      </w:r>
      <w:r w:rsidRPr="00F30483" w:rsidR="004C5000">
        <w:rPr>
          <w:b/>
          <w:bCs/>
          <w:sz w:val="24"/>
          <w:szCs w:val="24"/>
        </w:rPr>
        <w:t>PREM</w:t>
      </w:r>
      <w:r w:rsidRPr="00F30483">
        <w:rPr>
          <w:sz w:val="24"/>
          <w:szCs w:val="24"/>
        </w:rPr>
        <w:t xml:space="preserve">. The primary purpose of the annual reports is to provide the information </w:t>
      </w:r>
      <w:r w:rsidRPr="00F30483" w:rsidR="001540B4">
        <w:rPr>
          <w:sz w:val="24"/>
          <w:szCs w:val="24"/>
        </w:rPr>
        <w:t>neede</w:t>
      </w:r>
      <w:r w:rsidRPr="00F30483" w:rsidR="00F915FA">
        <w:rPr>
          <w:sz w:val="24"/>
          <w:szCs w:val="24"/>
        </w:rPr>
        <w:t>d</w:t>
      </w:r>
      <w:r w:rsidRPr="00F30483">
        <w:rPr>
          <w:sz w:val="24"/>
          <w:szCs w:val="24"/>
        </w:rPr>
        <w:t xml:space="preserve"> for the NSF to monitor and evaluate th</w:t>
      </w:r>
      <w:r w:rsidRPr="00F30483" w:rsidR="00F915FA">
        <w:rPr>
          <w:sz w:val="24"/>
          <w:szCs w:val="24"/>
        </w:rPr>
        <w:t xml:space="preserve">e progress and accomplishments of individual </w:t>
      </w:r>
      <w:r w:rsidRPr="00F30483" w:rsidR="005B0FD6">
        <w:rPr>
          <w:sz w:val="24"/>
          <w:szCs w:val="24"/>
        </w:rPr>
        <w:t>PREM</w:t>
      </w:r>
      <w:r w:rsidRPr="00F30483" w:rsidR="004C5000">
        <w:rPr>
          <w:sz w:val="24"/>
          <w:szCs w:val="24"/>
        </w:rPr>
        <w:t>s</w:t>
      </w:r>
      <w:r w:rsidRPr="00F30483" w:rsidR="00F915FA">
        <w:rPr>
          <w:sz w:val="24"/>
          <w:szCs w:val="24"/>
        </w:rPr>
        <w:t>, as well as</w:t>
      </w:r>
      <w:r w:rsidRPr="00F30483">
        <w:rPr>
          <w:sz w:val="24"/>
          <w:szCs w:val="24"/>
        </w:rPr>
        <w:t xml:space="preserve"> to identify </w:t>
      </w:r>
      <w:r w:rsidRPr="00F30483" w:rsidR="00F915FA">
        <w:rPr>
          <w:sz w:val="24"/>
          <w:szCs w:val="24"/>
        </w:rPr>
        <w:t xml:space="preserve">any </w:t>
      </w:r>
      <w:r w:rsidRPr="00F30483">
        <w:rPr>
          <w:sz w:val="24"/>
          <w:szCs w:val="24"/>
        </w:rPr>
        <w:t>problems.  The annual reports provide background informatio</w:t>
      </w:r>
      <w:r w:rsidRPr="00F30483" w:rsidR="00486899">
        <w:rPr>
          <w:sz w:val="24"/>
          <w:szCs w:val="24"/>
        </w:rPr>
        <w:t xml:space="preserve">n for </w:t>
      </w:r>
      <w:r w:rsidRPr="00F30483">
        <w:rPr>
          <w:sz w:val="24"/>
          <w:szCs w:val="24"/>
        </w:rPr>
        <w:t xml:space="preserve">site visit reviews/evaluations of each of the </w:t>
      </w:r>
      <w:r w:rsidRPr="00F30483" w:rsidR="004C5000">
        <w:rPr>
          <w:sz w:val="24"/>
          <w:szCs w:val="24"/>
        </w:rPr>
        <w:t>PREM</w:t>
      </w:r>
      <w:r w:rsidRPr="00F30483">
        <w:rPr>
          <w:sz w:val="24"/>
          <w:szCs w:val="24"/>
        </w:rPr>
        <w:t xml:space="preserve">s that are conducted by teams of external reviewers and the NSF staff. </w:t>
      </w:r>
      <w:r w:rsidRPr="00F30483" w:rsidR="00486899">
        <w:rPr>
          <w:sz w:val="24"/>
          <w:szCs w:val="24"/>
        </w:rPr>
        <w:t xml:space="preserve">  The </w:t>
      </w:r>
      <w:r w:rsidRPr="00F30483">
        <w:rPr>
          <w:sz w:val="24"/>
          <w:szCs w:val="24"/>
        </w:rPr>
        <w:t xml:space="preserve">site </w:t>
      </w:r>
      <w:r w:rsidRPr="00F30483" w:rsidR="00550E98">
        <w:rPr>
          <w:sz w:val="24"/>
          <w:szCs w:val="24"/>
        </w:rPr>
        <w:t>visit review</w:t>
      </w:r>
      <w:r w:rsidRPr="00F30483">
        <w:rPr>
          <w:sz w:val="24"/>
          <w:szCs w:val="24"/>
        </w:rPr>
        <w:t xml:space="preserve">/evaluation provides feedback to the </w:t>
      </w:r>
      <w:r w:rsidRPr="00F30483" w:rsidR="004C5000">
        <w:rPr>
          <w:sz w:val="24"/>
          <w:szCs w:val="24"/>
        </w:rPr>
        <w:t>PREM</w:t>
      </w:r>
      <w:r w:rsidRPr="00F30483">
        <w:rPr>
          <w:sz w:val="24"/>
          <w:szCs w:val="24"/>
        </w:rPr>
        <w:t xml:space="preserve"> and the NSF about its strengths and weaknesses. </w:t>
      </w:r>
      <w:r w:rsidRPr="00F30483" w:rsidR="00486899">
        <w:rPr>
          <w:sz w:val="24"/>
          <w:szCs w:val="24"/>
        </w:rPr>
        <w:t xml:space="preserve"> </w:t>
      </w:r>
      <w:r w:rsidRPr="00F30483">
        <w:rPr>
          <w:sz w:val="24"/>
          <w:szCs w:val="24"/>
        </w:rPr>
        <w:t>In cases of significant weaknesses</w:t>
      </w:r>
      <w:r w:rsidRPr="00F30483" w:rsidR="00245A88">
        <w:rPr>
          <w:sz w:val="24"/>
          <w:szCs w:val="24"/>
        </w:rPr>
        <w:t>,</w:t>
      </w:r>
      <w:r w:rsidRPr="00F30483">
        <w:rPr>
          <w:sz w:val="24"/>
          <w:szCs w:val="24"/>
        </w:rPr>
        <w:t xml:space="preserve"> a </w:t>
      </w:r>
      <w:r w:rsidRPr="00F30483" w:rsidR="004C5000">
        <w:rPr>
          <w:sz w:val="24"/>
          <w:szCs w:val="24"/>
        </w:rPr>
        <w:t>PREM</w:t>
      </w:r>
      <w:r w:rsidRPr="00F30483">
        <w:rPr>
          <w:sz w:val="24"/>
          <w:szCs w:val="24"/>
        </w:rPr>
        <w:t xml:space="preserve"> is provided advice and a schedule for addressing any weaknesses.</w:t>
      </w:r>
    </w:p>
    <w:p w:rsidR="00F43F64" w:rsidRPr="00F30483" w:rsidP="00F43F64" w14:paraId="05684838" w14:textId="7532D153">
      <w:pPr>
        <w:numPr>
          <w:ilvl w:val="0"/>
          <w:numId w:val="20"/>
        </w:numPr>
        <w:autoSpaceDE w:val="0"/>
        <w:autoSpaceDN w:val="0"/>
        <w:adjustRightInd w:val="0"/>
        <w:spacing w:line="480" w:lineRule="auto"/>
        <w:rPr>
          <w:sz w:val="24"/>
          <w:szCs w:val="24"/>
        </w:rPr>
      </w:pPr>
      <w:r w:rsidRPr="00F30483">
        <w:rPr>
          <w:b/>
          <w:bCs/>
          <w:sz w:val="24"/>
          <w:szCs w:val="24"/>
        </w:rPr>
        <w:t xml:space="preserve">Develop internal performance indicators and controls for a </w:t>
      </w:r>
      <w:r w:rsidRPr="00F30483" w:rsidR="004C5000">
        <w:rPr>
          <w:b/>
          <w:bCs/>
          <w:sz w:val="24"/>
          <w:szCs w:val="24"/>
        </w:rPr>
        <w:t>PREM</w:t>
      </w:r>
      <w:r w:rsidRPr="00F30483">
        <w:rPr>
          <w:sz w:val="24"/>
          <w:szCs w:val="24"/>
        </w:rPr>
        <w:t xml:space="preserve">. The annual reports provide information that is used by the leadership of each </w:t>
      </w:r>
      <w:r w:rsidRPr="00F30483" w:rsidR="005B0FD6">
        <w:rPr>
          <w:sz w:val="24"/>
          <w:szCs w:val="24"/>
        </w:rPr>
        <w:t>PREM</w:t>
      </w:r>
      <w:r w:rsidRPr="00F30483">
        <w:rPr>
          <w:sz w:val="24"/>
          <w:szCs w:val="24"/>
        </w:rPr>
        <w:t xml:space="preserve"> to create and monitor metrics or performance indicators in the management of their </w:t>
      </w:r>
      <w:r w:rsidRPr="00F30483" w:rsidR="004C5000">
        <w:rPr>
          <w:sz w:val="24"/>
          <w:szCs w:val="24"/>
        </w:rPr>
        <w:t>PREM</w:t>
      </w:r>
      <w:r w:rsidRPr="00F30483">
        <w:rPr>
          <w:sz w:val="24"/>
          <w:szCs w:val="24"/>
        </w:rPr>
        <w:t>s.</w:t>
      </w:r>
    </w:p>
    <w:p w:rsidR="00F43F64" w:rsidRPr="00F30483" w:rsidP="00F43F64" w14:paraId="0CA74E82" w14:textId="205BB154">
      <w:pPr>
        <w:numPr>
          <w:ilvl w:val="0"/>
          <w:numId w:val="20"/>
        </w:numPr>
        <w:autoSpaceDE w:val="0"/>
        <w:autoSpaceDN w:val="0"/>
        <w:adjustRightInd w:val="0"/>
        <w:spacing w:line="480" w:lineRule="auto"/>
        <w:rPr>
          <w:sz w:val="24"/>
          <w:szCs w:val="24"/>
        </w:rPr>
      </w:pPr>
      <w:r w:rsidRPr="00F30483">
        <w:rPr>
          <w:b/>
          <w:bCs/>
          <w:sz w:val="24"/>
          <w:szCs w:val="24"/>
        </w:rPr>
        <w:t>Make funding decisions</w:t>
      </w:r>
      <w:r w:rsidRPr="00F30483">
        <w:rPr>
          <w:sz w:val="24"/>
          <w:szCs w:val="24"/>
        </w:rPr>
        <w:t xml:space="preserve">. The </w:t>
      </w:r>
      <w:r w:rsidRPr="00F30483" w:rsidR="005B0FD6">
        <w:rPr>
          <w:sz w:val="24"/>
          <w:szCs w:val="24"/>
        </w:rPr>
        <w:t>PREM</w:t>
      </w:r>
      <w:r w:rsidRPr="00F30483">
        <w:rPr>
          <w:sz w:val="24"/>
          <w:szCs w:val="24"/>
        </w:rPr>
        <w:t xml:space="preserve">s funds are </w:t>
      </w:r>
      <w:r w:rsidRPr="00F30483" w:rsidR="00393AD0">
        <w:rPr>
          <w:sz w:val="24"/>
          <w:szCs w:val="24"/>
        </w:rPr>
        <w:t>released</w:t>
      </w:r>
      <w:r w:rsidRPr="00F30483">
        <w:rPr>
          <w:sz w:val="24"/>
          <w:szCs w:val="24"/>
        </w:rPr>
        <w:t xml:space="preserve"> to each </w:t>
      </w:r>
      <w:r w:rsidRPr="00F30483" w:rsidR="004C5000">
        <w:rPr>
          <w:sz w:val="24"/>
          <w:szCs w:val="24"/>
        </w:rPr>
        <w:t>PREM</w:t>
      </w:r>
      <w:r w:rsidRPr="00F30483">
        <w:rPr>
          <w:sz w:val="24"/>
          <w:szCs w:val="24"/>
        </w:rPr>
        <w:t xml:space="preserve"> on an annual basis. </w:t>
      </w:r>
      <w:r w:rsidRPr="00F30483" w:rsidR="00486899">
        <w:rPr>
          <w:sz w:val="24"/>
          <w:szCs w:val="24"/>
        </w:rPr>
        <w:t xml:space="preserve"> </w:t>
      </w:r>
      <w:r w:rsidRPr="00F30483">
        <w:rPr>
          <w:sz w:val="24"/>
          <w:szCs w:val="24"/>
        </w:rPr>
        <w:t xml:space="preserve">The NSF staff uses each </w:t>
      </w:r>
      <w:r w:rsidRPr="00F30483" w:rsidR="004C5000">
        <w:rPr>
          <w:sz w:val="24"/>
          <w:szCs w:val="24"/>
        </w:rPr>
        <w:t>PREM</w:t>
      </w:r>
      <w:r w:rsidRPr="00F30483">
        <w:rPr>
          <w:sz w:val="24"/>
          <w:szCs w:val="24"/>
        </w:rPr>
        <w:t xml:space="preserve">’s annual report together with the written input from the external reviewers responsible for the site visit review/evaluation of a </w:t>
      </w:r>
      <w:r w:rsidRPr="00F30483" w:rsidR="004C5000">
        <w:rPr>
          <w:sz w:val="24"/>
          <w:szCs w:val="24"/>
        </w:rPr>
        <w:t>PREM</w:t>
      </w:r>
      <w:r w:rsidRPr="00F30483">
        <w:rPr>
          <w:sz w:val="24"/>
          <w:szCs w:val="24"/>
        </w:rPr>
        <w:t xml:space="preserve"> to make decisions on the continuation and </w:t>
      </w:r>
      <w:r w:rsidRPr="00F30483" w:rsidR="00550E98">
        <w:rPr>
          <w:sz w:val="24"/>
          <w:szCs w:val="24"/>
        </w:rPr>
        <w:t>funding level</w:t>
      </w:r>
      <w:r w:rsidRPr="00F30483">
        <w:rPr>
          <w:sz w:val="24"/>
          <w:szCs w:val="24"/>
        </w:rPr>
        <w:t xml:space="preserve"> for the </w:t>
      </w:r>
      <w:r w:rsidRPr="00F30483" w:rsidR="004C5000">
        <w:rPr>
          <w:sz w:val="24"/>
          <w:szCs w:val="24"/>
        </w:rPr>
        <w:t>PREM</w:t>
      </w:r>
      <w:r w:rsidRPr="00F30483">
        <w:rPr>
          <w:sz w:val="24"/>
          <w:szCs w:val="24"/>
        </w:rPr>
        <w:t>.</w:t>
      </w:r>
    </w:p>
    <w:p w:rsidR="001801DF" w:rsidRPr="00F30483" w:rsidP="00F43F64" w14:paraId="097B939E" w14:textId="2BAB8D72">
      <w:pPr>
        <w:numPr>
          <w:ilvl w:val="0"/>
          <w:numId w:val="20"/>
        </w:numPr>
        <w:autoSpaceDE w:val="0"/>
        <w:autoSpaceDN w:val="0"/>
        <w:adjustRightInd w:val="0"/>
        <w:spacing w:line="480" w:lineRule="auto"/>
        <w:rPr>
          <w:sz w:val="24"/>
          <w:szCs w:val="24"/>
        </w:rPr>
      </w:pPr>
      <w:r w:rsidRPr="00F30483">
        <w:rPr>
          <w:b/>
          <w:bCs/>
          <w:sz w:val="24"/>
          <w:szCs w:val="24"/>
        </w:rPr>
        <w:t xml:space="preserve">Evaluate overall effectiveness of the </w:t>
      </w:r>
      <w:r w:rsidRPr="00F30483" w:rsidR="005B0FD6">
        <w:rPr>
          <w:b/>
          <w:bCs/>
          <w:sz w:val="24"/>
          <w:szCs w:val="24"/>
        </w:rPr>
        <w:t>PREM</w:t>
      </w:r>
      <w:r w:rsidRPr="00F30483">
        <w:rPr>
          <w:b/>
          <w:bCs/>
          <w:sz w:val="24"/>
          <w:szCs w:val="24"/>
        </w:rPr>
        <w:t xml:space="preserve"> program</w:t>
      </w:r>
      <w:r w:rsidRPr="00F30483">
        <w:rPr>
          <w:sz w:val="24"/>
          <w:szCs w:val="24"/>
        </w:rPr>
        <w:t xml:space="preserve">. </w:t>
      </w:r>
      <w:r w:rsidRPr="00F30483" w:rsidR="00D217BA">
        <w:rPr>
          <w:sz w:val="24"/>
          <w:szCs w:val="24"/>
        </w:rPr>
        <w:t xml:space="preserve">NSF uses the aggregate reports from all </w:t>
      </w:r>
      <w:r w:rsidRPr="00F30483" w:rsidR="005B0FD6">
        <w:rPr>
          <w:sz w:val="24"/>
          <w:szCs w:val="24"/>
        </w:rPr>
        <w:t>PREM</w:t>
      </w:r>
      <w:r w:rsidRPr="00F30483" w:rsidR="00D217BA">
        <w:rPr>
          <w:sz w:val="24"/>
          <w:szCs w:val="24"/>
        </w:rPr>
        <w:t>s</w:t>
      </w:r>
      <w:r w:rsidRPr="00F30483">
        <w:rPr>
          <w:sz w:val="24"/>
          <w:szCs w:val="24"/>
        </w:rPr>
        <w:t xml:space="preserve"> in evaluating the effectiveness of the </w:t>
      </w:r>
      <w:r w:rsidRPr="00F30483" w:rsidR="005B0FD6">
        <w:rPr>
          <w:sz w:val="24"/>
          <w:szCs w:val="24"/>
        </w:rPr>
        <w:t>PREM</w:t>
      </w:r>
      <w:r w:rsidRPr="00F30483" w:rsidR="00D217BA">
        <w:rPr>
          <w:sz w:val="24"/>
          <w:szCs w:val="24"/>
        </w:rPr>
        <w:t xml:space="preserve"> p</w:t>
      </w:r>
      <w:r w:rsidRPr="00F30483">
        <w:rPr>
          <w:sz w:val="24"/>
          <w:szCs w:val="24"/>
        </w:rPr>
        <w:t>rogram on an ongoing basis</w:t>
      </w:r>
      <w:r w:rsidRPr="00F30483" w:rsidR="001829E0">
        <w:rPr>
          <w:sz w:val="24"/>
          <w:szCs w:val="24"/>
        </w:rPr>
        <w:t xml:space="preserve">. </w:t>
      </w:r>
    </w:p>
    <w:p w:rsidR="00F839B1" w:rsidRPr="00F30483" w14:paraId="64DAC553" w14:textId="77777777">
      <w:pPr>
        <w:pStyle w:val="AbtHeadC"/>
        <w:rPr>
          <w:rFonts w:ascii="Times New Roman" w:hAnsi="Times New Roman"/>
          <w:b w:val="0"/>
          <w:bCs/>
          <w:sz w:val="24"/>
          <w:szCs w:val="24"/>
        </w:rPr>
      </w:pPr>
      <w:r w:rsidRPr="00F30483">
        <w:rPr>
          <w:rFonts w:ascii="Times New Roman" w:hAnsi="Times New Roman"/>
          <w:sz w:val="24"/>
          <w:szCs w:val="24"/>
        </w:rPr>
        <w:t>A.2. Purpose and Use of Data</w:t>
      </w:r>
    </w:p>
    <w:p w:rsidR="00F839B1" w:rsidRPr="00F30483" w14:paraId="37D0F272" w14:textId="5E9B2C28">
      <w:pPr>
        <w:autoSpaceDE w:val="0"/>
        <w:autoSpaceDN w:val="0"/>
        <w:adjustRightInd w:val="0"/>
        <w:spacing w:line="480" w:lineRule="auto"/>
        <w:rPr>
          <w:sz w:val="24"/>
          <w:szCs w:val="24"/>
        </w:rPr>
      </w:pPr>
      <w:r w:rsidRPr="00F30483">
        <w:rPr>
          <w:sz w:val="24"/>
          <w:szCs w:val="24"/>
        </w:rPr>
        <w:t xml:space="preserve">The reports will be used </w:t>
      </w:r>
      <w:r w:rsidRPr="00F30483" w:rsidR="00393AD0">
        <w:rPr>
          <w:sz w:val="24"/>
          <w:szCs w:val="24"/>
        </w:rPr>
        <w:t>for</w:t>
      </w:r>
      <w:r w:rsidRPr="00F30483">
        <w:rPr>
          <w:sz w:val="24"/>
          <w:szCs w:val="24"/>
        </w:rPr>
        <w:t>:</w:t>
      </w:r>
    </w:p>
    <w:p w:rsidR="00F43F64" w:rsidRPr="00F30483" w:rsidP="00F43F64" w14:paraId="65F1CB77" w14:textId="2210FD51">
      <w:pPr>
        <w:numPr>
          <w:ilvl w:val="0"/>
          <w:numId w:val="21"/>
        </w:numPr>
        <w:autoSpaceDE w:val="0"/>
        <w:autoSpaceDN w:val="0"/>
        <w:adjustRightInd w:val="0"/>
        <w:spacing w:line="480" w:lineRule="auto"/>
        <w:rPr>
          <w:sz w:val="24"/>
          <w:szCs w:val="24"/>
        </w:rPr>
      </w:pPr>
      <w:r w:rsidRPr="00F30483">
        <w:rPr>
          <w:b/>
          <w:bCs/>
          <w:sz w:val="24"/>
          <w:szCs w:val="24"/>
        </w:rPr>
        <w:t xml:space="preserve">External Reviewer Site Visits. </w:t>
      </w:r>
      <w:r w:rsidRPr="00F30483" w:rsidR="00D217BA">
        <w:rPr>
          <w:sz w:val="24"/>
          <w:szCs w:val="24"/>
        </w:rPr>
        <w:t>NSF convenes e</w:t>
      </w:r>
      <w:r w:rsidRPr="00F30483">
        <w:rPr>
          <w:sz w:val="24"/>
          <w:szCs w:val="24"/>
        </w:rPr>
        <w:t>xternal site visit t</w:t>
      </w:r>
      <w:r w:rsidRPr="00F30483" w:rsidR="00D217BA">
        <w:rPr>
          <w:sz w:val="24"/>
          <w:szCs w:val="24"/>
        </w:rPr>
        <w:t xml:space="preserve">eams (one for each </w:t>
      </w:r>
      <w:r w:rsidRPr="00F30483" w:rsidR="004C5000">
        <w:rPr>
          <w:sz w:val="24"/>
          <w:szCs w:val="24"/>
        </w:rPr>
        <w:t>PREM</w:t>
      </w:r>
      <w:r w:rsidRPr="00F30483" w:rsidR="00D217BA">
        <w:rPr>
          <w:sz w:val="24"/>
          <w:szCs w:val="24"/>
        </w:rPr>
        <w:t xml:space="preserve">) </w:t>
      </w:r>
      <w:r w:rsidRPr="00F30483" w:rsidR="00486899">
        <w:rPr>
          <w:sz w:val="24"/>
          <w:szCs w:val="24"/>
        </w:rPr>
        <w:t>on a regular basis to</w:t>
      </w:r>
      <w:r w:rsidRPr="00F30483">
        <w:rPr>
          <w:sz w:val="24"/>
          <w:szCs w:val="24"/>
        </w:rPr>
        <w:t xml:space="preserve"> evaluate the individual </w:t>
      </w:r>
      <w:r w:rsidRPr="00F30483" w:rsidR="005B0FD6">
        <w:rPr>
          <w:sz w:val="24"/>
          <w:szCs w:val="24"/>
        </w:rPr>
        <w:t>PREM</w:t>
      </w:r>
      <w:r w:rsidRPr="00F30483">
        <w:rPr>
          <w:sz w:val="24"/>
          <w:szCs w:val="24"/>
        </w:rPr>
        <w:t xml:space="preserve">s. </w:t>
      </w:r>
      <w:r w:rsidRPr="00F30483" w:rsidR="00393AD0">
        <w:rPr>
          <w:sz w:val="24"/>
          <w:szCs w:val="24"/>
        </w:rPr>
        <w:t>NSF program staff selects the external site visit team for a PREM</w:t>
      </w:r>
      <w:r w:rsidRPr="00F30483">
        <w:rPr>
          <w:sz w:val="24"/>
          <w:szCs w:val="24"/>
        </w:rPr>
        <w:t xml:space="preserve">. </w:t>
      </w:r>
      <w:r w:rsidRPr="00F30483" w:rsidR="00486899">
        <w:rPr>
          <w:sz w:val="24"/>
          <w:szCs w:val="24"/>
        </w:rPr>
        <w:t xml:space="preserve"> </w:t>
      </w:r>
      <w:r w:rsidRPr="00F30483">
        <w:rPr>
          <w:sz w:val="24"/>
          <w:szCs w:val="24"/>
        </w:rPr>
        <w:t>Typically</w:t>
      </w:r>
      <w:r w:rsidRPr="00F30483" w:rsidR="00B35F85">
        <w:rPr>
          <w:sz w:val="24"/>
          <w:szCs w:val="24"/>
        </w:rPr>
        <w:t>,</w:t>
      </w:r>
      <w:r w:rsidRPr="00F30483">
        <w:rPr>
          <w:sz w:val="24"/>
          <w:szCs w:val="24"/>
        </w:rPr>
        <w:t xml:space="preserve"> a site visit team will have </w:t>
      </w:r>
      <w:r w:rsidRPr="00F30483" w:rsidR="0000006E">
        <w:rPr>
          <w:sz w:val="24"/>
          <w:szCs w:val="24"/>
        </w:rPr>
        <w:t>1-3</w:t>
      </w:r>
      <w:r w:rsidRPr="00F30483">
        <w:rPr>
          <w:sz w:val="24"/>
          <w:szCs w:val="24"/>
        </w:rPr>
        <w:t xml:space="preserve"> members that have scientific, educational and management expertise </w:t>
      </w:r>
      <w:r w:rsidRPr="00F30483" w:rsidR="0000006E">
        <w:rPr>
          <w:sz w:val="24"/>
          <w:szCs w:val="24"/>
        </w:rPr>
        <w:t>appropriate</w:t>
      </w:r>
      <w:r w:rsidRPr="00F30483">
        <w:rPr>
          <w:sz w:val="24"/>
          <w:szCs w:val="24"/>
        </w:rPr>
        <w:t xml:space="preserve"> to the specific </w:t>
      </w:r>
      <w:r w:rsidRPr="00F30483" w:rsidR="004C5000">
        <w:rPr>
          <w:sz w:val="24"/>
          <w:szCs w:val="24"/>
        </w:rPr>
        <w:t>PREM</w:t>
      </w:r>
      <w:r w:rsidRPr="00F30483">
        <w:rPr>
          <w:sz w:val="24"/>
          <w:szCs w:val="24"/>
        </w:rPr>
        <w:t>’s activities</w:t>
      </w:r>
      <w:r w:rsidRPr="00F30483" w:rsidR="00B059A2">
        <w:rPr>
          <w:sz w:val="24"/>
          <w:szCs w:val="24"/>
        </w:rPr>
        <w:t xml:space="preserve">; site visits also include </w:t>
      </w:r>
      <w:r w:rsidRPr="00F30483" w:rsidR="00393AD0">
        <w:rPr>
          <w:sz w:val="24"/>
          <w:szCs w:val="24"/>
        </w:rPr>
        <w:t>the PREM Program Director</w:t>
      </w:r>
      <w:r w:rsidRPr="00F30483" w:rsidR="00B059A2">
        <w:rPr>
          <w:sz w:val="24"/>
          <w:szCs w:val="24"/>
        </w:rPr>
        <w:t>.</w:t>
      </w:r>
      <w:r w:rsidRPr="00F30483">
        <w:rPr>
          <w:sz w:val="24"/>
          <w:szCs w:val="24"/>
        </w:rPr>
        <w:t xml:space="preserve">  The teams use the information in the annual reports to assist in the on-site evaluation of each </w:t>
      </w:r>
      <w:r w:rsidRPr="00F30483" w:rsidR="005B0FD6">
        <w:rPr>
          <w:sz w:val="24"/>
          <w:szCs w:val="24"/>
        </w:rPr>
        <w:t>PREM</w:t>
      </w:r>
      <w:r w:rsidRPr="00F30483">
        <w:rPr>
          <w:sz w:val="24"/>
          <w:szCs w:val="24"/>
        </w:rPr>
        <w:t xml:space="preserve">’s progress relative to its stated goals and objectives and to its performance during the </w:t>
      </w:r>
      <w:r w:rsidRPr="00F30483">
        <w:rPr>
          <w:sz w:val="24"/>
          <w:szCs w:val="24"/>
        </w:rPr>
        <w:t>p</w:t>
      </w:r>
      <w:r w:rsidRPr="00F30483">
        <w:rPr>
          <w:sz w:val="24"/>
          <w:szCs w:val="24"/>
        </w:rPr>
        <w:t xml:space="preserve">revious year.  </w:t>
      </w:r>
      <w:r w:rsidRPr="00F30483" w:rsidR="005F7332">
        <w:rPr>
          <w:sz w:val="24"/>
          <w:szCs w:val="24"/>
        </w:rPr>
        <w:t>After</w:t>
      </w:r>
      <w:r w:rsidRPr="00F30483">
        <w:rPr>
          <w:sz w:val="24"/>
          <w:szCs w:val="24"/>
        </w:rPr>
        <w:t xml:space="preserve"> </w:t>
      </w:r>
      <w:r w:rsidRPr="00F30483" w:rsidR="005F7332">
        <w:rPr>
          <w:sz w:val="24"/>
          <w:szCs w:val="24"/>
        </w:rPr>
        <w:t>reviewing</w:t>
      </w:r>
      <w:r w:rsidRPr="00F30483">
        <w:rPr>
          <w:sz w:val="24"/>
          <w:szCs w:val="24"/>
        </w:rPr>
        <w:t xml:space="preserve"> the annual progress report, the site visitors spend time at the </w:t>
      </w:r>
      <w:r w:rsidRPr="00F30483" w:rsidR="004C5000">
        <w:rPr>
          <w:sz w:val="24"/>
          <w:szCs w:val="24"/>
        </w:rPr>
        <w:t>PREM</w:t>
      </w:r>
      <w:r w:rsidRPr="00F30483">
        <w:rPr>
          <w:sz w:val="24"/>
          <w:szCs w:val="24"/>
        </w:rPr>
        <w:t>’s site</w:t>
      </w:r>
      <w:r w:rsidRPr="00F30483" w:rsidR="00EC16AD">
        <w:rPr>
          <w:sz w:val="24"/>
          <w:szCs w:val="24"/>
        </w:rPr>
        <w:t xml:space="preserve"> (typically 1</w:t>
      </w:r>
      <w:r w:rsidRPr="00F30483" w:rsidR="00393AD0">
        <w:rPr>
          <w:sz w:val="24"/>
          <w:szCs w:val="24"/>
        </w:rPr>
        <w:t>.5</w:t>
      </w:r>
      <w:r w:rsidRPr="00F30483" w:rsidR="00EC16AD">
        <w:rPr>
          <w:sz w:val="24"/>
          <w:szCs w:val="24"/>
        </w:rPr>
        <w:t xml:space="preserve"> days)</w:t>
      </w:r>
      <w:r w:rsidRPr="00F30483">
        <w:rPr>
          <w:sz w:val="24"/>
          <w:szCs w:val="24"/>
        </w:rPr>
        <w:t xml:space="preserve"> in discussion with the </w:t>
      </w:r>
      <w:r w:rsidRPr="00F30483" w:rsidR="004C5000">
        <w:rPr>
          <w:sz w:val="24"/>
          <w:szCs w:val="24"/>
        </w:rPr>
        <w:t>PREM</w:t>
      </w:r>
      <w:r w:rsidRPr="00F30483">
        <w:rPr>
          <w:sz w:val="24"/>
          <w:szCs w:val="24"/>
        </w:rPr>
        <w:t xml:space="preserve">’s researchers, educators, staff and students </w:t>
      </w:r>
      <w:r w:rsidRPr="00F30483" w:rsidR="00401B0B">
        <w:rPr>
          <w:sz w:val="24"/>
          <w:szCs w:val="24"/>
        </w:rPr>
        <w:t xml:space="preserve">to evaluate </w:t>
      </w:r>
      <w:r w:rsidRPr="00F30483">
        <w:rPr>
          <w:sz w:val="24"/>
          <w:szCs w:val="24"/>
        </w:rPr>
        <w:t xml:space="preserve">the </w:t>
      </w:r>
      <w:r w:rsidRPr="00F30483" w:rsidR="004C5000">
        <w:rPr>
          <w:sz w:val="24"/>
          <w:szCs w:val="24"/>
        </w:rPr>
        <w:t>PREM</w:t>
      </w:r>
      <w:r w:rsidRPr="00F30483">
        <w:rPr>
          <w:sz w:val="24"/>
          <w:szCs w:val="24"/>
        </w:rPr>
        <w:t xml:space="preserve">’s progress.  The external site visit team </w:t>
      </w:r>
      <w:r w:rsidRPr="00F30483" w:rsidR="008736D6">
        <w:rPr>
          <w:sz w:val="24"/>
          <w:szCs w:val="24"/>
        </w:rPr>
        <w:t>provides a written summary of the</w:t>
      </w:r>
      <w:r w:rsidRPr="00F30483">
        <w:rPr>
          <w:sz w:val="24"/>
          <w:szCs w:val="24"/>
        </w:rPr>
        <w:t xml:space="preserve"> strengths and weaknesses of the </w:t>
      </w:r>
      <w:r w:rsidRPr="00F30483" w:rsidR="004C5000">
        <w:rPr>
          <w:sz w:val="24"/>
          <w:szCs w:val="24"/>
        </w:rPr>
        <w:t>PREM</w:t>
      </w:r>
      <w:r w:rsidRPr="00F30483">
        <w:rPr>
          <w:sz w:val="24"/>
          <w:szCs w:val="24"/>
        </w:rPr>
        <w:t xml:space="preserve">’s progress and submits its report to the </w:t>
      </w:r>
      <w:r w:rsidRPr="00F30483" w:rsidR="004C5000">
        <w:rPr>
          <w:sz w:val="24"/>
          <w:szCs w:val="24"/>
        </w:rPr>
        <w:t>PREM</w:t>
      </w:r>
      <w:r w:rsidRPr="00F30483">
        <w:rPr>
          <w:sz w:val="24"/>
          <w:szCs w:val="24"/>
        </w:rPr>
        <w:t xml:space="preserve"> and to the NSF.</w:t>
      </w:r>
    </w:p>
    <w:p w:rsidR="00F839B1" w:rsidRPr="00F30483" w:rsidP="002D5F82" w14:paraId="035A9C91" w14:textId="49950B1D">
      <w:pPr>
        <w:numPr>
          <w:ilvl w:val="0"/>
          <w:numId w:val="21"/>
        </w:numPr>
        <w:autoSpaceDE w:val="0"/>
        <w:autoSpaceDN w:val="0"/>
        <w:adjustRightInd w:val="0"/>
        <w:spacing w:line="480" w:lineRule="auto"/>
        <w:rPr>
          <w:sz w:val="24"/>
          <w:szCs w:val="24"/>
        </w:rPr>
      </w:pPr>
      <w:r w:rsidRPr="00F30483">
        <w:rPr>
          <w:b/>
          <w:bCs/>
          <w:sz w:val="24"/>
          <w:szCs w:val="24"/>
        </w:rPr>
        <w:t xml:space="preserve">NSF Staff Evaluation of </w:t>
      </w:r>
      <w:r w:rsidRPr="00F30483" w:rsidR="004C5000">
        <w:rPr>
          <w:b/>
          <w:bCs/>
          <w:sz w:val="24"/>
          <w:szCs w:val="24"/>
        </w:rPr>
        <w:t>PREM</w:t>
      </w:r>
      <w:r w:rsidRPr="00F30483">
        <w:rPr>
          <w:b/>
          <w:bCs/>
          <w:sz w:val="24"/>
          <w:szCs w:val="24"/>
        </w:rPr>
        <w:t xml:space="preserve">’s Progress and Funding Decision for Following Year.  </w:t>
      </w:r>
      <w:r w:rsidRPr="00F30483" w:rsidR="002562D7">
        <w:rPr>
          <w:sz w:val="24"/>
          <w:szCs w:val="24"/>
        </w:rPr>
        <w:t>Each</w:t>
      </w:r>
      <w:r w:rsidRPr="00F30483">
        <w:rPr>
          <w:sz w:val="24"/>
          <w:szCs w:val="24"/>
        </w:rPr>
        <w:t xml:space="preserve"> </w:t>
      </w:r>
      <w:r w:rsidRPr="00F30483" w:rsidR="005B0FD6">
        <w:rPr>
          <w:sz w:val="24"/>
          <w:szCs w:val="24"/>
        </w:rPr>
        <w:t>PREM</w:t>
      </w:r>
      <w:r w:rsidRPr="00F30483" w:rsidR="00486899">
        <w:rPr>
          <w:sz w:val="24"/>
          <w:szCs w:val="24"/>
        </w:rPr>
        <w:t xml:space="preserve"> </w:t>
      </w:r>
      <w:r w:rsidRPr="00F30483" w:rsidR="002562D7">
        <w:rPr>
          <w:sz w:val="24"/>
          <w:szCs w:val="24"/>
        </w:rPr>
        <w:t>is monitored</w:t>
      </w:r>
      <w:r w:rsidRPr="00F30483" w:rsidR="00486899">
        <w:rPr>
          <w:sz w:val="24"/>
          <w:szCs w:val="24"/>
        </w:rPr>
        <w:t xml:space="preserve"> </w:t>
      </w:r>
      <w:r w:rsidRPr="00F30483" w:rsidR="001B3A50">
        <w:rPr>
          <w:sz w:val="24"/>
          <w:szCs w:val="24"/>
        </w:rPr>
        <w:t xml:space="preserve">by </w:t>
      </w:r>
      <w:r w:rsidRPr="00F30483" w:rsidR="00E634BF">
        <w:rPr>
          <w:sz w:val="24"/>
          <w:szCs w:val="24"/>
        </w:rPr>
        <w:t>the PREM Program Director</w:t>
      </w:r>
      <w:r w:rsidRPr="00F30483" w:rsidR="002562D7">
        <w:rPr>
          <w:sz w:val="24"/>
          <w:szCs w:val="24"/>
        </w:rPr>
        <w:t>, in consultation with other DMR staff as appropriate</w:t>
      </w:r>
      <w:r w:rsidRPr="00F30483" w:rsidR="00486899">
        <w:rPr>
          <w:sz w:val="24"/>
          <w:szCs w:val="24"/>
        </w:rPr>
        <w:t xml:space="preserve">.   </w:t>
      </w:r>
      <w:r w:rsidRPr="00F30483" w:rsidR="004C25F9">
        <w:rPr>
          <w:sz w:val="24"/>
          <w:szCs w:val="24"/>
        </w:rPr>
        <w:t xml:space="preserve">The NSF </w:t>
      </w:r>
      <w:r w:rsidRPr="00F30483" w:rsidR="008736D6">
        <w:rPr>
          <w:sz w:val="24"/>
          <w:szCs w:val="24"/>
        </w:rPr>
        <w:t>staff monitor</w:t>
      </w:r>
      <w:r w:rsidRPr="00F30483" w:rsidR="00447BE4">
        <w:rPr>
          <w:sz w:val="24"/>
          <w:szCs w:val="24"/>
        </w:rPr>
        <w:t xml:space="preserve">s </w:t>
      </w:r>
      <w:r w:rsidRPr="00F30483" w:rsidR="004C5000">
        <w:rPr>
          <w:sz w:val="24"/>
          <w:szCs w:val="24"/>
        </w:rPr>
        <w:t>PREM</w:t>
      </w:r>
      <w:r w:rsidRPr="00F30483" w:rsidR="008736D6">
        <w:rPr>
          <w:sz w:val="24"/>
          <w:szCs w:val="24"/>
        </w:rPr>
        <w:t xml:space="preserve"> activities, in part through data recorded in the annual reports, and makes</w:t>
      </w:r>
      <w:r w:rsidRPr="00F30483">
        <w:rPr>
          <w:sz w:val="24"/>
          <w:szCs w:val="24"/>
        </w:rPr>
        <w:t xml:space="preserve"> decisions about external reviewers and </w:t>
      </w:r>
      <w:r w:rsidRPr="00F30483" w:rsidR="004C5000">
        <w:rPr>
          <w:sz w:val="24"/>
          <w:szCs w:val="24"/>
        </w:rPr>
        <w:t>PREM</w:t>
      </w:r>
      <w:r w:rsidRPr="00F30483">
        <w:rPr>
          <w:sz w:val="24"/>
          <w:szCs w:val="24"/>
        </w:rPr>
        <w:t xml:space="preserve"> funding.</w:t>
      </w:r>
    </w:p>
    <w:p w:rsidR="00F839B1" w:rsidRPr="00F30483" w14:paraId="463507DE" w14:textId="77777777">
      <w:pPr>
        <w:pStyle w:val="AbtHeadC"/>
        <w:rPr>
          <w:rFonts w:ascii="Times New Roman" w:hAnsi="Times New Roman"/>
          <w:sz w:val="24"/>
          <w:szCs w:val="24"/>
        </w:rPr>
      </w:pPr>
      <w:r w:rsidRPr="00F30483">
        <w:rPr>
          <w:rFonts w:ascii="Times New Roman" w:hAnsi="Times New Roman"/>
          <w:sz w:val="24"/>
          <w:szCs w:val="24"/>
        </w:rPr>
        <w:t>A.3. Use of Automation</w:t>
      </w:r>
    </w:p>
    <w:p w:rsidR="00F839B1" w:rsidRPr="00F30483" w14:paraId="7B7BBB64" w14:textId="664A07F4">
      <w:pPr>
        <w:autoSpaceDE w:val="0"/>
        <w:autoSpaceDN w:val="0"/>
        <w:adjustRightInd w:val="0"/>
        <w:spacing w:line="480" w:lineRule="auto"/>
        <w:rPr>
          <w:sz w:val="24"/>
          <w:szCs w:val="24"/>
        </w:rPr>
      </w:pPr>
      <w:r w:rsidRPr="00F30483">
        <w:rPr>
          <w:sz w:val="24"/>
          <w:szCs w:val="24"/>
        </w:rPr>
        <w:t>All reports are submitted electronically vi</w:t>
      </w:r>
      <w:r w:rsidRPr="00F30483" w:rsidR="001829E0">
        <w:rPr>
          <w:sz w:val="24"/>
          <w:szCs w:val="24"/>
        </w:rPr>
        <w:t xml:space="preserve">a </w:t>
      </w:r>
      <w:r w:rsidRPr="00F30483" w:rsidR="0043322A">
        <w:rPr>
          <w:sz w:val="24"/>
          <w:szCs w:val="24"/>
        </w:rPr>
        <w:t>Research.gov</w:t>
      </w:r>
      <w:r w:rsidRPr="00F30483" w:rsidR="004C25F9">
        <w:rPr>
          <w:sz w:val="24"/>
          <w:szCs w:val="24"/>
        </w:rPr>
        <w:t xml:space="preserve">.  </w:t>
      </w:r>
    </w:p>
    <w:p w:rsidR="00F839B1" w:rsidRPr="00F30483" w14:paraId="54D0F32C" w14:textId="77777777">
      <w:pPr>
        <w:pStyle w:val="AbtHeadC"/>
        <w:rPr>
          <w:rFonts w:ascii="Times New Roman" w:hAnsi="Times New Roman"/>
          <w:sz w:val="24"/>
          <w:szCs w:val="24"/>
        </w:rPr>
      </w:pPr>
    </w:p>
    <w:p w:rsidR="00F839B1" w:rsidRPr="00F30483" w14:paraId="6F0DC4F6" w14:textId="77777777">
      <w:pPr>
        <w:pStyle w:val="AbtHeadC"/>
        <w:rPr>
          <w:rFonts w:ascii="Times New Roman" w:hAnsi="Times New Roman"/>
          <w:b w:val="0"/>
          <w:bCs/>
          <w:sz w:val="24"/>
          <w:szCs w:val="24"/>
        </w:rPr>
      </w:pPr>
      <w:r w:rsidRPr="00F30483">
        <w:rPr>
          <w:rFonts w:ascii="Times New Roman" w:hAnsi="Times New Roman"/>
          <w:sz w:val="24"/>
          <w:szCs w:val="24"/>
        </w:rPr>
        <w:t>A.4. Efforts to Identify Duplication</w:t>
      </w:r>
    </w:p>
    <w:p w:rsidR="00F839B1" w:rsidRPr="00F30483" w:rsidP="00551A74" w14:paraId="7E49F35F" w14:textId="24DE90C7">
      <w:pPr>
        <w:autoSpaceDE w:val="0"/>
        <w:autoSpaceDN w:val="0"/>
        <w:adjustRightInd w:val="0"/>
        <w:spacing w:line="480" w:lineRule="auto"/>
        <w:rPr>
          <w:sz w:val="24"/>
          <w:szCs w:val="24"/>
        </w:rPr>
      </w:pPr>
      <w:r w:rsidRPr="00F30483">
        <w:rPr>
          <w:sz w:val="24"/>
          <w:szCs w:val="24"/>
        </w:rPr>
        <w:t>No other federal agencies or o</w:t>
      </w:r>
      <w:r w:rsidRPr="00F30483" w:rsidR="00551A74">
        <w:rPr>
          <w:sz w:val="24"/>
          <w:szCs w:val="24"/>
        </w:rPr>
        <w:t>rganization within NSF collects the same data submitted in annual and final</w:t>
      </w:r>
      <w:r w:rsidRPr="00F30483">
        <w:rPr>
          <w:sz w:val="24"/>
          <w:szCs w:val="24"/>
        </w:rPr>
        <w:t xml:space="preserve"> </w:t>
      </w:r>
      <w:r w:rsidRPr="00F30483" w:rsidR="005B0FD6">
        <w:rPr>
          <w:sz w:val="24"/>
          <w:szCs w:val="24"/>
        </w:rPr>
        <w:t>PREM</w:t>
      </w:r>
      <w:r w:rsidRPr="00F30483" w:rsidR="00551A74">
        <w:rPr>
          <w:sz w:val="24"/>
          <w:szCs w:val="24"/>
        </w:rPr>
        <w:t xml:space="preserve"> reports.</w:t>
      </w:r>
    </w:p>
    <w:p w:rsidR="00551A74" w:rsidRPr="00F30483" w:rsidP="00551A74" w14:paraId="760A73D4" w14:textId="77777777">
      <w:pPr>
        <w:autoSpaceDE w:val="0"/>
        <w:autoSpaceDN w:val="0"/>
        <w:adjustRightInd w:val="0"/>
        <w:spacing w:line="480" w:lineRule="auto"/>
        <w:rPr>
          <w:sz w:val="24"/>
          <w:szCs w:val="24"/>
        </w:rPr>
      </w:pPr>
    </w:p>
    <w:p w:rsidR="00F839B1" w:rsidRPr="00F30483" w14:paraId="0A0A70A6" w14:textId="77777777">
      <w:pPr>
        <w:pStyle w:val="AbtHeadC"/>
        <w:rPr>
          <w:rFonts w:ascii="Times New Roman" w:hAnsi="Times New Roman"/>
          <w:sz w:val="24"/>
          <w:szCs w:val="24"/>
        </w:rPr>
      </w:pPr>
      <w:r w:rsidRPr="00F30483">
        <w:rPr>
          <w:rFonts w:ascii="Times New Roman" w:hAnsi="Times New Roman"/>
          <w:sz w:val="24"/>
          <w:szCs w:val="24"/>
        </w:rPr>
        <w:t>A.5. Small Business Consideration</w:t>
      </w:r>
    </w:p>
    <w:p w:rsidR="00F839B1" w:rsidRPr="00F30483" w14:paraId="4D9041AF" w14:textId="77777777">
      <w:pPr>
        <w:autoSpaceDE w:val="0"/>
        <w:autoSpaceDN w:val="0"/>
        <w:adjustRightInd w:val="0"/>
        <w:spacing w:line="480" w:lineRule="auto"/>
        <w:rPr>
          <w:sz w:val="24"/>
          <w:szCs w:val="24"/>
        </w:rPr>
      </w:pPr>
      <w:r w:rsidRPr="00F30483">
        <w:rPr>
          <w:sz w:val="24"/>
          <w:szCs w:val="24"/>
        </w:rPr>
        <w:t>N/A</w:t>
      </w:r>
    </w:p>
    <w:p w:rsidR="00F839B1" w:rsidRPr="00F30483" w14:paraId="3234A4F3" w14:textId="77777777">
      <w:pPr>
        <w:pStyle w:val="AbtHeadC"/>
        <w:rPr>
          <w:rFonts w:ascii="Times New Roman" w:hAnsi="Times New Roman"/>
          <w:sz w:val="24"/>
          <w:szCs w:val="24"/>
        </w:rPr>
      </w:pPr>
    </w:p>
    <w:p w:rsidR="00F839B1" w:rsidRPr="00F30483" w14:paraId="28A8D7F8" w14:textId="77777777">
      <w:pPr>
        <w:pStyle w:val="AbtHeadC"/>
        <w:rPr>
          <w:rFonts w:ascii="Times New Roman" w:hAnsi="Times New Roman"/>
          <w:sz w:val="24"/>
          <w:szCs w:val="24"/>
        </w:rPr>
      </w:pPr>
      <w:r w:rsidRPr="00F30483">
        <w:rPr>
          <w:rFonts w:ascii="Times New Roman" w:hAnsi="Times New Roman"/>
          <w:sz w:val="24"/>
          <w:szCs w:val="24"/>
        </w:rPr>
        <w:t>A. 6. Consequences of Less Frequent Collection</w:t>
      </w:r>
    </w:p>
    <w:p w:rsidR="00F839B1" w:rsidRPr="00F30483" w14:paraId="707208D4" w14:textId="5B45143F">
      <w:pPr>
        <w:autoSpaceDE w:val="0"/>
        <w:autoSpaceDN w:val="0"/>
        <w:adjustRightInd w:val="0"/>
        <w:spacing w:line="480" w:lineRule="auto"/>
        <w:rPr>
          <w:sz w:val="24"/>
          <w:szCs w:val="24"/>
        </w:rPr>
      </w:pPr>
      <w:r w:rsidRPr="00F30483">
        <w:rPr>
          <w:sz w:val="24"/>
          <w:szCs w:val="24"/>
        </w:rPr>
        <w:t xml:space="preserve">The reports generated by the annual data collection </w:t>
      </w:r>
      <w:r w:rsidRPr="00F30483" w:rsidR="00624DAA">
        <w:rPr>
          <w:sz w:val="24"/>
          <w:szCs w:val="24"/>
        </w:rPr>
        <w:t>are</w:t>
      </w:r>
      <w:r w:rsidRPr="00F30483">
        <w:rPr>
          <w:sz w:val="24"/>
          <w:szCs w:val="24"/>
        </w:rPr>
        <w:t xml:space="preserve"> one of the primary mechanisms used by the NSF for approving funding for the </w:t>
      </w:r>
      <w:r w:rsidRPr="00F30483" w:rsidR="005B0FD6">
        <w:rPr>
          <w:sz w:val="24"/>
          <w:szCs w:val="24"/>
        </w:rPr>
        <w:t>PREM</w:t>
      </w:r>
      <w:r w:rsidRPr="00F30483">
        <w:rPr>
          <w:sz w:val="24"/>
          <w:szCs w:val="24"/>
        </w:rPr>
        <w:t xml:space="preserve">s on an annual basis.   Less frequent data collection would preclude NSF’s annual monitoring and documentation of the progress of each </w:t>
      </w:r>
      <w:r w:rsidRPr="00F30483" w:rsidR="005B0FD6">
        <w:rPr>
          <w:sz w:val="24"/>
          <w:szCs w:val="24"/>
        </w:rPr>
        <w:t>PREM</w:t>
      </w:r>
      <w:r w:rsidRPr="00F30483">
        <w:rPr>
          <w:sz w:val="24"/>
          <w:szCs w:val="24"/>
        </w:rPr>
        <w:t xml:space="preserve"> and, thus, would not allow for informed decisions about funding and timely correction of any weaknesses identified in a </w:t>
      </w:r>
      <w:r w:rsidRPr="00F30483" w:rsidR="004C5000">
        <w:rPr>
          <w:sz w:val="24"/>
          <w:szCs w:val="24"/>
        </w:rPr>
        <w:t>PREM</w:t>
      </w:r>
      <w:r w:rsidRPr="00F30483">
        <w:rPr>
          <w:sz w:val="24"/>
          <w:szCs w:val="24"/>
        </w:rPr>
        <w:t xml:space="preserve">’s activities. </w:t>
      </w:r>
      <w:r w:rsidRPr="00F30483" w:rsidR="001C51DC">
        <w:rPr>
          <w:sz w:val="24"/>
          <w:szCs w:val="24"/>
        </w:rPr>
        <w:t>Less</w:t>
      </w:r>
      <w:r w:rsidRPr="00F30483">
        <w:rPr>
          <w:sz w:val="24"/>
          <w:szCs w:val="24"/>
        </w:rPr>
        <w:t xml:space="preserve"> frequent </w:t>
      </w:r>
      <w:r w:rsidRPr="00F30483" w:rsidR="001C51DC">
        <w:rPr>
          <w:sz w:val="24"/>
          <w:szCs w:val="24"/>
        </w:rPr>
        <w:t xml:space="preserve">data </w:t>
      </w:r>
      <w:r w:rsidRPr="00F30483">
        <w:rPr>
          <w:sz w:val="24"/>
          <w:szCs w:val="24"/>
        </w:rPr>
        <w:t xml:space="preserve">collection would </w:t>
      </w:r>
      <w:r w:rsidRPr="00F30483" w:rsidR="001C51DC">
        <w:rPr>
          <w:sz w:val="24"/>
          <w:szCs w:val="24"/>
        </w:rPr>
        <w:t xml:space="preserve">reduce the effectiveness </w:t>
      </w:r>
      <w:r w:rsidRPr="00F30483" w:rsidR="003E5FDE">
        <w:rPr>
          <w:sz w:val="24"/>
          <w:szCs w:val="24"/>
        </w:rPr>
        <w:t>of continuously</w:t>
      </w:r>
      <w:r w:rsidRPr="00F30483">
        <w:rPr>
          <w:sz w:val="24"/>
          <w:szCs w:val="24"/>
        </w:rPr>
        <w:t xml:space="preserve"> monitor</w:t>
      </w:r>
      <w:r w:rsidRPr="00F30483" w:rsidR="001C51DC">
        <w:rPr>
          <w:sz w:val="24"/>
          <w:szCs w:val="24"/>
        </w:rPr>
        <w:t>ing</w:t>
      </w:r>
      <w:r w:rsidRPr="00F30483">
        <w:rPr>
          <w:sz w:val="24"/>
          <w:szCs w:val="24"/>
        </w:rPr>
        <w:t xml:space="preserve"> the large investments of resources and time that NSF has committed to the </w:t>
      </w:r>
      <w:r w:rsidRPr="00F30483" w:rsidR="005B0FD6">
        <w:rPr>
          <w:sz w:val="24"/>
          <w:szCs w:val="24"/>
        </w:rPr>
        <w:t>PREM</w:t>
      </w:r>
      <w:r w:rsidRPr="00F30483" w:rsidR="00551A74">
        <w:rPr>
          <w:sz w:val="24"/>
          <w:szCs w:val="24"/>
        </w:rPr>
        <w:t xml:space="preserve"> </w:t>
      </w:r>
      <w:r w:rsidRPr="00F30483">
        <w:rPr>
          <w:sz w:val="24"/>
          <w:szCs w:val="24"/>
        </w:rPr>
        <w:t>Program.</w:t>
      </w:r>
      <w:r w:rsidRPr="00F30483" w:rsidR="00551A74">
        <w:rPr>
          <w:sz w:val="24"/>
          <w:szCs w:val="24"/>
        </w:rPr>
        <w:t xml:space="preserve"> </w:t>
      </w:r>
      <w:r w:rsidRPr="00F30483">
        <w:rPr>
          <w:sz w:val="24"/>
          <w:szCs w:val="24"/>
        </w:rPr>
        <w:t xml:space="preserve"> Furthermore, the annual data collection </w:t>
      </w:r>
      <w:r w:rsidRPr="00F30483" w:rsidR="003E5FDE">
        <w:rPr>
          <w:sz w:val="24"/>
          <w:szCs w:val="24"/>
        </w:rPr>
        <w:t>matches</w:t>
      </w:r>
      <w:r w:rsidRPr="00F30483">
        <w:rPr>
          <w:sz w:val="24"/>
          <w:szCs w:val="24"/>
        </w:rPr>
        <w:t xml:space="preserve"> the </w:t>
      </w:r>
      <w:r w:rsidRPr="00F30483" w:rsidR="000F17AB">
        <w:rPr>
          <w:sz w:val="24"/>
          <w:szCs w:val="24"/>
        </w:rPr>
        <w:t xml:space="preserve">academic year planning of the </w:t>
      </w:r>
      <w:r w:rsidRPr="00F30483" w:rsidR="004C5000">
        <w:rPr>
          <w:sz w:val="24"/>
          <w:szCs w:val="24"/>
        </w:rPr>
        <w:t>PREM</w:t>
      </w:r>
      <w:r w:rsidRPr="00F30483" w:rsidR="000F17AB">
        <w:rPr>
          <w:sz w:val="24"/>
          <w:szCs w:val="24"/>
        </w:rPr>
        <w:t xml:space="preserve">s, </w:t>
      </w:r>
      <w:r w:rsidRPr="00F30483">
        <w:rPr>
          <w:sz w:val="24"/>
          <w:szCs w:val="24"/>
        </w:rPr>
        <w:t xml:space="preserve">increasing the likelihood that the improvements to </w:t>
      </w:r>
      <w:r w:rsidRPr="00F30483" w:rsidR="004C5000">
        <w:rPr>
          <w:sz w:val="24"/>
          <w:szCs w:val="24"/>
        </w:rPr>
        <w:t>PREM</w:t>
      </w:r>
      <w:r w:rsidRPr="00F30483">
        <w:rPr>
          <w:sz w:val="24"/>
          <w:szCs w:val="24"/>
        </w:rPr>
        <w:t xml:space="preserve"> activities will be made</w:t>
      </w:r>
      <w:r w:rsidRPr="00F30483" w:rsidR="000F17AB">
        <w:rPr>
          <w:sz w:val="24"/>
          <w:szCs w:val="24"/>
        </w:rPr>
        <w:t xml:space="preserve"> quickly</w:t>
      </w:r>
      <w:r w:rsidRPr="00F30483">
        <w:rPr>
          <w:sz w:val="24"/>
          <w:szCs w:val="24"/>
        </w:rPr>
        <w:t xml:space="preserve">.  Less frequent data collection would </w:t>
      </w:r>
      <w:r w:rsidRPr="00F30483" w:rsidR="00397129">
        <w:rPr>
          <w:sz w:val="24"/>
          <w:szCs w:val="24"/>
        </w:rPr>
        <w:t>increase the</w:t>
      </w:r>
      <w:r w:rsidRPr="00F30483">
        <w:rPr>
          <w:sz w:val="24"/>
          <w:szCs w:val="24"/>
        </w:rPr>
        <w:t xml:space="preserve"> burden on the individual </w:t>
      </w:r>
      <w:r w:rsidRPr="00F30483" w:rsidR="004C5000">
        <w:rPr>
          <w:sz w:val="24"/>
          <w:szCs w:val="24"/>
        </w:rPr>
        <w:t>PREM</w:t>
      </w:r>
      <w:r w:rsidRPr="00F30483" w:rsidR="00624DAA">
        <w:rPr>
          <w:sz w:val="24"/>
          <w:szCs w:val="24"/>
        </w:rPr>
        <w:t>’s</w:t>
      </w:r>
      <w:r w:rsidRPr="00F30483">
        <w:rPr>
          <w:sz w:val="24"/>
          <w:szCs w:val="24"/>
        </w:rPr>
        <w:t xml:space="preserve"> management </w:t>
      </w:r>
      <w:r w:rsidRPr="00F30483" w:rsidR="00397129">
        <w:rPr>
          <w:sz w:val="24"/>
          <w:szCs w:val="24"/>
        </w:rPr>
        <w:t>by splitting</w:t>
      </w:r>
      <w:r w:rsidRPr="00F30483">
        <w:rPr>
          <w:sz w:val="24"/>
          <w:szCs w:val="24"/>
        </w:rPr>
        <w:t xml:space="preserve"> two reporting responsibilities (1) to collect and aggregate data annually for internal management and (2) to collect and report data for efforts associated with program level monitoring and documentation. </w:t>
      </w:r>
    </w:p>
    <w:p w:rsidR="00F839B1" w:rsidRPr="00F30483" w14:paraId="61C98EA5" w14:textId="77777777">
      <w:pPr>
        <w:pStyle w:val="AbtHeadC"/>
        <w:rPr>
          <w:rFonts w:ascii="Times New Roman" w:hAnsi="Times New Roman"/>
          <w:sz w:val="24"/>
          <w:szCs w:val="24"/>
        </w:rPr>
      </w:pPr>
    </w:p>
    <w:p w:rsidR="00F839B1" w:rsidRPr="00F30483" w14:paraId="0C7243DC" w14:textId="77777777">
      <w:pPr>
        <w:pStyle w:val="AbtHeadC"/>
        <w:rPr>
          <w:rFonts w:ascii="Times New Roman" w:hAnsi="Times New Roman"/>
          <w:sz w:val="24"/>
          <w:szCs w:val="24"/>
        </w:rPr>
      </w:pPr>
      <w:r w:rsidRPr="00F30483">
        <w:rPr>
          <w:rFonts w:ascii="Times New Roman" w:hAnsi="Times New Roman"/>
          <w:sz w:val="24"/>
          <w:szCs w:val="24"/>
        </w:rPr>
        <w:t>A.7. Special Circumstances for Collection</w:t>
      </w:r>
    </w:p>
    <w:p w:rsidR="00F839B1" w:rsidRPr="00F30483" w14:paraId="16A20253" w14:textId="77777777">
      <w:pPr>
        <w:pStyle w:val="BodyText"/>
        <w:rPr>
          <w:sz w:val="24"/>
          <w:szCs w:val="24"/>
        </w:rPr>
      </w:pPr>
      <w:r w:rsidRPr="00F30483">
        <w:rPr>
          <w:sz w:val="24"/>
          <w:szCs w:val="24"/>
        </w:rPr>
        <w:t>N/A</w:t>
      </w:r>
    </w:p>
    <w:p w:rsidR="00F839B1" w:rsidRPr="00F30483" w14:paraId="603FF4DB" w14:textId="77777777">
      <w:pPr>
        <w:pStyle w:val="BodyText"/>
        <w:rPr>
          <w:sz w:val="24"/>
          <w:szCs w:val="24"/>
        </w:rPr>
      </w:pPr>
    </w:p>
    <w:p w:rsidR="00F839B1" w:rsidRPr="00F30483" w14:paraId="10A15313" w14:textId="77777777">
      <w:pPr>
        <w:pStyle w:val="BodyText"/>
        <w:rPr>
          <w:sz w:val="24"/>
          <w:szCs w:val="24"/>
        </w:rPr>
      </w:pPr>
    </w:p>
    <w:p w:rsidR="00F839B1" w:rsidRPr="00F30483" w14:paraId="17FCA764" w14:textId="77777777">
      <w:pPr>
        <w:pStyle w:val="AbtHeadC"/>
        <w:rPr>
          <w:rFonts w:ascii="Times New Roman" w:hAnsi="Times New Roman"/>
          <w:b w:val="0"/>
          <w:bCs/>
          <w:sz w:val="24"/>
          <w:szCs w:val="24"/>
        </w:rPr>
      </w:pPr>
      <w:r w:rsidRPr="00F30483">
        <w:rPr>
          <w:rFonts w:ascii="Times New Roman" w:hAnsi="Times New Roman"/>
          <w:sz w:val="24"/>
          <w:szCs w:val="24"/>
        </w:rPr>
        <w:t>A. 8. Federal Register Notice and Outside Consultation</w:t>
      </w:r>
    </w:p>
    <w:p w:rsidR="00F839B1" w:rsidRPr="00F30483" w14:paraId="52AE769A" w14:textId="0DBA7CB0">
      <w:pPr>
        <w:pStyle w:val="BodyText"/>
        <w:suppressAutoHyphens/>
        <w:spacing w:line="480" w:lineRule="auto"/>
        <w:rPr>
          <w:bCs/>
          <w:sz w:val="24"/>
          <w:szCs w:val="24"/>
        </w:rPr>
      </w:pPr>
      <w:r w:rsidRPr="00F30483">
        <w:rPr>
          <w:bCs/>
          <w:sz w:val="24"/>
          <w:szCs w:val="24"/>
        </w:rPr>
        <w:t xml:space="preserve">The agency’s notice, as required by 5 CFR 1320.8(d), was published in the </w:t>
      </w:r>
      <w:r w:rsidRPr="00F30483">
        <w:rPr>
          <w:bCs/>
          <w:i/>
          <w:iCs/>
          <w:sz w:val="24"/>
          <w:szCs w:val="24"/>
        </w:rPr>
        <w:t>Federal Register</w:t>
      </w:r>
      <w:r w:rsidRPr="00F30483" w:rsidR="00874D85">
        <w:rPr>
          <w:bCs/>
          <w:sz w:val="24"/>
          <w:szCs w:val="24"/>
        </w:rPr>
        <w:t xml:space="preserve"> on </w:t>
      </w:r>
      <w:r w:rsidR="00E05E5C">
        <w:rPr>
          <w:bCs/>
          <w:sz w:val="24"/>
          <w:szCs w:val="24"/>
        </w:rPr>
        <w:t>January 23, 2025</w:t>
      </w:r>
      <w:r w:rsidRPr="00F30483" w:rsidR="00874D85">
        <w:rPr>
          <w:bCs/>
          <w:sz w:val="24"/>
          <w:szCs w:val="24"/>
        </w:rPr>
        <w:t xml:space="preserve">, at </w:t>
      </w:r>
      <w:r w:rsidR="00E05E5C">
        <w:rPr>
          <w:bCs/>
          <w:sz w:val="24"/>
          <w:szCs w:val="24"/>
        </w:rPr>
        <w:t>90</w:t>
      </w:r>
      <w:r w:rsidRPr="00F30483" w:rsidR="00874D85">
        <w:rPr>
          <w:bCs/>
          <w:sz w:val="24"/>
          <w:szCs w:val="24"/>
        </w:rPr>
        <w:t xml:space="preserve"> FR </w:t>
      </w:r>
      <w:r w:rsidR="009208FB">
        <w:rPr>
          <w:bCs/>
          <w:sz w:val="24"/>
          <w:szCs w:val="24"/>
        </w:rPr>
        <w:t>8055</w:t>
      </w:r>
      <w:r w:rsidRPr="00F30483" w:rsidR="00874D85">
        <w:rPr>
          <w:bCs/>
          <w:sz w:val="24"/>
          <w:szCs w:val="24"/>
        </w:rPr>
        <w:t>, and no comments were received.</w:t>
      </w:r>
    </w:p>
    <w:p w:rsidR="00F839B1" w:rsidRPr="00F30483" w14:paraId="0A08D288" w14:textId="77777777">
      <w:pPr>
        <w:autoSpaceDE w:val="0"/>
        <w:autoSpaceDN w:val="0"/>
        <w:adjustRightInd w:val="0"/>
        <w:spacing w:line="480" w:lineRule="auto"/>
        <w:rPr>
          <w:sz w:val="24"/>
          <w:szCs w:val="24"/>
        </w:rPr>
      </w:pPr>
    </w:p>
    <w:p w:rsidR="00F839B1" w:rsidRPr="00F30483" w14:paraId="0F81640E" w14:textId="10563D51">
      <w:pPr>
        <w:autoSpaceDE w:val="0"/>
        <w:autoSpaceDN w:val="0"/>
        <w:adjustRightInd w:val="0"/>
        <w:spacing w:line="480" w:lineRule="auto"/>
        <w:rPr>
          <w:sz w:val="24"/>
          <w:szCs w:val="24"/>
        </w:rPr>
      </w:pPr>
      <w:r w:rsidRPr="00F30483">
        <w:rPr>
          <w:sz w:val="24"/>
          <w:szCs w:val="24"/>
        </w:rPr>
        <w:t xml:space="preserve">In addition, the reporting requirements and estimates on the hourly burden were discussed with the management of the </w:t>
      </w:r>
      <w:r w:rsidRPr="00F30483" w:rsidR="004C5000">
        <w:rPr>
          <w:sz w:val="24"/>
          <w:szCs w:val="24"/>
        </w:rPr>
        <w:t>PREM</w:t>
      </w:r>
      <w:r w:rsidRPr="00F30483" w:rsidR="00042D96">
        <w:rPr>
          <w:sz w:val="24"/>
          <w:szCs w:val="24"/>
        </w:rPr>
        <w:t>s</w:t>
      </w:r>
      <w:r w:rsidRPr="00F30483" w:rsidR="001829E0">
        <w:rPr>
          <w:sz w:val="24"/>
          <w:szCs w:val="24"/>
        </w:rPr>
        <w:t xml:space="preserve">. </w:t>
      </w:r>
      <w:r w:rsidRPr="00F30483">
        <w:rPr>
          <w:sz w:val="24"/>
          <w:szCs w:val="24"/>
        </w:rPr>
        <w:t xml:space="preserve"> </w:t>
      </w:r>
      <w:r w:rsidRPr="00F30483" w:rsidR="004C5000">
        <w:rPr>
          <w:sz w:val="24"/>
          <w:szCs w:val="24"/>
        </w:rPr>
        <w:t>PREM</w:t>
      </w:r>
      <w:r w:rsidRPr="00F30483">
        <w:rPr>
          <w:sz w:val="24"/>
          <w:szCs w:val="24"/>
        </w:rPr>
        <w:t xml:space="preserve">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rsidR="004C25F9" w:rsidRPr="00F30483" w14:paraId="71E82CD9" w14:textId="77777777">
      <w:pPr>
        <w:autoSpaceDE w:val="0"/>
        <w:autoSpaceDN w:val="0"/>
        <w:adjustRightInd w:val="0"/>
        <w:spacing w:line="480" w:lineRule="auto"/>
        <w:rPr>
          <w:sz w:val="24"/>
          <w:szCs w:val="24"/>
          <w:highlight w:val="yellow"/>
        </w:rPr>
      </w:pPr>
    </w:p>
    <w:p w:rsidR="00F839B1" w:rsidRPr="00F30483" w14:paraId="730D70C6" w14:textId="77777777">
      <w:pPr>
        <w:pStyle w:val="AbtHeadC"/>
        <w:rPr>
          <w:rFonts w:ascii="Times New Roman" w:hAnsi="Times New Roman"/>
          <w:b w:val="0"/>
          <w:bCs/>
          <w:sz w:val="24"/>
          <w:szCs w:val="24"/>
        </w:rPr>
      </w:pPr>
      <w:r w:rsidRPr="00F30483">
        <w:rPr>
          <w:rFonts w:ascii="Times New Roman" w:hAnsi="Times New Roman"/>
          <w:sz w:val="24"/>
          <w:szCs w:val="24"/>
        </w:rPr>
        <w:t xml:space="preserve">A. 9. Gifts or Remuneration </w:t>
      </w:r>
    </w:p>
    <w:p w:rsidR="00F839B1" w:rsidRPr="00F30483" w14:paraId="65AC4427" w14:textId="77777777">
      <w:pPr>
        <w:pStyle w:val="BodyText"/>
        <w:rPr>
          <w:sz w:val="24"/>
          <w:szCs w:val="24"/>
        </w:rPr>
      </w:pPr>
      <w:r w:rsidRPr="00F30483">
        <w:rPr>
          <w:sz w:val="24"/>
          <w:szCs w:val="24"/>
        </w:rPr>
        <w:t>N/A</w:t>
      </w:r>
    </w:p>
    <w:p w:rsidR="00F839B1" w:rsidRPr="00F30483" w14:paraId="1CBF7F7C" w14:textId="77777777">
      <w:pPr>
        <w:pStyle w:val="BodyText"/>
        <w:rPr>
          <w:sz w:val="24"/>
          <w:szCs w:val="24"/>
        </w:rPr>
      </w:pPr>
    </w:p>
    <w:p w:rsidR="00F839B1" w:rsidRPr="00F30483" w14:paraId="798A806D" w14:textId="77777777">
      <w:pPr>
        <w:pStyle w:val="BodyText"/>
        <w:rPr>
          <w:sz w:val="24"/>
          <w:szCs w:val="24"/>
        </w:rPr>
      </w:pPr>
    </w:p>
    <w:p w:rsidR="00F839B1" w:rsidRPr="00F30483" w14:paraId="516DC145" w14:textId="77777777">
      <w:pPr>
        <w:pStyle w:val="AbtHeadC"/>
        <w:rPr>
          <w:rFonts w:ascii="Times New Roman" w:hAnsi="Times New Roman"/>
          <w:sz w:val="24"/>
          <w:szCs w:val="24"/>
        </w:rPr>
      </w:pPr>
      <w:r w:rsidRPr="00F30483">
        <w:rPr>
          <w:rFonts w:ascii="Times New Roman" w:hAnsi="Times New Roman"/>
          <w:sz w:val="24"/>
          <w:szCs w:val="24"/>
        </w:rPr>
        <w:t>A.10. Assurance of Confidentiality</w:t>
      </w:r>
    </w:p>
    <w:p w:rsidR="00F839B1" w:rsidRPr="00F30483" w14:paraId="7A9C4EA7" w14:textId="5EACB550">
      <w:pPr>
        <w:autoSpaceDE w:val="0"/>
        <w:autoSpaceDN w:val="0"/>
        <w:adjustRightInd w:val="0"/>
        <w:spacing w:line="480" w:lineRule="auto"/>
        <w:rPr>
          <w:sz w:val="24"/>
          <w:szCs w:val="24"/>
        </w:rPr>
      </w:pPr>
      <w:r w:rsidRPr="00F30483">
        <w:rPr>
          <w:sz w:val="24"/>
          <w:szCs w:val="24"/>
        </w:rPr>
        <w:t xml:space="preserve">Because data are collected at the </w:t>
      </w:r>
      <w:r w:rsidRPr="00F30483" w:rsidR="004C5000">
        <w:rPr>
          <w:sz w:val="24"/>
          <w:szCs w:val="24"/>
        </w:rPr>
        <w:t>PREM</w:t>
      </w:r>
      <w:r w:rsidRPr="00F30483">
        <w:rPr>
          <w:sz w:val="24"/>
          <w:szCs w:val="24"/>
        </w:rPr>
        <w:t xml:space="preserve"> level, individual respondents are not identified.  </w:t>
      </w:r>
      <w:r w:rsidRPr="00F30483" w:rsidR="004C5000">
        <w:rPr>
          <w:sz w:val="24"/>
          <w:szCs w:val="24"/>
        </w:rPr>
        <w:t>PREM</w:t>
      </w:r>
      <w:r w:rsidRPr="00F30483">
        <w:rPr>
          <w:sz w:val="24"/>
          <w:szCs w:val="24"/>
        </w:rPr>
        <w:t xml:space="preserve">s </w:t>
      </w:r>
      <w:r w:rsidRPr="00F30483" w:rsidR="00042D96">
        <w:rPr>
          <w:sz w:val="24"/>
          <w:szCs w:val="24"/>
        </w:rPr>
        <w:t xml:space="preserve">frequently </w:t>
      </w:r>
      <w:r w:rsidRPr="00F30483">
        <w:rPr>
          <w:sz w:val="24"/>
          <w:szCs w:val="24"/>
        </w:rPr>
        <w:t xml:space="preserve">make </w:t>
      </w:r>
      <w:r w:rsidRPr="00F30483" w:rsidR="00042D96">
        <w:rPr>
          <w:sz w:val="24"/>
          <w:szCs w:val="24"/>
        </w:rPr>
        <w:t xml:space="preserve">significant sections of </w:t>
      </w:r>
      <w:r w:rsidRPr="00F30483">
        <w:rPr>
          <w:sz w:val="24"/>
          <w:szCs w:val="24"/>
        </w:rPr>
        <w:t>their annual reports publicly available</w:t>
      </w:r>
      <w:r w:rsidRPr="00F30483" w:rsidR="00042D96">
        <w:rPr>
          <w:sz w:val="24"/>
          <w:szCs w:val="24"/>
        </w:rPr>
        <w:t>.</w:t>
      </w:r>
    </w:p>
    <w:p w:rsidR="00F43F64" w:rsidRPr="00F30483" w14:paraId="59824DA9" w14:textId="77777777">
      <w:pPr>
        <w:pStyle w:val="AbtHeadC"/>
        <w:rPr>
          <w:rFonts w:ascii="Times New Roman" w:hAnsi="Times New Roman"/>
          <w:sz w:val="24"/>
          <w:szCs w:val="24"/>
        </w:rPr>
      </w:pPr>
    </w:p>
    <w:p w:rsidR="00F839B1" w:rsidRPr="00F30483" w14:paraId="76EA22EF" w14:textId="77777777">
      <w:pPr>
        <w:pStyle w:val="AbtHeadC"/>
        <w:rPr>
          <w:rFonts w:ascii="Times New Roman" w:hAnsi="Times New Roman"/>
          <w:sz w:val="24"/>
          <w:szCs w:val="24"/>
        </w:rPr>
      </w:pPr>
      <w:r w:rsidRPr="00F30483">
        <w:rPr>
          <w:rFonts w:ascii="Times New Roman" w:hAnsi="Times New Roman"/>
          <w:sz w:val="24"/>
          <w:szCs w:val="24"/>
        </w:rPr>
        <w:t>A. 11. Questions of a Sensitive Nature</w:t>
      </w:r>
    </w:p>
    <w:p w:rsidR="00F839B1" w:rsidRPr="00F30483" w14:paraId="0F4B232A" w14:textId="77777777">
      <w:pPr>
        <w:autoSpaceDE w:val="0"/>
        <w:autoSpaceDN w:val="0"/>
        <w:adjustRightInd w:val="0"/>
        <w:spacing w:line="480" w:lineRule="auto"/>
        <w:rPr>
          <w:sz w:val="24"/>
          <w:szCs w:val="24"/>
        </w:rPr>
      </w:pPr>
      <w:r w:rsidRPr="00F30483">
        <w:rPr>
          <w:sz w:val="24"/>
          <w:szCs w:val="24"/>
        </w:rPr>
        <w:t>No questions of a sensitive nature are used. Only questions pertaining to the progress of the</w:t>
      </w:r>
    </w:p>
    <w:p w:rsidR="00F839B1" w:rsidRPr="00F30483" w14:paraId="5090AAF1" w14:textId="09A4063D">
      <w:pPr>
        <w:autoSpaceDE w:val="0"/>
        <w:autoSpaceDN w:val="0"/>
        <w:adjustRightInd w:val="0"/>
        <w:spacing w:line="480" w:lineRule="auto"/>
        <w:rPr>
          <w:sz w:val="24"/>
          <w:szCs w:val="24"/>
        </w:rPr>
      </w:pPr>
      <w:r w:rsidRPr="00F30483">
        <w:rPr>
          <w:sz w:val="24"/>
          <w:szCs w:val="24"/>
        </w:rPr>
        <w:t>PREM</w:t>
      </w:r>
      <w:r w:rsidRPr="00F30483">
        <w:rPr>
          <w:sz w:val="24"/>
          <w:szCs w:val="24"/>
        </w:rPr>
        <w:t>, as stated by the program announcement, are used.</w:t>
      </w:r>
      <w:r w:rsidRPr="00F30483" w:rsidR="00042D96">
        <w:rPr>
          <w:sz w:val="24"/>
          <w:szCs w:val="24"/>
        </w:rPr>
        <w:t xml:space="preserve">  </w:t>
      </w:r>
    </w:p>
    <w:p w:rsidR="00F839B1" w:rsidRPr="00F30483" w14:paraId="58FAD197" w14:textId="77777777">
      <w:pPr>
        <w:autoSpaceDE w:val="0"/>
        <w:autoSpaceDN w:val="0"/>
        <w:adjustRightInd w:val="0"/>
        <w:spacing w:line="480" w:lineRule="auto"/>
        <w:rPr>
          <w:sz w:val="24"/>
          <w:szCs w:val="24"/>
        </w:rPr>
      </w:pPr>
    </w:p>
    <w:p w:rsidR="00F839B1" w:rsidRPr="003F7BA6" w14:paraId="2947793B" w14:textId="77777777">
      <w:pPr>
        <w:pStyle w:val="AbtHeadC"/>
        <w:rPr>
          <w:rFonts w:ascii="Times New Roman" w:hAnsi="Times New Roman"/>
          <w:b w:val="0"/>
          <w:bCs/>
          <w:sz w:val="24"/>
          <w:szCs w:val="24"/>
        </w:rPr>
      </w:pPr>
      <w:r w:rsidRPr="003F7BA6">
        <w:rPr>
          <w:rFonts w:ascii="Times New Roman" w:hAnsi="Times New Roman"/>
          <w:sz w:val="24"/>
          <w:szCs w:val="24"/>
        </w:rPr>
        <w:t>A. 12. Estimate of Burden</w:t>
      </w:r>
    </w:p>
    <w:p w:rsidR="00F839B1" w:rsidRPr="003F7BA6" w14:paraId="410CA186" w14:textId="6E42C662">
      <w:pPr>
        <w:autoSpaceDE w:val="0"/>
        <w:autoSpaceDN w:val="0"/>
        <w:adjustRightInd w:val="0"/>
        <w:spacing w:line="480" w:lineRule="auto"/>
        <w:rPr>
          <w:sz w:val="24"/>
          <w:szCs w:val="24"/>
        </w:rPr>
      </w:pPr>
      <w:r w:rsidRPr="003F7BA6">
        <w:rPr>
          <w:sz w:val="24"/>
          <w:szCs w:val="24"/>
        </w:rPr>
        <w:t xml:space="preserve">This request pertains to the </w:t>
      </w:r>
      <w:r w:rsidRPr="003F7BA6" w:rsidR="00306FE7">
        <w:rPr>
          <w:sz w:val="24"/>
          <w:szCs w:val="24"/>
        </w:rPr>
        <w:t>32</w:t>
      </w:r>
      <w:r w:rsidRPr="003F7BA6">
        <w:rPr>
          <w:sz w:val="24"/>
          <w:szCs w:val="24"/>
        </w:rPr>
        <w:t xml:space="preserve"> </w:t>
      </w:r>
      <w:r w:rsidRPr="003F7BA6" w:rsidR="004C5000">
        <w:rPr>
          <w:sz w:val="24"/>
          <w:szCs w:val="24"/>
        </w:rPr>
        <w:t>PREM</w:t>
      </w:r>
      <w:r w:rsidRPr="003F7BA6">
        <w:rPr>
          <w:sz w:val="24"/>
          <w:szCs w:val="24"/>
        </w:rPr>
        <w:t xml:space="preserve">s that </w:t>
      </w:r>
      <w:r w:rsidRPr="003F7BA6" w:rsidR="00965C60">
        <w:rPr>
          <w:sz w:val="24"/>
          <w:szCs w:val="24"/>
        </w:rPr>
        <w:t>are currently funded</w:t>
      </w:r>
      <w:r w:rsidRPr="003F7BA6" w:rsidR="001D78AD">
        <w:rPr>
          <w:sz w:val="24"/>
          <w:szCs w:val="24"/>
        </w:rPr>
        <w:t xml:space="preserve">. </w:t>
      </w:r>
      <w:r w:rsidRPr="003F7BA6" w:rsidR="0090370D">
        <w:rPr>
          <w:sz w:val="24"/>
          <w:szCs w:val="24"/>
        </w:rPr>
        <w:t xml:space="preserve">Each </w:t>
      </w:r>
      <w:r w:rsidRPr="003F7BA6" w:rsidR="004C5000">
        <w:rPr>
          <w:sz w:val="24"/>
          <w:szCs w:val="24"/>
        </w:rPr>
        <w:t>PREM</w:t>
      </w:r>
      <w:r w:rsidRPr="003F7BA6" w:rsidR="0090370D">
        <w:rPr>
          <w:sz w:val="24"/>
          <w:szCs w:val="24"/>
        </w:rPr>
        <w:t xml:space="preserve"> </w:t>
      </w:r>
      <w:r w:rsidRPr="003F7BA6">
        <w:rPr>
          <w:sz w:val="24"/>
          <w:szCs w:val="24"/>
        </w:rPr>
        <w:t xml:space="preserve">will be required to submit an annual </w:t>
      </w:r>
      <w:r w:rsidRPr="003F7BA6" w:rsidR="004C25F9">
        <w:rPr>
          <w:sz w:val="24"/>
          <w:szCs w:val="24"/>
        </w:rPr>
        <w:t xml:space="preserve">or final </w:t>
      </w:r>
      <w:r w:rsidRPr="003F7BA6">
        <w:rPr>
          <w:sz w:val="24"/>
          <w:szCs w:val="24"/>
        </w:rPr>
        <w:t>report; thus, the total numbe</w:t>
      </w:r>
      <w:r w:rsidRPr="003F7BA6" w:rsidR="001829E0">
        <w:rPr>
          <w:sz w:val="24"/>
          <w:szCs w:val="24"/>
        </w:rPr>
        <w:t xml:space="preserve">r of reports will </w:t>
      </w:r>
      <w:r w:rsidRPr="003F7BA6" w:rsidR="00965C60">
        <w:rPr>
          <w:sz w:val="24"/>
          <w:szCs w:val="24"/>
        </w:rPr>
        <w:t xml:space="preserve">be </w:t>
      </w:r>
      <w:r w:rsidRPr="003F7BA6" w:rsidR="00306FE7">
        <w:rPr>
          <w:sz w:val="24"/>
          <w:szCs w:val="24"/>
        </w:rPr>
        <w:t>32</w:t>
      </w:r>
      <w:r w:rsidRPr="003F7BA6">
        <w:rPr>
          <w:sz w:val="24"/>
          <w:szCs w:val="24"/>
        </w:rPr>
        <w:t xml:space="preserve"> </w:t>
      </w:r>
      <w:r w:rsidRPr="003F7BA6" w:rsidR="001D78AD">
        <w:rPr>
          <w:sz w:val="24"/>
          <w:szCs w:val="24"/>
        </w:rPr>
        <w:t>per year</w:t>
      </w:r>
      <w:r w:rsidRPr="003F7BA6" w:rsidR="00965C60">
        <w:rPr>
          <w:sz w:val="24"/>
          <w:szCs w:val="24"/>
        </w:rPr>
        <w:t xml:space="preserve"> (with some small variation as old </w:t>
      </w:r>
      <w:r w:rsidRPr="003F7BA6" w:rsidR="004C5000">
        <w:rPr>
          <w:sz w:val="24"/>
          <w:szCs w:val="24"/>
        </w:rPr>
        <w:t>PREM</w:t>
      </w:r>
      <w:r w:rsidRPr="003F7BA6" w:rsidR="00965C60">
        <w:rPr>
          <w:sz w:val="24"/>
          <w:szCs w:val="24"/>
        </w:rPr>
        <w:t xml:space="preserve">s are </w:t>
      </w:r>
      <w:r w:rsidRPr="003F7BA6" w:rsidR="00965C60">
        <w:rPr>
          <w:sz w:val="24"/>
          <w:szCs w:val="24"/>
        </w:rPr>
        <w:t>closed</w:t>
      </w:r>
      <w:r w:rsidRPr="003F7BA6" w:rsidR="00965C60">
        <w:rPr>
          <w:sz w:val="24"/>
          <w:szCs w:val="24"/>
        </w:rPr>
        <w:t xml:space="preserve"> and new ones are funded</w:t>
      </w:r>
      <w:r w:rsidRPr="003F7BA6" w:rsidR="00C86F43">
        <w:rPr>
          <w:sz w:val="24"/>
          <w:szCs w:val="24"/>
        </w:rPr>
        <w:t>)</w:t>
      </w:r>
      <w:r w:rsidRPr="003F7BA6">
        <w:rPr>
          <w:sz w:val="24"/>
          <w:szCs w:val="24"/>
        </w:rPr>
        <w:t xml:space="preserve">. Based on </w:t>
      </w:r>
      <w:r w:rsidRPr="003F7BA6" w:rsidR="00965C60">
        <w:rPr>
          <w:sz w:val="24"/>
          <w:szCs w:val="24"/>
        </w:rPr>
        <w:t>comparison with other NSF programs</w:t>
      </w:r>
      <w:r w:rsidRPr="003F7BA6" w:rsidR="0035031D">
        <w:rPr>
          <w:sz w:val="24"/>
          <w:szCs w:val="24"/>
        </w:rPr>
        <w:t xml:space="preserve"> and estimates from several </w:t>
      </w:r>
      <w:r w:rsidRPr="003F7BA6" w:rsidR="004C5000">
        <w:rPr>
          <w:sz w:val="24"/>
          <w:szCs w:val="24"/>
        </w:rPr>
        <w:t>PREM</w:t>
      </w:r>
      <w:r w:rsidRPr="003F7BA6" w:rsidR="0035031D">
        <w:rPr>
          <w:sz w:val="24"/>
          <w:szCs w:val="24"/>
        </w:rPr>
        <w:t xml:space="preserve"> directors</w:t>
      </w:r>
      <w:r w:rsidRPr="003F7BA6">
        <w:rPr>
          <w:sz w:val="24"/>
          <w:szCs w:val="24"/>
        </w:rPr>
        <w:t xml:space="preserve">, we </w:t>
      </w:r>
      <w:r w:rsidRPr="003F7BA6">
        <w:rPr>
          <w:sz w:val="24"/>
          <w:szCs w:val="24"/>
        </w:rPr>
        <w:t>estimate</w:t>
      </w:r>
      <w:r w:rsidRPr="003F7BA6" w:rsidR="00B308D6">
        <w:rPr>
          <w:sz w:val="24"/>
          <w:szCs w:val="24"/>
        </w:rPr>
        <w:t>d</w:t>
      </w:r>
      <w:r w:rsidRPr="003F7BA6">
        <w:rPr>
          <w:sz w:val="24"/>
          <w:szCs w:val="24"/>
        </w:rPr>
        <w:t xml:space="preserve"> the </w:t>
      </w:r>
      <w:r w:rsidRPr="003F7BA6" w:rsidR="004C25F9">
        <w:rPr>
          <w:sz w:val="24"/>
          <w:szCs w:val="24"/>
        </w:rPr>
        <w:t xml:space="preserve">average </w:t>
      </w:r>
      <w:r w:rsidRPr="003F7BA6">
        <w:rPr>
          <w:sz w:val="24"/>
          <w:szCs w:val="24"/>
        </w:rPr>
        <w:t xml:space="preserve">burden of preparing annual </w:t>
      </w:r>
      <w:r w:rsidRPr="003F7BA6" w:rsidR="004C25F9">
        <w:rPr>
          <w:sz w:val="24"/>
          <w:szCs w:val="24"/>
        </w:rPr>
        <w:t xml:space="preserve">and final </w:t>
      </w:r>
      <w:r w:rsidRPr="003F7BA6">
        <w:rPr>
          <w:sz w:val="24"/>
          <w:szCs w:val="24"/>
        </w:rPr>
        <w:t xml:space="preserve">reports, in terms of </w:t>
      </w:r>
      <w:r w:rsidRPr="003F7BA6" w:rsidR="00440FB7">
        <w:rPr>
          <w:sz w:val="24"/>
          <w:szCs w:val="24"/>
        </w:rPr>
        <w:t>person</w:t>
      </w:r>
      <w:r w:rsidRPr="003F7BA6">
        <w:rPr>
          <w:sz w:val="24"/>
          <w:szCs w:val="24"/>
        </w:rPr>
        <w:t xml:space="preserve">-hours per </w:t>
      </w:r>
      <w:r w:rsidRPr="003F7BA6" w:rsidR="004C5000">
        <w:rPr>
          <w:sz w:val="24"/>
          <w:szCs w:val="24"/>
        </w:rPr>
        <w:t>PREM</w:t>
      </w:r>
      <w:r w:rsidRPr="003F7BA6">
        <w:rPr>
          <w:sz w:val="24"/>
          <w:szCs w:val="24"/>
        </w:rPr>
        <w:t xml:space="preserve">, as </w:t>
      </w:r>
      <w:r w:rsidRPr="003F7BA6" w:rsidR="004C25F9">
        <w:rPr>
          <w:sz w:val="24"/>
          <w:szCs w:val="24"/>
        </w:rPr>
        <w:t xml:space="preserve">given in the following table: </w:t>
      </w:r>
    </w:p>
    <w:tbl>
      <w:tblPr>
        <w:tblW w:w="5020" w:type="dxa"/>
        <w:tblInd w:w="93" w:type="dxa"/>
        <w:tblLook w:val="04A0"/>
      </w:tblPr>
      <w:tblGrid>
        <w:gridCol w:w="2140"/>
        <w:gridCol w:w="960"/>
        <w:gridCol w:w="960"/>
        <w:gridCol w:w="960"/>
      </w:tblGrid>
      <w:tr w14:paraId="033D3837" w14:textId="77777777" w:rsidTr="008B0C63">
        <w:tblPrEx>
          <w:tblW w:w="5020" w:type="dxa"/>
          <w:tblInd w:w="93" w:type="dxa"/>
          <w:tblLook w:val="04A0"/>
        </w:tblPrEx>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5F9" w:rsidRPr="003F7BA6" w:rsidP="008B0C63" w14:paraId="1C9D715E" w14:textId="77777777">
            <w:pPr>
              <w:tabs>
                <w:tab w:val="clear" w:pos="720"/>
                <w:tab w:val="clear" w:pos="1080"/>
                <w:tab w:val="clear" w:pos="1440"/>
                <w:tab w:val="clear" w:pos="1800"/>
              </w:tabs>
              <w:spacing w:line="240" w:lineRule="auto"/>
              <w:jc w:val="center"/>
              <w:rPr>
                <w:b/>
                <w:bCs/>
                <w:sz w:val="20"/>
              </w:rPr>
            </w:pPr>
            <w:bookmarkStart w:id="0" w:name="OLE_LINK1"/>
            <w:r w:rsidRPr="003F7BA6">
              <w:rPr>
                <w:b/>
                <w:bCs/>
                <w:sz w:val="20"/>
              </w:rPr>
              <w:t>Expense category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3F7BA6" w:rsidP="008B0C63" w14:paraId="5F12D4E6" w14:textId="77777777">
            <w:pPr>
              <w:tabs>
                <w:tab w:val="clear" w:pos="720"/>
                <w:tab w:val="clear" w:pos="1080"/>
                <w:tab w:val="clear" w:pos="1440"/>
                <w:tab w:val="clear" w:pos="1800"/>
              </w:tabs>
              <w:spacing w:line="240" w:lineRule="auto"/>
              <w:jc w:val="center"/>
              <w:rPr>
                <w:rFonts w:ascii="Calibri" w:hAnsi="Calibri"/>
                <w:b/>
                <w:bCs/>
                <w:szCs w:val="22"/>
              </w:rPr>
            </w:pPr>
            <w:r w:rsidRPr="003F7BA6">
              <w:rPr>
                <w:rFonts w:ascii="Calibri" w:hAnsi="Calibri"/>
                <w:b/>
                <w:bCs/>
                <w:szCs w:val="22"/>
              </w:rPr>
              <w:t>$/</w:t>
            </w:r>
            <w:r w:rsidRPr="003F7BA6">
              <w:rPr>
                <w:rFonts w:ascii="Calibri" w:hAnsi="Calibri"/>
                <w:b/>
                <w:bCs/>
                <w:szCs w:val="22"/>
              </w:rPr>
              <w:t>hr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3F7BA6" w:rsidP="008B0C63" w14:paraId="707E6CC5" w14:textId="0C24FC46">
            <w:pPr>
              <w:tabs>
                <w:tab w:val="clear" w:pos="720"/>
                <w:tab w:val="clear" w:pos="1080"/>
                <w:tab w:val="clear" w:pos="1440"/>
                <w:tab w:val="clear" w:pos="1800"/>
              </w:tabs>
              <w:spacing w:line="240" w:lineRule="auto"/>
              <w:jc w:val="center"/>
              <w:rPr>
                <w:rFonts w:ascii="Calibri" w:hAnsi="Calibri"/>
                <w:b/>
                <w:bCs/>
                <w:szCs w:val="22"/>
              </w:rPr>
            </w:pPr>
            <w:r w:rsidRPr="003F7BA6">
              <w:rPr>
                <w:rFonts w:ascii="Calibri" w:hAnsi="Calibri"/>
                <w:b/>
                <w:bCs/>
                <w:szCs w:val="22"/>
              </w:rPr>
              <w:t>H</w:t>
            </w:r>
            <w:r w:rsidRPr="003F7BA6">
              <w:rPr>
                <w:rFonts w:ascii="Calibri" w:hAnsi="Calibri"/>
                <w:b/>
                <w:bCs/>
                <w:szCs w:val="22"/>
              </w:rPr>
              <w:t>ours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3F7BA6" w:rsidP="008B0C63" w14:paraId="3D1FAD04" w14:textId="77777777">
            <w:pPr>
              <w:tabs>
                <w:tab w:val="clear" w:pos="720"/>
                <w:tab w:val="clear" w:pos="1080"/>
                <w:tab w:val="clear" w:pos="1440"/>
                <w:tab w:val="clear" w:pos="1800"/>
              </w:tabs>
              <w:spacing w:line="240" w:lineRule="auto"/>
              <w:jc w:val="center"/>
              <w:rPr>
                <w:rFonts w:ascii="Calibri" w:hAnsi="Calibri"/>
                <w:b/>
                <w:bCs/>
                <w:szCs w:val="22"/>
              </w:rPr>
            </w:pPr>
            <w:r w:rsidRPr="003F7BA6">
              <w:rPr>
                <w:rFonts w:ascii="Calibri" w:hAnsi="Calibri"/>
                <w:b/>
                <w:bCs/>
                <w:szCs w:val="22"/>
              </w:rPr>
              <w:t>Cost</w:t>
            </w:r>
          </w:p>
        </w:tc>
      </w:tr>
      <w:tr w14:paraId="3A7F9BF2"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3F7BA6" w:rsidP="008B0C63" w14:paraId="5EA24D93" w14:textId="1E3B4B16">
            <w:pPr>
              <w:tabs>
                <w:tab w:val="clear" w:pos="720"/>
                <w:tab w:val="clear" w:pos="1080"/>
                <w:tab w:val="clear" w:pos="1440"/>
                <w:tab w:val="clear" w:pos="1800"/>
              </w:tabs>
              <w:spacing w:line="240" w:lineRule="auto"/>
              <w:rPr>
                <w:sz w:val="20"/>
              </w:rPr>
            </w:pPr>
            <w:r w:rsidRPr="003F7BA6">
              <w:rPr>
                <w:sz w:val="20"/>
              </w:rPr>
              <w:t xml:space="preserve">1. </w:t>
            </w:r>
            <w:r w:rsidRPr="003F7BA6" w:rsidR="004C5000">
              <w:rPr>
                <w:sz w:val="20"/>
              </w:rPr>
              <w:t>PREM</w:t>
            </w:r>
            <w:r w:rsidRPr="003F7BA6">
              <w:rPr>
                <w:sz w:val="20"/>
              </w:rPr>
              <w:t xml:space="preserve"> Director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B308D6" w14:paraId="1386F811" w14:textId="05A0F27C">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Pr="003F7BA6" w:rsidR="00B308D6">
              <w:rPr>
                <w:rFonts w:ascii="Calibri" w:hAnsi="Calibri"/>
                <w:szCs w:val="22"/>
              </w:rPr>
              <w:t>120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8B0C63" w14:paraId="3BE771BA" w14:textId="54CDBDA8">
            <w:pPr>
              <w:tabs>
                <w:tab w:val="clear" w:pos="720"/>
                <w:tab w:val="clear" w:pos="1080"/>
                <w:tab w:val="clear" w:pos="1440"/>
                <w:tab w:val="clear" w:pos="1800"/>
              </w:tabs>
              <w:spacing w:line="240" w:lineRule="auto"/>
              <w:jc w:val="right"/>
              <w:rPr>
                <w:rFonts w:ascii="Calibri" w:hAnsi="Calibri"/>
                <w:szCs w:val="22"/>
              </w:rPr>
            </w:pPr>
            <w:r>
              <w:rPr>
                <w:rFonts w:ascii="Calibri" w:hAnsi="Calibri"/>
                <w:szCs w:val="22"/>
              </w:rPr>
              <w:t>15</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9E06C2" w14:paraId="3902C656" w14:textId="73F1CB4B">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004578AB">
              <w:rPr>
                <w:rFonts w:ascii="Calibri" w:hAnsi="Calibri"/>
                <w:szCs w:val="22"/>
              </w:rPr>
              <w:t>1800</w:t>
            </w:r>
          </w:p>
        </w:tc>
      </w:tr>
      <w:tr w14:paraId="43C5F858"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3F7BA6" w:rsidP="00931EC5" w14:paraId="4C8E706D" w14:textId="4899A4C9">
            <w:pPr>
              <w:tabs>
                <w:tab w:val="clear" w:pos="720"/>
                <w:tab w:val="clear" w:pos="1080"/>
                <w:tab w:val="clear" w:pos="1440"/>
                <w:tab w:val="clear" w:pos="1800"/>
              </w:tabs>
              <w:spacing w:line="240" w:lineRule="auto"/>
              <w:rPr>
                <w:sz w:val="20"/>
              </w:rPr>
            </w:pPr>
            <w:r w:rsidRPr="003F7BA6">
              <w:rPr>
                <w:sz w:val="20"/>
              </w:rPr>
              <w:t xml:space="preserve">2. </w:t>
            </w:r>
            <w:r w:rsidRPr="003F7BA6" w:rsidR="004C5000">
              <w:rPr>
                <w:sz w:val="20"/>
              </w:rPr>
              <w:t>PREM</w:t>
            </w:r>
            <w:r w:rsidRPr="003F7BA6" w:rsidR="00931EC5">
              <w:rPr>
                <w:sz w:val="20"/>
              </w:rPr>
              <w:t xml:space="preserve"> </w:t>
            </w:r>
            <w:r w:rsidRPr="003F7BA6">
              <w:rPr>
                <w:sz w:val="20"/>
              </w:rPr>
              <w:t>Administrator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B669CB" w14:paraId="0F7BD374" w14:textId="45A0B1CE">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Pr="003F7BA6" w:rsidR="00B669CB">
              <w:rPr>
                <w:rFonts w:ascii="Calibri" w:hAnsi="Calibri"/>
                <w:szCs w:val="22"/>
              </w:rPr>
              <w:t>90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8B0C63" w14:paraId="1C6BB20E" w14:textId="1E10E05A">
            <w:pPr>
              <w:tabs>
                <w:tab w:val="clear" w:pos="720"/>
                <w:tab w:val="clear" w:pos="1080"/>
                <w:tab w:val="clear" w:pos="1440"/>
                <w:tab w:val="clear" w:pos="1800"/>
              </w:tabs>
              <w:spacing w:line="240" w:lineRule="auto"/>
              <w:jc w:val="right"/>
              <w:rPr>
                <w:rFonts w:ascii="Calibri" w:hAnsi="Calibri"/>
                <w:szCs w:val="22"/>
              </w:rPr>
            </w:pPr>
            <w:r>
              <w:rPr>
                <w:rFonts w:ascii="Calibri" w:hAnsi="Calibri"/>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B669CB" w14:paraId="6A9A7D4E" w14:textId="087BA9F3">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004578AB">
              <w:rPr>
                <w:rFonts w:ascii="Calibri" w:hAnsi="Calibri"/>
                <w:szCs w:val="22"/>
              </w:rPr>
              <w:t>720</w:t>
            </w:r>
          </w:p>
        </w:tc>
      </w:tr>
      <w:tr w14:paraId="33592A36"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3F7BA6" w:rsidP="00931EC5" w14:paraId="1CD52E19" w14:textId="2867150B">
            <w:pPr>
              <w:tabs>
                <w:tab w:val="clear" w:pos="720"/>
                <w:tab w:val="clear" w:pos="1080"/>
                <w:tab w:val="clear" w:pos="1440"/>
                <w:tab w:val="clear" w:pos="1800"/>
              </w:tabs>
              <w:spacing w:line="240" w:lineRule="auto"/>
              <w:rPr>
                <w:sz w:val="20"/>
              </w:rPr>
            </w:pPr>
            <w:r w:rsidRPr="003F7BA6">
              <w:rPr>
                <w:sz w:val="20"/>
              </w:rPr>
              <w:t xml:space="preserve">3.  </w:t>
            </w:r>
            <w:r w:rsidRPr="003F7BA6" w:rsidR="00931EC5">
              <w:rPr>
                <w:sz w:val="20"/>
              </w:rPr>
              <w:t>Research Thrust Leaders</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8B0C63" w14:paraId="39563EAA" w14:textId="50F4CD82">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$50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8B0C63" w14:paraId="3CAEC178" w14:textId="0B338D2C">
            <w:pPr>
              <w:tabs>
                <w:tab w:val="clear" w:pos="720"/>
                <w:tab w:val="clear" w:pos="1080"/>
                <w:tab w:val="clear" w:pos="1440"/>
                <w:tab w:val="clear" w:pos="1800"/>
              </w:tabs>
              <w:spacing w:line="240" w:lineRule="auto"/>
              <w:jc w:val="right"/>
              <w:rPr>
                <w:rFonts w:ascii="Calibri" w:hAnsi="Calibri"/>
                <w:szCs w:val="22"/>
              </w:rPr>
            </w:pPr>
            <w:r>
              <w:rPr>
                <w:rFonts w:ascii="Calibri" w:hAnsi="Calibri"/>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3F7BA6" w:rsidP="009E06C2" w14:paraId="1740FDE6" w14:textId="5C093236">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004578AB">
              <w:rPr>
                <w:rFonts w:ascii="Calibri" w:hAnsi="Calibri"/>
                <w:szCs w:val="22"/>
              </w:rPr>
              <w:t>400</w:t>
            </w:r>
          </w:p>
        </w:tc>
      </w:tr>
      <w:tr w14:paraId="1B7D269C"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31EC5" w:rsidRPr="003F7BA6" w:rsidP="008B0C63" w14:paraId="7EB5224B" w14:textId="24BE49CA">
            <w:pPr>
              <w:tabs>
                <w:tab w:val="clear" w:pos="720"/>
                <w:tab w:val="clear" w:pos="1080"/>
                <w:tab w:val="clear" w:pos="1440"/>
                <w:tab w:val="clear" w:pos="1800"/>
              </w:tabs>
              <w:spacing w:line="240" w:lineRule="auto"/>
              <w:rPr>
                <w:sz w:val="20"/>
              </w:rPr>
            </w:pPr>
            <w:r w:rsidRPr="003F7BA6">
              <w:rPr>
                <w:sz w:val="20"/>
              </w:rPr>
              <w:t xml:space="preserve">4. </w:t>
            </w:r>
            <w:r w:rsidRPr="003F7BA6">
              <w:rPr>
                <w:sz w:val="20"/>
              </w:rPr>
              <w:t>Other</w:t>
            </w:r>
            <w:r w:rsidRPr="003F7BA6">
              <w:rPr>
                <w:sz w:val="20"/>
              </w:rPr>
              <w:t xml:space="preserve"> admin</w:t>
            </w:r>
          </w:p>
        </w:tc>
        <w:tc>
          <w:tcPr>
            <w:tcW w:w="960" w:type="dxa"/>
            <w:tcBorders>
              <w:top w:val="nil"/>
              <w:left w:val="nil"/>
              <w:bottom w:val="single" w:sz="4" w:space="0" w:color="auto"/>
              <w:right w:val="single" w:sz="4" w:space="0" w:color="auto"/>
            </w:tcBorders>
            <w:shd w:val="clear" w:color="auto" w:fill="auto"/>
            <w:noWrap/>
            <w:vAlign w:val="center"/>
            <w:hideMark/>
          </w:tcPr>
          <w:p w:rsidR="00931EC5" w:rsidRPr="003F7BA6" w:rsidP="00B308D6" w14:paraId="05F19ECC" w14:textId="6332F40A">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$34</w:t>
            </w:r>
          </w:p>
        </w:tc>
        <w:tc>
          <w:tcPr>
            <w:tcW w:w="960" w:type="dxa"/>
            <w:tcBorders>
              <w:top w:val="nil"/>
              <w:left w:val="nil"/>
              <w:bottom w:val="single" w:sz="4" w:space="0" w:color="auto"/>
              <w:right w:val="single" w:sz="4" w:space="0" w:color="auto"/>
            </w:tcBorders>
            <w:shd w:val="clear" w:color="auto" w:fill="auto"/>
            <w:noWrap/>
            <w:vAlign w:val="center"/>
            <w:hideMark/>
          </w:tcPr>
          <w:p w:rsidR="00931EC5" w:rsidRPr="003F7BA6" w:rsidP="008B0C63" w14:paraId="21659BDA" w14:textId="1735AC59">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931EC5" w:rsidRPr="003F7BA6" w:rsidP="009E06C2" w14:paraId="5218C652" w14:textId="556BA183">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Pr="003F7BA6" w:rsidR="00011141">
              <w:rPr>
                <w:rFonts w:ascii="Calibri" w:hAnsi="Calibri"/>
                <w:szCs w:val="22"/>
              </w:rPr>
              <w:t>68</w:t>
            </w:r>
          </w:p>
        </w:tc>
      </w:tr>
      <w:tr w14:paraId="355EB0DC"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155868" w:rsidRPr="003F7BA6" w:rsidP="008B0C63" w14:paraId="2B3EFAF3" w14:textId="5B8C3CE4">
            <w:pPr>
              <w:tabs>
                <w:tab w:val="clear" w:pos="720"/>
                <w:tab w:val="clear" w:pos="1080"/>
                <w:tab w:val="clear" w:pos="1440"/>
                <w:tab w:val="clear" w:pos="1800"/>
              </w:tabs>
              <w:spacing w:line="240" w:lineRule="auto"/>
              <w:rPr>
                <w:sz w:val="20"/>
              </w:rPr>
            </w:pPr>
            <w:r w:rsidRPr="003F7BA6">
              <w:rPr>
                <w:sz w:val="20"/>
              </w:rPr>
              <w:t xml:space="preserve">5. Fringe benefits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B308D6" w14:paraId="2A2E12AC" w14:textId="49B4F56B">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8B0C63" w14:paraId="448F1485" w14:textId="0315F88D">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9E06C2" w14:paraId="40130975" w14:textId="67D81D8D">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004578AB">
              <w:rPr>
                <w:rFonts w:ascii="Calibri" w:hAnsi="Calibri"/>
                <w:szCs w:val="22"/>
              </w:rPr>
              <w:t>756</w:t>
            </w:r>
          </w:p>
        </w:tc>
      </w:tr>
      <w:tr w14:paraId="496CB297"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155868" w:rsidRPr="003F7BA6" w:rsidP="008B0C63" w14:paraId="0CB3BC38" w14:textId="265BFDB7">
            <w:pPr>
              <w:tabs>
                <w:tab w:val="clear" w:pos="720"/>
                <w:tab w:val="clear" w:pos="1080"/>
                <w:tab w:val="clear" w:pos="1440"/>
                <w:tab w:val="clear" w:pos="1800"/>
              </w:tabs>
              <w:spacing w:line="240" w:lineRule="auto"/>
              <w:rPr>
                <w:sz w:val="20"/>
              </w:rPr>
            </w:pPr>
            <w:r w:rsidRPr="003F7BA6">
              <w:rPr>
                <w:sz w:val="20"/>
              </w:rPr>
              <w:t xml:space="preserve">6. Overhead costs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8B0C63" w14:paraId="66487114" w14:textId="1B23B290">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8B0C63" w14:paraId="04270A13" w14:textId="08A47580">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9E06C2" w14:paraId="68BA2D67" w14:textId="68F2A58D">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004578AB">
              <w:rPr>
                <w:rFonts w:ascii="Calibri" w:hAnsi="Calibri"/>
                <w:szCs w:val="22"/>
              </w:rPr>
              <w:t>1764</w:t>
            </w:r>
          </w:p>
        </w:tc>
      </w:tr>
      <w:tr w14:paraId="500D5D73" w14:textId="77777777" w:rsidTr="008B0C63">
        <w:tblPrEx>
          <w:tblW w:w="5020" w:type="dxa"/>
          <w:tblInd w:w="93" w:type="dxa"/>
          <w:tblLook w:val="04A0"/>
        </w:tblPrEx>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155868" w:rsidRPr="003F7BA6" w:rsidP="008B0C63" w14:paraId="6A0C3374" w14:textId="2F073B55">
            <w:pPr>
              <w:tabs>
                <w:tab w:val="clear" w:pos="720"/>
                <w:tab w:val="clear" w:pos="1080"/>
                <w:tab w:val="clear" w:pos="1440"/>
                <w:tab w:val="clear" w:pos="1800"/>
              </w:tabs>
              <w:spacing w:line="240" w:lineRule="auto"/>
              <w:rPr>
                <w:sz w:val="20"/>
              </w:rPr>
            </w:pPr>
            <w:r w:rsidRPr="003F7BA6">
              <w:rPr>
                <w:b/>
                <w:bCs/>
                <w:sz w:val="20"/>
              </w:rPr>
              <w:t>Total cost per PREM</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8B0C63" w14:paraId="711ED8DB" w14:textId="0695854C">
            <w:pPr>
              <w:tabs>
                <w:tab w:val="clear" w:pos="720"/>
                <w:tab w:val="clear" w:pos="1080"/>
                <w:tab w:val="clear" w:pos="1440"/>
                <w:tab w:val="clear" w:pos="1800"/>
              </w:tabs>
              <w:spacing w:line="240" w:lineRule="auto"/>
              <w:rPr>
                <w:rFonts w:ascii="Calibri" w:hAnsi="Calibri"/>
                <w:szCs w:val="22"/>
              </w:rPr>
            </w:pPr>
            <w:r w:rsidRPr="003F7BA6">
              <w:rPr>
                <w:rFonts w:ascii="Calibri" w:hAnsi="Calibri"/>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3F7BA6" w:rsidP="008B0C63" w14:paraId="47724318" w14:textId="505ADF75">
            <w:pPr>
              <w:tabs>
                <w:tab w:val="clear" w:pos="720"/>
                <w:tab w:val="clear" w:pos="1080"/>
                <w:tab w:val="clear" w:pos="1440"/>
                <w:tab w:val="clear" w:pos="1800"/>
              </w:tabs>
              <w:spacing w:line="240" w:lineRule="auto"/>
              <w:rPr>
                <w:rFonts w:ascii="Calibri" w:hAnsi="Calibri"/>
                <w:szCs w:val="22"/>
              </w:rPr>
            </w:pPr>
            <w:r w:rsidRPr="003F7BA6">
              <w:rPr>
                <w:rFonts w:ascii="Calibri" w:hAnsi="Calibri"/>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55868" w:rsidRPr="00F30483" w:rsidP="00B669CB" w14:paraId="0584BB2D" w14:textId="3FC611AD">
            <w:pPr>
              <w:tabs>
                <w:tab w:val="clear" w:pos="720"/>
                <w:tab w:val="clear" w:pos="1080"/>
                <w:tab w:val="clear" w:pos="1440"/>
                <w:tab w:val="clear" w:pos="1800"/>
              </w:tabs>
              <w:spacing w:line="240" w:lineRule="auto"/>
              <w:jc w:val="right"/>
              <w:rPr>
                <w:rFonts w:ascii="Calibri" w:hAnsi="Calibri"/>
                <w:szCs w:val="22"/>
              </w:rPr>
            </w:pPr>
            <w:r w:rsidRPr="003F7BA6">
              <w:rPr>
                <w:rFonts w:ascii="Calibri" w:hAnsi="Calibri"/>
                <w:szCs w:val="22"/>
              </w:rPr>
              <w:t>$</w:t>
            </w:r>
            <w:r w:rsidR="004578AB">
              <w:rPr>
                <w:rFonts w:ascii="Calibri" w:hAnsi="Calibri"/>
                <w:szCs w:val="22"/>
              </w:rPr>
              <w:t>5508</w:t>
            </w:r>
          </w:p>
        </w:tc>
      </w:tr>
    </w:tbl>
    <w:p w:rsidR="004C25F9" w:rsidRPr="00F30483" w14:paraId="6D100DCE" w14:textId="77777777">
      <w:pPr>
        <w:autoSpaceDE w:val="0"/>
        <w:autoSpaceDN w:val="0"/>
        <w:adjustRightInd w:val="0"/>
        <w:spacing w:line="480" w:lineRule="auto"/>
        <w:rPr>
          <w:b/>
          <w:bCs/>
          <w:sz w:val="24"/>
          <w:szCs w:val="24"/>
        </w:rPr>
      </w:pPr>
    </w:p>
    <w:p w:rsidR="00F839B1" w:rsidRPr="00F30483" w14:paraId="1BEE7F2A" w14:textId="35865A8D">
      <w:pPr>
        <w:autoSpaceDE w:val="0"/>
        <w:autoSpaceDN w:val="0"/>
        <w:adjustRightInd w:val="0"/>
        <w:spacing w:line="480" w:lineRule="auto"/>
        <w:rPr>
          <w:b/>
          <w:bCs/>
          <w:sz w:val="24"/>
          <w:szCs w:val="24"/>
        </w:rPr>
      </w:pPr>
      <w:r w:rsidRPr="00F30483">
        <w:rPr>
          <w:bCs/>
          <w:sz w:val="24"/>
          <w:szCs w:val="24"/>
        </w:rPr>
        <w:t xml:space="preserve">Total hours per </w:t>
      </w:r>
      <w:r w:rsidRPr="00F30483" w:rsidR="004C5000">
        <w:rPr>
          <w:bCs/>
          <w:sz w:val="24"/>
          <w:szCs w:val="24"/>
        </w:rPr>
        <w:t>PREM</w:t>
      </w:r>
      <w:r w:rsidRPr="00F30483">
        <w:rPr>
          <w:sz w:val="24"/>
          <w:szCs w:val="24"/>
        </w:rPr>
        <w:t xml:space="preserve"> are estimated to be o</w:t>
      </w:r>
      <w:r w:rsidRPr="00F30483" w:rsidR="00347EEF">
        <w:rPr>
          <w:sz w:val="24"/>
          <w:szCs w:val="24"/>
        </w:rPr>
        <w:t xml:space="preserve">n average approximately </w:t>
      </w:r>
      <w:r w:rsidR="004578AB">
        <w:rPr>
          <w:sz w:val="24"/>
          <w:szCs w:val="24"/>
        </w:rPr>
        <w:t>33</w:t>
      </w:r>
      <w:r w:rsidRPr="00F30483" w:rsidR="009E06C2">
        <w:rPr>
          <w:sz w:val="24"/>
          <w:szCs w:val="24"/>
        </w:rPr>
        <w:t xml:space="preserve"> </w:t>
      </w:r>
      <w:r w:rsidRPr="00F30483">
        <w:rPr>
          <w:sz w:val="24"/>
          <w:szCs w:val="24"/>
        </w:rPr>
        <w:t xml:space="preserve">hours; </w:t>
      </w:r>
      <w:r w:rsidRPr="00F30483" w:rsidR="00347EEF">
        <w:rPr>
          <w:sz w:val="24"/>
          <w:szCs w:val="24"/>
        </w:rPr>
        <w:t xml:space="preserve">Total number of hours for </w:t>
      </w:r>
      <w:r w:rsidRPr="00F30483" w:rsidR="00FD092F">
        <w:rPr>
          <w:sz w:val="24"/>
          <w:szCs w:val="24"/>
        </w:rPr>
        <w:t>32</w:t>
      </w:r>
      <w:r w:rsidRPr="00F30483">
        <w:rPr>
          <w:sz w:val="24"/>
          <w:szCs w:val="24"/>
        </w:rPr>
        <w:t xml:space="preserve"> </w:t>
      </w:r>
      <w:r w:rsidRPr="00F30483" w:rsidR="004C5000">
        <w:rPr>
          <w:sz w:val="24"/>
          <w:szCs w:val="24"/>
        </w:rPr>
        <w:t>PREM</w:t>
      </w:r>
      <w:r w:rsidRPr="00F30483">
        <w:rPr>
          <w:sz w:val="24"/>
          <w:szCs w:val="24"/>
        </w:rPr>
        <w:t xml:space="preserve">s: </w:t>
      </w:r>
      <w:r w:rsidRPr="00F30483">
        <w:rPr>
          <w:b/>
          <w:bCs/>
          <w:sz w:val="24"/>
          <w:szCs w:val="24"/>
        </w:rPr>
        <w:t xml:space="preserve">approximately </w:t>
      </w:r>
      <w:r w:rsidR="004578AB">
        <w:rPr>
          <w:b/>
          <w:bCs/>
          <w:sz w:val="24"/>
          <w:szCs w:val="24"/>
        </w:rPr>
        <w:t>1,056</w:t>
      </w:r>
      <w:r w:rsidRPr="00F30483">
        <w:rPr>
          <w:b/>
          <w:bCs/>
          <w:sz w:val="24"/>
          <w:szCs w:val="24"/>
        </w:rPr>
        <w:t xml:space="preserve"> hours.</w:t>
      </w:r>
      <w:r w:rsidRPr="00F30483" w:rsidR="001D78AD">
        <w:rPr>
          <w:b/>
          <w:bCs/>
          <w:sz w:val="24"/>
          <w:szCs w:val="24"/>
        </w:rPr>
        <w:t xml:space="preserve">  </w:t>
      </w:r>
    </w:p>
    <w:p w:rsidR="00347EEF" w:rsidRPr="00F30483" w14:paraId="27913451" w14:textId="77777777">
      <w:pPr>
        <w:autoSpaceDE w:val="0"/>
        <w:autoSpaceDN w:val="0"/>
        <w:adjustRightInd w:val="0"/>
        <w:spacing w:line="480" w:lineRule="auto"/>
        <w:rPr>
          <w:b/>
          <w:bCs/>
          <w:sz w:val="24"/>
          <w:szCs w:val="24"/>
        </w:rPr>
      </w:pPr>
    </w:p>
    <w:bookmarkEnd w:id="0"/>
    <w:p w:rsidR="00F839B1" w:rsidRPr="00F30483" w14:paraId="0890DAE6" w14:textId="77777777">
      <w:pPr>
        <w:keepNext/>
        <w:keepLines/>
        <w:autoSpaceDE w:val="0"/>
        <w:autoSpaceDN w:val="0"/>
        <w:adjustRightInd w:val="0"/>
        <w:spacing w:line="480" w:lineRule="auto"/>
        <w:rPr>
          <w:sz w:val="24"/>
          <w:szCs w:val="24"/>
        </w:rPr>
      </w:pPr>
      <w:r w:rsidRPr="00F30483">
        <w:rPr>
          <w:b/>
          <w:bCs/>
          <w:sz w:val="24"/>
          <w:szCs w:val="24"/>
        </w:rPr>
        <w:t>ANNUALIZED COST TO RESPONDENTS</w:t>
      </w:r>
    </w:p>
    <w:p w:rsidR="00F839B1" w:rsidRPr="00F30483" w14:paraId="382A6A5E" w14:textId="01089551">
      <w:pPr>
        <w:keepNext/>
        <w:keepLines/>
        <w:autoSpaceDE w:val="0"/>
        <w:autoSpaceDN w:val="0"/>
        <w:adjustRightInd w:val="0"/>
        <w:spacing w:line="480" w:lineRule="auto"/>
        <w:rPr>
          <w:sz w:val="24"/>
          <w:szCs w:val="24"/>
        </w:rPr>
      </w:pPr>
      <w:r w:rsidRPr="00F30483">
        <w:rPr>
          <w:sz w:val="24"/>
          <w:szCs w:val="24"/>
        </w:rPr>
        <w:t xml:space="preserve">Estimated </w:t>
      </w:r>
      <w:r w:rsidRPr="00F30483" w:rsidR="00BC5D25">
        <w:rPr>
          <w:sz w:val="24"/>
          <w:szCs w:val="24"/>
        </w:rPr>
        <w:t xml:space="preserve">average </w:t>
      </w:r>
      <w:r w:rsidRPr="00F30483">
        <w:rPr>
          <w:sz w:val="24"/>
          <w:szCs w:val="24"/>
        </w:rPr>
        <w:t xml:space="preserve">cost per </w:t>
      </w:r>
      <w:r w:rsidRPr="00F30483" w:rsidR="004C5000">
        <w:rPr>
          <w:sz w:val="24"/>
          <w:szCs w:val="24"/>
        </w:rPr>
        <w:t>PREM</w:t>
      </w:r>
      <w:r w:rsidRPr="00F30483" w:rsidR="00BC5D25">
        <w:rPr>
          <w:sz w:val="24"/>
          <w:szCs w:val="24"/>
        </w:rPr>
        <w:t xml:space="preserve"> to prepare annual and final report</w:t>
      </w:r>
      <w:r w:rsidRPr="00F30483">
        <w:rPr>
          <w:sz w:val="24"/>
          <w:szCs w:val="24"/>
        </w:rPr>
        <w:t xml:space="preserve">, based on </w:t>
      </w:r>
      <w:r w:rsidRPr="00F30483" w:rsidR="00E60EE3">
        <w:rPr>
          <w:sz w:val="24"/>
          <w:szCs w:val="24"/>
        </w:rPr>
        <w:t xml:space="preserve">a comparison with reporting costs from other NSF </w:t>
      </w:r>
      <w:r w:rsidRPr="00F30483" w:rsidR="00B669CB">
        <w:rPr>
          <w:sz w:val="24"/>
          <w:szCs w:val="24"/>
        </w:rPr>
        <w:t xml:space="preserve">programs of comparable scale and reporting requirements, </w:t>
      </w:r>
      <w:r w:rsidRPr="00F30483" w:rsidR="0035031D">
        <w:rPr>
          <w:sz w:val="24"/>
          <w:szCs w:val="24"/>
        </w:rPr>
        <w:t xml:space="preserve">and estimates from several </w:t>
      </w:r>
      <w:r w:rsidRPr="00F30483" w:rsidR="004C5000">
        <w:rPr>
          <w:sz w:val="24"/>
          <w:szCs w:val="24"/>
        </w:rPr>
        <w:t>PREM</w:t>
      </w:r>
      <w:r w:rsidRPr="00F30483" w:rsidR="0035031D">
        <w:rPr>
          <w:sz w:val="24"/>
          <w:szCs w:val="24"/>
        </w:rPr>
        <w:t xml:space="preserve"> directors</w:t>
      </w:r>
      <w:r w:rsidRPr="00F30483">
        <w:rPr>
          <w:sz w:val="24"/>
          <w:szCs w:val="24"/>
        </w:rPr>
        <w:t xml:space="preserve">, is </w:t>
      </w:r>
      <w:r w:rsidRPr="00F30483" w:rsidR="004C25F9">
        <w:rPr>
          <w:sz w:val="24"/>
          <w:szCs w:val="24"/>
        </w:rPr>
        <w:t>provided in the above table.</w:t>
      </w:r>
    </w:p>
    <w:p w:rsidR="00F839B1" w:rsidRPr="00F30483" w14:paraId="4E3F768F" w14:textId="77777777">
      <w:pPr>
        <w:autoSpaceDE w:val="0"/>
        <w:autoSpaceDN w:val="0"/>
        <w:adjustRightInd w:val="0"/>
        <w:spacing w:line="480" w:lineRule="auto"/>
        <w:rPr>
          <w:sz w:val="24"/>
          <w:szCs w:val="24"/>
        </w:rPr>
      </w:pPr>
    </w:p>
    <w:p w:rsidR="00F839B1" w:rsidRPr="00F30483" w14:paraId="73B420B1" w14:textId="77777777">
      <w:pPr>
        <w:pStyle w:val="AbtHeadC"/>
        <w:rPr>
          <w:rFonts w:ascii="Times New Roman" w:hAnsi="Times New Roman"/>
          <w:sz w:val="24"/>
          <w:szCs w:val="24"/>
        </w:rPr>
      </w:pPr>
      <w:r w:rsidRPr="00F30483">
        <w:rPr>
          <w:rFonts w:ascii="Times New Roman" w:hAnsi="Times New Roman"/>
          <w:sz w:val="24"/>
          <w:szCs w:val="24"/>
        </w:rPr>
        <w:t>A. 13. Annual cost burden [not included in hour cost]</w:t>
      </w:r>
    </w:p>
    <w:p w:rsidR="00F839B1" w:rsidRPr="00F30483" w14:paraId="605710D9" w14:textId="6008FC01">
      <w:pPr>
        <w:autoSpaceDE w:val="0"/>
        <w:autoSpaceDN w:val="0"/>
        <w:adjustRightInd w:val="0"/>
        <w:spacing w:line="480" w:lineRule="auto"/>
        <w:rPr>
          <w:sz w:val="24"/>
          <w:szCs w:val="24"/>
        </w:rPr>
      </w:pPr>
      <w:r w:rsidRPr="00F30483">
        <w:rPr>
          <w:sz w:val="24"/>
          <w:szCs w:val="24"/>
        </w:rPr>
        <w:t>There are no additional costs beyond the estimated hours of burden shown above.</w:t>
      </w:r>
      <w:r w:rsidRPr="00F30483" w:rsidR="00F933FB">
        <w:rPr>
          <w:sz w:val="24"/>
          <w:szCs w:val="24"/>
        </w:rPr>
        <w:t xml:space="preserve">  The average annual funding rate for </w:t>
      </w:r>
      <w:r w:rsidRPr="00F30483" w:rsidR="00B669CB">
        <w:rPr>
          <w:sz w:val="24"/>
          <w:szCs w:val="24"/>
        </w:rPr>
        <w:t>each</w:t>
      </w:r>
      <w:r w:rsidRPr="00F30483" w:rsidR="00F933FB">
        <w:rPr>
          <w:sz w:val="24"/>
          <w:szCs w:val="24"/>
        </w:rPr>
        <w:t xml:space="preserve"> </w:t>
      </w:r>
      <w:r w:rsidRPr="00F30483" w:rsidR="005B0FD6">
        <w:rPr>
          <w:sz w:val="24"/>
          <w:szCs w:val="24"/>
        </w:rPr>
        <w:t>PREM</w:t>
      </w:r>
      <w:r w:rsidRPr="00F30483" w:rsidR="00F933FB">
        <w:rPr>
          <w:sz w:val="24"/>
          <w:szCs w:val="24"/>
        </w:rPr>
        <w:t xml:space="preserve"> </w:t>
      </w:r>
      <w:r w:rsidRPr="00F30483" w:rsidR="00B669CB">
        <w:rPr>
          <w:sz w:val="24"/>
          <w:szCs w:val="24"/>
        </w:rPr>
        <w:t>award</w:t>
      </w:r>
      <w:r w:rsidRPr="00F30483" w:rsidR="00F27B65">
        <w:rPr>
          <w:sz w:val="24"/>
          <w:szCs w:val="24"/>
        </w:rPr>
        <w:t xml:space="preserve"> is ~$</w:t>
      </w:r>
      <w:r w:rsidRPr="00F30483" w:rsidR="001D380F">
        <w:rPr>
          <w:sz w:val="24"/>
          <w:szCs w:val="24"/>
        </w:rPr>
        <w:t>0.</w:t>
      </w:r>
      <w:r w:rsidRPr="00F30483" w:rsidR="004D4068">
        <w:rPr>
          <w:sz w:val="24"/>
          <w:szCs w:val="24"/>
        </w:rPr>
        <w:t>575</w:t>
      </w:r>
      <w:r w:rsidRPr="00F30483" w:rsidR="00B669CB">
        <w:rPr>
          <w:sz w:val="24"/>
          <w:szCs w:val="24"/>
        </w:rPr>
        <w:t>M</w:t>
      </w:r>
      <w:r w:rsidRPr="00F30483" w:rsidR="00115591">
        <w:rPr>
          <w:sz w:val="24"/>
          <w:szCs w:val="24"/>
        </w:rPr>
        <w:t xml:space="preserve"> (</w:t>
      </w:r>
      <w:r w:rsidRPr="00F30483" w:rsidR="00115591">
        <w:rPr>
          <w:sz w:val="24"/>
          <w:szCs w:val="24"/>
        </w:rPr>
        <w:t>taking into account</w:t>
      </w:r>
      <w:r w:rsidRPr="00F30483" w:rsidR="00115591">
        <w:rPr>
          <w:sz w:val="24"/>
          <w:szCs w:val="24"/>
        </w:rPr>
        <w:t xml:space="preserve"> all the </w:t>
      </w:r>
      <w:r w:rsidRPr="00A111F5" w:rsidR="00D009F8">
        <w:rPr>
          <w:sz w:val="24"/>
          <w:szCs w:val="24"/>
        </w:rPr>
        <w:t>32</w:t>
      </w:r>
      <w:r w:rsidRPr="00F30483" w:rsidR="00115591">
        <w:rPr>
          <w:sz w:val="24"/>
          <w:szCs w:val="24"/>
        </w:rPr>
        <w:t xml:space="preserve"> PREMs, including the </w:t>
      </w:r>
      <w:r w:rsidRPr="00A111F5" w:rsidR="00D009F8">
        <w:rPr>
          <w:sz w:val="24"/>
          <w:szCs w:val="24"/>
        </w:rPr>
        <w:t>1</w:t>
      </w:r>
      <w:r w:rsidRPr="00A111F5" w:rsidR="00115591">
        <w:rPr>
          <w:sz w:val="24"/>
          <w:szCs w:val="24"/>
        </w:rPr>
        <w:t>2</w:t>
      </w:r>
      <w:r w:rsidRPr="00F30483" w:rsidR="00115591">
        <w:rPr>
          <w:sz w:val="24"/>
          <w:szCs w:val="24"/>
        </w:rPr>
        <w:t xml:space="preserve"> with Seed Funds). </w:t>
      </w:r>
      <w:r w:rsidRPr="00F30483" w:rsidR="00F933FB">
        <w:rPr>
          <w:sz w:val="24"/>
          <w:szCs w:val="24"/>
        </w:rPr>
        <w:t>The</w:t>
      </w:r>
      <w:r w:rsidRPr="00F30483" w:rsidR="00F27B65">
        <w:rPr>
          <w:sz w:val="24"/>
          <w:szCs w:val="24"/>
        </w:rPr>
        <w:t>refore</w:t>
      </w:r>
      <w:r w:rsidRPr="00F30483" w:rsidR="004D4068">
        <w:rPr>
          <w:sz w:val="24"/>
          <w:szCs w:val="24"/>
        </w:rPr>
        <w:t xml:space="preserve">, </w:t>
      </w:r>
      <w:r w:rsidRPr="00F30483" w:rsidR="00F27B65">
        <w:rPr>
          <w:sz w:val="24"/>
          <w:szCs w:val="24"/>
        </w:rPr>
        <w:t>the</w:t>
      </w:r>
      <w:r w:rsidRPr="00F30483" w:rsidR="00F933FB">
        <w:rPr>
          <w:sz w:val="24"/>
          <w:szCs w:val="24"/>
        </w:rPr>
        <w:t xml:space="preserve"> annual burden of preparing annual and final reports is </w:t>
      </w:r>
      <w:r w:rsidR="004578AB">
        <w:rPr>
          <w:sz w:val="24"/>
          <w:szCs w:val="24"/>
        </w:rPr>
        <w:t>about</w:t>
      </w:r>
      <w:r w:rsidRPr="00F30483" w:rsidR="00115591">
        <w:rPr>
          <w:sz w:val="24"/>
          <w:szCs w:val="24"/>
        </w:rPr>
        <w:t xml:space="preserve"> than</w:t>
      </w:r>
      <w:r w:rsidRPr="00F30483" w:rsidR="00115591">
        <w:rPr>
          <w:sz w:val="24"/>
          <w:szCs w:val="24"/>
        </w:rPr>
        <w:t xml:space="preserve"> </w:t>
      </w:r>
      <w:r w:rsidRPr="00F30483" w:rsidR="00F933FB">
        <w:rPr>
          <w:sz w:val="24"/>
          <w:szCs w:val="24"/>
        </w:rPr>
        <w:t xml:space="preserve">1% of funds provided.  </w:t>
      </w:r>
    </w:p>
    <w:p w:rsidR="00F839B1" w:rsidRPr="00F30483" w14:paraId="072E3A10" w14:textId="77777777">
      <w:pPr>
        <w:autoSpaceDE w:val="0"/>
        <w:autoSpaceDN w:val="0"/>
        <w:adjustRightInd w:val="0"/>
        <w:spacing w:line="480" w:lineRule="auto"/>
        <w:rPr>
          <w:sz w:val="24"/>
          <w:szCs w:val="24"/>
        </w:rPr>
      </w:pPr>
    </w:p>
    <w:p w:rsidR="00F839B1" w:rsidRPr="00987D4C" w14:paraId="13763A80" w14:textId="77777777">
      <w:pPr>
        <w:pStyle w:val="AbtHeadC"/>
        <w:rPr>
          <w:rFonts w:ascii="Times New Roman" w:hAnsi="Times New Roman"/>
          <w:b w:val="0"/>
          <w:bCs/>
          <w:sz w:val="24"/>
          <w:szCs w:val="24"/>
        </w:rPr>
      </w:pPr>
      <w:r w:rsidRPr="00987D4C">
        <w:rPr>
          <w:rFonts w:ascii="Times New Roman" w:hAnsi="Times New Roman"/>
          <w:sz w:val="24"/>
          <w:szCs w:val="24"/>
        </w:rPr>
        <w:t>A. 14. Annualized Cost to the Federal Government</w:t>
      </w:r>
    </w:p>
    <w:p w:rsidR="00F839B1" w:rsidRPr="00987D4C" w14:paraId="39AF0D4D" w14:textId="53E400FF">
      <w:pPr>
        <w:autoSpaceDE w:val="0"/>
        <w:autoSpaceDN w:val="0"/>
        <w:adjustRightInd w:val="0"/>
        <w:spacing w:line="480" w:lineRule="auto"/>
        <w:rPr>
          <w:sz w:val="24"/>
          <w:szCs w:val="24"/>
        </w:rPr>
      </w:pPr>
      <w:r w:rsidRPr="00987D4C">
        <w:rPr>
          <w:sz w:val="24"/>
          <w:szCs w:val="24"/>
        </w:rPr>
        <w:t>The r</w:t>
      </w:r>
      <w:r w:rsidRPr="00987D4C" w:rsidR="00B451C6">
        <w:rPr>
          <w:sz w:val="24"/>
          <w:szCs w:val="24"/>
        </w:rPr>
        <w:t xml:space="preserve">eports submitted by the </w:t>
      </w:r>
      <w:r w:rsidRPr="00987D4C" w:rsidR="005B0FD6">
        <w:rPr>
          <w:sz w:val="24"/>
          <w:szCs w:val="24"/>
        </w:rPr>
        <w:t>PREM</w:t>
      </w:r>
      <w:r w:rsidRPr="00987D4C" w:rsidR="00B451C6">
        <w:rPr>
          <w:sz w:val="24"/>
          <w:szCs w:val="24"/>
        </w:rPr>
        <w:t>s wi</w:t>
      </w:r>
      <w:r w:rsidRPr="00987D4C" w:rsidR="00EC5DDC">
        <w:rPr>
          <w:sz w:val="24"/>
          <w:szCs w:val="24"/>
        </w:rPr>
        <w:t xml:space="preserve">ll be analyzed by the NSF staff </w:t>
      </w:r>
      <w:r w:rsidRPr="00987D4C">
        <w:rPr>
          <w:sz w:val="24"/>
          <w:szCs w:val="24"/>
        </w:rPr>
        <w:t xml:space="preserve">for the purpose of providing </w:t>
      </w:r>
      <w:r w:rsidRPr="00987D4C" w:rsidR="004C5000">
        <w:rPr>
          <w:sz w:val="24"/>
          <w:szCs w:val="24"/>
        </w:rPr>
        <w:t>PREM</w:t>
      </w:r>
      <w:r w:rsidRPr="00987D4C">
        <w:rPr>
          <w:sz w:val="24"/>
          <w:szCs w:val="24"/>
        </w:rPr>
        <w:t xml:space="preserve"> profile documents, various types of data analysis, and tables for the purpose of overall program management. </w:t>
      </w:r>
      <w:r w:rsidRPr="00987D4C" w:rsidR="00EC5DDC">
        <w:rPr>
          <w:sz w:val="24"/>
          <w:szCs w:val="24"/>
        </w:rPr>
        <w:t xml:space="preserve"> An outside contractor will be used to provide automated data entry and collection from a web page for some of the statistical information. </w:t>
      </w:r>
      <w:r w:rsidRPr="00987D4C">
        <w:rPr>
          <w:sz w:val="24"/>
          <w:szCs w:val="24"/>
        </w:rPr>
        <w:t xml:space="preserve">The following estimates of the anticipated effort are based on </w:t>
      </w:r>
      <w:r w:rsidRPr="00987D4C" w:rsidR="00B451C6">
        <w:rPr>
          <w:sz w:val="24"/>
          <w:szCs w:val="24"/>
        </w:rPr>
        <w:t xml:space="preserve">pilot trials of analyzing report data. </w:t>
      </w:r>
    </w:p>
    <w:p w:rsidR="00F839B1" w:rsidRPr="00987D4C" w14:paraId="0B9E23C9" w14:textId="77777777">
      <w:pPr>
        <w:autoSpaceDE w:val="0"/>
        <w:autoSpaceDN w:val="0"/>
        <w:adjustRightInd w:val="0"/>
        <w:spacing w:line="480" w:lineRule="auto"/>
        <w:rPr>
          <w:sz w:val="24"/>
          <w:szCs w:val="24"/>
        </w:rPr>
      </w:pPr>
      <w:r w:rsidRPr="00987D4C">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1843"/>
        <w:gridCol w:w="1843"/>
        <w:gridCol w:w="1843"/>
      </w:tblGrid>
      <w:tr w14:paraId="6E6BAFDD" w14:textId="77777777">
        <w:tblPrEx>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968" w:type="dxa"/>
          </w:tcPr>
          <w:p w:rsidR="00F839B1" w:rsidRPr="00987D4C" w14:paraId="4CCF7D35" w14:textId="77777777">
            <w:pPr>
              <w:autoSpaceDE w:val="0"/>
              <w:autoSpaceDN w:val="0"/>
              <w:adjustRightInd w:val="0"/>
              <w:spacing w:line="480" w:lineRule="auto"/>
              <w:rPr>
                <w:sz w:val="24"/>
                <w:szCs w:val="24"/>
              </w:rPr>
            </w:pPr>
            <w:r w:rsidRPr="00987D4C">
              <w:rPr>
                <w:sz w:val="24"/>
                <w:szCs w:val="24"/>
              </w:rPr>
              <w:t>Expense category</w:t>
            </w:r>
          </w:p>
        </w:tc>
        <w:tc>
          <w:tcPr>
            <w:tcW w:w="1843" w:type="dxa"/>
          </w:tcPr>
          <w:p w:rsidR="00F839B1" w:rsidRPr="00987D4C" w14:paraId="4F033404" w14:textId="77777777">
            <w:pPr>
              <w:autoSpaceDE w:val="0"/>
              <w:autoSpaceDN w:val="0"/>
              <w:adjustRightInd w:val="0"/>
              <w:spacing w:line="480" w:lineRule="auto"/>
              <w:rPr>
                <w:sz w:val="24"/>
                <w:szCs w:val="24"/>
              </w:rPr>
            </w:pPr>
            <w:r w:rsidRPr="00987D4C">
              <w:rPr>
                <w:sz w:val="24"/>
                <w:szCs w:val="24"/>
              </w:rPr>
              <w:t>Unit cost</w:t>
            </w:r>
          </w:p>
        </w:tc>
        <w:tc>
          <w:tcPr>
            <w:tcW w:w="1843" w:type="dxa"/>
          </w:tcPr>
          <w:p w:rsidR="00F839B1" w:rsidRPr="00987D4C" w14:paraId="48EF6E85" w14:textId="77777777">
            <w:pPr>
              <w:autoSpaceDE w:val="0"/>
              <w:autoSpaceDN w:val="0"/>
              <w:adjustRightInd w:val="0"/>
              <w:spacing w:line="480" w:lineRule="auto"/>
              <w:rPr>
                <w:sz w:val="24"/>
                <w:szCs w:val="24"/>
              </w:rPr>
            </w:pPr>
            <w:r w:rsidRPr="00987D4C">
              <w:rPr>
                <w:sz w:val="24"/>
                <w:szCs w:val="24"/>
              </w:rPr>
              <w:t>Units</w:t>
            </w:r>
          </w:p>
        </w:tc>
        <w:tc>
          <w:tcPr>
            <w:tcW w:w="1843" w:type="dxa"/>
          </w:tcPr>
          <w:p w:rsidR="00F839B1" w:rsidRPr="00987D4C" w14:paraId="246FC1D4" w14:textId="77777777">
            <w:pPr>
              <w:autoSpaceDE w:val="0"/>
              <w:autoSpaceDN w:val="0"/>
              <w:adjustRightInd w:val="0"/>
              <w:spacing w:line="480" w:lineRule="auto"/>
              <w:rPr>
                <w:sz w:val="24"/>
                <w:szCs w:val="24"/>
              </w:rPr>
            </w:pPr>
            <w:r w:rsidRPr="00987D4C">
              <w:rPr>
                <w:sz w:val="24"/>
                <w:szCs w:val="24"/>
              </w:rPr>
              <w:t>Total cost</w:t>
            </w:r>
          </w:p>
        </w:tc>
      </w:tr>
      <w:tr w14:paraId="45968220" w14:textId="77777777">
        <w:tblPrEx>
          <w:tblW w:w="8497" w:type="dxa"/>
          <w:tblLook w:val="0000"/>
        </w:tblPrEx>
        <w:tc>
          <w:tcPr>
            <w:tcW w:w="2968" w:type="dxa"/>
          </w:tcPr>
          <w:p w:rsidR="00F839B1" w:rsidRPr="00987D4C" w:rsidP="004C25F9" w14:paraId="3446A6EC" w14:textId="77777777">
            <w:pPr>
              <w:autoSpaceDE w:val="0"/>
              <w:autoSpaceDN w:val="0"/>
              <w:adjustRightInd w:val="0"/>
              <w:spacing w:line="480" w:lineRule="auto"/>
              <w:rPr>
                <w:sz w:val="24"/>
                <w:szCs w:val="24"/>
              </w:rPr>
            </w:pPr>
            <w:r w:rsidRPr="00987D4C">
              <w:rPr>
                <w:sz w:val="24"/>
                <w:szCs w:val="24"/>
              </w:rPr>
              <w:t xml:space="preserve">Program </w:t>
            </w:r>
            <w:r w:rsidRPr="00987D4C" w:rsidR="004C25F9">
              <w:rPr>
                <w:sz w:val="24"/>
                <w:szCs w:val="24"/>
              </w:rPr>
              <w:t>Officer</w:t>
            </w:r>
          </w:p>
        </w:tc>
        <w:tc>
          <w:tcPr>
            <w:tcW w:w="1843" w:type="dxa"/>
          </w:tcPr>
          <w:p w:rsidR="00F839B1" w:rsidRPr="00987D4C" w14:paraId="157E8C78" w14:textId="77777777">
            <w:pPr>
              <w:autoSpaceDE w:val="0"/>
              <w:autoSpaceDN w:val="0"/>
              <w:adjustRightInd w:val="0"/>
              <w:spacing w:line="480" w:lineRule="auto"/>
              <w:rPr>
                <w:sz w:val="24"/>
                <w:szCs w:val="24"/>
              </w:rPr>
            </w:pPr>
            <w:r w:rsidRPr="00987D4C">
              <w:rPr>
                <w:sz w:val="24"/>
                <w:szCs w:val="24"/>
              </w:rPr>
              <w:t>$80</w:t>
            </w:r>
            <w:r w:rsidRPr="00987D4C">
              <w:rPr>
                <w:sz w:val="24"/>
                <w:szCs w:val="24"/>
              </w:rPr>
              <w:t>/hour</w:t>
            </w:r>
          </w:p>
        </w:tc>
        <w:tc>
          <w:tcPr>
            <w:tcW w:w="1843" w:type="dxa"/>
          </w:tcPr>
          <w:p w:rsidR="00F839B1" w:rsidRPr="00987D4C" w14:paraId="32DF9E2D" w14:textId="63DB74ED">
            <w:pPr>
              <w:autoSpaceDE w:val="0"/>
              <w:autoSpaceDN w:val="0"/>
              <w:adjustRightInd w:val="0"/>
              <w:spacing w:line="480" w:lineRule="auto"/>
              <w:rPr>
                <w:sz w:val="24"/>
                <w:szCs w:val="24"/>
              </w:rPr>
            </w:pPr>
            <w:r w:rsidRPr="00987D4C">
              <w:rPr>
                <w:sz w:val="24"/>
                <w:szCs w:val="24"/>
              </w:rPr>
              <w:t>16</w:t>
            </w:r>
            <w:r w:rsidRPr="00987D4C">
              <w:rPr>
                <w:sz w:val="24"/>
                <w:szCs w:val="24"/>
              </w:rPr>
              <w:t xml:space="preserve"> hours/</w:t>
            </w:r>
            <w:r w:rsidRPr="00987D4C" w:rsidR="004C5000">
              <w:rPr>
                <w:sz w:val="24"/>
                <w:szCs w:val="24"/>
              </w:rPr>
              <w:t>PREM</w:t>
            </w:r>
          </w:p>
        </w:tc>
        <w:tc>
          <w:tcPr>
            <w:tcW w:w="1843" w:type="dxa"/>
          </w:tcPr>
          <w:p w:rsidR="00F839B1" w:rsidRPr="00987D4C" w:rsidP="00FE01A5" w14:paraId="47C4023C" w14:textId="784888E6">
            <w:pPr>
              <w:autoSpaceDE w:val="0"/>
              <w:autoSpaceDN w:val="0"/>
              <w:adjustRightInd w:val="0"/>
              <w:spacing w:line="480" w:lineRule="auto"/>
              <w:rPr>
                <w:sz w:val="24"/>
                <w:szCs w:val="24"/>
              </w:rPr>
            </w:pPr>
            <w:r w:rsidRPr="00987D4C">
              <w:rPr>
                <w:sz w:val="24"/>
                <w:szCs w:val="24"/>
              </w:rPr>
              <w:t>$</w:t>
            </w:r>
            <w:r w:rsidRPr="00987D4C" w:rsidR="003025CC">
              <w:rPr>
                <w:sz w:val="24"/>
                <w:szCs w:val="24"/>
              </w:rPr>
              <w:t>1280</w:t>
            </w:r>
          </w:p>
        </w:tc>
      </w:tr>
      <w:tr w14:paraId="31CE6346" w14:textId="77777777">
        <w:tblPrEx>
          <w:tblW w:w="8497" w:type="dxa"/>
          <w:tblLook w:val="0000"/>
        </w:tblPrEx>
        <w:tc>
          <w:tcPr>
            <w:tcW w:w="2968" w:type="dxa"/>
          </w:tcPr>
          <w:p w:rsidR="00F839B1" w:rsidRPr="00987D4C" w14:paraId="3A0AE6A8" w14:textId="1E588A56">
            <w:pPr>
              <w:pStyle w:val="full-govpro"/>
              <w:autoSpaceDE w:val="0"/>
              <w:autoSpaceDN w:val="0"/>
              <w:adjustRightInd w:val="0"/>
              <w:spacing w:line="240" w:lineRule="auto"/>
              <w:rPr>
                <w:sz w:val="24"/>
                <w:szCs w:val="24"/>
              </w:rPr>
            </w:pPr>
            <w:r w:rsidRPr="00987D4C">
              <w:rPr>
                <w:sz w:val="24"/>
                <w:szCs w:val="24"/>
              </w:rPr>
              <w:t>Contractor</w:t>
            </w:r>
            <w:r w:rsidRPr="00987D4C" w:rsidR="00B451C6">
              <w:rPr>
                <w:sz w:val="24"/>
                <w:szCs w:val="24"/>
              </w:rPr>
              <w:t xml:space="preserve"> </w:t>
            </w:r>
            <w:r w:rsidRPr="00987D4C" w:rsidR="003A24DF">
              <w:rPr>
                <w:sz w:val="24"/>
                <w:szCs w:val="24"/>
              </w:rPr>
              <w:t xml:space="preserve">(software used by all </w:t>
            </w:r>
            <w:r w:rsidRPr="00987D4C" w:rsidR="004C5000">
              <w:rPr>
                <w:sz w:val="24"/>
                <w:szCs w:val="24"/>
              </w:rPr>
              <w:t>PREM</w:t>
            </w:r>
            <w:r w:rsidRPr="00987D4C" w:rsidR="003A24DF">
              <w:rPr>
                <w:sz w:val="24"/>
                <w:szCs w:val="24"/>
              </w:rPr>
              <w:t xml:space="preserve"> reports)</w:t>
            </w:r>
          </w:p>
        </w:tc>
        <w:tc>
          <w:tcPr>
            <w:tcW w:w="1843" w:type="dxa"/>
          </w:tcPr>
          <w:p w:rsidR="00F839B1" w:rsidRPr="00987D4C" w14:paraId="4F3F9D7D" w14:textId="77777777">
            <w:pPr>
              <w:autoSpaceDE w:val="0"/>
              <w:autoSpaceDN w:val="0"/>
              <w:adjustRightInd w:val="0"/>
              <w:spacing w:line="480" w:lineRule="auto"/>
              <w:rPr>
                <w:sz w:val="24"/>
                <w:szCs w:val="24"/>
              </w:rPr>
            </w:pPr>
            <w:r w:rsidRPr="00987D4C">
              <w:rPr>
                <w:sz w:val="24"/>
                <w:szCs w:val="24"/>
              </w:rPr>
              <w:t>$20</w:t>
            </w:r>
            <w:r w:rsidRPr="00987D4C">
              <w:rPr>
                <w:sz w:val="24"/>
                <w:szCs w:val="24"/>
              </w:rPr>
              <w:t>/hour</w:t>
            </w:r>
          </w:p>
        </w:tc>
        <w:tc>
          <w:tcPr>
            <w:tcW w:w="1843" w:type="dxa"/>
          </w:tcPr>
          <w:p w:rsidR="00F839B1" w:rsidRPr="00987D4C" w:rsidP="00EC5DDC" w14:paraId="568991CF" w14:textId="3F02E56E">
            <w:pPr>
              <w:autoSpaceDE w:val="0"/>
              <w:autoSpaceDN w:val="0"/>
              <w:adjustRightInd w:val="0"/>
              <w:spacing w:line="480" w:lineRule="auto"/>
              <w:rPr>
                <w:sz w:val="24"/>
                <w:szCs w:val="24"/>
              </w:rPr>
            </w:pPr>
            <w:r w:rsidRPr="00987D4C">
              <w:rPr>
                <w:sz w:val="24"/>
                <w:szCs w:val="24"/>
              </w:rPr>
              <w:t>0</w:t>
            </w:r>
            <w:r w:rsidRPr="00987D4C">
              <w:rPr>
                <w:sz w:val="24"/>
                <w:szCs w:val="24"/>
              </w:rPr>
              <w:t xml:space="preserve"> hours</w:t>
            </w:r>
          </w:p>
        </w:tc>
        <w:tc>
          <w:tcPr>
            <w:tcW w:w="1843" w:type="dxa"/>
          </w:tcPr>
          <w:p w:rsidR="00F839B1" w:rsidRPr="00987D4C" w:rsidP="00EC5DDC" w14:paraId="76ABA463" w14:textId="487D247D">
            <w:pPr>
              <w:autoSpaceDE w:val="0"/>
              <w:autoSpaceDN w:val="0"/>
              <w:adjustRightInd w:val="0"/>
              <w:spacing w:line="480" w:lineRule="auto"/>
              <w:rPr>
                <w:sz w:val="24"/>
                <w:szCs w:val="24"/>
              </w:rPr>
            </w:pPr>
            <w:r w:rsidRPr="00987D4C">
              <w:rPr>
                <w:sz w:val="24"/>
                <w:szCs w:val="24"/>
              </w:rPr>
              <w:t>$</w:t>
            </w:r>
            <w:r w:rsidRPr="00987D4C" w:rsidR="003025CC">
              <w:rPr>
                <w:sz w:val="24"/>
                <w:szCs w:val="24"/>
              </w:rPr>
              <w:t>0</w:t>
            </w:r>
          </w:p>
        </w:tc>
      </w:tr>
      <w:tr w14:paraId="25869ECB" w14:textId="77777777">
        <w:tblPrEx>
          <w:tblW w:w="8497" w:type="dxa"/>
          <w:tblLook w:val="0000"/>
        </w:tblPrEx>
        <w:tc>
          <w:tcPr>
            <w:tcW w:w="2968" w:type="dxa"/>
          </w:tcPr>
          <w:p w:rsidR="00F839B1" w:rsidRPr="00987D4C" w14:paraId="55C35144" w14:textId="6865EDC5">
            <w:pPr>
              <w:pStyle w:val="full-govpro"/>
              <w:autoSpaceDE w:val="0"/>
              <w:autoSpaceDN w:val="0"/>
              <w:adjustRightInd w:val="0"/>
              <w:spacing w:line="240" w:lineRule="auto"/>
              <w:rPr>
                <w:b/>
                <w:bCs/>
                <w:sz w:val="24"/>
                <w:szCs w:val="24"/>
              </w:rPr>
            </w:pPr>
            <w:r w:rsidRPr="00987D4C">
              <w:rPr>
                <w:b/>
                <w:bCs/>
                <w:sz w:val="24"/>
                <w:szCs w:val="24"/>
              </w:rPr>
              <w:t xml:space="preserve">Total cost per </w:t>
            </w:r>
            <w:r w:rsidRPr="00987D4C" w:rsidR="004C5000">
              <w:rPr>
                <w:b/>
                <w:bCs/>
                <w:sz w:val="24"/>
                <w:szCs w:val="24"/>
              </w:rPr>
              <w:t>PREM</w:t>
            </w:r>
          </w:p>
        </w:tc>
        <w:tc>
          <w:tcPr>
            <w:tcW w:w="1843" w:type="dxa"/>
          </w:tcPr>
          <w:p w:rsidR="00F839B1" w:rsidRPr="00987D4C" w14:paraId="41117991" w14:textId="77777777">
            <w:pPr>
              <w:autoSpaceDE w:val="0"/>
              <w:autoSpaceDN w:val="0"/>
              <w:adjustRightInd w:val="0"/>
              <w:spacing w:line="480" w:lineRule="auto"/>
              <w:rPr>
                <w:sz w:val="24"/>
                <w:szCs w:val="24"/>
              </w:rPr>
            </w:pPr>
          </w:p>
        </w:tc>
        <w:tc>
          <w:tcPr>
            <w:tcW w:w="1843" w:type="dxa"/>
          </w:tcPr>
          <w:p w:rsidR="00F839B1" w:rsidRPr="00987D4C" w14:paraId="56717DAD" w14:textId="77777777">
            <w:pPr>
              <w:autoSpaceDE w:val="0"/>
              <w:autoSpaceDN w:val="0"/>
              <w:adjustRightInd w:val="0"/>
              <w:spacing w:line="480" w:lineRule="auto"/>
              <w:rPr>
                <w:sz w:val="24"/>
                <w:szCs w:val="24"/>
              </w:rPr>
            </w:pPr>
          </w:p>
        </w:tc>
        <w:tc>
          <w:tcPr>
            <w:tcW w:w="1843" w:type="dxa"/>
          </w:tcPr>
          <w:p w:rsidR="00F839B1" w:rsidRPr="00987D4C" w:rsidP="00FE01A5" w14:paraId="5AEF330F" w14:textId="03BF8C23">
            <w:pPr>
              <w:pStyle w:val="TOC1"/>
              <w:tabs>
                <w:tab w:val="left" w:pos="720"/>
                <w:tab w:val="left" w:pos="1080"/>
                <w:tab w:val="left" w:pos="1440"/>
                <w:tab w:val="left" w:pos="1800"/>
              </w:tabs>
              <w:autoSpaceDE w:val="0"/>
              <w:autoSpaceDN w:val="0"/>
              <w:adjustRightInd w:val="0"/>
              <w:spacing w:before="0" w:line="480" w:lineRule="auto"/>
              <w:rPr>
                <w:sz w:val="24"/>
                <w:szCs w:val="24"/>
              </w:rPr>
            </w:pPr>
            <w:r w:rsidRPr="00987D4C">
              <w:rPr>
                <w:sz w:val="24"/>
                <w:szCs w:val="24"/>
              </w:rPr>
              <w:t>$</w:t>
            </w:r>
            <w:r w:rsidRPr="00987D4C" w:rsidR="00993EE9">
              <w:rPr>
                <w:sz w:val="24"/>
                <w:szCs w:val="24"/>
              </w:rPr>
              <w:t>1</w:t>
            </w:r>
            <w:r w:rsidRPr="00987D4C" w:rsidR="003025CC">
              <w:rPr>
                <w:sz w:val="24"/>
                <w:szCs w:val="24"/>
              </w:rPr>
              <w:t>280</w:t>
            </w:r>
          </w:p>
        </w:tc>
      </w:tr>
      <w:tr w14:paraId="5907CC62" w14:textId="77777777">
        <w:tblPrEx>
          <w:tblW w:w="8497" w:type="dxa"/>
          <w:tblLook w:val="0000"/>
        </w:tblPrEx>
        <w:tc>
          <w:tcPr>
            <w:tcW w:w="2968" w:type="dxa"/>
          </w:tcPr>
          <w:p w:rsidR="005461BE" w:rsidRPr="00987D4C" w14:paraId="38868B24" w14:textId="206AB3F6">
            <w:pPr>
              <w:pStyle w:val="full-govpro"/>
              <w:autoSpaceDE w:val="0"/>
              <w:autoSpaceDN w:val="0"/>
              <w:adjustRightInd w:val="0"/>
              <w:spacing w:line="240" w:lineRule="auto"/>
              <w:rPr>
                <w:b/>
                <w:bCs/>
                <w:i/>
                <w:iCs/>
                <w:sz w:val="24"/>
                <w:szCs w:val="24"/>
              </w:rPr>
            </w:pPr>
            <w:r w:rsidRPr="00987D4C">
              <w:rPr>
                <w:b/>
                <w:bCs/>
                <w:i/>
                <w:iCs/>
                <w:sz w:val="24"/>
                <w:szCs w:val="24"/>
              </w:rPr>
              <w:t xml:space="preserve">Total cost for </w:t>
            </w:r>
            <w:r w:rsidRPr="00987D4C" w:rsidR="00101CA8">
              <w:rPr>
                <w:b/>
                <w:bCs/>
                <w:i/>
                <w:iCs/>
                <w:sz w:val="24"/>
                <w:szCs w:val="24"/>
              </w:rPr>
              <w:t>32</w:t>
            </w:r>
            <w:r w:rsidRPr="00987D4C" w:rsidR="006009D1">
              <w:rPr>
                <w:b/>
                <w:bCs/>
                <w:i/>
                <w:iCs/>
                <w:sz w:val="24"/>
                <w:szCs w:val="24"/>
              </w:rPr>
              <w:t xml:space="preserve"> </w:t>
            </w:r>
            <w:r w:rsidRPr="00987D4C" w:rsidR="004C5000">
              <w:rPr>
                <w:b/>
                <w:bCs/>
                <w:i/>
                <w:iCs/>
                <w:sz w:val="24"/>
                <w:szCs w:val="24"/>
              </w:rPr>
              <w:t>PREM</w:t>
            </w:r>
            <w:r w:rsidRPr="00987D4C">
              <w:rPr>
                <w:b/>
                <w:bCs/>
                <w:i/>
                <w:iCs/>
                <w:sz w:val="24"/>
                <w:szCs w:val="24"/>
              </w:rPr>
              <w:t>s</w:t>
            </w:r>
          </w:p>
          <w:p w:rsidR="00F839B1" w:rsidRPr="00987D4C" w14:paraId="1C94C32A" w14:textId="77777777">
            <w:pPr>
              <w:pStyle w:val="full-govpro"/>
              <w:autoSpaceDE w:val="0"/>
              <w:autoSpaceDN w:val="0"/>
              <w:adjustRightInd w:val="0"/>
              <w:spacing w:line="240" w:lineRule="auto"/>
              <w:rPr>
                <w:b/>
                <w:bCs/>
                <w:i/>
                <w:iCs/>
                <w:sz w:val="24"/>
                <w:szCs w:val="24"/>
              </w:rPr>
            </w:pPr>
          </w:p>
        </w:tc>
        <w:tc>
          <w:tcPr>
            <w:tcW w:w="1843" w:type="dxa"/>
          </w:tcPr>
          <w:p w:rsidR="00F839B1" w:rsidRPr="00987D4C" w14:paraId="120FE8FE" w14:textId="77777777">
            <w:pPr>
              <w:autoSpaceDE w:val="0"/>
              <w:autoSpaceDN w:val="0"/>
              <w:adjustRightInd w:val="0"/>
              <w:spacing w:line="480" w:lineRule="auto"/>
              <w:rPr>
                <w:i/>
                <w:iCs/>
                <w:sz w:val="24"/>
                <w:szCs w:val="24"/>
              </w:rPr>
            </w:pPr>
          </w:p>
        </w:tc>
        <w:tc>
          <w:tcPr>
            <w:tcW w:w="1843" w:type="dxa"/>
          </w:tcPr>
          <w:p w:rsidR="00F839B1" w:rsidRPr="00987D4C" w14:paraId="076A1DBC" w14:textId="77777777">
            <w:pPr>
              <w:autoSpaceDE w:val="0"/>
              <w:autoSpaceDN w:val="0"/>
              <w:adjustRightInd w:val="0"/>
              <w:spacing w:line="480" w:lineRule="auto"/>
              <w:rPr>
                <w:i/>
                <w:iCs/>
                <w:sz w:val="24"/>
                <w:szCs w:val="24"/>
              </w:rPr>
            </w:pPr>
          </w:p>
        </w:tc>
        <w:tc>
          <w:tcPr>
            <w:tcW w:w="1843" w:type="dxa"/>
          </w:tcPr>
          <w:p w:rsidR="00665E68" w:rsidRPr="00F30483" w:rsidP="00FE01A5" w14:paraId="0D037763" w14:textId="4835CDA3">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987D4C">
              <w:rPr>
                <w:bCs/>
                <w:i/>
                <w:iCs/>
                <w:sz w:val="24"/>
                <w:szCs w:val="24"/>
              </w:rPr>
              <w:t>$</w:t>
            </w:r>
            <w:r w:rsidRPr="00987D4C" w:rsidR="00E47FA3">
              <w:rPr>
                <w:bCs/>
                <w:i/>
                <w:iCs/>
                <w:sz w:val="24"/>
                <w:szCs w:val="24"/>
              </w:rPr>
              <w:t>40,960</w:t>
            </w:r>
          </w:p>
        </w:tc>
      </w:tr>
    </w:tbl>
    <w:p w:rsidR="00F839B1" w:rsidRPr="00F30483" w14:paraId="1B38A704" w14:textId="77777777">
      <w:pPr>
        <w:autoSpaceDE w:val="0"/>
        <w:autoSpaceDN w:val="0"/>
        <w:adjustRightInd w:val="0"/>
        <w:spacing w:line="480" w:lineRule="auto"/>
        <w:rPr>
          <w:b/>
          <w:bCs/>
          <w:sz w:val="24"/>
          <w:szCs w:val="24"/>
        </w:rPr>
      </w:pPr>
    </w:p>
    <w:p w:rsidR="00F839B1" w:rsidRPr="00F30483" w14:paraId="676C0F01" w14:textId="77777777">
      <w:pPr>
        <w:pStyle w:val="AbtHeadC"/>
        <w:rPr>
          <w:rFonts w:ascii="Times New Roman" w:hAnsi="Times New Roman"/>
          <w:sz w:val="24"/>
          <w:szCs w:val="24"/>
        </w:rPr>
      </w:pPr>
      <w:r w:rsidRPr="00F30483">
        <w:rPr>
          <w:rFonts w:ascii="Times New Roman" w:hAnsi="Times New Roman"/>
          <w:sz w:val="24"/>
          <w:szCs w:val="24"/>
        </w:rPr>
        <w:t>A. 15. Changes in Burden</w:t>
      </w:r>
    </w:p>
    <w:p w:rsidR="00A32B6C" w:rsidRPr="00F30483" w14:paraId="1CD4A0C8" w14:textId="76B1FAE1">
      <w:pPr>
        <w:pStyle w:val="AbtHeadC"/>
        <w:rPr>
          <w:rFonts w:ascii="Times New Roman" w:hAnsi="Times New Roman"/>
          <w:b w:val="0"/>
          <w:sz w:val="24"/>
          <w:szCs w:val="24"/>
        </w:rPr>
      </w:pPr>
      <w:r w:rsidRPr="00F30483">
        <w:rPr>
          <w:rFonts w:ascii="Times New Roman" w:hAnsi="Times New Roman"/>
          <w:b w:val="0"/>
          <w:sz w:val="24"/>
          <w:szCs w:val="24"/>
        </w:rPr>
        <w:t xml:space="preserve">The number of awards to institutions hosting PREM </w:t>
      </w:r>
      <w:r w:rsidR="00C339EB">
        <w:rPr>
          <w:rFonts w:ascii="Times New Roman" w:hAnsi="Times New Roman"/>
          <w:b w:val="0"/>
          <w:sz w:val="24"/>
          <w:szCs w:val="24"/>
        </w:rPr>
        <w:t>remained at</w:t>
      </w:r>
      <w:r w:rsidRPr="00F30483" w:rsidR="002E65E3">
        <w:rPr>
          <w:rFonts w:ascii="Times New Roman" w:hAnsi="Times New Roman"/>
          <w:b w:val="0"/>
          <w:sz w:val="24"/>
          <w:szCs w:val="24"/>
        </w:rPr>
        <w:t xml:space="preserve"> 32</w:t>
      </w:r>
      <w:r w:rsidRPr="00F30483" w:rsidR="008C559D">
        <w:rPr>
          <w:rFonts w:ascii="Times New Roman" w:hAnsi="Times New Roman"/>
          <w:b w:val="0"/>
          <w:sz w:val="24"/>
          <w:szCs w:val="24"/>
        </w:rPr>
        <w:t xml:space="preserve">. </w:t>
      </w:r>
      <w:r w:rsidRPr="00987D4C" w:rsidR="003025CC">
        <w:rPr>
          <w:rFonts w:ascii="Times New Roman" w:hAnsi="Times New Roman"/>
          <w:b w:val="0"/>
          <w:sz w:val="24"/>
          <w:szCs w:val="24"/>
        </w:rPr>
        <w:t>(</w:t>
      </w:r>
      <w:r w:rsidRPr="00987D4C" w:rsidR="008C559D">
        <w:rPr>
          <w:rFonts w:ascii="Times New Roman" w:hAnsi="Times New Roman"/>
          <w:b w:val="0"/>
          <w:sz w:val="24"/>
          <w:szCs w:val="24"/>
        </w:rPr>
        <w:t xml:space="preserve">This includes </w:t>
      </w:r>
      <w:r w:rsidRPr="00987D4C" w:rsidR="00EC03B4">
        <w:rPr>
          <w:rFonts w:ascii="Times New Roman" w:hAnsi="Times New Roman"/>
          <w:b w:val="0"/>
          <w:sz w:val="24"/>
          <w:szCs w:val="24"/>
        </w:rPr>
        <w:t>twel</w:t>
      </w:r>
      <w:r w:rsidRPr="00987D4C" w:rsidR="00101CA8">
        <w:rPr>
          <w:rFonts w:ascii="Times New Roman" w:hAnsi="Times New Roman"/>
          <w:b w:val="0"/>
          <w:sz w:val="24"/>
          <w:szCs w:val="24"/>
        </w:rPr>
        <w:t>ve</w:t>
      </w:r>
      <w:r w:rsidRPr="00987D4C" w:rsidR="008C559D">
        <w:rPr>
          <w:rFonts w:ascii="Times New Roman" w:hAnsi="Times New Roman"/>
          <w:b w:val="0"/>
          <w:sz w:val="24"/>
          <w:szCs w:val="24"/>
        </w:rPr>
        <w:t xml:space="preserve"> PREMs which are provided Seed Funding at a reduced level </w:t>
      </w:r>
      <w:r w:rsidRPr="00987D4C" w:rsidR="003025CC">
        <w:rPr>
          <w:rFonts w:ascii="Times New Roman" w:hAnsi="Times New Roman"/>
          <w:b w:val="0"/>
          <w:sz w:val="24"/>
          <w:szCs w:val="24"/>
        </w:rPr>
        <w:t>compared to typical PREM awards</w:t>
      </w:r>
      <w:r w:rsidRPr="00987D4C" w:rsidR="008C559D">
        <w:rPr>
          <w:rFonts w:ascii="Times New Roman" w:hAnsi="Times New Roman"/>
          <w:b w:val="0"/>
          <w:sz w:val="24"/>
          <w:szCs w:val="24"/>
        </w:rPr>
        <w:t>.</w:t>
      </w:r>
      <w:r w:rsidRPr="00987D4C" w:rsidR="003025CC">
        <w:rPr>
          <w:rFonts w:ascii="Times New Roman" w:hAnsi="Times New Roman"/>
          <w:b w:val="0"/>
          <w:sz w:val="24"/>
          <w:szCs w:val="24"/>
        </w:rPr>
        <w:t>)</w:t>
      </w:r>
      <w:r w:rsidR="00984328">
        <w:rPr>
          <w:rFonts w:ascii="Times New Roman" w:hAnsi="Times New Roman"/>
          <w:b w:val="0"/>
          <w:sz w:val="24"/>
          <w:szCs w:val="24"/>
        </w:rPr>
        <w:t xml:space="preserve"> T</w:t>
      </w:r>
      <w:r w:rsidRPr="00F30483" w:rsidR="002E65E3">
        <w:rPr>
          <w:rFonts w:ascii="Times New Roman" w:hAnsi="Times New Roman"/>
          <w:b w:val="0"/>
          <w:sz w:val="24"/>
          <w:szCs w:val="24"/>
        </w:rPr>
        <w:t xml:space="preserve">he overall burden hours </w:t>
      </w:r>
      <w:r w:rsidR="00984328">
        <w:rPr>
          <w:rFonts w:ascii="Times New Roman" w:hAnsi="Times New Roman"/>
          <w:b w:val="0"/>
          <w:sz w:val="24"/>
          <w:szCs w:val="24"/>
        </w:rPr>
        <w:t xml:space="preserve">decreased due to </w:t>
      </w:r>
      <w:r w:rsidR="00AF358E">
        <w:rPr>
          <w:rFonts w:ascii="Times New Roman" w:hAnsi="Times New Roman"/>
          <w:b w:val="0"/>
          <w:sz w:val="24"/>
          <w:szCs w:val="24"/>
        </w:rPr>
        <w:t>established reporting</w:t>
      </w:r>
      <w:r w:rsidR="008F0727">
        <w:rPr>
          <w:rFonts w:ascii="Times New Roman" w:hAnsi="Times New Roman"/>
          <w:b w:val="0"/>
          <w:sz w:val="24"/>
          <w:szCs w:val="24"/>
        </w:rPr>
        <w:t xml:space="preserve"> techniques and </w:t>
      </w:r>
      <w:r w:rsidR="008F0727">
        <w:rPr>
          <w:rFonts w:ascii="Times New Roman" w:hAnsi="Times New Roman"/>
          <w:b w:val="0"/>
          <w:sz w:val="24"/>
          <w:szCs w:val="24"/>
        </w:rPr>
        <w:t>a familiarity</w:t>
      </w:r>
      <w:r w:rsidR="008F0727">
        <w:rPr>
          <w:rFonts w:ascii="Times New Roman" w:hAnsi="Times New Roman"/>
          <w:b w:val="0"/>
          <w:sz w:val="24"/>
          <w:szCs w:val="24"/>
        </w:rPr>
        <w:t xml:space="preserve"> with the requirements.</w:t>
      </w:r>
    </w:p>
    <w:p w:rsidR="00F839B1" w:rsidRPr="00F30483" w14:paraId="0CEE5312" w14:textId="77777777">
      <w:pPr>
        <w:pStyle w:val="AbtHeadC"/>
        <w:rPr>
          <w:rFonts w:ascii="Times New Roman" w:hAnsi="Times New Roman"/>
          <w:sz w:val="24"/>
          <w:szCs w:val="24"/>
        </w:rPr>
      </w:pPr>
      <w:r w:rsidRPr="00F30483">
        <w:rPr>
          <w:rFonts w:ascii="Times New Roman" w:hAnsi="Times New Roman"/>
          <w:sz w:val="24"/>
          <w:szCs w:val="24"/>
        </w:rPr>
        <w:t>A. 16 Publication of Collection</w:t>
      </w:r>
    </w:p>
    <w:p w:rsidR="00F839B1" w:rsidRPr="00F30483" w14:paraId="2DF581B4" w14:textId="77777777">
      <w:pPr>
        <w:autoSpaceDE w:val="0"/>
        <w:autoSpaceDN w:val="0"/>
        <w:adjustRightInd w:val="0"/>
        <w:spacing w:line="480" w:lineRule="auto"/>
        <w:rPr>
          <w:sz w:val="24"/>
          <w:szCs w:val="24"/>
        </w:rPr>
      </w:pPr>
      <w:r w:rsidRPr="00F30483">
        <w:rPr>
          <w:sz w:val="24"/>
          <w:szCs w:val="24"/>
        </w:rPr>
        <w:t>N/A</w:t>
      </w:r>
    </w:p>
    <w:p w:rsidR="00F839B1" w:rsidRPr="00F30483" w14:paraId="3E7D97A7" w14:textId="77777777">
      <w:pPr>
        <w:pStyle w:val="AbtHeadC"/>
        <w:rPr>
          <w:rFonts w:ascii="Times New Roman" w:hAnsi="Times New Roman"/>
          <w:sz w:val="24"/>
          <w:szCs w:val="24"/>
        </w:rPr>
      </w:pPr>
      <w:r w:rsidRPr="00F30483">
        <w:rPr>
          <w:rFonts w:ascii="Times New Roman" w:hAnsi="Times New Roman"/>
          <w:sz w:val="24"/>
          <w:szCs w:val="24"/>
        </w:rPr>
        <w:t>A. 17 Approval to Not Display OMB Expiration Date</w:t>
      </w:r>
    </w:p>
    <w:p w:rsidR="00F839B1" w:rsidRPr="00F30483" w14:paraId="732FC386" w14:textId="77777777">
      <w:pPr>
        <w:autoSpaceDE w:val="0"/>
        <w:autoSpaceDN w:val="0"/>
        <w:adjustRightInd w:val="0"/>
        <w:spacing w:line="480" w:lineRule="auto"/>
        <w:rPr>
          <w:sz w:val="24"/>
          <w:szCs w:val="24"/>
        </w:rPr>
      </w:pPr>
      <w:r w:rsidRPr="00F30483">
        <w:rPr>
          <w:sz w:val="24"/>
          <w:szCs w:val="24"/>
        </w:rPr>
        <w:t>N/A</w:t>
      </w:r>
    </w:p>
    <w:p w:rsidR="00F839B1" w:rsidRPr="00F30483" w14:paraId="0A6CCE10" w14:textId="77777777">
      <w:pPr>
        <w:pStyle w:val="AbtHeadC"/>
        <w:rPr>
          <w:rFonts w:ascii="Times New Roman" w:hAnsi="Times New Roman"/>
          <w:sz w:val="24"/>
          <w:szCs w:val="24"/>
        </w:rPr>
      </w:pPr>
      <w:r w:rsidRPr="00F30483">
        <w:rPr>
          <w:rFonts w:ascii="Times New Roman" w:hAnsi="Times New Roman"/>
          <w:sz w:val="24"/>
          <w:szCs w:val="24"/>
        </w:rPr>
        <w:t>A. 18 Exception to Item 19 of OMB Form 83-I Certification Statement</w:t>
      </w:r>
    </w:p>
    <w:p w:rsidR="00F839B1" w:rsidRPr="00F30483" w14:paraId="0B2A0253" w14:textId="77777777">
      <w:pPr>
        <w:autoSpaceDE w:val="0"/>
        <w:autoSpaceDN w:val="0"/>
        <w:adjustRightInd w:val="0"/>
        <w:spacing w:line="480" w:lineRule="auto"/>
        <w:rPr>
          <w:sz w:val="24"/>
          <w:szCs w:val="24"/>
        </w:rPr>
      </w:pPr>
      <w:r w:rsidRPr="00F30483">
        <w:rPr>
          <w:sz w:val="24"/>
          <w:szCs w:val="24"/>
        </w:rPr>
        <w:t>N/A</w:t>
      </w:r>
    </w:p>
    <w:p w:rsidR="00F839B1" w:rsidRPr="00F30483" w14:paraId="65A7DAB4" w14:textId="77777777">
      <w:pPr>
        <w:pStyle w:val="Heading2"/>
        <w:rPr>
          <w:sz w:val="24"/>
          <w:szCs w:val="24"/>
        </w:rPr>
      </w:pPr>
      <w:r w:rsidRPr="00F30483">
        <w:rPr>
          <w:sz w:val="24"/>
          <w:szCs w:val="24"/>
        </w:rPr>
        <w:t>B. STATISTICAL METHODS</w:t>
      </w:r>
    </w:p>
    <w:p w:rsidR="00F839B1" w:rsidRPr="00F30483" w14:paraId="737E2033" w14:textId="77777777">
      <w:pPr>
        <w:pStyle w:val="Heading3"/>
        <w:autoSpaceDE w:val="0"/>
        <w:autoSpaceDN w:val="0"/>
        <w:adjustRightInd w:val="0"/>
        <w:spacing w:before="0" w:after="0" w:line="480" w:lineRule="auto"/>
        <w:rPr>
          <w:rFonts w:ascii="Times New Roman" w:hAnsi="Times New Roman"/>
          <w:sz w:val="24"/>
          <w:szCs w:val="24"/>
        </w:rPr>
      </w:pPr>
      <w:r w:rsidRPr="00F30483">
        <w:rPr>
          <w:rFonts w:ascii="Times New Roman" w:hAnsi="Times New Roman"/>
          <w:sz w:val="24"/>
          <w:szCs w:val="24"/>
        </w:rPr>
        <w:t>Not applicable</w:t>
      </w:r>
    </w:p>
    <w:p w:rsidR="00F839B1" w:rsidRPr="00F30483" w14:paraId="48A64B8C" w14:textId="77777777">
      <w:pPr>
        <w:pStyle w:val="Heading5"/>
        <w:autoSpaceDE w:val="0"/>
        <w:autoSpaceDN w:val="0"/>
        <w:adjustRightInd w:val="0"/>
        <w:spacing w:line="480" w:lineRule="auto"/>
        <w:rPr>
          <w:rFonts w:ascii="Times New Roman" w:hAnsi="Times New Roman"/>
          <w:bCs/>
          <w:sz w:val="24"/>
          <w:szCs w:val="24"/>
        </w:rPr>
      </w:pPr>
      <w:r w:rsidRPr="00F30483">
        <w:rPr>
          <w:rFonts w:ascii="Times New Roman" w:hAnsi="Times New Roman"/>
          <w:bCs/>
          <w:sz w:val="24"/>
          <w:szCs w:val="24"/>
        </w:rPr>
        <w:t>Attachments</w:t>
      </w:r>
    </w:p>
    <w:p w:rsidR="00F839B1" w:rsidRPr="00F30483" w14:paraId="2EAD1FFD" w14:textId="77777777">
      <w:pPr>
        <w:autoSpaceDE w:val="0"/>
        <w:autoSpaceDN w:val="0"/>
        <w:adjustRightInd w:val="0"/>
        <w:spacing w:line="480" w:lineRule="auto"/>
        <w:rPr>
          <w:b/>
          <w:bCs/>
          <w:sz w:val="24"/>
          <w:szCs w:val="24"/>
        </w:rPr>
      </w:pPr>
      <w:r w:rsidRPr="00F30483">
        <w:rPr>
          <w:b/>
          <w:bCs/>
          <w:sz w:val="24"/>
          <w:szCs w:val="24"/>
        </w:rPr>
        <w:t>Attachment I.  Detailed description of information required in annual reports</w:t>
      </w:r>
    </w:p>
    <w:p w:rsidR="006009D1" w:rsidRPr="00F30483" w14:paraId="42B0F67D" w14:textId="5CB09071">
      <w:pPr>
        <w:autoSpaceDE w:val="0"/>
        <w:autoSpaceDN w:val="0"/>
        <w:adjustRightInd w:val="0"/>
        <w:spacing w:line="480" w:lineRule="auto"/>
        <w:rPr>
          <w:sz w:val="24"/>
          <w:szCs w:val="24"/>
        </w:rPr>
      </w:pPr>
      <w:r w:rsidRPr="00F30483">
        <w:rPr>
          <w:b/>
          <w:bCs/>
          <w:sz w:val="24"/>
          <w:szCs w:val="24"/>
        </w:rPr>
        <w:t>Atta</w:t>
      </w:r>
      <w:r w:rsidR="00AA0361">
        <w:rPr>
          <w:b/>
          <w:bCs/>
          <w:sz w:val="24"/>
          <w:szCs w:val="24"/>
        </w:rPr>
        <w:t>-</w:t>
      </w:r>
      <w:r w:rsidRPr="00F30483">
        <w:rPr>
          <w:b/>
          <w:bCs/>
          <w:sz w:val="24"/>
          <w:szCs w:val="24"/>
        </w:rPr>
        <w:t>chment</w:t>
      </w:r>
      <w:r w:rsidRPr="00F30483">
        <w:rPr>
          <w:b/>
          <w:bCs/>
          <w:sz w:val="24"/>
          <w:szCs w:val="24"/>
        </w:rPr>
        <w:t xml:space="preserve"> II. Detailed description of information required in final reports</w:t>
      </w:r>
    </w:p>
    <w:sectPr>
      <w:footerReference w:type="default" r:id="rId4"/>
      <w:pgSz w:w="12240" w:h="15840" w:code="1"/>
      <w:pgMar w:top="1440" w:right="1440" w:bottom="1008" w:left="1800" w:header="720"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3DB" w14:paraId="0F804D6A" w14:textId="77777777">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A32B6C">
      <w:rPr>
        <w:rStyle w:val="PageNumber"/>
        <w:noProof/>
      </w:rPr>
      <w:t>8</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16cid:durableId="573469733">
    <w:abstractNumId w:val="5"/>
  </w:num>
  <w:num w:numId="2" w16cid:durableId="735475087">
    <w:abstractNumId w:val="6"/>
  </w:num>
  <w:num w:numId="3" w16cid:durableId="1241018881">
    <w:abstractNumId w:val="11"/>
  </w:num>
  <w:num w:numId="4" w16cid:durableId="1323391112">
    <w:abstractNumId w:val="8"/>
  </w:num>
  <w:num w:numId="5" w16cid:durableId="1154565186">
    <w:abstractNumId w:val="15"/>
  </w:num>
  <w:num w:numId="6" w16cid:durableId="24798916">
    <w:abstractNumId w:val="19"/>
  </w:num>
  <w:num w:numId="7" w16cid:durableId="315502549">
    <w:abstractNumId w:val="16"/>
  </w:num>
  <w:num w:numId="8" w16cid:durableId="919366658">
    <w:abstractNumId w:val="9"/>
  </w:num>
  <w:num w:numId="9" w16cid:durableId="1195339995">
    <w:abstractNumId w:val="0"/>
  </w:num>
  <w:num w:numId="10" w16cid:durableId="1783914442">
    <w:abstractNumId w:val="17"/>
  </w:num>
  <w:num w:numId="11" w16cid:durableId="839613980">
    <w:abstractNumId w:val="10"/>
  </w:num>
  <w:num w:numId="12" w16cid:durableId="380330109">
    <w:abstractNumId w:val="2"/>
  </w:num>
  <w:num w:numId="13" w16cid:durableId="1653294932">
    <w:abstractNumId w:val="2"/>
  </w:num>
  <w:num w:numId="14" w16cid:durableId="1544514641">
    <w:abstractNumId w:val="3"/>
  </w:num>
  <w:num w:numId="15" w16cid:durableId="7682324">
    <w:abstractNumId w:val="14"/>
  </w:num>
  <w:num w:numId="16" w16cid:durableId="1723366366">
    <w:abstractNumId w:val="18"/>
  </w:num>
  <w:num w:numId="17" w16cid:durableId="1409384196">
    <w:abstractNumId w:val="12"/>
  </w:num>
  <w:num w:numId="18" w16cid:durableId="110249244">
    <w:abstractNumId w:val="4"/>
  </w:num>
  <w:num w:numId="19" w16cid:durableId="306477355">
    <w:abstractNumId w:val="7"/>
  </w:num>
  <w:num w:numId="20" w16cid:durableId="1929843821">
    <w:abstractNumId w:val="1"/>
  </w:num>
  <w:num w:numId="21" w16cid:durableId="1640846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DF"/>
    <w:rsid w:val="0000006E"/>
    <w:rsid w:val="00011141"/>
    <w:rsid w:val="0001389F"/>
    <w:rsid w:val="00042D96"/>
    <w:rsid w:val="00061EAE"/>
    <w:rsid w:val="000F17AB"/>
    <w:rsid w:val="00101CA8"/>
    <w:rsid w:val="00115591"/>
    <w:rsid w:val="001540B4"/>
    <w:rsid w:val="00155868"/>
    <w:rsid w:val="001801DF"/>
    <w:rsid w:val="001829E0"/>
    <w:rsid w:val="001A7619"/>
    <w:rsid w:val="001B3A50"/>
    <w:rsid w:val="001B3ECE"/>
    <w:rsid w:val="001C51DC"/>
    <w:rsid w:val="001D380F"/>
    <w:rsid w:val="001D78AD"/>
    <w:rsid w:val="001E351B"/>
    <w:rsid w:val="001F4DA5"/>
    <w:rsid w:val="002040B4"/>
    <w:rsid w:val="00245A88"/>
    <w:rsid w:val="002562D7"/>
    <w:rsid w:val="0027185D"/>
    <w:rsid w:val="00282C1C"/>
    <w:rsid w:val="002C2A3C"/>
    <w:rsid w:val="002D5F82"/>
    <w:rsid w:val="002E52EA"/>
    <w:rsid w:val="002E65E3"/>
    <w:rsid w:val="002F3BFF"/>
    <w:rsid w:val="003025CC"/>
    <w:rsid w:val="00306FE7"/>
    <w:rsid w:val="00344538"/>
    <w:rsid w:val="00347EEF"/>
    <w:rsid w:val="0035031D"/>
    <w:rsid w:val="00367A20"/>
    <w:rsid w:val="00367E26"/>
    <w:rsid w:val="00393AD0"/>
    <w:rsid w:val="00397129"/>
    <w:rsid w:val="003A24DF"/>
    <w:rsid w:val="003A2F94"/>
    <w:rsid w:val="003E214D"/>
    <w:rsid w:val="003E5FDE"/>
    <w:rsid w:val="003F0AB9"/>
    <w:rsid w:val="003F29E6"/>
    <w:rsid w:val="003F7BA6"/>
    <w:rsid w:val="00401B0B"/>
    <w:rsid w:val="004266E9"/>
    <w:rsid w:val="0043322A"/>
    <w:rsid w:val="00436C1C"/>
    <w:rsid w:val="00440FB7"/>
    <w:rsid w:val="004418F7"/>
    <w:rsid w:val="00447BE4"/>
    <w:rsid w:val="004578AB"/>
    <w:rsid w:val="00486899"/>
    <w:rsid w:val="00487147"/>
    <w:rsid w:val="00492F8A"/>
    <w:rsid w:val="004A716C"/>
    <w:rsid w:val="004B7C4C"/>
    <w:rsid w:val="004C25F9"/>
    <w:rsid w:val="004C5000"/>
    <w:rsid w:val="004D4068"/>
    <w:rsid w:val="004E1D71"/>
    <w:rsid w:val="005119BE"/>
    <w:rsid w:val="00527D24"/>
    <w:rsid w:val="00541EF1"/>
    <w:rsid w:val="005461BE"/>
    <w:rsid w:val="00550E98"/>
    <w:rsid w:val="00551A74"/>
    <w:rsid w:val="005A4BF5"/>
    <w:rsid w:val="005B0FD6"/>
    <w:rsid w:val="005C55F4"/>
    <w:rsid w:val="005F7332"/>
    <w:rsid w:val="006009D1"/>
    <w:rsid w:val="00621DE7"/>
    <w:rsid w:val="00624DAA"/>
    <w:rsid w:val="00643CB0"/>
    <w:rsid w:val="00664FB5"/>
    <w:rsid w:val="00665E68"/>
    <w:rsid w:val="00687374"/>
    <w:rsid w:val="006A2527"/>
    <w:rsid w:val="006E72AF"/>
    <w:rsid w:val="00725192"/>
    <w:rsid w:val="00727331"/>
    <w:rsid w:val="00736F16"/>
    <w:rsid w:val="007916CE"/>
    <w:rsid w:val="007D776C"/>
    <w:rsid w:val="007F3B78"/>
    <w:rsid w:val="008305C7"/>
    <w:rsid w:val="008736D6"/>
    <w:rsid w:val="00874D85"/>
    <w:rsid w:val="008B0C63"/>
    <w:rsid w:val="008B1708"/>
    <w:rsid w:val="008C559D"/>
    <w:rsid w:val="008F0727"/>
    <w:rsid w:val="008F494D"/>
    <w:rsid w:val="00901225"/>
    <w:rsid w:val="0090370D"/>
    <w:rsid w:val="009208FB"/>
    <w:rsid w:val="0092576D"/>
    <w:rsid w:val="00931EC5"/>
    <w:rsid w:val="00954F6F"/>
    <w:rsid w:val="00965C60"/>
    <w:rsid w:val="00984328"/>
    <w:rsid w:val="00987624"/>
    <w:rsid w:val="00987D4C"/>
    <w:rsid w:val="00993EE9"/>
    <w:rsid w:val="009B6401"/>
    <w:rsid w:val="009C2312"/>
    <w:rsid w:val="009D13DB"/>
    <w:rsid w:val="009D6462"/>
    <w:rsid w:val="009E06C2"/>
    <w:rsid w:val="00A111F5"/>
    <w:rsid w:val="00A22A32"/>
    <w:rsid w:val="00A32B6C"/>
    <w:rsid w:val="00AA0361"/>
    <w:rsid w:val="00AB73C5"/>
    <w:rsid w:val="00AD57B3"/>
    <w:rsid w:val="00AD7F11"/>
    <w:rsid w:val="00AF358E"/>
    <w:rsid w:val="00B059A2"/>
    <w:rsid w:val="00B308D6"/>
    <w:rsid w:val="00B35F85"/>
    <w:rsid w:val="00B451C6"/>
    <w:rsid w:val="00B47476"/>
    <w:rsid w:val="00B669CB"/>
    <w:rsid w:val="00B9714C"/>
    <w:rsid w:val="00BC5D25"/>
    <w:rsid w:val="00BC66DF"/>
    <w:rsid w:val="00BE16FD"/>
    <w:rsid w:val="00C339EB"/>
    <w:rsid w:val="00C8445F"/>
    <w:rsid w:val="00C86F43"/>
    <w:rsid w:val="00CE75E7"/>
    <w:rsid w:val="00CE7826"/>
    <w:rsid w:val="00D009F8"/>
    <w:rsid w:val="00D17028"/>
    <w:rsid w:val="00D217BA"/>
    <w:rsid w:val="00D44F13"/>
    <w:rsid w:val="00D57A2D"/>
    <w:rsid w:val="00D677EF"/>
    <w:rsid w:val="00D85F11"/>
    <w:rsid w:val="00DC2A01"/>
    <w:rsid w:val="00DC49D1"/>
    <w:rsid w:val="00DD3639"/>
    <w:rsid w:val="00DD40FD"/>
    <w:rsid w:val="00DD708B"/>
    <w:rsid w:val="00DE4E24"/>
    <w:rsid w:val="00DF0BC3"/>
    <w:rsid w:val="00E05E5C"/>
    <w:rsid w:val="00E366EE"/>
    <w:rsid w:val="00E47FA3"/>
    <w:rsid w:val="00E60EE3"/>
    <w:rsid w:val="00E634BF"/>
    <w:rsid w:val="00EA0730"/>
    <w:rsid w:val="00EC03B4"/>
    <w:rsid w:val="00EC16AD"/>
    <w:rsid w:val="00EC378E"/>
    <w:rsid w:val="00EC5DDC"/>
    <w:rsid w:val="00EF1339"/>
    <w:rsid w:val="00EF76F5"/>
    <w:rsid w:val="00F25B0B"/>
    <w:rsid w:val="00F27B65"/>
    <w:rsid w:val="00F30226"/>
    <w:rsid w:val="00F30483"/>
    <w:rsid w:val="00F370CC"/>
    <w:rsid w:val="00F43F64"/>
    <w:rsid w:val="00F57897"/>
    <w:rsid w:val="00F76F20"/>
    <w:rsid w:val="00F839B1"/>
    <w:rsid w:val="00F915FA"/>
    <w:rsid w:val="00F933FB"/>
    <w:rsid w:val="00FA7132"/>
    <w:rsid w:val="00FD092F"/>
    <w:rsid w:val="00FE01A5"/>
    <w:rsid w:val="00FE1EAF"/>
    <w:rsid w:val="00FE1FD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1157C70"/>
  <w15:docId w15:val="{7CECED17-D54B-4C3F-B2F0-C2EA1C08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Revision">
    <w:name w:val="Revision"/>
    <w:hidden/>
    <w:uiPriority w:val="99"/>
    <w:semiHidden/>
    <w:rsid w:val="004578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T:\Abt%20Standards\Abt%20Document%201-Side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3</TotalTime>
  <Pages>8</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7</cp:revision>
  <cp:lastPrinted>2016-06-15T19:17:00Z</cp:lastPrinted>
  <dcterms:created xsi:type="dcterms:W3CDTF">2025-06-13T15:44:00Z</dcterms:created>
  <dcterms:modified xsi:type="dcterms:W3CDTF">2025-06-13T19:42:00Z</dcterms:modified>
  <cp:category>Templates</cp:category>
</cp:coreProperties>
</file>