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6AE" w:rsidP="005D46AE" w14:paraId="1AA016AA" w14:textId="77777777">
      <w:pPr>
        <w:pStyle w:val="BodyText"/>
        <w:jc w:val="center"/>
      </w:pPr>
      <w:r>
        <w:t>FINAL SUPPORTING STATEMENT</w:t>
      </w:r>
    </w:p>
    <w:p w:rsidR="005D46AE" w:rsidP="005D46AE" w14:paraId="529CA255" w14:textId="58784FF4">
      <w:pPr>
        <w:pStyle w:val="BodyText"/>
        <w:jc w:val="center"/>
      </w:pPr>
      <w:r>
        <w:t>FOR</w:t>
      </w:r>
    </w:p>
    <w:p w:rsidR="005D46AE" w:rsidP="005D46AE" w14:paraId="53003897" w14:textId="20F09620">
      <w:pPr>
        <w:pStyle w:val="BodyText"/>
        <w:jc w:val="center"/>
      </w:pPr>
      <w:r>
        <w:t>VISITOR ACCESS REQUEST SYSTEM (VARS)</w:t>
      </w:r>
    </w:p>
    <w:p w:rsidR="005D46AE" w:rsidP="005D46AE" w14:paraId="7330CED7" w14:textId="77777777">
      <w:pPr>
        <w:pStyle w:val="BodyText"/>
        <w:jc w:val="center"/>
      </w:pPr>
    </w:p>
    <w:p w:rsidR="005D46AE" w:rsidP="005D46AE" w14:paraId="5C96DA83" w14:textId="4743BD38">
      <w:pPr>
        <w:pStyle w:val="BodyText"/>
        <w:jc w:val="center"/>
      </w:pPr>
      <w:r>
        <w:t>(3150-XXXX)</w:t>
      </w:r>
    </w:p>
    <w:p w:rsidR="005D46AE" w:rsidP="005D46AE" w14:paraId="15192C55" w14:textId="2C290203">
      <w:pPr>
        <w:pStyle w:val="BodyText"/>
        <w:jc w:val="center"/>
      </w:pPr>
      <w:r>
        <w:t>NEW</w:t>
      </w:r>
    </w:p>
    <w:p w:rsidR="00521495" w14:paraId="37973621" w14:textId="77777777">
      <w:pPr>
        <w:pStyle w:val="BodyText"/>
      </w:pPr>
    </w:p>
    <w:p w:rsidR="005D46AE" w14:paraId="6CC0D679" w14:textId="77777777">
      <w:pPr>
        <w:pStyle w:val="BodyText"/>
      </w:pPr>
    </w:p>
    <w:p w:rsidR="005D46AE" w:rsidRPr="005D46AE" w:rsidP="005D46AE" w14:paraId="36F34C5F" w14:textId="66D65750">
      <w:pPr>
        <w:pStyle w:val="BodyText"/>
        <w:ind w:left="457"/>
        <w:rPr>
          <w:u w:val="single"/>
        </w:rPr>
      </w:pPr>
      <w:r w:rsidRPr="005D46AE">
        <w:rPr>
          <w:u w:val="single"/>
        </w:rPr>
        <w:t>Description of the Information Collection</w:t>
      </w:r>
    </w:p>
    <w:p w:rsidR="005D46AE" w14:paraId="0AC8E236" w14:textId="77777777">
      <w:pPr>
        <w:pStyle w:val="BodyText"/>
      </w:pPr>
    </w:p>
    <w:p w:rsidR="00521495" w:rsidP="00750587" w14:paraId="37973622" w14:textId="2095F127">
      <w:pPr>
        <w:pStyle w:val="BodyText"/>
        <w:ind w:left="457" w:right="119"/>
      </w:pPr>
      <w:r w:rsidRPr="00750587">
        <w:t xml:space="preserve">The Visitor Access Request System (VARS), a module within the Space and Property Management System (SPMS), is an internal self-service portal used by Nuclear Regulatory Commission (NRC) employees and contractors to register visitors requesting physical access to NRC facilities. These include the White Flint Campus, </w:t>
      </w:r>
      <w:r w:rsidR="00E4325B">
        <w:t xml:space="preserve">and </w:t>
      </w:r>
      <w:r w:rsidRPr="00750587">
        <w:t>Regional Offices. To complete a visitor registration in VARS, the following information must be provided: the visitor’s full name, company or agency affiliation, dates of the visit, NRC point of contact (name and phone number), visit location, and country of nationality. Upon arrival at an NRC facility, visitors must present a valid government-issued photo ID—such as a driver’s license or passport—for identity verification and security screening. A temporary visitor badge will then be issued for the duration of their visit.</w:t>
      </w:r>
    </w:p>
    <w:p w:rsidR="006315F9" w:rsidP="006315F9" w14:paraId="0DD090A6" w14:textId="77777777">
      <w:pPr>
        <w:pStyle w:val="BodyText"/>
        <w:ind w:left="457" w:right="119"/>
      </w:pPr>
    </w:p>
    <w:p w:rsidR="00521495" w:rsidP="006315F9" w14:paraId="37973623" w14:textId="77777777">
      <w:pPr>
        <w:pStyle w:val="ListParagraph"/>
        <w:numPr>
          <w:ilvl w:val="0"/>
          <w:numId w:val="1"/>
        </w:numPr>
        <w:tabs>
          <w:tab w:val="left" w:pos="816"/>
        </w:tabs>
        <w:ind w:left="816" w:hanging="357"/>
        <w:jc w:val="left"/>
        <w:rPr>
          <w:u w:val="none"/>
        </w:rPr>
      </w:pPr>
      <w:r>
        <w:rPr>
          <w:spacing w:val="-2"/>
          <w:u w:val="none"/>
        </w:rPr>
        <w:t>JUSTIFICATION</w:t>
      </w:r>
    </w:p>
    <w:p w:rsidR="00521495" w:rsidP="00045857" w14:paraId="37973624" w14:textId="77777777">
      <w:pPr>
        <w:pStyle w:val="BodyText"/>
        <w:spacing w:before="1"/>
        <w:ind w:left="459"/>
      </w:pPr>
    </w:p>
    <w:p w:rsidR="00521495" w:rsidRPr="006315F9" w14:paraId="37973625" w14:textId="77777777">
      <w:pPr>
        <w:pStyle w:val="ListParagraph"/>
        <w:numPr>
          <w:ilvl w:val="1"/>
          <w:numId w:val="1"/>
        </w:numPr>
        <w:tabs>
          <w:tab w:val="left" w:pos="1175"/>
        </w:tabs>
        <w:ind w:left="1175" w:hanging="357"/>
        <w:rPr>
          <w:u w:val="none"/>
        </w:rPr>
      </w:pPr>
      <w:r>
        <w:t>Need</w:t>
      </w:r>
      <w:r>
        <w:rPr>
          <w:spacing w:val="-10"/>
        </w:rPr>
        <w:t xml:space="preserve"> </w:t>
      </w:r>
      <w:r>
        <w:t>For</w:t>
      </w:r>
      <w:r>
        <w:rPr>
          <w:spacing w:val="-11"/>
        </w:rPr>
        <w:t xml:space="preserve"> </w:t>
      </w:r>
      <w:r>
        <w:t>the</w:t>
      </w:r>
      <w:r>
        <w:rPr>
          <w:spacing w:val="-9"/>
        </w:rPr>
        <w:t xml:space="preserve"> </w:t>
      </w:r>
      <w:r>
        <w:t>Collection</w:t>
      </w:r>
      <w:r>
        <w:rPr>
          <w:spacing w:val="-14"/>
        </w:rPr>
        <w:t xml:space="preserve"> </w:t>
      </w:r>
      <w:r>
        <w:t>of</w:t>
      </w:r>
      <w:r>
        <w:rPr>
          <w:spacing w:val="-10"/>
        </w:rPr>
        <w:t xml:space="preserve"> </w:t>
      </w:r>
      <w:r>
        <w:rPr>
          <w:spacing w:val="-2"/>
        </w:rPr>
        <w:t>Information</w:t>
      </w:r>
    </w:p>
    <w:p w:rsidR="006315F9" w:rsidP="00045857" w14:paraId="71E28AC1" w14:textId="77777777">
      <w:pPr>
        <w:pStyle w:val="ListParagraph"/>
        <w:tabs>
          <w:tab w:val="left" w:pos="1175"/>
        </w:tabs>
        <w:ind w:firstLine="0"/>
        <w:rPr>
          <w:u w:val="none"/>
        </w:rPr>
      </w:pPr>
    </w:p>
    <w:p w:rsidR="00DF4E04" w:rsidRPr="00DF4E04" w:rsidP="00DF4E04" w14:paraId="6874330D" w14:textId="56D8710C">
      <w:pPr>
        <w:pStyle w:val="BodyText"/>
        <w:spacing w:before="18" w:line="257" w:lineRule="auto"/>
        <w:ind w:left="1181" w:right="101"/>
      </w:pPr>
      <w:r w:rsidRPr="00DF4E04">
        <w:t>VARS is designed to ensure that security protocols are properly implemented during visits to NRC facilities. Its primary objective is to control access so that only authorized individuals may enter NRC spaces, thereby safeguarding personnel, infrastructure, and sensitive information. VARS supports access control by identifying, tracking, and scheduling visitors. It collects essential data including visitor names, contact details, country of nationality, vehicle information, and the dates and times of arrival and departure. For visits involving classified meetings, VARS also records the visitor’s security clearance level to ensure that only appropriately cleared individuals are permitted to attend.</w:t>
      </w:r>
      <w:r>
        <w:br/>
      </w:r>
    </w:p>
    <w:p w:rsidR="00DF4E04" w:rsidP="00DF4E04" w14:paraId="4CD767CB" w14:textId="227247B3">
      <w:pPr>
        <w:pStyle w:val="BodyText"/>
        <w:spacing w:before="18" w:line="257" w:lineRule="auto"/>
        <w:ind w:left="1181" w:right="101"/>
      </w:pPr>
      <w:r w:rsidRPr="00DF4E04">
        <w:t xml:space="preserve">In accordance with NRC policy, visitor records are retained in the VARS database for seven years. Additionally, scanned copies of government-issued identification—such as driver's licenses or passports—are stored for 30 days to support identity verification and enhance security posture. These practices align with </w:t>
      </w:r>
      <w:r w:rsidR="00425160">
        <w:t>Federal</w:t>
      </w:r>
      <w:r w:rsidRPr="00DF4E04">
        <w:t xml:space="preserve"> physical security guidance, including the Department of Homeland Security (DHS) Interagency Security Committee (ISC) standard: "Facility Security Level (FSL) Determinations for Federal Facilities" and the ISC's "Physical Security Criteria for Federal Facilities", which outline requirements for access control, visitor management, and the handling of foreign national access.</w:t>
      </w:r>
    </w:p>
    <w:p w:rsidR="006315F9" w:rsidRPr="006315F9" w:rsidP="007A75F3" w14:paraId="729BA40A" w14:textId="0EF3B15B">
      <w:pPr>
        <w:pStyle w:val="ListParagraph"/>
        <w:keepNext/>
        <w:keepLines/>
        <w:numPr>
          <w:ilvl w:val="1"/>
          <w:numId w:val="1"/>
        </w:numPr>
        <w:tabs>
          <w:tab w:val="left" w:pos="1175"/>
        </w:tabs>
        <w:ind w:left="1175" w:hanging="357"/>
        <w:rPr>
          <w:u w:val="none"/>
        </w:rPr>
      </w:pPr>
      <w:r>
        <w:t>Agency</w:t>
      </w:r>
      <w:r>
        <w:rPr>
          <w:spacing w:val="-12"/>
        </w:rPr>
        <w:t xml:space="preserve"> </w:t>
      </w:r>
      <w:r>
        <w:t>Use</w:t>
      </w:r>
      <w:r>
        <w:rPr>
          <w:spacing w:val="-9"/>
        </w:rPr>
        <w:t xml:space="preserve"> </w:t>
      </w:r>
      <w:r>
        <w:t>and</w:t>
      </w:r>
      <w:r>
        <w:rPr>
          <w:spacing w:val="-12"/>
        </w:rPr>
        <w:t xml:space="preserve"> </w:t>
      </w:r>
      <w:r>
        <w:t>Practical</w:t>
      </w:r>
      <w:r>
        <w:rPr>
          <w:spacing w:val="-11"/>
        </w:rPr>
        <w:t xml:space="preserve"> </w:t>
      </w:r>
      <w:r>
        <w:t>Utility</w:t>
      </w:r>
      <w:r>
        <w:rPr>
          <w:spacing w:val="-9"/>
        </w:rPr>
        <w:t xml:space="preserve"> </w:t>
      </w:r>
      <w:r>
        <w:t>of</w:t>
      </w:r>
      <w:r>
        <w:rPr>
          <w:spacing w:val="-10"/>
        </w:rPr>
        <w:t xml:space="preserve"> </w:t>
      </w:r>
      <w:r>
        <w:rPr>
          <w:spacing w:val="-2"/>
        </w:rPr>
        <w:t>Information</w:t>
      </w:r>
    </w:p>
    <w:p w:rsidR="006315F9" w:rsidRPr="006315F9" w:rsidP="007A75F3" w14:paraId="45C769A7" w14:textId="77777777">
      <w:pPr>
        <w:pStyle w:val="ListParagraph"/>
        <w:keepNext/>
        <w:keepLines/>
        <w:tabs>
          <w:tab w:val="left" w:pos="1175"/>
        </w:tabs>
        <w:ind w:firstLine="0"/>
        <w:rPr>
          <w:u w:val="none"/>
        </w:rPr>
      </w:pPr>
    </w:p>
    <w:p w:rsidR="00632B5A" w:rsidP="007A75F3" w14:paraId="1ACD22A3" w14:textId="72762560">
      <w:pPr>
        <w:pStyle w:val="BodyText"/>
        <w:keepNext/>
        <w:keepLines/>
        <w:ind w:left="1181" w:right="115"/>
      </w:pPr>
      <w:r>
        <w:t>The practical utility of this information lies in its use to:</w:t>
      </w:r>
      <w:r w:rsidR="009139CA">
        <w:br/>
      </w:r>
    </w:p>
    <w:p w:rsidR="00632B5A" w:rsidP="007A75F3" w14:paraId="4AB694FD" w14:textId="77777777">
      <w:pPr>
        <w:pStyle w:val="BodyText"/>
        <w:keepNext/>
        <w:keepLines/>
        <w:ind w:left="1181" w:right="115"/>
      </w:pPr>
      <w:r>
        <w:t>•</w:t>
      </w:r>
      <w:r>
        <w:tab/>
        <w:t xml:space="preserve">Confirm visitor identity and eligibility for facility </w:t>
      </w:r>
      <w:r>
        <w:t>access;</w:t>
      </w:r>
    </w:p>
    <w:p w:rsidR="00632B5A" w:rsidP="007A75F3" w14:paraId="597E9C94" w14:textId="77777777">
      <w:pPr>
        <w:pStyle w:val="BodyText"/>
        <w:keepNext/>
        <w:keepLines/>
        <w:ind w:left="1181" w:right="115"/>
      </w:pPr>
      <w:r>
        <w:t>•</w:t>
      </w:r>
      <w:r>
        <w:tab/>
        <w:t xml:space="preserve">Facilitate security screenings and </w:t>
      </w:r>
      <w:r>
        <w:t>inspections;</w:t>
      </w:r>
    </w:p>
    <w:p w:rsidR="00632B5A" w:rsidP="007A75F3" w14:paraId="6949BE78" w14:textId="77777777">
      <w:pPr>
        <w:pStyle w:val="BodyText"/>
        <w:keepNext/>
        <w:keepLines/>
        <w:ind w:left="1181" w:right="115"/>
      </w:pPr>
      <w:r>
        <w:t>•</w:t>
      </w:r>
      <w:r>
        <w:tab/>
        <w:t xml:space="preserve">Notify NRC staff of scheduled </w:t>
      </w:r>
      <w:r>
        <w:t>visitors;</w:t>
      </w:r>
    </w:p>
    <w:p w:rsidR="00632B5A" w:rsidP="009139CA" w14:paraId="4D1CE03A" w14:textId="1C539A21">
      <w:pPr>
        <w:pStyle w:val="BodyText"/>
        <w:ind w:left="1445" w:right="115" w:hanging="264"/>
      </w:pPr>
      <w:r>
        <w:t>•</w:t>
      </w:r>
      <w:r>
        <w:tab/>
        <w:t xml:space="preserve">Track visitor movement for safety, emergency response, and incident investigation </w:t>
      </w:r>
      <w:r w:rsidR="00010256">
        <w:t>purposes; and</w:t>
      </w:r>
    </w:p>
    <w:p w:rsidR="00632B5A" w:rsidP="009139CA" w14:paraId="67D2FAB8" w14:textId="39B85135">
      <w:pPr>
        <w:pStyle w:val="BodyText"/>
        <w:ind w:left="1440" w:right="115" w:hanging="259"/>
      </w:pPr>
      <w:r>
        <w:t>•</w:t>
      </w:r>
      <w:r>
        <w:tab/>
        <w:t xml:space="preserve">Ensure compliance with NRC and </w:t>
      </w:r>
      <w:r w:rsidR="00425160">
        <w:t>Federal</w:t>
      </w:r>
      <w:r>
        <w:t xml:space="preserve"> security requirements, including those outlined by the DHS Interagency Security Committee (ISC) standards on Visitor Access Control and Facility Security Level (FSL) determinations.</w:t>
      </w:r>
      <w:r w:rsidR="009139CA">
        <w:br/>
      </w:r>
    </w:p>
    <w:p w:rsidR="00521495" w:rsidP="00632B5A" w14:paraId="3797362B" w14:textId="23E94308">
      <w:pPr>
        <w:pStyle w:val="BodyText"/>
        <w:ind w:left="1181" w:right="115"/>
      </w:pPr>
      <w:r>
        <w:t>Together, this data collection process enables effective visitor management while ensuring the protection of NRC personnel, infrastructure, and information.</w:t>
      </w:r>
    </w:p>
    <w:p w:rsidR="00DE324C" w:rsidP="00DE324C" w14:paraId="0BEB0768" w14:textId="77777777">
      <w:pPr>
        <w:pStyle w:val="BodyText"/>
        <w:ind w:left="1181" w:right="115"/>
      </w:pPr>
    </w:p>
    <w:p w:rsidR="00521495" w:rsidP="00DE324C" w14:paraId="3797362C" w14:textId="77777777">
      <w:pPr>
        <w:pStyle w:val="ListParagraph"/>
        <w:numPr>
          <w:ilvl w:val="1"/>
          <w:numId w:val="1"/>
        </w:numPr>
        <w:tabs>
          <w:tab w:val="left" w:pos="1176"/>
        </w:tabs>
        <w:ind w:left="1176"/>
        <w:rPr>
          <w:u w:val="none"/>
        </w:rPr>
      </w:pPr>
      <w:r>
        <w:t>Reduction</w:t>
      </w:r>
      <w:r>
        <w:rPr>
          <w:spacing w:val="-14"/>
        </w:rPr>
        <w:t xml:space="preserve"> </w:t>
      </w:r>
      <w:r>
        <w:t>of</w:t>
      </w:r>
      <w:r>
        <w:rPr>
          <w:spacing w:val="-11"/>
        </w:rPr>
        <w:t xml:space="preserve"> </w:t>
      </w:r>
      <w:r>
        <w:t>Burden</w:t>
      </w:r>
      <w:r>
        <w:rPr>
          <w:spacing w:val="-16"/>
        </w:rPr>
        <w:t xml:space="preserve"> </w:t>
      </w:r>
      <w:r>
        <w:t>Through</w:t>
      </w:r>
      <w:r>
        <w:rPr>
          <w:spacing w:val="-12"/>
        </w:rPr>
        <w:t xml:space="preserve"> </w:t>
      </w:r>
      <w:r>
        <w:t>Information</w:t>
      </w:r>
      <w:r>
        <w:rPr>
          <w:spacing w:val="-13"/>
        </w:rPr>
        <w:t xml:space="preserve"> </w:t>
      </w:r>
      <w:r>
        <w:rPr>
          <w:spacing w:val="-2"/>
        </w:rPr>
        <w:t>Technology</w:t>
      </w:r>
    </w:p>
    <w:p w:rsidR="00DE324C" w:rsidP="00DE324C" w14:paraId="7370E37E" w14:textId="77777777">
      <w:pPr>
        <w:pStyle w:val="BodyText"/>
        <w:ind w:left="1180" w:right="113" w:hanging="1"/>
        <w:jc w:val="both"/>
      </w:pPr>
    </w:p>
    <w:p w:rsidR="00521495" w:rsidP="00DE324C" w14:paraId="3797362E" w14:textId="724DF92B">
      <w:pPr>
        <w:pStyle w:val="BodyText"/>
        <w:ind w:left="1180" w:right="113" w:hanging="1"/>
        <w:jc w:val="both"/>
      </w:pPr>
      <w:r>
        <w:t>The</w:t>
      </w:r>
      <w:r>
        <w:rPr>
          <w:spacing w:val="-3"/>
        </w:rPr>
        <w:t xml:space="preserve"> </w:t>
      </w:r>
      <w:r>
        <w:t>requested</w:t>
      </w:r>
      <w:r>
        <w:rPr>
          <w:spacing w:val="-3"/>
        </w:rPr>
        <w:t xml:space="preserve"> </w:t>
      </w:r>
      <w:r>
        <w:t>information</w:t>
      </w:r>
      <w:r>
        <w:rPr>
          <w:spacing w:val="-3"/>
        </w:rPr>
        <w:t xml:space="preserve"> </w:t>
      </w:r>
      <w:r>
        <w:t>is</w:t>
      </w:r>
      <w:r>
        <w:rPr>
          <w:spacing w:val="-3"/>
        </w:rPr>
        <w:t xml:space="preserve"> </w:t>
      </w:r>
      <w:r>
        <w:t>submitted</w:t>
      </w:r>
      <w:r>
        <w:rPr>
          <w:spacing w:val="-5"/>
        </w:rPr>
        <w:t xml:space="preserve"> </w:t>
      </w:r>
      <w:r>
        <w:t>100</w:t>
      </w:r>
      <w:r w:rsidR="0056493D">
        <w:t xml:space="preserve"> percent</w:t>
      </w:r>
      <w:r>
        <w:rPr>
          <w:spacing w:val="-4"/>
        </w:rPr>
        <w:t xml:space="preserve"> </w:t>
      </w:r>
      <w:r>
        <w:t>electronically,</w:t>
      </w:r>
      <w:r>
        <w:rPr>
          <w:spacing w:val="-2"/>
        </w:rPr>
        <w:t xml:space="preserve"> </w:t>
      </w:r>
      <w:r>
        <w:t>using</w:t>
      </w:r>
      <w:r>
        <w:rPr>
          <w:spacing w:val="-3"/>
        </w:rPr>
        <w:t xml:space="preserve"> </w:t>
      </w:r>
      <w:r>
        <w:t>an</w:t>
      </w:r>
      <w:r>
        <w:rPr>
          <w:spacing w:val="-5"/>
        </w:rPr>
        <w:t xml:space="preserve"> </w:t>
      </w:r>
      <w:r>
        <w:t>internal</w:t>
      </w:r>
      <w:r>
        <w:rPr>
          <w:spacing w:val="-3"/>
        </w:rPr>
        <w:t xml:space="preserve"> </w:t>
      </w:r>
      <w:r>
        <w:t>on-line portal.</w:t>
      </w:r>
      <w:r>
        <w:rPr>
          <w:spacing w:val="40"/>
        </w:rPr>
        <w:t xml:space="preserve"> </w:t>
      </w:r>
      <w:r>
        <w:t>The</w:t>
      </w:r>
      <w:r>
        <w:rPr>
          <w:spacing w:val="-2"/>
        </w:rPr>
        <w:t xml:space="preserve"> </w:t>
      </w:r>
      <w:r>
        <w:t>information is provided</w:t>
      </w:r>
      <w:r>
        <w:rPr>
          <w:spacing w:val="-2"/>
        </w:rPr>
        <w:t xml:space="preserve"> </w:t>
      </w:r>
      <w:r>
        <w:t>by</w:t>
      </w:r>
      <w:r>
        <w:rPr>
          <w:spacing w:val="-1"/>
        </w:rPr>
        <w:t xml:space="preserve"> </w:t>
      </w:r>
      <w:r>
        <w:t>the</w:t>
      </w:r>
      <w:r>
        <w:rPr>
          <w:spacing w:val="-2"/>
        </w:rPr>
        <w:t xml:space="preserve"> </w:t>
      </w:r>
      <w:r>
        <w:t>visitor, and it is</w:t>
      </w:r>
      <w:r>
        <w:rPr>
          <w:spacing w:val="-1"/>
        </w:rPr>
        <w:t xml:space="preserve"> </w:t>
      </w:r>
      <w:r>
        <w:t>entered into</w:t>
      </w:r>
      <w:r>
        <w:rPr>
          <w:spacing w:val="-4"/>
        </w:rPr>
        <w:t xml:space="preserve"> </w:t>
      </w:r>
      <w:r>
        <w:t>the</w:t>
      </w:r>
      <w:r>
        <w:rPr>
          <w:spacing w:val="-2"/>
        </w:rPr>
        <w:t xml:space="preserve"> </w:t>
      </w:r>
      <w:r>
        <w:t>system by an NRC employee or contractor</w:t>
      </w:r>
      <w:r w:rsidR="00DE324C">
        <w:t>.</w:t>
      </w:r>
    </w:p>
    <w:p w:rsidR="00DE324C" w:rsidP="00DE324C" w14:paraId="2F4C53C6" w14:textId="77777777">
      <w:pPr>
        <w:pStyle w:val="BodyText"/>
        <w:ind w:left="1180" w:right="113" w:hanging="1"/>
        <w:jc w:val="both"/>
      </w:pPr>
    </w:p>
    <w:p w:rsidR="00521495" w:rsidRPr="00DE324C" w:rsidP="00DE324C" w14:paraId="37973630" w14:textId="0A693640">
      <w:pPr>
        <w:pStyle w:val="ListParagraph"/>
        <w:numPr>
          <w:ilvl w:val="1"/>
          <w:numId w:val="1"/>
        </w:numPr>
        <w:tabs>
          <w:tab w:val="left" w:pos="1176"/>
        </w:tabs>
        <w:ind w:left="1176" w:hanging="356"/>
        <w:rPr>
          <w:u w:val="none"/>
        </w:rPr>
      </w:pPr>
      <w:r>
        <w:t>Effort</w:t>
      </w:r>
      <w:r>
        <w:rPr>
          <w:spacing w:val="-10"/>
        </w:rPr>
        <w:t xml:space="preserve"> </w:t>
      </w:r>
      <w:r>
        <w:t>to</w:t>
      </w:r>
      <w:r>
        <w:rPr>
          <w:spacing w:val="-11"/>
        </w:rPr>
        <w:t xml:space="preserve"> </w:t>
      </w:r>
      <w:r>
        <w:t>Identify</w:t>
      </w:r>
      <w:r>
        <w:rPr>
          <w:spacing w:val="-11"/>
        </w:rPr>
        <w:t xml:space="preserve"> </w:t>
      </w:r>
      <w:r>
        <w:t>Duplication</w:t>
      </w:r>
      <w:r>
        <w:rPr>
          <w:spacing w:val="-11"/>
        </w:rPr>
        <w:t xml:space="preserve"> </w:t>
      </w:r>
      <w:r>
        <w:t>and</w:t>
      </w:r>
      <w:r>
        <w:rPr>
          <w:spacing w:val="-11"/>
        </w:rPr>
        <w:t xml:space="preserve"> </w:t>
      </w:r>
      <w:r>
        <w:t>Use</w:t>
      </w:r>
      <w:r>
        <w:rPr>
          <w:spacing w:val="-9"/>
        </w:rPr>
        <w:t xml:space="preserve"> </w:t>
      </w:r>
      <w:r>
        <w:t>Similar</w:t>
      </w:r>
      <w:r>
        <w:rPr>
          <w:spacing w:val="-9"/>
        </w:rPr>
        <w:t xml:space="preserve"> </w:t>
      </w:r>
      <w:r>
        <w:rPr>
          <w:spacing w:val="-2"/>
        </w:rPr>
        <w:t>Information</w:t>
      </w:r>
    </w:p>
    <w:p w:rsidR="00DE324C" w:rsidRPr="00DE324C" w:rsidP="00DE324C" w14:paraId="64CB1856" w14:textId="77777777">
      <w:pPr>
        <w:pStyle w:val="ListParagraph"/>
        <w:tabs>
          <w:tab w:val="left" w:pos="1176"/>
        </w:tabs>
        <w:ind w:left="1176" w:firstLine="0"/>
        <w:rPr>
          <w:u w:val="none"/>
        </w:rPr>
      </w:pPr>
    </w:p>
    <w:p w:rsidR="00521495" w:rsidP="00DE324C" w14:paraId="37973632" w14:textId="2DC31568">
      <w:pPr>
        <w:pStyle w:val="BodyText"/>
        <w:ind w:left="1180" w:right="119" w:hanging="1"/>
      </w:pPr>
      <w:r>
        <w:t>No</w:t>
      </w:r>
      <w:r>
        <w:rPr>
          <w:spacing w:val="-6"/>
        </w:rPr>
        <w:t xml:space="preserve"> </w:t>
      </w:r>
      <w:r>
        <w:t>sources</w:t>
      </w:r>
      <w:r>
        <w:rPr>
          <w:spacing w:val="-8"/>
        </w:rPr>
        <w:t xml:space="preserve"> </w:t>
      </w:r>
      <w:r>
        <w:t>of</w:t>
      </w:r>
      <w:r>
        <w:rPr>
          <w:spacing w:val="-7"/>
        </w:rPr>
        <w:t xml:space="preserve"> </w:t>
      </w:r>
      <w:r>
        <w:t>similar</w:t>
      </w:r>
      <w:r>
        <w:rPr>
          <w:spacing w:val="-4"/>
        </w:rPr>
        <w:t xml:space="preserve"> </w:t>
      </w:r>
      <w:r>
        <w:t>information</w:t>
      </w:r>
      <w:r>
        <w:rPr>
          <w:spacing w:val="-6"/>
        </w:rPr>
        <w:t xml:space="preserve"> </w:t>
      </w:r>
      <w:r>
        <w:t>are</w:t>
      </w:r>
      <w:r>
        <w:rPr>
          <w:spacing w:val="-6"/>
        </w:rPr>
        <w:t xml:space="preserve"> </w:t>
      </w:r>
      <w:r>
        <w:t>available.</w:t>
      </w:r>
      <w:r>
        <w:rPr>
          <w:spacing w:val="36"/>
        </w:rPr>
        <w:t xml:space="preserve"> </w:t>
      </w:r>
      <w:r>
        <w:t>There</w:t>
      </w:r>
      <w:r>
        <w:rPr>
          <w:spacing w:val="-6"/>
        </w:rPr>
        <w:t xml:space="preserve"> </w:t>
      </w:r>
      <w:r>
        <w:t>is</w:t>
      </w:r>
      <w:r>
        <w:rPr>
          <w:spacing w:val="-8"/>
        </w:rPr>
        <w:t xml:space="preserve"> </w:t>
      </w:r>
      <w:r>
        <w:t>no</w:t>
      </w:r>
      <w:r>
        <w:rPr>
          <w:spacing w:val="-8"/>
        </w:rPr>
        <w:t xml:space="preserve"> </w:t>
      </w:r>
      <w:r>
        <w:t>duplication</w:t>
      </w:r>
      <w:r>
        <w:rPr>
          <w:spacing w:val="-10"/>
        </w:rPr>
        <w:t xml:space="preserve"> </w:t>
      </w:r>
      <w:r>
        <w:t xml:space="preserve">of </w:t>
      </w:r>
      <w:r>
        <w:rPr>
          <w:spacing w:val="-2"/>
        </w:rPr>
        <w:t>requirements.</w:t>
      </w:r>
    </w:p>
    <w:p w:rsidR="00DE324C" w:rsidP="00DE324C" w14:paraId="486985EE" w14:textId="77777777">
      <w:pPr>
        <w:pStyle w:val="BodyText"/>
        <w:ind w:left="1180" w:right="119" w:hanging="1"/>
      </w:pPr>
    </w:p>
    <w:p w:rsidR="00521495" w14:paraId="37973633" w14:textId="77777777">
      <w:pPr>
        <w:pStyle w:val="ListParagraph"/>
        <w:numPr>
          <w:ilvl w:val="1"/>
          <w:numId w:val="1"/>
        </w:numPr>
        <w:tabs>
          <w:tab w:val="left" w:pos="1176"/>
        </w:tabs>
        <w:ind w:left="1176" w:hanging="356"/>
        <w:rPr>
          <w:u w:val="none"/>
        </w:rPr>
      </w:pPr>
      <w:r>
        <w:t>Effort</w:t>
      </w:r>
      <w:r>
        <w:rPr>
          <w:spacing w:val="-9"/>
        </w:rPr>
        <w:t xml:space="preserve"> </w:t>
      </w:r>
      <w:r>
        <w:t>to</w:t>
      </w:r>
      <w:r>
        <w:rPr>
          <w:spacing w:val="-11"/>
        </w:rPr>
        <w:t xml:space="preserve"> </w:t>
      </w:r>
      <w:r>
        <w:t>Reduce</w:t>
      </w:r>
      <w:r>
        <w:rPr>
          <w:spacing w:val="-11"/>
        </w:rPr>
        <w:t xml:space="preserve"> </w:t>
      </w:r>
      <w:r>
        <w:t>Small</w:t>
      </w:r>
      <w:r>
        <w:rPr>
          <w:spacing w:val="-11"/>
        </w:rPr>
        <w:t xml:space="preserve"> </w:t>
      </w:r>
      <w:r>
        <w:t>Business</w:t>
      </w:r>
      <w:r>
        <w:rPr>
          <w:spacing w:val="-9"/>
        </w:rPr>
        <w:t xml:space="preserve"> </w:t>
      </w:r>
      <w:r>
        <w:rPr>
          <w:spacing w:val="-2"/>
        </w:rPr>
        <w:t>Burden</w:t>
      </w:r>
    </w:p>
    <w:p w:rsidR="00521495" w:rsidP="00DE324C" w14:paraId="37973634" w14:textId="77777777">
      <w:pPr>
        <w:pStyle w:val="BodyText"/>
        <w:ind w:left="1176"/>
      </w:pPr>
    </w:p>
    <w:p w:rsidR="00521495" w:rsidP="00DE324C" w14:paraId="37973636" w14:textId="45DA6CBF">
      <w:pPr>
        <w:pStyle w:val="BodyText"/>
        <w:ind w:left="1180"/>
      </w:pPr>
      <w:r>
        <w:t>Not</w:t>
      </w:r>
      <w:r>
        <w:rPr>
          <w:spacing w:val="-8"/>
        </w:rPr>
        <w:t xml:space="preserve"> </w:t>
      </w:r>
      <w:r w:rsidR="0056493D">
        <w:rPr>
          <w:spacing w:val="-2"/>
        </w:rPr>
        <w:t>a</w:t>
      </w:r>
      <w:r>
        <w:rPr>
          <w:spacing w:val="-2"/>
        </w:rPr>
        <w:t>pplicable.</w:t>
      </w:r>
    </w:p>
    <w:p w:rsidR="00DE324C" w:rsidP="00DE324C" w14:paraId="7CE2A7BF" w14:textId="77777777">
      <w:pPr>
        <w:pStyle w:val="BodyText"/>
        <w:ind w:left="1180"/>
      </w:pPr>
    </w:p>
    <w:p w:rsidR="00521495" w:rsidP="004E342C" w14:paraId="37973637" w14:textId="77777777">
      <w:pPr>
        <w:pStyle w:val="ListParagraph"/>
        <w:numPr>
          <w:ilvl w:val="1"/>
          <w:numId w:val="1"/>
        </w:numPr>
        <w:tabs>
          <w:tab w:val="left" w:pos="1180"/>
        </w:tabs>
        <w:ind w:left="1180" w:right="925" w:hanging="360"/>
        <w:rPr>
          <w:u w:val="none"/>
        </w:rPr>
      </w:pPr>
      <w:r>
        <w:t>Consequences</w:t>
      </w:r>
      <w:r>
        <w:rPr>
          <w:spacing w:val="-8"/>
        </w:rPr>
        <w:t xml:space="preserve"> </w:t>
      </w:r>
      <w:r>
        <w:t>to</w:t>
      </w:r>
      <w:r>
        <w:rPr>
          <w:spacing w:val="-8"/>
        </w:rPr>
        <w:t xml:space="preserve"> </w:t>
      </w:r>
      <w:r>
        <w:t>Federal</w:t>
      </w:r>
      <w:r>
        <w:rPr>
          <w:spacing w:val="-9"/>
        </w:rPr>
        <w:t xml:space="preserve"> </w:t>
      </w:r>
      <w:r>
        <w:t>Program</w:t>
      </w:r>
      <w:r>
        <w:rPr>
          <w:spacing w:val="-7"/>
        </w:rPr>
        <w:t xml:space="preserve"> </w:t>
      </w:r>
      <w:r>
        <w:t>or</w:t>
      </w:r>
      <w:r>
        <w:rPr>
          <w:spacing w:val="-7"/>
        </w:rPr>
        <w:t xml:space="preserve"> </w:t>
      </w:r>
      <w:r>
        <w:t>Policy</w:t>
      </w:r>
      <w:r>
        <w:rPr>
          <w:spacing w:val="-8"/>
        </w:rPr>
        <w:t xml:space="preserve"> </w:t>
      </w:r>
      <w:r>
        <w:t>Activities</w:t>
      </w:r>
      <w:r>
        <w:rPr>
          <w:spacing w:val="-8"/>
        </w:rPr>
        <w:t xml:space="preserve"> </w:t>
      </w:r>
      <w:r>
        <w:t>if</w:t>
      </w:r>
      <w:r>
        <w:rPr>
          <w:spacing w:val="-7"/>
        </w:rPr>
        <w:t xml:space="preserve"> </w:t>
      </w:r>
      <w:r>
        <w:t>the</w:t>
      </w:r>
      <w:r>
        <w:rPr>
          <w:spacing w:val="-11"/>
        </w:rPr>
        <w:t xml:space="preserve"> </w:t>
      </w:r>
      <w:r>
        <w:t>Collection</w:t>
      </w:r>
      <w:r>
        <w:rPr>
          <w:spacing w:val="-8"/>
        </w:rPr>
        <w:t xml:space="preserve"> </w:t>
      </w:r>
      <w:r>
        <w:t>Is</w:t>
      </w:r>
      <w:r>
        <w:rPr>
          <w:spacing w:val="-10"/>
        </w:rPr>
        <w:t xml:space="preserve"> </w:t>
      </w:r>
      <w:r>
        <w:t>Not</w:t>
      </w:r>
      <w:r>
        <w:rPr>
          <w:u w:val="none"/>
        </w:rPr>
        <w:t xml:space="preserve"> </w:t>
      </w:r>
      <w:r>
        <w:t>Conducted or Is Conducted Less Frequently</w:t>
      </w:r>
    </w:p>
    <w:p w:rsidR="004E342C" w:rsidP="004E342C" w14:paraId="1555B95B" w14:textId="77777777">
      <w:pPr>
        <w:pStyle w:val="BodyText"/>
        <w:ind w:left="1179" w:right="119"/>
      </w:pPr>
    </w:p>
    <w:p w:rsidR="00544FEE" w:rsidP="00544FEE" w14:paraId="1E784CA3" w14:textId="1F85FA94">
      <w:pPr>
        <w:pStyle w:val="BodyText"/>
        <w:ind w:left="1179" w:right="119"/>
      </w:pPr>
      <w:r>
        <w:t>If a visitor is not registered in advance, they will not be permitted to enter NRC facilities. The information collected during the registration process represents the minimum necessary data required to verify a visitor’s identity and ensure the safety and security of NRC personnel, facilities, and sensitive assets.</w:t>
      </w:r>
      <w:r>
        <w:br/>
      </w:r>
    </w:p>
    <w:p w:rsidR="00544FEE" w:rsidP="00544FEE" w14:paraId="0820C8C2" w14:textId="03148E6E">
      <w:pPr>
        <w:pStyle w:val="BodyText"/>
        <w:ind w:left="1179" w:right="119"/>
      </w:pPr>
      <w:r>
        <w:t>This information is collected once per visit to provide real-time awareness of who is accessing NRC spaces and for how long. Reducing the frequency of collection would compromise the agency’s ability to maintain accurate access records and perform effective security screening.</w:t>
      </w:r>
      <w:r w:rsidR="008057C9">
        <w:br/>
      </w:r>
    </w:p>
    <w:p w:rsidR="00521495" w:rsidP="00544FEE" w14:paraId="37973639" w14:textId="7DB2D6B5">
      <w:pPr>
        <w:pStyle w:val="BodyText"/>
        <w:ind w:left="1179" w:right="119"/>
      </w:pPr>
      <w:r>
        <w:t xml:space="preserve">These compliance measures ensure that NRC access control practices meet </w:t>
      </w:r>
      <w:r w:rsidR="00C60D08">
        <w:t>F</w:t>
      </w:r>
      <w:r>
        <w:t>ederal standards for protecting critical infrastructure and personnel</w:t>
      </w:r>
      <w:r w:rsidR="00C61F33">
        <w:t>.</w:t>
      </w:r>
    </w:p>
    <w:p w:rsidR="004E342C" w:rsidP="004E342C" w14:paraId="1458C58F" w14:textId="77777777">
      <w:pPr>
        <w:pStyle w:val="BodyText"/>
        <w:ind w:left="1179" w:right="119"/>
      </w:pPr>
    </w:p>
    <w:p w:rsidR="00521495" w:rsidP="004E342C" w14:paraId="3797363A" w14:textId="5FD9252C">
      <w:pPr>
        <w:pStyle w:val="ListParagraph"/>
        <w:numPr>
          <w:ilvl w:val="1"/>
          <w:numId w:val="1"/>
        </w:numPr>
        <w:tabs>
          <w:tab w:val="left" w:pos="1176"/>
        </w:tabs>
        <w:ind w:left="1176" w:hanging="356"/>
        <w:rPr>
          <w:u w:val="none"/>
        </w:rPr>
      </w:pPr>
      <w:r>
        <w:t>Circumstances</w:t>
      </w:r>
      <w:r>
        <w:rPr>
          <w:spacing w:val="-16"/>
        </w:rPr>
        <w:t xml:space="preserve"> </w:t>
      </w:r>
      <w:r>
        <w:t>Which</w:t>
      </w:r>
      <w:r>
        <w:rPr>
          <w:spacing w:val="-14"/>
        </w:rPr>
        <w:t xml:space="preserve"> </w:t>
      </w:r>
      <w:r>
        <w:t>Justify</w:t>
      </w:r>
      <w:r>
        <w:rPr>
          <w:spacing w:val="-14"/>
        </w:rPr>
        <w:t xml:space="preserve"> </w:t>
      </w:r>
      <w:r>
        <w:t>Variation</w:t>
      </w:r>
      <w:r>
        <w:rPr>
          <w:spacing w:val="-14"/>
        </w:rPr>
        <w:t xml:space="preserve"> </w:t>
      </w:r>
      <w:r>
        <w:t>from</w:t>
      </w:r>
      <w:r>
        <w:rPr>
          <w:spacing w:val="-14"/>
        </w:rPr>
        <w:t xml:space="preserve"> </w:t>
      </w:r>
      <w:r w:rsidR="0056493D">
        <w:rPr>
          <w:spacing w:val="-14"/>
        </w:rPr>
        <w:t>the Office of Management and Budget (</w:t>
      </w:r>
      <w:r>
        <w:t>OMB</w:t>
      </w:r>
      <w:r w:rsidR="0056493D">
        <w:t>)</w:t>
      </w:r>
      <w:r>
        <w:rPr>
          <w:spacing w:val="-14"/>
        </w:rPr>
        <w:t xml:space="preserve"> </w:t>
      </w:r>
      <w:r>
        <w:rPr>
          <w:spacing w:val="-2"/>
        </w:rPr>
        <w:t>Guidelines</w:t>
      </w:r>
    </w:p>
    <w:p w:rsidR="00521495" w:rsidP="004E342C" w14:paraId="3797363B" w14:textId="77777777">
      <w:pPr>
        <w:pStyle w:val="BodyText"/>
        <w:ind w:left="1176"/>
      </w:pPr>
    </w:p>
    <w:p w:rsidR="00521495" w:rsidP="004E342C" w14:paraId="3797363D" w14:textId="4D6E99BA">
      <w:pPr>
        <w:pStyle w:val="BodyText"/>
        <w:ind w:left="1180"/>
        <w:rPr>
          <w:spacing w:val="-2"/>
        </w:rPr>
      </w:pPr>
      <w:r>
        <w:t>Not</w:t>
      </w:r>
      <w:r>
        <w:rPr>
          <w:spacing w:val="-8"/>
        </w:rPr>
        <w:t xml:space="preserve"> </w:t>
      </w:r>
      <w:r w:rsidR="0056493D">
        <w:rPr>
          <w:spacing w:val="-2"/>
        </w:rPr>
        <w:t>a</w:t>
      </w:r>
      <w:r>
        <w:rPr>
          <w:spacing w:val="-2"/>
        </w:rPr>
        <w:t>pplicable.</w:t>
      </w:r>
    </w:p>
    <w:p w:rsidR="00521495" w14:paraId="3797363E" w14:textId="77777777">
      <w:pPr>
        <w:pStyle w:val="ListParagraph"/>
        <w:numPr>
          <w:ilvl w:val="1"/>
          <w:numId w:val="1"/>
        </w:numPr>
        <w:tabs>
          <w:tab w:val="left" w:pos="1176"/>
        </w:tabs>
        <w:ind w:left="1176" w:hanging="356"/>
        <w:rPr>
          <w:u w:val="none"/>
        </w:rPr>
      </w:pPr>
      <w:r>
        <w:t>Consultations</w:t>
      </w:r>
      <w:r>
        <w:rPr>
          <w:spacing w:val="-16"/>
        </w:rPr>
        <w:t xml:space="preserve"> </w:t>
      </w:r>
      <w:r>
        <w:t>Outside</w:t>
      </w:r>
      <w:r>
        <w:rPr>
          <w:spacing w:val="-15"/>
        </w:rPr>
        <w:t xml:space="preserve"> </w:t>
      </w:r>
      <w:r>
        <w:t>the</w:t>
      </w:r>
      <w:r>
        <w:rPr>
          <w:spacing w:val="-12"/>
        </w:rPr>
        <w:t xml:space="preserve"> </w:t>
      </w:r>
      <w:r>
        <w:rPr>
          <w:spacing w:val="-5"/>
        </w:rPr>
        <w:t>NRC</w:t>
      </w:r>
    </w:p>
    <w:p w:rsidR="00521495" w:rsidP="004E342C" w14:paraId="3797363F" w14:textId="77777777">
      <w:pPr>
        <w:pStyle w:val="BodyText"/>
        <w:ind w:left="1176"/>
      </w:pPr>
    </w:p>
    <w:p w:rsidR="00521495" w:rsidP="004E342C" w14:paraId="37973640" w14:textId="670AECB2">
      <w:pPr>
        <w:pStyle w:val="BodyText"/>
        <w:ind w:left="1180" w:right="106" w:hanging="1"/>
      </w:pPr>
      <w:r>
        <w:t xml:space="preserve">Opportunity for public comment on the information collection requirements for this clearance package was published in the Federal Register on </w:t>
      </w:r>
      <w:r w:rsidR="005D46AE">
        <w:t>September</w:t>
      </w:r>
      <w:r w:rsidR="0056493D">
        <w:t> </w:t>
      </w:r>
      <w:r w:rsidR="005D46AE">
        <w:t>17, 2024</w:t>
      </w:r>
      <w:r>
        <w:t xml:space="preserve"> (89 FR 76157).</w:t>
      </w:r>
      <w:r>
        <w:rPr>
          <w:spacing w:val="40"/>
        </w:rPr>
        <w:t xml:space="preserve"> </w:t>
      </w:r>
      <w:r>
        <w:t>As</w:t>
      </w:r>
      <w:r>
        <w:rPr>
          <w:spacing w:val="-5"/>
        </w:rPr>
        <w:t xml:space="preserve"> </w:t>
      </w:r>
      <w:r>
        <w:t>part</w:t>
      </w:r>
      <w:r>
        <w:rPr>
          <w:spacing w:val="-1"/>
        </w:rPr>
        <w:t xml:space="preserve"> </w:t>
      </w:r>
      <w:r>
        <w:t>of</w:t>
      </w:r>
      <w:r>
        <w:rPr>
          <w:spacing w:val="-4"/>
        </w:rPr>
        <w:t xml:space="preserve"> </w:t>
      </w:r>
      <w:r>
        <w:t>the</w:t>
      </w:r>
      <w:r>
        <w:rPr>
          <w:spacing w:val="-5"/>
        </w:rPr>
        <w:t xml:space="preserve"> </w:t>
      </w:r>
      <w:r>
        <w:t>consultation</w:t>
      </w:r>
      <w:r>
        <w:rPr>
          <w:spacing w:val="-3"/>
        </w:rPr>
        <w:t xml:space="preserve"> </w:t>
      </w:r>
      <w:r>
        <w:t>process,</w:t>
      </w:r>
      <w:r>
        <w:rPr>
          <w:spacing w:val="-1"/>
        </w:rPr>
        <w:t xml:space="preserve"> </w:t>
      </w:r>
      <w:r>
        <w:t>six</w:t>
      </w:r>
      <w:r>
        <w:rPr>
          <w:spacing w:val="-7"/>
        </w:rPr>
        <w:t xml:space="preserve"> </w:t>
      </w:r>
      <w:r>
        <w:t>NRC</w:t>
      </w:r>
      <w:r>
        <w:rPr>
          <w:spacing w:val="-3"/>
        </w:rPr>
        <w:t xml:space="preserve"> </w:t>
      </w:r>
      <w:r>
        <w:t>employees</w:t>
      </w:r>
      <w:r>
        <w:rPr>
          <w:spacing w:val="-2"/>
        </w:rPr>
        <w:t xml:space="preserve"> </w:t>
      </w:r>
      <w:r>
        <w:t>who</w:t>
      </w:r>
      <w:r>
        <w:rPr>
          <w:spacing w:val="-5"/>
        </w:rPr>
        <w:t xml:space="preserve"> </w:t>
      </w:r>
      <w:r>
        <w:t>frequently</w:t>
      </w:r>
      <w:r>
        <w:rPr>
          <w:spacing w:val="-2"/>
        </w:rPr>
        <w:t xml:space="preserve"> </w:t>
      </w:r>
      <w:r>
        <w:t>use VARS were contacted via email.</w:t>
      </w:r>
      <w:r>
        <w:rPr>
          <w:spacing w:val="40"/>
        </w:rPr>
        <w:t xml:space="preserve"> </w:t>
      </w:r>
      <w:r>
        <w:t>No comments were received from the potential respondents regarding these consultations.</w:t>
      </w:r>
    </w:p>
    <w:p w:rsidR="006315F9" w:rsidP="004E342C" w14:paraId="10FDA929" w14:textId="77777777">
      <w:pPr>
        <w:pStyle w:val="BodyText"/>
        <w:ind w:left="1180" w:right="106" w:hanging="1"/>
      </w:pPr>
    </w:p>
    <w:p w:rsidR="00521495" w:rsidP="004E342C" w14:paraId="37973641" w14:textId="77777777">
      <w:pPr>
        <w:pStyle w:val="ListParagraph"/>
        <w:numPr>
          <w:ilvl w:val="1"/>
          <w:numId w:val="1"/>
        </w:numPr>
        <w:tabs>
          <w:tab w:val="left" w:pos="1176"/>
        </w:tabs>
        <w:ind w:left="1176" w:hanging="356"/>
        <w:rPr>
          <w:u w:val="none"/>
        </w:rPr>
      </w:pPr>
      <w:r>
        <w:t>Payment</w:t>
      </w:r>
      <w:r>
        <w:rPr>
          <w:spacing w:val="-5"/>
        </w:rPr>
        <w:t xml:space="preserve"> </w:t>
      </w:r>
      <w:r>
        <w:t>or</w:t>
      </w:r>
      <w:r>
        <w:rPr>
          <w:spacing w:val="-8"/>
        </w:rPr>
        <w:t xml:space="preserve"> </w:t>
      </w:r>
      <w:r>
        <w:t>Gift</w:t>
      </w:r>
      <w:r>
        <w:rPr>
          <w:spacing w:val="-7"/>
        </w:rPr>
        <w:t xml:space="preserve"> </w:t>
      </w:r>
      <w:r>
        <w:t>to</w:t>
      </w:r>
      <w:r>
        <w:rPr>
          <w:spacing w:val="-5"/>
        </w:rPr>
        <w:t xml:space="preserve"> </w:t>
      </w:r>
      <w:r>
        <w:rPr>
          <w:spacing w:val="-2"/>
        </w:rPr>
        <w:t>Respondents</w:t>
      </w:r>
    </w:p>
    <w:p w:rsidR="00521495" w:rsidP="006315F9" w14:paraId="37973642" w14:textId="77777777">
      <w:pPr>
        <w:pStyle w:val="BodyText"/>
        <w:ind w:left="1176"/>
      </w:pPr>
    </w:p>
    <w:p w:rsidR="00521495" w:rsidP="006315F9" w14:paraId="37973644" w14:textId="4D90FDB3">
      <w:pPr>
        <w:pStyle w:val="BodyText"/>
        <w:ind w:left="1180"/>
      </w:pPr>
      <w:r>
        <w:t>Not</w:t>
      </w:r>
      <w:r>
        <w:rPr>
          <w:spacing w:val="-8"/>
        </w:rPr>
        <w:t xml:space="preserve"> </w:t>
      </w:r>
      <w:r>
        <w:rPr>
          <w:spacing w:val="-2"/>
        </w:rPr>
        <w:t>applicable.</w:t>
      </w:r>
    </w:p>
    <w:p w:rsidR="00012D69" w14:paraId="11A52CFA" w14:textId="482E18B9"/>
    <w:p w:rsidR="00521495" w:rsidP="004E342C" w14:paraId="37973645" w14:textId="77777777">
      <w:pPr>
        <w:pStyle w:val="ListParagraph"/>
        <w:numPr>
          <w:ilvl w:val="1"/>
          <w:numId w:val="1"/>
        </w:numPr>
        <w:tabs>
          <w:tab w:val="left" w:pos="1175"/>
        </w:tabs>
        <w:ind w:left="1175" w:hanging="355"/>
        <w:rPr>
          <w:u w:val="none"/>
        </w:rPr>
      </w:pPr>
      <w:r>
        <w:t>Confidentiality</w:t>
      </w:r>
      <w:r>
        <w:rPr>
          <w:spacing w:val="-15"/>
        </w:rPr>
        <w:t xml:space="preserve"> </w:t>
      </w:r>
      <w:r>
        <w:t>of</w:t>
      </w:r>
      <w:r>
        <w:rPr>
          <w:spacing w:val="-15"/>
        </w:rPr>
        <w:t xml:space="preserve"> </w:t>
      </w:r>
      <w:r>
        <w:rPr>
          <w:spacing w:val="-2"/>
        </w:rPr>
        <w:t>Information</w:t>
      </w:r>
    </w:p>
    <w:p w:rsidR="006315F9" w:rsidP="004E342C" w14:paraId="546279E6" w14:textId="77777777">
      <w:pPr>
        <w:pStyle w:val="BodyText"/>
        <w:ind w:left="1177" w:right="119"/>
      </w:pPr>
    </w:p>
    <w:p w:rsidR="00C61F33" w:rsidP="004E342C" w14:paraId="50598B51" w14:textId="4D70C3C5">
      <w:pPr>
        <w:pStyle w:val="BodyText"/>
        <w:ind w:left="1177" w:right="119"/>
      </w:pPr>
      <w:r>
        <w:t>Information collected is protected by NRC System of Record</w:t>
      </w:r>
      <w:r w:rsidR="005D46AE">
        <w:t>s</w:t>
      </w:r>
      <w:r>
        <w:t>, NRC</w:t>
      </w:r>
      <w:r w:rsidR="0056493D">
        <w:rPr>
          <w:rFonts w:ascii="Cambria Math" w:hAnsi="Cambria Math" w:cs="Cambria Math"/>
        </w:rPr>
        <w:t>‑</w:t>
      </w:r>
      <w:r w:rsidR="0056493D">
        <w:t>4</w:t>
      </w:r>
      <w:r>
        <w:t>0, “Facility Security Access Control Records.”</w:t>
      </w:r>
    </w:p>
    <w:p w:rsidR="00C61F33" w:rsidP="004E342C" w14:paraId="00E915D5" w14:textId="77777777">
      <w:pPr>
        <w:pStyle w:val="BodyText"/>
        <w:ind w:left="1177" w:right="119"/>
      </w:pPr>
    </w:p>
    <w:p w:rsidR="00521495" w:rsidP="00BC1811" w14:paraId="3797364B" w14:textId="30F05964">
      <w:pPr>
        <w:pStyle w:val="BodyText"/>
        <w:ind w:left="1177" w:right="119"/>
      </w:pPr>
      <w:r>
        <w:t>Confidential and proprietary information is protected in accordance with NRC regulations at 10 CFR 9.17(a) and 10 CFR 2.390(b).</w:t>
      </w:r>
    </w:p>
    <w:p w:rsidR="00BC1811" w:rsidP="00BC1811" w14:paraId="5C58F70A" w14:textId="77777777">
      <w:pPr>
        <w:pStyle w:val="BodyText"/>
        <w:ind w:left="1177" w:right="119"/>
      </w:pPr>
    </w:p>
    <w:p w:rsidR="00521495" w:rsidP="004E342C" w14:paraId="3797364C" w14:textId="77777777">
      <w:pPr>
        <w:pStyle w:val="ListParagraph"/>
        <w:numPr>
          <w:ilvl w:val="1"/>
          <w:numId w:val="1"/>
        </w:numPr>
        <w:tabs>
          <w:tab w:val="left" w:pos="1175"/>
        </w:tabs>
        <w:ind w:left="1175" w:hanging="358"/>
        <w:rPr>
          <w:u w:val="none"/>
        </w:rPr>
      </w:pPr>
      <w:r>
        <w:t>Justification</w:t>
      </w:r>
      <w:r>
        <w:rPr>
          <w:spacing w:val="-16"/>
        </w:rPr>
        <w:t xml:space="preserve"> </w:t>
      </w:r>
      <w:r>
        <w:t>for</w:t>
      </w:r>
      <w:r>
        <w:rPr>
          <w:spacing w:val="-12"/>
        </w:rPr>
        <w:t xml:space="preserve"> </w:t>
      </w:r>
      <w:r>
        <w:t>Sensitive</w:t>
      </w:r>
      <w:r>
        <w:rPr>
          <w:spacing w:val="-13"/>
        </w:rPr>
        <w:t xml:space="preserve"> </w:t>
      </w:r>
      <w:r>
        <w:rPr>
          <w:spacing w:val="-2"/>
        </w:rPr>
        <w:t>Questions</w:t>
      </w:r>
    </w:p>
    <w:p w:rsidR="00521495" w:rsidP="00BC1811" w14:paraId="3797364D" w14:textId="77777777">
      <w:pPr>
        <w:pStyle w:val="BodyText"/>
        <w:ind w:left="1175"/>
      </w:pPr>
    </w:p>
    <w:p w:rsidR="00521495" w:rsidP="00BC1811" w14:paraId="3797364F" w14:textId="1F98D344">
      <w:pPr>
        <w:pStyle w:val="BodyText"/>
        <w:ind w:left="1180"/>
      </w:pPr>
      <w:r>
        <w:t>Not</w:t>
      </w:r>
      <w:r>
        <w:rPr>
          <w:spacing w:val="-8"/>
        </w:rPr>
        <w:t xml:space="preserve"> </w:t>
      </w:r>
      <w:r w:rsidR="0056493D">
        <w:rPr>
          <w:spacing w:val="-2"/>
        </w:rPr>
        <w:t>a</w:t>
      </w:r>
      <w:r>
        <w:rPr>
          <w:spacing w:val="-2"/>
        </w:rPr>
        <w:t>pplicable.</w:t>
      </w:r>
    </w:p>
    <w:p w:rsidR="00BC1811" w:rsidP="00BC1811" w14:paraId="5561490E" w14:textId="77777777">
      <w:pPr>
        <w:pStyle w:val="BodyText"/>
        <w:ind w:left="1180"/>
      </w:pPr>
    </w:p>
    <w:p w:rsidR="00521495" w:rsidP="004E342C" w14:paraId="37973650" w14:textId="77777777">
      <w:pPr>
        <w:pStyle w:val="ListParagraph"/>
        <w:numPr>
          <w:ilvl w:val="1"/>
          <w:numId w:val="1"/>
        </w:numPr>
        <w:tabs>
          <w:tab w:val="left" w:pos="1175"/>
        </w:tabs>
        <w:ind w:left="1175" w:hanging="355"/>
        <w:rPr>
          <w:u w:val="none"/>
        </w:rPr>
      </w:pPr>
      <w:r>
        <w:t>Estimated</w:t>
      </w:r>
      <w:r>
        <w:rPr>
          <w:spacing w:val="-13"/>
        </w:rPr>
        <w:t xml:space="preserve"> </w:t>
      </w:r>
      <w:r>
        <w:t>Burden</w:t>
      </w:r>
      <w:r>
        <w:rPr>
          <w:spacing w:val="-11"/>
        </w:rPr>
        <w:t xml:space="preserve"> </w:t>
      </w:r>
      <w:r>
        <w:t>and</w:t>
      </w:r>
      <w:r>
        <w:rPr>
          <w:spacing w:val="-13"/>
        </w:rPr>
        <w:t xml:space="preserve"> </w:t>
      </w:r>
      <w:r>
        <w:t>Burden</w:t>
      </w:r>
      <w:r>
        <w:rPr>
          <w:spacing w:val="-11"/>
        </w:rPr>
        <w:t xml:space="preserve"> </w:t>
      </w:r>
      <w:r>
        <w:t>Hour</w:t>
      </w:r>
      <w:r>
        <w:rPr>
          <w:spacing w:val="-9"/>
        </w:rPr>
        <w:t xml:space="preserve"> </w:t>
      </w:r>
      <w:r>
        <w:rPr>
          <w:spacing w:val="-4"/>
        </w:rPr>
        <w:t>Cost</w:t>
      </w:r>
    </w:p>
    <w:p w:rsidR="00521495" w:rsidP="00BC1811" w14:paraId="37973651" w14:textId="77777777">
      <w:pPr>
        <w:pStyle w:val="BodyText"/>
        <w:ind w:left="1175"/>
      </w:pPr>
    </w:p>
    <w:p w:rsidR="00521495" w:rsidP="00582AA7" w14:paraId="37973654" w14:textId="57018120">
      <w:pPr>
        <w:pStyle w:val="BodyText"/>
        <w:ind w:left="1180" w:right="119"/>
      </w:pPr>
      <w:r>
        <w:t>The NRC has approximately 750 visitor registrations annually. Each registration</w:t>
      </w:r>
      <w:r>
        <w:rPr>
          <w:spacing w:val="-7"/>
        </w:rPr>
        <w:t xml:space="preserve"> </w:t>
      </w:r>
      <w:r>
        <w:t>takes</w:t>
      </w:r>
      <w:r>
        <w:rPr>
          <w:spacing w:val="-7"/>
        </w:rPr>
        <w:t xml:space="preserve"> </w:t>
      </w:r>
      <w:r>
        <w:t>approximately</w:t>
      </w:r>
      <w:r>
        <w:rPr>
          <w:spacing w:val="-7"/>
        </w:rPr>
        <w:t xml:space="preserve"> </w:t>
      </w:r>
      <w:r>
        <w:t>2</w:t>
      </w:r>
      <w:r w:rsidR="00EF52BF">
        <w:t xml:space="preserve"> </w:t>
      </w:r>
      <w:r>
        <w:t>min</w:t>
      </w:r>
      <w:r w:rsidR="00EF52BF">
        <w:t>utes</w:t>
      </w:r>
      <w:r>
        <w:rPr>
          <w:spacing w:val="-4"/>
        </w:rPr>
        <w:t xml:space="preserve"> </w:t>
      </w:r>
      <w:r>
        <w:t>per</w:t>
      </w:r>
      <w:r>
        <w:rPr>
          <w:spacing w:val="-6"/>
        </w:rPr>
        <w:t xml:space="preserve"> </w:t>
      </w:r>
      <w:r>
        <w:t>visitor</w:t>
      </w:r>
      <w:r>
        <w:rPr>
          <w:spacing w:val="-8"/>
        </w:rPr>
        <w:t xml:space="preserve"> </w:t>
      </w:r>
      <w:r>
        <w:t>(or</w:t>
      </w:r>
      <w:r>
        <w:rPr>
          <w:spacing w:val="-6"/>
        </w:rPr>
        <w:t xml:space="preserve"> </w:t>
      </w:r>
      <w:r>
        <w:t>25</w:t>
      </w:r>
      <w:r>
        <w:rPr>
          <w:spacing w:val="-7"/>
        </w:rPr>
        <w:t xml:space="preserve"> </w:t>
      </w:r>
      <w:r>
        <w:t>hours</w:t>
      </w:r>
      <w:r>
        <w:rPr>
          <w:spacing w:val="-7"/>
        </w:rPr>
        <w:t xml:space="preserve"> </w:t>
      </w:r>
      <w:r>
        <w:t>per</w:t>
      </w:r>
      <w:r>
        <w:rPr>
          <w:spacing w:val="-4"/>
        </w:rPr>
        <w:t xml:space="preserve"> </w:t>
      </w:r>
      <w:r>
        <w:t>year)</w:t>
      </w:r>
      <w:r>
        <w:rPr>
          <w:spacing w:val="-6"/>
        </w:rPr>
        <w:t xml:space="preserve"> </w:t>
      </w:r>
      <w:r>
        <w:t>at</w:t>
      </w:r>
      <w:r>
        <w:rPr>
          <w:spacing w:val="-8"/>
        </w:rPr>
        <w:t xml:space="preserve"> </w:t>
      </w:r>
      <w:r>
        <w:t>a</w:t>
      </w:r>
      <w:r>
        <w:rPr>
          <w:spacing w:val="-5"/>
        </w:rPr>
        <w:t xml:space="preserve"> </w:t>
      </w:r>
      <w:r>
        <w:t>cost</w:t>
      </w:r>
      <w:r>
        <w:rPr>
          <w:spacing w:val="-4"/>
        </w:rPr>
        <w:t xml:space="preserve"> </w:t>
      </w:r>
      <w:r>
        <w:t>of</w:t>
      </w:r>
      <w:r w:rsidR="00EF52BF">
        <w:t xml:space="preserve"> </w:t>
      </w:r>
      <w:r>
        <w:rPr>
          <w:spacing w:val="-2"/>
        </w:rPr>
        <w:t>$7,925/year</w:t>
      </w:r>
      <w:r w:rsidR="005D46AE">
        <w:rPr>
          <w:spacing w:val="-2"/>
        </w:rPr>
        <w:t xml:space="preserve"> (25 hours x $317 per hour)</w:t>
      </w:r>
      <w:r>
        <w:rPr>
          <w:spacing w:val="-2"/>
        </w:rPr>
        <w:t>.</w:t>
      </w:r>
    </w:p>
    <w:p w:rsidR="00BC1811" w:rsidP="00BC1811" w14:paraId="6A55A43C" w14:textId="77777777">
      <w:pPr>
        <w:pStyle w:val="BodyText"/>
        <w:spacing w:line="251" w:lineRule="exact"/>
        <w:ind w:left="1180"/>
      </w:pPr>
    </w:p>
    <w:p w:rsidR="00521495" w:rsidP="00BC1811" w14:paraId="37973656" w14:textId="677B792D">
      <w:pPr>
        <w:pStyle w:val="BodyText"/>
        <w:ind w:left="1180" w:right="119"/>
      </w:pPr>
      <w:r>
        <w:t>The $317 hourly rate used in the burden estimates is based on the NRC’s fee for hourly</w:t>
      </w:r>
      <w:r>
        <w:rPr>
          <w:spacing w:val="-7"/>
        </w:rPr>
        <w:t xml:space="preserve"> </w:t>
      </w:r>
      <w:r>
        <w:t>rates</w:t>
      </w:r>
      <w:r>
        <w:rPr>
          <w:spacing w:val="-7"/>
        </w:rPr>
        <w:t xml:space="preserve"> </w:t>
      </w:r>
      <w:r>
        <w:t>as</w:t>
      </w:r>
      <w:r>
        <w:rPr>
          <w:spacing w:val="-7"/>
        </w:rPr>
        <w:t xml:space="preserve"> </w:t>
      </w:r>
      <w:r>
        <w:t>noted</w:t>
      </w:r>
      <w:r>
        <w:rPr>
          <w:spacing w:val="-7"/>
        </w:rPr>
        <w:t xml:space="preserve"> </w:t>
      </w:r>
      <w:r>
        <w:t>in</w:t>
      </w:r>
      <w:r>
        <w:rPr>
          <w:spacing w:val="-7"/>
        </w:rPr>
        <w:t xml:space="preserve"> </w:t>
      </w:r>
      <w:r>
        <w:t>10</w:t>
      </w:r>
      <w:r>
        <w:rPr>
          <w:spacing w:val="-7"/>
        </w:rPr>
        <w:t xml:space="preserve"> </w:t>
      </w:r>
      <w:r>
        <w:t>CFR</w:t>
      </w:r>
      <w:r>
        <w:rPr>
          <w:spacing w:val="-8"/>
        </w:rPr>
        <w:t xml:space="preserve"> </w:t>
      </w:r>
      <w:r>
        <w:t>170.20</w:t>
      </w:r>
      <w:r>
        <w:rPr>
          <w:spacing w:val="-7"/>
        </w:rPr>
        <w:t xml:space="preserve"> </w:t>
      </w:r>
      <w:r>
        <w:t>“Average</w:t>
      </w:r>
      <w:r>
        <w:rPr>
          <w:spacing w:val="-10"/>
        </w:rPr>
        <w:t xml:space="preserve"> </w:t>
      </w:r>
      <w:r>
        <w:t>cost</w:t>
      </w:r>
      <w:r>
        <w:rPr>
          <w:spacing w:val="-6"/>
        </w:rPr>
        <w:t xml:space="preserve"> </w:t>
      </w:r>
      <w:r>
        <w:t>per</w:t>
      </w:r>
      <w:r>
        <w:rPr>
          <w:spacing w:val="-6"/>
        </w:rPr>
        <w:t xml:space="preserve"> </w:t>
      </w:r>
      <w:r>
        <w:t>professional</w:t>
      </w:r>
      <w:r>
        <w:rPr>
          <w:spacing w:val="-8"/>
        </w:rPr>
        <w:t xml:space="preserve"> </w:t>
      </w:r>
      <w:r>
        <w:t>staff-hour.” For</w:t>
      </w:r>
      <w:r>
        <w:rPr>
          <w:spacing w:val="-3"/>
        </w:rPr>
        <w:t xml:space="preserve"> </w:t>
      </w:r>
      <w:r>
        <w:t>more</w:t>
      </w:r>
      <w:r>
        <w:rPr>
          <w:spacing w:val="-4"/>
        </w:rPr>
        <w:t xml:space="preserve"> </w:t>
      </w:r>
      <w:r>
        <w:t>information</w:t>
      </w:r>
      <w:r>
        <w:rPr>
          <w:spacing w:val="-2"/>
        </w:rPr>
        <w:t xml:space="preserve"> </w:t>
      </w:r>
      <w:r>
        <w:t>on</w:t>
      </w:r>
      <w:r>
        <w:rPr>
          <w:spacing w:val="-4"/>
        </w:rPr>
        <w:t xml:space="preserve"> </w:t>
      </w:r>
      <w:r>
        <w:t>the</w:t>
      </w:r>
      <w:r>
        <w:rPr>
          <w:spacing w:val="-2"/>
        </w:rPr>
        <w:t xml:space="preserve"> </w:t>
      </w:r>
      <w:r>
        <w:t>basis</w:t>
      </w:r>
      <w:r>
        <w:rPr>
          <w:spacing w:val="-4"/>
        </w:rPr>
        <w:t xml:space="preserve"> </w:t>
      </w:r>
      <w:r>
        <w:t>of</w:t>
      </w:r>
      <w:r>
        <w:rPr>
          <w:spacing w:val="-5"/>
        </w:rPr>
        <w:t xml:space="preserve"> </w:t>
      </w:r>
      <w:r>
        <w:t>this</w:t>
      </w:r>
      <w:r>
        <w:rPr>
          <w:spacing w:val="-1"/>
        </w:rPr>
        <w:t xml:space="preserve"> </w:t>
      </w:r>
      <w:r>
        <w:t>rate, see</w:t>
      </w:r>
      <w:r>
        <w:rPr>
          <w:spacing w:val="-4"/>
        </w:rPr>
        <w:t xml:space="preserve"> </w:t>
      </w:r>
      <w:r>
        <w:t>the</w:t>
      </w:r>
      <w:r>
        <w:rPr>
          <w:spacing w:val="-4"/>
        </w:rPr>
        <w:t xml:space="preserve"> </w:t>
      </w:r>
      <w:r>
        <w:t>Revision</w:t>
      </w:r>
      <w:r>
        <w:rPr>
          <w:spacing w:val="-2"/>
        </w:rPr>
        <w:t xml:space="preserve"> </w:t>
      </w:r>
      <w:r>
        <w:t>of</w:t>
      </w:r>
      <w:r>
        <w:rPr>
          <w:spacing w:val="-2"/>
        </w:rPr>
        <w:t xml:space="preserve"> </w:t>
      </w:r>
      <w:r>
        <w:t>Fee</w:t>
      </w:r>
      <w:r>
        <w:rPr>
          <w:spacing w:val="-2"/>
        </w:rPr>
        <w:t xml:space="preserve"> </w:t>
      </w:r>
      <w:r>
        <w:t xml:space="preserve">Schedules; Fee Recovery for </w:t>
      </w:r>
      <w:r w:rsidR="0056493D">
        <w:t>f</w:t>
      </w:r>
      <w:r>
        <w:t xml:space="preserve">iscal </w:t>
      </w:r>
      <w:r w:rsidR="0056493D">
        <w:t>y</w:t>
      </w:r>
      <w:r>
        <w:t>ear 2024 (89 FR 51789, June</w:t>
      </w:r>
      <w:r w:rsidR="0056493D">
        <w:t> </w:t>
      </w:r>
      <w:r>
        <w:t>20, 2024).</w:t>
      </w:r>
    </w:p>
    <w:p w:rsidR="00BC1811" w:rsidP="00BC1811" w14:paraId="4B6D8161" w14:textId="77777777">
      <w:pPr>
        <w:pStyle w:val="BodyText"/>
        <w:ind w:left="1180" w:right="119"/>
      </w:pPr>
    </w:p>
    <w:p w:rsidR="00521495" w:rsidP="004E342C" w14:paraId="37973657" w14:textId="77777777">
      <w:pPr>
        <w:pStyle w:val="ListParagraph"/>
        <w:numPr>
          <w:ilvl w:val="1"/>
          <w:numId w:val="1"/>
        </w:numPr>
        <w:tabs>
          <w:tab w:val="left" w:pos="1175"/>
        </w:tabs>
        <w:ind w:left="1175" w:hanging="355"/>
        <w:rPr>
          <w:u w:val="none"/>
        </w:rPr>
      </w:pPr>
      <w:r>
        <w:t>Estimate</w:t>
      </w:r>
      <w:r>
        <w:rPr>
          <w:spacing w:val="-13"/>
        </w:rPr>
        <w:t xml:space="preserve"> </w:t>
      </w:r>
      <w:r>
        <w:t>of</w:t>
      </w:r>
      <w:r>
        <w:rPr>
          <w:spacing w:val="-12"/>
        </w:rPr>
        <w:t xml:space="preserve"> </w:t>
      </w:r>
      <w:r>
        <w:t>Other</w:t>
      </w:r>
      <w:r>
        <w:rPr>
          <w:spacing w:val="-12"/>
        </w:rPr>
        <w:t xml:space="preserve"> </w:t>
      </w:r>
      <w:r>
        <w:t>Additional</w:t>
      </w:r>
      <w:r>
        <w:rPr>
          <w:spacing w:val="-10"/>
        </w:rPr>
        <w:t xml:space="preserve"> </w:t>
      </w:r>
      <w:r>
        <w:rPr>
          <w:spacing w:val="-4"/>
        </w:rPr>
        <w:t>Costs</w:t>
      </w:r>
    </w:p>
    <w:p w:rsidR="00521495" w:rsidP="004E342C" w14:paraId="37973658" w14:textId="77777777">
      <w:pPr>
        <w:pStyle w:val="BodyText"/>
      </w:pPr>
    </w:p>
    <w:p w:rsidR="00521495" w:rsidP="004E342C" w14:paraId="37973659" w14:textId="77777777">
      <w:pPr>
        <w:pStyle w:val="BodyText"/>
        <w:ind w:left="1180"/>
      </w:pPr>
      <w:r>
        <w:t>There</w:t>
      </w:r>
      <w:r>
        <w:rPr>
          <w:spacing w:val="-11"/>
        </w:rPr>
        <w:t xml:space="preserve"> </w:t>
      </w:r>
      <w:r>
        <w:t>are</w:t>
      </w:r>
      <w:r>
        <w:rPr>
          <w:spacing w:val="-11"/>
        </w:rPr>
        <w:t xml:space="preserve"> </w:t>
      </w:r>
      <w:r>
        <w:t>no</w:t>
      </w:r>
      <w:r>
        <w:rPr>
          <w:spacing w:val="-9"/>
        </w:rPr>
        <w:t xml:space="preserve"> </w:t>
      </w:r>
      <w:r>
        <w:t>additional</w:t>
      </w:r>
      <w:r>
        <w:rPr>
          <w:spacing w:val="-10"/>
        </w:rPr>
        <w:t xml:space="preserve"> </w:t>
      </w:r>
      <w:r>
        <w:rPr>
          <w:spacing w:val="-2"/>
        </w:rPr>
        <w:t>costs.</w:t>
      </w:r>
    </w:p>
    <w:p w:rsidR="00521495" w:rsidP="004E342C" w14:paraId="3797365A" w14:textId="77777777">
      <w:pPr>
        <w:pStyle w:val="BodyText"/>
      </w:pPr>
    </w:p>
    <w:p w:rsidR="00521495" w:rsidP="004E342C" w14:paraId="3797365B" w14:textId="77777777">
      <w:pPr>
        <w:pStyle w:val="ListParagraph"/>
        <w:numPr>
          <w:ilvl w:val="1"/>
          <w:numId w:val="1"/>
        </w:numPr>
        <w:tabs>
          <w:tab w:val="left" w:pos="1175"/>
        </w:tabs>
        <w:ind w:left="1175" w:hanging="355"/>
        <w:rPr>
          <w:u w:val="none"/>
        </w:rPr>
      </w:pPr>
      <w:r>
        <w:t>Estimated</w:t>
      </w:r>
      <w:r>
        <w:rPr>
          <w:spacing w:val="-13"/>
        </w:rPr>
        <w:t xml:space="preserve"> </w:t>
      </w:r>
      <w:r>
        <w:t>Annualized</w:t>
      </w:r>
      <w:r>
        <w:rPr>
          <w:spacing w:val="-9"/>
        </w:rPr>
        <w:t xml:space="preserve"> </w:t>
      </w:r>
      <w:r>
        <w:t>Cost</w:t>
      </w:r>
      <w:r>
        <w:rPr>
          <w:spacing w:val="-12"/>
        </w:rPr>
        <w:t xml:space="preserve"> </w:t>
      </w:r>
      <w:r>
        <w:t>to</w:t>
      </w:r>
      <w:r>
        <w:rPr>
          <w:spacing w:val="-12"/>
        </w:rPr>
        <w:t xml:space="preserve"> </w:t>
      </w:r>
      <w:r>
        <w:t>the</w:t>
      </w:r>
      <w:r>
        <w:rPr>
          <w:spacing w:val="-10"/>
        </w:rPr>
        <w:t xml:space="preserve"> </w:t>
      </w:r>
      <w:r>
        <w:t>Federal</w:t>
      </w:r>
      <w:r>
        <w:rPr>
          <w:spacing w:val="-13"/>
        </w:rPr>
        <w:t xml:space="preserve"> </w:t>
      </w:r>
      <w:r>
        <w:rPr>
          <w:spacing w:val="-2"/>
        </w:rPr>
        <w:t>Government</w:t>
      </w:r>
    </w:p>
    <w:p w:rsidR="00521495" w:rsidP="004E342C" w14:paraId="3797365C" w14:textId="77777777">
      <w:pPr>
        <w:pStyle w:val="BodyText"/>
      </w:pPr>
    </w:p>
    <w:p w:rsidR="00521495" w:rsidP="005D46AE" w14:paraId="3797365D" w14:textId="7454AA19">
      <w:pPr>
        <w:pStyle w:val="BodyText"/>
        <w:ind w:left="1180" w:right="128" w:hanging="1"/>
      </w:pPr>
      <w:r>
        <w:t xml:space="preserve">The NRC staff spends approximately 2 minutes per visitor to enter registrations in VARS, at a cost of $7,925 (2 minutes x 750 visitors x $317 per hour). In addition, the agency spends an estimated </w:t>
      </w:r>
      <w:r w:rsidRPr="00582AA7">
        <w:t>$1,075</w:t>
      </w:r>
      <w:r w:rsidRPr="00582AA7">
        <w:rPr>
          <w:b/>
          <w:bCs/>
        </w:rPr>
        <w:t xml:space="preserve"> </w:t>
      </w:r>
      <w:r w:rsidR="005D46AE">
        <w:t xml:space="preserve">on </w:t>
      </w:r>
      <w:r w:rsidRPr="00582AA7">
        <w:t>printing materials (temporary badges for visitors)</w:t>
      </w:r>
      <w:r>
        <w:t>. The total annual estimated cost to the Federal Government is $9,000 ($7,925 + $1,075)</w:t>
      </w:r>
      <w:r w:rsidR="00C649FA">
        <w:t>.</w:t>
      </w:r>
    </w:p>
    <w:p w:rsidR="00316331" w:rsidP="004E342C" w14:paraId="54C203B5" w14:textId="77777777">
      <w:pPr>
        <w:pStyle w:val="BodyText"/>
        <w:ind w:left="1180" w:right="128" w:hanging="1"/>
        <w:jc w:val="both"/>
      </w:pPr>
    </w:p>
    <w:p w:rsidR="00521495" w:rsidP="00335851" w14:paraId="3797365E" w14:textId="77777777">
      <w:pPr>
        <w:pStyle w:val="ListParagraph"/>
        <w:keepNext/>
        <w:keepLines/>
        <w:numPr>
          <w:ilvl w:val="1"/>
          <w:numId w:val="1"/>
        </w:numPr>
        <w:tabs>
          <w:tab w:val="left" w:pos="1175"/>
        </w:tabs>
        <w:ind w:left="1175" w:hanging="355"/>
        <w:rPr>
          <w:u w:val="none"/>
        </w:rPr>
      </w:pPr>
      <w:r>
        <w:t>Reasons</w:t>
      </w:r>
      <w:r>
        <w:rPr>
          <w:spacing w:val="-8"/>
        </w:rPr>
        <w:t xml:space="preserve"> </w:t>
      </w:r>
      <w:r>
        <w:t>for</w:t>
      </w:r>
      <w:r>
        <w:rPr>
          <w:spacing w:val="-9"/>
        </w:rPr>
        <w:t xml:space="preserve"> </w:t>
      </w:r>
      <w:r>
        <w:t>Change</w:t>
      </w:r>
      <w:r>
        <w:rPr>
          <w:spacing w:val="-8"/>
        </w:rPr>
        <w:t xml:space="preserve"> </w:t>
      </w:r>
      <w:r>
        <w:t>in</w:t>
      </w:r>
      <w:r>
        <w:rPr>
          <w:spacing w:val="-11"/>
        </w:rPr>
        <w:t xml:space="preserve"> </w:t>
      </w:r>
      <w:r>
        <w:t>Burden</w:t>
      </w:r>
      <w:r>
        <w:rPr>
          <w:spacing w:val="-8"/>
        </w:rPr>
        <w:t xml:space="preserve"> </w:t>
      </w:r>
      <w:r>
        <w:t>or</w:t>
      </w:r>
      <w:r>
        <w:rPr>
          <w:spacing w:val="-6"/>
        </w:rPr>
        <w:t xml:space="preserve"> </w:t>
      </w:r>
      <w:r>
        <w:rPr>
          <w:spacing w:val="-4"/>
        </w:rPr>
        <w:t>Cost</w:t>
      </w:r>
    </w:p>
    <w:p w:rsidR="00521495" w:rsidP="00335851" w14:paraId="3797365F" w14:textId="77777777">
      <w:pPr>
        <w:pStyle w:val="BodyText"/>
        <w:keepNext/>
        <w:keepLines/>
        <w:ind w:left="1175"/>
      </w:pPr>
    </w:p>
    <w:p w:rsidR="00521495" w:rsidP="00335851" w14:paraId="37973661" w14:textId="67B8E7C5">
      <w:pPr>
        <w:pStyle w:val="BodyText"/>
        <w:keepNext/>
        <w:keepLines/>
        <w:ind w:left="1180"/>
      </w:pPr>
      <w:r>
        <w:t>This</w:t>
      </w:r>
      <w:r>
        <w:rPr>
          <w:spacing w:val="-7"/>
        </w:rPr>
        <w:t xml:space="preserve"> </w:t>
      </w:r>
      <w:r>
        <w:t>is</w:t>
      </w:r>
      <w:r>
        <w:rPr>
          <w:spacing w:val="-6"/>
        </w:rPr>
        <w:t xml:space="preserve"> </w:t>
      </w:r>
      <w:r>
        <w:t>a</w:t>
      </w:r>
      <w:r>
        <w:rPr>
          <w:spacing w:val="-7"/>
        </w:rPr>
        <w:t xml:space="preserve"> </w:t>
      </w:r>
      <w:r w:rsidR="002D147B">
        <w:rPr>
          <w:spacing w:val="-7"/>
        </w:rPr>
        <w:t xml:space="preserve">request for a </w:t>
      </w:r>
      <w:r>
        <w:t>new</w:t>
      </w:r>
      <w:r>
        <w:rPr>
          <w:spacing w:val="-7"/>
        </w:rPr>
        <w:t xml:space="preserve"> </w:t>
      </w:r>
      <w:r>
        <w:rPr>
          <w:spacing w:val="-2"/>
        </w:rPr>
        <w:t>clearance.</w:t>
      </w:r>
    </w:p>
    <w:p w:rsidR="00316331" w:rsidP="00316331" w14:paraId="1B7E4A3D" w14:textId="77777777">
      <w:pPr>
        <w:pStyle w:val="BodyText"/>
        <w:ind w:left="1180"/>
      </w:pPr>
    </w:p>
    <w:p w:rsidR="00521495" w:rsidP="004E342C" w14:paraId="37973662" w14:textId="77777777">
      <w:pPr>
        <w:pStyle w:val="ListParagraph"/>
        <w:numPr>
          <w:ilvl w:val="1"/>
          <w:numId w:val="1"/>
        </w:numPr>
        <w:tabs>
          <w:tab w:val="left" w:pos="1175"/>
        </w:tabs>
        <w:ind w:left="1175" w:hanging="355"/>
        <w:rPr>
          <w:u w:val="none"/>
        </w:rPr>
      </w:pPr>
      <w:r>
        <w:t>Publication</w:t>
      </w:r>
      <w:r>
        <w:rPr>
          <w:spacing w:val="-15"/>
        </w:rPr>
        <w:t xml:space="preserve"> </w:t>
      </w:r>
      <w:r>
        <w:t>for</w:t>
      </w:r>
      <w:r>
        <w:rPr>
          <w:spacing w:val="-13"/>
        </w:rPr>
        <w:t xml:space="preserve"> </w:t>
      </w:r>
      <w:r>
        <w:t>Statistical</w:t>
      </w:r>
      <w:r>
        <w:rPr>
          <w:spacing w:val="-15"/>
        </w:rPr>
        <w:t xml:space="preserve"> </w:t>
      </w:r>
      <w:r>
        <w:rPr>
          <w:spacing w:val="-5"/>
        </w:rPr>
        <w:t>Use</w:t>
      </w:r>
    </w:p>
    <w:p w:rsidR="00521495" w:rsidP="00316331" w14:paraId="37973663" w14:textId="77777777">
      <w:pPr>
        <w:pStyle w:val="BodyText"/>
        <w:ind w:left="1175"/>
      </w:pPr>
    </w:p>
    <w:p w:rsidR="00521495" w:rsidP="00316331" w14:paraId="37973665" w14:textId="5D2D8FE5">
      <w:pPr>
        <w:pStyle w:val="BodyText"/>
        <w:ind w:left="1180"/>
      </w:pPr>
      <w:r>
        <w:t>Collection</w:t>
      </w:r>
      <w:r>
        <w:rPr>
          <w:spacing w:val="-10"/>
        </w:rPr>
        <w:t xml:space="preserve"> </w:t>
      </w:r>
      <w:r>
        <w:t>of</w:t>
      </w:r>
      <w:r>
        <w:rPr>
          <w:spacing w:val="-9"/>
        </w:rPr>
        <w:t xml:space="preserve"> </w:t>
      </w:r>
      <w:r>
        <w:t>information</w:t>
      </w:r>
      <w:r>
        <w:rPr>
          <w:spacing w:val="-11"/>
        </w:rPr>
        <w:t xml:space="preserve"> </w:t>
      </w:r>
      <w:r>
        <w:t>is</w:t>
      </w:r>
      <w:r>
        <w:rPr>
          <w:spacing w:val="-10"/>
        </w:rPr>
        <w:t xml:space="preserve"> </w:t>
      </w:r>
      <w:r>
        <w:t>not</w:t>
      </w:r>
      <w:r>
        <w:rPr>
          <w:spacing w:val="-9"/>
        </w:rPr>
        <w:t xml:space="preserve"> </w:t>
      </w:r>
      <w:r>
        <w:t>used</w:t>
      </w:r>
      <w:r>
        <w:rPr>
          <w:spacing w:val="-13"/>
        </w:rPr>
        <w:t xml:space="preserve"> </w:t>
      </w:r>
      <w:r>
        <w:t>for</w:t>
      </w:r>
      <w:r>
        <w:rPr>
          <w:spacing w:val="-9"/>
        </w:rPr>
        <w:t xml:space="preserve"> </w:t>
      </w:r>
      <w:r>
        <w:t>statistical</w:t>
      </w:r>
      <w:r>
        <w:rPr>
          <w:spacing w:val="-10"/>
        </w:rPr>
        <w:t xml:space="preserve"> </w:t>
      </w:r>
      <w:r>
        <w:rPr>
          <w:spacing w:val="-4"/>
        </w:rPr>
        <w:t>use.</w:t>
      </w:r>
    </w:p>
    <w:p w:rsidR="00316331" w:rsidP="00316331" w14:paraId="7A383010" w14:textId="77777777">
      <w:pPr>
        <w:pStyle w:val="BodyText"/>
        <w:ind w:left="1180"/>
      </w:pPr>
    </w:p>
    <w:p w:rsidR="00521495" w:rsidP="004E342C" w14:paraId="37973666" w14:textId="77777777">
      <w:pPr>
        <w:pStyle w:val="ListParagraph"/>
        <w:numPr>
          <w:ilvl w:val="1"/>
          <w:numId w:val="1"/>
        </w:numPr>
        <w:tabs>
          <w:tab w:val="left" w:pos="1175"/>
        </w:tabs>
        <w:ind w:left="1175" w:hanging="355"/>
        <w:rPr>
          <w:u w:val="none"/>
        </w:rPr>
      </w:pPr>
      <w:r>
        <w:t>Reason</w:t>
      </w:r>
      <w:r>
        <w:rPr>
          <w:spacing w:val="-12"/>
        </w:rPr>
        <w:t xml:space="preserve"> </w:t>
      </w:r>
      <w:r>
        <w:t>for</w:t>
      </w:r>
      <w:r>
        <w:rPr>
          <w:spacing w:val="-12"/>
        </w:rPr>
        <w:t xml:space="preserve"> </w:t>
      </w:r>
      <w:r>
        <w:t>Not</w:t>
      </w:r>
      <w:r>
        <w:rPr>
          <w:spacing w:val="-10"/>
        </w:rPr>
        <w:t xml:space="preserve"> </w:t>
      </w:r>
      <w:r>
        <w:t>Displaying</w:t>
      </w:r>
      <w:r>
        <w:rPr>
          <w:spacing w:val="-11"/>
        </w:rPr>
        <w:t xml:space="preserve"> </w:t>
      </w:r>
      <w:r>
        <w:t>the</w:t>
      </w:r>
      <w:r>
        <w:rPr>
          <w:spacing w:val="-11"/>
        </w:rPr>
        <w:t xml:space="preserve"> </w:t>
      </w:r>
      <w:r>
        <w:t>Expiration</w:t>
      </w:r>
      <w:r>
        <w:rPr>
          <w:spacing w:val="-11"/>
        </w:rPr>
        <w:t xml:space="preserve"> </w:t>
      </w:r>
      <w:r>
        <w:rPr>
          <w:spacing w:val="-4"/>
        </w:rPr>
        <w:t>Date</w:t>
      </w:r>
    </w:p>
    <w:p w:rsidR="004E342C" w:rsidP="004E342C" w14:paraId="20F3993D" w14:textId="77777777">
      <w:pPr>
        <w:pStyle w:val="BodyText"/>
        <w:ind w:left="1180"/>
      </w:pPr>
    </w:p>
    <w:p w:rsidR="00521495" w:rsidP="004E342C" w14:paraId="37973667" w14:textId="48AFF26A">
      <w:pPr>
        <w:pStyle w:val="BodyText"/>
        <w:ind w:left="1180"/>
        <w:rPr>
          <w:spacing w:val="-2"/>
        </w:rPr>
      </w:pPr>
      <w:r>
        <w:t>An</w:t>
      </w:r>
      <w:r>
        <w:rPr>
          <w:spacing w:val="-8"/>
        </w:rPr>
        <w:t xml:space="preserve"> </w:t>
      </w:r>
      <w:r>
        <w:t>expiration</w:t>
      </w:r>
      <w:r>
        <w:rPr>
          <w:spacing w:val="-10"/>
        </w:rPr>
        <w:t xml:space="preserve"> </w:t>
      </w:r>
      <w:r>
        <w:t>date</w:t>
      </w:r>
      <w:r>
        <w:rPr>
          <w:spacing w:val="-7"/>
        </w:rPr>
        <w:t xml:space="preserve"> </w:t>
      </w:r>
      <w:r>
        <w:t>will</w:t>
      </w:r>
      <w:r>
        <w:rPr>
          <w:spacing w:val="-8"/>
        </w:rPr>
        <w:t xml:space="preserve"> </w:t>
      </w:r>
      <w:r>
        <w:t>be</w:t>
      </w:r>
      <w:r>
        <w:rPr>
          <w:spacing w:val="-10"/>
        </w:rPr>
        <w:t xml:space="preserve"> </w:t>
      </w:r>
      <w:r>
        <w:rPr>
          <w:spacing w:val="-2"/>
        </w:rPr>
        <w:t>displayed.</w:t>
      </w:r>
    </w:p>
    <w:p w:rsidR="002F0874" w:rsidP="004E342C" w14:paraId="47A1B6D9" w14:textId="77777777">
      <w:pPr>
        <w:pStyle w:val="BodyText"/>
        <w:ind w:left="1180"/>
        <w:rPr>
          <w:spacing w:val="-2"/>
        </w:rPr>
      </w:pPr>
    </w:p>
    <w:p w:rsidR="00521495" w:rsidP="004E342C" w14:paraId="37973669" w14:textId="77777777">
      <w:pPr>
        <w:pStyle w:val="ListParagraph"/>
        <w:numPr>
          <w:ilvl w:val="1"/>
          <w:numId w:val="1"/>
        </w:numPr>
        <w:tabs>
          <w:tab w:val="left" w:pos="1175"/>
        </w:tabs>
        <w:ind w:left="1175" w:hanging="358"/>
        <w:rPr>
          <w:u w:val="none"/>
        </w:rPr>
      </w:pPr>
      <w:r>
        <w:t>Exceptions</w:t>
      </w:r>
      <w:r>
        <w:rPr>
          <w:spacing w:val="-14"/>
        </w:rPr>
        <w:t xml:space="preserve"> </w:t>
      </w:r>
      <w:r>
        <w:t>to</w:t>
      </w:r>
      <w:r>
        <w:rPr>
          <w:spacing w:val="-13"/>
        </w:rPr>
        <w:t xml:space="preserve"> </w:t>
      </w:r>
      <w:r>
        <w:t>the</w:t>
      </w:r>
      <w:r>
        <w:rPr>
          <w:spacing w:val="-12"/>
        </w:rPr>
        <w:t xml:space="preserve"> </w:t>
      </w:r>
      <w:r>
        <w:t>Certification</w:t>
      </w:r>
      <w:r>
        <w:rPr>
          <w:spacing w:val="-11"/>
        </w:rPr>
        <w:t xml:space="preserve"> </w:t>
      </w:r>
      <w:r>
        <w:rPr>
          <w:spacing w:val="-2"/>
        </w:rPr>
        <w:t>Statement</w:t>
      </w:r>
    </w:p>
    <w:p w:rsidR="004E342C" w:rsidP="004E342C" w14:paraId="0E367AE4" w14:textId="77777777">
      <w:pPr>
        <w:pStyle w:val="BodyText"/>
        <w:ind w:left="1170"/>
      </w:pPr>
    </w:p>
    <w:p w:rsidR="00521495" w:rsidP="00C04BBA" w14:paraId="3797366B" w14:textId="69F287A0">
      <w:pPr>
        <w:pStyle w:val="BodyText"/>
        <w:ind w:left="1170"/>
      </w:pPr>
      <w:r>
        <w:t>There</w:t>
      </w:r>
      <w:r>
        <w:rPr>
          <w:spacing w:val="-6"/>
        </w:rPr>
        <w:t xml:space="preserve"> </w:t>
      </w:r>
      <w:r>
        <w:t>are</w:t>
      </w:r>
      <w:r>
        <w:rPr>
          <w:spacing w:val="-6"/>
        </w:rPr>
        <w:t xml:space="preserve"> </w:t>
      </w:r>
      <w:r>
        <w:t>no</w:t>
      </w:r>
      <w:r>
        <w:rPr>
          <w:spacing w:val="-8"/>
        </w:rPr>
        <w:t xml:space="preserve"> </w:t>
      </w:r>
      <w:r>
        <w:rPr>
          <w:spacing w:val="-2"/>
        </w:rPr>
        <w:t>exceptions.</w:t>
      </w:r>
    </w:p>
    <w:p w:rsidR="00C04BBA" w:rsidP="00C04BBA" w14:paraId="6A034176" w14:textId="77777777">
      <w:pPr>
        <w:pStyle w:val="BodyText"/>
        <w:ind w:left="1170"/>
      </w:pPr>
    </w:p>
    <w:p w:rsidR="00521495" w:rsidP="004E342C" w14:paraId="3797366C" w14:textId="77777777">
      <w:pPr>
        <w:pStyle w:val="ListParagraph"/>
        <w:numPr>
          <w:ilvl w:val="0"/>
          <w:numId w:val="1"/>
        </w:numPr>
        <w:tabs>
          <w:tab w:val="left" w:pos="365"/>
        </w:tabs>
        <w:ind w:left="365" w:hanging="265"/>
        <w:jc w:val="left"/>
        <w:rPr>
          <w:u w:val="none"/>
        </w:rPr>
      </w:pPr>
      <w:r>
        <w:rPr>
          <w:spacing w:val="-2"/>
          <w:u w:val="none"/>
        </w:rPr>
        <w:t>COLLECTIONS</w:t>
      </w:r>
      <w:r>
        <w:rPr>
          <w:spacing w:val="-7"/>
          <w:u w:val="none"/>
        </w:rPr>
        <w:t xml:space="preserve"> </w:t>
      </w:r>
      <w:r>
        <w:rPr>
          <w:spacing w:val="-2"/>
          <w:u w:val="none"/>
        </w:rPr>
        <w:t>OF</w:t>
      </w:r>
      <w:r>
        <w:rPr>
          <w:spacing w:val="-6"/>
          <w:u w:val="none"/>
        </w:rPr>
        <w:t xml:space="preserve"> </w:t>
      </w:r>
      <w:r>
        <w:rPr>
          <w:spacing w:val="-2"/>
          <w:u w:val="none"/>
        </w:rPr>
        <w:t>INFORMATION</w:t>
      </w:r>
      <w:r>
        <w:rPr>
          <w:spacing w:val="-4"/>
          <w:u w:val="none"/>
        </w:rPr>
        <w:t xml:space="preserve"> </w:t>
      </w:r>
      <w:r>
        <w:rPr>
          <w:spacing w:val="-2"/>
          <w:u w:val="none"/>
        </w:rPr>
        <w:t>EMPLOYING</w:t>
      </w:r>
      <w:r>
        <w:rPr>
          <w:spacing w:val="-1"/>
          <w:u w:val="none"/>
        </w:rPr>
        <w:t xml:space="preserve"> </w:t>
      </w:r>
      <w:r>
        <w:rPr>
          <w:spacing w:val="-2"/>
          <w:u w:val="none"/>
        </w:rPr>
        <w:t>STATISTICAL METHODS</w:t>
      </w:r>
    </w:p>
    <w:p w:rsidR="004E342C" w:rsidP="00316331" w14:paraId="56D9B2C8" w14:textId="77777777">
      <w:pPr>
        <w:pStyle w:val="BodyText"/>
        <w:ind w:left="819"/>
      </w:pPr>
    </w:p>
    <w:p w:rsidR="00521495" w:rsidP="004E342C" w14:paraId="3797366E" w14:textId="695FE59A">
      <w:pPr>
        <w:pStyle w:val="BodyText"/>
        <w:ind w:left="819"/>
      </w:pPr>
      <w:r>
        <w:t>Not</w:t>
      </w:r>
      <w:r>
        <w:rPr>
          <w:spacing w:val="-11"/>
        </w:rPr>
        <w:t xml:space="preserve"> </w:t>
      </w:r>
      <w:r w:rsidR="0056493D">
        <w:t>a</w:t>
      </w:r>
      <w:r>
        <w:t>pplicable.</w:t>
      </w:r>
      <w:r>
        <w:rPr>
          <w:spacing w:val="-10"/>
        </w:rPr>
        <w:t xml:space="preserve"> </w:t>
      </w:r>
      <w:r>
        <w:t>No</w:t>
      </w:r>
      <w:r>
        <w:rPr>
          <w:spacing w:val="-12"/>
        </w:rPr>
        <w:t xml:space="preserve"> </w:t>
      </w:r>
      <w:r>
        <w:t>statistical</w:t>
      </w:r>
      <w:r>
        <w:rPr>
          <w:spacing w:val="-12"/>
        </w:rPr>
        <w:t xml:space="preserve"> </w:t>
      </w:r>
      <w:r>
        <w:t>method</w:t>
      </w:r>
      <w:r>
        <w:rPr>
          <w:spacing w:val="-11"/>
        </w:rPr>
        <w:t xml:space="preserve"> </w:t>
      </w:r>
      <w:r>
        <w:t>is</w:t>
      </w:r>
      <w:r>
        <w:rPr>
          <w:spacing w:val="-11"/>
        </w:rPr>
        <w:t xml:space="preserve"> </w:t>
      </w:r>
      <w:r>
        <w:rPr>
          <w:spacing w:val="-2"/>
        </w:rPr>
        <w:t>used.</w:t>
      </w:r>
    </w:p>
    <w:sectPr w:rsidSect="000F361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03096A"/>
    <w:multiLevelType w:val="hybridMultilevel"/>
    <w:tmpl w:val="AC246F68"/>
    <w:lvl w:ilvl="0">
      <w:start w:val="1"/>
      <w:numFmt w:val="upperLetter"/>
      <w:lvlText w:val="%1."/>
      <w:lvlJc w:val="left"/>
      <w:pPr>
        <w:ind w:left="817" w:hanging="359"/>
        <w:jc w:val="right"/>
      </w:pPr>
      <w:rPr>
        <w:rFonts w:ascii="Arial" w:eastAsia="Arial" w:hAnsi="Arial" w:cs="Arial" w:hint="default"/>
        <w:b w:val="0"/>
        <w:bCs w:val="0"/>
        <w:i w:val="0"/>
        <w:iCs w:val="0"/>
        <w:spacing w:val="-2"/>
        <w:w w:val="99"/>
        <w:sz w:val="22"/>
        <w:szCs w:val="22"/>
        <w:lang w:val="en-US" w:eastAsia="en-US" w:bidi="ar-SA"/>
      </w:rPr>
    </w:lvl>
    <w:lvl w:ilvl="1">
      <w:start w:val="1"/>
      <w:numFmt w:val="decimal"/>
      <w:lvlText w:val="%2."/>
      <w:lvlJc w:val="left"/>
      <w:pPr>
        <w:ind w:left="1177" w:hanging="359"/>
        <w:jc w:val="left"/>
      </w:pPr>
      <w:rPr>
        <w:rFonts w:ascii="Arial" w:eastAsia="Arial" w:hAnsi="Arial" w:cs="Arial" w:hint="default"/>
        <w:b w:val="0"/>
        <w:bCs w:val="0"/>
        <w:i w:val="0"/>
        <w:iCs w:val="0"/>
        <w:spacing w:val="-2"/>
        <w:w w:val="99"/>
        <w:sz w:val="22"/>
        <w:szCs w:val="22"/>
        <w:lang w:val="en-US" w:eastAsia="en-US" w:bidi="ar-SA"/>
      </w:rPr>
    </w:lvl>
    <w:lvl w:ilvl="2">
      <w:start w:val="0"/>
      <w:numFmt w:val="bullet"/>
      <w:lvlText w:val="•"/>
      <w:lvlJc w:val="left"/>
      <w:pPr>
        <w:ind w:left="2106" w:hanging="359"/>
      </w:pPr>
      <w:rPr>
        <w:rFonts w:hint="default"/>
        <w:lang w:val="en-US" w:eastAsia="en-US" w:bidi="ar-SA"/>
      </w:rPr>
    </w:lvl>
    <w:lvl w:ilvl="3">
      <w:start w:val="0"/>
      <w:numFmt w:val="bullet"/>
      <w:lvlText w:val="•"/>
      <w:lvlJc w:val="left"/>
      <w:pPr>
        <w:ind w:left="3033" w:hanging="359"/>
      </w:pPr>
      <w:rPr>
        <w:rFonts w:hint="default"/>
        <w:lang w:val="en-US" w:eastAsia="en-US" w:bidi="ar-SA"/>
      </w:rPr>
    </w:lvl>
    <w:lvl w:ilvl="4">
      <w:start w:val="0"/>
      <w:numFmt w:val="bullet"/>
      <w:lvlText w:val="•"/>
      <w:lvlJc w:val="left"/>
      <w:pPr>
        <w:ind w:left="3960" w:hanging="359"/>
      </w:pPr>
      <w:rPr>
        <w:rFonts w:hint="default"/>
        <w:lang w:val="en-US" w:eastAsia="en-US" w:bidi="ar-SA"/>
      </w:rPr>
    </w:lvl>
    <w:lvl w:ilvl="5">
      <w:start w:val="0"/>
      <w:numFmt w:val="bullet"/>
      <w:lvlText w:val="•"/>
      <w:lvlJc w:val="left"/>
      <w:pPr>
        <w:ind w:left="4886" w:hanging="359"/>
      </w:pPr>
      <w:rPr>
        <w:rFonts w:hint="default"/>
        <w:lang w:val="en-US" w:eastAsia="en-US" w:bidi="ar-SA"/>
      </w:rPr>
    </w:lvl>
    <w:lvl w:ilvl="6">
      <w:start w:val="0"/>
      <w:numFmt w:val="bullet"/>
      <w:lvlText w:val="•"/>
      <w:lvlJc w:val="left"/>
      <w:pPr>
        <w:ind w:left="5813" w:hanging="359"/>
      </w:pPr>
      <w:rPr>
        <w:rFonts w:hint="default"/>
        <w:lang w:val="en-US" w:eastAsia="en-US" w:bidi="ar-SA"/>
      </w:rPr>
    </w:lvl>
    <w:lvl w:ilvl="7">
      <w:start w:val="0"/>
      <w:numFmt w:val="bullet"/>
      <w:lvlText w:val="•"/>
      <w:lvlJc w:val="left"/>
      <w:pPr>
        <w:ind w:left="6740" w:hanging="359"/>
      </w:pPr>
      <w:rPr>
        <w:rFonts w:hint="default"/>
        <w:lang w:val="en-US" w:eastAsia="en-US" w:bidi="ar-SA"/>
      </w:rPr>
    </w:lvl>
    <w:lvl w:ilvl="8">
      <w:start w:val="0"/>
      <w:numFmt w:val="bullet"/>
      <w:lvlText w:val="•"/>
      <w:lvlJc w:val="left"/>
      <w:pPr>
        <w:ind w:left="7666" w:hanging="359"/>
      </w:pPr>
      <w:rPr>
        <w:rFonts w:hint="default"/>
        <w:lang w:val="en-US" w:eastAsia="en-US" w:bidi="ar-SA"/>
      </w:rPr>
    </w:lvl>
  </w:abstractNum>
  <w:num w:numId="1" w16cid:durableId="21686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95"/>
    <w:rsid w:val="00010256"/>
    <w:rsid w:val="00012D69"/>
    <w:rsid w:val="000442A1"/>
    <w:rsid w:val="00045857"/>
    <w:rsid w:val="000F361C"/>
    <w:rsid w:val="0012257B"/>
    <w:rsid w:val="001769D6"/>
    <w:rsid w:val="001C4443"/>
    <w:rsid w:val="002D147B"/>
    <w:rsid w:val="002F0874"/>
    <w:rsid w:val="00316331"/>
    <w:rsid w:val="00335851"/>
    <w:rsid w:val="00351086"/>
    <w:rsid w:val="003B716D"/>
    <w:rsid w:val="00425160"/>
    <w:rsid w:val="004879F0"/>
    <w:rsid w:val="004E342C"/>
    <w:rsid w:val="00521495"/>
    <w:rsid w:val="00544FEE"/>
    <w:rsid w:val="0056493D"/>
    <w:rsid w:val="00570408"/>
    <w:rsid w:val="00582AA7"/>
    <w:rsid w:val="005B28A7"/>
    <w:rsid w:val="005D46AE"/>
    <w:rsid w:val="006315F9"/>
    <w:rsid w:val="00632B5A"/>
    <w:rsid w:val="00643CF2"/>
    <w:rsid w:val="00750587"/>
    <w:rsid w:val="0077399C"/>
    <w:rsid w:val="007A75F3"/>
    <w:rsid w:val="008057C9"/>
    <w:rsid w:val="009139CA"/>
    <w:rsid w:val="00926E8D"/>
    <w:rsid w:val="00955D30"/>
    <w:rsid w:val="009D075D"/>
    <w:rsid w:val="009D6046"/>
    <w:rsid w:val="009F022C"/>
    <w:rsid w:val="00A06F68"/>
    <w:rsid w:val="00A326BC"/>
    <w:rsid w:val="00A33008"/>
    <w:rsid w:val="00AF09F1"/>
    <w:rsid w:val="00AF376B"/>
    <w:rsid w:val="00B34B93"/>
    <w:rsid w:val="00BC1811"/>
    <w:rsid w:val="00BD350E"/>
    <w:rsid w:val="00C04BBA"/>
    <w:rsid w:val="00C60D08"/>
    <w:rsid w:val="00C61F33"/>
    <w:rsid w:val="00C649FA"/>
    <w:rsid w:val="00D02AB4"/>
    <w:rsid w:val="00DE324C"/>
    <w:rsid w:val="00DF0BA0"/>
    <w:rsid w:val="00DF4E04"/>
    <w:rsid w:val="00E4325B"/>
    <w:rsid w:val="00E931BD"/>
    <w:rsid w:val="00EA433E"/>
    <w:rsid w:val="00EF52BF"/>
    <w:rsid w:val="00F31D08"/>
    <w:rsid w:val="00F87E35"/>
    <w:rsid w:val="00FD54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7361C"/>
  <w15:docId w15:val="{67F4C47A-507A-437F-AA98-038B36E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5" w:hanging="355"/>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B34B9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B716D"/>
    <w:rPr>
      <w:sz w:val="16"/>
      <w:szCs w:val="16"/>
    </w:rPr>
  </w:style>
  <w:style w:type="paragraph" w:styleId="CommentText">
    <w:name w:val="annotation text"/>
    <w:basedOn w:val="Normal"/>
    <w:link w:val="CommentTextChar"/>
    <w:uiPriority w:val="99"/>
    <w:unhideWhenUsed/>
    <w:rsid w:val="003B716D"/>
    <w:rPr>
      <w:sz w:val="20"/>
      <w:szCs w:val="20"/>
    </w:rPr>
  </w:style>
  <w:style w:type="character" w:customStyle="1" w:styleId="CommentTextChar">
    <w:name w:val="Comment Text Char"/>
    <w:basedOn w:val="DefaultParagraphFont"/>
    <w:link w:val="CommentText"/>
    <w:uiPriority w:val="99"/>
    <w:rsid w:val="003B716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716D"/>
    <w:rPr>
      <w:b/>
      <w:bCs/>
    </w:rPr>
  </w:style>
  <w:style w:type="character" w:customStyle="1" w:styleId="CommentSubjectChar">
    <w:name w:val="Comment Subject Char"/>
    <w:basedOn w:val="CommentTextChar"/>
    <w:link w:val="CommentSubject"/>
    <w:uiPriority w:val="99"/>
    <w:semiHidden/>
    <w:rsid w:val="003B716D"/>
    <w:rPr>
      <w:rFonts w:ascii="Arial" w:eastAsia="Arial" w:hAnsi="Arial" w:cs="Arial"/>
      <w:b/>
      <w:bCs/>
      <w:sz w:val="20"/>
      <w:szCs w:val="20"/>
    </w:rPr>
  </w:style>
  <w:style w:type="paragraph" w:styleId="Header">
    <w:name w:val="header"/>
    <w:basedOn w:val="Normal"/>
    <w:link w:val="HeaderChar"/>
    <w:uiPriority w:val="99"/>
    <w:unhideWhenUsed/>
    <w:rsid w:val="00926E8D"/>
    <w:pPr>
      <w:tabs>
        <w:tab w:val="center" w:pos="4680"/>
        <w:tab w:val="right" w:pos="9360"/>
      </w:tabs>
    </w:pPr>
  </w:style>
  <w:style w:type="character" w:customStyle="1" w:styleId="HeaderChar">
    <w:name w:val="Header Char"/>
    <w:basedOn w:val="DefaultParagraphFont"/>
    <w:link w:val="Header"/>
    <w:uiPriority w:val="99"/>
    <w:rsid w:val="00926E8D"/>
    <w:rPr>
      <w:rFonts w:ascii="Arial" w:eastAsia="Arial" w:hAnsi="Arial" w:cs="Arial"/>
    </w:rPr>
  </w:style>
  <w:style w:type="paragraph" w:styleId="Footer">
    <w:name w:val="footer"/>
    <w:basedOn w:val="Normal"/>
    <w:link w:val="FooterChar"/>
    <w:uiPriority w:val="99"/>
    <w:unhideWhenUsed/>
    <w:rsid w:val="00926E8D"/>
    <w:pPr>
      <w:tabs>
        <w:tab w:val="center" w:pos="4680"/>
        <w:tab w:val="right" w:pos="9360"/>
      </w:tabs>
    </w:pPr>
  </w:style>
  <w:style w:type="character" w:customStyle="1" w:styleId="FooterChar">
    <w:name w:val="Footer Char"/>
    <w:basedOn w:val="DefaultParagraphFont"/>
    <w:link w:val="Footer"/>
    <w:uiPriority w:val="99"/>
    <w:rsid w:val="00926E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7" ma:contentTypeDescription="Create a new document." ma:contentTypeScope="" ma:versionID="e978b40e2fa465240ca4e5ac3723dcae">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cd4d7ded9db9d17d195424dbd0d4be41"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a67cce-1f73-495e-9ce9-4c4de29af44c}" ma:internalName="TaxCatchAll" ma:showField="CatchAllData" ma:web="b3a34a53-9a19-47a4-8acc-4e423288e9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a34a53-9a19-47a4-8acc-4e423288e9ad" xsi:nil="true"/>
    <lcf76f155ced4ddcb4097134ff3c332f xmlns="5727b8a7-5843-4790-b74e-450215766ddc">
      <Terms xmlns="http://schemas.microsoft.com/office/infopath/2007/PartnerControls"/>
    </lcf76f155ced4ddcb4097134ff3c332f>
    <_dlc_DocId xmlns="b3a34a53-9a19-47a4-8acc-4e423288e9ad">DJXZ7D336C7E-259460999-4379</_dlc_DocId>
    <_dlc_DocIdUrl xmlns="b3a34a53-9a19-47a4-8acc-4e423288e9ad">
      <Url>https://usnrc.sharepoint.com/teams/OCIO-Information-Collections-Site/_layouts/15/DocIdRedir.aspx?ID=DJXZ7D336C7E-259460999-4379</Url>
      <Description>DJXZ7D336C7E-259460999-4379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BA277-8551-408A-92EB-7274F01EFDE6}">
  <ds:schemaRefs>
    <ds:schemaRef ds:uri="http://schemas.microsoft.com/sharepoint/events"/>
  </ds:schemaRefs>
</ds:datastoreItem>
</file>

<file path=customXml/itemProps2.xml><?xml version="1.0" encoding="utf-8"?>
<ds:datastoreItem xmlns:ds="http://schemas.openxmlformats.org/officeDocument/2006/customXml" ds:itemID="{F2850D26-6C66-4CF9-87AF-538C1555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ACBB3-9901-48C0-A96A-5D77EB07F87C}">
  <ds:schemaRefs>
    <ds:schemaRef ds:uri="http://schemas.microsoft.com/office/2006/metadata/properties"/>
    <ds:schemaRef ds:uri="http://schemas.microsoft.com/office/infopath/2007/PartnerControls"/>
    <ds:schemaRef ds:uri="b3a34a53-9a19-47a4-8acc-4e423288e9ad"/>
    <ds:schemaRef ds:uri="5727b8a7-5843-4790-b74e-450215766ddc"/>
  </ds:schemaRefs>
</ds:datastoreItem>
</file>

<file path=customXml/itemProps4.xml><?xml version="1.0" encoding="utf-8"?>
<ds:datastoreItem xmlns:ds="http://schemas.openxmlformats.org/officeDocument/2006/customXml" ds:itemID="{88995A37-3EEB-406B-827F-D3AD4377FA51}">
  <ds:schemaRefs>
    <ds:schemaRef ds:uri="http://schemas.microsoft.com/sharepoint/v3/contenttype/form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Alequin</dc:creator>
  <cp:lastModifiedBy>Lisa Fishman</cp:lastModifiedBy>
  <cp:revision>2</cp:revision>
  <dcterms:created xsi:type="dcterms:W3CDTF">2025-06-09T17:32:00Z</dcterms:created>
  <dcterms:modified xsi:type="dcterms:W3CDTF">2025-06-09T17:32:00Z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Created">
    <vt:filetime>2024-10-31T00:00:00Z</vt:filetime>
  </property>
  <property fmtid="{D5CDD505-2E9C-101B-9397-08002B2CF9AE}" pid="4" name="Creator">
    <vt:lpwstr>Acrobat PDFMaker 24 for Word</vt:lpwstr>
  </property>
  <property fmtid="{D5CDD505-2E9C-101B-9397-08002B2CF9AE}" pid="5" name="LastSaved">
    <vt:filetime>2025-02-05T00:00:00Z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y fmtid="{D5CDD505-2E9C-101B-9397-08002B2CF9AE}" pid="9" name="_dlc_DocIdItemGuid">
    <vt:lpwstr>47f1a543-21b0-4529-a47a-8290c6c6e829</vt:lpwstr>
  </property>
</Properties>
</file>