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6158" w:rsidP="00956158" w14:paraId="639A01C7" w14:textId="77777777">
      <w:pPr>
        <w:pStyle w:val="NoSpacing"/>
        <w:jc w:val="center"/>
        <w:rPr>
          <w:rFonts w:ascii="Arial" w:hAnsi="Arial" w:cs="Arial"/>
          <w:b/>
          <w:bCs/>
        </w:rPr>
      </w:pPr>
      <w:r>
        <w:rPr>
          <w:rFonts w:ascii="Arial" w:hAnsi="Arial" w:cs="Arial"/>
          <w:b/>
          <w:bCs/>
        </w:rPr>
        <w:t>JUSTIFICATION FOR NONMATERIAL/NONSUBSTANTIVE CHANGE</w:t>
      </w:r>
    </w:p>
    <w:p w:rsidR="00956158" w:rsidP="00956158" w14:paraId="26431D97" w14:textId="77777777">
      <w:pPr>
        <w:pStyle w:val="NoSpacing"/>
        <w:jc w:val="center"/>
        <w:rPr>
          <w:rFonts w:ascii="Arial" w:hAnsi="Arial" w:cs="Arial"/>
          <w:b/>
          <w:bCs/>
        </w:rPr>
      </w:pPr>
      <w:r>
        <w:rPr>
          <w:rFonts w:ascii="Arial" w:hAnsi="Arial" w:cs="Arial"/>
          <w:b/>
          <w:bCs/>
        </w:rPr>
        <w:t>Patent Processing</w:t>
      </w:r>
    </w:p>
    <w:p w:rsidR="00956158" w:rsidP="00956158" w14:paraId="77D2EBB7" w14:textId="77777777">
      <w:pPr>
        <w:pStyle w:val="NoSpacing"/>
        <w:jc w:val="center"/>
        <w:rPr>
          <w:rFonts w:ascii="Arial" w:hAnsi="Arial" w:cs="Arial"/>
          <w:b/>
          <w:bCs/>
        </w:rPr>
      </w:pPr>
      <w:r>
        <w:rPr>
          <w:rFonts w:ascii="Arial" w:hAnsi="Arial" w:cs="Arial"/>
          <w:b/>
          <w:bCs/>
        </w:rPr>
        <w:t>0651-0031</w:t>
      </w:r>
    </w:p>
    <w:p w:rsidR="00956158" w:rsidP="00956158" w14:paraId="71A9BEB8" w14:textId="77777777">
      <w:pPr>
        <w:pStyle w:val="NoSpacing"/>
        <w:jc w:val="center"/>
        <w:rPr>
          <w:rFonts w:ascii="Arial" w:hAnsi="Arial" w:cs="Arial"/>
        </w:rPr>
      </w:pPr>
      <w:r>
        <w:rPr>
          <w:rFonts w:ascii="Arial" w:hAnsi="Arial" w:cs="Arial"/>
          <w:b/>
          <w:bCs/>
        </w:rPr>
        <w:t>2025</w:t>
      </w:r>
    </w:p>
    <w:p w:rsidR="00956158" w:rsidP="00956158" w14:paraId="180680C6" w14:textId="77777777">
      <w:pPr>
        <w:pStyle w:val="NoSpacing"/>
        <w:rPr>
          <w:rFonts w:ascii="Arial" w:hAnsi="Arial" w:cs="Arial"/>
        </w:rPr>
      </w:pPr>
    </w:p>
    <w:p w:rsidR="00956158" w:rsidP="00956158" w14:paraId="4C86DD02" w14:textId="77777777">
      <w:pPr>
        <w:pStyle w:val="NoSpacing"/>
        <w:jc w:val="both"/>
        <w:rPr>
          <w:rFonts w:ascii="Arial" w:hAnsi="Arial" w:cs="Arial"/>
        </w:rPr>
      </w:pPr>
      <w:r>
        <w:rPr>
          <w:rFonts w:ascii="Arial" w:hAnsi="Arial" w:cs="Arial"/>
          <w:u w:val="single"/>
        </w:rPr>
        <w:t>Background</w:t>
      </w:r>
    </w:p>
    <w:p w:rsidR="00956158" w:rsidP="00956158" w14:paraId="6CD96E97" w14:textId="77777777">
      <w:pPr>
        <w:pStyle w:val="NoSpacing"/>
        <w:jc w:val="both"/>
        <w:rPr>
          <w:rFonts w:ascii="Arial" w:hAnsi="Arial" w:cs="Arial"/>
        </w:rPr>
      </w:pPr>
    </w:p>
    <w:p w:rsidR="00956158" w:rsidP="00956158" w14:paraId="6C748107" w14:textId="77777777">
      <w:pPr>
        <w:jc w:val="both"/>
        <w:rPr>
          <w:rFonts w:ascii="Arial" w:hAnsi="Arial" w:cs="Arial"/>
          <w:sz w:val="24"/>
        </w:rPr>
      </w:pPr>
      <w:r>
        <w:rPr>
          <w:rFonts w:ascii="Arial" w:hAnsi="Arial" w:cs="Arial"/>
          <w:sz w:val="24"/>
        </w:rPr>
        <w:t>The United States Patent and Trademark Office (USPTO) is required by 35 U.S.C. 131 to examine an application for patent and, when appropriate, issue a patent. The USPTO is also required to publish patent applications, with certain exceptions, promptly after the expiration of a period of eighteen months from the earliest filing date for which a benefit is sought under Title 35, United States Code (“eighteen-month publication”). Certain situations may arise which require that additional information be supplied in order for the USPTO to further process the patent or application. The USPTO administers the statutes through various sections of the rules of practice in 37 CFR Part 1.</w:t>
      </w:r>
    </w:p>
    <w:p w:rsidR="00956158" w:rsidP="00956158" w14:paraId="0CEAE915" w14:textId="77777777">
      <w:pPr>
        <w:jc w:val="both"/>
        <w:rPr>
          <w:rFonts w:ascii="Arial" w:hAnsi="Arial" w:cs="Arial"/>
          <w:sz w:val="24"/>
        </w:rPr>
      </w:pPr>
    </w:p>
    <w:p w:rsidR="00534DF6" w:rsidP="00956158" w14:paraId="727073DE" w14:textId="0D192767">
      <w:pPr>
        <w:jc w:val="both"/>
        <w:rPr>
          <w:rFonts w:ascii="Arial" w:hAnsi="Arial" w:cs="Arial"/>
          <w:sz w:val="24"/>
        </w:rPr>
      </w:pPr>
      <w:r>
        <w:rPr>
          <w:rFonts w:ascii="Arial" w:hAnsi="Arial" w:cs="Arial"/>
          <w:sz w:val="24"/>
        </w:rPr>
        <w:t xml:space="preserve">The USPTO is removing the filing fees associated with requests for prioritized examination from this information collection. </w:t>
      </w:r>
      <w:r w:rsidR="00181063">
        <w:rPr>
          <w:rFonts w:ascii="Arial" w:hAnsi="Arial" w:cs="Arial"/>
          <w:sz w:val="24"/>
        </w:rPr>
        <w:t>The form (PTO/</w:t>
      </w:r>
      <w:r w:rsidR="009A0CEA">
        <w:rPr>
          <w:rFonts w:ascii="Arial" w:hAnsi="Arial" w:cs="Arial"/>
          <w:sz w:val="24"/>
        </w:rPr>
        <w:t>AIA</w:t>
      </w:r>
      <w:r w:rsidR="00181063">
        <w:rPr>
          <w:rFonts w:ascii="Arial" w:hAnsi="Arial" w:cs="Arial"/>
          <w:sz w:val="24"/>
        </w:rPr>
        <w:t xml:space="preserve">/424) associated with the prioritized examination fee was previously </w:t>
      </w:r>
      <w:r w:rsidR="007A332F">
        <w:rPr>
          <w:rFonts w:ascii="Arial" w:hAnsi="Arial" w:cs="Arial"/>
          <w:sz w:val="24"/>
        </w:rPr>
        <w:t>declared</w:t>
      </w:r>
      <w:r w:rsidR="007A332F">
        <w:rPr>
          <w:rFonts w:ascii="Arial" w:hAnsi="Arial" w:cs="Arial"/>
          <w:sz w:val="24"/>
        </w:rPr>
        <w:t xml:space="preserve"> </w:t>
      </w:r>
      <w:r w:rsidR="00181063">
        <w:rPr>
          <w:rFonts w:ascii="Arial" w:hAnsi="Arial" w:cs="Arial"/>
          <w:sz w:val="24"/>
        </w:rPr>
        <w:t xml:space="preserve">exempt and therefore this fee should not be included as a part of the burdens under 0651-0031.  </w:t>
      </w:r>
      <w:r>
        <w:rPr>
          <w:rFonts w:ascii="Arial" w:hAnsi="Arial" w:cs="Arial"/>
          <w:sz w:val="24"/>
        </w:rPr>
        <w:t xml:space="preserve">Removing these fees will result in a decrease of $43,718,745 in annual non-hourly burden costs. </w:t>
      </w:r>
    </w:p>
    <w:p w:rsidR="00534DF6" w:rsidP="00956158" w14:paraId="01E16301" w14:textId="77777777">
      <w:pPr>
        <w:jc w:val="both"/>
        <w:rPr>
          <w:rFonts w:ascii="Arial" w:hAnsi="Arial" w:cs="Arial"/>
          <w:sz w:val="24"/>
        </w:rPr>
      </w:pPr>
    </w:p>
    <w:p w:rsidR="00956158" w:rsidP="00956158" w14:paraId="4B22428C" w14:textId="77777777">
      <w:pPr>
        <w:jc w:val="both"/>
        <w:rPr>
          <w:rFonts w:ascii="Arial" w:hAnsi="Arial" w:cs="Arial"/>
          <w:sz w:val="24"/>
        </w:rPr>
      </w:pPr>
    </w:p>
    <w:p w:rsidR="00956158" w:rsidP="00956158" w14:paraId="04FEFE61" w14:textId="4DD85537">
      <w:pPr>
        <w:jc w:val="both"/>
        <w:rPr>
          <w:rFonts w:ascii="Arial" w:hAnsi="Arial" w:cs="Arial"/>
          <w:szCs w:val="16"/>
        </w:rPr>
      </w:pPr>
      <w:r>
        <w:rPr>
          <w:rFonts w:ascii="Arial" w:hAnsi="Arial" w:cs="Arial"/>
          <w:b/>
          <w:bCs/>
          <w:szCs w:val="16"/>
        </w:rPr>
        <w:t>Table 1: Filing Fees to be Removed</w:t>
      </w:r>
    </w:p>
    <w:tbl>
      <w:tblPr>
        <w:tblStyle w:val="TableGrid"/>
        <w:tblW w:w="5920" w:type="pct"/>
        <w:tblInd w:w="-635" w:type="dxa"/>
        <w:tblLook w:val="04A0"/>
      </w:tblPr>
      <w:tblGrid>
        <w:gridCol w:w="629"/>
        <w:gridCol w:w="1083"/>
        <w:gridCol w:w="4678"/>
        <w:gridCol w:w="1800"/>
        <w:gridCol w:w="1441"/>
        <w:gridCol w:w="1439"/>
      </w:tblGrid>
      <w:tr w14:paraId="06D107E0" w14:textId="77777777" w:rsidTr="00B24AAB">
        <w:tblPrEx>
          <w:tblW w:w="5920" w:type="pct"/>
          <w:tblInd w:w="-635" w:type="dxa"/>
          <w:tblLook w:val="04A0"/>
        </w:tblPrEx>
        <w:tc>
          <w:tcPr>
            <w:tcW w:w="284" w:type="pct"/>
            <w:shd w:val="clear" w:color="auto" w:fill="83CAEB" w:themeFill="accent1" w:themeFillTint="66"/>
            <w:vAlign w:val="center"/>
          </w:tcPr>
          <w:p w:rsidR="00956158" w:rsidRPr="007D423D" w:rsidP="00B24AAB" w14:paraId="10663759" w14:textId="77777777">
            <w:pPr>
              <w:pStyle w:val="NoSpacing"/>
              <w:jc w:val="center"/>
              <w:rPr>
                <w:rFonts w:ascii="Arial" w:hAnsi="Arial" w:cs="Arial"/>
                <w:b/>
                <w:sz w:val="20"/>
                <w:szCs w:val="20"/>
              </w:rPr>
            </w:pPr>
          </w:p>
          <w:p w:rsidR="00956158" w:rsidRPr="007D423D" w:rsidP="00B24AAB" w14:paraId="3C660C4D" w14:textId="77777777">
            <w:pPr>
              <w:pStyle w:val="NoSpacing"/>
              <w:jc w:val="center"/>
              <w:rPr>
                <w:rFonts w:ascii="Arial" w:hAnsi="Arial" w:cs="Arial"/>
                <w:b/>
                <w:sz w:val="20"/>
                <w:szCs w:val="20"/>
              </w:rPr>
            </w:pPr>
            <w:r w:rsidRPr="007D423D">
              <w:rPr>
                <w:rFonts w:ascii="Arial" w:hAnsi="Arial" w:cs="Arial"/>
                <w:b/>
                <w:sz w:val="20"/>
                <w:szCs w:val="20"/>
              </w:rPr>
              <w:t>Item No.</w:t>
            </w:r>
          </w:p>
          <w:p w:rsidR="00956158" w:rsidRPr="007D423D" w:rsidP="00B24AAB" w14:paraId="31F2BDF1" w14:textId="77777777">
            <w:pPr>
              <w:pStyle w:val="NoSpacing"/>
              <w:jc w:val="center"/>
              <w:rPr>
                <w:rFonts w:ascii="Arial" w:hAnsi="Arial" w:cs="Arial"/>
                <w:b/>
                <w:sz w:val="20"/>
                <w:szCs w:val="20"/>
              </w:rPr>
            </w:pPr>
          </w:p>
        </w:tc>
        <w:tc>
          <w:tcPr>
            <w:tcW w:w="489" w:type="pct"/>
            <w:shd w:val="clear" w:color="auto" w:fill="83CAEB" w:themeFill="accent1" w:themeFillTint="66"/>
            <w:vAlign w:val="center"/>
          </w:tcPr>
          <w:p w:rsidR="00956158" w:rsidRPr="007D423D" w:rsidP="00B24AAB" w14:paraId="486D8378" w14:textId="77777777">
            <w:pPr>
              <w:pStyle w:val="NoSpacing"/>
              <w:jc w:val="center"/>
              <w:rPr>
                <w:rFonts w:ascii="Arial" w:hAnsi="Arial" w:cs="Arial"/>
                <w:b/>
                <w:sz w:val="20"/>
                <w:szCs w:val="20"/>
              </w:rPr>
            </w:pPr>
            <w:r>
              <w:rPr>
                <w:rFonts w:ascii="Arial" w:hAnsi="Arial" w:cs="Arial"/>
                <w:b/>
                <w:sz w:val="20"/>
                <w:szCs w:val="20"/>
              </w:rPr>
              <w:t>Fee Code</w:t>
            </w:r>
          </w:p>
        </w:tc>
        <w:tc>
          <w:tcPr>
            <w:tcW w:w="2113" w:type="pct"/>
            <w:shd w:val="clear" w:color="auto" w:fill="83CAEB" w:themeFill="accent1" w:themeFillTint="66"/>
            <w:vAlign w:val="center"/>
          </w:tcPr>
          <w:p w:rsidR="00956158" w:rsidRPr="007D423D" w:rsidP="00B24AAB" w14:paraId="2C595FEC" w14:textId="77777777">
            <w:pPr>
              <w:pStyle w:val="NoSpacing"/>
              <w:jc w:val="center"/>
              <w:rPr>
                <w:rFonts w:ascii="Arial" w:hAnsi="Arial" w:cs="Arial"/>
                <w:b/>
                <w:sz w:val="20"/>
                <w:szCs w:val="20"/>
              </w:rPr>
            </w:pPr>
            <w:r w:rsidRPr="007D423D">
              <w:rPr>
                <w:rFonts w:ascii="Arial" w:hAnsi="Arial" w:cs="Arial"/>
                <w:b/>
                <w:sz w:val="20"/>
                <w:szCs w:val="20"/>
              </w:rPr>
              <w:t>Item</w:t>
            </w:r>
          </w:p>
        </w:tc>
        <w:tc>
          <w:tcPr>
            <w:tcW w:w="813" w:type="pct"/>
            <w:shd w:val="clear" w:color="auto" w:fill="83CAEB" w:themeFill="accent1" w:themeFillTint="66"/>
            <w:vAlign w:val="center"/>
          </w:tcPr>
          <w:p w:rsidR="00956158" w:rsidP="00B24AAB" w14:paraId="7BC1A597" w14:textId="77777777">
            <w:pPr>
              <w:pStyle w:val="NoSpacing"/>
              <w:jc w:val="center"/>
              <w:rPr>
                <w:rFonts w:ascii="Arial" w:hAnsi="Arial" w:cs="Arial"/>
                <w:b/>
                <w:sz w:val="20"/>
                <w:szCs w:val="20"/>
              </w:rPr>
            </w:pPr>
            <w:r>
              <w:rPr>
                <w:rFonts w:ascii="Arial" w:hAnsi="Arial" w:cs="Arial"/>
                <w:b/>
                <w:sz w:val="20"/>
                <w:szCs w:val="20"/>
              </w:rPr>
              <w:t>Reponses</w:t>
            </w:r>
          </w:p>
          <w:p w:rsidR="00956158" w:rsidRPr="007D423D" w:rsidP="00B24AAB" w14:paraId="4EFA8F49" w14:textId="77777777">
            <w:pPr>
              <w:pStyle w:val="NoSpacing"/>
              <w:jc w:val="center"/>
              <w:rPr>
                <w:rFonts w:ascii="Arial" w:hAnsi="Arial" w:cs="Arial"/>
                <w:b/>
                <w:sz w:val="20"/>
                <w:szCs w:val="20"/>
              </w:rPr>
            </w:pPr>
            <w:r>
              <w:rPr>
                <w:rFonts w:ascii="Arial" w:hAnsi="Arial" w:cs="Arial"/>
                <w:b/>
                <w:sz w:val="20"/>
                <w:szCs w:val="20"/>
              </w:rPr>
              <w:t>(a)</w:t>
            </w:r>
          </w:p>
        </w:tc>
        <w:tc>
          <w:tcPr>
            <w:tcW w:w="651" w:type="pct"/>
            <w:shd w:val="clear" w:color="auto" w:fill="83CAEB" w:themeFill="accent1" w:themeFillTint="66"/>
            <w:vAlign w:val="center"/>
          </w:tcPr>
          <w:p w:rsidR="00956158" w:rsidP="00B24AAB" w14:paraId="7D57C00D" w14:textId="050C85DD">
            <w:pPr>
              <w:pStyle w:val="NoSpacing"/>
              <w:jc w:val="center"/>
              <w:rPr>
                <w:rFonts w:ascii="Arial" w:hAnsi="Arial" w:cs="Arial"/>
                <w:b/>
                <w:sz w:val="20"/>
                <w:szCs w:val="20"/>
              </w:rPr>
            </w:pPr>
            <w:r w:rsidRPr="007D423D">
              <w:rPr>
                <w:rFonts w:ascii="Arial" w:hAnsi="Arial" w:cs="Arial"/>
                <w:b/>
                <w:sz w:val="20"/>
                <w:szCs w:val="20"/>
              </w:rPr>
              <w:t>Fee</w:t>
            </w:r>
          </w:p>
          <w:p w:rsidR="00956158" w:rsidRPr="007D423D" w:rsidP="00B24AAB" w14:paraId="2A6FBF71" w14:textId="77777777">
            <w:pPr>
              <w:pStyle w:val="NoSpacing"/>
              <w:jc w:val="center"/>
              <w:rPr>
                <w:rFonts w:ascii="Arial" w:hAnsi="Arial" w:cs="Arial"/>
                <w:b/>
                <w:sz w:val="20"/>
                <w:szCs w:val="20"/>
              </w:rPr>
            </w:pPr>
            <w:r>
              <w:rPr>
                <w:rFonts w:ascii="Arial" w:hAnsi="Arial" w:cs="Arial"/>
                <w:b/>
                <w:sz w:val="20"/>
                <w:szCs w:val="20"/>
              </w:rPr>
              <w:t>(b)</w:t>
            </w:r>
          </w:p>
        </w:tc>
        <w:tc>
          <w:tcPr>
            <w:tcW w:w="650" w:type="pct"/>
            <w:shd w:val="clear" w:color="auto" w:fill="83CAEB" w:themeFill="accent1" w:themeFillTint="66"/>
            <w:vAlign w:val="center"/>
          </w:tcPr>
          <w:p w:rsidR="00956158" w:rsidP="00B24AAB" w14:paraId="1C100A53" w14:textId="3DC92DF2">
            <w:pPr>
              <w:pStyle w:val="NoSpacing"/>
              <w:jc w:val="center"/>
              <w:rPr>
                <w:rFonts w:ascii="Arial" w:hAnsi="Arial" w:cs="Arial"/>
                <w:b/>
                <w:sz w:val="20"/>
                <w:szCs w:val="20"/>
              </w:rPr>
            </w:pPr>
            <w:r>
              <w:rPr>
                <w:rFonts w:ascii="Arial" w:hAnsi="Arial" w:cs="Arial"/>
                <w:b/>
                <w:sz w:val="20"/>
                <w:szCs w:val="20"/>
              </w:rPr>
              <w:t>Non-hour Cost Burden</w:t>
            </w:r>
            <w:r w:rsidRPr="007D423D">
              <w:rPr>
                <w:rFonts w:ascii="Arial" w:hAnsi="Arial" w:cs="Arial"/>
                <w:b/>
                <w:sz w:val="20"/>
                <w:szCs w:val="20"/>
              </w:rPr>
              <w:t xml:space="preserve"> </w:t>
            </w:r>
          </w:p>
          <w:p w:rsidR="00956158" w:rsidRPr="007D423D" w:rsidP="00B24AAB" w14:paraId="2E68D570" w14:textId="77777777">
            <w:pPr>
              <w:pStyle w:val="NoSpacing"/>
              <w:jc w:val="center"/>
              <w:rPr>
                <w:rFonts w:ascii="Arial" w:hAnsi="Arial" w:cs="Arial"/>
                <w:b/>
                <w:sz w:val="20"/>
                <w:szCs w:val="20"/>
              </w:rPr>
            </w:pPr>
            <w:r w:rsidRPr="006004C0">
              <w:rPr>
                <w:rFonts w:ascii="Arial" w:hAnsi="Arial" w:cs="Arial"/>
                <w:b/>
                <w:sz w:val="20"/>
                <w:szCs w:val="20"/>
              </w:rPr>
              <w:t>(a) x (b) = (c)</w:t>
            </w:r>
          </w:p>
        </w:tc>
      </w:tr>
      <w:tr w14:paraId="3E57C337" w14:textId="77777777" w:rsidTr="00B24AAB">
        <w:tblPrEx>
          <w:tblW w:w="5920" w:type="pct"/>
          <w:tblInd w:w="-635" w:type="dxa"/>
          <w:tblLook w:val="04A0"/>
        </w:tblPrEx>
        <w:tc>
          <w:tcPr>
            <w:tcW w:w="284" w:type="pct"/>
            <w:vAlign w:val="center"/>
          </w:tcPr>
          <w:p w:rsidR="00956158" w:rsidP="00B24AAB" w14:paraId="799FB538" w14:textId="77777777">
            <w:pPr>
              <w:jc w:val="center"/>
              <w:rPr>
                <w:rFonts w:ascii="Arial" w:hAnsi="Arial" w:cs="Arial"/>
                <w:b/>
                <w:bCs/>
                <w:color w:val="000000"/>
              </w:rPr>
            </w:pPr>
            <w:r w:rsidRPr="004B55C7">
              <w:rPr>
                <w:rFonts w:ascii="Arial" w:hAnsi="Arial" w:cs="Arial"/>
                <w:b/>
              </w:rPr>
              <w:t>N/A</w:t>
            </w:r>
          </w:p>
        </w:tc>
        <w:tc>
          <w:tcPr>
            <w:tcW w:w="489" w:type="pct"/>
            <w:vAlign w:val="center"/>
          </w:tcPr>
          <w:p w:rsidR="00956158" w:rsidP="00B24AAB" w14:paraId="7EF82505" w14:textId="77777777">
            <w:pPr>
              <w:jc w:val="center"/>
              <w:rPr>
                <w:rFonts w:ascii="Arial" w:hAnsi="Arial" w:cs="Arial"/>
              </w:rPr>
            </w:pPr>
            <w:r w:rsidRPr="004B55C7">
              <w:rPr>
                <w:rFonts w:ascii="Arial" w:hAnsi="Arial" w:cs="Arial"/>
                <w:color w:val="000000"/>
              </w:rPr>
              <w:t>1817</w:t>
            </w:r>
          </w:p>
        </w:tc>
        <w:tc>
          <w:tcPr>
            <w:tcW w:w="2113" w:type="pct"/>
            <w:vAlign w:val="center"/>
          </w:tcPr>
          <w:p w:rsidR="00956158" w:rsidP="00B24AAB" w14:paraId="10B11E71" w14:textId="77777777">
            <w:pPr>
              <w:rPr>
                <w:rFonts w:ascii="Arial" w:hAnsi="Arial" w:cs="Arial"/>
              </w:rPr>
            </w:pPr>
            <w:r w:rsidRPr="004B55C7">
              <w:rPr>
                <w:rFonts w:ascii="Arial" w:hAnsi="Arial" w:cs="Arial"/>
                <w:color w:val="000000"/>
              </w:rPr>
              <w:t xml:space="preserve">Request for prioritized examination </w:t>
            </w:r>
            <w:r w:rsidRPr="004B55C7">
              <w:rPr>
                <w:rFonts w:ascii="Arial" w:hAnsi="Arial" w:cs="Arial"/>
              </w:rPr>
              <w:t>(undiscounted)</w:t>
            </w:r>
          </w:p>
        </w:tc>
        <w:tc>
          <w:tcPr>
            <w:tcW w:w="813" w:type="pct"/>
            <w:vAlign w:val="center"/>
          </w:tcPr>
          <w:p w:rsidR="00956158" w:rsidRPr="004B55C7" w:rsidP="00B24AAB" w14:paraId="75E97EA2" w14:textId="77777777">
            <w:pPr>
              <w:pStyle w:val="NoSpacing"/>
              <w:jc w:val="right"/>
              <w:rPr>
                <w:rFonts w:ascii="Arial" w:hAnsi="Arial" w:cs="Arial"/>
                <w:color w:val="000000"/>
                <w:sz w:val="20"/>
                <w:szCs w:val="20"/>
              </w:rPr>
            </w:pPr>
            <w:r w:rsidRPr="004B55C7">
              <w:rPr>
                <w:rFonts w:ascii="Arial" w:hAnsi="Arial" w:cs="Arial"/>
                <w:color w:val="000000"/>
                <w:sz w:val="20"/>
                <w:szCs w:val="20"/>
              </w:rPr>
              <w:t>6,481</w:t>
            </w:r>
          </w:p>
        </w:tc>
        <w:tc>
          <w:tcPr>
            <w:tcW w:w="651" w:type="pct"/>
            <w:vAlign w:val="center"/>
          </w:tcPr>
          <w:p w:rsidR="00956158" w:rsidP="00B24AAB" w14:paraId="19AC05CA" w14:textId="77777777">
            <w:pPr>
              <w:pStyle w:val="NoSpacing"/>
              <w:jc w:val="right"/>
              <w:rPr>
                <w:rFonts w:ascii="Arial" w:hAnsi="Arial" w:cs="Arial"/>
                <w:sz w:val="20"/>
                <w:szCs w:val="20"/>
              </w:rPr>
            </w:pPr>
            <w:r>
              <w:rPr>
                <w:rFonts w:ascii="Arial" w:hAnsi="Arial" w:cs="Arial"/>
                <w:sz w:val="20"/>
                <w:szCs w:val="20"/>
              </w:rPr>
              <w:t>$4,515</w:t>
            </w:r>
          </w:p>
        </w:tc>
        <w:tc>
          <w:tcPr>
            <w:tcW w:w="650" w:type="pct"/>
            <w:vAlign w:val="center"/>
          </w:tcPr>
          <w:p w:rsidR="00956158" w:rsidP="00B24AAB" w14:paraId="7766D073" w14:textId="77777777">
            <w:pPr>
              <w:pStyle w:val="NoSpacing"/>
              <w:jc w:val="right"/>
              <w:rPr>
                <w:rFonts w:ascii="Arial" w:hAnsi="Arial" w:cs="Arial"/>
                <w:color w:val="000000"/>
                <w:sz w:val="20"/>
                <w:szCs w:val="20"/>
              </w:rPr>
            </w:pPr>
            <w:r>
              <w:rPr>
                <w:rFonts w:ascii="Arial" w:hAnsi="Arial" w:cs="Arial"/>
                <w:color w:val="000000"/>
                <w:sz w:val="20"/>
                <w:szCs w:val="20"/>
              </w:rPr>
              <w:t>$29,261,715</w:t>
            </w:r>
          </w:p>
        </w:tc>
      </w:tr>
      <w:tr w14:paraId="6795D64D" w14:textId="77777777" w:rsidTr="00B24AAB">
        <w:tblPrEx>
          <w:tblW w:w="5920" w:type="pct"/>
          <w:tblInd w:w="-635" w:type="dxa"/>
          <w:tblLook w:val="04A0"/>
        </w:tblPrEx>
        <w:tc>
          <w:tcPr>
            <w:tcW w:w="284" w:type="pct"/>
            <w:vAlign w:val="center"/>
          </w:tcPr>
          <w:p w:rsidR="00956158" w:rsidP="00B24AAB" w14:paraId="47E8DD23" w14:textId="77777777">
            <w:pPr>
              <w:jc w:val="center"/>
              <w:rPr>
                <w:rFonts w:ascii="Arial" w:hAnsi="Arial" w:cs="Arial"/>
                <w:b/>
                <w:bCs/>
                <w:color w:val="000000"/>
              </w:rPr>
            </w:pPr>
            <w:r w:rsidRPr="004B55C7">
              <w:rPr>
                <w:rFonts w:ascii="Arial" w:hAnsi="Arial" w:cs="Arial"/>
                <w:b/>
              </w:rPr>
              <w:t>N/A</w:t>
            </w:r>
          </w:p>
        </w:tc>
        <w:tc>
          <w:tcPr>
            <w:tcW w:w="489" w:type="pct"/>
            <w:vAlign w:val="center"/>
          </w:tcPr>
          <w:p w:rsidR="00956158" w:rsidP="00B24AAB" w14:paraId="4B785E7B" w14:textId="77777777">
            <w:pPr>
              <w:jc w:val="center"/>
              <w:rPr>
                <w:rFonts w:ascii="Arial" w:hAnsi="Arial" w:cs="Arial"/>
              </w:rPr>
            </w:pPr>
            <w:r w:rsidRPr="004B55C7">
              <w:rPr>
                <w:rFonts w:ascii="Arial" w:hAnsi="Arial" w:cs="Arial"/>
                <w:color w:val="000000"/>
              </w:rPr>
              <w:t>2817</w:t>
            </w:r>
          </w:p>
        </w:tc>
        <w:tc>
          <w:tcPr>
            <w:tcW w:w="2113" w:type="pct"/>
            <w:vAlign w:val="center"/>
          </w:tcPr>
          <w:p w:rsidR="00956158" w:rsidP="00B24AAB" w14:paraId="63CD7B8F" w14:textId="77777777">
            <w:pPr>
              <w:rPr>
                <w:rFonts w:ascii="Arial" w:hAnsi="Arial" w:cs="Arial"/>
              </w:rPr>
            </w:pPr>
            <w:r w:rsidRPr="004B55C7">
              <w:rPr>
                <w:rFonts w:ascii="Arial" w:hAnsi="Arial" w:cs="Arial"/>
                <w:color w:val="000000"/>
              </w:rPr>
              <w:t>Request for prioritized examination (small entity)</w:t>
            </w:r>
          </w:p>
        </w:tc>
        <w:tc>
          <w:tcPr>
            <w:tcW w:w="813" w:type="pct"/>
            <w:vAlign w:val="center"/>
          </w:tcPr>
          <w:p w:rsidR="00956158" w:rsidRPr="004B55C7" w:rsidP="00B24AAB" w14:paraId="5D0A05D9" w14:textId="77777777">
            <w:pPr>
              <w:pStyle w:val="NoSpacing"/>
              <w:jc w:val="right"/>
              <w:rPr>
                <w:rFonts w:ascii="Arial" w:hAnsi="Arial" w:cs="Arial"/>
                <w:color w:val="000000"/>
                <w:sz w:val="20"/>
                <w:szCs w:val="20"/>
              </w:rPr>
            </w:pPr>
            <w:r w:rsidRPr="004B55C7">
              <w:rPr>
                <w:rFonts w:ascii="Arial" w:hAnsi="Arial" w:cs="Arial"/>
                <w:color w:val="000000"/>
                <w:sz w:val="20"/>
                <w:szCs w:val="20"/>
              </w:rPr>
              <w:t>7,491</w:t>
            </w:r>
          </w:p>
        </w:tc>
        <w:tc>
          <w:tcPr>
            <w:tcW w:w="651" w:type="pct"/>
            <w:vAlign w:val="center"/>
          </w:tcPr>
          <w:p w:rsidR="00956158" w:rsidP="00B24AAB" w14:paraId="648F3B0F" w14:textId="77777777">
            <w:pPr>
              <w:pStyle w:val="NoSpacing"/>
              <w:jc w:val="right"/>
              <w:rPr>
                <w:rFonts w:ascii="Arial" w:hAnsi="Arial" w:cs="Arial"/>
                <w:sz w:val="20"/>
                <w:szCs w:val="20"/>
              </w:rPr>
            </w:pPr>
            <w:r>
              <w:rPr>
                <w:rFonts w:ascii="Arial" w:hAnsi="Arial" w:cs="Arial"/>
                <w:sz w:val="20"/>
                <w:szCs w:val="20"/>
              </w:rPr>
              <w:t>$1,806</w:t>
            </w:r>
          </w:p>
        </w:tc>
        <w:tc>
          <w:tcPr>
            <w:tcW w:w="650" w:type="pct"/>
            <w:vAlign w:val="center"/>
          </w:tcPr>
          <w:p w:rsidR="00956158" w:rsidP="00B24AAB" w14:paraId="65D9977F" w14:textId="77777777">
            <w:pPr>
              <w:pStyle w:val="NoSpacing"/>
              <w:jc w:val="right"/>
              <w:rPr>
                <w:rFonts w:ascii="Arial" w:hAnsi="Arial" w:cs="Arial"/>
                <w:color w:val="000000"/>
                <w:sz w:val="20"/>
                <w:szCs w:val="20"/>
              </w:rPr>
            </w:pPr>
            <w:r>
              <w:rPr>
                <w:rFonts w:ascii="Arial" w:hAnsi="Arial" w:cs="Arial"/>
                <w:color w:val="000000"/>
                <w:sz w:val="20"/>
                <w:szCs w:val="20"/>
              </w:rPr>
              <w:t>$13,528,746</w:t>
            </w:r>
          </w:p>
        </w:tc>
      </w:tr>
      <w:tr w14:paraId="36DCFB4B" w14:textId="77777777" w:rsidTr="00B24AAB">
        <w:tblPrEx>
          <w:tblW w:w="5920" w:type="pct"/>
          <w:tblInd w:w="-635" w:type="dxa"/>
          <w:tblLook w:val="04A0"/>
        </w:tblPrEx>
        <w:tc>
          <w:tcPr>
            <w:tcW w:w="284" w:type="pct"/>
            <w:vAlign w:val="center"/>
          </w:tcPr>
          <w:p w:rsidR="00956158" w:rsidP="00B24AAB" w14:paraId="7A4B28C7" w14:textId="77777777">
            <w:pPr>
              <w:jc w:val="center"/>
              <w:rPr>
                <w:rFonts w:ascii="Arial" w:hAnsi="Arial" w:cs="Arial"/>
                <w:b/>
                <w:bCs/>
                <w:color w:val="000000"/>
              </w:rPr>
            </w:pPr>
            <w:r w:rsidRPr="004B55C7">
              <w:rPr>
                <w:rFonts w:ascii="Arial" w:hAnsi="Arial" w:cs="Arial"/>
                <w:b/>
              </w:rPr>
              <w:t>N/A</w:t>
            </w:r>
          </w:p>
        </w:tc>
        <w:tc>
          <w:tcPr>
            <w:tcW w:w="489" w:type="pct"/>
            <w:vAlign w:val="center"/>
          </w:tcPr>
          <w:p w:rsidR="00956158" w:rsidP="00B24AAB" w14:paraId="30684E35" w14:textId="77777777">
            <w:pPr>
              <w:jc w:val="center"/>
              <w:rPr>
                <w:rFonts w:ascii="Arial" w:hAnsi="Arial" w:cs="Arial"/>
              </w:rPr>
            </w:pPr>
            <w:r w:rsidRPr="004B55C7">
              <w:rPr>
                <w:rFonts w:ascii="Arial" w:hAnsi="Arial" w:cs="Arial"/>
                <w:color w:val="000000"/>
              </w:rPr>
              <w:t>3817</w:t>
            </w:r>
          </w:p>
        </w:tc>
        <w:tc>
          <w:tcPr>
            <w:tcW w:w="2113" w:type="pct"/>
            <w:vAlign w:val="center"/>
          </w:tcPr>
          <w:p w:rsidR="00956158" w:rsidP="00B24AAB" w14:paraId="2C8D2118" w14:textId="77777777">
            <w:pPr>
              <w:rPr>
                <w:rFonts w:ascii="Arial" w:hAnsi="Arial" w:cs="Arial"/>
              </w:rPr>
            </w:pPr>
            <w:r w:rsidRPr="004B55C7">
              <w:rPr>
                <w:rFonts w:ascii="Arial" w:hAnsi="Arial" w:cs="Arial"/>
                <w:color w:val="000000"/>
              </w:rPr>
              <w:t>Request for prioritized examination (micro entity)</w:t>
            </w:r>
          </w:p>
        </w:tc>
        <w:tc>
          <w:tcPr>
            <w:tcW w:w="813" w:type="pct"/>
            <w:vAlign w:val="center"/>
          </w:tcPr>
          <w:p w:rsidR="00956158" w:rsidRPr="004B55C7" w:rsidP="00B24AAB" w14:paraId="3D3B6764" w14:textId="77777777">
            <w:pPr>
              <w:pStyle w:val="NoSpacing"/>
              <w:jc w:val="right"/>
              <w:rPr>
                <w:rFonts w:ascii="Arial" w:hAnsi="Arial" w:cs="Arial"/>
                <w:color w:val="000000"/>
                <w:sz w:val="20"/>
                <w:szCs w:val="20"/>
              </w:rPr>
            </w:pPr>
            <w:r w:rsidRPr="004B55C7">
              <w:rPr>
                <w:rFonts w:ascii="Arial" w:hAnsi="Arial" w:cs="Arial"/>
                <w:color w:val="000000"/>
                <w:sz w:val="20"/>
                <w:szCs w:val="20"/>
              </w:rPr>
              <w:t>1,028</w:t>
            </w:r>
          </w:p>
        </w:tc>
        <w:tc>
          <w:tcPr>
            <w:tcW w:w="651" w:type="pct"/>
            <w:vAlign w:val="center"/>
          </w:tcPr>
          <w:p w:rsidR="00956158" w:rsidP="00B24AAB" w14:paraId="2AFA40B8" w14:textId="77777777">
            <w:pPr>
              <w:pStyle w:val="NoSpacing"/>
              <w:jc w:val="right"/>
              <w:rPr>
                <w:rFonts w:ascii="Arial" w:hAnsi="Arial" w:cs="Arial"/>
                <w:sz w:val="20"/>
                <w:szCs w:val="20"/>
              </w:rPr>
            </w:pPr>
            <w:r>
              <w:rPr>
                <w:rFonts w:ascii="Arial" w:hAnsi="Arial" w:cs="Arial"/>
                <w:sz w:val="20"/>
                <w:szCs w:val="20"/>
              </w:rPr>
              <w:t>$903</w:t>
            </w:r>
          </w:p>
        </w:tc>
        <w:tc>
          <w:tcPr>
            <w:tcW w:w="650" w:type="pct"/>
            <w:vAlign w:val="center"/>
          </w:tcPr>
          <w:p w:rsidR="00956158" w:rsidP="00B24AAB" w14:paraId="5D91A111" w14:textId="77777777">
            <w:pPr>
              <w:pStyle w:val="NoSpacing"/>
              <w:jc w:val="right"/>
              <w:rPr>
                <w:rFonts w:ascii="Arial" w:hAnsi="Arial" w:cs="Arial"/>
                <w:color w:val="000000"/>
                <w:sz w:val="20"/>
                <w:szCs w:val="20"/>
              </w:rPr>
            </w:pPr>
            <w:r>
              <w:rPr>
                <w:rFonts w:ascii="Arial" w:hAnsi="Arial" w:cs="Arial"/>
                <w:color w:val="000000"/>
                <w:sz w:val="20"/>
                <w:szCs w:val="20"/>
              </w:rPr>
              <w:t>$928,284</w:t>
            </w:r>
          </w:p>
        </w:tc>
      </w:tr>
      <w:tr w14:paraId="6867C01F" w14:textId="77777777" w:rsidTr="00B24AAB">
        <w:tblPrEx>
          <w:tblW w:w="5920" w:type="pct"/>
          <w:tblInd w:w="-635" w:type="dxa"/>
          <w:tblLook w:val="04A0"/>
        </w:tblPrEx>
        <w:tc>
          <w:tcPr>
            <w:tcW w:w="284" w:type="pct"/>
            <w:vAlign w:val="center"/>
          </w:tcPr>
          <w:p w:rsidR="00956158" w:rsidRPr="007D423D" w:rsidP="00B24AAB" w14:paraId="56A13839" w14:textId="77777777">
            <w:pPr>
              <w:jc w:val="center"/>
              <w:rPr>
                <w:rFonts w:ascii="Arial" w:hAnsi="Arial" w:cs="Arial"/>
                <w:b/>
                <w:bCs/>
                <w:color w:val="000000"/>
              </w:rPr>
            </w:pPr>
          </w:p>
        </w:tc>
        <w:tc>
          <w:tcPr>
            <w:tcW w:w="489" w:type="pct"/>
            <w:vAlign w:val="center"/>
          </w:tcPr>
          <w:p w:rsidR="00956158" w:rsidP="00B24AAB" w14:paraId="01F6C398" w14:textId="77777777">
            <w:pPr>
              <w:jc w:val="center"/>
              <w:rPr>
                <w:rFonts w:ascii="Arial" w:hAnsi="Arial" w:cs="Arial"/>
              </w:rPr>
            </w:pPr>
          </w:p>
        </w:tc>
        <w:tc>
          <w:tcPr>
            <w:tcW w:w="2113" w:type="pct"/>
            <w:vAlign w:val="center"/>
          </w:tcPr>
          <w:p w:rsidR="00956158" w:rsidRPr="007A39B8" w:rsidP="00B24AAB" w14:paraId="72BA4C5F" w14:textId="77777777">
            <w:pPr>
              <w:rPr>
                <w:rFonts w:ascii="Arial" w:hAnsi="Arial" w:cs="Arial"/>
                <w:b/>
                <w:bCs/>
              </w:rPr>
            </w:pPr>
            <w:r w:rsidRPr="007A39B8">
              <w:rPr>
                <w:rFonts w:ascii="Arial" w:hAnsi="Arial" w:cs="Arial"/>
                <w:b/>
                <w:bCs/>
              </w:rPr>
              <w:t>Totals</w:t>
            </w:r>
          </w:p>
        </w:tc>
        <w:tc>
          <w:tcPr>
            <w:tcW w:w="813" w:type="pct"/>
            <w:vAlign w:val="center"/>
          </w:tcPr>
          <w:p w:rsidR="00956158" w:rsidRPr="004B55C7" w:rsidP="00B24AAB" w14:paraId="7010D485" w14:textId="33871759">
            <w:pPr>
              <w:pStyle w:val="NoSpacing"/>
              <w:jc w:val="right"/>
              <w:rPr>
                <w:rFonts w:ascii="Arial" w:hAnsi="Arial" w:cs="Arial"/>
                <w:b/>
                <w:bCs/>
                <w:sz w:val="20"/>
                <w:szCs w:val="20"/>
              </w:rPr>
            </w:pPr>
            <w:r>
              <w:rPr>
                <w:rFonts w:ascii="Arial" w:hAnsi="Arial" w:cs="Arial"/>
                <w:b/>
                <w:sz w:val="20"/>
                <w:szCs w:val="20"/>
              </w:rPr>
              <w:t>15,000</w:t>
            </w:r>
          </w:p>
        </w:tc>
        <w:tc>
          <w:tcPr>
            <w:tcW w:w="651" w:type="pct"/>
            <w:vAlign w:val="center"/>
          </w:tcPr>
          <w:p w:rsidR="00956158" w:rsidP="00B24AAB" w14:paraId="50B5D466" w14:textId="77777777">
            <w:pPr>
              <w:pStyle w:val="NoSpacing"/>
              <w:jc w:val="right"/>
              <w:rPr>
                <w:rFonts w:ascii="Arial" w:hAnsi="Arial" w:cs="Arial"/>
                <w:sz w:val="20"/>
                <w:szCs w:val="20"/>
              </w:rPr>
            </w:pPr>
            <w:r w:rsidRPr="006004C0">
              <w:rPr>
                <w:rFonts w:ascii="Arial" w:hAnsi="Arial" w:cs="Arial"/>
                <w:b/>
                <w:sz w:val="20"/>
                <w:szCs w:val="20"/>
              </w:rPr>
              <w:t>- - -</w:t>
            </w:r>
          </w:p>
        </w:tc>
        <w:tc>
          <w:tcPr>
            <w:tcW w:w="650" w:type="pct"/>
            <w:vAlign w:val="center"/>
          </w:tcPr>
          <w:p w:rsidR="00956158" w:rsidRPr="007A39B8" w:rsidP="00B24AAB" w14:paraId="6AA21E0D" w14:textId="4CE48B20">
            <w:pPr>
              <w:pStyle w:val="NoSpacing"/>
              <w:jc w:val="right"/>
              <w:rPr>
                <w:rFonts w:ascii="Arial" w:hAnsi="Arial" w:cs="Arial"/>
                <w:b/>
                <w:bCs/>
                <w:sz w:val="20"/>
                <w:szCs w:val="20"/>
              </w:rPr>
            </w:pPr>
            <w:r w:rsidRPr="006004C0">
              <w:rPr>
                <w:rFonts w:ascii="Arial" w:hAnsi="Arial" w:cs="Arial"/>
                <w:b/>
                <w:sz w:val="20"/>
                <w:szCs w:val="20"/>
              </w:rPr>
              <w:t>$</w:t>
            </w:r>
            <w:r>
              <w:rPr>
                <w:rFonts w:ascii="Arial" w:hAnsi="Arial" w:cs="Arial"/>
                <w:b/>
                <w:sz w:val="20"/>
                <w:szCs w:val="20"/>
              </w:rPr>
              <w:t>43,718,745</w:t>
            </w:r>
          </w:p>
        </w:tc>
      </w:tr>
    </w:tbl>
    <w:p w:rsidR="00956158" w:rsidP="00956158" w14:paraId="45A2C4B8" w14:textId="4DE1DAB8">
      <w:pPr>
        <w:jc w:val="both"/>
        <w:rPr>
          <w:rFonts w:ascii="Arial" w:hAnsi="Arial" w:cs="Arial"/>
          <w:sz w:val="24"/>
        </w:rPr>
      </w:pPr>
    </w:p>
    <w:p w:rsidR="00956158" w:rsidP="00956158" w14:paraId="51D0397F" w14:textId="2E2D335A">
      <w:pPr>
        <w:jc w:val="both"/>
        <w:rPr>
          <w:rFonts w:ascii="Arial" w:hAnsi="Arial" w:cs="Arial"/>
          <w:bCs/>
          <w:szCs w:val="16"/>
        </w:rPr>
      </w:pPr>
      <w:r>
        <w:rPr>
          <w:rFonts w:ascii="Arial" w:hAnsi="Arial" w:cs="Arial"/>
          <w:b/>
          <w:szCs w:val="16"/>
        </w:rPr>
        <w:t>Table 2: Changes in Cost</w:t>
      </w:r>
    </w:p>
    <w:tbl>
      <w:tblPr>
        <w:tblStyle w:val="TableGrid"/>
        <w:tblW w:w="11070" w:type="dxa"/>
        <w:tblInd w:w="-635" w:type="dxa"/>
        <w:tblLook w:val="04A0"/>
      </w:tblPr>
      <w:tblGrid>
        <w:gridCol w:w="631"/>
        <w:gridCol w:w="1069"/>
        <w:gridCol w:w="4584"/>
        <w:gridCol w:w="1789"/>
        <w:gridCol w:w="1440"/>
        <w:gridCol w:w="1557"/>
      </w:tblGrid>
      <w:tr w14:paraId="5A5C0A62" w14:textId="77777777" w:rsidTr="00B24AAB">
        <w:tblPrEx>
          <w:tblW w:w="11070" w:type="dxa"/>
          <w:tblInd w:w="-635" w:type="dxa"/>
          <w:tblLook w:val="04A0"/>
        </w:tblPrEx>
        <w:tc>
          <w:tcPr>
            <w:tcW w:w="631" w:type="dxa"/>
            <w:shd w:val="clear" w:color="auto" w:fill="83CAEB" w:themeFill="accent1" w:themeFillTint="66"/>
            <w:vAlign w:val="center"/>
          </w:tcPr>
          <w:p w:rsidR="00956158" w:rsidRPr="006004C0" w:rsidP="00B24AAB" w14:paraId="65B02F2B" w14:textId="77777777">
            <w:pPr>
              <w:pStyle w:val="NoSpacing"/>
              <w:jc w:val="center"/>
              <w:rPr>
                <w:rFonts w:ascii="Arial" w:hAnsi="Arial" w:cs="Arial"/>
                <w:b/>
                <w:sz w:val="20"/>
                <w:szCs w:val="20"/>
              </w:rPr>
            </w:pPr>
          </w:p>
          <w:p w:rsidR="00956158" w:rsidRPr="006004C0" w:rsidP="00B24AAB" w14:paraId="330E67FA" w14:textId="77777777">
            <w:pPr>
              <w:pStyle w:val="NoSpacing"/>
              <w:ind w:right="-35"/>
              <w:jc w:val="center"/>
              <w:rPr>
                <w:rFonts w:ascii="Arial" w:hAnsi="Arial" w:cs="Arial"/>
                <w:b/>
                <w:sz w:val="20"/>
                <w:szCs w:val="20"/>
              </w:rPr>
            </w:pPr>
            <w:r w:rsidRPr="006004C0">
              <w:rPr>
                <w:rFonts w:ascii="Arial" w:hAnsi="Arial" w:cs="Arial"/>
                <w:b/>
                <w:sz w:val="20"/>
                <w:szCs w:val="20"/>
              </w:rPr>
              <w:t>I</w:t>
            </w:r>
            <w:r>
              <w:rPr>
                <w:rFonts w:ascii="Arial" w:hAnsi="Arial" w:cs="Arial"/>
                <w:b/>
                <w:sz w:val="20"/>
                <w:szCs w:val="20"/>
              </w:rPr>
              <w:t>tem</w:t>
            </w:r>
            <w:r w:rsidRPr="006004C0">
              <w:rPr>
                <w:rFonts w:ascii="Arial" w:hAnsi="Arial" w:cs="Arial"/>
                <w:b/>
                <w:sz w:val="20"/>
                <w:szCs w:val="20"/>
              </w:rPr>
              <w:t xml:space="preserve"> No.</w:t>
            </w:r>
          </w:p>
          <w:p w:rsidR="00956158" w:rsidRPr="006004C0" w:rsidP="00B24AAB" w14:paraId="4AB7B61D" w14:textId="77777777">
            <w:pPr>
              <w:pStyle w:val="NoSpacing"/>
              <w:jc w:val="center"/>
              <w:rPr>
                <w:rFonts w:ascii="Arial" w:hAnsi="Arial" w:cs="Arial"/>
                <w:b/>
                <w:sz w:val="20"/>
                <w:szCs w:val="20"/>
              </w:rPr>
            </w:pPr>
          </w:p>
        </w:tc>
        <w:tc>
          <w:tcPr>
            <w:tcW w:w="1069" w:type="dxa"/>
            <w:shd w:val="clear" w:color="auto" w:fill="83CAEB" w:themeFill="accent1" w:themeFillTint="66"/>
            <w:vAlign w:val="center"/>
          </w:tcPr>
          <w:p w:rsidR="00956158" w:rsidRPr="006004C0" w:rsidP="00B24AAB" w14:paraId="04D25DA4" w14:textId="77777777">
            <w:pPr>
              <w:pStyle w:val="NoSpacing"/>
              <w:jc w:val="center"/>
              <w:rPr>
                <w:rFonts w:ascii="Arial" w:hAnsi="Arial" w:cs="Arial"/>
                <w:b/>
                <w:sz w:val="20"/>
                <w:szCs w:val="20"/>
              </w:rPr>
            </w:pPr>
            <w:r>
              <w:rPr>
                <w:rFonts w:ascii="Arial" w:hAnsi="Arial" w:cs="Arial"/>
                <w:b/>
                <w:sz w:val="20"/>
                <w:szCs w:val="20"/>
              </w:rPr>
              <w:t>Fee Code</w:t>
            </w:r>
          </w:p>
        </w:tc>
        <w:tc>
          <w:tcPr>
            <w:tcW w:w="4584" w:type="dxa"/>
            <w:shd w:val="clear" w:color="auto" w:fill="83CAEB" w:themeFill="accent1" w:themeFillTint="66"/>
            <w:vAlign w:val="center"/>
          </w:tcPr>
          <w:p w:rsidR="00956158" w:rsidRPr="006004C0" w:rsidP="00B24AAB" w14:paraId="155F0DA9" w14:textId="77777777">
            <w:pPr>
              <w:pStyle w:val="NoSpacing"/>
              <w:jc w:val="center"/>
              <w:rPr>
                <w:rFonts w:ascii="Arial" w:hAnsi="Arial" w:cs="Arial"/>
                <w:b/>
                <w:sz w:val="20"/>
                <w:szCs w:val="20"/>
              </w:rPr>
            </w:pPr>
            <w:r w:rsidRPr="006004C0">
              <w:rPr>
                <w:rFonts w:ascii="Arial" w:hAnsi="Arial" w:cs="Arial"/>
                <w:b/>
                <w:sz w:val="20"/>
                <w:szCs w:val="20"/>
              </w:rPr>
              <w:t xml:space="preserve">Items </w:t>
            </w:r>
          </w:p>
        </w:tc>
        <w:tc>
          <w:tcPr>
            <w:tcW w:w="1789" w:type="dxa"/>
            <w:shd w:val="clear" w:color="auto" w:fill="83CAEB" w:themeFill="accent1" w:themeFillTint="66"/>
            <w:vAlign w:val="center"/>
          </w:tcPr>
          <w:p w:rsidR="00956158" w:rsidP="00B24AAB" w14:paraId="7A9BBEE5" w14:textId="77777777">
            <w:pPr>
              <w:pStyle w:val="NoSpacing"/>
              <w:jc w:val="center"/>
              <w:rPr>
                <w:rFonts w:ascii="Arial" w:hAnsi="Arial" w:cs="Arial"/>
                <w:b/>
                <w:sz w:val="20"/>
                <w:szCs w:val="20"/>
              </w:rPr>
            </w:pPr>
            <w:r w:rsidRPr="006004C0">
              <w:rPr>
                <w:rFonts w:ascii="Arial" w:hAnsi="Arial" w:cs="Arial"/>
                <w:b/>
                <w:sz w:val="20"/>
                <w:szCs w:val="20"/>
              </w:rPr>
              <w:t>Current Cost</w:t>
            </w:r>
          </w:p>
          <w:p w:rsidR="00956158" w:rsidRPr="006004C0" w:rsidP="00B24AAB" w14:paraId="43F7415D" w14:textId="77777777">
            <w:pPr>
              <w:pStyle w:val="NoSpacing"/>
              <w:jc w:val="center"/>
              <w:rPr>
                <w:rFonts w:ascii="Arial" w:hAnsi="Arial" w:cs="Arial"/>
                <w:b/>
                <w:sz w:val="20"/>
                <w:szCs w:val="20"/>
              </w:rPr>
            </w:pPr>
            <w:r>
              <w:rPr>
                <w:rFonts w:ascii="Arial" w:hAnsi="Arial" w:cs="Arial"/>
                <w:b/>
                <w:sz w:val="20"/>
                <w:szCs w:val="20"/>
              </w:rPr>
              <w:t>(a)</w:t>
            </w:r>
          </w:p>
        </w:tc>
        <w:tc>
          <w:tcPr>
            <w:tcW w:w="1440" w:type="dxa"/>
            <w:shd w:val="clear" w:color="auto" w:fill="83CAEB" w:themeFill="accent1" w:themeFillTint="66"/>
            <w:vAlign w:val="center"/>
          </w:tcPr>
          <w:p w:rsidR="00956158" w:rsidP="00B24AAB" w14:paraId="7F937575" w14:textId="77777777">
            <w:pPr>
              <w:pStyle w:val="NoSpacing"/>
              <w:jc w:val="center"/>
              <w:rPr>
                <w:rFonts w:ascii="Arial" w:hAnsi="Arial" w:cs="Arial"/>
                <w:b/>
                <w:sz w:val="20"/>
                <w:szCs w:val="20"/>
              </w:rPr>
            </w:pPr>
            <w:r>
              <w:rPr>
                <w:rFonts w:ascii="Arial" w:hAnsi="Arial" w:cs="Arial"/>
                <w:b/>
                <w:sz w:val="20"/>
                <w:szCs w:val="20"/>
              </w:rPr>
              <w:t>New</w:t>
            </w:r>
            <w:r w:rsidRPr="006004C0">
              <w:rPr>
                <w:rFonts w:ascii="Arial" w:hAnsi="Arial" w:cs="Arial"/>
                <w:b/>
                <w:sz w:val="20"/>
                <w:szCs w:val="20"/>
              </w:rPr>
              <w:t xml:space="preserve"> Cost</w:t>
            </w:r>
          </w:p>
          <w:p w:rsidR="00956158" w:rsidRPr="006004C0" w:rsidP="00B24AAB" w14:paraId="570E0030" w14:textId="77777777">
            <w:pPr>
              <w:pStyle w:val="NoSpacing"/>
              <w:jc w:val="center"/>
              <w:rPr>
                <w:rFonts w:ascii="Arial" w:hAnsi="Arial" w:cs="Arial"/>
                <w:b/>
                <w:sz w:val="20"/>
                <w:szCs w:val="20"/>
              </w:rPr>
            </w:pPr>
            <w:r>
              <w:rPr>
                <w:rFonts w:ascii="Arial" w:hAnsi="Arial" w:cs="Arial"/>
                <w:b/>
                <w:sz w:val="20"/>
                <w:szCs w:val="20"/>
              </w:rPr>
              <w:t>(b)</w:t>
            </w:r>
          </w:p>
        </w:tc>
        <w:tc>
          <w:tcPr>
            <w:tcW w:w="1557" w:type="dxa"/>
            <w:shd w:val="clear" w:color="auto" w:fill="83CAEB" w:themeFill="accent1" w:themeFillTint="66"/>
            <w:vAlign w:val="center"/>
          </w:tcPr>
          <w:p w:rsidR="00956158" w:rsidP="00B24AAB" w14:paraId="4F2A26D9" w14:textId="77777777">
            <w:pPr>
              <w:pStyle w:val="NoSpacing"/>
              <w:jc w:val="center"/>
              <w:rPr>
                <w:rFonts w:ascii="Arial" w:hAnsi="Arial" w:cs="Arial"/>
                <w:b/>
                <w:sz w:val="20"/>
                <w:szCs w:val="20"/>
              </w:rPr>
            </w:pPr>
            <w:r w:rsidRPr="007D423D">
              <w:rPr>
                <w:rFonts w:ascii="Arial" w:hAnsi="Arial" w:cs="Arial"/>
                <w:b/>
                <w:sz w:val="20"/>
                <w:szCs w:val="20"/>
              </w:rPr>
              <w:t>Change</w:t>
            </w:r>
            <w:r>
              <w:rPr>
                <w:rFonts w:ascii="Arial" w:hAnsi="Arial" w:cs="Arial"/>
                <w:b/>
                <w:sz w:val="20"/>
                <w:szCs w:val="20"/>
              </w:rPr>
              <w:t xml:space="preserve"> in Non-hour Cost Burden</w:t>
            </w:r>
          </w:p>
          <w:p w:rsidR="00956158" w:rsidRPr="006004C0" w:rsidP="00B24AAB" w14:paraId="1F2144E0" w14:textId="77777777">
            <w:pPr>
              <w:pStyle w:val="NoSpacing"/>
              <w:jc w:val="center"/>
              <w:rPr>
                <w:rFonts w:ascii="Arial" w:hAnsi="Arial" w:cs="Arial"/>
                <w:b/>
                <w:sz w:val="20"/>
                <w:szCs w:val="20"/>
              </w:rPr>
            </w:pPr>
            <w:r>
              <w:rPr>
                <w:rFonts w:ascii="Arial" w:hAnsi="Arial" w:cs="Arial"/>
                <w:b/>
                <w:sz w:val="20"/>
                <w:szCs w:val="20"/>
              </w:rPr>
              <w:t>(b) – (a) = (c)</w:t>
            </w:r>
          </w:p>
        </w:tc>
      </w:tr>
      <w:tr w14:paraId="708520AB" w14:textId="77777777" w:rsidTr="00B24AAB">
        <w:tblPrEx>
          <w:tblW w:w="11070" w:type="dxa"/>
          <w:tblInd w:w="-635" w:type="dxa"/>
          <w:tblLook w:val="04A0"/>
        </w:tblPrEx>
        <w:tc>
          <w:tcPr>
            <w:tcW w:w="631" w:type="dxa"/>
            <w:vAlign w:val="center"/>
          </w:tcPr>
          <w:p w:rsidR="00956158" w:rsidRPr="004B55C7" w:rsidP="00956158" w14:paraId="2C047648" w14:textId="77777777">
            <w:pPr>
              <w:jc w:val="center"/>
              <w:rPr>
                <w:rFonts w:ascii="Arial" w:hAnsi="Arial" w:cs="Arial"/>
                <w:b/>
                <w:bCs/>
                <w:color w:val="000000"/>
              </w:rPr>
            </w:pPr>
            <w:r w:rsidRPr="004B55C7">
              <w:rPr>
                <w:rFonts w:ascii="Arial" w:hAnsi="Arial" w:cs="Arial"/>
                <w:b/>
              </w:rPr>
              <w:t>N/A</w:t>
            </w:r>
          </w:p>
        </w:tc>
        <w:tc>
          <w:tcPr>
            <w:tcW w:w="1069" w:type="dxa"/>
            <w:vAlign w:val="center"/>
          </w:tcPr>
          <w:p w:rsidR="00956158" w:rsidRPr="004B55C7" w:rsidP="00956158" w14:paraId="423A80B9" w14:textId="77777777">
            <w:pPr>
              <w:jc w:val="center"/>
              <w:rPr>
                <w:rFonts w:ascii="Arial" w:hAnsi="Arial" w:cs="Arial"/>
              </w:rPr>
            </w:pPr>
            <w:r w:rsidRPr="004B55C7">
              <w:rPr>
                <w:rFonts w:ascii="Arial" w:hAnsi="Arial" w:cs="Arial"/>
                <w:color w:val="000000"/>
              </w:rPr>
              <w:t>1817</w:t>
            </w:r>
          </w:p>
        </w:tc>
        <w:tc>
          <w:tcPr>
            <w:tcW w:w="4584" w:type="dxa"/>
            <w:vAlign w:val="center"/>
          </w:tcPr>
          <w:p w:rsidR="00956158" w:rsidRPr="004B55C7" w:rsidP="00956158" w14:paraId="59690782" w14:textId="77777777">
            <w:pPr>
              <w:rPr>
                <w:rFonts w:ascii="Arial" w:hAnsi="Arial" w:cs="Arial"/>
              </w:rPr>
            </w:pPr>
            <w:r w:rsidRPr="004B55C7">
              <w:rPr>
                <w:rFonts w:ascii="Arial" w:hAnsi="Arial" w:cs="Arial"/>
                <w:color w:val="000000"/>
              </w:rPr>
              <w:t xml:space="preserve">Request for prioritized examination </w:t>
            </w:r>
            <w:r w:rsidRPr="004B55C7">
              <w:rPr>
                <w:rFonts w:ascii="Arial" w:hAnsi="Arial" w:cs="Arial"/>
              </w:rPr>
              <w:t>(undiscounted)</w:t>
            </w:r>
          </w:p>
        </w:tc>
        <w:tc>
          <w:tcPr>
            <w:tcW w:w="1789" w:type="dxa"/>
            <w:vAlign w:val="center"/>
          </w:tcPr>
          <w:p w:rsidR="00956158" w:rsidRPr="00C919B0" w:rsidP="00956158" w14:paraId="2D51D8F3" w14:textId="11321064">
            <w:pPr>
              <w:pStyle w:val="NoSpacing"/>
              <w:jc w:val="right"/>
              <w:rPr>
                <w:rFonts w:ascii="Arial" w:hAnsi="Arial" w:cs="Arial"/>
                <w:color w:val="000000"/>
                <w:sz w:val="20"/>
                <w:szCs w:val="20"/>
              </w:rPr>
            </w:pPr>
            <w:r>
              <w:rPr>
                <w:rFonts w:ascii="Arial" w:hAnsi="Arial" w:cs="Arial"/>
                <w:color w:val="000000"/>
              </w:rPr>
              <w:t>$29,261,715</w:t>
            </w:r>
          </w:p>
        </w:tc>
        <w:tc>
          <w:tcPr>
            <w:tcW w:w="1440" w:type="dxa"/>
            <w:vAlign w:val="center"/>
          </w:tcPr>
          <w:p w:rsidR="00956158" w:rsidP="00956158" w14:paraId="37FCAA22" w14:textId="181F6C9C">
            <w:pPr>
              <w:jc w:val="right"/>
              <w:rPr>
                <w:rFonts w:ascii="Arial" w:hAnsi="Arial" w:cs="Arial"/>
                <w:color w:val="000000"/>
              </w:rPr>
            </w:pPr>
            <w:r>
              <w:rPr>
                <w:rFonts w:ascii="Arial" w:hAnsi="Arial" w:cs="Arial"/>
                <w:color w:val="000000"/>
              </w:rPr>
              <w:t>$0</w:t>
            </w:r>
          </w:p>
        </w:tc>
        <w:tc>
          <w:tcPr>
            <w:tcW w:w="1557" w:type="dxa"/>
            <w:vAlign w:val="center"/>
          </w:tcPr>
          <w:p w:rsidR="00956158" w:rsidP="00956158" w14:paraId="7317BB9B" w14:textId="6CDBAC7B">
            <w:pPr>
              <w:jc w:val="right"/>
              <w:rPr>
                <w:rFonts w:ascii="Arial" w:hAnsi="Arial" w:cs="Arial"/>
              </w:rPr>
            </w:pPr>
            <w:r>
              <w:rPr>
                <w:rFonts w:ascii="Arial" w:hAnsi="Arial" w:cs="Arial"/>
                <w:color w:val="000000"/>
              </w:rPr>
              <w:t>-$29,261,715</w:t>
            </w:r>
          </w:p>
        </w:tc>
      </w:tr>
      <w:tr w14:paraId="136D505D" w14:textId="77777777" w:rsidTr="00B24AAB">
        <w:tblPrEx>
          <w:tblW w:w="11070" w:type="dxa"/>
          <w:tblInd w:w="-635" w:type="dxa"/>
          <w:tblLook w:val="04A0"/>
        </w:tblPrEx>
        <w:tc>
          <w:tcPr>
            <w:tcW w:w="631" w:type="dxa"/>
            <w:vAlign w:val="center"/>
          </w:tcPr>
          <w:p w:rsidR="00956158" w:rsidRPr="004B55C7" w:rsidP="00956158" w14:paraId="3E432799" w14:textId="77777777">
            <w:pPr>
              <w:jc w:val="center"/>
              <w:rPr>
                <w:rFonts w:ascii="Arial" w:hAnsi="Arial" w:cs="Arial"/>
                <w:b/>
                <w:bCs/>
                <w:color w:val="000000"/>
              </w:rPr>
            </w:pPr>
            <w:r w:rsidRPr="004B55C7">
              <w:rPr>
                <w:rFonts w:ascii="Arial" w:hAnsi="Arial" w:cs="Arial"/>
                <w:b/>
              </w:rPr>
              <w:t>N/A</w:t>
            </w:r>
          </w:p>
        </w:tc>
        <w:tc>
          <w:tcPr>
            <w:tcW w:w="1069" w:type="dxa"/>
            <w:vAlign w:val="center"/>
          </w:tcPr>
          <w:p w:rsidR="00956158" w:rsidRPr="004B55C7" w:rsidP="00956158" w14:paraId="3152EC94" w14:textId="77777777">
            <w:pPr>
              <w:jc w:val="center"/>
              <w:rPr>
                <w:rFonts w:ascii="Arial" w:hAnsi="Arial" w:cs="Arial"/>
              </w:rPr>
            </w:pPr>
            <w:r w:rsidRPr="004B55C7">
              <w:rPr>
                <w:rFonts w:ascii="Arial" w:hAnsi="Arial" w:cs="Arial"/>
                <w:color w:val="000000"/>
              </w:rPr>
              <w:t>2817</w:t>
            </w:r>
          </w:p>
        </w:tc>
        <w:tc>
          <w:tcPr>
            <w:tcW w:w="4584" w:type="dxa"/>
            <w:vAlign w:val="center"/>
          </w:tcPr>
          <w:p w:rsidR="00956158" w:rsidRPr="004B55C7" w:rsidP="00956158" w14:paraId="554AB4FE" w14:textId="77777777">
            <w:pPr>
              <w:rPr>
                <w:rFonts w:ascii="Arial" w:hAnsi="Arial" w:cs="Arial"/>
              </w:rPr>
            </w:pPr>
            <w:r w:rsidRPr="004B55C7">
              <w:rPr>
                <w:rFonts w:ascii="Arial" w:hAnsi="Arial" w:cs="Arial"/>
                <w:color w:val="000000"/>
              </w:rPr>
              <w:t>Request for prioritized examination (small entity)</w:t>
            </w:r>
          </w:p>
        </w:tc>
        <w:tc>
          <w:tcPr>
            <w:tcW w:w="1789" w:type="dxa"/>
            <w:vAlign w:val="center"/>
          </w:tcPr>
          <w:p w:rsidR="00956158" w:rsidRPr="00C919B0" w:rsidP="00956158" w14:paraId="2E0E5C33" w14:textId="767551F4">
            <w:pPr>
              <w:pStyle w:val="NoSpacing"/>
              <w:jc w:val="right"/>
              <w:rPr>
                <w:rFonts w:ascii="Arial" w:hAnsi="Arial" w:cs="Arial"/>
                <w:color w:val="000000"/>
                <w:sz w:val="20"/>
                <w:szCs w:val="20"/>
              </w:rPr>
            </w:pPr>
            <w:r>
              <w:rPr>
                <w:rFonts w:ascii="Arial" w:hAnsi="Arial" w:cs="Arial"/>
                <w:color w:val="000000"/>
              </w:rPr>
              <w:t>$13,528,746</w:t>
            </w:r>
          </w:p>
        </w:tc>
        <w:tc>
          <w:tcPr>
            <w:tcW w:w="1440" w:type="dxa"/>
            <w:vAlign w:val="center"/>
          </w:tcPr>
          <w:p w:rsidR="00956158" w:rsidP="00956158" w14:paraId="77F3E7E4" w14:textId="0CFD2BE8">
            <w:pPr>
              <w:jc w:val="right"/>
              <w:rPr>
                <w:rFonts w:ascii="Arial" w:hAnsi="Arial" w:cs="Arial"/>
                <w:color w:val="000000"/>
              </w:rPr>
            </w:pPr>
            <w:r>
              <w:rPr>
                <w:rFonts w:ascii="Arial" w:hAnsi="Arial" w:cs="Arial"/>
                <w:color w:val="000000"/>
              </w:rPr>
              <w:t>$0</w:t>
            </w:r>
          </w:p>
        </w:tc>
        <w:tc>
          <w:tcPr>
            <w:tcW w:w="1557" w:type="dxa"/>
            <w:vAlign w:val="center"/>
          </w:tcPr>
          <w:p w:rsidR="00956158" w:rsidP="00956158" w14:paraId="63140E16" w14:textId="4274DD19">
            <w:pPr>
              <w:jc w:val="right"/>
              <w:rPr>
                <w:rFonts w:ascii="Arial" w:hAnsi="Arial" w:cs="Arial"/>
              </w:rPr>
            </w:pPr>
            <w:r>
              <w:rPr>
                <w:rFonts w:ascii="Arial" w:hAnsi="Arial" w:cs="Arial"/>
                <w:color w:val="000000"/>
              </w:rPr>
              <w:t>-$13,528,746</w:t>
            </w:r>
          </w:p>
        </w:tc>
      </w:tr>
      <w:tr w14:paraId="05A3E5D0" w14:textId="77777777" w:rsidTr="00B24AAB">
        <w:tblPrEx>
          <w:tblW w:w="11070" w:type="dxa"/>
          <w:tblInd w:w="-635" w:type="dxa"/>
          <w:tblLook w:val="04A0"/>
        </w:tblPrEx>
        <w:tc>
          <w:tcPr>
            <w:tcW w:w="631" w:type="dxa"/>
            <w:vAlign w:val="center"/>
          </w:tcPr>
          <w:p w:rsidR="00956158" w:rsidRPr="004B55C7" w:rsidP="00956158" w14:paraId="63B0C89D" w14:textId="77777777">
            <w:pPr>
              <w:jc w:val="center"/>
              <w:rPr>
                <w:rFonts w:ascii="Arial" w:hAnsi="Arial" w:cs="Arial"/>
                <w:b/>
                <w:bCs/>
                <w:color w:val="000000"/>
              </w:rPr>
            </w:pPr>
            <w:r w:rsidRPr="004B55C7">
              <w:rPr>
                <w:rFonts w:ascii="Arial" w:hAnsi="Arial" w:cs="Arial"/>
                <w:b/>
              </w:rPr>
              <w:t>N/A</w:t>
            </w:r>
          </w:p>
        </w:tc>
        <w:tc>
          <w:tcPr>
            <w:tcW w:w="1069" w:type="dxa"/>
            <w:vAlign w:val="center"/>
          </w:tcPr>
          <w:p w:rsidR="00956158" w:rsidRPr="004B55C7" w:rsidP="00956158" w14:paraId="100D1E28" w14:textId="77777777">
            <w:pPr>
              <w:jc w:val="center"/>
              <w:rPr>
                <w:rFonts w:ascii="Arial" w:hAnsi="Arial" w:cs="Arial"/>
              </w:rPr>
            </w:pPr>
            <w:r w:rsidRPr="004B55C7">
              <w:rPr>
                <w:rFonts w:ascii="Arial" w:hAnsi="Arial" w:cs="Arial"/>
                <w:color w:val="000000"/>
              </w:rPr>
              <w:t>3817</w:t>
            </w:r>
          </w:p>
        </w:tc>
        <w:tc>
          <w:tcPr>
            <w:tcW w:w="4584" w:type="dxa"/>
            <w:vAlign w:val="center"/>
          </w:tcPr>
          <w:p w:rsidR="00956158" w:rsidRPr="004B55C7" w:rsidP="00956158" w14:paraId="624AA651" w14:textId="77777777">
            <w:pPr>
              <w:rPr>
                <w:rFonts w:ascii="Arial" w:hAnsi="Arial" w:cs="Arial"/>
              </w:rPr>
            </w:pPr>
            <w:r w:rsidRPr="004B55C7">
              <w:rPr>
                <w:rFonts w:ascii="Arial" w:hAnsi="Arial" w:cs="Arial"/>
                <w:color w:val="000000"/>
              </w:rPr>
              <w:t>Request for prioritized examination (micro entity)</w:t>
            </w:r>
          </w:p>
        </w:tc>
        <w:tc>
          <w:tcPr>
            <w:tcW w:w="1789" w:type="dxa"/>
            <w:vAlign w:val="center"/>
          </w:tcPr>
          <w:p w:rsidR="00956158" w:rsidRPr="00C919B0" w:rsidP="00956158" w14:paraId="64DB5DB2" w14:textId="63BD6D21">
            <w:pPr>
              <w:pStyle w:val="NoSpacing"/>
              <w:jc w:val="right"/>
              <w:rPr>
                <w:rFonts w:ascii="Arial" w:hAnsi="Arial" w:cs="Arial"/>
                <w:color w:val="000000"/>
                <w:sz w:val="20"/>
                <w:szCs w:val="20"/>
              </w:rPr>
            </w:pPr>
            <w:r>
              <w:rPr>
                <w:rFonts w:ascii="Arial" w:hAnsi="Arial" w:cs="Arial"/>
                <w:color w:val="000000"/>
              </w:rPr>
              <w:t>$928,284</w:t>
            </w:r>
          </w:p>
        </w:tc>
        <w:tc>
          <w:tcPr>
            <w:tcW w:w="1440" w:type="dxa"/>
            <w:vAlign w:val="center"/>
          </w:tcPr>
          <w:p w:rsidR="00956158" w:rsidP="00956158" w14:paraId="4EA6618F" w14:textId="38445A64">
            <w:pPr>
              <w:jc w:val="right"/>
              <w:rPr>
                <w:rFonts w:ascii="Arial" w:hAnsi="Arial" w:cs="Arial"/>
                <w:color w:val="000000"/>
              </w:rPr>
            </w:pPr>
            <w:r>
              <w:rPr>
                <w:rFonts w:ascii="Arial" w:hAnsi="Arial" w:cs="Arial"/>
                <w:color w:val="000000"/>
              </w:rPr>
              <w:t>$0</w:t>
            </w:r>
          </w:p>
        </w:tc>
        <w:tc>
          <w:tcPr>
            <w:tcW w:w="1557" w:type="dxa"/>
            <w:vAlign w:val="center"/>
          </w:tcPr>
          <w:p w:rsidR="00956158" w:rsidP="00956158" w14:paraId="5FF99A5E" w14:textId="1852F003">
            <w:pPr>
              <w:jc w:val="right"/>
              <w:rPr>
                <w:rFonts w:ascii="Arial" w:hAnsi="Arial" w:cs="Arial"/>
              </w:rPr>
            </w:pPr>
            <w:r>
              <w:rPr>
                <w:rFonts w:ascii="Arial" w:hAnsi="Arial" w:cs="Arial"/>
                <w:color w:val="000000"/>
              </w:rPr>
              <w:t>-$928,284</w:t>
            </w:r>
          </w:p>
        </w:tc>
      </w:tr>
      <w:tr w14:paraId="5AC11D1B" w14:textId="77777777" w:rsidTr="00B24AAB">
        <w:tblPrEx>
          <w:tblW w:w="11070" w:type="dxa"/>
          <w:tblInd w:w="-635" w:type="dxa"/>
          <w:tblLook w:val="04A0"/>
        </w:tblPrEx>
        <w:tc>
          <w:tcPr>
            <w:tcW w:w="631" w:type="dxa"/>
            <w:vAlign w:val="center"/>
          </w:tcPr>
          <w:p w:rsidR="00956158" w:rsidRPr="006004C0" w:rsidP="00956158" w14:paraId="7BB411FC" w14:textId="77777777">
            <w:pPr>
              <w:pStyle w:val="NoSpacing"/>
              <w:jc w:val="center"/>
              <w:rPr>
                <w:rFonts w:ascii="Arial" w:hAnsi="Arial" w:cs="Arial"/>
                <w:b/>
                <w:sz w:val="20"/>
                <w:szCs w:val="20"/>
              </w:rPr>
            </w:pPr>
          </w:p>
        </w:tc>
        <w:tc>
          <w:tcPr>
            <w:tcW w:w="1069" w:type="dxa"/>
          </w:tcPr>
          <w:p w:rsidR="00956158" w:rsidRPr="006004C0" w:rsidP="00956158" w14:paraId="4622DDF1" w14:textId="77777777">
            <w:pPr>
              <w:pStyle w:val="NoSpacing"/>
              <w:rPr>
                <w:rFonts w:ascii="Arial" w:hAnsi="Arial" w:cs="Arial"/>
                <w:b/>
                <w:sz w:val="20"/>
                <w:szCs w:val="20"/>
              </w:rPr>
            </w:pPr>
          </w:p>
        </w:tc>
        <w:tc>
          <w:tcPr>
            <w:tcW w:w="4584" w:type="dxa"/>
            <w:vAlign w:val="center"/>
          </w:tcPr>
          <w:p w:rsidR="00956158" w:rsidRPr="006004C0" w:rsidP="00956158" w14:paraId="42A947E2" w14:textId="77777777">
            <w:pPr>
              <w:pStyle w:val="NoSpacing"/>
              <w:rPr>
                <w:rFonts w:ascii="Arial" w:hAnsi="Arial" w:cs="Arial"/>
                <w:b/>
                <w:sz w:val="20"/>
                <w:szCs w:val="20"/>
              </w:rPr>
            </w:pPr>
            <w:r w:rsidRPr="006004C0">
              <w:rPr>
                <w:rFonts w:ascii="Arial" w:hAnsi="Arial" w:cs="Arial"/>
                <w:b/>
                <w:sz w:val="20"/>
                <w:szCs w:val="20"/>
              </w:rPr>
              <w:t>Totals</w:t>
            </w:r>
          </w:p>
        </w:tc>
        <w:tc>
          <w:tcPr>
            <w:tcW w:w="1789" w:type="dxa"/>
            <w:vAlign w:val="center"/>
          </w:tcPr>
          <w:p w:rsidR="00956158" w:rsidRPr="00C919B0" w:rsidP="00956158" w14:paraId="73378111" w14:textId="15121B7D">
            <w:pPr>
              <w:pStyle w:val="NoSpacing"/>
              <w:jc w:val="right"/>
              <w:rPr>
                <w:rFonts w:ascii="Arial" w:hAnsi="Arial" w:cs="Arial"/>
                <w:b/>
                <w:sz w:val="20"/>
                <w:szCs w:val="20"/>
              </w:rPr>
            </w:pPr>
            <w:r w:rsidRPr="006004C0">
              <w:rPr>
                <w:rFonts w:ascii="Arial" w:hAnsi="Arial" w:cs="Arial"/>
                <w:b/>
                <w:sz w:val="20"/>
                <w:szCs w:val="20"/>
              </w:rPr>
              <w:t>$</w:t>
            </w:r>
            <w:r>
              <w:rPr>
                <w:rFonts w:ascii="Arial" w:hAnsi="Arial" w:cs="Arial"/>
                <w:b/>
                <w:sz w:val="20"/>
                <w:szCs w:val="20"/>
              </w:rPr>
              <w:t>417,757,567</w:t>
            </w:r>
          </w:p>
        </w:tc>
        <w:tc>
          <w:tcPr>
            <w:tcW w:w="1440" w:type="dxa"/>
            <w:vAlign w:val="center"/>
          </w:tcPr>
          <w:p w:rsidR="00956158" w:rsidRPr="006004C0" w:rsidP="00956158" w14:paraId="335F4C75" w14:textId="765096DB">
            <w:pPr>
              <w:pStyle w:val="NoSpacing"/>
              <w:jc w:val="right"/>
              <w:rPr>
                <w:rFonts w:ascii="Arial" w:hAnsi="Arial" w:cs="Arial"/>
                <w:b/>
                <w:sz w:val="20"/>
                <w:szCs w:val="20"/>
              </w:rPr>
            </w:pPr>
            <w:r w:rsidRPr="006004C0">
              <w:rPr>
                <w:rFonts w:ascii="Arial" w:hAnsi="Arial" w:cs="Arial"/>
                <w:b/>
                <w:sz w:val="20"/>
                <w:szCs w:val="20"/>
              </w:rPr>
              <w:t>$</w:t>
            </w:r>
            <w:r w:rsidR="00534DF6">
              <w:rPr>
                <w:rFonts w:ascii="Arial" w:hAnsi="Arial" w:cs="Arial"/>
                <w:b/>
                <w:sz w:val="20"/>
                <w:szCs w:val="20"/>
              </w:rPr>
              <w:t>374,038,822</w:t>
            </w:r>
          </w:p>
        </w:tc>
        <w:tc>
          <w:tcPr>
            <w:tcW w:w="1557" w:type="dxa"/>
            <w:vAlign w:val="center"/>
          </w:tcPr>
          <w:p w:rsidR="00956158" w:rsidRPr="006004C0" w:rsidP="00956158" w14:paraId="6A04F1E7" w14:textId="4CE9F61B">
            <w:pPr>
              <w:pStyle w:val="NoSpacing"/>
              <w:jc w:val="right"/>
              <w:rPr>
                <w:rFonts w:ascii="Arial" w:hAnsi="Arial" w:cs="Arial"/>
                <w:b/>
                <w:sz w:val="20"/>
                <w:szCs w:val="20"/>
              </w:rPr>
            </w:pPr>
            <w:r>
              <w:rPr>
                <w:rFonts w:ascii="Arial" w:hAnsi="Arial" w:cs="Arial"/>
                <w:b/>
                <w:sz w:val="20"/>
                <w:szCs w:val="20"/>
              </w:rPr>
              <w:t>-</w:t>
            </w:r>
            <w:r w:rsidRPr="006004C0">
              <w:rPr>
                <w:rFonts w:ascii="Arial" w:hAnsi="Arial" w:cs="Arial"/>
                <w:b/>
                <w:sz w:val="20"/>
                <w:szCs w:val="20"/>
              </w:rPr>
              <w:t>$</w:t>
            </w:r>
            <w:r>
              <w:rPr>
                <w:rFonts w:ascii="Arial" w:hAnsi="Arial" w:cs="Arial"/>
                <w:b/>
                <w:sz w:val="20"/>
                <w:szCs w:val="20"/>
              </w:rPr>
              <w:t>43,718,745</w:t>
            </w:r>
          </w:p>
        </w:tc>
      </w:tr>
    </w:tbl>
    <w:p w:rsidR="00956158" w:rsidP="00956158" w14:paraId="31D822CD" w14:textId="77777777">
      <w:pPr>
        <w:jc w:val="both"/>
        <w:rPr>
          <w:rFonts w:ascii="Arial" w:hAnsi="Arial" w:cs="Arial"/>
          <w:sz w:val="24"/>
        </w:rPr>
      </w:pPr>
    </w:p>
    <w:p w:rsidR="00956158" w:rsidP="00956158" w14:paraId="76F6F93F" w14:textId="01A286D4">
      <w:pPr>
        <w:jc w:val="both"/>
        <w:rPr>
          <w:rFonts w:ascii="Arial" w:hAnsi="Arial" w:cs="Arial"/>
          <w:sz w:val="24"/>
        </w:rPr>
      </w:pPr>
      <w:r>
        <w:rPr>
          <w:rFonts w:ascii="Arial" w:hAnsi="Arial" w:cs="Arial"/>
          <w:sz w:val="24"/>
          <w:u w:val="single"/>
        </w:rPr>
        <w:t>Summary of Changes</w:t>
      </w:r>
    </w:p>
    <w:p w:rsidR="00956158" w:rsidP="00956158" w14:paraId="5095847E" w14:textId="77777777">
      <w:pPr>
        <w:jc w:val="both"/>
        <w:rPr>
          <w:rFonts w:ascii="Arial" w:hAnsi="Arial" w:cs="Arial"/>
          <w:sz w:val="24"/>
        </w:rPr>
      </w:pPr>
    </w:p>
    <w:p w:rsidR="00956158" w:rsidP="00956158" w14:paraId="51905153" w14:textId="592ACCF4">
      <w:pPr>
        <w:jc w:val="both"/>
        <w:rPr>
          <w:rFonts w:ascii="Arial" w:hAnsi="Arial" w:cs="Arial"/>
          <w:sz w:val="24"/>
        </w:rPr>
      </w:pPr>
      <w:r>
        <w:rPr>
          <w:rFonts w:ascii="Arial" w:hAnsi="Arial" w:cs="Arial"/>
          <w:sz w:val="24"/>
        </w:rPr>
        <w:t xml:space="preserve">One fee series is being removed from 0651-0031. The removal of these fees results in a decrease </w:t>
      </w:r>
      <w:r w:rsidR="00534DF6">
        <w:rPr>
          <w:rFonts w:ascii="Arial" w:hAnsi="Arial" w:cs="Arial"/>
          <w:sz w:val="24"/>
        </w:rPr>
        <w:t xml:space="preserve">of $43,718,745 </w:t>
      </w:r>
      <w:r>
        <w:rPr>
          <w:rFonts w:ascii="Arial" w:hAnsi="Arial" w:cs="Arial"/>
          <w:sz w:val="24"/>
        </w:rPr>
        <w:t xml:space="preserve">in annual non-hourly burden costs. </w:t>
      </w:r>
    </w:p>
    <w:p w:rsidR="00956158" w:rsidP="00956158" w14:paraId="156D95B0" w14:textId="77777777">
      <w:pPr>
        <w:jc w:val="both"/>
        <w:rPr>
          <w:rFonts w:ascii="Arial" w:hAnsi="Arial" w:cs="Arial"/>
          <w:sz w:val="24"/>
        </w:rPr>
      </w:pPr>
    </w:p>
    <w:p w:rsidR="00956158" w:rsidP="00956158" w14:paraId="2ABE3196" w14:textId="1216D6C6">
      <w:pPr>
        <w:jc w:val="both"/>
        <w:rPr>
          <w:rFonts w:ascii="Arial" w:hAnsi="Arial" w:cs="Arial"/>
          <w:sz w:val="24"/>
        </w:rPr>
      </w:pPr>
      <w:r>
        <w:rPr>
          <w:rFonts w:ascii="Arial" w:hAnsi="Arial" w:cs="Arial"/>
          <w:sz w:val="24"/>
          <w:u w:val="single"/>
        </w:rPr>
        <w:t>Changes in Burden</w:t>
      </w:r>
    </w:p>
    <w:p w:rsidR="00956158" w:rsidP="00956158" w14:paraId="7EE8808B" w14:textId="77777777">
      <w:pPr>
        <w:jc w:val="both"/>
        <w:rPr>
          <w:rFonts w:ascii="Arial" w:hAnsi="Arial" w:cs="Arial"/>
          <w:sz w:val="24"/>
        </w:rPr>
      </w:pPr>
    </w:p>
    <w:p w:rsidR="00956158" w:rsidP="00956158" w14:paraId="45AB9792" w14:textId="0A4E60A7">
      <w:pPr>
        <w:jc w:val="both"/>
        <w:rPr>
          <w:rFonts w:ascii="Arial" w:hAnsi="Arial" w:cs="Arial"/>
          <w:sz w:val="24"/>
        </w:rPr>
      </w:pPr>
      <w:r>
        <w:rPr>
          <w:rFonts w:ascii="Arial" w:hAnsi="Arial" w:cs="Arial"/>
          <w:sz w:val="24"/>
        </w:rPr>
        <w:t>0651-0031’s revised burden is as follows:</w:t>
      </w:r>
    </w:p>
    <w:p w:rsidR="00956158" w:rsidP="00956158" w14:paraId="28D46C32" w14:textId="5B662D86">
      <w:pPr>
        <w:pStyle w:val="ListParagraph"/>
        <w:numPr>
          <w:ilvl w:val="0"/>
          <w:numId w:val="1"/>
        </w:numPr>
        <w:jc w:val="both"/>
        <w:rPr>
          <w:rFonts w:ascii="Arial" w:hAnsi="Arial" w:cs="Arial"/>
        </w:rPr>
      </w:pPr>
      <w:r>
        <w:rPr>
          <w:rFonts w:ascii="Arial" w:hAnsi="Arial" w:cs="Arial"/>
        </w:rPr>
        <w:t>2,435,597 annual responses (unchanged)</w:t>
      </w:r>
    </w:p>
    <w:p w:rsidR="00956158" w:rsidP="00956158" w14:paraId="377626D0" w14:textId="010FC8DF">
      <w:pPr>
        <w:pStyle w:val="ListParagraph"/>
        <w:numPr>
          <w:ilvl w:val="0"/>
          <w:numId w:val="1"/>
        </w:numPr>
        <w:jc w:val="both"/>
        <w:rPr>
          <w:rFonts w:ascii="Arial" w:hAnsi="Arial" w:cs="Arial"/>
        </w:rPr>
      </w:pPr>
      <w:r>
        <w:rPr>
          <w:rFonts w:ascii="Arial" w:hAnsi="Arial" w:cs="Arial"/>
        </w:rPr>
        <w:t>535,466 annual burden hours (unchanged)</w:t>
      </w:r>
    </w:p>
    <w:p w:rsidR="00956158" w:rsidRPr="00956158" w:rsidP="00956158" w14:paraId="052FF44E" w14:textId="2AE2A755">
      <w:pPr>
        <w:pStyle w:val="ListParagraph"/>
        <w:numPr>
          <w:ilvl w:val="0"/>
          <w:numId w:val="1"/>
        </w:numPr>
        <w:jc w:val="both"/>
        <w:rPr>
          <w:rFonts w:ascii="Arial" w:hAnsi="Arial" w:cs="Arial"/>
        </w:rPr>
      </w:pPr>
      <w:r>
        <w:rPr>
          <w:rFonts w:ascii="Arial" w:hAnsi="Arial" w:cs="Arial"/>
        </w:rPr>
        <w:t>$418,399,275 in annual non-hourly burden costs (changed)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D709AA"/>
    <w:multiLevelType w:val="hybridMultilevel"/>
    <w:tmpl w:val="BEF0A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788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58"/>
    <w:rsid w:val="000318FF"/>
    <w:rsid w:val="00074055"/>
    <w:rsid w:val="000D6CAC"/>
    <w:rsid w:val="000F2EB9"/>
    <w:rsid w:val="00122D11"/>
    <w:rsid w:val="00181063"/>
    <w:rsid w:val="001A637F"/>
    <w:rsid w:val="002436F5"/>
    <w:rsid w:val="003C3684"/>
    <w:rsid w:val="00454426"/>
    <w:rsid w:val="004B55C7"/>
    <w:rsid w:val="00534DF6"/>
    <w:rsid w:val="00550C30"/>
    <w:rsid w:val="00590D8E"/>
    <w:rsid w:val="006004C0"/>
    <w:rsid w:val="00714C04"/>
    <w:rsid w:val="007A332F"/>
    <w:rsid w:val="007A39B8"/>
    <w:rsid w:val="007D423D"/>
    <w:rsid w:val="007E37C1"/>
    <w:rsid w:val="008313B9"/>
    <w:rsid w:val="0089081E"/>
    <w:rsid w:val="008D1AB7"/>
    <w:rsid w:val="00912143"/>
    <w:rsid w:val="00956158"/>
    <w:rsid w:val="009A0CEA"/>
    <w:rsid w:val="009B00B8"/>
    <w:rsid w:val="009E186F"/>
    <w:rsid w:val="00AC331A"/>
    <w:rsid w:val="00B24AAB"/>
    <w:rsid w:val="00C919B0"/>
    <w:rsid w:val="00D17F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33148B"/>
  <w15:chartTrackingRefBased/>
  <w15:docId w15:val="{26ACA1FF-0C90-4BBA-8473-ABF4AFD3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15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5615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615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615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615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615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615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615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615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615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158"/>
    <w:rPr>
      <w:rFonts w:eastAsiaTheme="majorEastAsia" w:cstheme="majorBidi"/>
      <w:color w:val="272727" w:themeColor="text1" w:themeTint="D8"/>
    </w:rPr>
  </w:style>
  <w:style w:type="paragraph" w:styleId="Title">
    <w:name w:val="Title"/>
    <w:basedOn w:val="Normal"/>
    <w:next w:val="Normal"/>
    <w:link w:val="TitleChar"/>
    <w:uiPriority w:val="10"/>
    <w:qFormat/>
    <w:rsid w:val="009561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6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15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6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15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56158"/>
    <w:rPr>
      <w:i/>
      <w:iCs/>
      <w:color w:val="404040" w:themeColor="text1" w:themeTint="BF"/>
    </w:rPr>
  </w:style>
  <w:style w:type="paragraph" w:styleId="ListParagraph">
    <w:name w:val="List Paragraph"/>
    <w:basedOn w:val="Normal"/>
    <w:uiPriority w:val="34"/>
    <w:qFormat/>
    <w:rsid w:val="0095615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56158"/>
    <w:rPr>
      <w:i/>
      <w:iCs/>
      <w:color w:val="0F4761" w:themeColor="accent1" w:themeShade="BF"/>
    </w:rPr>
  </w:style>
  <w:style w:type="paragraph" w:styleId="IntenseQuote">
    <w:name w:val="Intense Quote"/>
    <w:basedOn w:val="Normal"/>
    <w:next w:val="Normal"/>
    <w:link w:val="IntenseQuoteChar"/>
    <w:uiPriority w:val="30"/>
    <w:qFormat/>
    <w:rsid w:val="009561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56158"/>
    <w:rPr>
      <w:i/>
      <w:iCs/>
      <w:color w:val="0F4761" w:themeColor="accent1" w:themeShade="BF"/>
    </w:rPr>
  </w:style>
  <w:style w:type="character" w:styleId="IntenseReference">
    <w:name w:val="Intense Reference"/>
    <w:basedOn w:val="DefaultParagraphFont"/>
    <w:uiPriority w:val="32"/>
    <w:qFormat/>
    <w:rsid w:val="00956158"/>
    <w:rPr>
      <w:b/>
      <w:bCs/>
      <w:smallCaps/>
      <w:color w:val="0F4761" w:themeColor="accent1" w:themeShade="BF"/>
      <w:spacing w:val="5"/>
    </w:rPr>
  </w:style>
  <w:style w:type="paragraph" w:styleId="NoSpacing">
    <w:name w:val="No Spacing"/>
    <w:uiPriority w:val="1"/>
    <w:qFormat/>
    <w:rsid w:val="00956158"/>
    <w:pPr>
      <w:spacing w:after="0" w:line="240" w:lineRule="auto"/>
    </w:pPr>
  </w:style>
  <w:style w:type="table" w:styleId="TableGrid">
    <w:name w:val="Table Grid"/>
    <w:basedOn w:val="TableNormal"/>
    <w:uiPriority w:val="39"/>
    <w:rsid w:val="0095615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13B9"/>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2436F5"/>
    <w:rPr>
      <w:sz w:val="16"/>
      <w:szCs w:val="16"/>
    </w:rPr>
  </w:style>
  <w:style w:type="paragraph" w:styleId="CommentText">
    <w:name w:val="annotation text"/>
    <w:basedOn w:val="Normal"/>
    <w:link w:val="CommentTextChar"/>
    <w:uiPriority w:val="99"/>
    <w:semiHidden/>
    <w:unhideWhenUsed/>
    <w:rsid w:val="002436F5"/>
  </w:style>
  <w:style w:type="character" w:customStyle="1" w:styleId="CommentTextChar">
    <w:name w:val="Comment Text Char"/>
    <w:basedOn w:val="DefaultParagraphFont"/>
    <w:link w:val="CommentText"/>
    <w:uiPriority w:val="99"/>
    <w:semiHidden/>
    <w:rsid w:val="002436F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36F5"/>
    <w:rPr>
      <w:b/>
      <w:bCs/>
    </w:rPr>
  </w:style>
  <w:style w:type="character" w:customStyle="1" w:styleId="CommentSubjectChar">
    <w:name w:val="Comment Subject Char"/>
    <w:basedOn w:val="CommentTextChar"/>
    <w:link w:val="CommentSubject"/>
    <w:uiPriority w:val="99"/>
    <w:semiHidden/>
    <w:rsid w:val="002436F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3</cp:revision>
  <dcterms:created xsi:type="dcterms:W3CDTF">2025-07-03T16:32:00Z</dcterms:created>
  <dcterms:modified xsi:type="dcterms:W3CDTF">2025-07-03T19:27:00Z</dcterms:modified>
</cp:coreProperties>
</file>