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64C11" w:rsidP="002C006C" w14:paraId="1168E03A" w14:textId="77777777">
      <w:pPr>
        <w:pStyle w:val="NormalWeb"/>
        <w:spacing w:line="288" w:lineRule="atLeast"/>
      </w:pPr>
      <w:bookmarkStart w:id="0" w:name="cs31c"/>
    </w:p>
    <w:p w:rsidR="005E0A0F" w:rsidRPr="0099528C" w:rsidP="00EE2985" w14:paraId="7F6EC0DF" w14:textId="77777777">
      <w:pPr>
        <w:pStyle w:val="NormalWeb"/>
        <w:spacing w:line="288" w:lineRule="atLeast"/>
        <w:ind w:firstLine="480"/>
        <w:jc w:val="center"/>
        <w:rPr>
          <w:rFonts w:ascii="Cambria" w:hAnsi="Cambria" w:cs="Calibri Light"/>
          <w:sz w:val="28"/>
          <w:szCs w:val="28"/>
          <w:u w:val="single"/>
        </w:rPr>
      </w:pPr>
      <w:bookmarkStart w:id="1" w:name="cs31d"/>
      <w:bookmarkEnd w:id="0"/>
      <w:r w:rsidRPr="0099528C">
        <w:rPr>
          <w:rFonts w:ascii="Cambria" w:hAnsi="Cambria" w:cs="Calibri Light"/>
          <w:sz w:val="28"/>
          <w:szCs w:val="28"/>
          <w:u w:val="single"/>
        </w:rPr>
        <w:t>SUPPORTING STATEMENT</w:t>
      </w:r>
      <w:r w:rsidRPr="0099528C" w:rsidR="006F3F40">
        <w:rPr>
          <w:rFonts w:ascii="Cambria" w:hAnsi="Cambria" w:cs="Calibri Light"/>
          <w:sz w:val="28"/>
          <w:szCs w:val="28"/>
          <w:u w:val="single"/>
        </w:rPr>
        <w:t xml:space="preserve"> – PART B</w:t>
      </w:r>
    </w:p>
    <w:p w:rsidR="005E0A0F" w:rsidRPr="0099528C" w:rsidP="00EE2985" w14:paraId="56EA26DE" w14:textId="77777777">
      <w:pPr>
        <w:pStyle w:val="NormalWeb"/>
        <w:spacing w:line="288" w:lineRule="atLeast"/>
        <w:rPr>
          <w:rFonts w:ascii="Cambria" w:hAnsi="Cambria" w:cs="Calibri Light"/>
          <w:u w:val="single"/>
        </w:rPr>
      </w:pPr>
      <w:bookmarkStart w:id="2" w:name="cs32"/>
      <w:bookmarkEnd w:id="1"/>
      <w:r w:rsidRPr="0099528C">
        <w:rPr>
          <w:rFonts w:ascii="Cambria" w:hAnsi="Cambria" w:cs="Calibri Light"/>
        </w:rPr>
        <w:t xml:space="preserve">B.  </w:t>
      </w:r>
      <w:r w:rsidRPr="0099528C">
        <w:rPr>
          <w:rFonts w:ascii="Cambria" w:hAnsi="Cambria" w:cs="Calibri Light"/>
          <w:u w:val="single"/>
        </w:rPr>
        <w:t>COLLECTIONS OF INFORMATION EMPLOYING STATISTICAL METHODS</w:t>
      </w:r>
    </w:p>
    <w:bookmarkEnd w:id="2"/>
    <w:p w:rsidR="005E0A0F" w:rsidRPr="0099528C" w:rsidP="00B91B89" w14:paraId="6FE1F63A" w14:textId="5FB5360E">
      <w:pPr>
        <w:pStyle w:val="NormalWeb"/>
        <w:spacing w:before="0" w:beforeAutospacing="0" w:after="0" w:afterAutospacing="0" w:line="288" w:lineRule="atLeast"/>
        <w:rPr>
          <w:rFonts w:ascii="Cambria" w:hAnsi="Cambria" w:cs="Calibri Light"/>
        </w:rPr>
      </w:pPr>
      <w:r w:rsidRPr="0099528C">
        <w:rPr>
          <w:rFonts w:ascii="Cambria" w:hAnsi="Cambria" w:cs="Calibri Light"/>
        </w:rPr>
        <w:t xml:space="preserve">1.  </w:t>
      </w:r>
      <w:r w:rsidRPr="0099528C">
        <w:rPr>
          <w:rFonts w:ascii="Cambria" w:hAnsi="Cambria" w:cs="Calibri Light"/>
          <w:u w:val="single"/>
        </w:rPr>
        <w:t>Description of the Activity</w:t>
      </w:r>
      <w:r w:rsidRPr="0099528C" w:rsidR="00076309">
        <w:rPr>
          <w:rFonts w:ascii="Cambria" w:hAnsi="Cambria" w:cs="Calibri Light"/>
        </w:rPr>
        <w:t xml:space="preserve"> </w:t>
      </w:r>
    </w:p>
    <w:p w:rsidR="00B10A24" w:rsidP="00B10A24" w14:paraId="6FBEC5DA" w14:textId="77777777">
      <w:pPr>
        <w:pStyle w:val="NormalWeb"/>
        <w:spacing w:before="0" w:beforeAutospacing="0" w:after="0" w:afterAutospacing="0" w:line="288" w:lineRule="atLeast"/>
        <w:rPr>
          <w:rFonts w:ascii="Cambria" w:hAnsi="Cambria" w:cs="Calibri Light"/>
          <w:iCs/>
          <w:color w:val="4472C4" w:themeColor="accent1"/>
        </w:rPr>
      </w:pPr>
    </w:p>
    <w:p w:rsidR="00B10A24" w:rsidRPr="00187EE1" w:rsidP="00B10A24" w14:paraId="7DD512AD" w14:textId="45404DB5">
      <w:pPr>
        <w:pStyle w:val="NormalWeb"/>
        <w:spacing w:before="0" w:beforeAutospacing="0" w:after="0" w:afterAutospacing="0" w:line="288" w:lineRule="atLeast"/>
        <w:rPr>
          <w:rFonts w:ascii="Cambria" w:hAnsi="Cambria" w:cs="Calibri Light"/>
          <w:iCs/>
        </w:rPr>
      </w:pPr>
      <w:r w:rsidRPr="00187EE1">
        <w:rPr>
          <w:rFonts w:ascii="Cambria" w:hAnsi="Cambria" w:cs="Calibri Light"/>
          <w:iCs/>
        </w:rPr>
        <w:t xml:space="preserve">The purpose of the data collection effort is to better understand service members experiences with family planning services provided by both DoD and community providers as well as their understanding of recently enacted DoD policies related to access to reproductive health care. This study will highlight areas related to family planning that may threaten </w:t>
      </w:r>
      <w:r w:rsidRPr="00187EE1" w:rsidR="00187EE1">
        <w:rPr>
          <w:rFonts w:ascii="Cambria" w:hAnsi="Cambria" w:cs="Calibri Light"/>
          <w:iCs/>
        </w:rPr>
        <w:t>DoD</w:t>
      </w:r>
      <w:r w:rsidR="00187EE1">
        <w:rPr>
          <w:rFonts w:ascii="Cambria" w:hAnsi="Cambria" w:cs="Calibri Light"/>
          <w:iCs/>
        </w:rPr>
        <w:t>’s</w:t>
      </w:r>
      <w:r w:rsidRPr="00187EE1">
        <w:rPr>
          <w:rFonts w:ascii="Cambria" w:hAnsi="Cambria" w:cs="Calibri Light"/>
          <w:iCs/>
        </w:rPr>
        <w:t xml:space="preserve"> ability to field a ready and lethal force. It will also point to areas where DoD may need to augment or develop care, programs, services, or policies that provide needed reproductive health care and family planning services to the force in order to maintain and enhance health, readiness, retention, and lethality.</w:t>
      </w:r>
    </w:p>
    <w:p w:rsidR="00B10A24" w:rsidRPr="00187EE1" w:rsidP="00B10A24" w14:paraId="471B894C" w14:textId="77777777">
      <w:pPr>
        <w:pStyle w:val="NormalWeb"/>
        <w:spacing w:before="0" w:beforeAutospacing="0" w:after="0" w:afterAutospacing="0" w:line="288" w:lineRule="atLeast"/>
        <w:rPr>
          <w:rFonts w:ascii="Cambria" w:hAnsi="Cambria" w:cs="Calibri Light"/>
          <w:iCs/>
        </w:rPr>
      </w:pPr>
    </w:p>
    <w:p w:rsidR="00B10A24" w:rsidRPr="00187EE1" w:rsidP="00B10A24" w14:paraId="3D194B24" w14:textId="28BC0C77">
      <w:pPr>
        <w:pStyle w:val="NormalWeb"/>
        <w:spacing w:before="0" w:beforeAutospacing="0" w:after="0" w:afterAutospacing="0" w:line="288" w:lineRule="atLeast"/>
        <w:rPr>
          <w:rFonts w:ascii="Cambria" w:hAnsi="Cambria" w:cs="Calibri Light"/>
          <w:iCs/>
        </w:rPr>
      </w:pPr>
      <w:r w:rsidRPr="00187EE1">
        <w:rPr>
          <w:rFonts w:ascii="Cambria" w:hAnsi="Cambria" w:cs="Calibri Light"/>
          <w:iCs/>
        </w:rPr>
        <w:t xml:space="preserve">Respondents include approximately 4,800 active duty service members from all service branches (below the rank of flag officer) at 24 CONUS installations. Data will be collected via 60-minute focus group. These focus groups will be in-person, conducted separately by </w:t>
      </w:r>
      <w:r w:rsidRPr="00187EE1" w:rsidR="00C24D03">
        <w:rPr>
          <w:rFonts w:ascii="Cambria" w:hAnsi="Cambria" w:cs="Calibri Light"/>
          <w:iCs/>
        </w:rPr>
        <w:t xml:space="preserve">sex </w:t>
      </w:r>
      <w:r w:rsidRPr="00187EE1">
        <w:rPr>
          <w:rFonts w:ascii="Cambria" w:hAnsi="Cambria" w:cs="Calibri Light"/>
          <w:iCs/>
        </w:rPr>
        <w:t xml:space="preserve">(i.e., men vs women) and rank (i.e., E1-E4, E5-E6, E7-E9/W1-W5, O1-O3, O4-O5, O6). Each group will be led by one facilitator and include one notetaker. Consent will be obtained verbally at the beginning of each </w:t>
      </w:r>
      <w:r w:rsidRPr="00187EE1" w:rsidR="009A3F51">
        <w:rPr>
          <w:rFonts w:ascii="Cambria" w:hAnsi="Cambria" w:cs="Calibri Light"/>
          <w:iCs/>
        </w:rPr>
        <w:t>session,</w:t>
      </w:r>
      <w:r w:rsidRPr="00187EE1">
        <w:rPr>
          <w:rFonts w:ascii="Cambria" w:hAnsi="Cambria" w:cs="Calibri Light"/>
          <w:iCs/>
        </w:rPr>
        <w:t xml:space="preserve"> and each participant will receive an information sheet containing the consent information. A recruitment flyer will be used to assist installation POCs with recruitment. Focus group topics include family planning services, contraception and contraceptives, fertility and infertility, pregnancy, and abortion services.</w:t>
      </w:r>
    </w:p>
    <w:p w:rsidR="00C44ADD" w:rsidRPr="00187EE1" w:rsidP="00C44ADD" w14:paraId="0E191D7C" w14:textId="77777777">
      <w:pPr>
        <w:rPr>
          <w:rFonts w:ascii="Cambria" w:hAnsi="Cambria" w:cs="Arial"/>
        </w:rPr>
      </w:pPr>
    </w:p>
    <w:p w:rsidR="00C44ADD" w:rsidRPr="00187EE1" w:rsidP="00C44ADD" w14:paraId="42F4F514" w14:textId="297A230A">
      <w:pPr>
        <w:rPr>
          <w:rFonts w:ascii="Cambria" w:hAnsi="Cambria" w:cs="Arial"/>
        </w:rPr>
      </w:pPr>
      <w:r w:rsidRPr="00187EE1">
        <w:rPr>
          <w:rFonts w:ascii="Cambria" w:hAnsi="Cambria" w:cs="Arial"/>
        </w:rPr>
        <w:t xml:space="preserve">Below is the proposed sample size by pay grade and </w:t>
      </w:r>
      <w:r w:rsidRPr="00187EE1" w:rsidR="00C24D03">
        <w:rPr>
          <w:rFonts w:ascii="Cambria" w:hAnsi="Cambria" w:cs="Arial"/>
        </w:rPr>
        <w:t>sex</w:t>
      </w:r>
      <w:r w:rsidRPr="00187EE1">
        <w:rPr>
          <w:rFonts w:ascii="Cambria" w:hAnsi="Cambria" w:cs="Arial"/>
        </w:rPr>
        <w:t>. As these are focus groups, response rates do not apply.</w:t>
      </w:r>
    </w:p>
    <w:p w:rsidR="00C44ADD" w:rsidRPr="00187EE1" w:rsidP="00C44ADD" w14:paraId="4A6AD156" w14:textId="77777777">
      <w:pPr>
        <w:ind w:left="2160"/>
        <w:rPr>
          <w:rFonts w:ascii="Cambria" w:hAnsi="Cambria" w:cs="Arial"/>
        </w:rPr>
      </w:pPr>
    </w:p>
    <w:tbl>
      <w:tblPr>
        <w:tblStyle w:val="TableGrid1"/>
        <w:tblW w:w="0" w:type="auto"/>
        <w:jc w:val="center"/>
        <w:tblLook w:val="04A0"/>
      </w:tblPr>
      <w:tblGrid>
        <w:gridCol w:w="1885"/>
        <w:gridCol w:w="1404"/>
        <w:gridCol w:w="1404"/>
      </w:tblGrid>
      <w:tr w14:paraId="30AECD92" w14:textId="77777777" w:rsidTr="00C44ADD">
        <w:tblPrEx>
          <w:tblW w:w="0" w:type="auto"/>
          <w:jc w:val="center"/>
          <w:tblLook w:val="04A0"/>
        </w:tblPrEx>
        <w:trPr>
          <w:trHeight w:val="315"/>
          <w:jc w:val="center"/>
        </w:trPr>
        <w:tc>
          <w:tcPr>
            <w:tcW w:w="1885" w:type="dxa"/>
            <w:tcBorders>
              <w:top w:val="single" w:sz="4" w:space="0" w:color="auto"/>
              <w:left w:val="single" w:sz="4" w:space="0" w:color="auto"/>
              <w:bottom w:val="single" w:sz="4" w:space="0" w:color="auto"/>
              <w:right w:val="single" w:sz="4" w:space="0" w:color="auto"/>
            </w:tcBorders>
            <w:noWrap/>
            <w:hideMark/>
          </w:tcPr>
          <w:p w:rsidR="00C44ADD" w:rsidRPr="00187EE1" w14:paraId="7EEDBE9C" w14:textId="77777777">
            <w:pPr>
              <w:rPr>
                <w:rFonts w:ascii="Cambria" w:hAnsi="Cambria"/>
                <w:b/>
                <w:bCs/>
              </w:rPr>
            </w:pPr>
            <w:r w:rsidRPr="00187EE1">
              <w:rPr>
                <w:rFonts w:ascii="Cambria" w:hAnsi="Cambria"/>
                <w:b/>
                <w:bCs/>
              </w:rPr>
              <w:t>Pay Grade</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01B655DF" w14:textId="4D9F103F">
            <w:pPr>
              <w:rPr>
                <w:rFonts w:ascii="Cambria" w:hAnsi="Cambria"/>
                <w:b/>
                <w:bCs/>
              </w:rPr>
            </w:pPr>
            <w:r w:rsidRPr="00187EE1">
              <w:rPr>
                <w:rFonts w:ascii="Cambria" w:hAnsi="Cambria"/>
                <w:b/>
                <w:bCs/>
              </w:rPr>
              <w:t>Sex</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4B08EE67" w14:textId="77777777">
            <w:pPr>
              <w:jc w:val="center"/>
              <w:rPr>
                <w:rFonts w:ascii="Cambria" w:hAnsi="Cambria"/>
                <w:b/>
                <w:bCs/>
              </w:rPr>
            </w:pPr>
            <w:r w:rsidRPr="00187EE1">
              <w:rPr>
                <w:rFonts w:ascii="Cambria" w:hAnsi="Cambria"/>
                <w:b/>
                <w:bCs/>
              </w:rPr>
              <w:t>Number</w:t>
            </w:r>
          </w:p>
        </w:tc>
      </w:tr>
      <w:tr w14:paraId="4DB6DF4F" w14:textId="77777777" w:rsidTr="00C44ADD">
        <w:tblPrEx>
          <w:tblW w:w="0" w:type="auto"/>
          <w:jc w:val="center"/>
          <w:tblLook w:val="04A0"/>
        </w:tblPrEx>
        <w:trPr>
          <w:trHeight w:val="315"/>
          <w:jc w:val="center"/>
        </w:trPr>
        <w:tc>
          <w:tcPr>
            <w:tcW w:w="1885" w:type="dxa"/>
            <w:tcBorders>
              <w:top w:val="single" w:sz="4" w:space="0" w:color="auto"/>
              <w:left w:val="single" w:sz="4" w:space="0" w:color="auto"/>
              <w:bottom w:val="single" w:sz="4" w:space="0" w:color="auto"/>
              <w:right w:val="single" w:sz="4" w:space="0" w:color="auto"/>
            </w:tcBorders>
            <w:noWrap/>
            <w:hideMark/>
          </w:tcPr>
          <w:p w:rsidR="00C44ADD" w:rsidRPr="00187EE1" w14:paraId="3D1136F3" w14:textId="77777777">
            <w:pPr>
              <w:rPr>
                <w:rFonts w:ascii="Cambria" w:hAnsi="Cambria"/>
              </w:rPr>
            </w:pPr>
            <w:r w:rsidRPr="00187EE1">
              <w:rPr>
                <w:rFonts w:ascii="Cambria" w:hAnsi="Cambria"/>
              </w:rPr>
              <w:t>E1-E4</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5875EB1B" w14:textId="77777777">
            <w:pPr>
              <w:rPr>
                <w:rFonts w:ascii="Cambria" w:hAnsi="Cambria"/>
              </w:rPr>
            </w:pPr>
            <w:r w:rsidRPr="00187EE1">
              <w:rPr>
                <w:rFonts w:ascii="Cambria" w:hAnsi="Cambria"/>
              </w:rPr>
              <w:t>Male</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3EC95B0D" w14:textId="5A9FD949">
            <w:pPr>
              <w:jc w:val="center"/>
              <w:rPr>
                <w:rFonts w:ascii="Cambria" w:hAnsi="Cambria"/>
              </w:rPr>
            </w:pPr>
            <w:r w:rsidRPr="00187EE1">
              <w:rPr>
                <w:rFonts w:ascii="Cambria" w:hAnsi="Cambria"/>
              </w:rPr>
              <w:t>480</w:t>
            </w:r>
          </w:p>
        </w:tc>
      </w:tr>
      <w:tr w14:paraId="2A616F95" w14:textId="77777777" w:rsidTr="00C44ADD">
        <w:tblPrEx>
          <w:tblW w:w="0" w:type="auto"/>
          <w:jc w:val="center"/>
          <w:tblLook w:val="04A0"/>
        </w:tblPrEx>
        <w:trPr>
          <w:trHeight w:val="315"/>
          <w:jc w:val="center"/>
        </w:trPr>
        <w:tc>
          <w:tcPr>
            <w:tcW w:w="1885" w:type="dxa"/>
            <w:tcBorders>
              <w:top w:val="single" w:sz="4" w:space="0" w:color="auto"/>
              <w:left w:val="single" w:sz="4" w:space="0" w:color="auto"/>
              <w:bottom w:val="single" w:sz="4" w:space="0" w:color="auto"/>
              <w:right w:val="single" w:sz="4" w:space="0" w:color="auto"/>
            </w:tcBorders>
            <w:noWrap/>
            <w:hideMark/>
          </w:tcPr>
          <w:p w:rsidR="00C44ADD" w:rsidRPr="00187EE1" w14:paraId="7BA1AE84" w14:textId="77777777">
            <w:pPr>
              <w:rPr>
                <w:rFonts w:ascii="Cambria" w:hAnsi="Cambria"/>
              </w:rPr>
            </w:pPr>
            <w:r w:rsidRPr="00187EE1">
              <w:rPr>
                <w:rFonts w:ascii="Cambria" w:hAnsi="Cambria"/>
              </w:rPr>
              <w:t>E1-E4</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04B0EF79" w14:textId="77777777">
            <w:pPr>
              <w:rPr>
                <w:rFonts w:ascii="Cambria" w:hAnsi="Cambria"/>
              </w:rPr>
            </w:pPr>
            <w:r w:rsidRPr="00187EE1">
              <w:rPr>
                <w:rFonts w:ascii="Cambria" w:hAnsi="Cambria"/>
              </w:rPr>
              <w:t>Female</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12DFAFA1" w14:textId="4845AF3D">
            <w:pPr>
              <w:jc w:val="center"/>
              <w:rPr>
                <w:rFonts w:ascii="Cambria" w:hAnsi="Cambria"/>
              </w:rPr>
            </w:pPr>
            <w:r w:rsidRPr="00187EE1">
              <w:rPr>
                <w:rFonts w:ascii="Cambria" w:hAnsi="Cambria"/>
              </w:rPr>
              <w:t>480</w:t>
            </w:r>
          </w:p>
        </w:tc>
      </w:tr>
      <w:tr w14:paraId="66E77EC8" w14:textId="77777777" w:rsidTr="00C44ADD">
        <w:tblPrEx>
          <w:tblW w:w="0" w:type="auto"/>
          <w:jc w:val="center"/>
          <w:tblLook w:val="04A0"/>
        </w:tblPrEx>
        <w:trPr>
          <w:trHeight w:val="315"/>
          <w:jc w:val="center"/>
        </w:trPr>
        <w:tc>
          <w:tcPr>
            <w:tcW w:w="1885" w:type="dxa"/>
            <w:tcBorders>
              <w:top w:val="single" w:sz="4" w:space="0" w:color="auto"/>
              <w:left w:val="single" w:sz="4" w:space="0" w:color="auto"/>
              <w:bottom w:val="single" w:sz="4" w:space="0" w:color="auto"/>
              <w:right w:val="single" w:sz="4" w:space="0" w:color="auto"/>
            </w:tcBorders>
            <w:noWrap/>
            <w:hideMark/>
          </w:tcPr>
          <w:p w:rsidR="00C44ADD" w:rsidRPr="00187EE1" w14:paraId="77027487" w14:textId="574C4A80">
            <w:pPr>
              <w:rPr>
                <w:rFonts w:ascii="Cambria" w:hAnsi="Cambria"/>
              </w:rPr>
            </w:pPr>
            <w:r w:rsidRPr="00187EE1">
              <w:rPr>
                <w:rFonts w:ascii="Cambria" w:hAnsi="Cambria"/>
              </w:rPr>
              <w:t>O1-O3</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343D513C" w14:textId="77777777">
            <w:pPr>
              <w:rPr>
                <w:rFonts w:ascii="Cambria" w:hAnsi="Cambria"/>
              </w:rPr>
            </w:pPr>
            <w:r w:rsidRPr="00187EE1">
              <w:rPr>
                <w:rFonts w:ascii="Cambria" w:hAnsi="Cambria"/>
              </w:rPr>
              <w:t>Male</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2F623DBE" w14:textId="6133CC25">
            <w:pPr>
              <w:jc w:val="center"/>
              <w:rPr>
                <w:rFonts w:ascii="Cambria" w:hAnsi="Cambria"/>
              </w:rPr>
            </w:pPr>
            <w:r w:rsidRPr="00187EE1">
              <w:rPr>
                <w:rFonts w:ascii="Cambria" w:hAnsi="Cambria"/>
              </w:rPr>
              <w:t>480</w:t>
            </w:r>
          </w:p>
        </w:tc>
      </w:tr>
      <w:tr w14:paraId="6AC72883" w14:textId="77777777" w:rsidTr="00C44ADD">
        <w:tblPrEx>
          <w:tblW w:w="0" w:type="auto"/>
          <w:jc w:val="center"/>
          <w:tblLook w:val="04A0"/>
        </w:tblPrEx>
        <w:trPr>
          <w:trHeight w:val="315"/>
          <w:jc w:val="center"/>
        </w:trPr>
        <w:tc>
          <w:tcPr>
            <w:tcW w:w="1885" w:type="dxa"/>
            <w:tcBorders>
              <w:top w:val="single" w:sz="4" w:space="0" w:color="auto"/>
              <w:left w:val="single" w:sz="4" w:space="0" w:color="auto"/>
              <w:bottom w:val="single" w:sz="4" w:space="0" w:color="auto"/>
              <w:right w:val="single" w:sz="4" w:space="0" w:color="auto"/>
            </w:tcBorders>
            <w:noWrap/>
            <w:hideMark/>
          </w:tcPr>
          <w:p w:rsidR="00C44ADD" w:rsidRPr="00187EE1" w14:paraId="59F7B9E9" w14:textId="4BB6CECB">
            <w:pPr>
              <w:rPr>
                <w:rFonts w:ascii="Cambria" w:hAnsi="Cambria"/>
              </w:rPr>
            </w:pPr>
            <w:r w:rsidRPr="00187EE1">
              <w:rPr>
                <w:rFonts w:ascii="Cambria" w:hAnsi="Cambria"/>
              </w:rPr>
              <w:t>O1-O3</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0FA41822" w14:textId="77777777">
            <w:pPr>
              <w:rPr>
                <w:rFonts w:ascii="Cambria" w:hAnsi="Cambria"/>
              </w:rPr>
            </w:pPr>
            <w:r w:rsidRPr="00187EE1">
              <w:rPr>
                <w:rFonts w:ascii="Cambria" w:hAnsi="Cambria"/>
              </w:rPr>
              <w:t>Female</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253E86D4" w14:textId="46F843FD">
            <w:pPr>
              <w:jc w:val="center"/>
              <w:rPr>
                <w:rFonts w:ascii="Cambria" w:hAnsi="Cambria"/>
              </w:rPr>
            </w:pPr>
            <w:r w:rsidRPr="00187EE1">
              <w:rPr>
                <w:rFonts w:ascii="Cambria" w:hAnsi="Cambria"/>
              </w:rPr>
              <w:t>480</w:t>
            </w:r>
          </w:p>
        </w:tc>
      </w:tr>
      <w:tr w14:paraId="6D676E4A" w14:textId="77777777" w:rsidTr="00C44ADD">
        <w:tblPrEx>
          <w:tblW w:w="0" w:type="auto"/>
          <w:jc w:val="center"/>
          <w:tblLook w:val="04A0"/>
        </w:tblPrEx>
        <w:trPr>
          <w:trHeight w:val="315"/>
          <w:jc w:val="center"/>
        </w:trPr>
        <w:tc>
          <w:tcPr>
            <w:tcW w:w="1885" w:type="dxa"/>
            <w:tcBorders>
              <w:top w:val="single" w:sz="4" w:space="0" w:color="auto"/>
              <w:left w:val="single" w:sz="4" w:space="0" w:color="auto"/>
              <w:bottom w:val="single" w:sz="4" w:space="0" w:color="auto"/>
              <w:right w:val="single" w:sz="4" w:space="0" w:color="auto"/>
            </w:tcBorders>
            <w:noWrap/>
            <w:hideMark/>
          </w:tcPr>
          <w:p w:rsidR="00C44ADD" w:rsidRPr="00187EE1" w14:paraId="756A1DF3" w14:textId="77777777">
            <w:pPr>
              <w:rPr>
                <w:rFonts w:ascii="Cambria" w:hAnsi="Cambria"/>
              </w:rPr>
            </w:pPr>
            <w:r w:rsidRPr="00187EE1">
              <w:rPr>
                <w:rFonts w:ascii="Cambria" w:hAnsi="Cambria"/>
              </w:rPr>
              <w:t>E5-E6</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030BF6EE" w14:textId="77777777">
            <w:pPr>
              <w:rPr>
                <w:rFonts w:ascii="Cambria" w:hAnsi="Cambria"/>
              </w:rPr>
            </w:pPr>
            <w:r w:rsidRPr="00187EE1">
              <w:rPr>
                <w:rFonts w:ascii="Cambria" w:hAnsi="Cambria"/>
              </w:rPr>
              <w:t>Male</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7D0CC17A" w14:textId="16730CF3">
            <w:pPr>
              <w:jc w:val="center"/>
              <w:rPr>
                <w:rFonts w:ascii="Cambria" w:hAnsi="Cambria"/>
              </w:rPr>
            </w:pPr>
            <w:r w:rsidRPr="00187EE1">
              <w:rPr>
                <w:rFonts w:ascii="Cambria" w:hAnsi="Cambria"/>
              </w:rPr>
              <w:t>480</w:t>
            </w:r>
          </w:p>
        </w:tc>
      </w:tr>
      <w:tr w14:paraId="7CF0719C" w14:textId="77777777" w:rsidTr="00C44ADD">
        <w:tblPrEx>
          <w:tblW w:w="0" w:type="auto"/>
          <w:jc w:val="center"/>
          <w:tblLook w:val="04A0"/>
        </w:tblPrEx>
        <w:trPr>
          <w:trHeight w:val="315"/>
          <w:jc w:val="center"/>
        </w:trPr>
        <w:tc>
          <w:tcPr>
            <w:tcW w:w="1885" w:type="dxa"/>
            <w:tcBorders>
              <w:top w:val="single" w:sz="4" w:space="0" w:color="auto"/>
              <w:left w:val="single" w:sz="4" w:space="0" w:color="auto"/>
              <w:bottom w:val="single" w:sz="4" w:space="0" w:color="auto"/>
              <w:right w:val="single" w:sz="4" w:space="0" w:color="auto"/>
            </w:tcBorders>
            <w:noWrap/>
            <w:hideMark/>
          </w:tcPr>
          <w:p w:rsidR="00C44ADD" w:rsidRPr="00187EE1" w14:paraId="33FEFF4D" w14:textId="77777777">
            <w:pPr>
              <w:rPr>
                <w:rFonts w:ascii="Cambria" w:hAnsi="Cambria"/>
              </w:rPr>
            </w:pPr>
            <w:r w:rsidRPr="00187EE1">
              <w:rPr>
                <w:rFonts w:ascii="Cambria" w:hAnsi="Cambria"/>
              </w:rPr>
              <w:t>E5-E6</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5894EE89" w14:textId="77777777">
            <w:pPr>
              <w:rPr>
                <w:rFonts w:ascii="Cambria" w:hAnsi="Cambria"/>
              </w:rPr>
            </w:pPr>
            <w:r w:rsidRPr="00187EE1">
              <w:rPr>
                <w:rFonts w:ascii="Cambria" w:hAnsi="Cambria"/>
              </w:rPr>
              <w:t>Female</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648FD522" w14:textId="7FDE21FD">
            <w:pPr>
              <w:jc w:val="center"/>
              <w:rPr>
                <w:rFonts w:ascii="Cambria" w:hAnsi="Cambria"/>
              </w:rPr>
            </w:pPr>
            <w:r w:rsidRPr="00187EE1">
              <w:rPr>
                <w:rFonts w:ascii="Cambria" w:hAnsi="Cambria"/>
              </w:rPr>
              <w:t>480</w:t>
            </w:r>
          </w:p>
        </w:tc>
      </w:tr>
      <w:tr w14:paraId="6BB68083" w14:textId="77777777" w:rsidTr="00C44ADD">
        <w:tblPrEx>
          <w:tblW w:w="0" w:type="auto"/>
          <w:jc w:val="center"/>
          <w:tblLook w:val="04A0"/>
        </w:tblPrEx>
        <w:trPr>
          <w:trHeight w:val="315"/>
          <w:jc w:val="center"/>
        </w:trPr>
        <w:tc>
          <w:tcPr>
            <w:tcW w:w="1885" w:type="dxa"/>
            <w:tcBorders>
              <w:top w:val="single" w:sz="4" w:space="0" w:color="auto"/>
              <w:left w:val="single" w:sz="4" w:space="0" w:color="auto"/>
              <w:bottom w:val="single" w:sz="4" w:space="0" w:color="auto"/>
              <w:right w:val="single" w:sz="4" w:space="0" w:color="auto"/>
            </w:tcBorders>
            <w:noWrap/>
            <w:hideMark/>
          </w:tcPr>
          <w:p w:rsidR="00C44ADD" w:rsidRPr="00187EE1" w14:paraId="2F435BF8" w14:textId="37CA2A79">
            <w:pPr>
              <w:rPr>
                <w:rFonts w:ascii="Cambria" w:hAnsi="Cambria"/>
              </w:rPr>
            </w:pPr>
            <w:r w:rsidRPr="00187EE1">
              <w:rPr>
                <w:rFonts w:ascii="Cambria" w:hAnsi="Cambria"/>
              </w:rPr>
              <w:t>O4-O5</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462BFAF5" w14:textId="77777777">
            <w:pPr>
              <w:rPr>
                <w:rFonts w:ascii="Cambria" w:hAnsi="Cambria"/>
              </w:rPr>
            </w:pPr>
            <w:r w:rsidRPr="00187EE1">
              <w:rPr>
                <w:rFonts w:ascii="Cambria" w:hAnsi="Cambria"/>
              </w:rPr>
              <w:t>Male</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204755E2" w14:textId="7179C836">
            <w:pPr>
              <w:jc w:val="center"/>
              <w:rPr>
                <w:rFonts w:ascii="Cambria" w:hAnsi="Cambria"/>
              </w:rPr>
            </w:pPr>
            <w:r w:rsidRPr="00187EE1">
              <w:rPr>
                <w:rFonts w:ascii="Cambria" w:hAnsi="Cambria"/>
              </w:rPr>
              <w:t>480</w:t>
            </w:r>
          </w:p>
        </w:tc>
      </w:tr>
      <w:tr w14:paraId="45BDE029" w14:textId="77777777" w:rsidTr="00C44ADD">
        <w:tblPrEx>
          <w:tblW w:w="0" w:type="auto"/>
          <w:jc w:val="center"/>
          <w:tblLook w:val="04A0"/>
        </w:tblPrEx>
        <w:trPr>
          <w:trHeight w:val="315"/>
          <w:jc w:val="center"/>
        </w:trPr>
        <w:tc>
          <w:tcPr>
            <w:tcW w:w="1885" w:type="dxa"/>
            <w:tcBorders>
              <w:top w:val="single" w:sz="4" w:space="0" w:color="auto"/>
              <w:left w:val="single" w:sz="4" w:space="0" w:color="auto"/>
              <w:bottom w:val="single" w:sz="4" w:space="0" w:color="auto"/>
              <w:right w:val="single" w:sz="4" w:space="0" w:color="auto"/>
            </w:tcBorders>
            <w:noWrap/>
            <w:hideMark/>
          </w:tcPr>
          <w:p w:rsidR="00C44ADD" w:rsidRPr="00187EE1" w14:paraId="536D1162" w14:textId="0F4BA4E7">
            <w:pPr>
              <w:rPr>
                <w:rFonts w:ascii="Cambria" w:hAnsi="Cambria"/>
              </w:rPr>
            </w:pPr>
            <w:r w:rsidRPr="00187EE1">
              <w:rPr>
                <w:rFonts w:ascii="Cambria" w:hAnsi="Cambria"/>
              </w:rPr>
              <w:t>O4-O5</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1A40B6BE" w14:textId="77777777">
            <w:pPr>
              <w:rPr>
                <w:rFonts w:ascii="Cambria" w:hAnsi="Cambria"/>
              </w:rPr>
            </w:pPr>
            <w:r w:rsidRPr="00187EE1">
              <w:rPr>
                <w:rFonts w:ascii="Cambria" w:hAnsi="Cambria"/>
              </w:rPr>
              <w:t>Female</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3FAF5E35" w14:textId="6566B733">
            <w:pPr>
              <w:jc w:val="center"/>
              <w:rPr>
                <w:rFonts w:ascii="Cambria" w:hAnsi="Cambria"/>
              </w:rPr>
            </w:pPr>
            <w:r w:rsidRPr="00187EE1">
              <w:rPr>
                <w:rFonts w:ascii="Cambria" w:hAnsi="Cambria"/>
              </w:rPr>
              <w:t>480</w:t>
            </w:r>
          </w:p>
        </w:tc>
      </w:tr>
      <w:tr w14:paraId="1168A9E7" w14:textId="77777777" w:rsidTr="00C44ADD">
        <w:tblPrEx>
          <w:tblW w:w="0" w:type="auto"/>
          <w:jc w:val="center"/>
          <w:tblLook w:val="04A0"/>
        </w:tblPrEx>
        <w:trPr>
          <w:trHeight w:val="315"/>
          <w:jc w:val="center"/>
        </w:trPr>
        <w:tc>
          <w:tcPr>
            <w:tcW w:w="1885" w:type="dxa"/>
            <w:tcBorders>
              <w:top w:val="single" w:sz="4" w:space="0" w:color="auto"/>
              <w:left w:val="single" w:sz="4" w:space="0" w:color="auto"/>
              <w:bottom w:val="single" w:sz="4" w:space="0" w:color="auto"/>
              <w:right w:val="single" w:sz="4" w:space="0" w:color="auto"/>
            </w:tcBorders>
            <w:noWrap/>
            <w:hideMark/>
          </w:tcPr>
          <w:p w:rsidR="00C44ADD" w:rsidRPr="00187EE1" w14:paraId="204D549F" w14:textId="7B98EDCF">
            <w:pPr>
              <w:rPr>
                <w:rFonts w:ascii="Cambria" w:hAnsi="Cambria"/>
              </w:rPr>
            </w:pPr>
            <w:r w:rsidRPr="00187EE1">
              <w:rPr>
                <w:rFonts w:ascii="Cambria" w:hAnsi="Cambria"/>
              </w:rPr>
              <w:t>E7-E9/W1-W5</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51B4156D" w14:textId="77777777">
            <w:pPr>
              <w:rPr>
                <w:rFonts w:ascii="Cambria" w:hAnsi="Cambria"/>
              </w:rPr>
            </w:pPr>
            <w:r w:rsidRPr="00187EE1">
              <w:rPr>
                <w:rFonts w:ascii="Cambria" w:hAnsi="Cambria"/>
              </w:rPr>
              <w:t>Male</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04A6E33F" w14:textId="19F16F84">
            <w:pPr>
              <w:jc w:val="center"/>
              <w:rPr>
                <w:rFonts w:ascii="Cambria" w:hAnsi="Cambria"/>
              </w:rPr>
            </w:pPr>
            <w:r w:rsidRPr="00187EE1">
              <w:rPr>
                <w:rFonts w:ascii="Cambria" w:hAnsi="Cambria"/>
              </w:rPr>
              <w:t>240</w:t>
            </w:r>
          </w:p>
        </w:tc>
      </w:tr>
      <w:tr w14:paraId="4543A614" w14:textId="77777777" w:rsidTr="00C44ADD">
        <w:tblPrEx>
          <w:tblW w:w="0" w:type="auto"/>
          <w:jc w:val="center"/>
          <w:tblLook w:val="04A0"/>
        </w:tblPrEx>
        <w:trPr>
          <w:trHeight w:val="315"/>
          <w:jc w:val="center"/>
        </w:trPr>
        <w:tc>
          <w:tcPr>
            <w:tcW w:w="1885" w:type="dxa"/>
            <w:tcBorders>
              <w:top w:val="single" w:sz="4" w:space="0" w:color="auto"/>
              <w:left w:val="single" w:sz="4" w:space="0" w:color="auto"/>
              <w:bottom w:val="single" w:sz="4" w:space="0" w:color="auto"/>
              <w:right w:val="single" w:sz="4" w:space="0" w:color="auto"/>
            </w:tcBorders>
            <w:noWrap/>
            <w:hideMark/>
          </w:tcPr>
          <w:p w:rsidR="00C44ADD" w:rsidRPr="00187EE1" w14:paraId="774AB75D" w14:textId="4C84934A">
            <w:pPr>
              <w:rPr>
                <w:rFonts w:ascii="Cambria" w:hAnsi="Cambria"/>
              </w:rPr>
            </w:pPr>
            <w:r w:rsidRPr="00187EE1">
              <w:rPr>
                <w:rFonts w:ascii="Cambria" w:hAnsi="Cambria"/>
              </w:rPr>
              <w:t>E7-E9/W1-W5</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086970B0" w14:textId="77777777">
            <w:pPr>
              <w:rPr>
                <w:rFonts w:ascii="Cambria" w:hAnsi="Cambria"/>
              </w:rPr>
            </w:pPr>
            <w:r w:rsidRPr="00187EE1">
              <w:rPr>
                <w:rFonts w:ascii="Cambria" w:hAnsi="Cambria"/>
              </w:rPr>
              <w:t>Female</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5014B3D4" w14:textId="2733E478">
            <w:pPr>
              <w:jc w:val="center"/>
              <w:rPr>
                <w:rFonts w:ascii="Cambria" w:hAnsi="Cambria"/>
              </w:rPr>
            </w:pPr>
            <w:r w:rsidRPr="00187EE1">
              <w:rPr>
                <w:rFonts w:ascii="Cambria" w:hAnsi="Cambria"/>
              </w:rPr>
              <w:t>240</w:t>
            </w:r>
          </w:p>
        </w:tc>
      </w:tr>
      <w:tr w14:paraId="290C59AD" w14:textId="77777777" w:rsidTr="00C44ADD">
        <w:tblPrEx>
          <w:tblW w:w="0" w:type="auto"/>
          <w:jc w:val="center"/>
          <w:tblLook w:val="04A0"/>
        </w:tblPrEx>
        <w:trPr>
          <w:trHeight w:val="315"/>
          <w:jc w:val="center"/>
        </w:trPr>
        <w:tc>
          <w:tcPr>
            <w:tcW w:w="1885" w:type="dxa"/>
            <w:tcBorders>
              <w:top w:val="single" w:sz="4" w:space="0" w:color="auto"/>
              <w:left w:val="single" w:sz="4" w:space="0" w:color="auto"/>
              <w:bottom w:val="single" w:sz="4" w:space="0" w:color="auto"/>
              <w:right w:val="single" w:sz="4" w:space="0" w:color="auto"/>
            </w:tcBorders>
            <w:noWrap/>
            <w:hideMark/>
          </w:tcPr>
          <w:p w:rsidR="00C44ADD" w:rsidRPr="00187EE1" w14:paraId="4F4733D8" w14:textId="4370938E">
            <w:pPr>
              <w:rPr>
                <w:rFonts w:ascii="Cambria" w:hAnsi="Cambria"/>
              </w:rPr>
            </w:pPr>
            <w:r w:rsidRPr="00187EE1">
              <w:rPr>
                <w:rFonts w:ascii="Cambria" w:hAnsi="Cambria"/>
              </w:rPr>
              <w:t>O6</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799CB27E" w14:textId="77777777">
            <w:pPr>
              <w:rPr>
                <w:rFonts w:ascii="Cambria" w:hAnsi="Cambria"/>
              </w:rPr>
            </w:pPr>
            <w:r w:rsidRPr="00187EE1">
              <w:rPr>
                <w:rFonts w:ascii="Cambria" w:hAnsi="Cambria"/>
              </w:rPr>
              <w:t>Male</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0B78817D" w14:textId="1C6EC3FB">
            <w:pPr>
              <w:jc w:val="center"/>
              <w:rPr>
                <w:rFonts w:ascii="Cambria" w:hAnsi="Cambria"/>
              </w:rPr>
            </w:pPr>
            <w:r w:rsidRPr="00187EE1">
              <w:rPr>
                <w:rFonts w:ascii="Cambria" w:hAnsi="Cambria"/>
              </w:rPr>
              <w:t>240</w:t>
            </w:r>
          </w:p>
        </w:tc>
      </w:tr>
      <w:tr w14:paraId="0F6163EC" w14:textId="77777777" w:rsidTr="00C44ADD">
        <w:tblPrEx>
          <w:tblW w:w="0" w:type="auto"/>
          <w:jc w:val="center"/>
          <w:tblLook w:val="04A0"/>
        </w:tblPrEx>
        <w:trPr>
          <w:trHeight w:val="315"/>
          <w:jc w:val="center"/>
        </w:trPr>
        <w:tc>
          <w:tcPr>
            <w:tcW w:w="1885" w:type="dxa"/>
            <w:tcBorders>
              <w:top w:val="single" w:sz="4" w:space="0" w:color="auto"/>
              <w:left w:val="single" w:sz="4" w:space="0" w:color="auto"/>
              <w:bottom w:val="single" w:sz="4" w:space="0" w:color="auto"/>
              <w:right w:val="single" w:sz="4" w:space="0" w:color="auto"/>
            </w:tcBorders>
            <w:noWrap/>
            <w:hideMark/>
          </w:tcPr>
          <w:p w:rsidR="00C44ADD" w:rsidRPr="00187EE1" w14:paraId="59D8FD57" w14:textId="335E1584">
            <w:pPr>
              <w:rPr>
                <w:rFonts w:ascii="Cambria" w:hAnsi="Cambria"/>
              </w:rPr>
            </w:pPr>
            <w:r w:rsidRPr="00187EE1">
              <w:rPr>
                <w:rFonts w:ascii="Cambria" w:hAnsi="Cambria"/>
              </w:rPr>
              <w:t>O6</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747BD4FC" w14:textId="77777777">
            <w:pPr>
              <w:rPr>
                <w:rFonts w:ascii="Cambria" w:hAnsi="Cambria"/>
              </w:rPr>
            </w:pPr>
            <w:r w:rsidRPr="00187EE1">
              <w:rPr>
                <w:rFonts w:ascii="Cambria" w:hAnsi="Cambria"/>
              </w:rPr>
              <w:t>Female</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4DA6B458" w14:textId="702C9669">
            <w:pPr>
              <w:jc w:val="center"/>
              <w:rPr>
                <w:rFonts w:ascii="Cambria" w:hAnsi="Cambria"/>
              </w:rPr>
            </w:pPr>
            <w:r w:rsidRPr="00187EE1">
              <w:rPr>
                <w:rFonts w:ascii="Cambria" w:hAnsi="Cambria"/>
              </w:rPr>
              <w:t>240</w:t>
            </w:r>
          </w:p>
        </w:tc>
      </w:tr>
      <w:tr w14:paraId="083BF20A" w14:textId="77777777" w:rsidTr="00C44ADD">
        <w:tblPrEx>
          <w:tblW w:w="0" w:type="auto"/>
          <w:jc w:val="center"/>
          <w:tblLook w:val="04A0"/>
        </w:tblPrEx>
        <w:trPr>
          <w:trHeight w:val="300"/>
          <w:jc w:val="center"/>
        </w:trPr>
        <w:tc>
          <w:tcPr>
            <w:tcW w:w="3289" w:type="dxa"/>
            <w:gridSpan w:val="2"/>
            <w:tcBorders>
              <w:top w:val="single" w:sz="4" w:space="0" w:color="auto"/>
              <w:left w:val="single" w:sz="4" w:space="0" w:color="auto"/>
              <w:bottom w:val="single" w:sz="4" w:space="0" w:color="auto"/>
              <w:right w:val="single" w:sz="4" w:space="0" w:color="auto"/>
            </w:tcBorders>
            <w:noWrap/>
            <w:hideMark/>
          </w:tcPr>
          <w:p w:rsidR="00C44ADD" w:rsidRPr="00187EE1" w14:paraId="042A21FF" w14:textId="77777777">
            <w:pPr>
              <w:rPr>
                <w:rFonts w:ascii="Cambria" w:hAnsi="Cambria"/>
                <w:b/>
                <w:bCs/>
              </w:rPr>
            </w:pPr>
            <w:r w:rsidRPr="00187EE1">
              <w:rPr>
                <w:rFonts w:ascii="Cambria" w:hAnsi="Cambria"/>
                <w:b/>
                <w:bCs/>
              </w:rPr>
              <w:t>Total</w:t>
            </w:r>
          </w:p>
        </w:tc>
        <w:tc>
          <w:tcPr>
            <w:tcW w:w="1404" w:type="dxa"/>
            <w:tcBorders>
              <w:top w:val="single" w:sz="4" w:space="0" w:color="auto"/>
              <w:left w:val="single" w:sz="4" w:space="0" w:color="auto"/>
              <w:bottom w:val="single" w:sz="4" w:space="0" w:color="auto"/>
              <w:right w:val="single" w:sz="4" w:space="0" w:color="auto"/>
            </w:tcBorders>
            <w:hideMark/>
          </w:tcPr>
          <w:p w:rsidR="00C44ADD" w:rsidRPr="00187EE1" w14:paraId="5F66DD12" w14:textId="25AE98EB">
            <w:pPr>
              <w:jc w:val="center"/>
              <w:rPr>
                <w:rFonts w:ascii="Cambria" w:hAnsi="Cambria"/>
                <w:b/>
                <w:bCs/>
              </w:rPr>
            </w:pPr>
            <w:r w:rsidRPr="00187EE1">
              <w:rPr>
                <w:rFonts w:ascii="Cambria" w:hAnsi="Cambria"/>
                <w:b/>
                <w:bCs/>
              </w:rPr>
              <w:t>4,800</w:t>
            </w:r>
          </w:p>
        </w:tc>
      </w:tr>
    </w:tbl>
    <w:p w:rsidR="00C44ADD" w:rsidRPr="00EB3295" w:rsidP="00B91B89" w14:paraId="51F32D91" w14:textId="77777777">
      <w:pPr>
        <w:pStyle w:val="NormalWeb"/>
        <w:spacing w:before="0" w:beforeAutospacing="0" w:after="0" w:afterAutospacing="0" w:line="288" w:lineRule="atLeast"/>
        <w:rPr>
          <w:rFonts w:ascii="Cambria" w:hAnsi="Cambria" w:cs="Calibri Light"/>
          <w:i/>
        </w:rPr>
      </w:pPr>
    </w:p>
    <w:p w:rsidR="005E0A0F" w:rsidRPr="00EB3295" w:rsidP="00B91B89" w14:paraId="22862468" w14:textId="37D57328">
      <w:pPr>
        <w:pStyle w:val="NormalWeb"/>
        <w:spacing w:after="0" w:afterAutospacing="0" w:line="288" w:lineRule="atLeast"/>
        <w:rPr>
          <w:rFonts w:ascii="Cambria" w:hAnsi="Cambria" w:cs="Calibri Light"/>
        </w:rPr>
      </w:pPr>
      <w:r w:rsidRPr="00EB3295">
        <w:rPr>
          <w:rFonts w:ascii="Cambria" w:hAnsi="Cambria" w:cs="Calibri Light"/>
        </w:rPr>
        <w:t xml:space="preserve">2.  </w:t>
      </w:r>
      <w:r w:rsidRPr="00EB3295">
        <w:rPr>
          <w:rFonts w:ascii="Cambria" w:hAnsi="Cambria" w:cs="Calibri Light"/>
          <w:u w:val="single"/>
        </w:rPr>
        <w:t>Procedures for the Collection of Information</w:t>
      </w:r>
      <w:r w:rsidRPr="00EB3295" w:rsidR="00076309">
        <w:rPr>
          <w:rFonts w:ascii="Cambria" w:hAnsi="Cambria" w:cs="Calibri Light"/>
        </w:rPr>
        <w:t xml:space="preserve"> </w:t>
      </w:r>
    </w:p>
    <w:p w:rsidR="00977497" w:rsidRPr="00187EE1" w:rsidP="00977497" w14:paraId="2D1999DC" w14:textId="451B60F5">
      <w:pPr>
        <w:pStyle w:val="NormalWeb"/>
        <w:spacing w:line="288" w:lineRule="atLeast"/>
        <w:rPr>
          <w:rFonts w:ascii="Cambria" w:hAnsi="Cambria" w:cs="Calibri Light"/>
          <w:iCs/>
        </w:rPr>
      </w:pPr>
      <w:r w:rsidRPr="00187EE1">
        <w:rPr>
          <w:rFonts w:ascii="Cambria" w:hAnsi="Cambria" w:cs="Calibri Light"/>
          <w:iCs/>
        </w:rPr>
        <w:t xml:space="preserve">Focus groups will be conducted separately for men and women, officers and enlisted, and by rank (junior, mid-level, and senior). There </w:t>
      </w:r>
      <w:r w:rsidRPr="00187EE1" w:rsidR="009A3F51">
        <w:rPr>
          <w:rFonts w:ascii="Cambria" w:hAnsi="Cambria" w:cs="Calibri Light"/>
          <w:iCs/>
        </w:rPr>
        <w:t>is</w:t>
      </w:r>
      <w:r w:rsidRPr="00187EE1">
        <w:rPr>
          <w:rFonts w:ascii="Cambria" w:hAnsi="Cambria" w:cs="Calibri Light"/>
          <w:iCs/>
        </w:rPr>
        <w:t xml:space="preserve"> a total of four focus group protocols: junior enlisted/officer (E1-E4; O1-O3) and mid-level/senior enlisted/officer (E5-E6;E7-E9/W1-W5; O4-O5; O6). These focus groups are intended to be 60 minutes. In total, we anticipate including:</w:t>
      </w:r>
    </w:p>
    <w:p w:rsidR="00977497" w:rsidRPr="00187EE1" w:rsidP="00977497" w14:paraId="4A305D52" w14:textId="56823EBE">
      <w:pPr>
        <w:pStyle w:val="NormalWeb"/>
        <w:numPr>
          <w:ilvl w:val="0"/>
          <w:numId w:val="4"/>
        </w:numPr>
        <w:spacing w:before="0" w:beforeAutospacing="0" w:after="0" w:afterAutospacing="0"/>
        <w:ind w:hanging="360"/>
        <w:rPr>
          <w:rFonts w:ascii="Cambria" w:hAnsi="Cambria" w:cs="Calibri Light"/>
          <w:iCs/>
        </w:rPr>
      </w:pPr>
      <w:r w:rsidRPr="00187EE1">
        <w:rPr>
          <w:rFonts w:ascii="Cambria" w:hAnsi="Cambria" w:cs="Calibri Light"/>
          <w:iCs/>
        </w:rPr>
        <w:t>Jr. Enlisted (E1-E4)/Jr. Officers (O1-O3): up to 1,920 individuals</w:t>
      </w:r>
    </w:p>
    <w:p w:rsidR="00977497" w:rsidRPr="00187EE1" w:rsidP="00977497" w14:paraId="3C78E8CF" w14:textId="041BC166">
      <w:pPr>
        <w:pStyle w:val="NormalWeb"/>
        <w:numPr>
          <w:ilvl w:val="0"/>
          <w:numId w:val="4"/>
        </w:numPr>
        <w:spacing w:before="0" w:beforeAutospacing="0" w:after="0" w:afterAutospacing="0"/>
        <w:ind w:hanging="360"/>
        <w:rPr>
          <w:rFonts w:ascii="Cambria" w:hAnsi="Cambria" w:cs="Calibri Light"/>
          <w:iCs/>
        </w:rPr>
      </w:pPr>
      <w:r w:rsidRPr="00187EE1">
        <w:rPr>
          <w:rFonts w:ascii="Cambria" w:hAnsi="Cambria" w:cs="Calibri Light"/>
          <w:iCs/>
        </w:rPr>
        <w:t>Mid-Level Leaders (E5-E6/O4-O5): up to 1,920 individuals</w:t>
      </w:r>
    </w:p>
    <w:p w:rsidR="00977497" w:rsidRPr="00187EE1" w:rsidP="00977497" w14:paraId="058814C2" w14:textId="15D148B9">
      <w:pPr>
        <w:pStyle w:val="NormalWeb"/>
        <w:numPr>
          <w:ilvl w:val="0"/>
          <w:numId w:val="4"/>
        </w:numPr>
        <w:spacing w:before="0" w:beforeAutospacing="0" w:after="0" w:afterAutospacing="0"/>
        <w:ind w:hanging="360"/>
        <w:rPr>
          <w:rFonts w:ascii="Cambria" w:hAnsi="Cambria" w:cs="Calibri Light"/>
          <w:iCs/>
        </w:rPr>
      </w:pPr>
      <w:r w:rsidRPr="00187EE1">
        <w:rPr>
          <w:rFonts w:ascii="Cambria" w:hAnsi="Cambria" w:cs="Calibri Light"/>
          <w:iCs/>
        </w:rPr>
        <w:t xml:space="preserve">Senior Level Leaders (E7-E9/W1-W5; O6): up to 960 individuals </w:t>
      </w:r>
    </w:p>
    <w:p w:rsidR="00977497" w:rsidRPr="00187EE1" w:rsidP="00977497" w14:paraId="3891AB5A" w14:textId="518E8099">
      <w:pPr>
        <w:pStyle w:val="NormalWeb"/>
        <w:spacing w:line="288" w:lineRule="atLeast"/>
        <w:rPr>
          <w:rFonts w:ascii="Cambria" w:hAnsi="Cambria" w:cs="Calibri Light"/>
          <w:iCs/>
        </w:rPr>
      </w:pPr>
      <w:r w:rsidRPr="00187EE1">
        <w:rPr>
          <w:rFonts w:ascii="Cambria" w:hAnsi="Cambria" w:cs="Calibri Light"/>
          <w:iCs/>
        </w:rPr>
        <w:t xml:space="preserve">Focus groups will be held across 24 CONUS installations. These installations cover all DoD branches of service and were selected using a geographic spoke-and-hub approach, allowing for a single trip to cover multiple nearby installations. The geographic areas include California/Washington, Arizona, Colorado, Virginia/North Carolina, Texas, and Florida. </w:t>
      </w:r>
    </w:p>
    <w:p w:rsidR="00C0071F" w:rsidRPr="00187EE1" w:rsidP="00977497" w14:paraId="07F3F503" w14:textId="350A7FBC">
      <w:pPr>
        <w:pStyle w:val="NormalWeb"/>
        <w:spacing w:line="288" w:lineRule="atLeast"/>
        <w:rPr>
          <w:rFonts w:ascii="Cambria" w:hAnsi="Cambria" w:cs="Calibri Light"/>
          <w:iCs/>
        </w:rPr>
      </w:pPr>
      <w:r w:rsidRPr="00187EE1">
        <w:rPr>
          <w:rFonts w:ascii="Cambria" w:hAnsi="Cambria" w:cs="Calibri Light"/>
          <w:iCs/>
        </w:rPr>
        <w:t xml:space="preserve">Each installation will have a </w:t>
      </w:r>
      <w:r w:rsidRPr="00187EE1" w:rsidR="00C73FF4">
        <w:rPr>
          <w:rFonts w:ascii="Cambria" w:hAnsi="Cambria" w:cs="Calibri Light"/>
          <w:iCs/>
        </w:rPr>
        <w:t xml:space="preserve">RAND </w:t>
      </w:r>
      <w:r w:rsidRPr="00187EE1">
        <w:rPr>
          <w:rFonts w:ascii="Cambria" w:hAnsi="Cambria" w:cs="Calibri Light"/>
          <w:iCs/>
        </w:rPr>
        <w:t>team on the ground for one full day and during that day</w:t>
      </w:r>
      <w:r w:rsidRPr="00187EE1" w:rsidR="00944372">
        <w:rPr>
          <w:rFonts w:ascii="Cambria" w:hAnsi="Cambria" w:cs="Calibri Light"/>
          <w:iCs/>
        </w:rPr>
        <w:t>,</w:t>
      </w:r>
      <w:r w:rsidRPr="00187EE1">
        <w:rPr>
          <w:rFonts w:ascii="Cambria" w:hAnsi="Cambria" w:cs="Calibri Light"/>
          <w:iCs/>
        </w:rPr>
        <w:t xml:space="preserve"> </w:t>
      </w:r>
      <w:r w:rsidRPr="00187EE1" w:rsidR="00C73FF4">
        <w:rPr>
          <w:rFonts w:ascii="Cambria" w:hAnsi="Cambria" w:cs="Calibri Light"/>
          <w:iCs/>
        </w:rPr>
        <w:t xml:space="preserve">the team </w:t>
      </w:r>
      <w:r w:rsidRPr="00187EE1">
        <w:rPr>
          <w:rFonts w:ascii="Cambria" w:hAnsi="Cambria" w:cs="Calibri Light"/>
          <w:iCs/>
        </w:rPr>
        <w:t xml:space="preserve">will </w:t>
      </w:r>
      <w:r w:rsidRPr="00187EE1" w:rsidR="00C73FF4">
        <w:rPr>
          <w:rFonts w:ascii="Cambria" w:hAnsi="Cambria" w:cs="Calibri Light"/>
          <w:iCs/>
        </w:rPr>
        <w:t>complete</w:t>
      </w:r>
      <w:r w:rsidRPr="00187EE1">
        <w:rPr>
          <w:rFonts w:ascii="Cambria" w:hAnsi="Cambria" w:cs="Calibri Light"/>
          <w:iCs/>
        </w:rPr>
        <w:t xml:space="preserve"> 20 focus groups: Male E1-E4 (2), Female E1-E4 (2), Male E5-E9</w:t>
      </w:r>
      <w:r w:rsidRPr="00187EE1" w:rsidR="00A0355D">
        <w:rPr>
          <w:rFonts w:ascii="Cambria" w:hAnsi="Cambria" w:cs="Calibri Light"/>
          <w:iCs/>
        </w:rPr>
        <w:t>/W1-W5</w:t>
      </w:r>
      <w:r w:rsidRPr="00187EE1">
        <w:rPr>
          <w:rFonts w:ascii="Cambria" w:hAnsi="Cambria" w:cs="Calibri Light"/>
          <w:iCs/>
        </w:rPr>
        <w:t xml:space="preserve"> (2), Female E5-E6 (2), Male E7-E9</w:t>
      </w:r>
      <w:r w:rsidRPr="00187EE1" w:rsidR="00A0355D">
        <w:rPr>
          <w:rFonts w:ascii="Cambria" w:hAnsi="Cambria" w:cs="Calibri Light"/>
          <w:iCs/>
        </w:rPr>
        <w:t>/W1-W5</w:t>
      </w:r>
      <w:r w:rsidRPr="00187EE1">
        <w:rPr>
          <w:rFonts w:ascii="Cambria" w:hAnsi="Cambria" w:cs="Calibri Light"/>
          <w:iCs/>
        </w:rPr>
        <w:t xml:space="preserve"> (1), Female E7-E9 (1), O1-O3 (2), Female O1-O3 (2), Male O4-O5 (2), Female O4-O5(2), Male O6 (1), Female O6 (1).</w:t>
      </w:r>
    </w:p>
    <w:p w:rsidR="00977497" w:rsidRPr="00EB3295" w:rsidP="00977497" w14:paraId="470CAA5B" w14:textId="6A3F2404">
      <w:pPr>
        <w:pStyle w:val="NormalWeb"/>
        <w:spacing w:before="0" w:beforeAutospacing="0" w:after="0" w:afterAutospacing="0" w:line="288" w:lineRule="atLeast"/>
        <w:rPr>
          <w:rFonts w:ascii="Cambria" w:hAnsi="Cambria" w:cs="Calibri Light"/>
          <w:i/>
        </w:rPr>
      </w:pPr>
      <w:r w:rsidRPr="00187EE1">
        <w:rPr>
          <w:rFonts w:ascii="Cambria" w:hAnsi="Cambria" w:cs="Calibri Light"/>
          <w:iCs/>
        </w:rPr>
        <w:t xml:space="preserve">At an installation, </w:t>
      </w:r>
      <w:r w:rsidRPr="00187EE1" w:rsidR="00B10350">
        <w:rPr>
          <w:rFonts w:ascii="Cambria" w:hAnsi="Cambria" w:cs="Calibri Light"/>
          <w:iCs/>
        </w:rPr>
        <w:t>participants</w:t>
      </w:r>
      <w:r w:rsidRPr="00187EE1">
        <w:rPr>
          <w:rFonts w:ascii="Cambria" w:hAnsi="Cambria" w:cs="Calibri Light"/>
          <w:iCs/>
        </w:rPr>
        <w:t xml:space="preserve"> will be randomly selected with the help of an installation POC based on their 1) </w:t>
      </w:r>
      <w:r w:rsidRPr="00187EE1" w:rsidR="00C24D03">
        <w:rPr>
          <w:rFonts w:ascii="Cambria" w:hAnsi="Cambria" w:cs="Calibri Light"/>
          <w:iCs/>
        </w:rPr>
        <w:t>sex</w:t>
      </w:r>
      <w:r w:rsidRPr="00187EE1">
        <w:rPr>
          <w:rFonts w:ascii="Cambria" w:hAnsi="Cambria" w:cs="Calibri Light"/>
          <w:iCs/>
        </w:rPr>
        <w:t>, 2) officer/enlisted status, and 3) pay grade. The analysis strategy will rely on variation across these different groups to better understand service members’ experiences with and use of reproductive health services and their understanding of recently enacted DoD policies.</w:t>
      </w:r>
    </w:p>
    <w:p w:rsidR="00B91B89" w:rsidRPr="00EB3295" w:rsidP="00B91B89" w14:paraId="5613CA7C" w14:textId="77777777">
      <w:pPr>
        <w:pStyle w:val="NormalWeb"/>
        <w:spacing w:before="0" w:beforeAutospacing="0" w:after="0" w:afterAutospacing="0" w:line="288" w:lineRule="atLeast"/>
        <w:ind w:firstLine="720"/>
        <w:rPr>
          <w:rFonts w:ascii="Cambria" w:hAnsi="Cambria" w:cs="Calibri Light"/>
          <w:i/>
        </w:rPr>
      </w:pPr>
    </w:p>
    <w:p w:rsidR="005E0A0F" w:rsidRPr="00EB3295" w:rsidP="00B91B89" w14:paraId="504BEA70" w14:textId="12AFA6F1">
      <w:pPr>
        <w:pStyle w:val="NormalWeb"/>
        <w:spacing w:before="0" w:beforeAutospacing="0" w:after="0" w:afterAutospacing="0" w:line="288" w:lineRule="atLeast"/>
        <w:rPr>
          <w:rFonts w:ascii="Cambria" w:hAnsi="Cambria"/>
        </w:rPr>
      </w:pPr>
      <w:r w:rsidRPr="00EB3295">
        <w:rPr>
          <w:rFonts w:ascii="Cambria" w:hAnsi="Cambria" w:cs="Calibri Light"/>
        </w:rPr>
        <w:t xml:space="preserve">3.  </w:t>
      </w:r>
      <w:r w:rsidRPr="00EB3295">
        <w:rPr>
          <w:rFonts w:ascii="Cambria" w:hAnsi="Cambria" w:cs="Calibri Light"/>
          <w:u w:val="single"/>
        </w:rPr>
        <w:t>Maximization of Response Rates, Non-response, and Reliability</w:t>
      </w:r>
      <w:r w:rsidRPr="00EB3295" w:rsidR="00076309">
        <w:rPr>
          <w:rFonts w:ascii="Cambria" w:hAnsi="Cambria"/>
        </w:rPr>
        <w:t xml:space="preserve"> </w:t>
      </w:r>
    </w:p>
    <w:p w:rsidR="008E184F" w:rsidRPr="00187EE1" w:rsidP="008E184F" w14:paraId="080BFAE4" w14:textId="49B0A8ED">
      <w:pPr>
        <w:pStyle w:val="NormalWeb"/>
        <w:spacing w:before="0" w:beforeAutospacing="0" w:after="0" w:afterAutospacing="0" w:line="288" w:lineRule="atLeast"/>
        <w:rPr>
          <w:rFonts w:ascii="Cambria" w:hAnsi="Cambria" w:cs="Calibri Light"/>
          <w:iCs/>
        </w:rPr>
      </w:pPr>
      <w:r w:rsidRPr="00187EE1">
        <w:rPr>
          <w:rFonts w:ascii="Cambria" w:hAnsi="Cambria" w:cs="Calibri Light"/>
          <w:iCs/>
        </w:rPr>
        <w:t xml:space="preserve">Qualitative data from the focus groups will be analyzed using a </w:t>
      </w:r>
      <w:r w:rsidRPr="00BC78DA">
        <w:rPr>
          <w:iCs/>
        </w:rPr>
        <w:t>commercial-off-the-shelf</w:t>
      </w:r>
      <w:r w:rsidRPr="00187EE1">
        <w:rPr>
          <w:rFonts w:ascii="Cambria" w:hAnsi="Cambria" w:cs="Calibri Light"/>
          <w:iCs/>
        </w:rPr>
        <w:t xml:space="preserve"> software designed for qualitative data (e.g., NVivo). We will upload transcribed notes from focus groups into the qualitative software program for coding. A codebook will be developed using an iterative process to further refine the codebook for coding of the interview data using a thematic analysis. A preliminary set of transcripts will be coded to identify any emerging themes and explore the need for creating new codes. Following refinement of the codebook, we will code the remainder of the transcripts, using a joint coding approach in which each coder independently codes each transcript once inter-rater reliability is established. We will use a thematic analysis to identify emerging themes and patterns across the data.  We do not anticipate reporting numbers (e.g., percentages) that </w:t>
      </w:r>
      <w:r w:rsidRPr="00187EE1">
        <w:rPr>
          <w:rFonts w:ascii="Cambria" w:hAnsi="Cambria" w:cs="Calibri Light"/>
          <w:iCs/>
        </w:rPr>
        <w:t xml:space="preserve">could be interpreted as prevalence rates, but we will use frequencies to identify the </w:t>
      </w:r>
      <w:r w:rsidRPr="00187EE1" w:rsidR="009A3F51">
        <w:rPr>
          <w:rFonts w:ascii="Cambria" w:hAnsi="Cambria" w:cs="Calibri Light"/>
          <w:iCs/>
        </w:rPr>
        <w:t>most commonly</w:t>
      </w:r>
      <w:r w:rsidRPr="00187EE1">
        <w:rPr>
          <w:rFonts w:ascii="Cambria" w:hAnsi="Cambria" w:cs="Calibri Light"/>
          <w:iCs/>
        </w:rPr>
        <w:t xml:space="preserve"> mentioned themes to present in the final report. </w:t>
      </w:r>
    </w:p>
    <w:p w:rsidR="00B91B89" w:rsidRPr="00EB3295" w:rsidP="00B91B89" w14:paraId="06BB32D3" w14:textId="77777777">
      <w:pPr>
        <w:pStyle w:val="NormalWeb"/>
        <w:spacing w:before="0" w:beforeAutospacing="0" w:after="0" w:afterAutospacing="0" w:line="288" w:lineRule="atLeast"/>
        <w:rPr>
          <w:rFonts w:ascii="Cambria" w:hAnsi="Cambria" w:cs="Calibri Light"/>
          <w:i/>
        </w:rPr>
      </w:pPr>
    </w:p>
    <w:p w:rsidR="005E0A0F" w:rsidRPr="00EB3295" w:rsidP="00B91B89" w14:paraId="56997D2D" w14:textId="77A4241E">
      <w:pPr>
        <w:pStyle w:val="NormalWeb"/>
        <w:spacing w:before="0" w:beforeAutospacing="0" w:after="0" w:afterAutospacing="0" w:line="288" w:lineRule="atLeast"/>
        <w:rPr>
          <w:rFonts w:ascii="Cambria" w:hAnsi="Cambria" w:cs="Calibri Light"/>
        </w:rPr>
      </w:pPr>
      <w:r w:rsidRPr="00EB3295">
        <w:rPr>
          <w:rFonts w:ascii="Cambria" w:hAnsi="Cambria" w:cs="Calibri Light"/>
        </w:rPr>
        <w:t xml:space="preserve">4.  </w:t>
      </w:r>
      <w:r w:rsidRPr="00EB3295">
        <w:rPr>
          <w:rFonts w:ascii="Cambria" w:hAnsi="Cambria" w:cs="Calibri Light"/>
          <w:u w:val="single"/>
        </w:rPr>
        <w:t>Tests of Procedures</w:t>
      </w:r>
    </w:p>
    <w:p w:rsidR="008E184F" w:rsidRPr="00187EE1" w:rsidP="008E184F" w14:paraId="011C9D9E" w14:textId="77777777">
      <w:pPr>
        <w:pStyle w:val="NormalWeb"/>
        <w:spacing w:before="0" w:beforeAutospacing="0" w:after="0" w:afterAutospacing="0" w:line="288" w:lineRule="atLeast"/>
        <w:rPr>
          <w:rFonts w:ascii="Cambria" w:hAnsi="Cambria" w:cs="Calibri Light"/>
          <w:iCs/>
        </w:rPr>
      </w:pPr>
      <w:r w:rsidRPr="00187EE1">
        <w:rPr>
          <w:rFonts w:ascii="Cambria" w:hAnsi="Cambria" w:cs="Calibri Light"/>
          <w:iCs/>
        </w:rPr>
        <w:t>Focus group protocols and study procedures were reviewed by roughly six Army and Air Force fellows at RAND. These fellows are active-duty service members who spend a year at RAND and are generally between the ranks of O3 and O6. In addition to written feedback, we also held a group discussion with the full research team and the fellows.</w:t>
      </w:r>
    </w:p>
    <w:p w:rsidR="005E0A0F" w:rsidRPr="00EB3295" w:rsidP="00B91B89" w14:paraId="6E742A40" w14:textId="6F0A986B">
      <w:pPr>
        <w:pStyle w:val="NormalWeb"/>
        <w:spacing w:after="0" w:afterAutospacing="0" w:line="288" w:lineRule="atLeast"/>
      </w:pPr>
      <w:r w:rsidRPr="00EB3295">
        <w:rPr>
          <w:rFonts w:ascii="Cambria" w:hAnsi="Cambria" w:cs="Calibri Light"/>
        </w:rPr>
        <w:t xml:space="preserve">5.  </w:t>
      </w:r>
      <w:r w:rsidRPr="00EB3295">
        <w:rPr>
          <w:rFonts w:ascii="Cambria" w:hAnsi="Cambria" w:cs="Calibri Light"/>
          <w:u w:val="single"/>
        </w:rPr>
        <w:t>Statistical Consultation and Information Analysis</w:t>
      </w:r>
      <w:r w:rsidRPr="00EB3295" w:rsidR="00076309">
        <w:rPr>
          <w:rFonts w:ascii="Cambria" w:hAnsi="Cambria" w:cs="Calibri Light"/>
        </w:rPr>
        <w:t xml:space="preserve"> </w:t>
      </w:r>
    </w:p>
    <w:p w:rsidR="00076309" w:rsidRPr="00187EE1" w:rsidP="00076309" w14:paraId="3B100A7C" w14:textId="3732021D">
      <w:pPr>
        <w:pStyle w:val="NormalWeb"/>
        <w:spacing w:line="288" w:lineRule="atLeast"/>
        <w:rPr>
          <w:rFonts w:ascii="Cambria" w:hAnsi="Cambria"/>
          <w:i/>
        </w:rPr>
      </w:pPr>
      <w:r w:rsidRPr="00187EE1">
        <w:rPr>
          <w:rFonts w:ascii="Cambria" w:eastAsia="Calibri" w:hAnsi="Cambria"/>
          <w:szCs w:val="22"/>
        </w:rPr>
        <w:t xml:space="preserve">No additional consultation apart from soliciting public comments through the Federal Register was conducted for this submission. </w:t>
      </w:r>
    </w:p>
    <w:p w:rsidR="00076309" w:rsidRPr="00EB3295" w:rsidP="00076309" w14:paraId="716EFD07" w14:textId="77777777">
      <w:pPr>
        <w:pStyle w:val="NormalWeb"/>
        <w:spacing w:before="0" w:beforeAutospacing="0" w:after="0" w:afterAutospacing="0" w:line="288" w:lineRule="atLeast"/>
        <w:ind w:left="1080"/>
        <w:rPr>
          <w:rFonts w:ascii="Cambria" w:hAnsi="Cambria" w:cs="Calibri Light"/>
          <w:i/>
        </w:rPr>
      </w:pPr>
    </w:p>
    <w:p w:rsidR="00F1447C" w:rsidRPr="00EB3295" w:rsidP="001A7BBD" w14:paraId="49EDE868" w14:textId="77777777">
      <w:pPr>
        <w:pStyle w:val="NormalWeb"/>
        <w:spacing w:line="288" w:lineRule="atLeast"/>
        <w:ind w:left="432" w:firstLine="720"/>
        <w:rPr>
          <w:rFonts w:ascii="Cambria" w:hAnsi="Cambria" w:cs="Calibri Light"/>
        </w:rPr>
      </w:pPr>
    </w:p>
    <w:sectPr w:rsidSect="00DC2846">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rsidP="00EE2985" w14:paraId="689CB704"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407C77"/>
    <w:multiLevelType w:val="hybridMultilevel"/>
    <w:tmpl w:val="84C88A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14685F"/>
    <w:multiLevelType w:val="hybridMultilevel"/>
    <w:tmpl w:val="14B00C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C5F565F"/>
    <w:multiLevelType w:val="hybridMultilevel"/>
    <w:tmpl w:val="F906EF46"/>
    <w:lvl w:ilvl="0">
      <w:start w:val="4"/>
      <w:numFmt w:val="bullet"/>
      <w:lvlText w:val="•"/>
      <w:lvlJc w:val="left"/>
      <w:pPr>
        <w:ind w:left="1080" w:hanging="720"/>
      </w:pPr>
      <w:rPr>
        <w:rFonts w:ascii="Cambria" w:eastAsia="Times New Roman" w:hAnsi="Cambria"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28441530">
    <w:abstractNumId w:val="0"/>
  </w:num>
  <w:num w:numId="2" w16cid:durableId="1224558213">
    <w:abstractNumId w:val="1"/>
  </w:num>
  <w:num w:numId="3" w16cid:durableId="859510535">
    <w:abstractNumId w:val="2"/>
  </w:num>
  <w:num w:numId="4" w16cid:durableId="313725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076309"/>
    <w:rsid w:val="00094279"/>
    <w:rsid w:val="000B0B75"/>
    <w:rsid w:val="000B5AC8"/>
    <w:rsid w:val="001017A0"/>
    <w:rsid w:val="0011279F"/>
    <w:rsid w:val="00123481"/>
    <w:rsid w:val="00146F7E"/>
    <w:rsid w:val="00187EE1"/>
    <w:rsid w:val="001A7BBD"/>
    <w:rsid w:val="0027743E"/>
    <w:rsid w:val="002C006C"/>
    <w:rsid w:val="002C21DA"/>
    <w:rsid w:val="0030008B"/>
    <w:rsid w:val="0050447C"/>
    <w:rsid w:val="0056314B"/>
    <w:rsid w:val="0058679B"/>
    <w:rsid w:val="00596BBA"/>
    <w:rsid w:val="005A3BB2"/>
    <w:rsid w:val="005E0A0F"/>
    <w:rsid w:val="006B2B17"/>
    <w:rsid w:val="006F3F40"/>
    <w:rsid w:val="00742BD0"/>
    <w:rsid w:val="00764C11"/>
    <w:rsid w:val="007863B3"/>
    <w:rsid w:val="007A5926"/>
    <w:rsid w:val="00821454"/>
    <w:rsid w:val="00856766"/>
    <w:rsid w:val="008A0507"/>
    <w:rsid w:val="008D0C20"/>
    <w:rsid w:val="008E184F"/>
    <w:rsid w:val="00944372"/>
    <w:rsid w:val="0096528F"/>
    <w:rsid w:val="00977497"/>
    <w:rsid w:val="00977A74"/>
    <w:rsid w:val="0099528C"/>
    <w:rsid w:val="009A3F51"/>
    <w:rsid w:val="009F0B30"/>
    <w:rsid w:val="009F28DB"/>
    <w:rsid w:val="00A0355D"/>
    <w:rsid w:val="00A93CBF"/>
    <w:rsid w:val="00AB18FA"/>
    <w:rsid w:val="00B10350"/>
    <w:rsid w:val="00B10A24"/>
    <w:rsid w:val="00B1198F"/>
    <w:rsid w:val="00B6237B"/>
    <w:rsid w:val="00B74856"/>
    <w:rsid w:val="00B91B89"/>
    <w:rsid w:val="00BC78DA"/>
    <w:rsid w:val="00C0071F"/>
    <w:rsid w:val="00C06273"/>
    <w:rsid w:val="00C24D03"/>
    <w:rsid w:val="00C27E84"/>
    <w:rsid w:val="00C34D08"/>
    <w:rsid w:val="00C44ADD"/>
    <w:rsid w:val="00C53FA6"/>
    <w:rsid w:val="00C66D8C"/>
    <w:rsid w:val="00C73FF4"/>
    <w:rsid w:val="00CE0472"/>
    <w:rsid w:val="00D01CCE"/>
    <w:rsid w:val="00D46148"/>
    <w:rsid w:val="00DC2846"/>
    <w:rsid w:val="00E82ADF"/>
    <w:rsid w:val="00EA6C04"/>
    <w:rsid w:val="00EB3295"/>
    <w:rsid w:val="00EE2985"/>
    <w:rsid w:val="00F035AB"/>
    <w:rsid w:val="00F1447C"/>
    <w:rsid w:val="00F434B6"/>
    <w:rsid w:val="00F7473A"/>
    <w:rsid w:val="00F92085"/>
    <w:rsid w:val="00F92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EDAD63"/>
  <w15:chartTrackingRefBased/>
  <w15:docId w15:val="{4E7E591A-34BC-417B-BA1C-0AB52684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paragraph" w:styleId="Heading1">
    <w:name w:val="heading 1"/>
    <w:basedOn w:val="Normal"/>
    <w:next w:val="Normal"/>
    <w:link w:val="Heading1Char"/>
    <w:uiPriority w:val="9"/>
    <w:qFormat/>
    <w:rsid w:val="00EE298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EE2985"/>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Title">
    <w:name w:val="Title"/>
    <w:basedOn w:val="Normal"/>
    <w:next w:val="Normal"/>
    <w:link w:val="TitleChar"/>
    <w:uiPriority w:val="10"/>
    <w:qFormat/>
    <w:rsid w:val="002C006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2C006C"/>
    <w:rPr>
      <w:rFonts w:ascii="Cambria" w:eastAsia="Times New Roman" w:hAnsi="Cambria"/>
      <w:color w:val="17365D"/>
      <w:spacing w:val="5"/>
      <w:kern w:val="28"/>
      <w:sz w:val="52"/>
      <w:szCs w:val="52"/>
    </w:rPr>
  </w:style>
  <w:style w:type="character" w:customStyle="1" w:styleId="Heading2Char">
    <w:name w:val="Heading 2 Char"/>
    <w:link w:val="Heading2"/>
    <w:uiPriority w:val="9"/>
    <w:rsid w:val="00EE2985"/>
    <w:rPr>
      <w:rFonts w:ascii="Cambria" w:eastAsia="Times New Roman" w:hAnsi="Cambria"/>
      <w:b/>
      <w:bCs/>
      <w:color w:val="4F81BD"/>
      <w:sz w:val="26"/>
      <w:szCs w:val="26"/>
    </w:rPr>
  </w:style>
  <w:style w:type="paragraph" w:styleId="ListParagraph">
    <w:name w:val="List Paragraph"/>
    <w:basedOn w:val="Normal"/>
    <w:uiPriority w:val="34"/>
    <w:qFormat/>
    <w:rsid w:val="00EE2985"/>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uiPriority w:val="9"/>
    <w:rsid w:val="00EE2985"/>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91B89"/>
    <w:rPr>
      <w:sz w:val="16"/>
      <w:szCs w:val="16"/>
    </w:rPr>
  </w:style>
  <w:style w:type="paragraph" w:styleId="CommentText">
    <w:name w:val="annotation text"/>
    <w:basedOn w:val="Normal"/>
    <w:link w:val="CommentTextChar"/>
    <w:uiPriority w:val="99"/>
    <w:semiHidden/>
    <w:unhideWhenUsed/>
    <w:rsid w:val="00B91B89"/>
    <w:rPr>
      <w:sz w:val="20"/>
      <w:szCs w:val="20"/>
    </w:rPr>
  </w:style>
  <w:style w:type="character" w:customStyle="1" w:styleId="CommentTextChar">
    <w:name w:val="Comment Text Char"/>
    <w:link w:val="CommentText"/>
    <w:uiPriority w:val="99"/>
    <w:semiHidden/>
    <w:rsid w:val="00B91B8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91B89"/>
    <w:rPr>
      <w:b/>
      <w:bCs/>
    </w:rPr>
  </w:style>
  <w:style w:type="character" w:customStyle="1" w:styleId="CommentSubjectChar">
    <w:name w:val="Comment Subject Char"/>
    <w:link w:val="CommentSubject"/>
    <w:uiPriority w:val="99"/>
    <w:semiHidden/>
    <w:rsid w:val="00B91B89"/>
    <w:rPr>
      <w:rFonts w:ascii="Times New Roman" w:eastAsia="Times New Roman" w:hAnsi="Times New Roman"/>
      <w:b/>
      <w:bCs/>
    </w:rPr>
  </w:style>
  <w:style w:type="paragraph" w:styleId="BalloonText">
    <w:name w:val="Balloon Text"/>
    <w:basedOn w:val="Normal"/>
    <w:link w:val="BalloonTextChar"/>
    <w:uiPriority w:val="99"/>
    <w:semiHidden/>
    <w:unhideWhenUsed/>
    <w:rsid w:val="00B91B89"/>
    <w:rPr>
      <w:rFonts w:ascii="Segoe UI" w:hAnsi="Segoe UI" w:cs="Segoe UI"/>
      <w:sz w:val="18"/>
      <w:szCs w:val="18"/>
    </w:rPr>
  </w:style>
  <w:style w:type="character" w:customStyle="1" w:styleId="BalloonTextChar">
    <w:name w:val="Balloon Text Char"/>
    <w:link w:val="BalloonText"/>
    <w:uiPriority w:val="99"/>
    <w:semiHidden/>
    <w:rsid w:val="00B91B89"/>
    <w:rPr>
      <w:rFonts w:ascii="Segoe UI" w:eastAsia="Times New Roman" w:hAnsi="Segoe UI" w:cs="Segoe UI"/>
      <w:sz w:val="18"/>
      <w:szCs w:val="18"/>
    </w:rPr>
  </w:style>
  <w:style w:type="character" w:styleId="Hyperlink">
    <w:name w:val="Hyperlink"/>
    <w:basedOn w:val="DefaultParagraphFont"/>
    <w:uiPriority w:val="99"/>
    <w:semiHidden/>
    <w:unhideWhenUsed/>
    <w:rsid w:val="00977497"/>
    <w:rPr>
      <w:color w:val="0563C1" w:themeColor="hyperlink"/>
      <w:u w:val="single"/>
    </w:rPr>
  </w:style>
  <w:style w:type="table" w:customStyle="1" w:styleId="TableGrid1">
    <w:name w:val="Table Grid1"/>
    <w:basedOn w:val="TableNormal"/>
    <w:uiPriority w:val="39"/>
    <w:rsid w:val="00C44A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21D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2d0191-eeae-4761-b1cb-1a83e86ef445}" enabled="0" method="" siteId="{102d0191-eeae-4761-b1cb-1a83e86ef445}" removed="1"/>
  <clbl:label id="{78975c20-18d4-40c9-811f-0d8ea387c6ea}" enabled="0" method="" siteId="{78975c20-18d4-40c9-811f-0d8ea387c6ea}" removed="1"/>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Agyeman, Nana B CTR WHS ESD (USA)</cp:lastModifiedBy>
  <cp:revision>2</cp:revision>
  <cp:lastPrinted>2013-01-25T19:13:00Z</cp:lastPrinted>
  <dcterms:created xsi:type="dcterms:W3CDTF">2026-01-30T14:53:00Z</dcterms:created>
  <dcterms:modified xsi:type="dcterms:W3CDTF">2026-01-30T14:53:00Z</dcterms:modified>
</cp:coreProperties>
</file>