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53BA2" w:rsidRPr="00453BA2" w:rsidP="00453BA2" w14:paraId="536C24A1" w14:textId="43A35CEE">
      <w:pPr>
        <w:jc w:val="center"/>
        <w:rPr>
          <w:szCs w:val="24"/>
        </w:rPr>
      </w:pPr>
      <w:r>
        <w:rPr>
          <w:szCs w:val="24"/>
        </w:rPr>
        <w:t>UNITED STATES FOOD &amp; DRUG ADMINISTRATION</w:t>
      </w:r>
    </w:p>
    <w:p w:rsidR="007A5D4D" w:rsidP="00453BA2" w14:paraId="7A108013" w14:textId="55F342BC">
      <w:pPr>
        <w:jc w:val="center"/>
        <w:rPr>
          <w:szCs w:val="24"/>
        </w:rPr>
      </w:pPr>
    </w:p>
    <w:p w:rsidR="00EE3772" w:rsidRPr="00EE3772" w:rsidP="00EE3772" w14:paraId="64FB16B5" w14:textId="79B921EE">
      <w:pPr>
        <w:rPr>
          <w:szCs w:val="24"/>
        </w:rPr>
      </w:pPr>
      <w:r w:rsidRPr="00EE3772">
        <w:rPr>
          <w:szCs w:val="24"/>
        </w:rPr>
        <w:t>RIN 0910-AH62</w:t>
      </w:r>
      <w:r>
        <w:rPr>
          <w:szCs w:val="24"/>
        </w:rPr>
        <w:t xml:space="preserve">:  </w:t>
      </w:r>
      <w:r w:rsidRPr="003A2462">
        <w:rPr>
          <w:i/>
          <w:iCs/>
          <w:szCs w:val="24"/>
        </w:rPr>
        <w:t>Nonprescription Drug Product With An Additional Condition For Nonprescription Use</w:t>
      </w:r>
    </w:p>
    <w:p w:rsidR="00A4524F" w:rsidP="003A2462" w14:paraId="4B50BFE2" w14:textId="77777777">
      <w:pPr>
        <w:rPr>
          <w:szCs w:val="24"/>
        </w:rPr>
      </w:pPr>
    </w:p>
    <w:p w:rsidR="00CB580E" w:rsidP="003A2462" w14:paraId="6C0B14D0" w14:textId="2ABA5FA3">
      <w:pPr>
        <w:jc w:val="center"/>
        <w:rPr>
          <w:szCs w:val="24"/>
        </w:rPr>
      </w:pPr>
      <w:r w:rsidRPr="004213BE">
        <w:rPr>
          <w:szCs w:val="24"/>
          <w:u w:val="single"/>
        </w:rPr>
        <w:t>OMB Control No. 0910</w:t>
      </w:r>
      <w:r w:rsidRPr="004213BE" w:rsidR="004213BE">
        <w:rPr>
          <w:szCs w:val="24"/>
          <w:u w:val="single"/>
        </w:rPr>
        <w:t>-</w:t>
      </w:r>
      <w:r w:rsidRPr="004213BE">
        <w:rPr>
          <w:szCs w:val="24"/>
          <w:u w:val="single"/>
        </w:rPr>
        <w:t>0001</w:t>
      </w:r>
      <w:r w:rsidR="004213BE">
        <w:rPr>
          <w:szCs w:val="24"/>
        </w:rPr>
        <w:t xml:space="preserve"> – Revision</w:t>
      </w:r>
    </w:p>
    <w:p w:rsidR="00CB580E" w:rsidP="00453BA2" w14:paraId="7FEE2CFF" w14:textId="77777777">
      <w:pPr>
        <w:rPr>
          <w:szCs w:val="24"/>
        </w:rPr>
      </w:pPr>
    </w:p>
    <w:p w:rsidR="00DB58CD" w:rsidRPr="00453BA2" w:rsidP="00A4524F" w14:paraId="05DE37F7" w14:textId="5C62C635">
      <w:pPr>
        <w:rPr>
          <w:szCs w:val="24"/>
        </w:rPr>
      </w:pPr>
      <w:r w:rsidRPr="00453BA2">
        <w:rPr>
          <w:szCs w:val="24"/>
        </w:rPr>
        <w:t xml:space="preserve">SUPPORTING STATEMENT </w:t>
      </w:r>
      <w:r w:rsidR="00186010">
        <w:rPr>
          <w:szCs w:val="24"/>
        </w:rPr>
        <w:t xml:space="preserve">– </w:t>
      </w:r>
      <w:r w:rsidRPr="00453BA2">
        <w:rPr>
          <w:b/>
          <w:szCs w:val="24"/>
        </w:rPr>
        <w:t>Part A:  Justification</w:t>
      </w:r>
    </w:p>
    <w:p w:rsidR="00453BA2" w:rsidP="00A4524F" w14:paraId="3B5808AC" w14:textId="77777777">
      <w:pPr>
        <w:ind w:left="180"/>
        <w:rPr>
          <w:szCs w:val="24"/>
        </w:rPr>
      </w:pPr>
    </w:p>
    <w:p w:rsidR="00DB58CD" w:rsidRPr="00453BA2" w:rsidP="00A4524F" w14:paraId="3915ABEA" w14:textId="443EE15A">
      <w:pPr>
        <w:ind w:left="180"/>
        <w:rPr>
          <w:szCs w:val="24"/>
          <w:u w:val="single"/>
        </w:rPr>
      </w:pPr>
      <w:r w:rsidRPr="00453BA2">
        <w:rPr>
          <w:szCs w:val="24"/>
          <w:u w:val="single"/>
        </w:rPr>
        <w:t xml:space="preserve">1.  Circumstances </w:t>
      </w:r>
      <w:r w:rsidRPr="00453BA2" w:rsidR="00491C0B">
        <w:rPr>
          <w:szCs w:val="24"/>
          <w:u w:val="single"/>
        </w:rPr>
        <w:t>Making the Collection of Information Necessary</w:t>
      </w:r>
    </w:p>
    <w:p w:rsidR="00593EBB" w:rsidP="00A4524F" w14:paraId="0431600F" w14:textId="77777777">
      <w:pPr>
        <w:ind w:left="180"/>
        <w:rPr>
          <w:szCs w:val="24"/>
        </w:rPr>
      </w:pPr>
    </w:p>
    <w:p w:rsidR="008C599E" w:rsidP="007E4685" w14:paraId="1712C452" w14:textId="4F48F50F">
      <w:pPr>
        <w:ind w:left="180"/>
        <w:rPr>
          <w:szCs w:val="24"/>
        </w:rPr>
      </w:pPr>
      <w:r>
        <w:rPr>
          <w:szCs w:val="24"/>
        </w:rPr>
        <w:t xml:space="preserve">This information </w:t>
      </w:r>
      <w:r w:rsidR="000F75E9">
        <w:rPr>
          <w:szCs w:val="24"/>
        </w:rPr>
        <w:t>collection</w:t>
      </w:r>
      <w:r>
        <w:rPr>
          <w:szCs w:val="24"/>
        </w:rPr>
        <w:t xml:space="preserve"> supports </w:t>
      </w:r>
      <w:r w:rsidR="00DD3DA7">
        <w:rPr>
          <w:szCs w:val="24"/>
        </w:rPr>
        <w:t xml:space="preserve">implementation of section 505 </w:t>
      </w:r>
      <w:r w:rsidR="004213BE">
        <w:rPr>
          <w:szCs w:val="24"/>
        </w:rPr>
        <w:t xml:space="preserve">of the Federal </w:t>
      </w:r>
      <w:r w:rsidRPr="00453BA2" w:rsidR="00BB573F">
        <w:rPr>
          <w:szCs w:val="24"/>
        </w:rPr>
        <w:t>Food, Drug, and Cosmet</w:t>
      </w:r>
      <w:r>
        <w:rPr>
          <w:szCs w:val="24"/>
        </w:rPr>
        <w:t>ic Act (FFDCA</w:t>
      </w:r>
      <w:r w:rsidRPr="00453BA2" w:rsidR="00BB573F">
        <w:rPr>
          <w:szCs w:val="24"/>
        </w:rPr>
        <w:t>)</w:t>
      </w:r>
      <w:r w:rsidR="003461FD">
        <w:rPr>
          <w:szCs w:val="24"/>
        </w:rPr>
        <w:t>;</w:t>
      </w:r>
      <w:r w:rsidR="00015C00">
        <w:rPr>
          <w:szCs w:val="24"/>
        </w:rPr>
        <w:t xml:space="preserve"> </w:t>
      </w:r>
      <w:r w:rsidRPr="004B0325" w:rsidR="004B0325">
        <w:rPr>
          <w:szCs w:val="24"/>
        </w:rPr>
        <w:t xml:space="preserve">Food and Drug Administration (FDA, the agency, us or we) </w:t>
      </w:r>
      <w:r w:rsidR="004B0325">
        <w:rPr>
          <w:szCs w:val="24"/>
        </w:rPr>
        <w:t>regulations</w:t>
      </w:r>
      <w:r w:rsidR="003461FD">
        <w:rPr>
          <w:szCs w:val="24"/>
        </w:rPr>
        <w:t>;</w:t>
      </w:r>
      <w:r w:rsidR="004E66C9">
        <w:rPr>
          <w:szCs w:val="24"/>
        </w:rPr>
        <w:t xml:space="preserve"> </w:t>
      </w:r>
      <w:r w:rsidR="009F696E">
        <w:rPr>
          <w:szCs w:val="24"/>
        </w:rPr>
        <w:t xml:space="preserve">agency and industry </w:t>
      </w:r>
      <w:r w:rsidR="007C13DF">
        <w:rPr>
          <w:szCs w:val="24"/>
        </w:rPr>
        <w:t xml:space="preserve">program </w:t>
      </w:r>
      <w:r w:rsidR="00041A7D">
        <w:rPr>
          <w:szCs w:val="24"/>
        </w:rPr>
        <w:t xml:space="preserve">performance goals </w:t>
      </w:r>
      <w:r w:rsidR="00C515C8">
        <w:rPr>
          <w:szCs w:val="24"/>
        </w:rPr>
        <w:t xml:space="preserve">established </w:t>
      </w:r>
      <w:r w:rsidR="00041A7D">
        <w:rPr>
          <w:szCs w:val="24"/>
        </w:rPr>
        <w:t xml:space="preserve">in accordance with </w:t>
      </w:r>
      <w:r w:rsidR="00675087">
        <w:rPr>
          <w:szCs w:val="24"/>
        </w:rPr>
        <w:t>user fee authority</w:t>
      </w:r>
      <w:r w:rsidR="00A94913">
        <w:rPr>
          <w:szCs w:val="24"/>
        </w:rPr>
        <w:t>; and associated guidance</w:t>
      </w:r>
      <w:r w:rsidR="00B76E43">
        <w:rPr>
          <w:szCs w:val="24"/>
        </w:rPr>
        <w:t xml:space="preserve">.  </w:t>
      </w:r>
      <w:r w:rsidR="00015C00">
        <w:rPr>
          <w:szCs w:val="24"/>
        </w:rPr>
        <w:t>Section 505 of the FFDCA (21 U.S.C. 355)</w:t>
      </w:r>
      <w:r w:rsidR="004213BE">
        <w:rPr>
          <w:szCs w:val="24"/>
        </w:rPr>
        <w:t xml:space="preserve"> govern</w:t>
      </w:r>
      <w:r w:rsidR="00015C00">
        <w:rPr>
          <w:szCs w:val="24"/>
        </w:rPr>
        <w:t>s</w:t>
      </w:r>
      <w:r w:rsidR="004213BE">
        <w:rPr>
          <w:szCs w:val="24"/>
        </w:rPr>
        <w:t xml:space="preserve"> </w:t>
      </w:r>
      <w:r w:rsidRPr="004213BE" w:rsidR="004213BE">
        <w:rPr>
          <w:szCs w:val="24"/>
        </w:rPr>
        <w:t>procedures and requirements for the submission</w:t>
      </w:r>
      <w:r w:rsidR="004213BE">
        <w:rPr>
          <w:szCs w:val="24"/>
        </w:rPr>
        <w:t xml:space="preserve"> and review of </w:t>
      </w:r>
      <w:r w:rsidRPr="004213BE" w:rsidR="004213BE">
        <w:rPr>
          <w:szCs w:val="24"/>
        </w:rPr>
        <w:t>applications and abbreviated applications to market a new drug</w:t>
      </w:r>
      <w:r w:rsidR="004213BE">
        <w:rPr>
          <w:szCs w:val="24"/>
        </w:rPr>
        <w:t>, including amendments</w:t>
      </w:r>
      <w:r w:rsidRPr="004213BE" w:rsidR="004213BE">
        <w:rPr>
          <w:szCs w:val="24"/>
        </w:rPr>
        <w:t xml:space="preserve">, supplements, and postmarketing reports to </w:t>
      </w:r>
      <w:r w:rsidR="00901737">
        <w:rPr>
          <w:szCs w:val="24"/>
        </w:rPr>
        <w:t xml:space="preserve">and for </w:t>
      </w:r>
      <w:r w:rsidRPr="004213BE" w:rsidR="004213BE">
        <w:rPr>
          <w:szCs w:val="24"/>
        </w:rPr>
        <w:t>th</w:t>
      </w:r>
      <w:r w:rsidR="004213BE">
        <w:rPr>
          <w:szCs w:val="24"/>
        </w:rPr>
        <w:t>ose applications.</w:t>
      </w:r>
      <w:r w:rsidR="00015C00">
        <w:rPr>
          <w:szCs w:val="24"/>
        </w:rPr>
        <w:t xml:space="preserve">  We have promulgated regulations in 21 CFR part 314 setting forth content and format requirements for new drug application</w:t>
      </w:r>
      <w:r w:rsidR="00961F90">
        <w:rPr>
          <w:szCs w:val="24"/>
        </w:rPr>
        <w:t>s</w:t>
      </w:r>
      <w:r w:rsidR="003D198B">
        <w:rPr>
          <w:szCs w:val="24"/>
        </w:rPr>
        <w:t xml:space="preserve"> (NDAs) and abbreviated new drug applications (ANDAs)</w:t>
      </w:r>
      <w:r w:rsidR="00015C00">
        <w:rPr>
          <w:szCs w:val="24"/>
        </w:rPr>
        <w:t xml:space="preserve">, </w:t>
      </w:r>
      <w:r w:rsidR="00D93281">
        <w:rPr>
          <w:szCs w:val="24"/>
        </w:rPr>
        <w:t xml:space="preserve">that include </w:t>
      </w:r>
      <w:r w:rsidR="00015C00">
        <w:rPr>
          <w:szCs w:val="24"/>
        </w:rPr>
        <w:t>associated recordkeeping</w:t>
      </w:r>
      <w:r w:rsidR="00E810F8">
        <w:rPr>
          <w:szCs w:val="24"/>
        </w:rPr>
        <w:t xml:space="preserve"> and disclosure</w:t>
      </w:r>
      <w:r w:rsidR="00901737">
        <w:rPr>
          <w:szCs w:val="24"/>
        </w:rPr>
        <w:t xml:space="preserve"> requirements</w:t>
      </w:r>
      <w:r w:rsidR="00015C00">
        <w:rPr>
          <w:szCs w:val="24"/>
        </w:rPr>
        <w:t xml:space="preserve">.  Both the FFDCA and our implementing regulations explain a </w:t>
      </w:r>
      <w:r w:rsidRPr="00453BA2" w:rsidR="00BB573F">
        <w:rPr>
          <w:szCs w:val="24"/>
        </w:rPr>
        <w:t xml:space="preserve">sponsor's responsibility to provide </w:t>
      </w:r>
      <w:r w:rsidR="00B76E43">
        <w:rPr>
          <w:szCs w:val="24"/>
        </w:rPr>
        <w:t xml:space="preserve">us </w:t>
      </w:r>
      <w:r w:rsidR="003D198B">
        <w:rPr>
          <w:szCs w:val="24"/>
        </w:rPr>
        <w:t xml:space="preserve">with </w:t>
      </w:r>
      <w:r w:rsidRPr="00453BA2" w:rsidR="00BB573F">
        <w:rPr>
          <w:szCs w:val="24"/>
        </w:rPr>
        <w:t xml:space="preserve">information needed to make a scientific and technical determination </w:t>
      </w:r>
      <w:r>
        <w:rPr>
          <w:szCs w:val="24"/>
        </w:rPr>
        <w:t xml:space="preserve">as to </w:t>
      </w:r>
      <w:r w:rsidRPr="00453BA2" w:rsidR="00BB573F">
        <w:rPr>
          <w:szCs w:val="24"/>
        </w:rPr>
        <w:t xml:space="preserve">whether </w:t>
      </w:r>
      <w:r w:rsidR="00015C00">
        <w:rPr>
          <w:szCs w:val="24"/>
        </w:rPr>
        <w:t xml:space="preserve">a </w:t>
      </w:r>
      <w:r w:rsidRPr="00453BA2" w:rsidR="00BB573F">
        <w:rPr>
          <w:szCs w:val="24"/>
        </w:rPr>
        <w:t>product is safe and effective for use.</w:t>
      </w:r>
      <w:r w:rsidR="00034C8E">
        <w:t xml:space="preserve">  </w:t>
      </w:r>
      <w:r w:rsidR="00E358DF">
        <w:t xml:space="preserve">For </w:t>
      </w:r>
      <w:r w:rsidR="00E358DF">
        <w:rPr>
          <w:szCs w:val="24"/>
        </w:rPr>
        <w:t>m</w:t>
      </w:r>
      <w:r w:rsidRPr="00034C8E" w:rsidR="00034C8E">
        <w:rPr>
          <w:szCs w:val="24"/>
        </w:rPr>
        <w:t xml:space="preserve">ore information </w:t>
      </w:r>
      <w:r w:rsidR="00034C8E">
        <w:rPr>
          <w:szCs w:val="24"/>
        </w:rPr>
        <w:t xml:space="preserve">regarding </w:t>
      </w:r>
      <w:r w:rsidR="00E358DF">
        <w:rPr>
          <w:szCs w:val="24"/>
        </w:rPr>
        <w:t>new drug applications generally visit</w:t>
      </w:r>
      <w:r w:rsidR="00B76E43">
        <w:rPr>
          <w:szCs w:val="24"/>
        </w:rPr>
        <w:t xml:space="preserve"> our website at: </w:t>
      </w:r>
      <w:r w:rsidR="00E358DF">
        <w:rPr>
          <w:szCs w:val="24"/>
        </w:rPr>
        <w:t xml:space="preserve"> </w:t>
      </w:r>
      <w:hyperlink r:id="rId5" w:history="1">
        <w:r w:rsidRPr="00372AFC" w:rsidR="00E358DF">
          <w:rPr>
            <w:rStyle w:val="Hyperlink"/>
            <w:szCs w:val="24"/>
          </w:rPr>
          <w:t>www.fda.gov/drugs/types-applications/new-drug-application-nda</w:t>
        </w:r>
      </w:hyperlink>
      <w:r w:rsidR="00E358DF">
        <w:rPr>
          <w:szCs w:val="24"/>
        </w:rPr>
        <w:t>.</w:t>
      </w:r>
      <w:r w:rsidR="00041A7D">
        <w:rPr>
          <w:szCs w:val="24"/>
        </w:rPr>
        <w:t xml:space="preserve">  </w:t>
      </w:r>
    </w:p>
    <w:p w:rsidR="007E4685" w:rsidP="007E4685" w14:paraId="15483C7F" w14:textId="77777777">
      <w:pPr>
        <w:ind w:left="180"/>
        <w:rPr>
          <w:szCs w:val="24"/>
        </w:rPr>
      </w:pPr>
    </w:p>
    <w:p w:rsidR="00132388" w:rsidP="003E228C" w14:paraId="0A0C6C18" w14:textId="29CCFBE4">
      <w:pPr>
        <w:ind w:left="180"/>
        <w:rPr>
          <w:szCs w:val="24"/>
        </w:rPr>
      </w:pPr>
      <w:r>
        <w:rPr>
          <w:szCs w:val="24"/>
        </w:rPr>
        <w:t xml:space="preserve">We are revising the information collection to </w:t>
      </w:r>
      <w:r w:rsidR="005E1A92">
        <w:rPr>
          <w:szCs w:val="24"/>
        </w:rPr>
        <w:t>support agency rulemaking (0910-AH62)</w:t>
      </w:r>
      <w:r w:rsidR="007A71EC">
        <w:rPr>
          <w:szCs w:val="24"/>
        </w:rPr>
        <w:t xml:space="preserve"> that </w:t>
      </w:r>
      <w:r w:rsidRPr="00E94BDA" w:rsidR="00E94BDA">
        <w:rPr>
          <w:szCs w:val="24"/>
        </w:rPr>
        <w:t>establish</w:t>
      </w:r>
      <w:r w:rsidR="009678EA">
        <w:rPr>
          <w:szCs w:val="24"/>
        </w:rPr>
        <w:t>es</w:t>
      </w:r>
      <w:r w:rsidRPr="00E94BDA" w:rsidR="00E94BDA">
        <w:rPr>
          <w:szCs w:val="24"/>
        </w:rPr>
        <w:t xml:space="preserve"> requirements for a nonprescription drug product with an </w:t>
      </w:r>
      <w:r w:rsidR="001F365E">
        <w:rPr>
          <w:szCs w:val="24"/>
        </w:rPr>
        <w:t>“</w:t>
      </w:r>
      <w:r w:rsidRPr="001F365E" w:rsidR="00E94BDA">
        <w:rPr>
          <w:i/>
          <w:iCs/>
          <w:szCs w:val="24"/>
        </w:rPr>
        <w:t xml:space="preserve">additional condition for nonprescription use </w:t>
      </w:r>
      <w:r w:rsidRPr="00E94BDA" w:rsidR="00E94BDA">
        <w:rPr>
          <w:szCs w:val="24"/>
        </w:rPr>
        <w:t>(ACNU)</w:t>
      </w:r>
      <w:r w:rsidR="001F365E">
        <w:rPr>
          <w:szCs w:val="24"/>
        </w:rPr>
        <w:t>”</w:t>
      </w:r>
      <w:r w:rsidR="00C203F2">
        <w:rPr>
          <w:szCs w:val="24"/>
        </w:rPr>
        <w:t xml:space="preserve"> at 21 CFR 314.56.  </w:t>
      </w:r>
      <w:r w:rsidRPr="00E94BDA" w:rsidR="00E94BDA">
        <w:rPr>
          <w:szCs w:val="24"/>
        </w:rPr>
        <w:t>The rulemaking also amends labeling requirements applicable to these nonprescription drug products</w:t>
      </w:r>
      <w:r w:rsidR="001C5070">
        <w:rPr>
          <w:szCs w:val="24"/>
        </w:rPr>
        <w:t xml:space="preserve"> with an ACNU</w:t>
      </w:r>
      <w:r w:rsidRPr="00E94BDA" w:rsidR="00E94BDA">
        <w:rPr>
          <w:szCs w:val="24"/>
        </w:rPr>
        <w:t xml:space="preserve">, and establishes that applicants of nonprescription drug products implement required steps to ensure appropriate </w:t>
      </w:r>
      <w:r w:rsidR="001C5070">
        <w:rPr>
          <w:szCs w:val="24"/>
        </w:rPr>
        <w:t>compliance with the regulatory requirements</w:t>
      </w:r>
      <w:r w:rsidRPr="00E94BDA" w:rsidR="00E94BDA">
        <w:rPr>
          <w:szCs w:val="24"/>
        </w:rPr>
        <w:t>.</w:t>
      </w:r>
    </w:p>
    <w:p w:rsidR="00453BA2" w:rsidP="00A4524F" w14:paraId="5C28ADA6" w14:textId="77777777">
      <w:pPr>
        <w:ind w:left="180"/>
        <w:rPr>
          <w:szCs w:val="24"/>
        </w:rPr>
      </w:pPr>
    </w:p>
    <w:p w:rsidR="00DB58CD" w:rsidRPr="0007744C" w:rsidP="00A4524F" w14:paraId="4C89551A" w14:textId="7B2B9413">
      <w:pPr>
        <w:ind w:left="180"/>
        <w:rPr>
          <w:szCs w:val="24"/>
          <w:u w:val="single"/>
        </w:rPr>
      </w:pPr>
      <w:r w:rsidRPr="0007744C">
        <w:rPr>
          <w:szCs w:val="24"/>
          <w:u w:val="single"/>
        </w:rPr>
        <w:t xml:space="preserve">2. Purpose and Use of </w:t>
      </w:r>
      <w:r w:rsidRPr="0007744C" w:rsidR="00491C0B">
        <w:rPr>
          <w:szCs w:val="24"/>
          <w:u w:val="single"/>
        </w:rPr>
        <w:t>the Information Collection</w:t>
      </w:r>
    </w:p>
    <w:p w:rsidR="0007744C" w:rsidP="00A4524F" w14:paraId="51DC9E14" w14:textId="77777777">
      <w:pPr>
        <w:ind w:left="180"/>
        <w:rPr>
          <w:szCs w:val="24"/>
        </w:rPr>
      </w:pPr>
    </w:p>
    <w:p w:rsidR="00FF1BB5" w:rsidP="00A4524F" w14:paraId="643357CF" w14:textId="77777777">
      <w:pPr>
        <w:ind w:left="180"/>
        <w:rPr>
          <w:szCs w:val="24"/>
        </w:rPr>
      </w:pPr>
      <w:r w:rsidRPr="00453BA2">
        <w:rPr>
          <w:szCs w:val="24"/>
        </w:rPr>
        <w:t xml:space="preserve">Section 505 of the </w:t>
      </w:r>
      <w:r>
        <w:rPr>
          <w:szCs w:val="24"/>
        </w:rPr>
        <w:t xml:space="preserve">FFDCA </w:t>
      </w:r>
      <w:r w:rsidRPr="00453BA2">
        <w:rPr>
          <w:szCs w:val="24"/>
        </w:rPr>
        <w:t>requires that a new drug may not be marketed unless the manufacturer provides FDA with scientific evidence that the drug is both safe and effecti</w:t>
      </w:r>
      <w:r w:rsidRPr="00453BA2" w:rsidR="00F253CD">
        <w:rPr>
          <w:szCs w:val="24"/>
        </w:rPr>
        <w:t>ve</w:t>
      </w:r>
      <w:r w:rsidR="00FD7FC2">
        <w:rPr>
          <w:szCs w:val="24"/>
        </w:rPr>
        <w:t xml:space="preserve"> for human use</w:t>
      </w:r>
      <w:r w:rsidRPr="00453BA2" w:rsidR="00F253CD">
        <w:rPr>
          <w:szCs w:val="24"/>
        </w:rPr>
        <w:t xml:space="preserve">.  </w:t>
      </w:r>
      <w:r w:rsidRPr="00193CBC" w:rsidR="00193CBC">
        <w:rPr>
          <w:szCs w:val="24"/>
        </w:rPr>
        <w:t>For nonprescription products with an ACNU, the new requirements will provide information necessary for FDA to approve an NDA or ANDA for a nonprescription drug for which labeling alone is not sufficient to ensure that the consumer can appropriately self-select or use a drug product safely and effectively in a nonprescription setting.  FDA approval of an NDA or ANDA for a nonprescription drug product with an ACNU will improve public health by expanding the types of drug products consumers can access and use over-the-counter that would otherwise only be available by prescription.</w:t>
      </w:r>
    </w:p>
    <w:p w:rsidR="00FF1BB5" w:rsidP="00A4524F" w14:paraId="7B602F41" w14:textId="77777777">
      <w:pPr>
        <w:ind w:left="180"/>
        <w:rPr>
          <w:szCs w:val="24"/>
        </w:rPr>
      </w:pPr>
    </w:p>
    <w:p w:rsidR="00026CC4" w14:paraId="09E5C2B5" w14:textId="77777777">
      <w:pPr>
        <w:widowControl/>
        <w:rPr>
          <w:szCs w:val="24"/>
          <w:u w:val="single"/>
        </w:rPr>
      </w:pPr>
      <w:r>
        <w:rPr>
          <w:szCs w:val="24"/>
          <w:u w:val="single"/>
        </w:rPr>
        <w:br w:type="page"/>
      </w:r>
    </w:p>
    <w:p w:rsidR="00DB58CD" w:rsidRPr="000B3A48" w:rsidP="00A4524F" w14:paraId="53555F9B" w14:textId="3709B15B">
      <w:pPr>
        <w:ind w:left="180"/>
        <w:rPr>
          <w:szCs w:val="24"/>
        </w:rPr>
      </w:pPr>
      <w:r w:rsidRPr="0007744C">
        <w:rPr>
          <w:szCs w:val="24"/>
          <w:u w:val="single"/>
        </w:rPr>
        <w:t>3.  Use of Improved Information Technolog</w:t>
      </w:r>
      <w:r w:rsidRPr="0007744C" w:rsidR="00491C0B">
        <w:rPr>
          <w:szCs w:val="24"/>
          <w:u w:val="single"/>
        </w:rPr>
        <w:t>y and Burden Reduction</w:t>
      </w:r>
    </w:p>
    <w:p w:rsidR="0007744C" w:rsidRPr="00453BA2" w:rsidP="00A4524F" w14:paraId="3BBCDD8E" w14:textId="77777777">
      <w:pPr>
        <w:ind w:left="180"/>
        <w:rPr>
          <w:szCs w:val="24"/>
        </w:rPr>
      </w:pPr>
    </w:p>
    <w:p w:rsidR="004A75B7" w:rsidRPr="00453BA2" w:rsidP="00A4524F" w14:paraId="2764A915" w14:textId="22EF6164">
      <w:pPr>
        <w:ind w:left="180"/>
        <w:rPr>
          <w:szCs w:val="24"/>
        </w:rPr>
      </w:pPr>
      <w:r>
        <w:rPr>
          <w:szCs w:val="24"/>
        </w:rPr>
        <w:t xml:space="preserve">Although waivers may be granted, </w:t>
      </w:r>
      <w:r w:rsidR="00874D73">
        <w:rPr>
          <w:szCs w:val="24"/>
        </w:rPr>
        <w:t>we encourage</w:t>
      </w:r>
      <w:r w:rsidR="008F6A71">
        <w:rPr>
          <w:szCs w:val="24"/>
        </w:rPr>
        <w:t xml:space="preserve"> </w:t>
      </w:r>
      <w:r w:rsidRPr="00453BA2" w:rsidR="00BB573F">
        <w:rPr>
          <w:szCs w:val="24"/>
        </w:rPr>
        <w:t xml:space="preserve">the electronic submission of information </w:t>
      </w:r>
      <w:r w:rsidR="00874D73">
        <w:rPr>
          <w:szCs w:val="24"/>
        </w:rPr>
        <w:t>a</w:t>
      </w:r>
      <w:r w:rsidR="007733AB">
        <w:rPr>
          <w:szCs w:val="24"/>
        </w:rPr>
        <w:t xml:space="preserve">s </w:t>
      </w:r>
      <w:r w:rsidR="00874D73">
        <w:rPr>
          <w:szCs w:val="24"/>
        </w:rPr>
        <w:t xml:space="preserve">set forth in </w:t>
      </w:r>
      <w:r w:rsidR="00DC1708">
        <w:rPr>
          <w:szCs w:val="24"/>
        </w:rPr>
        <w:t>21 CFR part</w:t>
      </w:r>
      <w:r w:rsidRPr="00453BA2" w:rsidR="00BB573F">
        <w:rPr>
          <w:szCs w:val="24"/>
        </w:rPr>
        <w:t xml:space="preserve"> 314</w:t>
      </w:r>
      <w:r w:rsidR="006033A7">
        <w:rPr>
          <w:szCs w:val="24"/>
        </w:rPr>
        <w:t>.  We</w:t>
      </w:r>
      <w:r w:rsidR="008F6A71">
        <w:rPr>
          <w:szCs w:val="24"/>
        </w:rPr>
        <w:t xml:space="preserve"> </w:t>
      </w:r>
      <w:r w:rsidRPr="005957AA" w:rsidR="005957AA">
        <w:rPr>
          <w:szCs w:val="24"/>
        </w:rPr>
        <w:t>have developed several resources, available at https://www.fda.gov/drugs/types-applications/new-drug-application-nda, to assist respondents with the respective requirements</w:t>
      </w:r>
      <w:r w:rsidR="006033A7">
        <w:rPr>
          <w:szCs w:val="24"/>
        </w:rPr>
        <w:t xml:space="preserve"> to assist respondents with both technical and substantive </w:t>
      </w:r>
      <w:r w:rsidR="00874D73">
        <w:rPr>
          <w:szCs w:val="24"/>
        </w:rPr>
        <w:t xml:space="preserve">elements </w:t>
      </w:r>
      <w:r w:rsidR="006033A7">
        <w:rPr>
          <w:szCs w:val="24"/>
        </w:rPr>
        <w:t>of submission.  All forms are av</w:t>
      </w:r>
      <w:r w:rsidR="00906E08">
        <w:rPr>
          <w:szCs w:val="24"/>
        </w:rPr>
        <w:t xml:space="preserve">ailable electronically and are submitted through our </w:t>
      </w:r>
      <w:hyperlink r:id="rId6" w:history="1">
        <w:r w:rsidRPr="00B705EB" w:rsidR="00906E08">
          <w:rPr>
            <w:rStyle w:val="Hyperlink"/>
            <w:szCs w:val="24"/>
          </w:rPr>
          <w:t>Electronic Systems Gateway (ESG)</w:t>
        </w:r>
      </w:hyperlink>
      <w:r w:rsidRPr="00453BA2" w:rsidR="00BB573F">
        <w:rPr>
          <w:szCs w:val="24"/>
        </w:rPr>
        <w:t xml:space="preserve">.  </w:t>
      </w:r>
      <w:r w:rsidR="00906E08">
        <w:rPr>
          <w:szCs w:val="24"/>
        </w:rPr>
        <w:t>Con</w:t>
      </w:r>
      <w:r w:rsidR="00A56AE5">
        <w:rPr>
          <w:szCs w:val="24"/>
        </w:rPr>
        <w:t xml:space="preserve">sistent with regulations in 21 CFR 314.445, we have also developed and issued guidance documents to assist respondents in complying with regulations in part 314.  </w:t>
      </w:r>
      <w:r w:rsidRPr="00453BA2" w:rsidR="008F6A71">
        <w:rPr>
          <w:szCs w:val="24"/>
        </w:rPr>
        <w:t>These guidance documents</w:t>
      </w:r>
      <w:r w:rsidRPr="00453BA2" w:rsidR="00BA1D6F">
        <w:rPr>
          <w:szCs w:val="24"/>
        </w:rPr>
        <w:t xml:space="preserve"> and others</w:t>
      </w:r>
      <w:r w:rsidRPr="00453BA2" w:rsidR="008F6A71">
        <w:rPr>
          <w:szCs w:val="24"/>
        </w:rPr>
        <w:t xml:space="preserve"> are available at FDA's web site </w:t>
      </w:r>
      <w:hyperlink r:id="rId7" w:history="1">
        <w:r w:rsidRPr="008073BE" w:rsidR="00C500FF">
          <w:rPr>
            <w:rStyle w:val="Hyperlink"/>
            <w:sz w:val="22"/>
            <w:szCs w:val="22"/>
          </w:rPr>
          <w:t>http://www.fda.gov/Drugs/GuidanceComplianceRegulatoryInformation/Guidances/default.htm</w:t>
        </w:r>
      </w:hyperlink>
      <w:r w:rsidRPr="00453BA2" w:rsidR="00C500FF">
        <w:rPr>
          <w:szCs w:val="24"/>
        </w:rPr>
        <w:t>.</w:t>
      </w:r>
    </w:p>
    <w:p w:rsidR="0007744C" w:rsidP="00A4524F" w14:paraId="0FC66031" w14:textId="77777777">
      <w:pPr>
        <w:ind w:left="180"/>
        <w:rPr>
          <w:szCs w:val="24"/>
        </w:rPr>
      </w:pPr>
    </w:p>
    <w:p w:rsidR="00DB58CD" w:rsidRPr="0007744C" w:rsidP="00A4524F" w14:paraId="5BB75CAD" w14:textId="3BDD79E2">
      <w:pPr>
        <w:ind w:left="180"/>
        <w:rPr>
          <w:szCs w:val="24"/>
          <w:u w:val="single"/>
        </w:rPr>
      </w:pPr>
      <w:r w:rsidRPr="0007744C">
        <w:rPr>
          <w:szCs w:val="24"/>
          <w:u w:val="single"/>
        </w:rPr>
        <w:t>4.  Efforts to Identify Duplicatio</w:t>
      </w:r>
      <w:r w:rsidRPr="0007744C" w:rsidR="00491C0B">
        <w:rPr>
          <w:szCs w:val="24"/>
          <w:u w:val="single"/>
        </w:rPr>
        <w:t>n and Use of Similar Information</w:t>
      </w:r>
    </w:p>
    <w:p w:rsidR="003E2C1A" w:rsidP="00A4524F" w14:paraId="131B7FBF" w14:textId="77777777">
      <w:pPr>
        <w:ind w:left="180"/>
        <w:rPr>
          <w:szCs w:val="24"/>
        </w:rPr>
      </w:pPr>
    </w:p>
    <w:p w:rsidR="00DB58CD" w:rsidP="00A4524F" w14:paraId="246B2EB8" w14:textId="7F038DB8">
      <w:pPr>
        <w:ind w:left="180"/>
        <w:rPr>
          <w:szCs w:val="24"/>
        </w:rPr>
      </w:pPr>
      <w:r>
        <w:rPr>
          <w:szCs w:val="24"/>
        </w:rPr>
        <w:t>We are unaware of duplicative information collection</w:t>
      </w:r>
      <w:r w:rsidR="007A5762">
        <w:rPr>
          <w:szCs w:val="24"/>
        </w:rPr>
        <w:t>.</w:t>
      </w:r>
      <w:r w:rsidR="004367F2">
        <w:rPr>
          <w:szCs w:val="24"/>
        </w:rPr>
        <w:t xml:space="preserve">  We reference relevant information collections approved in our current inventory as appropriate throughout this document.</w:t>
      </w:r>
    </w:p>
    <w:p w:rsidR="0007744C" w:rsidRPr="00453BA2" w:rsidP="00A4524F" w14:paraId="25E14332" w14:textId="77777777">
      <w:pPr>
        <w:ind w:left="180"/>
        <w:rPr>
          <w:szCs w:val="24"/>
        </w:rPr>
      </w:pPr>
    </w:p>
    <w:p w:rsidR="00DB58CD" w:rsidRPr="003E2C1A" w:rsidP="00A4524F" w14:paraId="3EEC0277" w14:textId="77777777">
      <w:pPr>
        <w:ind w:left="180"/>
        <w:rPr>
          <w:szCs w:val="24"/>
          <w:u w:val="single"/>
        </w:rPr>
      </w:pPr>
      <w:r w:rsidRPr="003E2C1A">
        <w:rPr>
          <w:szCs w:val="24"/>
          <w:u w:val="single"/>
        </w:rPr>
        <w:t xml:space="preserve">5.  </w:t>
      </w:r>
      <w:r w:rsidRPr="003E2C1A" w:rsidR="00491C0B">
        <w:rPr>
          <w:szCs w:val="24"/>
          <w:u w:val="single"/>
        </w:rPr>
        <w:t>Impact on Small Businesses or Other Small Entities</w:t>
      </w:r>
    </w:p>
    <w:p w:rsidR="0007744C" w:rsidRPr="00453BA2" w:rsidP="00A4524F" w14:paraId="4DDB9C58" w14:textId="77777777">
      <w:pPr>
        <w:ind w:left="180"/>
        <w:rPr>
          <w:szCs w:val="24"/>
        </w:rPr>
      </w:pPr>
    </w:p>
    <w:p w:rsidR="0007744C" w:rsidP="00A4524F" w14:paraId="7D09CB3C" w14:textId="01870461">
      <w:pPr>
        <w:ind w:left="180"/>
        <w:rPr>
          <w:szCs w:val="24"/>
        </w:rPr>
      </w:pPr>
      <w:r>
        <w:rPr>
          <w:szCs w:val="24"/>
        </w:rPr>
        <w:t xml:space="preserve">The regulations </w:t>
      </w:r>
      <w:r w:rsidR="003030E8">
        <w:rPr>
          <w:szCs w:val="24"/>
        </w:rPr>
        <w:t xml:space="preserve">at 21 CFR Part 314 do not provide </w:t>
      </w:r>
      <w:r>
        <w:rPr>
          <w:szCs w:val="24"/>
        </w:rPr>
        <w:t>exemptions</w:t>
      </w:r>
      <w:r w:rsidR="003030E8">
        <w:rPr>
          <w:szCs w:val="24"/>
        </w:rPr>
        <w:t xml:space="preserve"> for small businesses</w:t>
      </w:r>
      <w:r w:rsidR="0043758E">
        <w:rPr>
          <w:szCs w:val="24"/>
        </w:rPr>
        <w:t xml:space="preserve">.  However, FDA </w:t>
      </w:r>
      <w:r w:rsidR="003030E8">
        <w:rPr>
          <w:szCs w:val="24"/>
        </w:rPr>
        <w:t>has established</w:t>
      </w:r>
      <w:r w:rsidR="0043758E">
        <w:rPr>
          <w:szCs w:val="24"/>
        </w:rPr>
        <w:t xml:space="preserve"> </w:t>
      </w:r>
      <w:r w:rsidR="003030E8">
        <w:rPr>
          <w:szCs w:val="24"/>
        </w:rPr>
        <w:t xml:space="preserve">various agency components to assist small businesses in complying with our regulations.  </w:t>
      </w:r>
      <w:r w:rsidR="00CD0C39">
        <w:rPr>
          <w:szCs w:val="24"/>
        </w:rPr>
        <w:t xml:space="preserve">Contact information </w:t>
      </w:r>
      <w:r w:rsidR="003030E8">
        <w:rPr>
          <w:szCs w:val="24"/>
        </w:rPr>
        <w:t xml:space="preserve">may be found on our website at </w:t>
      </w:r>
      <w:hyperlink r:id="rId8" w:history="1">
        <w:r w:rsidR="003030E8">
          <w:rPr>
            <w:rStyle w:val="Hyperlink"/>
            <w:szCs w:val="24"/>
          </w:rPr>
          <w:t>https://</w:t>
        </w:r>
        <w:r w:rsidRPr="003030E8" w:rsidR="003030E8">
          <w:rPr>
            <w:rStyle w:val="Hyperlink"/>
            <w:szCs w:val="24"/>
          </w:rPr>
          <w:t>www.fda.gov</w:t>
        </w:r>
      </w:hyperlink>
      <w:r w:rsidR="003030E8">
        <w:rPr>
          <w:szCs w:val="24"/>
        </w:rPr>
        <w:t>.   Additionally, and as</w:t>
      </w:r>
      <w:r w:rsidR="00CD0C39">
        <w:rPr>
          <w:szCs w:val="24"/>
        </w:rPr>
        <w:t xml:space="preserve"> mentioned</w:t>
      </w:r>
      <w:r w:rsidR="003030E8">
        <w:rPr>
          <w:szCs w:val="24"/>
        </w:rPr>
        <w:t xml:space="preserve"> above, FDA’s Center for Drug Evaluation and Research (CDER) has issued guidance </w:t>
      </w:r>
      <w:r w:rsidR="00CD0C39">
        <w:rPr>
          <w:szCs w:val="24"/>
        </w:rPr>
        <w:t>on a variety of topics associated with new and abbreviated drug applications.</w:t>
      </w:r>
      <w:r w:rsidR="00AB5456">
        <w:rPr>
          <w:szCs w:val="24"/>
        </w:rPr>
        <w:t xml:space="preserve">  </w:t>
      </w:r>
      <w:r w:rsidR="00CD0C39">
        <w:rPr>
          <w:szCs w:val="24"/>
        </w:rPr>
        <w:t xml:space="preserve">These documents are developed </w:t>
      </w:r>
      <w:r w:rsidR="003030E8">
        <w:rPr>
          <w:szCs w:val="24"/>
        </w:rPr>
        <w:t xml:space="preserve">to assist respondents </w:t>
      </w:r>
      <w:r w:rsidR="00CD0C39">
        <w:rPr>
          <w:szCs w:val="24"/>
        </w:rPr>
        <w:t xml:space="preserve">with the regulatory requirements and </w:t>
      </w:r>
      <w:r w:rsidR="003030E8">
        <w:rPr>
          <w:szCs w:val="24"/>
        </w:rPr>
        <w:t>are available online</w:t>
      </w:r>
      <w:r w:rsidR="00AB5456">
        <w:rPr>
          <w:szCs w:val="24"/>
        </w:rPr>
        <w:t>.</w:t>
      </w:r>
    </w:p>
    <w:p w:rsidR="00DB58CD" w:rsidRPr="00453BA2" w:rsidP="00A4524F" w14:paraId="7F275CDA" w14:textId="7BC6B2E1">
      <w:pPr>
        <w:ind w:left="180"/>
        <w:rPr>
          <w:szCs w:val="24"/>
        </w:rPr>
      </w:pPr>
      <w:r w:rsidRPr="00453BA2">
        <w:rPr>
          <w:szCs w:val="24"/>
        </w:rPr>
        <w:t xml:space="preserve"> </w:t>
      </w:r>
    </w:p>
    <w:p w:rsidR="0007744C" w:rsidRPr="0007744C" w:rsidP="00A4524F" w14:paraId="10C96C22" w14:textId="77777777">
      <w:pPr>
        <w:ind w:left="180"/>
        <w:rPr>
          <w:szCs w:val="24"/>
          <w:u w:val="single"/>
        </w:rPr>
      </w:pPr>
      <w:r w:rsidRPr="0007744C">
        <w:rPr>
          <w:szCs w:val="24"/>
          <w:u w:val="single"/>
        </w:rPr>
        <w:t xml:space="preserve">6.  Consequences </w:t>
      </w:r>
      <w:r w:rsidRPr="0007744C" w:rsidR="00491C0B">
        <w:rPr>
          <w:szCs w:val="24"/>
          <w:u w:val="single"/>
        </w:rPr>
        <w:t>of Collecting the Information</w:t>
      </w:r>
      <w:r w:rsidRPr="0007744C">
        <w:rPr>
          <w:szCs w:val="24"/>
          <w:u w:val="single"/>
        </w:rPr>
        <w:t xml:space="preserve"> Less Frequently</w:t>
      </w:r>
    </w:p>
    <w:p w:rsidR="00DB58CD" w:rsidRPr="00453BA2" w:rsidP="00A4524F" w14:paraId="24221E4B" w14:textId="1A461AB6">
      <w:pPr>
        <w:ind w:left="180"/>
        <w:rPr>
          <w:szCs w:val="24"/>
        </w:rPr>
      </w:pPr>
      <w:r w:rsidRPr="00453BA2">
        <w:rPr>
          <w:szCs w:val="24"/>
        </w:rPr>
        <w:t xml:space="preserve"> </w:t>
      </w:r>
    </w:p>
    <w:p w:rsidR="0007744C" w:rsidP="00A4524F" w14:paraId="3283F5D7" w14:textId="267C098D">
      <w:pPr>
        <w:ind w:left="180"/>
        <w:rPr>
          <w:szCs w:val="24"/>
        </w:rPr>
      </w:pPr>
      <w:r>
        <w:rPr>
          <w:szCs w:val="24"/>
        </w:rPr>
        <w:t>The information collection schedule is consistent with statutory requirements</w:t>
      </w:r>
      <w:r w:rsidR="00EB4F04">
        <w:rPr>
          <w:szCs w:val="24"/>
        </w:rPr>
        <w:t xml:space="preserve"> </w:t>
      </w:r>
      <w:r w:rsidR="00610338">
        <w:rPr>
          <w:szCs w:val="24"/>
        </w:rPr>
        <w:t xml:space="preserve">set forth in the </w:t>
      </w:r>
      <w:r>
        <w:rPr>
          <w:szCs w:val="24"/>
        </w:rPr>
        <w:t>FFDC</w:t>
      </w:r>
      <w:r w:rsidR="005336D2">
        <w:rPr>
          <w:szCs w:val="24"/>
        </w:rPr>
        <w:t>A,</w:t>
      </w:r>
      <w:r w:rsidR="00610338">
        <w:rPr>
          <w:szCs w:val="24"/>
        </w:rPr>
        <w:t xml:space="preserve"> applicable agency regulations</w:t>
      </w:r>
      <w:r w:rsidR="005336D2">
        <w:rPr>
          <w:szCs w:val="24"/>
        </w:rPr>
        <w:t>, and FDA and Industry user fee performance goals</w:t>
      </w:r>
      <w:r>
        <w:rPr>
          <w:szCs w:val="24"/>
        </w:rPr>
        <w:t>.</w:t>
      </w:r>
    </w:p>
    <w:p w:rsidR="00DB58CD" w:rsidRPr="00453BA2" w:rsidP="00A4524F" w14:paraId="4BF0E9E7" w14:textId="236981D4">
      <w:pPr>
        <w:ind w:left="180"/>
        <w:rPr>
          <w:szCs w:val="24"/>
        </w:rPr>
      </w:pPr>
    </w:p>
    <w:p w:rsidR="00DB58CD" w:rsidRPr="00CD0C39" w:rsidP="00A4524F" w14:paraId="744A27C5" w14:textId="77777777">
      <w:pPr>
        <w:ind w:left="180"/>
        <w:rPr>
          <w:szCs w:val="24"/>
          <w:u w:val="single"/>
        </w:rPr>
      </w:pPr>
      <w:r w:rsidRPr="00CD0C39">
        <w:rPr>
          <w:szCs w:val="24"/>
          <w:u w:val="single"/>
        </w:rPr>
        <w:t xml:space="preserve">7.  </w:t>
      </w:r>
      <w:r w:rsidRPr="00CD0C39" w:rsidR="00491C0B">
        <w:rPr>
          <w:szCs w:val="24"/>
          <w:u w:val="single"/>
        </w:rPr>
        <w:t>Special Circumstances Relating to</w:t>
      </w:r>
      <w:r w:rsidRPr="00CD0C39">
        <w:rPr>
          <w:szCs w:val="24"/>
          <w:u w:val="single"/>
        </w:rPr>
        <w:t xml:space="preserve"> the Guidelines in 5 CFR 1320.5(d)(2)</w:t>
      </w:r>
    </w:p>
    <w:p w:rsidR="00CD0C39" w:rsidRPr="00453BA2" w:rsidP="00A4524F" w14:paraId="75B73555" w14:textId="77777777">
      <w:pPr>
        <w:ind w:left="180"/>
        <w:rPr>
          <w:szCs w:val="24"/>
        </w:rPr>
      </w:pPr>
    </w:p>
    <w:p w:rsidR="00DB58CD" w:rsidRPr="00453BA2" w:rsidP="00A4524F" w14:paraId="5BE49D23" w14:textId="77777777">
      <w:pPr>
        <w:ind w:left="180"/>
        <w:rPr>
          <w:szCs w:val="24"/>
        </w:rPr>
        <w:sectPr w:rsidSect="00A4524F">
          <w:footerReference w:type="default" r:id="rId9"/>
          <w:endnotePr>
            <w:numFmt w:val="decimal"/>
          </w:endnotePr>
          <w:type w:val="continuous"/>
          <w:pgSz w:w="12240" w:h="15840"/>
          <w:pgMar w:top="1440" w:right="1440" w:bottom="1440" w:left="1440" w:header="1440" w:footer="1440" w:gutter="0"/>
          <w:cols w:space="720"/>
          <w:noEndnote/>
          <w:titlePg/>
          <w:docGrid w:linePitch="326"/>
        </w:sectPr>
      </w:pPr>
    </w:p>
    <w:p w:rsidR="00A1460C" w:rsidRPr="00453BA2" w:rsidP="00A4524F" w14:paraId="56F7C80E" w14:textId="5C9DB63B">
      <w:pPr>
        <w:ind w:left="180"/>
        <w:rPr>
          <w:szCs w:val="24"/>
        </w:rPr>
      </w:pPr>
      <w:r>
        <w:rPr>
          <w:szCs w:val="24"/>
        </w:rPr>
        <w:t>There are the following special circumstances relating to the information collection:</w:t>
      </w:r>
      <w:r w:rsidR="003B4ED7">
        <w:rPr>
          <w:szCs w:val="24"/>
        </w:rPr>
        <w:t xml:space="preserve">  (1) </w:t>
      </w:r>
      <w:r>
        <w:rPr>
          <w:szCs w:val="24"/>
        </w:rPr>
        <w:t>s</w:t>
      </w:r>
      <w:r w:rsidRPr="00453BA2" w:rsidR="00DB58CD">
        <w:rPr>
          <w:szCs w:val="24"/>
        </w:rPr>
        <w:t>ections of 21 CFR 314 require reporting in less than 30 days</w:t>
      </w:r>
      <w:r>
        <w:rPr>
          <w:szCs w:val="24"/>
        </w:rPr>
        <w:t xml:space="preserve"> – these </w:t>
      </w:r>
      <w:r w:rsidRPr="00453BA2" w:rsidR="00DB58CD">
        <w:rPr>
          <w:szCs w:val="24"/>
        </w:rPr>
        <w:t xml:space="preserve">are postmarketing reports and expedited notification to FDA </w:t>
      </w:r>
      <w:r w:rsidRPr="00453BA2" w:rsidR="004A75B7">
        <w:rPr>
          <w:szCs w:val="24"/>
        </w:rPr>
        <w:t xml:space="preserve">and are </w:t>
      </w:r>
      <w:r w:rsidRPr="00453BA2" w:rsidR="00F253CD">
        <w:rPr>
          <w:szCs w:val="24"/>
        </w:rPr>
        <w:t xml:space="preserve">necessary </w:t>
      </w:r>
      <w:r w:rsidRPr="00453BA2" w:rsidR="00DB58CD">
        <w:rPr>
          <w:szCs w:val="24"/>
        </w:rPr>
        <w:t>to determine as soon as possible whether a threat to the public health exists that warra</w:t>
      </w:r>
      <w:r>
        <w:rPr>
          <w:szCs w:val="24"/>
        </w:rPr>
        <w:t>nts immediate regulatory action;</w:t>
      </w:r>
      <w:r w:rsidR="003B4ED7">
        <w:rPr>
          <w:szCs w:val="24"/>
        </w:rPr>
        <w:t xml:space="preserve"> (2) </w:t>
      </w:r>
      <w:r>
        <w:rPr>
          <w:szCs w:val="24"/>
        </w:rPr>
        <w:t>m</w:t>
      </w:r>
      <w:r w:rsidRPr="00453BA2" w:rsidR="00DB58CD">
        <w:rPr>
          <w:szCs w:val="24"/>
        </w:rPr>
        <w:t>ore than an original and 2 copies of a submission is required (e.g., four copies of draft labeling or 12 copies of final printed labeling) in order to permit concurrent (and, consequently, quicker) review of t</w:t>
      </w:r>
      <w:r>
        <w:rPr>
          <w:szCs w:val="24"/>
        </w:rPr>
        <w:t>he application</w:t>
      </w:r>
      <w:r w:rsidR="00B93405">
        <w:rPr>
          <w:szCs w:val="24"/>
        </w:rPr>
        <w:t>s by multiple reviews</w:t>
      </w:r>
      <w:r>
        <w:rPr>
          <w:szCs w:val="24"/>
        </w:rPr>
        <w:t>;</w:t>
      </w:r>
      <w:r w:rsidR="003B4ED7">
        <w:rPr>
          <w:szCs w:val="24"/>
        </w:rPr>
        <w:t xml:space="preserve"> (3) </w:t>
      </w:r>
      <w:r>
        <w:rPr>
          <w:szCs w:val="24"/>
        </w:rPr>
        <w:t>a</w:t>
      </w:r>
      <w:r w:rsidRPr="00453BA2" w:rsidR="00DB58CD">
        <w:rPr>
          <w:szCs w:val="24"/>
        </w:rPr>
        <w:t xml:space="preserve">lthough applicants are required to submit proprietary, trade secret, and other confidential information, this information is protected under FDA regulations and the </w:t>
      </w:r>
      <w:r w:rsidR="000B3A48">
        <w:rPr>
          <w:szCs w:val="24"/>
        </w:rPr>
        <w:t xml:space="preserve">FFDCA </w:t>
      </w:r>
      <w:r>
        <w:rPr>
          <w:szCs w:val="24"/>
        </w:rPr>
        <w:t xml:space="preserve">(see </w:t>
      </w:r>
      <w:r w:rsidR="00503F16">
        <w:rPr>
          <w:szCs w:val="24"/>
        </w:rPr>
        <w:t>Q-</w:t>
      </w:r>
      <w:r>
        <w:rPr>
          <w:szCs w:val="24"/>
        </w:rPr>
        <w:t>10 below); and</w:t>
      </w:r>
      <w:r w:rsidR="003B4ED7">
        <w:rPr>
          <w:szCs w:val="24"/>
        </w:rPr>
        <w:t xml:space="preserve"> (4) </w:t>
      </w:r>
      <w:r>
        <w:rPr>
          <w:szCs w:val="24"/>
        </w:rPr>
        <w:t>t</w:t>
      </w:r>
      <w:r w:rsidRPr="00453BA2" w:rsidR="00DB58CD">
        <w:rPr>
          <w:szCs w:val="24"/>
        </w:rPr>
        <w:t xml:space="preserve">he specific format and content requirements for application submissions </w:t>
      </w:r>
      <w:r w:rsidR="004C6F4C">
        <w:rPr>
          <w:szCs w:val="24"/>
        </w:rPr>
        <w:t xml:space="preserve">are </w:t>
      </w:r>
      <w:r w:rsidRPr="00453BA2" w:rsidR="00DB58CD">
        <w:rPr>
          <w:szCs w:val="24"/>
        </w:rPr>
        <w:t xml:space="preserve">necessary to ensure complete submissions (and reduce the need for time-consuming resubmissions) and to assist FDA in efficient reviews. </w:t>
      </w:r>
    </w:p>
    <w:p w:rsidR="00CD0C39" w:rsidP="00A4524F" w14:paraId="1085FEAF" w14:textId="77777777">
      <w:pPr>
        <w:ind w:left="180"/>
        <w:rPr>
          <w:szCs w:val="24"/>
        </w:rPr>
      </w:pPr>
    </w:p>
    <w:p w:rsidR="00DB58CD" w:rsidRPr="000B3A48" w:rsidP="00A4524F" w14:paraId="7AC2A543" w14:textId="6B798E1C">
      <w:pPr>
        <w:widowControl/>
        <w:ind w:left="180"/>
        <w:rPr>
          <w:szCs w:val="24"/>
        </w:rPr>
      </w:pPr>
      <w:r w:rsidRPr="00CD0C39">
        <w:rPr>
          <w:szCs w:val="24"/>
          <w:u w:val="single"/>
        </w:rPr>
        <w:t xml:space="preserve">8.  </w:t>
      </w:r>
      <w:r w:rsidRPr="00CD0C39" w:rsidR="00491C0B">
        <w:rPr>
          <w:szCs w:val="24"/>
          <w:u w:val="single"/>
        </w:rPr>
        <w:t>Comments in Response to the Federal Register Notice and Efforts to Consult Outside the Agency</w:t>
      </w:r>
    </w:p>
    <w:p w:rsidR="00CD0C39" w:rsidRPr="00453BA2" w:rsidP="00A4524F" w14:paraId="7F883C56" w14:textId="77777777">
      <w:pPr>
        <w:ind w:left="180"/>
        <w:rPr>
          <w:szCs w:val="24"/>
        </w:rPr>
      </w:pPr>
    </w:p>
    <w:p w:rsidR="00C3239F" w:rsidP="00D871CF" w14:paraId="6E817F80" w14:textId="0ADA3DAF">
      <w:pPr>
        <w:ind w:left="180"/>
        <w:rPr>
          <w:szCs w:val="24"/>
        </w:rPr>
      </w:pPr>
      <w:r w:rsidRPr="00F1322A">
        <w:rPr>
          <w:szCs w:val="24"/>
        </w:rPr>
        <w:t xml:space="preserve">In the </w:t>
      </w:r>
      <w:r w:rsidRPr="00F1322A">
        <w:rPr>
          <w:i/>
          <w:iCs/>
          <w:szCs w:val="24"/>
        </w:rPr>
        <w:t>Federal Register</w:t>
      </w:r>
      <w:r w:rsidRPr="00F1322A">
        <w:rPr>
          <w:szCs w:val="24"/>
        </w:rPr>
        <w:t xml:space="preserve"> of June 8, 2022, FDA published a </w:t>
      </w:r>
      <w:r>
        <w:rPr>
          <w:szCs w:val="24"/>
        </w:rPr>
        <w:t xml:space="preserve">proposed </w:t>
      </w:r>
      <w:r w:rsidRPr="00F1322A">
        <w:rPr>
          <w:szCs w:val="24"/>
        </w:rPr>
        <w:t>rule entitled ‘‘</w:t>
      </w:r>
      <w:r w:rsidRPr="00F1322A">
        <w:rPr>
          <w:i/>
          <w:iCs/>
          <w:szCs w:val="24"/>
        </w:rPr>
        <w:t>Nonprescription Drug Product With an Additional Condition for Nonprescription Use’’</w:t>
      </w:r>
      <w:r w:rsidRPr="00F1322A">
        <w:rPr>
          <w:szCs w:val="24"/>
        </w:rPr>
        <w:t xml:space="preserve"> (87 FR 38313), and invited public comment in accordance with 5 CFR 1320.11.  Although we did not receive comments specifically addressing our hourly</w:t>
      </w:r>
      <w:r>
        <w:rPr>
          <w:szCs w:val="24"/>
        </w:rPr>
        <w:t xml:space="preserve"> burden estimate</w:t>
      </w:r>
      <w:r w:rsidR="00C1531B">
        <w:rPr>
          <w:szCs w:val="24"/>
        </w:rPr>
        <w:t>s</w:t>
      </w:r>
      <w:r w:rsidRPr="00F1322A">
        <w:rPr>
          <w:szCs w:val="24"/>
        </w:rPr>
        <w:t xml:space="preserve">, we received numerous substantive comments on the provisions of </w:t>
      </w:r>
      <w:r w:rsidR="00C1531B">
        <w:rPr>
          <w:szCs w:val="24"/>
        </w:rPr>
        <w:t>proposed regulation</w:t>
      </w:r>
      <w:r w:rsidRPr="00F1322A">
        <w:rPr>
          <w:szCs w:val="24"/>
        </w:rPr>
        <w:t xml:space="preserve">.  In the </w:t>
      </w:r>
      <w:r w:rsidRPr="00F1322A">
        <w:rPr>
          <w:i/>
          <w:iCs/>
          <w:szCs w:val="24"/>
        </w:rPr>
        <w:t>Federal Register</w:t>
      </w:r>
      <w:r w:rsidRPr="00F1322A">
        <w:rPr>
          <w:szCs w:val="24"/>
        </w:rPr>
        <w:t xml:space="preserve"> of December 26, 2024 (89 FR 105288), we published a final rule containing comment summaries and responses to comments in sections V.E and F, and I-M.  No adjustment was made to our burden estimate in response to public comment and we retain those proffered in the proposed rule.</w:t>
      </w:r>
    </w:p>
    <w:p w:rsidR="00F1322A" w:rsidRPr="00453BA2" w:rsidP="00A4524F" w14:paraId="408148F1" w14:textId="77777777">
      <w:pPr>
        <w:ind w:left="180"/>
        <w:rPr>
          <w:szCs w:val="24"/>
        </w:rPr>
      </w:pPr>
    </w:p>
    <w:p w:rsidR="00DB58CD" w:rsidRPr="00184BD4" w:rsidP="00A4524F" w14:paraId="79054EB4" w14:textId="77777777">
      <w:pPr>
        <w:ind w:left="180"/>
        <w:rPr>
          <w:szCs w:val="24"/>
          <w:u w:val="single"/>
        </w:rPr>
      </w:pPr>
      <w:r w:rsidRPr="00184BD4">
        <w:rPr>
          <w:szCs w:val="24"/>
          <w:u w:val="single"/>
        </w:rPr>
        <w:t xml:space="preserve">9.  </w:t>
      </w:r>
      <w:r w:rsidRPr="00184BD4" w:rsidR="00491C0B">
        <w:rPr>
          <w:szCs w:val="24"/>
          <w:u w:val="single"/>
        </w:rPr>
        <w:t>Explanation of Any Payment or Gift to Respondents</w:t>
      </w:r>
    </w:p>
    <w:p w:rsidR="00184BD4" w:rsidP="00A4524F" w14:paraId="286EFE35" w14:textId="77777777">
      <w:pPr>
        <w:ind w:left="180"/>
        <w:rPr>
          <w:szCs w:val="24"/>
        </w:rPr>
      </w:pPr>
    </w:p>
    <w:p w:rsidR="00184BD4" w:rsidP="00A4524F" w14:paraId="7648C407" w14:textId="77777777">
      <w:pPr>
        <w:ind w:left="180"/>
        <w:rPr>
          <w:szCs w:val="24"/>
        </w:rPr>
      </w:pPr>
      <w:r>
        <w:rPr>
          <w:szCs w:val="24"/>
        </w:rPr>
        <w:t>No payment or gift is provided to respondents.</w:t>
      </w:r>
    </w:p>
    <w:p w:rsidR="00184BD4" w:rsidP="00A4524F" w14:paraId="55FC1280" w14:textId="77777777">
      <w:pPr>
        <w:ind w:left="180"/>
        <w:rPr>
          <w:szCs w:val="24"/>
        </w:rPr>
      </w:pPr>
    </w:p>
    <w:p w:rsidR="00DB58CD" w:rsidRPr="00184BD4" w:rsidP="00A4524F" w14:paraId="0CD535C5" w14:textId="60952D6A">
      <w:pPr>
        <w:ind w:left="180"/>
        <w:rPr>
          <w:szCs w:val="24"/>
          <w:u w:val="single"/>
        </w:rPr>
      </w:pPr>
      <w:r w:rsidRPr="00184BD4">
        <w:rPr>
          <w:szCs w:val="24"/>
          <w:u w:val="single"/>
        </w:rPr>
        <w:t xml:space="preserve">10.  </w:t>
      </w:r>
      <w:r w:rsidRPr="00184BD4" w:rsidR="00491C0B">
        <w:rPr>
          <w:szCs w:val="24"/>
          <w:u w:val="single"/>
        </w:rPr>
        <w:t>Assurance of Confidentiality Provided to Respondents</w:t>
      </w:r>
    </w:p>
    <w:p w:rsidR="00184BD4" w:rsidRPr="00453BA2" w:rsidP="00A4524F" w14:paraId="425E8DEB" w14:textId="77777777">
      <w:pPr>
        <w:ind w:left="180"/>
        <w:rPr>
          <w:szCs w:val="24"/>
        </w:rPr>
      </w:pPr>
    </w:p>
    <w:p w:rsidR="00525292" w:rsidRPr="00525292" w:rsidP="00525292" w14:paraId="48A5D6E7" w14:textId="77777777">
      <w:pPr>
        <w:ind w:left="180"/>
        <w:rPr>
          <w:i/>
          <w:iCs/>
          <w:szCs w:val="24"/>
        </w:rPr>
      </w:pPr>
      <w:r w:rsidRPr="00525292">
        <w:rPr>
          <w:i/>
          <w:iCs/>
          <w:szCs w:val="24"/>
        </w:rPr>
        <w:t>The Privacy Act of 1974</w:t>
      </w:r>
    </w:p>
    <w:p w:rsidR="00525292" w:rsidRPr="00525292" w:rsidP="00525292" w14:paraId="1D322FFD" w14:textId="77777777">
      <w:pPr>
        <w:ind w:left="180"/>
        <w:rPr>
          <w:szCs w:val="24"/>
        </w:rPr>
      </w:pPr>
    </w:p>
    <w:p w:rsidR="00525292" w:rsidRPr="00525292" w:rsidP="00525292" w14:paraId="2967CF1C" w14:textId="77777777">
      <w:pPr>
        <w:ind w:left="180"/>
        <w:rPr>
          <w:szCs w:val="24"/>
        </w:rPr>
      </w:pPr>
      <w:r w:rsidRPr="00525292">
        <w:rPr>
          <w:szCs w:val="24"/>
        </w:rPr>
        <w:t>In preparing this supporting statement, we consulted our Privacy Office to ensure appropriate identification and handling of information collected.  Although this ICR collects personally identifiable information (PII) or other data of a personal nature, it is collected in the context of the subject individuals’ professional capacity and the FDA-related work performed for their employer (e.g., point of contact at a regulated entity).  The PII submitted via Form 365h Application to Market a New or Abbreviated New Drug or Biologic for Human Use, is name, work mailing address, work email address, work telephone, fax number, U.S. license number and DUNS number.  We have determined that the PII collected is not subject to the Privacy Act of 1974 and the particular notice and other requirements of the Privacy Act do not apply. Specifically, the contractor or FDA do not use name or any other personal identifier to routinely retrieve records from the information collected.</w:t>
      </w:r>
    </w:p>
    <w:p w:rsidR="00525292" w:rsidRPr="00525292" w:rsidP="00525292" w14:paraId="0E81229E" w14:textId="77777777">
      <w:pPr>
        <w:ind w:left="180"/>
        <w:rPr>
          <w:i/>
          <w:iCs/>
          <w:szCs w:val="24"/>
        </w:rPr>
      </w:pPr>
    </w:p>
    <w:p w:rsidR="00525292" w:rsidRPr="00525292" w:rsidP="00525292" w14:paraId="0B19B8C8" w14:textId="77777777">
      <w:pPr>
        <w:ind w:left="180"/>
        <w:rPr>
          <w:i/>
          <w:iCs/>
          <w:szCs w:val="24"/>
          <w:u w:val="single"/>
        </w:rPr>
      </w:pPr>
      <w:r w:rsidRPr="00525292">
        <w:rPr>
          <w:i/>
          <w:iCs/>
          <w:szCs w:val="24"/>
          <w:u w:val="single"/>
        </w:rPr>
        <w:t xml:space="preserve">The Freedom of Information Act (FOIA) </w:t>
      </w:r>
    </w:p>
    <w:p w:rsidR="00525292" w:rsidRPr="00525292" w:rsidP="00525292" w14:paraId="74D278AA" w14:textId="77777777">
      <w:pPr>
        <w:ind w:left="180"/>
        <w:rPr>
          <w:i/>
          <w:iCs/>
          <w:szCs w:val="24"/>
        </w:rPr>
      </w:pPr>
    </w:p>
    <w:p w:rsidR="00525292" w:rsidRPr="00525292" w:rsidP="00525292" w14:paraId="496C11CF" w14:textId="77777777">
      <w:pPr>
        <w:ind w:left="180"/>
        <w:rPr>
          <w:szCs w:val="24"/>
        </w:rPr>
      </w:pPr>
      <w:r w:rsidRPr="00525292">
        <w:rPr>
          <w:szCs w:val="24"/>
        </w:rPr>
        <w:t xml:space="preserve">Under FOIA, (5 U.S.C. 552), the public has broad access to government documents. However, FOIA provides certain exemptions from mandatory public disclosure of government records (5 U.S.C. 552(b)(1-9)).  FDA will make the fullest possible disclosure of records to the public, consistent with the rights of individuals to privacy, the property rights of persons in trade and confidential commercial or financial information. </w:t>
      </w:r>
    </w:p>
    <w:p w:rsidR="00082A23" w:rsidRPr="00525292" w:rsidP="00A4524F" w14:paraId="6011449D" w14:textId="5F7BEA06">
      <w:pPr>
        <w:ind w:left="180"/>
        <w:rPr>
          <w:szCs w:val="24"/>
        </w:rPr>
      </w:pPr>
      <w:r w:rsidRPr="00525292">
        <w:rPr>
          <w:szCs w:val="24"/>
        </w:rPr>
        <w:t>The Privacy Act of 1974</w:t>
      </w:r>
    </w:p>
    <w:p w:rsidR="00184BD4" w:rsidRPr="00453BA2" w:rsidP="00A4524F" w14:paraId="40774CE8" w14:textId="77777777">
      <w:pPr>
        <w:ind w:left="180"/>
        <w:rPr>
          <w:szCs w:val="24"/>
        </w:rPr>
      </w:pPr>
    </w:p>
    <w:p w:rsidR="00026CC4" w14:paraId="07812AF6" w14:textId="77777777">
      <w:pPr>
        <w:widowControl/>
        <w:rPr>
          <w:szCs w:val="24"/>
          <w:u w:val="single"/>
        </w:rPr>
      </w:pPr>
      <w:r>
        <w:rPr>
          <w:szCs w:val="24"/>
          <w:u w:val="single"/>
        </w:rPr>
        <w:br w:type="page"/>
      </w:r>
    </w:p>
    <w:p w:rsidR="00DB58CD" w:rsidRPr="00184BD4" w:rsidP="00A4524F" w14:paraId="45937BF6" w14:textId="4E6B5AA4">
      <w:pPr>
        <w:ind w:left="180"/>
        <w:rPr>
          <w:szCs w:val="24"/>
          <w:u w:val="single"/>
        </w:rPr>
      </w:pPr>
      <w:r w:rsidRPr="00184BD4">
        <w:rPr>
          <w:szCs w:val="24"/>
          <w:u w:val="single"/>
        </w:rPr>
        <w:t xml:space="preserve">11.  </w:t>
      </w:r>
      <w:r w:rsidRPr="00184BD4" w:rsidR="00491C0B">
        <w:rPr>
          <w:szCs w:val="24"/>
          <w:u w:val="single"/>
        </w:rPr>
        <w:t>Justification for Sensitive Questions</w:t>
      </w:r>
    </w:p>
    <w:p w:rsidR="00184BD4" w:rsidP="00A4524F" w14:paraId="105470DB" w14:textId="77777777">
      <w:pPr>
        <w:ind w:left="180"/>
        <w:rPr>
          <w:szCs w:val="24"/>
        </w:rPr>
      </w:pPr>
    </w:p>
    <w:p w:rsidR="00DB58CD" w:rsidP="00A4524F" w14:paraId="460756EC" w14:textId="77777777">
      <w:pPr>
        <w:ind w:left="180"/>
        <w:rPr>
          <w:szCs w:val="24"/>
        </w:rPr>
      </w:pPr>
      <w:r w:rsidRPr="00453BA2">
        <w:rPr>
          <w:szCs w:val="24"/>
        </w:rPr>
        <w:t>There are no questions of a sensitive nature.</w:t>
      </w:r>
    </w:p>
    <w:p w:rsidR="00184BD4" w:rsidRPr="00453BA2" w:rsidP="00A4524F" w14:paraId="6BD8C75F" w14:textId="77777777">
      <w:pPr>
        <w:ind w:left="180"/>
        <w:rPr>
          <w:szCs w:val="24"/>
        </w:rPr>
      </w:pPr>
    </w:p>
    <w:p w:rsidR="00834B94" w:rsidRPr="00581F70" w:rsidP="00A4524F" w14:paraId="1EA2F227" w14:textId="77777777">
      <w:pPr>
        <w:ind w:left="180"/>
        <w:rPr>
          <w:szCs w:val="24"/>
          <w:u w:val="single"/>
        </w:rPr>
      </w:pPr>
      <w:r w:rsidRPr="00581F70">
        <w:rPr>
          <w:szCs w:val="24"/>
          <w:u w:val="single"/>
        </w:rPr>
        <w:t xml:space="preserve">12.  </w:t>
      </w:r>
      <w:r w:rsidRPr="00581F70" w:rsidR="00491C0B">
        <w:rPr>
          <w:szCs w:val="24"/>
          <w:u w:val="single"/>
        </w:rPr>
        <w:t xml:space="preserve">Estimates of Annualized </w:t>
      </w:r>
      <w:r w:rsidRPr="00581F70" w:rsidR="00DB58CD">
        <w:rPr>
          <w:szCs w:val="24"/>
          <w:u w:val="single"/>
        </w:rPr>
        <w:t>Burde</w:t>
      </w:r>
      <w:r w:rsidRPr="00581F70" w:rsidR="00491C0B">
        <w:rPr>
          <w:szCs w:val="24"/>
          <w:u w:val="single"/>
        </w:rPr>
        <w:t>n Hours and Costs</w:t>
      </w:r>
    </w:p>
    <w:p w:rsidR="00834B94" w:rsidP="00A4524F" w14:paraId="1D5427A1" w14:textId="77777777">
      <w:pPr>
        <w:ind w:left="180"/>
        <w:rPr>
          <w:szCs w:val="24"/>
        </w:rPr>
      </w:pPr>
    </w:p>
    <w:p w:rsidR="005356E7" w:rsidP="00A4524F" w14:paraId="02D29C5C" w14:textId="20054891">
      <w:pPr>
        <w:ind w:left="180"/>
        <w:rPr>
          <w:snapToGrid/>
          <w:color w:val="000000" w:themeColor="text1"/>
          <w:szCs w:val="24"/>
        </w:rPr>
      </w:pPr>
      <w:r w:rsidRPr="00A403F1">
        <w:rPr>
          <w:szCs w:val="24"/>
        </w:rPr>
        <w:t xml:space="preserve">The regulations </w:t>
      </w:r>
      <w:r w:rsidR="00DB14DF">
        <w:rPr>
          <w:szCs w:val="24"/>
        </w:rPr>
        <w:t xml:space="preserve">in 21 CFR 314 </w:t>
      </w:r>
      <w:r w:rsidRPr="00A403F1">
        <w:rPr>
          <w:szCs w:val="24"/>
        </w:rPr>
        <w:t>include specific data elements</w:t>
      </w:r>
      <w:r w:rsidR="00DB14DF">
        <w:rPr>
          <w:szCs w:val="24"/>
        </w:rPr>
        <w:t xml:space="preserve"> to be included in an application</w:t>
      </w:r>
      <w:r w:rsidRPr="00A403F1">
        <w:rPr>
          <w:szCs w:val="24"/>
        </w:rPr>
        <w:t>.</w:t>
      </w:r>
      <w:r w:rsidR="00724E1B">
        <w:rPr>
          <w:szCs w:val="24"/>
        </w:rPr>
        <w:t xml:space="preserve">  </w:t>
      </w:r>
      <w:r w:rsidR="00DB14DF">
        <w:rPr>
          <w:szCs w:val="24"/>
        </w:rPr>
        <w:t xml:space="preserve">The regulations apply individually and </w:t>
      </w:r>
      <w:r w:rsidR="001B7803">
        <w:rPr>
          <w:szCs w:val="24"/>
        </w:rPr>
        <w:t>comprehensively as the application</w:t>
      </w:r>
      <w:r w:rsidR="004C7738">
        <w:rPr>
          <w:szCs w:val="24"/>
        </w:rPr>
        <w:t xml:space="preserve"> may</w:t>
      </w:r>
      <w:r w:rsidR="001B7803">
        <w:rPr>
          <w:szCs w:val="24"/>
        </w:rPr>
        <w:t xml:space="preserve"> require.  </w:t>
      </w:r>
      <w:r w:rsidRPr="00834B94" w:rsidR="00834B94">
        <w:rPr>
          <w:snapToGrid/>
          <w:color w:val="000000" w:themeColor="text1"/>
          <w:szCs w:val="24"/>
        </w:rPr>
        <w:t xml:space="preserve">The regulations in </w:t>
      </w:r>
      <w:r w:rsidR="007115D3">
        <w:rPr>
          <w:b/>
          <w:bCs/>
          <w:snapToGrid/>
          <w:color w:val="000000" w:themeColor="text1"/>
          <w:szCs w:val="24"/>
        </w:rPr>
        <w:t>S</w:t>
      </w:r>
      <w:r w:rsidRPr="001D5E9E" w:rsidR="00834B94">
        <w:rPr>
          <w:b/>
          <w:bCs/>
          <w:snapToGrid/>
          <w:color w:val="000000" w:themeColor="text1"/>
          <w:szCs w:val="24"/>
        </w:rPr>
        <w:t>ubpart A</w:t>
      </w:r>
      <w:r w:rsidRPr="00834B94" w:rsidR="00834B94">
        <w:rPr>
          <w:snapToGrid/>
          <w:color w:val="000000" w:themeColor="text1"/>
          <w:szCs w:val="24"/>
        </w:rPr>
        <w:t xml:space="preserve"> (§§ 314.1 through 314.3) set forth general provisions</w:t>
      </w:r>
      <w:r w:rsidR="00DC0D2E">
        <w:rPr>
          <w:snapToGrid/>
          <w:color w:val="000000" w:themeColor="text1"/>
          <w:szCs w:val="24"/>
        </w:rPr>
        <w:t xml:space="preserve"> and explain the</w:t>
      </w:r>
      <w:r w:rsidR="001D5E9E">
        <w:rPr>
          <w:snapToGrid/>
          <w:color w:val="000000" w:themeColor="text1"/>
          <w:szCs w:val="24"/>
        </w:rPr>
        <w:t>ir</w:t>
      </w:r>
      <w:r w:rsidR="00DC0D2E">
        <w:rPr>
          <w:snapToGrid/>
          <w:color w:val="000000" w:themeColor="text1"/>
          <w:szCs w:val="24"/>
        </w:rPr>
        <w:t xml:space="preserve"> </w:t>
      </w:r>
      <w:r w:rsidR="00AA5CE6">
        <w:rPr>
          <w:snapToGrid/>
          <w:color w:val="000000" w:themeColor="text1"/>
          <w:szCs w:val="24"/>
        </w:rPr>
        <w:t xml:space="preserve">purpose and </w:t>
      </w:r>
      <w:r w:rsidR="00DC0D2E">
        <w:rPr>
          <w:snapToGrid/>
          <w:color w:val="000000" w:themeColor="text1"/>
          <w:szCs w:val="24"/>
        </w:rPr>
        <w:t>scope</w:t>
      </w:r>
      <w:r w:rsidRPr="00834B94" w:rsidR="00834B94">
        <w:rPr>
          <w:snapToGrid/>
          <w:color w:val="000000" w:themeColor="text1"/>
          <w:szCs w:val="24"/>
        </w:rPr>
        <w:t xml:space="preserve">, while regulations in </w:t>
      </w:r>
      <w:r w:rsidR="009F3782">
        <w:rPr>
          <w:b/>
          <w:bCs/>
          <w:snapToGrid/>
          <w:color w:val="000000" w:themeColor="text1"/>
          <w:szCs w:val="24"/>
        </w:rPr>
        <w:t>S</w:t>
      </w:r>
      <w:r w:rsidRPr="009F3782" w:rsidR="00834B94">
        <w:rPr>
          <w:b/>
          <w:bCs/>
          <w:snapToGrid/>
          <w:color w:val="000000" w:themeColor="text1"/>
          <w:szCs w:val="24"/>
        </w:rPr>
        <w:t>ubparts B and C</w:t>
      </w:r>
      <w:r w:rsidRPr="00834B94" w:rsidR="00834B94">
        <w:rPr>
          <w:snapToGrid/>
          <w:color w:val="000000" w:themeColor="text1"/>
          <w:szCs w:val="24"/>
        </w:rPr>
        <w:t xml:space="preserve"> </w:t>
      </w:r>
      <w:r w:rsidR="009F3782">
        <w:rPr>
          <w:snapToGrid/>
          <w:color w:val="000000" w:themeColor="text1"/>
          <w:szCs w:val="24"/>
        </w:rPr>
        <w:t>–</w:t>
      </w:r>
      <w:r w:rsidR="00E57866">
        <w:rPr>
          <w:snapToGrid/>
          <w:color w:val="000000" w:themeColor="text1"/>
          <w:szCs w:val="24"/>
        </w:rPr>
        <w:t xml:space="preserve"> </w:t>
      </w:r>
      <w:r w:rsidR="009F3782">
        <w:rPr>
          <w:snapToGrid/>
          <w:color w:val="000000" w:themeColor="text1"/>
          <w:szCs w:val="24"/>
        </w:rPr>
        <w:t xml:space="preserve">Applications and Abbreviated Applications </w:t>
      </w:r>
      <w:r w:rsidRPr="00834B94" w:rsidR="00834B94">
        <w:rPr>
          <w:snapToGrid/>
          <w:color w:val="000000" w:themeColor="text1"/>
          <w:szCs w:val="24"/>
        </w:rPr>
        <w:t>(§§ 314.50 through 314.99) set forth content and format requirements for new drug applications (NDAs) and abbreviated new drug applications (ANDAs) respectively.  The regulations include requirements for the submission of specific data elements along with patent information, pediatric use information, supplements and amendments, proposed labeling, and specific postmarketing reports (PMRs).</w:t>
      </w:r>
      <w:r>
        <w:rPr>
          <w:snapToGrid/>
          <w:color w:val="000000" w:themeColor="text1"/>
          <w:szCs w:val="24"/>
        </w:rPr>
        <w:t xml:space="preserve">  </w:t>
      </w:r>
      <w:r w:rsidRPr="00834B94" w:rsidR="00834B94">
        <w:rPr>
          <w:snapToGrid/>
          <w:color w:val="000000" w:themeColor="text1"/>
          <w:szCs w:val="24"/>
        </w:rPr>
        <w:t>Respondents to the information collection are sponsors of these applications.</w:t>
      </w:r>
      <w:r w:rsidR="00D17008">
        <w:rPr>
          <w:snapToGrid/>
          <w:color w:val="000000" w:themeColor="text1"/>
          <w:szCs w:val="24"/>
        </w:rPr>
        <w:t xml:space="preserve">  While product marketing application (NDAs and ANDAs)</w:t>
      </w:r>
      <w:r w:rsidR="007F79D0">
        <w:rPr>
          <w:snapToGrid/>
          <w:color w:val="000000" w:themeColor="text1"/>
          <w:szCs w:val="24"/>
        </w:rPr>
        <w:t xml:space="preserve"> information is reported to FDA, we have characterized the activities as recordkeeping requirements noting </w:t>
      </w:r>
      <w:r w:rsidR="00F03F13">
        <w:rPr>
          <w:snapToGrid/>
          <w:color w:val="000000" w:themeColor="text1"/>
          <w:szCs w:val="24"/>
        </w:rPr>
        <w:t xml:space="preserve">such requirements </w:t>
      </w:r>
      <w:r w:rsidR="00D76754">
        <w:rPr>
          <w:snapToGrid/>
          <w:color w:val="000000" w:themeColor="text1"/>
          <w:szCs w:val="24"/>
        </w:rPr>
        <w:t>to include the task</w:t>
      </w:r>
      <w:r w:rsidR="000A5BE5">
        <w:rPr>
          <w:snapToGrid/>
          <w:color w:val="000000" w:themeColor="text1"/>
          <w:szCs w:val="24"/>
        </w:rPr>
        <w:t>s</w:t>
      </w:r>
      <w:r w:rsidR="00D76754">
        <w:rPr>
          <w:snapToGrid/>
          <w:color w:val="000000" w:themeColor="text1"/>
          <w:szCs w:val="24"/>
        </w:rPr>
        <w:t xml:space="preserve"> of reporting and disclosing</w:t>
      </w:r>
      <w:r w:rsidR="00F03F13">
        <w:rPr>
          <w:snapToGrid/>
          <w:color w:val="000000" w:themeColor="text1"/>
          <w:szCs w:val="24"/>
        </w:rPr>
        <w:t xml:space="preserve"> the</w:t>
      </w:r>
      <w:r w:rsidR="00D76754">
        <w:rPr>
          <w:snapToGrid/>
          <w:color w:val="000000" w:themeColor="text1"/>
          <w:szCs w:val="24"/>
        </w:rPr>
        <w:t xml:space="preserve"> information, consistent with 5 CFR 1320.3(m).</w:t>
      </w:r>
      <w:r w:rsidR="00D17008">
        <w:rPr>
          <w:snapToGrid/>
          <w:color w:val="000000" w:themeColor="text1"/>
          <w:szCs w:val="24"/>
        </w:rPr>
        <w:t xml:space="preserve"> </w:t>
      </w:r>
    </w:p>
    <w:p w:rsidR="001F690F" w:rsidP="00A4524F" w14:paraId="75F0A298" w14:textId="77777777">
      <w:pPr>
        <w:ind w:left="180"/>
        <w:rPr>
          <w:snapToGrid/>
          <w:color w:val="000000" w:themeColor="text1"/>
          <w:szCs w:val="24"/>
        </w:rPr>
      </w:pPr>
    </w:p>
    <w:p w:rsidR="00E47728" w:rsidRPr="00DE70A4" w:rsidP="00DE70A4" w14:paraId="7515D1DE" w14:textId="18089472">
      <w:pPr>
        <w:ind w:left="180"/>
        <w:rPr>
          <w:snapToGrid/>
          <w:color w:val="000000" w:themeColor="text1"/>
          <w:szCs w:val="24"/>
        </w:rPr>
      </w:pPr>
      <w:r>
        <w:rPr>
          <w:snapToGrid/>
          <w:color w:val="000000" w:themeColor="text1"/>
          <w:szCs w:val="24"/>
        </w:rPr>
        <w:t xml:space="preserve">Other regulations may also apply.  For example, </w:t>
      </w:r>
      <w:r w:rsidR="004D1EC7">
        <w:rPr>
          <w:snapToGrid/>
          <w:color w:val="000000" w:themeColor="text1"/>
          <w:szCs w:val="24"/>
        </w:rPr>
        <w:t xml:space="preserve">as referenced in Q-1, </w:t>
      </w:r>
      <w:r w:rsidR="00E874B8">
        <w:rPr>
          <w:snapToGrid/>
          <w:color w:val="000000" w:themeColor="text1"/>
          <w:szCs w:val="24"/>
        </w:rPr>
        <w:t xml:space="preserve">information pertaining to </w:t>
      </w:r>
      <w:r w:rsidR="009C4E9A">
        <w:rPr>
          <w:snapToGrid/>
          <w:color w:val="000000" w:themeColor="text1"/>
          <w:szCs w:val="24"/>
        </w:rPr>
        <w:t>bio</w:t>
      </w:r>
      <w:r w:rsidR="003D155D">
        <w:rPr>
          <w:snapToGrid/>
          <w:color w:val="000000" w:themeColor="text1"/>
          <w:szCs w:val="24"/>
        </w:rPr>
        <w:t xml:space="preserve">availability and bioequivalence requirements </w:t>
      </w:r>
      <w:r w:rsidR="00D45BE7">
        <w:rPr>
          <w:snapToGrid/>
          <w:color w:val="000000" w:themeColor="text1"/>
          <w:szCs w:val="24"/>
        </w:rPr>
        <w:t xml:space="preserve">as </w:t>
      </w:r>
      <w:r w:rsidR="003D155D">
        <w:rPr>
          <w:snapToGrid/>
          <w:color w:val="000000" w:themeColor="text1"/>
          <w:szCs w:val="24"/>
        </w:rPr>
        <w:t>established in 21 CFR part 320</w:t>
      </w:r>
      <w:r w:rsidR="000A5BE5">
        <w:rPr>
          <w:snapToGrid/>
          <w:color w:val="000000" w:themeColor="text1"/>
          <w:szCs w:val="24"/>
        </w:rPr>
        <w:t>,</w:t>
      </w:r>
      <w:r w:rsidR="00E874B8">
        <w:rPr>
          <w:snapToGrid/>
          <w:color w:val="000000" w:themeColor="text1"/>
          <w:szCs w:val="24"/>
        </w:rPr>
        <w:t xml:space="preserve"> and </w:t>
      </w:r>
      <w:r w:rsidR="00D45BE7">
        <w:rPr>
          <w:snapToGrid/>
          <w:color w:val="000000" w:themeColor="text1"/>
          <w:szCs w:val="24"/>
        </w:rPr>
        <w:t>information pertaining to</w:t>
      </w:r>
      <w:r w:rsidR="00DE135E">
        <w:rPr>
          <w:snapToGrid/>
          <w:color w:val="000000" w:themeColor="text1"/>
          <w:szCs w:val="24"/>
        </w:rPr>
        <w:t xml:space="preserve"> radiopharmaceutical safety and effectiveness information </w:t>
      </w:r>
      <w:r w:rsidR="00D45BE7">
        <w:rPr>
          <w:snapToGrid/>
          <w:color w:val="000000" w:themeColor="text1"/>
          <w:szCs w:val="24"/>
        </w:rPr>
        <w:t xml:space="preserve">as </w:t>
      </w:r>
      <w:r w:rsidR="007E782C">
        <w:rPr>
          <w:snapToGrid/>
          <w:color w:val="000000" w:themeColor="text1"/>
          <w:szCs w:val="24"/>
        </w:rPr>
        <w:t>established in 21 CFR part 315</w:t>
      </w:r>
      <w:r w:rsidR="000A5BE5">
        <w:rPr>
          <w:snapToGrid/>
          <w:color w:val="000000" w:themeColor="text1"/>
          <w:szCs w:val="24"/>
        </w:rPr>
        <w:t>,</w:t>
      </w:r>
      <w:r w:rsidR="00D45BE7">
        <w:rPr>
          <w:snapToGrid/>
          <w:color w:val="000000" w:themeColor="text1"/>
          <w:szCs w:val="24"/>
        </w:rPr>
        <w:t xml:space="preserve"> may </w:t>
      </w:r>
      <w:r w:rsidR="00430A37">
        <w:rPr>
          <w:snapToGrid/>
          <w:color w:val="000000" w:themeColor="text1"/>
          <w:szCs w:val="24"/>
        </w:rPr>
        <w:t xml:space="preserve">also be included in the application.  </w:t>
      </w:r>
      <w:r w:rsidR="0015451F">
        <w:rPr>
          <w:snapToGrid/>
          <w:color w:val="000000" w:themeColor="text1"/>
          <w:szCs w:val="24"/>
        </w:rPr>
        <w:t xml:space="preserve">Similarly, general labeling </w:t>
      </w:r>
      <w:r w:rsidR="0064723A">
        <w:rPr>
          <w:snapToGrid/>
          <w:color w:val="000000" w:themeColor="text1"/>
          <w:szCs w:val="24"/>
        </w:rPr>
        <w:t xml:space="preserve">provisions </w:t>
      </w:r>
      <w:r w:rsidR="0073392A">
        <w:rPr>
          <w:snapToGrid/>
          <w:color w:val="000000" w:themeColor="text1"/>
          <w:szCs w:val="24"/>
        </w:rPr>
        <w:t xml:space="preserve">set forth in </w:t>
      </w:r>
      <w:r w:rsidR="0015451F">
        <w:rPr>
          <w:snapToGrid/>
          <w:color w:val="000000" w:themeColor="text1"/>
          <w:szCs w:val="24"/>
        </w:rPr>
        <w:t xml:space="preserve">21 CFR part 201 </w:t>
      </w:r>
      <w:r w:rsidR="005F4685">
        <w:rPr>
          <w:snapToGrid/>
          <w:color w:val="000000" w:themeColor="text1"/>
          <w:szCs w:val="24"/>
        </w:rPr>
        <w:t xml:space="preserve">are </w:t>
      </w:r>
      <w:r w:rsidR="0064723A">
        <w:rPr>
          <w:snapToGrid/>
          <w:color w:val="000000" w:themeColor="text1"/>
          <w:szCs w:val="24"/>
        </w:rPr>
        <w:t xml:space="preserve">required </w:t>
      </w:r>
      <w:r w:rsidR="001F1593">
        <w:rPr>
          <w:snapToGrid/>
          <w:color w:val="000000" w:themeColor="text1"/>
          <w:szCs w:val="24"/>
        </w:rPr>
        <w:t>element</w:t>
      </w:r>
      <w:r w:rsidR="0073392A">
        <w:rPr>
          <w:snapToGrid/>
          <w:color w:val="000000" w:themeColor="text1"/>
          <w:szCs w:val="24"/>
        </w:rPr>
        <w:t>s of the application.</w:t>
      </w:r>
      <w:r w:rsidR="00033142">
        <w:rPr>
          <w:snapToGrid/>
          <w:color w:val="000000" w:themeColor="text1"/>
          <w:szCs w:val="24"/>
        </w:rPr>
        <w:t xml:space="preserve">  </w:t>
      </w:r>
      <w:r w:rsidR="00430A37">
        <w:rPr>
          <w:snapToGrid/>
          <w:color w:val="000000" w:themeColor="text1"/>
          <w:szCs w:val="24"/>
        </w:rPr>
        <w:t xml:space="preserve">Unless otherwise indicated, we include in our estimate </w:t>
      </w:r>
      <w:r w:rsidR="000434A4">
        <w:rPr>
          <w:snapToGrid/>
          <w:color w:val="000000" w:themeColor="text1"/>
          <w:szCs w:val="24"/>
        </w:rPr>
        <w:t xml:space="preserve">the </w:t>
      </w:r>
      <w:r w:rsidR="008D686A">
        <w:rPr>
          <w:snapToGrid/>
          <w:color w:val="000000" w:themeColor="text1"/>
          <w:szCs w:val="24"/>
        </w:rPr>
        <w:t xml:space="preserve">time </w:t>
      </w:r>
      <w:r w:rsidR="000434A4">
        <w:rPr>
          <w:snapToGrid/>
          <w:color w:val="000000" w:themeColor="text1"/>
          <w:szCs w:val="24"/>
        </w:rPr>
        <w:t xml:space="preserve">we believe </w:t>
      </w:r>
      <w:r w:rsidR="008D686A">
        <w:rPr>
          <w:snapToGrid/>
          <w:color w:val="000000" w:themeColor="text1"/>
          <w:szCs w:val="24"/>
        </w:rPr>
        <w:t>necessary</w:t>
      </w:r>
      <w:r w:rsidR="00147203">
        <w:rPr>
          <w:snapToGrid/>
          <w:color w:val="000000" w:themeColor="text1"/>
          <w:szCs w:val="24"/>
        </w:rPr>
        <w:t xml:space="preserve"> </w:t>
      </w:r>
      <w:r w:rsidR="000434A4">
        <w:rPr>
          <w:snapToGrid/>
          <w:color w:val="000000" w:themeColor="text1"/>
          <w:szCs w:val="24"/>
        </w:rPr>
        <w:t xml:space="preserve">for </w:t>
      </w:r>
      <w:r w:rsidR="00147203">
        <w:rPr>
          <w:snapToGrid/>
          <w:color w:val="000000" w:themeColor="text1"/>
          <w:szCs w:val="24"/>
        </w:rPr>
        <w:t>reviewing and providing</w:t>
      </w:r>
      <w:r w:rsidR="000434A4">
        <w:rPr>
          <w:snapToGrid/>
          <w:color w:val="000000" w:themeColor="text1"/>
          <w:szCs w:val="24"/>
        </w:rPr>
        <w:t xml:space="preserve"> th</w:t>
      </w:r>
      <w:r w:rsidR="00432E09">
        <w:rPr>
          <w:snapToGrid/>
          <w:color w:val="000000" w:themeColor="text1"/>
          <w:szCs w:val="24"/>
        </w:rPr>
        <w:t>e</w:t>
      </w:r>
      <w:r w:rsidR="000434A4">
        <w:rPr>
          <w:snapToGrid/>
          <w:color w:val="000000" w:themeColor="text1"/>
          <w:szCs w:val="24"/>
        </w:rPr>
        <w:t xml:space="preserve"> information</w:t>
      </w:r>
      <w:r w:rsidR="007E782C">
        <w:rPr>
          <w:snapToGrid/>
          <w:color w:val="000000" w:themeColor="text1"/>
          <w:szCs w:val="24"/>
        </w:rPr>
        <w:t>.</w:t>
      </w:r>
    </w:p>
    <w:p w:rsidR="00E47728" w:rsidRPr="00453BA2" w:rsidP="00A4524F" w14:paraId="134D0E57" w14:textId="77777777">
      <w:pPr>
        <w:ind w:left="180"/>
        <w:rPr>
          <w:szCs w:val="24"/>
        </w:rPr>
      </w:pPr>
    </w:p>
    <w:p w:rsidR="002D57E6" w:rsidP="00F25B0F" w14:paraId="27951DEA" w14:textId="62882FBC">
      <w:pPr>
        <w:ind w:left="180"/>
        <w:rPr>
          <w:i/>
          <w:szCs w:val="24"/>
        </w:rPr>
      </w:pPr>
      <w:r>
        <w:rPr>
          <w:szCs w:val="24"/>
        </w:rPr>
        <w:tab/>
      </w:r>
      <w:r w:rsidRPr="00184BD4">
        <w:rPr>
          <w:i/>
          <w:szCs w:val="24"/>
        </w:rPr>
        <w:t>12a.  Annualized Hour Burden Estimate</w:t>
      </w:r>
    </w:p>
    <w:p w:rsidR="002D57E6" w:rsidP="00DE70A4" w14:paraId="6144D1C0" w14:textId="77777777">
      <w:pPr>
        <w:ind w:left="180"/>
        <w:rPr>
          <w:i/>
          <w:szCs w:val="24"/>
        </w:rPr>
      </w:pPr>
    </w:p>
    <w:tbl>
      <w:tblPr>
        <w:tblW w:w="999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tblPr>
      <w:tblGrid>
        <w:gridCol w:w="4140"/>
        <w:gridCol w:w="1350"/>
        <w:gridCol w:w="1260"/>
        <w:gridCol w:w="1170"/>
        <w:gridCol w:w="1260"/>
        <w:gridCol w:w="810"/>
      </w:tblGrid>
      <w:tr w14:paraId="2D42ECCF" w14:textId="77777777" w:rsidTr="00D53AA8">
        <w:tblPrEx>
          <w:tblW w:w="999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tblPrEx>
        <w:trPr>
          <w:cantSplit/>
          <w:trHeight w:val="242"/>
          <w:tblHeader/>
        </w:trPr>
        <w:tc>
          <w:tcPr>
            <w:tcW w:w="9990" w:type="dxa"/>
            <w:gridSpan w:val="6"/>
            <w:tcBorders>
              <w:top w:val="nil"/>
              <w:left w:val="nil"/>
              <w:bottom w:val="nil"/>
              <w:right w:val="nil"/>
            </w:tcBorders>
            <w:shd w:val="clear" w:color="auto" w:fill="auto"/>
          </w:tcPr>
          <w:p w:rsidR="005F5AFE" w:rsidRPr="005F5AFE" w:rsidP="00912C96" w14:paraId="5A20895F" w14:textId="77777777">
            <w:pPr>
              <w:widowControl/>
              <w:autoSpaceDE w:val="0"/>
              <w:autoSpaceDN w:val="0"/>
              <w:adjustRightInd w:val="0"/>
              <w:ind w:firstLine="360"/>
              <w:jc w:val="center"/>
              <w:rPr>
                <w:snapToGrid/>
                <w:sz w:val="22"/>
                <w:szCs w:val="22"/>
              </w:rPr>
            </w:pPr>
            <w:r w:rsidRPr="005F5AFE">
              <w:rPr>
                <w:snapToGrid/>
                <w:sz w:val="22"/>
                <w:szCs w:val="22"/>
              </w:rPr>
              <w:t>Table 1.--Estimated Annual Reporting Burden</w:t>
            </w:r>
            <w:r w:rsidRPr="005F5AFE">
              <w:rPr>
                <w:snapToGrid/>
                <w:sz w:val="22"/>
                <w:szCs w:val="22"/>
                <w:vertAlign w:val="superscript"/>
              </w:rPr>
              <w:t>1</w:t>
            </w:r>
          </w:p>
        </w:tc>
      </w:tr>
      <w:tr w14:paraId="042FD765" w14:textId="77777777" w:rsidTr="00D53AA8">
        <w:tblPrEx>
          <w:tblW w:w="9990" w:type="dxa"/>
          <w:tblInd w:w="-90" w:type="dxa"/>
          <w:tblLayout w:type="fixed"/>
          <w:tblLook w:val="01C0"/>
        </w:tblPrEx>
        <w:trPr>
          <w:cantSplit/>
          <w:trHeight w:val="20"/>
          <w:tblHeader/>
        </w:trPr>
        <w:tc>
          <w:tcPr>
            <w:tcW w:w="4140" w:type="dxa"/>
            <w:shd w:val="clear" w:color="auto" w:fill="auto"/>
          </w:tcPr>
          <w:p w:rsidR="005F5AFE" w:rsidRPr="005F5AFE" w:rsidP="005F5AFE" w14:paraId="7B839F3B" w14:textId="77777777">
            <w:pPr>
              <w:widowControl/>
              <w:autoSpaceDE w:val="0"/>
              <w:autoSpaceDN w:val="0"/>
              <w:adjustRightInd w:val="0"/>
              <w:jc w:val="center"/>
              <w:rPr>
                <w:snapToGrid/>
                <w:sz w:val="22"/>
                <w:szCs w:val="22"/>
              </w:rPr>
            </w:pPr>
            <w:r w:rsidRPr="005F5AFE">
              <w:rPr>
                <w:snapToGrid/>
                <w:sz w:val="22"/>
                <w:szCs w:val="22"/>
              </w:rPr>
              <w:t>Information Collection Activity; 21 CFR part 314 (Application for FDA Approval to Market a New Drug)</w:t>
            </w:r>
          </w:p>
        </w:tc>
        <w:tc>
          <w:tcPr>
            <w:tcW w:w="1350" w:type="dxa"/>
            <w:shd w:val="clear" w:color="auto" w:fill="auto"/>
          </w:tcPr>
          <w:p w:rsidR="005F5AFE" w:rsidRPr="005F5AFE" w:rsidP="005F5AFE" w14:paraId="03809911" w14:textId="77777777">
            <w:pPr>
              <w:widowControl/>
              <w:autoSpaceDE w:val="0"/>
              <w:autoSpaceDN w:val="0"/>
              <w:adjustRightInd w:val="0"/>
              <w:jc w:val="center"/>
              <w:rPr>
                <w:snapToGrid/>
                <w:sz w:val="22"/>
                <w:szCs w:val="22"/>
              </w:rPr>
            </w:pPr>
            <w:r w:rsidRPr="005F5AFE">
              <w:rPr>
                <w:snapToGrid/>
                <w:sz w:val="22"/>
                <w:szCs w:val="22"/>
              </w:rPr>
              <w:t>No. of Respondents</w:t>
            </w:r>
          </w:p>
        </w:tc>
        <w:tc>
          <w:tcPr>
            <w:tcW w:w="1260" w:type="dxa"/>
            <w:shd w:val="clear" w:color="auto" w:fill="auto"/>
          </w:tcPr>
          <w:p w:rsidR="005F5AFE" w:rsidRPr="005F5AFE" w:rsidP="005F5AFE" w14:paraId="777CD3C0" w14:textId="77777777">
            <w:pPr>
              <w:widowControl/>
              <w:autoSpaceDE w:val="0"/>
              <w:autoSpaceDN w:val="0"/>
              <w:adjustRightInd w:val="0"/>
              <w:jc w:val="center"/>
              <w:rPr>
                <w:snapToGrid/>
                <w:sz w:val="22"/>
                <w:szCs w:val="22"/>
              </w:rPr>
            </w:pPr>
            <w:r w:rsidRPr="005F5AFE">
              <w:rPr>
                <w:snapToGrid/>
                <w:sz w:val="22"/>
                <w:szCs w:val="22"/>
              </w:rPr>
              <w:t>No. of Responses per Respondent</w:t>
            </w:r>
          </w:p>
        </w:tc>
        <w:tc>
          <w:tcPr>
            <w:tcW w:w="1170" w:type="dxa"/>
            <w:shd w:val="clear" w:color="auto" w:fill="auto"/>
          </w:tcPr>
          <w:p w:rsidR="005F5AFE" w:rsidRPr="005F5AFE" w:rsidP="005F5AFE" w14:paraId="0AD45DE5" w14:textId="77777777">
            <w:pPr>
              <w:widowControl/>
              <w:autoSpaceDE w:val="0"/>
              <w:autoSpaceDN w:val="0"/>
              <w:adjustRightInd w:val="0"/>
              <w:jc w:val="center"/>
              <w:rPr>
                <w:snapToGrid/>
                <w:sz w:val="22"/>
                <w:szCs w:val="22"/>
              </w:rPr>
            </w:pPr>
            <w:r w:rsidRPr="005F5AFE">
              <w:rPr>
                <w:snapToGrid/>
                <w:sz w:val="22"/>
                <w:szCs w:val="22"/>
              </w:rPr>
              <w:t>Total Annual Responses</w:t>
            </w:r>
          </w:p>
        </w:tc>
        <w:tc>
          <w:tcPr>
            <w:tcW w:w="1260" w:type="dxa"/>
            <w:shd w:val="clear" w:color="auto" w:fill="auto"/>
          </w:tcPr>
          <w:p w:rsidR="005F5AFE" w:rsidRPr="005F5AFE" w:rsidP="005F5AFE" w14:paraId="1022D876" w14:textId="77777777">
            <w:pPr>
              <w:widowControl/>
              <w:autoSpaceDE w:val="0"/>
              <w:autoSpaceDN w:val="0"/>
              <w:adjustRightInd w:val="0"/>
              <w:jc w:val="center"/>
              <w:rPr>
                <w:snapToGrid/>
                <w:sz w:val="22"/>
                <w:szCs w:val="22"/>
              </w:rPr>
            </w:pPr>
            <w:r w:rsidRPr="005F5AFE">
              <w:rPr>
                <w:snapToGrid/>
                <w:sz w:val="22"/>
                <w:szCs w:val="22"/>
              </w:rPr>
              <w:t>Avg. Burden per Response (Hours)</w:t>
            </w:r>
          </w:p>
        </w:tc>
        <w:tc>
          <w:tcPr>
            <w:tcW w:w="810" w:type="dxa"/>
            <w:shd w:val="clear" w:color="auto" w:fill="auto"/>
          </w:tcPr>
          <w:p w:rsidR="005F5AFE" w:rsidRPr="005F5AFE" w:rsidP="005F5AFE" w14:paraId="23D6D82C" w14:textId="77777777">
            <w:pPr>
              <w:widowControl/>
              <w:autoSpaceDE w:val="0"/>
              <w:autoSpaceDN w:val="0"/>
              <w:adjustRightInd w:val="0"/>
              <w:jc w:val="center"/>
              <w:rPr>
                <w:snapToGrid/>
                <w:sz w:val="22"/>
                <w:szCs w:val="22"/>
              </w:rPr>
            </w:pPr>
            <w:r w:rsidRPr="005F5AFE">
              <w:rPr>
                <w:snapToGrid/>
                <w:sz w:val="22"/>
                <w:szCs w:val="22"/>
              </w:rPr>
              <w:t>Total Hours</w:t>
            </w:r>
          </w:p>
        </w:tc>
      </w:tr>
      <w:tr w14:paraId="6B8D07DB" w14:textId="77777777" w:rsidTr="00D53AA8">
        <w:tblPrEx>
          <w:tblW w:w="9990" w:type="dxa"/>
          <w:tblInd w:w="-90" w:type="dxa"/>
          <w:tblLayout w:type="fixed"/>
          <w:tblLook w:val="01C0"/>
        </w:tblPrEx>
        <w:trPr>
          <w:cantSplit/>
          <w:trHeight w:val="20"/>
        </w:trPr>
        <w:tc>
          <w:tcPr>
            <w:tcW w:w="4140" w:type="dxa"/>
            <w:shd w:val="clear" w:color="auto" w:fill="auto"/>
          </w:tcPr>
          <w:p w:rsidR="005F5AFE" w:rsidRPr="005F5AFE" w:rsidP="005F5AFE" w14:paraId="1AD72971" w14:textId="3216D990">
            <w:pPr>
              <w:widowControl/>
              <w:autoSpaceDE w:val="0"/>
              <w:autoSpaceDN w:val="0"/>
              <w:adjustRightInd w:val="0"/>
              <w:rPr>
                <w:snapToGrid/>
                <w:sz w:val="22"/>
                <w:szCs w:val="22"/>
              </w:rPr>
            </w:pPr>
            <w:r w:rsidRPr="005F5AFE">
              <w:rPr>
                <w:snapToGrid/>
                <w:sz w:val="22"/>
                <w:szCs w:val="22"/>
              </w:rPr>
              <w:t>Submission of separate application for nonprescription drug product with an ACNU</w:t>
            </w:r>
            <w:r w:rsidRPr="008073BE" w:rsidR="00F25B0F">
              <w:rPr>
                <w:snapToGrid/>
                <w:sz w:val="22"/>
                <w:szCs w:val="22"/>
              </w:rPr>
              <w:t xml:space="preserve"> </w:t>
            </w:r>
            <w:r w:rsidRPr="005F5AFE">
              <w:rPr>
                <w:snapToGrid/>
                <w:sz w:val="22"/>
                <w:szCs w:val="22"/>
              </w:rPr>
              <w:t>(§ 314.56(b)</w:t>
            </w:r>
            <w:r w:rsidRPr="005F5AFE">
              <w:rPr>
                <w:snapToGrid/>
                <w:sz w:val="22"/>
                <w:szCs w:val="22"/>
                <w:vertAlign w:val="superscript"/>
              </w:rPr>
              <w:t xml:space="preserve"> </w:t>
            </w:r>
            <w:r w:rsidRPr="005F5AFE">
              <w:rPr>
                <w:snapToGrid/>
                <w:sz w:val="22"/>
                <w:szCs w:val="22"/>
              </w:rPr>
              <w:t>and (c)</w:t>
            </w:r>
            <w:r w:rsidRPr="008073BE" w:rsidR="00F25B0F">
              <w:rPr>
                <w:snapToGrid/>
                <w:sz w:val="22"/>
                <w:szCs w:val="22"/>
              </w:rPr>
              <w:t>)</w:t>
            </w:r>
          </w:p>
        </w:tc>
        <w:tc>
          <w:tcPr>
            <w:tcW w:w="1350" w:type="dxa"/>
            <w:shd w:val="clear" w:color="auto" w:fill="auto"/>
          </w:tcPr>
          <w:p w:rsidR="005F5AFE" w:rsidRPr="005F5AFE" w:rsidP="005F5AFE" w14:paraId="4B5D92D7" w14:textId="77777777">
            <w:pPr>
              <w:widowControl/>
              <w:autoSpaceDE w:val="0"/>
              <w:autoSpaceDN w:val="0"/>
              <w:adjustRightInd w:val="0"/>
              <w:jc w:val="right"/>
              <w:rPr>
                <w:snapToGrid/>
                <w:sz w:val="22"/>
                <w:szCs w:val="22"/>
              </w:rPr>
            </w:pPr>
            <w:r w:rsidRPr="005F5AFE">
              <w:rPr>
                <w:snapToGrid/>
                <w:sz w:val="22"/>
                <w:szCs w:val="22"/>
              </w:rPr>
              <w:t>6</w:t>
            </w:r>
          </w:p>
        </w:tc>
        <w:tc>
          <w:tcPr>
            <w:tcW w:w="1260" w:type="dxa"/>
            <w:shd w:val="clear" w:color="auto" w:fill="auto"/>
          </w:tcPr>
          <w:p w:rsidR="005F5AFE" w:rsidRPr="005F5AFE" w:rsidP="005F5AFE" w14:paraId="5FD7242F" w14:textId="77777777">
            <w:pPr>
              <w:widowControl/>
              <w:autoSpaceDE w:val="0"/>
              <w:autoSpaceDN w:val="0"/>
              <w:adjustRightInd w:val="0"/>
              <w:jc w:val="right"/>
              <w:rPr>
                <w:snapToGrid/>
                <w:sz w:val="22"/>
                <w:szCs w:val="22"/>
              </w:rPr>
            </w:pPr>
            <w:r w:rsidRPr="005F5AFE">
              <w:rPr>
                <w:snapToGrid/>
                <w:sz w:val="22"/>
                <w:szCs w:val="22"/>
              </w:rPr>
              <w:t>1</w:t>
            </w:r>
          </w:p>
        </w:tc>
        <w:tc>
          <w:tcPr>
            <w:tcW w:w="1170" w:type="dxa"/>
            <w:shd w:val="clear" w:color="auto" w:fill="auto"/>
          </w:tcPr>
          <w:p w:rsidR="005F5AFE" w:rsidRPr="005F5AFE" w:rsidP="005F5AFE" w14:paraId="5B94165C" w14:textId="77777777">
            <w:pPr>
              <w:widowControl/>
              <w:autoSpaceDE w:val="0"/>
              <w:autoSpaceDN w:val="0"/>
              <w:adjustRightInd w:val="0"/>
              <w:jc w:val="right"/>
              <w:rPr>
                <w:snapToGrid/>
                <w:sz w:val="22"/>
                <w:szCs w:val="22"/>
              </w:rPr>
            </w:pPr>
            <w:r w:rsidRPr="005F5AFE">
              <w:rPr>
                <w:snapToGrid/>
                <w:sz w:val="22"/>
                <w:szCs w:val="22"/>
              </w:rPr>
              <w:t>6</w:t>
            </w:r>
          </w:p>
        </w:tc>
        <w:tc>
          <w:tcPr>
            <w:tcW w:w="1260" w:type="dxa"/>
            <w:shd w:val="clear" w:color="auto" w:fill="auto"/>
          </w:tcPr>
          <w:p w:rsidR="005F5AFE" w:rsidRPr="005F5AFE" w:rsidP="005F5AFE" w14:paraId="5B2AA7DA" w14:textId="77777777">
            <w:pPr>
              <w:widowControl/>
              <w:autoSpaceDE w:val="0"/>
              <w:autoSpaceDN w:val="0"/>
              <w:adjustRightInd w:val="0"/>
              <w:jc w:val="right"/>
              <w:rPr>
                <w:snapToGrid/>
                <w:sz w:val="22"/>
                <w:szCs w:val="22"/>
              </w:rPr>
            </w:pPr>
            <w:r w:rsidRPr="005F5AFE">
              <w:rPr>
                <w:snapToGrid/>
                <w:sz w:val="22"/>
                <w:szCs w:val="22"/>
              </w:rPr>
              <w:t>320</w:t>
            </w:r>
          </w:p>
        </w:tc>
        <w:tc>
          <w:tcPr>
            <w:tcW w:w="810" w:type="dxa"/>
            <w:shd w:val="clear" w:color="auto" w:fill="auto"/>
          </w:tcPr>
          <w:p w:rsidR="005F5AFE" w:rsidRPr="005F5AFE" w:rsidP="005F5AFE" w14:paraId="0E764DA2" w14:textId="77777777">
            <w:pPr>
              <w:widowControl/>
              <w:autoSpaceDE w:val="0"/>
              <w:autoSpaceDN w:val="0"/>
              <w:adjustRightInd w:val="0"/>
              <w:jc w:val="right"/>
              <w:rPr>
                <w:snapToGrid/>
                <w:sz w:val="22"/>
                <w:szCs w:val="22"/>
              </w:rPr>
            </w:pPr>
            <w:r w:rsidRPr="005F5AFE">
              <w:rPr>
                <w:snapToGrid/>
                <w:sz w:val="22"/>
                <w:szCs w:val="22"/>
              </w:rPr>
              <w:t>1,920</w:t>
            </w:r>
          </w:p>
        </w:tc>
      </w:tr>
      <w:tr w14:paraId="205E243B" w14:textId="77777777" w:rsidTr="00D53AA8">
        <w:tblPrEx>
          <w:tblW w:w="9990" w:type="dxa"/>
          <w:tblInd w:w="-90" w:type="dxa"/>
          <w:tblLayout w:type="fixed"/>
          <w:tblLook w:val="01C0"/>
        </w:tblPrEx>
        <w:trPr>
          <w:cantSplit/>
          <w:trHeight w:val="20"/>
        </w:trPr>
        <w:tc>
          <w:tcPr>
            <w:tcW w:w="4140" w:type="dxa"/>
            <w:shd w:val="clear" w:color="auto" w:fill="auto"/>
          </w:tcPr>
          <w:p w:rsidR="005F5AFE" w:rsidRPr="005F5AFE" w:rsidP="005F5AFE" w14:paraId="1C734BC1" w14:textId="23FA79BF">
            <w:pPr>
              <w:widowControl/>
              <w:autoSpaceDE w:val="0"/>
              <w:autoSpaceDN w:val="0"/>
              <w:adjustRightInd w:val="0"/>
              <w:rPr>
                <w:snapToGrid/>
                <w:sz w:val="22"/>
                <w:szCs w:val="22"/>
              </w:rPr>
            </w:pPr>
            <w:r w:rsidRPr="008073BE">
              <w:rPr>
                <w:snapToGrid/>
                <w:sz w:val="22"/>
                <w:szCs w:val="22"/>
              </w:rPr>
              <w:t>S</w:t>
            </w:r>
            <w:r w:rsidRPr="005F5AFE">
              <w:rPr>
                <w:snapToGrid/>
                <w:sz w:val="22"/>
                <w:szCs w:val="22"/>
              </w:rPr>
              <w:t xml:space="preserve">ubmission of </w:t>
            </w:r>
            <w:r w:rsidRPr="008073BE" w:rsidR="00BA1D5B">
              <w:rPr>
                <w:snapToGrid/>
                <w:sz w:val="22"/>
                <w:szCs w:val="22"/>
              </w:rPr>
              <w:t xml:space="preserve">ACNU </w:t>
            </w:r>
            <w:r w:rsidRPr="008073BE" w:rsidR="001A66FD">
              <w:rPr>
                <w:snapToGrid/>
                <w:sz w:val="22"/>
                <w:szCs w:val="22"/>
              </w:rPr>
              <w:t xml:space="preserve">failure </w:t>
            </w:r>
            <w:r w:rsidRPr="008073BE" w:rsidR="00BA1D5B">
              <w:rPr>
                <w:snapToGrid/>
                <w:sz w:val="22"/>
                <w:szCs w:val="22"/>
              </w:rPr>
              <w:t>report</w:t>
            </w:r>
            <w:r w:rsidRPr="008073BE" w:rsidR="00925C57">
              <w:rPr>
                <w:snapToGrid/>
                <w:sz w:val="22"/>
                <w:szCs w:val="22"/>
              </w:rPr>
              <w:t>s</w:t>
            </w:r>
            <w:r w:rsidRPr="005F5AFE">
              <w:rPr>
                <w:snapToGrid/>
                <w:sz w:val="22"/>
                <w:szCs w:val="22"/>
              </w:rPr>
              <w:t xml:space="preserve">; </w:t>
            </w:r>
            <w:r w:rsidRPr="008073BE" w:rsidR="001A66FD">
              <w:rPr>
                <w:snapToGrid/>
                <w:sz w:val="22"/>
                <w:szCs w:val="22"/>
              </w:rPr>
              <w:t>(§ </w:t>
            </w:r>
            <w:r w:rsidRPr="005F5AFE">
              <w:rPr>
                <w:snapToGrid/>
                <w:sz w:val="22"/>
                <w:szCs w:val="22"/>
              </w:rPr>
              <w:t>314.81</w:t>
            </w:r>
            <w:r w:rsidRPr="008073BE" w:rsidR="00AF6D4F">
              <w:rPr>
                <w:snapToGrid/>
                <w:sz w:val="22"/>
                <w:szCs w:val="22"/>
              </w:rPr>
              <w:t>(b)(3)(v))</w:t>
            </w:r>
          </w:p>
        </w:tc>
        <w:tc>
          <w:tcPr>
            <w:tcW w:w="1350" w:type="dxa"/>
            <w:shd w:val="clear" w:color="auto" w:fill="auto"/>
          </w:tcPr>
          <w:p w:rsidR="005F5AFE" w:rsidRPr="005F5AFE" w:rsidP="005F5AFE" w14:paraId="0E2DF3DF" w14:textId="77777777">
            <w:pPr>
              <w:widowControl/>
              <w:autoSpaceDE w:val="0"/>
              <w:autoSpaceDN w:val="0"/>
              <w:adjustRightInd w:val="0"/>
              <w:jc w:val="right"/>
              <w:rPr>
                <w:snapToGrid/>
                <w:sz w:val="22"/>
                <w:szCs w:val="22"/>
              </w:rPr>
            </w:pPr>
            <w:r w:rsidRPr="005F5AFE">
              <w:rPr>
                <w:snapToGrid/>
                <w:sz w:val="22"/>
                <w:szCs w:val="22"/>
              </w:rPr>
              <w:t>6</w:t>
            </w:r>
          </w:p>
        </w:tc>
        <w:tc>
          <w:tcPr>
            <w:tcW w:w="1260" w:type="dxa"/>
            <w:shd w:val="clear" w:color="auto" w:fill="auto"/>
          </w:tcPr>
          <w:p w:rsidR="005F5AFE" w:rsidRPr="005F5AFE" w:rsidP="005F5AFE" w14:paraId="13F173CD" w14:textId="77777777">
            <w:pPr>
              <w:widowControl/>
              <w:autoSpaceDE w:val="0"/>
              <w:autoSpaceDN w:val="0"/>
              <w:adjustRightInd w:val="0"/>
              <w:jc w:val="right"/>
              <w:rPr>
                <w:snapToGrid/>
                <w:sz w:val="22"/>
                <w:szCs w:val="22"/>
              </w:rPr>
            </w:pPr>
            <w:r w:rsidRPr="005F5AFE">
              <w:rPr>
                <w:snapToGrid/>
                <w:sz w:val="22"/>
                <w:szCs w:val="22"/>
              </w:rPr>
              <w:t>25</w:t>
            </w:r>
          </w:p>
        </w:tc>
        <w:tc>
          <w:tcPr>
            <w:tcW w:w="1170" w:type="dxa"/>
            <w:shd w:val="clear" w:color="auto" w:fill="auto"/>
          </w:tcPr>
          <w:p w:rsidR="005F5AFE" w:rsidRPr="005F5AFE" w:rsidP="005F5AFE" w14:paraId="30F44562" w14:textId="77777777">
            <w:pPr>
              <w:widowControl/>
              <w:autoSpaceDE w:val="0"/>
              <w:autoSpaceDN w:val="0"/>
              <w:adjustRightInd w:val="0"/>
              <w:jc w:val="right"/>
              <w:rPr>
                <w:snapToGrid/>
                <w:sz w:val="22"/>
                <w:szCs w:val="22"/>
              </w:rPr>
            </w:pPr>
            <w:r w:rsidRPr="005F5AFE">
              <w:rPr>
                <w:snapToGrid/>
                <w:sz w:val="22"/>
                <w:szCs w:val="22"/>
              </w:rPr>
              <w:t>150</w:t>
            </w:r>
          </w:p>
        </w:tc>
        <w:tc>
          <w:tcPr>
            <w:tcW w:w="1260" w:type="dxa"/>
            <w:shd w:val="clear" w:color="auto" w:fill="auto"/>
          </w:tcPr>
          <w:p w:rsidR="005F5AFE" w:rsidRPr="005F5AFE" w:rsidP="005F5AFE" w14:paraId="26168623" w14:textId="77777777">
            <w:pPr>
              <w:widowControl/>
              <w:autoSpaceDE w:val="0"/>
              <w:autoSpaceDN w:val="0"/>
              <w:adjustRightInd w:val="0"/>
              <w:jc w:val="right"/>
              <w:rPr>
                <w:snapToGrid/>
                <w:sz w:val="22"/>
                <w:szCs w:val="22"/>
              </w:rPr>
            </w:pPr>
            <w:r w:rsidRPr="005F5AFE">
              <w:rPr>
                <w:snapToGrid/>
                <w:sz w:val="22"/>
                <w:szCs w:val="22"/>
              </w:rPr>
              <w:t>40</w:t>
            </w:r>
          </w:p>
        </w:tc>
        <w:tc>
          <w:tcPr>
            <w:tcW w:w="810" w:type="dxa"/>
            <w:shd w:val="clear" w:color="auto" w:fill="auto"/>
          </w:tcPr>
          <w:p w:rsidR="005F5AFE" w:rsidRPr="005F5AFE" w:rsidP="005F5AFE" w14:paraId="4924B5C5" w14:textId="77777777">
            <w:pPr>
              <w:widowControl/>
              <w:autoSpaceDE w:val="0"/>
              <w:autoSpaceDN w:val="0"/>
              <w:adjustRightInd w:val="0"/>
              <w:jc w:val="right"/>
              <w:rPr>
                <w:snapToGrid/>
                <w:sz w:val="22"/>
                <w:szCs w:val="22"/>
              </w:rPr>
            </w:pPr>
            <w:r w:rsidRPr="005F5AFE">
              <w:rPr>
                <w:snapToGrid/>
                <w:sz w:val="22"/>
                <w:szCs w:val="22"/>
              </w:rPr>
              <w:t>6,000</w:t>
            </w:r>
          </w:p>
        </w:tc>
      </w:tr>
      <w:tr w14:paraId="6114B137" w14:textId="77777777" w:rsidTr="00D53AA8">
        <w:tblPrEx>
          <w:tblW w:w="9990" w:type="dxa"/>
          <w:tblInd w:w="-90" w:type="dxa"/>
          <w:tblLayout w:type="fixed"/>
          <w:tblLook w:val="01C0"/>
        </w:tblPrEx>
        <w:trPr>
          <w:cantSplit/>
          <w:trHeight w:val="20"/>
        </w:trPr>
        <w:tc>
          <w:tcPr>
            <w:tcW w:w="4140" w:type="dxa"/>
            <w:shd w:val="clear" w:color="auto" w:fill="auto"/>
          </w:tcPr>
          <w:p w:rsidR="005F5AFE" w:rsidRPr="005F5AFE" w:rsidP="005F5AFE" w14:paraId="56A0A0DB" w14:textId="77777777">
            <w:pPr>
              <w:widowControl/>
              <w:autoSpaceDE w:val="0"/>
              <w:autoSpaceDN w:val="0"/>
              <w:adjustRightInd w:val="0"/>
              <w:rPr>
                <w:snapToGrid/>
                <w:sz w:val="22"/>
                <w:szCs w:val="22"/>
              </w:rPr>
            </w:pPr>
            <w:r w:rsidRPr="005F5AFE">
              <w:rPr>
                <w:snapToGrid/>
                <w:sz w:val="22"/>
                <w:szCs w:val="22"/>
              </w:rPr>
              <w:t>TOTAL</w:t>
            </w:r>
          </w:p>
        </w:tc>
        <w:tc>
          <w:tcPr>
            <w:tcW w:w="1350" w:type="dxa"/>
            <w:shd w:val="clear" w:color="auto" w:fill="auto"/>
          </w:tcPr>
          <w:p w:rsidR="005F5AFE" w:rsidRPr="005F5AFE" w:rsidP="005F5AFE" w14:paraId="6B47DEF4" w14:textId="77777777">
            <w:pPr>
              <w:widowControl/>
              <w:autoSpaceDE w:val="0"/>
              <w:autoSpaceDN w:val="0"/>
              <w:adjustRightInd w:val="0"/>
              <w:jc w:val="right"/>
              <w:rPr>
                <w:snapToGrid/>
                <w:sz w:val="22"/>
                <w:szCs w:val="22"/>
              </w:rPr>
            </w:pPr>
          </w:p>
        </w:tc>
        <w:tc>
          <w:tcPr>
            <w:tcW w:w="1260" w:type="dxa"/>
            <w:shd w:val="clear" w:color="auto" w:fill="auto"/>
          </w:tcPr>
          <w:p w:rsidR="005F5AFE" w:rsidRPr="005F5AFE" w:rsidP="005F5AFE" w14:paraId="3F4117F9" w14:textId="77777777">
            <w:pPr>
              <w:widowControl/>
              <w:autoSpaceDE w:val="0"/>
              <w:autoSpaceDN w:val="0"/>
              <w:adjustRightInd w:val="0"/>
              <w:jc w:val="right"/>
              <w:rPr>
                <w:snapToGrid/>
                <w:sz w:val="22"/>
                <w:szCs w:val="22"/>
              </w:rPr>
            </w:pPr>
          </w:p>
        </w:tc>
        <w:tc>
          <w:tcPr>
            <w:tcW w:w="1170" w:type="dxa"/>
            <w:shd w:val="clear" w:color="auto" w:fill="auto"/>
          </w:tcPr>
          <w:p w:rsidR="005F5AFE" w:rsidRPr="005F5AFE" w:rsidP="005F5AFE" w14:paraId="3F418380" w14:textId="77777777">
            <w:pPr>
              <w:widowControl/>
              <w:autoSpaceDE w:val="0"/>
              <w:autoSpaceDN w:val="0"/>
              <w:adjustRightInd w:val="0"/>
              <w:jc w:val="right"/>
              <w:rPr>
                <w:snapToGrid/>
                <w:sz w:val="22"/>
                <w:szCs w:val="22"/>
              </w:rPr>
            </w:pPr>
            <w:r w:rsidRPr="005F5AFE">
              <w:rPr>
                <w:snapToGrid/>
                <w:sz w:val="22"/>
                <w:szCs w:val="22"/>
              </w:rPr>
              <w:fldChar w:fldCharType="begin"/>
            </w:r>
            <w:r w:rsidRPr="005F5AFE">
              <w:rPr>
                <w:snapToGrid/>
                <w:sz w:val="22"/>
                <w:szCs w:val="22"/>
              </w:rPr>
              <w:instrText xml:space="preserve"> =SUM(ABOVE) </w:instrText>
            </w:r>
            <w:r w:rsidRPr="005F5AFE">
              <w:rPr>
                <w:snapToGrid/>
                <w:sz w:val="22"/>
                <w:szCs w:val="22"/>
              </w:rPr>
              <w:fldChar w:fldCharType="separate"/>
            </w:r>
            <w:r w:rsidRPr="005F5AFE">
              <w:rPr>
                <w:noProof/>
                <w:snapToGrid/>
                <w:sz w:val="22"/>
                <w:szCs w:val="22"/>
              </w:rPr>
              <w:t>156</w:t>
            </w:r>
            <w:r w:rsidRPr="005F5AFE">
              <w:rPr>
                <w:snapToGrid/>
                <w:sz w:val="22"/>
                <w:szCs w:val="22"/>
              </w:rPr>
              <w:fldChar w:fldCharType="end"/>
            </w:r>
          </w:p>
        </w:tc>
        <w:tc>
          <w:tcPr>
            <w:tcW w:w="1260" w:type="dxa"/>
            <w:shd w:val="clear" w:color="auto" w:fill="auto"/>
          </w:tcPr>
          <w:p w:rsidR="005F5AFE" w:rsidRPr="005F5AFE" w:rsidP="005F5AFE" w14:paraId="4F5E8962" w14:textId="77777777">
            <w:pPr>
              <w:widowControl/>
              <w:autoSpaceDE w:val="0"/>
              <w:autoSpaceDN w:val="0"/>
              <w:adjustRightInd w:val="0"/>
              <w:jc w:val="right"/>
              <w:rPr>
                <w:snapToGrid/>
                <w:sz w:val="22"/>
                <w:szCs w:val="22"/>
              </w:rPr>
            </w:pPr>
          </w:p>
        </w:tc>
        <w:tc>
          <w:tcPr>
            <w:tcW w:w="810" w:type="dxa"/>
            <w:shd w:val="clear" w:color="auto" w:fill="auto"/>
          </w:tcPr>
          <w:p w:rsidR="005F5AFE" w:rsidRPr="005F5AFE" w:rsidP="005F5AFE" w14:paraId="78C9642B" w14:textId="77777777">
            <w:pPr>
              <w:widowControl/>
              <w:autoSpaceDE w:val="0"/>
              <w:autoSpaceDN w:val="0"/>
              <w:adjustRightInd w:val="0"/>
              <w:jc w:val="right"/>
              <w:rPr>
                <w:snapToGrid/>
                <w:sz w:val="22"/>
                <w:szCs w:val="22"/>
              </w:rPr>
            </w:pPr>
            <w:r w:rsidRPr="005F5AFE">
              <w:rPr>
                <w:snapToGrid/>
                <w:sz w:val="22"/>
                <w:szCs w:val="22"/>
              </w:rPr>
              <w:fldChar w:fldCharType="begin"/>
            </w:r>
            <w:r w:rsidRPr="005F5AFE">
              <w:rPr>
                <w:snapToGrid/>
                <w:sz w:val="22"/>
                <w:szCs w:val="22"/>
              </w:rPr>
              <w:instrText xml:space="preserve"> =SUM(ABOVE) </w:instrText>
            </w:r>
            <w:r w:rsidRPr="005F5AFE">
              <w:rPr>
                <w:snapToGrid/>
                <w:sz w:val="22"/>
                <w:szCs w:val="22"/>
              </w:rPr>
              <w:fldChar w:fldCharType="separate"/>
            </w:r>
            <w:r w:rsidRPr="005F5AFE">
              <w:rPr>
                <w:noProof/>
                <w:snapToGrid/>
                <w:sz w:val="22"/>
                <w:szCs w:val="22"/>
              </w:rPr>
              <w:t>7,920</w:t>
            </w:r>
            <w:r w:rsidRPr="005F5AFE">
              <w:rPr>
                <w:snapToGrid/>
                <w:sz w:val="22"/>
                <w:szCs w:val="22"/>
              </w:rPr>
              <w:fldChar w:fldCharType="end"/>
            </w:r>
          </w:p>
        </w:tc>
      </w:tr>
    </w:tbl>
    <w:p w:rsidR="005F5AFE" w:rsidRPr="005F5AFE" w:rsidP="005F5AFE" w14:paraId="71DF84E3" w14:textId="77777777">
      <w:pPr>
        <w:autoSpaceDE w:val="0"/>
        <w:autoSpaceDN w:val="0"/>
        <w:adjustRightInd w:val="0"/>
        <w:rPr>
          <w:snapToGrid/>
          <w:sz w:val="20"/>
        </w:rPr>
      </w:pPr>
      <w:r w:rsidRPr="005F5AFE">
        <w:rPr>
          <w:snapToGrid/>
          <w:sz w:val="22"/>
          <w:szCs w:val="22"/>
          <w:vertAlign w:val="superscript"/>
        </w:rPr>
        <w:t xml:space="preserve">  </w:t>
      </w:r>
      <w:r w:rsidRPr="005F5AFE">
        <w:rPr>
          <w:snapToGrid/>
          <w:sz w:val="20"/>
          <w:vertAlign w:val="superscript"/>
        </w:rPr>
        <w:t>1</w:t>
      </w:r>
      <w:r w:rsidRPr="005F5AFE">
        <w:rPr>
          <w:snapToGrid/>
          <w:sz w:val="20"/>
        </w:rPr>
        <w:t xml:space="preserve">  There are no capital, or operating or maintenance costs associated with the information collection.</w:t>
      </w:r>
    </w:p>
    <w:p w:rsidR="005F5AFE" w:rsidRPr="005F5AFE" w:rsidP="00912C96" w14:paraId="26F9E69C" w14:textId="77777777">
      <w:pPr>
        <w:autoSpaceDE w:val="0"/>
        <w:autoSpaceDN w:val="0"/>
        <w:adjustRightInd w:val="0"/>
        <w:rPr>
          <w:snapToGrid/>
          <w:sz w:val="20"/>
        </w:rPr>
      </w:pPr>
    </w:p>
    <w:p w:rsidR="00026CC4" w14:paraId="6C98EA0C" w14:textId="77777777">
      <w:pPr>
        <w:widowControl/>
        <w:rPr>
          <w:i/>
          <w:iCs/>
          <w:snapToGrid/>
          <w:szCs w:val="24"/>
        </w:rPr>
      </w:pPr>
      <w:r>
        <w:rPr>
          <w:i/>
          <w:iCs/>
          <w:snapToGrid/>
          <w:szCs w:val="24"/>
        </w:rPr>
        <w:br w:type="page"/>
      </w:r>
    </w:p>
    <w:p w:rsidR="005F5AFE" w:rsidRPr="005F5AFE" w:rsidP="00912C96" w14:paraId="5C10C91C" w14:textId="0159C9A2">
      <w:pPr>
        <w:kinsoku w:val="0"/>
        <w:overflowPunct w:val="0"/>
        <w:autoSpaceDE w:val="0"/>
        <w:autoSpaceDN w:val="0"/>
        <w:adjustRightInd w:val="0"/>
        <w:rPr>
          <w:i/>
          <w:iCs/>
          <w:snapToGrid/>
          <w:szCs w:val="24"/>
        </w:rPr>
      </w:pPr>
      <w:r w:rsidRPr="005F5AFE">
        <w:rPr>
          <w:i/>
          <w:iCs/>
          <w:snapToGrid/>
          <w:szCs w:val="24"/>
        </w:rPr>
        <w:t xml:space="preserve">NDA and ANDA Submissions </w:t>
      </w:r>
    </w:p>
    <w:p w:rsidR="00912C96" w:rsidP="00912C96" w14:paraId="699AE9A0" w14:textId="77777777">
      <w:pPr>
        <w:kinsoku w:val="0"/>
        <w:overflowPunct w:val="0"/>
        <w:autoSpaceDE w:val="0"/>
        <w:autoSpaceDN w:val="0"/>
        <w:adjustRightInd w:val="0"/>
        <w:rPr>
          <w:snapToGrid/>
          <w:szCs w:val="24"/>
        </w:rPr>
      </w:pPr>
    </w:p>
    <w:p w:rsidR="005F5AFE" w:rsidP="00912C96" w14:paraId="0B001A3B" w14:textId="7263615C">
      <w:pPr>
        <w:kinsoku w:val="0"/>
        <w:overflowPunct w:val="0"/>
        <w:autoSpaceDE w:val="0"/>
        <w:autoSpaceDN w:val="0"/>
        <w:adjustRightInd w:val="0"/>
        <w:rPr>
          <w:snapToGrid/>
          <w:szCs w:val="24"/>
        </w:rPr>
      </w:pPr>
      <w:r w:rsidRPr="005F5AFE">
        <w:rPr>
          <w:snapToGrid/>
          <w:szCs w:val="24"/>
        </w:rPr>
        <w:t>Based on our experience with information collection associated with current NDA and ANDA submissions, we estimate six applications for a nonprescription drug product with an ACNU will be submitted annually.  Based on Broad Agency Announcement proposals that set forth the number of hours anticipated to produce study reports for submission to us, we assume it will take an average of 320 hours per application for both NDA and ANDA applicants to prepare and submit the information required for applications for nonprescription drugs with an ACNU (in addition to meeting the general NDA or ANDA requirements under §§ 314.50 and 314.94, already approved in OMB Control No. 0910-0001).</w:t>
      </w:r>
    </w:p>
    <w:p w:rsidR="00912C96" w:rsidRPr="005F5AFE" w:rsidP="00912C96" w14:paraId="52ACF929" w14:textId="77777777">
      <w:pPr>
        <w:kinsoku w:val="0"/>
        <w:overflowPunct w:val="0"/>
        <w:autoSpaceDE w:val="0"/>
        <w:autoSpaceDN w:val="0"/>
        <w:adjustRightInd w:val="0"/>
        <w:rPr>
          <w:snapToGrid/>
          <w:szCs w:val="24"/>
        </w:rPr>
      </w:pPr>
    </w:p>
    <w:p w:rsidR="005F5AFE" w:rsidRPr="005F5AFE" w:rsidP="00912C96" w14:paraId="1DFB01DB" w14:textId="77777777">
      <w:pPr>
        <w:kinsoku w:val="0"/>
        <w:overflowPunct w:val="0"/>
        <w:autoSpaceDE w:val="0"/>
        <w:autoSpaceDN w:val="0"/>
        <w:adjustRightInd w:val="0"/>
        <w:rPr>
          <w:i/>
          <w:iCs/>
          <w:snapToGrid/>
          <w:szCs w:val="24"/>
        </w:rPr>
      </w:pPr>
      <w:r w:rsidRPr="005F5AFE">
        <w:rPr>
          <w:i/>
          <w:iCs/>
          <w:snapToGrid/>
          <w:szCs w:val="24"/>
        </w:rPr>
        <w:t xml:space="preserve">Reports of a Failure in Implementation of an ACNU </w:t>
      </w:r>
    </w:p>
    <w:p w:rsidR="00912C96" w:rsidP="00912C96" w14:paraId="2808BDBA" w14:textId="77777777">
      <w:pPr>
        <w:kinsoku w:val="0"/>
        <w:overflowPunct w:val="0"/>
        <w:autoSpaceDE w:val="0"/>
        <w:autoSpaceDN w:val="0"/>
        <w:adjustRightInd w:val="0"/>
        <w:rPr>
          <w:snapToGrid/>
          <w:szCs w:val="24"/>
        </w:rPr>
      </w:pPr>
    </w:p>
    <w:p w:rsidR="005F5AFE" w:rsidP="00912C96" w14:paraId="4182FFC8" w14:textId="50DF77EE">
      <w:pPr>
        <w:kinsoku w:val="0"/>
        <w:overflowPunct w:val="0"/>
        <w:autoSpaceDE w:val="0"/>
        <w:autoSpaceDN w:val="0"/>
        <w:adjustRightInd w:val="0"/>
        <w:rPr>
          <w:snapToGrid/>
          <w:szCs w:val="24"/>
        </w:rPr>
      </w:pPr>
      <w:r w:rsidRPr="005F5AFE">
        <w:rPr>
          <w:snapToGrid/>
          <w:szCs w:val="24"/>
        </w:rPr>
        <w:t>We estimate six respondents will submit 25 reports each to FDA for individual failure in implementation of an ACNU under § 314.81(b)(3)(v).  We assume an average of 40 hours per response for each applicant, for a total of 6,000 hours annually.</w:t>
      </w:r>
    </w:p>
    <w:p w:rsidR="00912C96" w:rsidRPr="005F5AFE" w:rsidP="00912C96" w14:paraId="2D843FF3" w14:textId="77777777">
      <w:pPr>
        <w:kinsoku w:val="0"/>
        <w:overflowPunct w:val="0"/>
        <w:autoSpaceDE w:val="0"/>
        <w:autoSpaceDN w:val="0"/>
        <w:adjustRightInd w:val="0"/>
        <w:rPr>
          <w:snapToGrid/>
          <w:szCs w:val="24"/>
        </w:rPr>
      </w:pPr>
    </w:p>
    <w:tbl>
      <w:tblPr>
        <w:tblW w:w="990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tblPr>
      <w:tblGrid>
        <w:gridCol w:w="3690"/>
        <w:gridCol w:w="1350"/>
        <w:gridCol w:w="1440"/>
        <w:gridCol w:w="1170"/>
        <w:gridCol w:w="1440"/>
        <w:gridCol w:w="810"/>
      </w:tblGrid>
      <w:tr w14:paraId="3B61E189" w14:textId="77777777" w:rsidTr="00D53AA8">
        <w:tblPrEx>
          <w:tblW w:w="990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tblPrEx>
        <w:trPr>
          <w:cantSplit/>
          <w:trHeight w:val="20"/>
        </w:trPr>
        <w:tc>
          <w:tcPr>
            <w:tcW w:w="9900" w:type="dxa"/>
            <w:gridSpan w:val="6"/>
            <w:tcBorders>
              <w:top w:val="nil"/>
              <w:left w:val="nil"/>
              <w:bottom w:val="single" w:sz="4" w:space="0" w:color="auto"/>
              <w:right w:val="nil"/>
            </w:tcBorders>
            <w:shd w:val="clear" w:color="auto" w:fill="auto"/>
          </w:tcPr>
          <w:p w:rsidR="005F5AFE" w:rsidRPr="005F5AFE" w:rsidP="00912C96" w14:paraId="599B7199" w14:textId="234AAEB7">
            <w:pPr>
              <w:widowControl/>
              <w:autoSpaceDE w:val="0"/>
              <w:autoSpaceDN w:val="0"/>
              <w:adjustRightInd w:val="0"/>
              <w:jc w:val="center"/>
              <w:rPr>
                <w:snapToGrid/>
                <w:szCs w:val="24"/>
              </w:rPr>
            </w:pPr>
            <w:r w:rsidRPr="005F5AFE">
              <w:rPr>
                <w:snapToGrid/>
                <w:szCs w:val="24"/>
              </w:rPr>
              <w:t>Table 2.--Estimated Annual Recordkeeping Burden</w:t>
            </w:r>
            <w:r w:rsidRPr="00912C96" w:rsidR="00912C96">
              <w:rPr>
                <w:snapToGrid/>
                <w:szCs w:val="24"/>
                <w:vertAlign w:val="superscript"/>
              </w:rPr>
              <w:t>1</w:t>
            </w:r>
          </w:p>
        </w:tc>
      </w:tr>
      <w:tr w14:paraId="3B3B23CF" w14:textId="77777777" w:rsidTr="00D53AA8">
        <w:tblPrEx>
          <w:tblW w:w="9900" w:type="dxa"/>
          <w:tblInd w:w="-90" w:type="dxa"/>
          <w:tblLook w:val="01C0"/>
        </w:tblPrEx>
        <w:trPr>
          <w:cantSplit/>
          <w:trHeight w:val="20"/>
        </w:trPr>
        <w:tc>
          <w:tcPr>
            <w:tcW w:w="3690" w:type="dxa"/>
            <w:tcBorders>
              <w:top w:val="single" w:sz="4" w:space="0" w:color="auto"/>
              <w:bottom w:val="single" w:sz="4" w:space="0" w:color="auto"/>
            </w:tcBorders>
            <w:shd w:val="clear" w:color="auto" w:fill="auto"/>
          </w:tcPr>
          <w:p w:rsidR="005F5AFE" w:rsidRPr="005F5AFE" w:rsidP="00C20425" w14:paraId="35160E46" w14:textId="77777777">
            <w:pPr>
              <w:widowControl/>
              <w:autoSpaceDE w:val="0"/>
              <w:autoSpaceDN w:val="0"/>
              <w:adjustRightInd w:val="0"/>
              <w:jc w:val="center"/>
              <w:rPr>
                <w:snapToGrid/>
                <w:sz w:val="22"/>
                <w:szCs w:val="22"/>
              </w:rPr>
            </w:pPr>
            <w:r w:rsidRPr="005F5AFE">
              <w:rPr>
                <w:snapToGrid/>
                <w:sz w:val="22"/>
                <w:szCs w:val="22"/>
              </w:rPr>
              <w:t>Information Collection; 21 CFR part 314 (Applications for FDA Approval to Market a New Drug)</w:t>
            </w:r>
          </w:p>
        </w:tc>
        <w:tc>
          <w:tcPr>
            <w:tcW w:w="1350" w:type="dxa"/>
            <w:tcBorders>
              <w:top w:val="single" w:sz="4" w:space="0" w:color="auto"/>
              <w:bottom w:val="single" w:sz="4" w:space="0" w:color="auto"/>
            </w:tcBorders>
            <w:shd w:val="clear" w:color="auto" w:fill="auto"/>
          </w:tcPr>
          <w:p w:rsidR="005F5AFE" w:rsidRPr="005F5AFE" w:rsidP="00C20425" w14:paraId="2A2E748A" w14:textId="77777777">
            <w:pPr>
              <w:widowControl/>
              <w:autoSpaceDE w:val="0"/>
              <w:autoSpaceDN w:val="0"/>
              <w:adjustRightInd w:val="0"/>
              <w:jc w:val="center"/>
              <w:rPr>
                <w:snapToGrid/>
                <w:sz w:val="22"/>
                <w:szCs w:val="22"/>
              </w:rPr>
            </w:pPr>
            <w:r w:rsidRPr="005F5AFE">
              <w:rPr>
                <w:snapToGrid/>
                <w:sz w:val="22"/>
                <w:szCs w:val="22"/>
              </w:rPr>
              <w:t>No. of Respondents</w:t>
            </w:r>
          </w:p>
        </w:tc>
        <w:tc>
          <w:tcPr>
            <w:tcW w:w="1440" w:type="dxa"/>
            <w:tcBorders>
              <w:top w:val="single" w:sz="4" w:space="0" w:color="auto"/>
              <w:bottom w:val="single" w:sz="4" w:space="0" w:color="auto"/>
            </w:tcBorders>
            <w:shd w:val="clear" w:color="auto" w:fill="auto"/>
          </w:tcPr>
          <w:p w:rsidR="005F5AFE" w:rsidRPr="005F5AFE" w:rsidP="00C20425" w14:paraId="53399531" w14:textId="77777777">
            <w:pPr>
              <w:widowControl/>
              <w:autoSpaceDE w:val="0"/>
              <w:autoSpaceDN w:val="0"/>
              <w:adjustRightInd w:val="0"/>
              <w:jc w:val="center"/>
              <w:rPr>
                <w:snapToGrid/>
                <w:sz w:val="22"/>
                <w:szCs w:val="22"/>
              </w:rPr>
            </w:pPr>
            <w:r w:rsidRPr="005F5AFE">
              <w:rPr>
                <w:snapToGrid/>
                <w:sz w:val="22"/>
                <w:szCs w:val="22"/>
              </w:rPr>
              <w:t>No. of Responses per Respondent</w:t>
            </w:r>
          </w:p>
        </w:tc>
        <w:tc>
          <w:tcPr>
            <w:tcW w:w="1170" w:type="dxa"/>
            <w:tcBorders>
              <w:top w:val="single" w:sz="4" w:space="0" w:color="auto"/>
              <w:bottom w:val="single" w:sz="4" w:space="0" w:color="auto"/>
            </w:tcBorders>
            <w:shd w:val="clear" w:color="auto" w:fill="auto"/>
          </w:tcPr>
          <w:p w:rsidR="005F5AFE" w:rsidRPr="005F5AFE" w:rsidP="00C20425" w14:paraId="631D6871" w14:textId="77777777">
            <w:pPr>
              <w:widowControl/>
              <w:autoSpaceDE w:val="0"/>
              <w:autoSpaceDN w:val="0"/>
              <w:adjustRightInd w:val="0"/>
              <w:jc w:val="center"/>
              <w:rPr>
                <w:snapToGrid/>
                <w:sz w:val="22"/>
                <w:szCs w:val="22"/>
              </w:rPr>
            </w:pPr>
            <w:r w:rsidRPr="005F5AFE">
              <w:rPr>
                <w:snapToGrid/>
                <w:sz w:val="22"/>
                <w:szCs w:val="22"/>
              </w:rPr>
              <w:t>Total Annual Responses</w:t>
            </w:r>
          </w:p>
        </w:tc>
        <w:tc>
          <w:tcPr>
            <w:tcW w:w="1440" w:type="dxa"/>
            <w:tcBorders>
              <w:top w:val="single" w:sz="4" w:space="0" w:color="auto"/>
              <w:bottom w:val="single" w:sz="4" w:space="0" w:color="auto"/>
            </w:tcBorders>
            <w:shd w:val="clear" w:color="auto" w:fill="auto"/>
          </w:tcPr>
          <w:p w:rsidR="005F5AFE" w:rsidRPr="005F5AFE" w:rsidP="00C20425" w14:paraId="7A3CA99D" w14:textId="77777777">
            <w:pPr>
              <w:widowControl/>
              <w:autoSpaceDE w:val="0"/>
              <w:autoSpaceDN w:val="0"/>
              <w:adjustRightInd w:val="0"/>
              <w:jc w:val="center"/>
              <w:rPr>
                <w:snapToGrid/>
                <w:sz w:val="22"/>
                <w:szCs w:val="22"/>
              </w:rPr>
            </w:pPr>
            <w:r w:rsidRPr="005F5AFE">
              <w:rPr>
                <w:snapToGrid/>
                <w:sz w:val="22"/>
                <w:szCs w:val="22"/>
              </w:rPr>
              <w:t>Average Burden per Response (Hours)</w:t>
            </w:r>
          </w:p>
        </w:tc>
        <w:tc>
          <w:tcPr>
            <w:tcW w:w="810" w:type="dxa"/>
            <w:tcBorders>
              <w:top w:val="single" w:sz="4" w:space="0" w:color="auto"/>
            </w:tcBorders>
            <w:shd w:val="clear" w:color="auto" w:fill="auto"/>
          </w:tcPr>
          <w:p w:rsidR="005F5AFE" w:rsidRPr="005F5AFE" w:rsidP="00C20425" w14:paraId="0443E1D4" w14:textId="77777777">
            <w:pPr>
              <w:widowControl/>
              <w:autoSpaceDE w:val="0"/>
              <w:autoSpaceDN w:val="0"/>
              <w:adjustRightInd w:val="0"/>
              <w:jc w:val="center"/>
              <w:rPr>
                <w:snapToGrid/>
                <w:sz w:val="22"/>
                <w:szCs w:val="22"/>
              </w:rPr>
            </w:pPr>
            <w:r w:rsidRPr="005F5AFE">
              <w:rPr>
                <w:snapToGrid/>
                <w:sz w:val="22"/>
                <w:szCs w:val="22"/>
              </w:rPr>
              <w:t>Total Hours</w:t>
            </w:r>
          </w:p>
        </w:tc>
      </w:tr>
      <w:tr w14:paraId="35DFC8A2" w14:textId="77777777" w:rsidTr="00D53AA8">
        <w:tblPrEx>
          <w:tblW w:w="9900" w:type="dxa"/>
          <w:tblInd w:w="-90" w:type="dxa"/>
          <w:tblLook w:val="01C0"/>
        </w:tblPrEx>
        <w:trPr>
          <w:cantSplit/>
          <w:trHeight w:val="791"/>
        </w:trPr>
        <w:tc>
          <w:tcPr>
            <w:tcW w:w="3690" w:type="dxa"/>
            <w:tcBorders>
              <w:right w:val="single" w:sz="4" w:space="0" w:color="auto"/>
            </w:tcBorders>
            <w:shd w:val="clear" w:color="auto" w:fill="auto"/>
          </w:tcPr>
          <w:p w:rsidR="005F5AFE" w:rsidRPr="005F5AFE" w:rsidP="00C20425" w14:paraId="66D992F7" w14:textId="63535963">
            <w:pPr>
              <w:widowControl/>
              <w:autoSpaceDE w:val="0"/>
              <w:autoSpaceDN w:val="0"/>
              <w:adjustRightInd w:val="0"/>
              <w:rPr>
                <w:snapToGrid/>
                <w:sz w:val="22"/>
                <w:szCs w:val="22"/>
              </w:rPr>
            </w:pPr>
            <w:r w:rsidRPr="005F5AFE">
              <w:rPr>
                <w:snapToGrid/>
                <w:sz w:val="22"/>
                <w:szCs w:val="22"/>
              </w:rPr>
              <w:t>R</w:t>
            </w:r>
            <w:r w:rsidR="00C20425">
              <w:rPr>
                <w:snapToGrid/>
                <w:sz w:val="22"/>
                <w:szCs w:val="22"/>
              </w:rPr>
              <w:t>ecordkeeping r</w:t>
            </w:r>
            <w:r w:rsidRPr="005F5AFE">
              <w:rPr>
                <w:snapToGrid/>
                <w:sz w:val="22"/>
                <w:szCs w:val="22"/>
              </w:rPr>
              <w:t>equirements for failures in implementation of an ACNU (§</w:t>
            </w:r>
            <w:r w:rsidR="00C20425">
              <w:rPr>
                <w:snapToGrid/>
                <w:sz w:val="22"/>
                <w:szCs w:val="22"/>
              </w:rPr>
              <w:t> </w:t>
            </w:r>
            <w:r w:rsidRPr="005F5AFE">
              <w:rPr>
                <w:snapToGrid/>
                <w:sz w:val="22"/>
                <w:szCs w:val="22"/>
              </w:rPr>
              <w:t>314.81(b)(3)(v)(d))</w:t>
            </w:r>
          </w:p>
        </w:tc>
        <w:tc>
          <w:tcPr>
            <w:tcW w:w="1350" w:type="dxa"/>
            <w:tcBorders>
              <w:left w:val="single" w:sz="4" w:space="0" w:color="auto"/>
              <w:right w:val="single" w:sz="4" w:space="0" w:color="auto"/>
            </w:tcBorders>
            <w:shd w:val="clear" w:color="auto" w:fill="auto"/>
          </w:tcPr>
          <w:p w:rsidR="005F5AFE" w:rsidRPr="005F5AFE" w:rsidP="00C20425" w14:paraId="43E7F49B" w14:textId="77777777">
            <w:pPr>
              <w:widowControl/>
              <w:autoSpaceDE w:val="0"/>
              <w:autoSpaceDN w:val="0"/>
              <w:adjustRightInd w:val="0"/>
              <w:jc w:val="right"/>
              <w:rPr>
                <w:snapToGrid/>
                <w:sz w:val="22"/>
                <w:szCs w:val="22"/>
              </w:rPr>
            </w:pPr>
            <w:r w:rsidRPr="005F5AFE">
              <w:rPr>
                <w:snapToGrid/>
                <w:sz w:val="22"/>
                <w:szCs w:val="22"/>
              </w:rPr>
              <w:t>6</w:t>
            </w:r>
          </w:p>
        </w:tc>
        <w:tc>
          <w:tcPr>
            <w:tcW w:w="1440" w:type="dxa"/>
            <w:tcBorders>
              <w:left w:val="single" w:sz="4" w:space="0" w:color="auto"/>
              <w:right w:val="single" w:sz="4" w:space="0" w:color="auto"/>
            </w:tcBorders>
            <w:shd w:val="clear" w:color="auto" w:fill="auto"/>
          </w:tcPr>
          <w:p w:rsidR="005F5AFE" w:rsidRPr="005F5AFE" w:rsidP="00C20425" w14:paraId="349FC736" w14:textId="77777777">
            <w:pPr>
              <w:widowControl/>
              <w:autoSpaceDE w:val="0"/>
              <w:autoSpaceDN w:val="0"/>
              <w:adjustRightInd w:val="0"/>
              <w:jc w:val="right"/>
              <w:rPr>
                <w:snapToGrid/>
                <w:sz w:val="22"/>
                <w:szCs w:val="22"/>
              </w:rPr>
            </w:pPr>
            <w:r w:rsidRPr="005F5AFE">
              <w:rPr>
                <w:snapToGrid/>
                <w:sz w:val="22"/>
                <w:szCs w:val="22"/>
              </w:rPr>
              <w:t>25</w:t>
            </w:r>
          </w:p>
        </w:tc>
        <w:tc>
          <w:tcPr>
            <w:tcW w:w="1170" w:type="dxa"/>
            <w:tcBorders>
              <w:left w:val="single" w:sz="4" w:space="0" w:color="auto"/>
              <w:right w:val="single" w:sz="4" w:space="0" w:color="auto"/>
            </w:tcBorders>
            <w:shd w:val="clear" w:color="auto" w:fill="auto"/>
          </w:tcPr>
          <w:p w:rsidR="005F5AFE" w:rsidRPr="005F5AFE" w:rsidP="00C20425" w14:paraId="70AA217B" w14:textId="77777777">
            <w:pPr>
              <w:widowControl/>
              <w:autoSpaceDE w:val="0"/>
              <w:autoSpaceDN w:val="0"/>
              <w:adjustRightInd w:val="0"/>
              <w:jc w:val="right"/>
              <w:rPr>
                <w:snapToGrid/>
                <w:sz w:val="22"/>
                <w:szCs w:val="22"/>
              </w:rPr>
            </w:pPr>
            <w:r w:rsidRPr="005F5AFE">
              <w:rPr>
                <w:snapToGrid/>
                <w:sz w:val="22"/>
                <w:szCs w:val="22"/>
              </w:rPr>
              <w:t>150</w:t>
            </w:r>
          </w:p>
        </w:tc>
        <w:tc>
          <w:tcPr>
            <w:tcW w:w="1440" w:type="dxa"/>
            <w:tcBorders>
              <w:left w:val="single" w:sz="4" w:space="0" w:color="auto"/>
            </w:tcBorders>
            <w:shd w:val="clear" w:color="auto" w:fill="auto"/>
          </w:tcPr>
          <w:p w:rsidR="005F5AFE" w:rsidRPr="005F5AFE" w:rsidP="00C20425" w14:paraId="49D354BC" w14:textId="77777777">
            <w:pPr>
              <w:widowControl/>
              <w:autoSpaceDE w:val="0"/>
              <w:autoSpaceDN w:val="0"/>
              <w:adjustRightInd w:val="0"/>
              <w:jc w:val="right"/>
              <w:rPr>
                <w:snapToGrid/>
                <w:sz w:val="22"/>
                <w:szCs w:val="22"/>
              </w:rPr>
            </w:pPr>
            <w:r w:rsidRPr="005F5AFE">
              <w:rPr>
                <w:snapToGrid/>
                <w:sz w:val="22"/>
                <w:szCs w:val="22"/>
              </w:rPr>
              <w:t>8</w:t>
            </w:r>
          </w:p>
        </w:tc>
        <w:tc>
          <w:tcPr>
            <w:tcW w:w="810" w:type="dxa"/>
            <w:shd w:val="clear" w:color="auto" w:fill="auto"/>
          </w:tcPr>
          <w:p w:rsidR="005F5AFE" w:rsidRPr="005F5AFE" w:rsidP="00C20425" w14:paraId="4B667D3F" w14:textId="77777777">
            <w:pPr>
              <w:widowControl/>
              <w:autoSpaceDE w:val="0"/>
              <w:autoSpaceDN w:val="0"/>
              <w:adjustRightInd w:val="0"/>
              <w:jc w:val="right"/>
              <w:rPr>
                <w:snapToGrid/>
                <w:sz w:val="22"/>
                <w:szCs w:val="22"/>
              </w:rPr>
            </w:pPr>
            <w:r w:rsidRPr="005F5AFE">
              <w:rPr>
                <w:snapToGrid/>
                <w:sz w:val="22"/>
                <w:szCs w:val="22"/>
              </w:rPr>
              <w:t>1,200</w:t>
            </w:r>
          </w:p>
        </w:tc>
      </w:tr>
    </w:tbl>
    <w:p w:rsidR="005F5AFE" w:rsidRPr="005F5AFE" w:rsidP="005F5AFE" w14:paraId="6520B429" w14:textId="77777777">
      <w:pPr>
        <w:autoSpaceDE w:val="0"/>
        <w:autoSpaceDN w:val="0"/>
        <w:adjustRightInd w:val="0"/>
        <w:rPr>
          <w:snapToGrid/>
          <w:sz w:val="20"/>
        </w:rPr>
      </w:pPr>
      <w:r w:rsidRPr="005F5AFE">
        <w:rPr>
          <w:snapToGrid/>
          <w:sz w:val="20"/>
          <w:vertAlign w:val="superscript"/>
        </w:rPr>
        <w:t>1</w:t>
      </w:r>
      <w:r w:rsidRPr="005F5AFE">
        <w:rPr>
          <w:snapToGrid/>
          <w:sz w:val="20"/>
        </w:rPr>
        <w:t xml:space="preserve">  There are no capital, or operating or maintenance costs associated with the information collection.</w:t>
      </w:r>
    </w:p>
    <w:p w:rsidR="005F5AFE" w:rsidRPr="005F5AFE" w:rsidP="005F5AFE" w14:paraId="32AC6369" w14:textId="77777777">
      <w:pPr>
        <w:kinsoku w:val="0"/>
        <w:overflowPunct w:val="0"/>
        <w:autoSpaceDE w:val="0"/>
        <w:autoSpaceDN w:val="0"/>
        <w:adjustRightInd w:val="0"/>
        <w:spacing w:after="200"/>
        <w:rPr>
          <w:snapToGrid/>
          <w:szCs w:val="24"/>
        </w:rPr>
      </w:pPr>
    </w:p>
    <w:p w:rsidR="005F5AFE" w:rsidRPr="005F5AFE" w:rsidP="00873C66" w14:paraId="1A6E76CF" w14:textId="040363B3">
      <w:pPr>
        <w:kinsoku w:val="0"/>
        <w:overflowPunct w:val="0"/>
        <w:autoSpaceDE w:val="0"/>
        <w:autoSpaceDN w:val="0"/>
        <w:adjustRightInd w:val="0"/>
        <w:rPr>
          <w:snapToGrid/>
          <w:szCs w:val="24"/>
        </w:rPr>
      </w:pPr>
      <w:r w:rsidRPr="005F5AFE">
        <w:rPr>
          <w:snapToGrid/>
          <w:szCs w:val="24"/>
        </w:rPr>
        <w:t>Based on our experience with postmarket recordkeeping requirements, we assume an average burden of 8 hours of recordkeeping for each report and therefore have calculated 1,200 hours annually.</w:t>
      </w:r>
      <w:r w:rsidR="00873C66">
        <w:rPr>
          <w:snapToGrid/>
          <w:szCs w:val="24"/>
        </w:rPr>
        <w:t xml:space="preserve">  </w:t>
      </w:r>
      <w:r w:rsidRPr="00873C66" w:rsidR="00873C66">
        <w:rPr>
          <w:snapToGrid/>
          <w:szCs w:val="24"/>
        </w:rPr>
        <w:t>The applicant</w:t>
      </w:r>
      <w:r w:rsidR="00873C66">
        <w:rPr>
          <w:snapToGrid/>
          <w:szCs w:val="24"/>
        </w:rPr>
        <w:t xml:space="preserve"> </w:t>
      </w:r>
      <w:r w:rsidRPr="00873C66" w:rsidR="00873C66">
        <w:rPr>
          <w:snapToGrid/>
          <w:szCs w:val="24"/>
        </w:rPr>
        <w:t>must maintain for a period of 10 years,</w:t>
      </w:r>
      <w:r w:rsidR="00873C66">
        <w:rPr>
          <w:snapToGrid/>
          <w:szCs w:val="24"/>
        </w:rPr>
        <w:t xml:space="preserve"> </w:t>
      </w:r>
      <w:r w:rsidRPr="00873C66" w:rsidR="00873C66">
        <w:rPr>
          <w:snapToGrid/>
          <w:szCs w:val="24"/>
        </w:rPr>
        <w:t>the records of all reports of ACNU</w:t>
      </w:r>
      <w:r w:rsidR="00873C66">
        <w:rPr>
          <w:snapToGrid/>
          <w:szCs w:val="24"/>
        </w:rPr>
        <w:t xml:space="preserve"> </w:t>
      </w:r>
      <w:r w:rsidRPr="00873C66" w:rsidR="00873C66">
        <w:rPr>
          <w:snapToGrid/>
          <w:szCs w:val="24"/>
        </w:rPr>
        <w:t>failures and associated adverse drug</w:t>
      </w:r>
      <w:r w:rsidR="00873C66">
        <w:rPr>
          <w:snapToGrid/>
          <w:szCs w:val="24"/>
        </w:rPr>
        <w:t xml:space="preserve"> </w:t>
      </w:r>
      <w:r w:rsidRPr="00873C66" w:rsidR="00873C66">
        <w:rPr>
          <w:snapToGrid/>
          <w:szCs w:val="24"/>
        </w:rPr>
        <w:t>experiences known to the applicant,</w:t>
      </w:r>
      <w:r w:rsidR="00873C66">
        <w:rPr>
          <w:snapToGrid/>
          <w:szCs w:val="24"/>
        </w:rPr>
        <w:t xml:space="preserve"> </w:t>
      </w:r>
      <w:r w:rsidRPr="00873C66" w:rsidR="00873C66">
        <w:rPr>
          <w:snapToGrid/>
          <w:szCs w:val="24"/>
        </w:rPr>
        <w:t>including raw data and any</w:t>
      </w:r>
      <w:r w:rsidR="00873C66">
        <w:rPr>
          <w:snapToGrid/>
          <w:szCs w:val="24"/>
        </w:rPr>
        <w:t xml:space="preserve"> </w:t>
      </w:r>
      <w:r w:rsidRPr="00873C66" w:rsidR="00873C66">
        <w:rPr>
          <w:snapToGrid/>
          <w:szCs w:val="24"/>
        </w:rPr>
        <w:t>correspondence relating to a report of an</w:t>
      </w:r>
      <w:r w:rsidR="00873C66">
        <w:rPr>
          <w:snapToGrid/>
          <w:szCs w:val="24"/>
        </w:rPr>
        <w:t xml:space="preserve"> </w:t>
      </w:r>
      <w:r w:rsidRPr="00873C66" w:rsidR="00873C66">
        <w:rPr>
          <w:snapToGrid/>
          <w:szCs w:val="24"/>
        </w:rPr>
        <w:t>ACNU failure.</w:t>
      </w:r>
    </w:p>
    <w:p w:rsidR="006938A2" w:rsidRPr="00453BA2" w:rsidP="00873C66" w14:paraId="1466A81D" w14:textId="77777777">
      <w:pPr>
        <w:rPr>
          <w:szCs w:val="24"/>
        </w:rPr>
      </w:pPr>
    </w:p>
    <w:p w:rsidR="00BA1D6F" w:rsidRPr="000F75E9" w:rsidP="00A4524F" w14:paraId="1C72E078" w14:textId="5E9C6432">
      <w:pPr>
        <w:ind w:left="180"/>
        <w:rPr>
          <w:i/>
          <w:szCs w:val="24"/>
        </w:rPr>
      </w:pPr>
      <w:r>
        <w:rPr>
          <w:szCs w:val="24"/>
        </w:rPr>
        <w:tab/>
      </w:r>
      <w:r w:rsidRPr="000F75E9" w:rsidR="00491C0B">
        <w:rPr>
          <w:i/>
          <w:szCs w:val="24"/>
        </w:rPr>
        <w:t>12b.  Annualized Cost Burden Estimate</w:t>
      </w:r>
    </w:p>
    <w:p w:rsidR="00900708" w:rsidP="00A4524F" w14:paraId="448F8990" w14:textId="77777777">
      <w:pPr>
        <w:ind w:left="180"/>
        <w:rPr>
          <w:szCs w:val="24"/>
        </w:rPr>
      </w:pPr>
    </w:p>
    <w:p w:rsidR="000F75E9" w:rsidP="00A4524F" w14:paraId="45F82DB4" w14:textId="4EBF4925">
      <w:pPr>
        <w:ind w:left="180"/>
        <w:rPr>
          <w:szCs w:val="24"/>
        </w:rPr>
      </w:pPr>
      <w:r>
        <w:rPr>
          <w:szCs w:val="24"/>
        </w:rPr>
        <w:tab/>
      </w:r>
      <w:r w:rsidRPr="008A1D1B" w:rsidR="008A1D1B">
        <w:rPr>
          <w:szCs w:val="24"/>
        </w:rPr>
        <w:t>We estimate reduction in access costs to consumers who could transfer from a prescription to a nonprescription drug product with an ACNU.  Our primary estimate for this item is $33.62 per consumer per purchase with a range of $0 to $67.23.  We also quantify the value of the potential reduction in the number of meetings with applicants that will occur during the approval process.  This estimate includes benefits to us and industry.  Our primary estimate is $68,773.11 per applicant with a range of $56,332.65 to $81,763.56.</w:t>
      </w:r>
    </w:p>
    <w:p w:rsidR="00390645" w:rsidRPr="00453BA2" w:rsidP="00A4524F" w14:paraId="5C294576" w14:textId="77777777">
      <w:pPr>
        <w:ind w:left="180"/>
        <w:rPr>
          <w:szCs w:val="24"/>
        </w:rPr>
      </w:pPr>
    </w:p>
    <w:p w:rsidR="00026CC4" w14:paraId="5C049C6B" w14:textId="77777777">
      <w:pPr>
        <w:widowControl/>
        <w:rPr>
          <w:szCs w:val="24"/>
        </w:rPr>
      </w:pPr>
      <w:r>
        <w:rPr>
          <w:szCs w:val="24"/>
        </w:rPr>
        <w:br w:type="page"/>
      </w:r>
    </w:p>
    <w:p w:rsidR="00DB58CD" w:rsidRPr="000F75E9" w:rsidP="00A4524F" w14:paraId="49173355" w14:textId="4157AFEB">
      <w:pPr>
        <w:ind w:left="180"/>
        <w:rPr>
          <w:szCs w:val="24"/>
          <w:u w:val="single"/>
        </w:rPr>
      </w:pPr>
      <w:r w:rsidRPr="000F75E9">
        <w:rPr>
          <w:szCs w:val="24"/>
          <w:u w:val="single"/>
        </w:rPr>
        <w:t xml:space="preserve">13.  Estimates of </w:t>
      </w:r>
      <w:r w:rsidRPr="000F75E9" w:rsidR="00491C0B">
        <w:rPr>
          <w:szCs w:val="24"/>
          <w:u w:val="single"/>
        </w:rPr>
        <w:t>Other Total Annual Costs to Respondents and/or Recordkeepers/Capital Costs</w:t>
      </w:r>
    </w:p>
    <w:p w:rsidR="000F75E9" w:rsidP="00A4524F" w14:paraId="1C2A99AC" w14:textId="77777777">
      <w:pPr>
        <w:ind w:left="180"/>
        <w:rPr>
          <w:szCs w:val="24"/>
        </w:rPr>
      </w:pPr>
    </w:p>
    <w:p w:rsidR="003E6B91" w:rsidP="00A4524F" w14:paraId="1A1914BB" w14:textId="77777777">
      <w:pPr>
        <w:ind w:left="180"/>
        <w:rPr>
          <w:szCs w:val="24"/>
        </w:rPr>
      </w:pPr>
      <w:r w:rsidRPr="00453BA2">
        <w:rPr>
          <w:szCs w:val="24"/>
        </w:rPr>
        <w:t>There are no capital costs or operating and maintenance costs associated with this collection of information.</w:t>
      </w:r>
    </w:p>
    <w:p w:rsidR="000B3A48" w:rsidRPr="00453BA2" w:rsidP="00A4524F" w14:paraId="75EFD9A5" w14:textId="77777777">
      <w:pPr>
        <w:ind w:left="180"/>
        <w:rPr>
          <w:szCs w:val="24"/>
        </w:rPr>
      </w:pPr>
    </w:p>
    <w:p w:rsidR="0008040C" w:rsidRPr="000F75E9" w:rsidP="00A4524F" w14:paraId="4F3CFD09" w14:textId="77777777">
      <w:pPr>
        <w:ind w:left="180"/>
        <w:rPr>
          <w:szCs w:val="24"/>
          <w:u w:val="single"/>
        </w:rPr>
      </w:pPr>
      <w:r w:rsidRPr="000F75E9">
        <w:rPr>
          <w:szCs w:val="24"/>
          <w:u w:val="single"/>
        </w:rPr>
        <w:t>14.  Annualized Cost to the Federal Government</w:t>
      </w:r>
    </w:p>
    <w:p w:rsidR="000F75E9" w:rsidRPr="00453BA2" w:rsidP="00A4524F" w14:paraId="4306A3AD" w14:textId="77777777">
      <w:pPr>
        <w:ind w:left="180"/>
        <w:rPr>
          <w:szCs w:val="24"/>
        </w:rPr>
      </w:pPr>
    </w:p>
    <w:p w:rsidR="00EF0843" w:rsidP="00A4524F" w14:paraId="71C41776" w14:textId="6621B66D">
      <w:pPr>
        <w:ind w:left="180"/>
        <w:rPr>
          <w:szCs w:val="24"/>
        </w:rPr>
      </w:pPr>
      <w:r w:rsidRPr="00F20923">
        <w:rPr>
          <w:szCs w:val="24"/>
        </w:rPr>
        <w:t>FDA has allocated 835 FTEs to reviewing submissions under 21 CFR 314.  Where the cost of each FTE is approximately $325,348 (fully-loaded), the total cost burden to the Federal Government is estimated at $271,665,580.  These costs are supplemented by industry submission of application and program user fees for prescription and generic drug applications and approved products.</w:t>
      </w:r>
    </w:p>
    <w:p w:rsidR="000F75E9" w:rsidRPr="00453BA2" w:rsidP="00A4524F" w14:paraId="70C1F5E4" w14:textId="77777777">
      <w:pPr>
        <w:ind w:left="180"/>
        <w:rPr>
          <w:szCs w:val="24"/>
        </w:rPr>
      </w:pPr>
    </w:p>
    <w:p w:rsidR="00DB58CD" w:rsidRPr="000F75E9" w:rsidP="00A4524F" w14:paraId="0AC4F7DE" w14:textId="5C03280F">
      <w:pPr>
        <w:ind w:left="180"/>
        <w:rPr>
          <w:szCs w:val="24"/>
          <w:u w:val="single"/>
        </w:rPr>
      </w:pPr>
      <w:r w:rsidRPr="000F75E9">
        <w:rPr>
          <w:szCs w:val="24"/>
          <w:u w:val="single"/>
        </w:rPr>
        <w:t xml:space="preserve">15.  </w:t>
      </w:r>
      <w:r w:rsidRPr="000F75E9" w:rsidR="00FF63C1">
        <w:rPr>
          <w:szCs w:val="24"/>
          <w:u w:val="single"/>
        </w:rPr>
        <w:t>Explanation for Program Changes or Adjustments</w:t>
      </w:r>
      <w:r w:rsidRPr="000F75E9" w:rsidR="000F75E9">
        <w:rPr>
          <w:szCs w:val="24"/>
          <w:u w:val="single"/>
        </w:rPr>
        <w:br/>
      </w:r>
    </w:p>
    <w:p w:rsidR="005D4A2A" w:rsidRPr="00B10700" w:rsidP="00B10700" w14:paraId="07344D4F" w14:textId="37F18ABD">
      <w:pPr>
        <w:pStyle w:val="BodyText"/>
        <w:kinsoku w:val="0"/>
        <w:overflowPunct w:val="0"/>
        <w:spacing w:after="200"/>
        <w:ind w:left="180"/>
      </w:pPr>
      <w:r>
        <w:t xml:space="preserve">As a result of the rulemaking, we have adjusted the burden for the information collection by </w:t>
      </w:r>
      <w:r w:rsidRPr="00AA2B94">
        <w:t xml:space="preserve"> 9,120 hours and 306 responses annually</w:t>
      </w:r>
      <w:r>
        <w:t>.</w:t>
      </w:r>
    </w:p>
    <w:p w:rsidR="00DB58CD" w:rsidRPr="000F75E9" w:rsidP="00A4524F" w14:paraId="73903B93" w14:textId="20416109">
      <w:pPr>
        <w:ind w:left="180"/>
        <w:rPr>
          <w:szCs w:val="24"/>
          <w:u w:val="single"/>
        </w:rPr>
      </w:pPr>
      <w:r w:rsidRPr="000F75E9">
        <w:rPr>
          <w:szCs w:val="24"/>
          <w:u w:val="single"/>
        </w:rPr>
        <w:t xml:space="preserve">16.  </w:t>
      </w:r>
      <w:r w:rsidRPr="000F75E9" w:rsidR="00FF63C1">
        <w:rPr>
          <w:szCs w:val="24"/>
          <w:u w:val="single"/>
        </w:rPr>
        <w:t>Plans for Tabulation and Publication and Project Time Schedule</w:t>
      </w:r>
    </w:p>
    <w:p w:rsidR="000F75E9" w:rsidRPr="00453BA2" w:rsidP="00A4524F" w14:paraId="19381AF4" w14:textId="77777777">
      <w:pPr>
        <w:ind w:left="180"/>
        <w:rPr>
          <w:szCs w:val="24"/>
        </w:rPr>
      </w:pPr>
    </w:p>
    <w:p w:rsidR="003E6B91" w:rsidP="00A4524F" w14:paraId="7F4A5CAD" w14:textId="77777777">
      <w:pPr>
        <w:ind w:left="180"/>
        <w:rPr>
          <w:szCs w:val="24"/>
        </w:rPr>
      </w:pPr>
      <w:r w:rsidRPr="00453BA2">
        <w:rPr>
          <w:szCs w:val="24"/>
        </w:rPr>
        <w:t>FDA does not intend to publish tabulated results of these information collection requirements.</w:t>
      </w:r>
    </w:p>
    <w:p w:rsidR="000F75E9" w:rsidRPr="00453BA2" w:rsidP="00A4524F" w14:paraId="186EBD04" w14:textId="77777777">
      <w:pPr>
        <w:ind w:left="180"/>
        <w:rPr>
          <w:szCs w:val="24"/>
        </w:rPr>
      </w:pPr>
    </w:p>
    <w:p w:rsidR="00DB58CD" w:rsidRPr="00156CD7" w:rsidP="00A4524F" w14:paraId="62D256CD" w14:textId="5E03D497">
      <w:pPr>
        <w:widowControl/>
        <w:ind w:left="180"/>
        <w:rPr>
          <w:szCs w:val="24"/>
        </w:rPr>
      </w:pPr>
      <w:r w:rsidRPr="000F75E9">
        <w:rPr>
          <w:szCs w:val="24"/>
          <w:u w:val="single"/>
        </w:rPr>
        <w:t xml:space="preserve">17.  </w:t>
      </w:r>
      <w:r w:rsidRPr="000F75E9" w:rsidR="00FF63C1">
        <w:rPr>
          <w:szCs w:val="24"/>
          <w:u w:val="single"/>
        </w:rPr>
        <w:t>Reason(s) Display of OMB Expiration Date is Inappropriate</w:t>
      </w:r>
    </w:p>
    <w:p w:rsidR="000F75E9" w:rsidRPr="00453BA2" w:rsidP="00A4524F" w14:paraId="6B55F10A" w14:textId="77777777">
      <w:pPr>
        <w:ind w:left="180"/>
        <w:rPr>
          <w:szCs w:val="24"/>
        </w:rPr>
      </w:pPr>
    </w:p>
    <w:p w:rsidR="00EC00F2" w:rsidRPr="00453BA2" w:rsidP="00A4524F" w14:paraId="3A58DD5A" w14:textId="190123C3">
      <w:pPr>
        <w:ind w:left="180"/>
        <w:rPr>
          <w:szCs w:val="24"/>
        </w:rPr>
      </w:pPr>
      <w:r>
        <w:rPr>
          <w:szCs w:val="24"/>
        </w:rPr>
        <w:t>Display of the OMB Expiration date is appropriate.</w:t>
      </w:r>
    </w:p>
    <w:p w:rsidR="000F75E9" w:rsidP="00A4524F" w14:paraId="5B0CED92" w14:textId="77777777">
      <w:pPr>
        <w:ind w:left="180"/>
        <w:rPr>
          <w:szCs w:val="24"/>
        </w:rPr>
      </w:pPr>
    </w:p>
    <w:p w:rsidR="00DB58CD" w:rsidRPr="000F75E9" w:rsidP="00A4524F" w14:paraId="7E30883A" w14:textId="77777777">
      <w:pPr>
        <w:ind w:left="180"/>
        <w:rPr>
          <w:szCs w:val="24"/>
          <w:u w:val="single"/>
        </w:rPr>
      </w:pPr>
      <w:r w:rsidRPr="000F75E9">
        <w:rPr>
          <w:szCs w:val="24"/>
          <w:u w:val="single"/>
        </w:rPr>
        <w:t xml:space="preserve">18.  </w:t>
      </w:r>
      <w:r w:rsidRPr="000F75E9" w:rsidR="00FF63C1">
        <w:rPr>
          <w:szCs w:val="24"/>
          <w:u w:val="single"/>
        </w:rPr>
        <w:t>Exceptions to Certification for Paperwork Reduction Act Submissions</w:t>
      </w:r>
    </w:p>
    <w:p w:rsidR="000F75E9" w:rsidP="00A4524F" w14:paraId="5BC5A09E" w14:textId="77777777">
      <w:pPr>
        <w:ind w:left="180"/>
        <w:rPr>
          <w:szCs w:val="24"/>
        </w:rPr>
      </w:pPr>
    </w:p>
    <w:p w:rsidR="00DB58CD" w:rsidRPr="00453BA2" w:rsidP="00A4524F" w14:paraId="26E724AA" w14:textId="77777777">
      <w:pPr>
        <w:ind w:left="180"/>
        <w:rPr>
          <w:szCs w:val="24"/>
        </w:rPr>
      </w:pPr>
      <w:r w:rsidRPr="00453BA2">
        <w:rPr>
          <w:szCs w:val="24"/>
        </w:rPr>
        <w:t>Ther</w:t>
      </w:r>
      <w:r w:rsidRPr="00453BA2" w:rsidR="00FF63C1">
        <w:rPr>
          <w:szCs w:val="24"/>
        </w:rPr>
        <w:t>e are no exceptions to the certification</w:t>
      </w:r>
      <w:r w:rsidRPr="00453BA2">
        <w:rPr>
          <w:szCs w:val="24"/>
        </w:rPr>
        <w:t>.</w:t>
      </w:r>
    </w:p>
    <w:p w:rsidR="00F253CD" w:rsidRPr="00453BA2" w:rsidP="00A4524F" w14:paraId="0C765086" w14:textId="77777777">
      <w:pPr>
        <w:ind w:left="180"/>
        <w:rPr>
          <w:szCs w:val="24"/>
        </w:rPr>
      </w:pPr>
    </w:p>
    <w:sectPr w:rsidSect="00A4524F">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1CBC" w14:paraId="7900D4B6" w14:textId="77777777">
    <w:pPr>
      <w:spacing w:line="240" w:lineRule="exact"/>
    </w:pPr>
  </w:p>
  <w:p w:rsidR="00101CBC" w:rsidP="000330F0" w14:paraId="2FED4A78" w14:textId="53E0602C">
    <w:pPr>
      <w:framePr w:w="9361" w:wrap="notBeside" w:vAnchor="text" w:hAnchor="text" w:x="1" w:y="426"/>
      <w:jc w:val="center"/>
    </w:pPr>
    <w:r>
      <w:fldChar w:fldCharType="begin"/>
    </w:r>
    <w:r>
      <w:instrText xml:space="preserve">PAGE </w:instrText>
    </w:r>
    <w:r>
      <w:fldChar w:fldCharType="separate"/>
    </w:r>
    <w:r>
      <w:rPr>
        <w:noProof/>
      </w:rPr>
      <w:t>2</w:t>
    </w:r>
    <w:r>
      <w:fldChar w:fldCharType="end"/>
    </w:r>
  </w:p>
  <w:p w:rsidR="00101CBC" w14:paraId="3D4EBD47"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D76DB3"/>
    <w:multiLevelType w:val="hybridMultilevel"/>
    <w:tmpl w:val="8970F0B0"/>
    <w:lvl w:ilvl="0">
      <w:start w:val="12"/>
      <w:numFmt w:val="decimal"/>
      <w:lvlText w:val="%1."/>
      <w:lvlJc w:val="left"/>
      <w:pPr>
        <w:tabs>
          <w:tab w:val="num" w:pos="420"/>
        </w:tabs>
        <w:ind w:left="420" w:hanging="420"/>
      </w:pPr>
      <w:rPr>
        <w:rFonts w:hint="default"/>
        <w:u w:val="none"/>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11325ADF"/>
    <w:multiLevelType w:val="hybridMultilevel"/>
    <w:tmpl w:val="E4B0E1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76A646A"/>
    <w:multiLevelType w:val="hybridMultilevel"/>
    <w:tmpl w:val="DEB080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3483459"/>
    <w:multiLevelType w:val="hybridMultilevel"/>
    <w:tmpl w:val="DAA0AFB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5E746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99A3F6A"/>
    <w:multiLevelType w:val="hybridMultilevel"/>
    <w:tmpl w:val="1048E15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59605C9"/>
    <w:multiLevelType w:val="hybridMultilevel"/>
    <w:tmpl w:val="2D72E9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FC64B0E"/>
    <w:multiLevelType w:val="hybridMultilevel"/>
    <w:tmpl w:val="265AA0F0"/>
    <w:lvl w:ilvl="0">
      <w:start w:val="1"/>
      <w:numFmt w:val="bullet"/>
      <w:lvlText w:val=""/>
      <w:lvlJc w:val="left"/>
      <w:pPr>
        <w:tabs>
          <w:tab w:val="num" w:pos="360"/>
        </w:tabs>
        <w:ind w:left="360" w:hanging="360"/>
      </w:pPr>
      <w:rPr>
        <w:rFonts w:ascii="Symbol" w:hAnsi="Symbol" w:hint="default"/>
        <w:effect w:val="none"/>
      </w:rPr>
    </w:lvl>
    <w:lvl w:ilvl="1" w:tentative="1">
      <w:start w:val="1"/>
      <w:numFmt w:val="bullet"/>
      <w:lvlText w:val="o"/>
      <w:lvlJc w:val="left"/>
      <w:pPr>
        <w:tabs>
          <w:tab w:val="num" w:pos="720"/>
        </w:tabs>
        <w:ind w:left="720" w:hanging="360"/>
      </w:pPr>
      <w:rPr>
        <w:rFonts w:ascii="Courier New" w:hAnsi="Courier New" w:cs="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8">
    <w:nsid w:val="4A601860"/>
    <w:multiLevelType w:val="hybridMultilevel"/>
    <w:tmpl w:val="7BD631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AF562BF"/>
    <w:multiLevelType w:val="hybridMultilevel"/>
    <w:tmpl w:val="02A6EECE"/>
    <w:lvl w:ilvl="0">
      <w:start w:val="1"/>
      <w:numFmt w:val="bullet"/>
      <w:lvlText w:val=""/>
      <w:lvlJc w:val="left"/>
      <w:pPr>
        <w:tabs>
          <w:tab w:val="num" w:pos="720"/>
        </w:tabs>
        <w:ind w:left="648" w:hanging="648"/>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4B8445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88D5B68"/>
    <w:multiLevelType w:val="hybridMultilevel"/>
    <w:tmpl w:val="E09C7EF4"/>
    <w:lvl w:ilvl="0">
      <w:start w:val="12"/>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nsid w:val="5AFB199F"/>
    <w:multiLevelType w:val="hybridMultilevel"/>
    <w:tmpl w:val="1A02304A"/>
    <w:lvl w:ilvl="0">
      <w:start w:val="1"/>
      <w:numFmt w:val="bullet"/>
      <w:lvlText w:val=""/>
      <w:lvlJc w:val="left"/>
      <w:pPr>
        <w:tabs>
          <w:tab w:val="num" w:pos="432"/>
        </w:tabs>
        <w:ind w:left="432" w:hanging="432"/>
      </w:pPr>
      <w:rPr>
        <w:rFonts w:ascii="Symbol" w:hAnsi="Symbol" w:hint="default"/>
        <w:color w:val="000000"/>
        <w:sz w:val="16"/>
        <w:szCs w:val="16"/>
      </w:rPr>
    </w:lvl>
    <w:lvl w:ilvl="1" w:tentative="1">
      <w:start w:val="1"/>
      <w:numFmt w:val="bullet"/>
      <w:lvlText w:val="o"/>
      <w:lvlJc w:val="left"/>
      <w:pPr>
        <w:tabs>
          <w:tab w:val="num" w:pos="-360"/>
        </w:tabs>
        <w:ind w:left="-360" w:hanging="360"/>
      </w:pPr>
      <w:rPr>
        <w:rFonts w:ascii="Courier New" w:hAnsi="Courier New" w:cs="Courier New" w:hint="default"/>
      </w:rPr>
    </w:lvl>
    <w:lvl w:ilvl="2" w:tentative="1">
      <w:start w:val="1"/>
      <w:numFmt w:val="bullet"/>
      <w:lvlText w:val=""/>
      <w:lvlJc w:val="left"/>
      <w:pPr>
        <w:tabs>
          <w:tab w:val="num" w:pos="360"/>
        </w:tabs>
        <w:ind w:left="360" w:hanging="360"/>
      </w:pPr>
      <w:rPr>
        <w:rFonts w:ascii="Wingdings" w:hAnsi="Wingdings" w:hint="default"/>
      </w:rPr>
    </w:lvl>
    <w:lvl w:ilvl="3" w:tentative="1">
      <w:start w:val="1"/>
      <w:numFmt w:val="bullet"/>
      <w:lvlText w:val=""/>
      <w:lvlJc w:val="left"/>
      <w:pPr>
        <w:tabs>
          <w:tab w:val="num" w:pos="1080"/>
        </w:tabs>
        <w:ind w:left="1080" w:hanging="360"/>
      </w:pPr>
      <w:rPr>
        <w:rFonts w:ascii="Symbol" w:hAnsi="Symbol" w:hint="default"/>
      </w:rPr>
    </w:lvl>
    <w:lvl w:ilvl="4" w:tentative="1">
      <w:start w:val="1"/>
      <w:numFmt w:val="bullet"/>
      <w:lvlText w:val="o"/>
      <w:lvlJc w:val="left"/>
      <w:pPr>
        <w:tabs>
          <w:tab w:val="num" w:pos="1800"/>
        </w:tabs>
        <w:ind w:left="1800" w:hanging="360"/>
      </w:pPr>
      <w:rPr>
        <w:rFonts w:ascii="Courier New" w:hAnsi="Courier New" w:cs="Courier New" w:hint="default"/>
      </w:rPr>
    </w:lvl>
    <w:lvl w:ilvl="5" w:tentative="1">
      <w:start w:val="1"/>
      <w:numFmt w:val="bullet"/>
      <w:lvlText w:val=""/>
      <w:lvlJc w:val="left"/>
      <w:pPr>
        <w:tabs>
          <w:tab w:val="num" w:pos="2520"/>
        </w:tabs>
        <w:ind w:left="2520" w:hanging="360"/>
      </w:pPr>
      <w:rPr>
        <w:rFonts w:ascii="Wingdings" w:hAnsi="Wingdings" w:hint="default"/>
      </w:rPr>
    </w:lvl>
    <w:lvl w:ilvl="6" w:tentative="1">
      <w:start w:val="1"/>
      <w:numFmt w:val="bullet"/>
      <w:lvlText w:val=""/>
      <w:lvlJc w:val="left"/>
      <w:pPr>
        <w:tabs>
          <w:tab w:val="num" w:pos="3240"/>
        </w:tabs>
        <w:ind w:left="3240" w:hanging="360"/>
      </w:pPr>
      <w:rPr>
        <w:rFonts w:ascii="Symbol" w:hAnsi="Symbol" w:hint="default"/>
      </w:rPr>
    </w:lvl>
    <w:lvl w:ilvl="7" w:tentative="1">
      <w:start w:val="1"/>
      <w:numFmt w:val="bullet"/>
      <w:lvlText w:val="o"/>
      <w:lvlJc w:val="left"/>
      <w:pPr>
        <w:tabs>
          <w:tab w:val="num" w:pos="3960"/>
        </w:tabs>
        <w:ind w:left="3960" w:hanging="360"/>
      </w:pPr>
      <w:rPr>
        <w:rFonts w:ascii="Courier New" w:hAnsi="Courier New" w:cs="Courier New" w:hint="default"/>
      </w:rPr>
    </w:lvl>
    <w:lvl w:ilvl="8" w:tentative="1">
      <w:start w:val="1"/>
      <w:numFmt w:val="bullet"/>
      <w:lvlText w:val=""/>
      <w:lvlJc w:val="left"/>
      <w:pPr>
        <w:tabs>
          <w:tab w:val="num" w:pos="4680"/>
        </w:tabs>
        <w:ind w:left="4680" w:hanging="360"/>
      </w:pPr>
      <w:rPr>
        <w:rFonts w:ascii="Wingdings" w:hAnsi="Wingdings" w:hint="default"/>
      </w:rPr>
    </w:lvl>
  </w:abstractNum>
  <w:abstractNum w:abstractNumId="13">
    <w:nsid w:val="6E59288E"/>
    <w:multiLevelType w:val="hybridMultilevel"/>
    <w:tmpl w:val="F3E89AFE"/>
    <w:lvl w:ilvl="0">
      <w:start w:val="1"/>
      <w:numFmt w:val="bullet"/>
      <w:lvlText w:val=""/>
      <w:lvlJc w:val="left"/>
      <w:pPr>
        <w:tabs>
          <w:tab w:val="num" w:pos="432"/>
        </w:tabs>
        <w:ind w:left="432" w:hanging="432"/>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nsid w:val="75285E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B937CC2"/>
    <w:multiLevelType w:val="hybridMultilevel"/>
    <w:tmpl w:val="809EA550"/>
    <w:lvl w:ilvl="0">
      <w:start w:val="1"/>
      <w:numFmt w:val="bullet"/>
      <w:lvlText w:val=""/>
      <w:lvlJc w:val="left"/>
      <w:pPr>
        <w:tabs>
          <w:tab w:val="num" w:pos="792"/>
        </w:tabs>
        <w:ind w:left="792" w:hanging="432"/>
      </w:pPr>
      <w:rPr>
        <w:rFonts w:ascii="Symbol" w:hAnsi="Symbol" w:hint="default"/>
      </w:rPr>
    </w:lvl>
    <w:lvl w:ilvl="1">
      <w:start w:val="1"/>
      <w:numFmt w:val="bullet"/>
      <w:lvlText w:val=""/>
      <w:lvlJc w:val="left"/>
      <w:pPr>
        <w:tabs>
          <w:tab w:val="num" w:pos="1440"/>
        </w:tabs>
        <w:ind w:left="1440" w:hanging="360"/>
      </w:pPr>
      <w:rPr>
        <w:rFonts w:ascii="Symbol" w:hAnsi="Symbol" w:hint="default"/>
        <w:effect w:val="no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214728576">
    <w:abstractNumId w:val="4"/>
  </w:num>
  <w:num w:numId="2" w16cid:durableId="1113014815">
    <w:abstractNumId w:val="10"/>
  </w:num>
  <w:num w:numId="3" w16cid:durableId="403842097">
    <w:abstractNumId w:val="14"/>
  </w:num>
  <w:num w:numId="4" w16cid:durableId="1072315658">
    <w:abstractNumId w:val="0"/>
  </w:num>
  <w:num w:numId="5" w16cid:durableId="1017928517">
    <w:abstractNumId w:val="7"/>
  </w:num>
  <w:num w:numId="6" w16cid:durableId="1273393048">
    <w:abstractNumId w:val="13"/>
  </w:num>
  <w:num w:numId="7" w16cid:durableId="1058668704">
    <w:abstractNumId w:val="9"/>
  </w:num>
  <w:num w:numId="8" w16cid:durableId="567884114">
    <w:abstractNumId w:val="12"/>
  </w:num>
  <w:num w:numId="9" w16cid:durableId="664935373">
    <w:abstractNumId w:val="15"/>
  </w:num>
  <w:num w:numId="10" w16cid:durableId="1510095393">
    <w:abstractNumId w:val="11"/>
  </w:num>
  <w:num w:numId="11" w16cid:durableId="965308101">
    <w:abstractNumId w:val="6"/>
  </w:num>
  <w:num w:numId="12" w16cid:durableId="2031686642">
    <w:abstractNumId w:val="8"/>
  </w:num>
  <w:num w:numId="13" w16cid:durableId="1914778089">
    <w:abstractNumId w:val="3"/>
  </w:num>
  <w:num w:numId="14" w16cid:durableId="1554384197">
    <w:abstractNumId w:val="2"/>
  </w:num>
  <w:num w:numId="15" w16cid:durableId="1406537834">
    <w:abstractNumId w:val="1"/>
  </w:num>
  <w:num w:numId="16" w16cid:durableId="12326235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77F"/>
    <w:rsid w:val="000049EE"/>
    <w:rsid w:val="00004E89"/>
    <w:rsid w:val="00010B7D"/>
    <w:rsid w:val="0001117E"/>
    <w:rsid w:val="00011CCE"/>
    <w:rsid w:val="00014970"/>
    <w:rsid w:val="00015C00"/>
    <w:rsid w:val="0002375A"/>
    <w:rsid w:val="00023822"/>
    <w:rsid w:val="00024294"/>
    <w:rsid w:val="000268D3"/>
    <w:rsid w:val="00026A4B"/>
    <w:rsid w:val="00026B5D"/>
    <w:rsid w:val="00026CC4"/>
    <w:rsid w:val="000306FB"/>
    <w:rsid w:val="000330F0"/>
    <w:rsid w:val="00033142"/>
    <w:rsid w:val="00034958"/>
    <w:rsid w:val="00034C8E"/>
    <w:rsid w:val="000361A3"/>
    <w:rsid w:val="00037BA8"/>
    <w:rsid w:val="00040BFC"/>
    <w:rsid w:val="00041A7D"/>
    <w:rsid w:val="000434A4"/>
    <w:rsid w:val="0004701B"/>
    <w:rsid w:val="000566A4"/>
    <w:rsid w:val="00056F91"/>
    <w:rsid w:val="000603C9"/>
    <w:rsid w:val="00067D3A"/>
    <w:rsid w:val="00070B00"/>
    <w:rsid w:val="00071753"/>
    <w:rsid w:val="000729C9"/>
    <w:rsid w:val="00073303"/>
    <w:rsid w:val="0007621A"/>
    <w:rsid w:val="0007744C"/>
    <w:rsid w:val="0008040C"/>
    <w:rsid w:val="00080AA1"/>
    <w:rsid w:val="00082A23"/>
    <w:rsid w:val="000843CE"/>
    <w:rsid w:val="00084781"/>
    <w:rsid w:val="0008657E"/>
    <w:rsid w:val="00092B32"/>
    <w:rsid w:val="0009535F"/>
    <w:rsid w:val="000953FA"/>
    <w:rsid w:val="00095AF8"/>
    <w:rsid w:val="0009760C"/>
    <w:rsid w:val="000A246B"/>
    <w:rsid w:val="000A24B9"/>
    <w:rsid w:val="000A4787"/>
    <w:rsid w:val="000A4DEA"/>
    <w:rsid w:val="000A5BE5"/>
    <w:rsid w:val="000B1A05"/>
    <w:rsid w:val="000B3A48"/>
    <w:rsid w:val="000C01BA"/>
    <w:rsid w:val="000C07D7"/>
    <w:rsid w:val="000C2894"/>
    <w:rsid w:val="000C6D8B"/>
    <w:rsid w:val="000C7590"/>
    <w:rsid w:val="000C784C"/>
    <w:rsid w:val="000D33C5"/>
    <w:rsid w:val="000D4128"/>
    <w:rsid w:val="000E181B"/>
    <w:rsid w:val="000E27DC"/>
    <w:rsid w:val="000E7B0A"/>
    <w:rsid w:val="000F23C9"/>
    <w:rsid w:val="000F28A6"/>
    <w:rsid w:val="000F5C83"/>
    <w:rsid w:val="000F75E9"/>
    <w:rsid w:val="0010069F"/>
    <w:rsid w:val="00101CBC"/>
    <w:rsid w:val="00105DA4"/>
    <w:rsid w:val="001110FA"/>
    <w:rsid w:val="00112E8C"/>
    <w:rsid w:val="00114544"/>
    <w:rsid w:val="0011631C"/>
    <w:rsid w:val="00116982"/>
    <w:rsid w:val="001173A0"/>
    <w:rsid w:val="001173B4"/>
    <w:rsid w:val="00123717"/>
    <w:rsid w:val="0013076D"/>
    <w:rsid w:val="00132388"/>
    <w:rsid w:val="001337E7"/>
    <w:rsid w:val="001354E5"/>
    <w:rsid w:val="00143761"/>
    <w:rsid w:val="00143852"/>
    <w:rsid w:val="001450C8"/>
    <w:rsid w:val="00145B9F"/>
    <w:rsid w:val="00147203"/>
    <w:rsid w:val="001502BE"/>
    <w:rsid w:val="001509A9"/>
    <w:rsid w:val="001519F2"/>
    <w:rsid w:val="0015315C"/>
    <w:rsid w:val="0015451F"/>
    <w:rsid w:val="00155266"/>
    <w:rsid w:val="0015546D"/>
    <w:rsid w:val="00156CD7"/>
    <w:rsid w:val="00173C7C"/>
    <w:rsid w:val="00175BE4"/>
    <w:rsid w:val="001802B3"/>
    <w:rsid w:val="00181A50"/>
    <w:rsid w:val="00182113"/>
    <w:rsid w:val="001832FB"/>
    <w:rsid w:val="00184BD4"/>
    <w:rsid w:val="00184C09"/>
    <w:rsid w:val="00186010"/>
    <w:rsid w:val="001861F7"/>
    <w:rsid w:val="0019069C"/>
    <w:rsid w:val="00193CBC"/>
    <w:rsid w:val="00194C9D"/>
    <w:rsid w:val="0019746C"/>
    <w:rsid w:val="001976A2"/>
    <w:rsid w:val="001A603C"/>
    <w:rsid w:val="001A66FD"/>
    <w:rsid w:val="001B32A5"/>
    <w:rsid w:val="001B59DA"/>
    <w:rsid w:val="001B6831"/>
    <w:rsid w:val="001B7803"/>
    <w:rsid w:val="001C5070"/>
    <w:rsid w:val="001D1D10"/>
    <w:rsid w:val="001D29A1"/>
    <w:rsid w:val="001D383E"/>
    <w:rsid w:val="001D5E9E"/>
    <w:rsid w:val="001D6546"/>
    <w:rsid w:val="001D7740"/>
    <w:rsid w:val="001D7B1D"/>
    <w:rsid w:val="001E0238"/>
    <w:rsid w:val="001E75BC"/>
    <w:rsid w:val="001E7975"/>
    <w:rsid w:val="001F1593"/>
    <w:rsid w:val="001F16A6"/>
    <w:rsid w:val="001F305B"/>
    <w:rsid w:val="001F365E"/>
    <w:rsid w:val="001F5C66"/>
    <w:rsid w:val="001F690F"/>
    <w:rsid w:val="00206EDA"/>
    <w:rsid w:val="00207344"/>
    <w:rsid w:val="00210380"/>
    <w:rsid w:val="002112E5"/>
    <w:rsid w:val="00212B57"/>
    <w:rsid w:val="002138AC"/>
    <w:rsid w:val="00213FF4"/>
    <w:rsid w:val="0021418A"/>
    <w:rsid w:val="002164C7"/>
    <w:rsid w:val="00222784"/>
    <w:rsid w:val="002231DF"/>
    <w:rsid w:val="00232DD5"/>
    <w:rsid w:val="002335C6"/>
    <w:rsid w:val="00235929"/>
    <w:rsid w:val="00242C66"/>
    <w:rsid w:val="002438CE"/>
    <w:rsid w:val="00244233"/>
    <w:rsid w:val="00245B6D"/>
    <w:rsid w:val="00251518"/>
    <w:rsid w:val="00252DE5"/>
    <w:rsid w:val="00257E09"/>
    <w:rsid w:val="00261E11"/>
    <w:rsid w:val="00271F85"/>
    <w:rsid w:val="002778BA"/>
    <w:rsid w:val="00280E8C"/>
    <w:rsid w:val="00284956"/>
    <w:rsid w:val="00286E3F"/>
    <w:rsid w:val="0028710A"/>
    <w:rsid w:val="00295B43"/>
    <w:rsid w:val="00295DDE"/>
    <w:rsid w:val="00297914"/>
    <w:rsid w:val="002A6E55"/>
    <w:rsid w:val="002B0F47"/>
    <w:rsid w:val="002B1281"/>
    <w:rsid w:val="002B17AD"/>
    <w:rsid w:val="002C3C21"/>
    <w:rsid w:val="002C7702"/>
    <w:rsid w:val="002D4735"/>
    <w:rsid w:val="002D57E6"/>
    <w:rsid w:val="002D5800"/>
    <w:rsid w:val="002E24F9"/>
    <w:rsid w:val="002E68AA"/>
    <w:rsid w:val="002F3DAF"/>
    <w:rsid w:val="002F47AF"/>
    <w:rsid w:val="00300ED0"/>
    <w:rsid w:val="00301251"/>
    <w:rsid w:val="00302FD4"/>
    <w:rsid w:val="003030E8"/>
    <w:rsid w:val="0030330A"/>
    <w:rsid w:val="00304546"/>
    <w:rsid w:val="003069A0"/>
    <w:rsid w:val="0031069A"/>
    <w:rsid w:val="00313739"/>
    <w:rsid w:val="003137B5"/>
    <w:rsid w:val="003151ED"/>
    <w:rsid w:val="0031536B"/>
    <w:rsid w:val="003153C0"/>
    <w:rsid w:val="00317424"/>
    <w:rsid w:val="003222E2"/>
    <w:rsid w:val="00324E1B"/>
    <w:rsid w:val="00327087"/>
    <w:rsid w:val="00331B89"/>
    <w:rsid w:val="00344832"/>
    <w:rsid w:val="003461FD"/>
    <w:rsid w:val="00350886"/>
    <w:rsid w:val="00350C41"/>
    <w:rsid w:val="00350E50"/>
    <w:rsid w:val="00351D2E"/>
    <w:rsid w:val="00352612"/>
    <w:rsid w:val="00353875"/>
    <w:rsid w:val="00355B24"/>
    <w:rsid w:val="00355E78"/>
    <w:rsid w:val="00361C81"/>
    <w:rsid w:val="003678B2"/>
    <w:rsid w:val="00372AFC"/>
    <w:rsid w:val="00373BBE"/>
    <w:rsid w:val="00374E14"/>
    <w:rsid w:val="00375173"/>
    <w:rsid w:val="0037689A"/>
    <w:rsid w:val="00377FD1"/>
    <w:rsid w:val="00381848"/>
    <w:rsid w:val="00383E93"/>
    <w:rsid w:val="00390645"/>
    <w:rsid w:val="00390AE4"/>
    <w:rsid w:val="0039162B"/>
    <w:rsid w:val="00394FEE"/>
    <w:rsid w:val="003961AC"/>
    <w:rsid w:val="003974BE"/>
    <w:rsid w:val="003A1662"/>
    <w:rsid w:val="003A1FB0"/>
    <w:rsid w:val="003A2462"/>
    <w:rsid w:val="003A50CF"/>
    <w:rsid w:val="003B0EDB"/>
    <w:rsid w:val="003B39D6"/>
    <w:rsid w:val="003B4ED7"/>
    <w:rsid w:val="003C1559"/>
    <w:rsid w:val="003C3C46"/>
    <w:rsid w:val="003D0C12"/>
    <w:rsid w:val="003D155D"/>
    <w:rsid w:val="003D198B"/>
    <w:rsid w:val="003D1BD0"/>
    <w:rsid w:val="003D3C79"/>
    <w:rsid w:val="003D53E5"/>
    <w:rsid w:val="003D5F1D"/>
    <w:rsid w:val="003E1B8E"/>
    <w:rsid w:val="003E228C"/>
    <w:rsid w:val="003E2C1A"/>
    <w:rsid w:val="003E4412"/>
    <w:rsid w:val="003E6B91"/>
    <w:rsid w:val="003E706C"/>
    <w:rsid w:val="003E7549"/>
    <w:rsid w:val="003E758B"/>
    <w:rsid w:val="003F1A16"/>
    <w:rsid w:val="003F23E5"/>
    <w:rsid w:val="003F24E6"/>
    <w:rsid w:val="003F5202"/>
    <w:rsid w:val="003F755D"/>
    <w:rsid w:val="003F7699"/>
    <w:rsid w:val="003F794E"/>
    <w:rsid w:val="004004AF"/>
    <w:rsid w:val="0040338D"/>
    <w:rsid w:val="00404897"/>
    <w:rsid w:val="0040528C"/>
    <w:rsid w:val="004100C2"/>
    <w:rsid w:val="00410607"/>
    <w:rsid w:val="004213BE"/>
    <w:rsid w:val="00421D4B"/>
    <w:rsid w:val="00421F10"/>
    <w:rsid w:val="0042595B"/>
    <w:rsid w:val="00426A94"/>
    <w:rsid w:val="0042712D"/>
    <w:rsid w:val="004302AA"/>
    <w:rsid w:val="00430A37"/>
    <w:rsid w:val="00432E09"/>
    <w:rsid w:val="00435237"/>
    <w:rsid w:val="004367F2"/>
    <w:rsid w:val="0043758E"/>
    <w:rsid w:val="00441E5B"/>
    <w:rsid w:val="004521DF"/>
    <w:rsid w:val="00453BA2"/>
    <w:rsid w:val="00456A56"/>
    <w:rsid w:val="00461609"/>
    <w:rsid w:val="004621D3"/>
    <w:rsid w:val="0047751B"/>
    <w:rsid w:val="0048018A"/>
    <w:rsid w:val="004805BD"/>
    <w:rsid w:val="00481546"/>
    <w:rsid w:val="00483162"/>
    <w:rsid w:val="004868AB"/>
    <w:rsid w:val="00491C0B"/>
    <w:rsid w:val="00491F16"/>
    <w:rsid w:val="0049294D"/>
    <w:rsid w:val="00493AC2"/>
    <w:rsid w:val="00494E0B"/>
    <w:rsid w:val="004A294E"/>
    <w:rsid w:val="004A352F"/>
    <w:rsid w:val="004A75B7"/>
    <w:rsid w:val="004B0325"/>
    <w:rsid w:val="004B065C"/>
    <w:rsid w:val="004B123E"/>
    <w:rsid w:val="004B26B2"/>
    <w:rsid w:val="004C2554"/>
    <w:rsid w:val="004C6F4C"/>
    <w:rsid w:val="004C73AC"/>
    <w:rsid w:val="004C7738"/>
    <w:rsid w:val="004D0980"/>
    <w:rsid w:val="004D0B22"/>
    <w:rsid w:val="004D0E22"/>
    <w:rsid w:val="004D1EC7"/>
    <w:rsid w:val="004D21F7"/>
    <w:rsid w:val="004D595D"/>
    <w:rsid w:val="004D6383"/>
    <w:rsid w:val="004D7A86"/>
    <w:rsid w:val="004E10EF"/>
    <w:rsid w:val="004E3B24"/>
    <w:rsid w:val="004E3C46"/>
    <w:rsid w:val="004E66C9"/>
    <w:rsid w:val="004E72EC"/>
    <w:rsid w:val="004F1188"/>
    <w:rsid w:val="004F1CD2"/>
    <w:rsid w:val="004F281E"/>
    <w:rsid w:val="004F28DC"/>
    <w:rsid w:val="004F5C79"/>
    <w:rsid w:val="004F69FF"/>
    <w:rsid w:val="004F750E"/>
    <w:rsid w:val="004F7F34"/>
    <w:rsid w:val="00502F77"/>
    <w:rsid w:val="00503CFA"/>
    <w:rsid w:val="00503F16"/>
    <w:rsid w:val="00506585"/>
    <w:rsid w:val="005073C8"/>
    <w:rsid w:val="0051264E"/>
    <w:rsid w:val="00514A28"/>
    <w:rsid w:val="00514A94"/>
    <w:rsid w:val="00515CDD"/>
    <w:rsid w:val="0051674C"/>
    <w:rsid w:val="00524320"/>
    <w:rsid w:val="00525292"/>
    <w:rsid w:val="00525873"/>
    <w:rsid w:val="0052681E"/>
    <w:rsid w:val="005336D2"/>
    <w:rsid w:val="005356E7"/>
    <w:rsid w:val="00535972"/>
    <w:rsid w:val="005360F6"/>
    <w:rsid w:val="00536447"/>
    <w:rsid w:val="005365BD"/>
    <w:rsid w:val="00546688"/>
    <w:rsid w:val="00551440"/>
    <w:rsid w:val="00554B0B"/>
    <w:rsid w:val="00557603"/>
    <w:rsid w:val="005661D6"/>
    <w:rsid w:val="0056683F"/>
    <w:rsid w:val="00571F9B"/>
    <w:rsid w:val="005724BF"/>
    <w:rsid w:val="00574522"/>
    <w:rsid w:val="0057798A"/>
    <w:rsid w:val="00580CB7"/>
    <w:rsid w:val="00581F70"/>
    <w:rsid w:val="00581FB9"/>
    <w:rsid w:val="00584B90"/>
    <w:rsid w:val="00585723"/>
    <w:rsid w:val="0058657F"/>
    <w:rsid w:val="005868D2"/>
    <w:rsid w:val="005935CD"/>
    <w:rsid w:val="00593DF8"/>
    <w:rsid w:val="00593EBB"/>
    <w:rsid w:val="005957AA"/>
    <w:rsid w:val="0059672B"/>
    <w:rsid w:val="00597808"/>
    <w:rsid w:val="00597C83"/>
    <w:rsid w:val="005A36AE"/>
    <w:rsid w:val="005A62F5"/>
    <w:rsid w:val="005B06D5"/>
    <w:rsid w:val="005B089A"/>
    <w:rsid w:val="005B12C6"/>
    <w:rsid w:val="005B3F2E"/>
    <w:rsid w:val="005B5483"/>
    <w:rsid w:val="005C55D4"/>
    <w:rsid w:val="005C7F2F"/>
    <w:rsid w:val="005D0A2C"/>
    <w:rsid w:val="005D2A84"/>
    <w:rsid w:val="005D2FB3"/>
    <w:rsid w:val="005D38AF"/>
    <w:rsid w:val="005D4A2A"/>
    <w:rsid w:val="005D7A58"/>
    <w:rsid w:val="005E1474"/>
    <w:rsid w:val="005E1A92"/>
    <w:rsid w:val="005E316A"/>
    <w:rsid w:val="005E322F"/>
    <w:rsid w:val="005E6C79"/>
    <w:rsid w:val="005F3D0C"/>
    <w:rsid w:val="005F4685"/>
    <w:rsid w:val="005F47CB"/>
    <w:rsid w:val="005F5AFE"/>
    <w:rsid w:val="005F71E4"/>
    <w:rsid w:val="005F7605"/>
    <w:rsid w:val="006000D8"/>
    <w:rsid w:val="006033A7"/>
    <w:rsid w:val="00605CA9"/>
    <w:rsid w:val="00610338"/>
    <w:rsid w:val="00611B85"/>
    <w:rsid w:val="00614FCD"/>
    <w:rsid w:val="00616B98"/>
    <w:rsid w:val="0061789A"/>
    <w:rsid w:val="006219F4"/>
    <w:rsid w:val="0062324A"/>
    <w:rsid w:val="0062583F"/>
    <w:rsid w:val="00626A34"/>
    <w:rsid w:val="00627060"/>
    <w:rsid w:val="0063126B"/>
    <w:rsid w:val="0063705E"/>
    <w:rsid w:val="0064200A"/>
    <w:rsid w:val="00643D94"/>
    <w:rsid w:val="00646C9E"/>
    <w:rsid w:val="0064723A"/>
    <w:rsid w:val="00650BD7"/>
    <w:rsid w:val="00651320"/>
    <w:rsid w:val="006520B3"/>
    <w:rsid w:val="00656C49"/>
    <w:rsid w:val="00657B4D"/>
    <w:rsid w:val="0066292F"/>
    <w:rsid w:val="00665D9E"/>
    <w:rsid w:val="00667B88"/>
    <w:rsid w:val="00667E7E"/>
    <w:rsid w:val="006717DA"/>
    <w:rsid w:val="00671FDE"/>
    <w:rsid w:val="00672F07"/>
    <w:rsid w:val="00673414"/>
    <w:rsid w:val="00675087"/>
    <w:rsid w:val="00676A08"/>
    <w:rsid w:val="006771AC"/>
    <w:rsid w:val="0068008D"/>
    <w:rsid w:val="00683262"/>
    <w:rsid w:val="00683A1C"/>
    <w:rsid w:val="0068431F"/>
    <w:rsid w:val="006938A2"/>
    <w:rsid w:val="006938FA"/>
    <w:rsid w:val="00694D05"/>
    <w:rsid w:val="006A08EA"/>
    <w:rsid w:val="006A6D8E"/>
    <w:rsid w:val="006B1824"/>
    <w:rsid w:val="006B5291"/>
    <w:rsid w:val="006B6085"/>
    <w:rsid w:val="006B67ED"/>
    <w:rsid w:val="006C0ACB"/>
    <w:rsid w:val="006C11D7"/>
    <w:rsid w:val="006C3776"/>
    <w:rsid w:val="006C3FFE"/>
    <w:rsid w:val="006C498B"/>
    <w:rsid w:val="006C4D90"/>
    <w:rsid w:val="006D1CEE"/>
    <w:rsid w:val="006D2013"/>
    <w:rsid w:val="006D4584"/>
    <w:rsid w:val="006D4605"/>
    <w:rsid w:val="006D4AE9"/>
    <w:rsid w:val="006D50F1"/>
    <w:rsid w:val="006D594D"/>
    <w:rsid w:val="006D7EC2"/>
    <w:rsid w:val="006E1A50"/>
    <w:rsid w:val="006E53F1"/>
    <w:rsid w:val="006E5B4A"/>
    <w:rsid w:val="006E5BF5"/>
    <w:rsid w:val="006F1FDB"/>
    <w:rsid w:val="006F7CA9"/>
    <w:rsid w:val="00702573"/>
    <w:rsid w:val="00705745"/>
    <w:rsid w:val="0070596B"/>
    <w:rsid w:val="00706B03"/>
    <w:rsid w:val="007115D3"/>
    <w:rsid w:val="00711BA4"/>
    <w:rsid w:val="00712F03"/>
    <w:rsid w:val="00714194"/>
    <w:rsid w:val="00720467"/>
    <w:rsid w:val="00724E1B"/>
    <w:rsid w:val="0072534A"/>
    <w:rsid w:val="00727FA1"/>
    <w:rsid w:val="007329E9"/>
    <w:rsid w:val="0073392A"/>
    <w:rsid w:val="00737C37"/>
    <w:rsid w:val="0074788E"/>
    <w:rsid w:val="00752045"/>
    <w:rsid w:val="0075366F"/>
    <w:rsid w:val="00755B40"/>
    <w:rsid w:val="00757A75"/>
    <w:rsid w:val="0076006B"/>
    <w:rsid w:val="00765283"/>
    <w:rsid w:val="007664B5"/>
    <w:rsid w:val="00767429"/>
    <w:rsid w:val="007733AB"/>
    <w:rsid w:val="0077729D"/>
    <w:rsid w:val="007778AE"/>
    <w:rsid w:val="00780208"/>
    <w:rsid w:val="00781632"/>
    <w:rsid w:val="0078183A"/>
    <w:rsid w:val="007818DD"/>
    <w:rsid w:val="0078408A"/>
    <w:rsid w:val="007862EC"/>
    <w:rsid w:val="00786EA2"/>
    <w:rsid w:val="007924AF"/>
    <w:rsid w:val="007A1E32"/>
    <w:rsid w:val="007A286A"/>
    <w:rsid w:val="007A3FD9"/>
    <w:rsid w:val="007A5762"/>
    <w:rsid w:val="007A59ED"/>
    <w:rsid w:val="007A5D4D"/>
    <w:rsid w:val="007A71EC"/>
    <w:rsid w:val="007B0DA7"/>
    <w:rsid w:val="007B5EC4"/>
    <w:rsid w:val="007C13DF"/>
    <w:rsid w:val="007C2227"/>
    <w:rsid w:val="007D0A0C"/>
    <w:rsid w:val="007E1BCF"/>
    <w:rsid w:val="007E4685"/>
    <w:rsid w:val="007E649D"/>
    <w:rsid w:val="007E66E2"/>
    <w:rsid w:val="007E71B6"/>
    <w:rsid w:val="007E782C"/>
    <w:rsid w:val="007E7DC5"/>
    <w:rsid w:val="007F0449"/>
    <w:rsid w:val="007F1120"/>
    <w:rsid w:val="007F3CEC"/>
    <w:rsid w:val="007F79D0"/>
    <w:rsid w:val="00800813"/>
    <w:rsid w:val="008019C5"/>
    <w:rsid w:val="00801F19"/>
    <w:rsid w:val="00804C9E"/>
    <w:rsid w:val="008064DD"/>
    <w:rsid w:val="0080664B"/>
    <w:rsid w:val="008073BE"/>
    <w:rsid w:val="00815A31"/>
    <w:rsid w:val="00817484"/>
    <w:rsid w:val="00821638"/>
    <w:rsid w:val="00821FD9"/>
    <w:rsid w:val="00823306"/>
    <w:rsid w:val="008332CE"/>
    <w:rsid w:val="00834B94"/>
    <w:rsid w:val="00834D5C"/>
    <w:rsid w:val="00835A8F"/>
    <w:rsid w:val="008371F9"/>
    <w:rsid w:val="00841907"/>
    <w:rsid w:val="00842881"/>
    <w:rsid w:val="00844306"/>
    <w:rsid w:val="00846202"/>
    <w:rsid w:val="00847B51"/>
    <w:rsid w:val="00851028"/>
    <w:rsid w:val="0085199D"/>
    <w:rsid w:val="0085491D"/>
    <w:rsid w:val="00855411"/>
    <w:rsid w:val="008561B1"/>
    <w:rsid w:val="00860C9B"/>
    <w:rsid w:val="008618A2"/>
    <w:rsid w:val="00866156"/>
    <w:rsid w:val="00866D09"/>
    <w:rsid w:val="0086747A"/>
    <w:rsid w:val="00871B6C"/>
    <w:rsid w:val="00871C30"/>
    <w:rsid w:val="00872E75"/>
    <w:rsid w:val="00873773"/>
    <w:rsid w:val="00873C66"/>
    <w:rsid w:val="00873C6D"/>
    <w:rsid w:val="00874D73"/>
    <w:rsid w:val="008750FF"/>
    <w:rsid w:val="00876353"/>
    <w:rsid w:val="0088504E"/>
    <w:rsid w:val="00885DB6"/>
    <w:rsid w:val="00892AA1"/>
    <w:rsid w:val="0089311F"/>
    <w:rsid w:val="008938A1"/>
    <w:rsid w:val="00893979"/>
    <w:rsid w:val="00894275"/>
    <w:rsid w:val="008A128B"/>
    <w:rsid w:val="008A1D1B"/>
    <w:rsid w:val="008A47C1"/>
    <w:rsid w:val="008A5AEA"/>
    <w:rsid w:val="008B6C86"/>
    <w:rsid w:val="008B6CC6"/>
    <w:rsid w:val="008C1241"/>
    <w:rsid w:val="008C2659"/>
    <w:rsid w:val="008C2BAC"/>
    <w:rsid w:val="008C4C2A"/>
    <w:rsid w:val="008C599E"/>
    <w:rsid w:val="008C5DDD"/>
    <w:rsid w:val="008D686A"/>
    <w:rsid w:val="008D7A47"/>
    <w:rsid w:val="008E034F"/>
    <w:rsid w:val="008E320E"/>
    <w:rsid w:val="008E7775"/>
    <w:rsid w:val="008F01CF"/>
    <w:rsid w:val="008F3080"/>
    <w:rsid w:val="008F359E"/>
    <w:rsid w:val="008F391F"/>
    <w:rsid w:val="008F5474"/>
    <w:rsid w:val="008F5E30"/>
    <w:rsid w:val="008F6A71"/>
    <w:rsid w:val="008F6CF2"/>
    <w:rsid w:val="008F71FA"/>
    <w:rsid w:val="00900708"/>
    <w:rsid w:val="00901737"/>
    <w:rsid w:val="00906E08"/>
    <w:rsid w:val="00907232"/>
    <w:rsid w:val="009100D5"/>
    <w:rsid w:val="009127FF"/>
    <w:rsid w:val="00912B0B"/>
    <w:rsid w:val="00912C96"/>
    <w:rsid w:val="009216B6"/>
    <w:rsid w:val="00924018"/>
    <w:rsid w:val="00924782"/>
    <w:rsid w:val="00925C57"/>
    <w:rsid w:val="009301A4"/>
    <w:rsid w:val="00932F7B"/>
    <w:rsid w:val="00935A6B"/>
    <w:rsid w:val="0094106B"/>
    <w:rsid w:val="00941C63"/>
    <w:rsid w:val="009423E5"/>
    <w:rsid w:val="00944423"/>
    <w:rsid w:val="00957E9A"/>
    <w:rsid w:val="00961B76"/>
    <w:rsid w:val="00961F90"/>
    <w:rsid w:val="00962939"/>
    <w:rsid w:val="00963725"/>
    <w:rsid w:val="00963E17"/>
    <w:rsid w:val="00965C5A"/>
    <w:rsid w:val="009678EA"/>
    <w:rsid w:val="00967ED1"/>
    <w:rsid w:val="00971FD3"/>
    <w:rsid w:val="00982C27"/>
    <w:rsid w:val="00982EA2"/>
    <w:rsid w:val="00983C20"/>
    <w:rsid w:val="0099711E"/>
    <w:rsid w:val="00997620"/>
    <w:rsid w:val="009A2F18"/>
    <w:rsid w:val="009A3F6D"/>
    <w:rsid w:val="009A7275"/>
    <w:rsid w:val="009A7E3D"/>
    <w:rsid w:val="009B29B8"/>
    <w:rsid w:val="009B3235"/>
    <w:rsid w:val="009B5F7D"/>
    <w:rsid w:val="009B734D"/>
    <w:rsid w:val="009B770B"/>
    <w:rsid w:val="009B779C"/>
    <w:rsid w:val="009C4E9A"/>
    <w:rsid w:val="009C7AE3"/>
    <w:rsid w:val="009D05FB"/>
    <w:rsid w:val="009D096A"/>
    <w:rsid w:val="009D18C5"/>
    <w:rsid w:val="009E3C5C"/>
    <w:rsid w:val="009E4AF8"/>
    <w:rsid w:val="009F2577"/>
    <w:rsid w:val="009F3782"/>
    <w:rsid w:val="009F696E"/>
    <w:rsid w:val="009F6C1E"/>
    <w:rsid w:val="009F7163"/>
    <w:rsid w:val="009F76CE"/>
    <w:rsid w:val="00A022C8"/>
    <w:rsid w:val="00A02CC3"/>
    <w:rsid w:val="00A050D1"/>
    <w:rsid w:val="00A0677F"/>
    <w:rsid w:val="00A07114"/>
    <w:rsid w:val="00A11AEF"/>
    <w:rsid w:val="00A1460C"/>
    <w:rsid w:val="00A155D0"/>
    <w:rsid w:val="00A164F8"/>
    <w:rsid w:val="00A201D3"/>
    <w:rsid w:val="00A22CAF"/>
    <w:rsid w:val="00A24D19"/>
    <w:rsid w:val="00A26B7D"/>
    <w:rsid w:val="00A30A54"/>
    <w:rsid w:val="00A3212A"/>
    <w:rsid w:val="00A3392E"/>
    <w:rsid w:val="00A403F1"/>
    <w:rsid w:val="00A4096E"/>
    <w:rsid w:val="00A417D2"/>
    <w:rsid w:val="00A423DD"/>
    <w:rsid w:val="00A425D1"/>
    <w:rsid w:val="00A4395C"/>
    <w:rsid w:val="00A439BA"/>
    <w:rsid w:val="00A4516C"/>
    <w:rsid w:val="00A4524F"/>
    <w:rsid w:val="00A47C1F"/>
    <w:rsid w:val="00A51286"/>
    <w:rsid w:val="00A512ED"/>
    <w:rsid w:val="00A55A35"/>
    <w:rsid w:val="00A56AE5"/>
    <w:rsid w:val="00A63B8A"/>
    <w:rsid w:val="00A6520D"/>
    <w:rsid w:val="00A672F6"/>
    <w:rsid w:val="00A755B2"/>
    <w:rsid w:val="00A755E8"/>
    <w:rsid w:val="00A80AB2"/>
    <w:rsid w:val="00A83448"/>
    <w:rsid w:val="00A84DAB"/>
    <w:rsid w:val="00A94913"/>
    <w:rsid w:val="00A952C8"/>
    <w:rsid w:val="00A96398"/>
    <w:rsid w:val="00AA2B94"/>
    <w:rsid w:val="00AA5CE6"/>
    <w:rsid w:val="00AA6AFB"/>
    <w:rsid w:val="00AB107E"/>
    <w:rsid w:val="00AB31A3"/>
    <w:rsid w:val="00AB5456"/>
    <w:rsid w:val="00AB551F"/>
    <w:rsid w:val="00AB72D3"/>
    <w:rsid w:val="00AC02F1"/>
    <w:rsid w:val="00AC2DE4"/>
    <w:rsid w:val="00AC4CF3"/>
    <w:rsid w:val="00AC62FB"/>
    <w:rsid w:val="00AD1461"/>
    <w:rsid w:val="00AD3AF2"/>
    <w:rsid w:val="00AD40BB"/>
    <w:rsid w:val="00AD4B18"/>
    <w:rsid w:val="00AD6793"/>
    <w:rsid w:val="00AD7930"/>
    <w:rsid w:val="00AF100C"/>
    <w:rsid w:val="00AF1B67"/>
    <w:rsid w:val="00AF5396"/>
    <w:rsid w:val="00AF6D4F"/>
    <w:rsid w:val="00B02856"/>
    <w:rsid w:val="00B02C60"/>
    <w:rsid w:val="00B03555"/>
    <w:rsid w:val="00B03C78"/>
    <w:rsid w:val="00B04E4B"/>
    <w:rsid w:val="00B06003"/>
    <w:rsid w:val="00B10700"/>
    <w:rsid w:val="00B12711"/>
    <w:rsid w:val="00B1752A"/>
    <w:rsid w:val="00B31A58"/>
    <w:rsid w:val="00B402D7"/>
    <w:rsid w:val="00B421B4"/>
    <w:rsid w:val="00B46339"/>
    <w:rsid w:val="00B54EC3"/>
    <w:rsid w:val="00B55109"/>
    <w:rsid w:val="00B56D13"/>
    <w:rsid w:val="00B61DA3"/>
    <w:rsid w:val="00B656F2"/>
    <w:rsid w:val="00B6727E"/>
    <w:rsid w:val="00B6731A"/>
    <w:rsid w:val="00B705EB"/>
    <w:rsid w:val="00B74506"/>
    <w:rsid w:val="00B765E9"/>
    <w:rsid w:val="00B76E43"/>
    <w:rsid w:val="00B77A7C"/>
    <w:rsid w:val="00B849BD"/>
    <w:rsid w:val="00B93143"/>
    <w:rsid w:val="00B93405"/>
    <w:rsid w:val="00B94666"/>
    <w:rsid w:val="00BA1D5B"/>
    <w:rsid w:val="00BA1D6F"/>
    <w:rsid w:val="00BA2EC5"/>
    <w:rsid w:val="00BA4D90"/>
    <w:rsid w:val="00BA4E81"/>
    <w:rsid w:val="00BA5B1A"/>
    <w:rsid w:val="00BB13FE"/>
    <w:rsid w:val="00BB3077"/>
    <w:rsid w:val="00BB4D26"/>
    <w:rsid w:val="00BB573F"/>
    <w:rsid w:val="00BB57AE"/>
    <w:rsid w:val="00BC2EA3"/>
    <w:rsid w:val="00BC4FA5"/>
    <w:rsid w:val="00BC563E"/>
    <w:rsid w:val="00BC7565"/>
    <w:rsid w:val="00BD29E2"/>
    <w:rsid w:val="00BD6C5C"/>
    <w:rsid w:val="00BE17F4"/>
    <w:rsid w:val="00BE471B"/>
    <w:rsid w:val="00BE5B7B"/>
    <w:rsid w:val="00BF0EB5"/>
    <w:rsid w:val="00BF56F4"/>
    <w:rsid w:val="00BF66CA"/>
    <w:rsid w:val="00BF674B"/>
    <w:rsid w:val="00BF7C6A"/>
    <w:rsid w:val="00C049AE"/>
    <w:rsid w:val="00C05690"/>
    <w:rsid w:val="00C06135"/>
    <w:rsid w:val="00C100F7"/>
    <w:rsid w:val="00C105ED"/>
    <w:rsid w:val="00C11849"/>
    <w:rsid w:val="00C1196D"/>
    <w:rsid w:val="00C12874"/>
    <w:rsid w:val="00C1531B"/>
    <w:rsid w:val="00C15848"/>
    <w:rsid w:val="00C165E1"/>
    <w:rsid w:val="00C16659"/>
    <w:rsid w:val="00C17C31"/>
    <w:rsid w:val="00C203F2"/>
    <w:rsid w:val="00C20425"/>
    <w:rsid w:val="00C27527"/>
    <w:rsid w:val="00C27DB8"/>
    <w:rsid w:val="00C27E06"/>
    <w:rsid w:val="00C27E5D"/>
    <w:rsid w:val="00C3048C"/>
    <w:rsid w:val="00C3239F"/>
    <w:rsid w:val="00C34114"/>
    <w:rsid w:val="00C35D63"/>
    <w:rsid w:val="00C44B50"/>
    <w:rsid w:val="00C500FF"/>
    <w:rsid w:val="00C515C8"/>
    <w:rsid w:val="00C5439B"/>
    <w:rsid w:val="00C576F3"/>
    <w:rsid w:val="00C61E3A"/>
    <w:rsid w:val="00C634C4"/>
    <w:rsid w:val="00C65237"/>
    <w:rsid w:val="00C76E31"/>
    <w:rsid w:val="00C80FBD"/>
    <w:rsid w:val="00C81DD6"/>
    <w:rsid w:val="00C82CBC"/>
    <w:rsid w:val="00C85258"/>
    <w:rsid w:val="00C873D9"/>
    <w:rsid w:val="00C91D55"/>
    <w:rsid w:val="00C92572"/>
    <w:rsid w:val="00C95A6A"/>
    <w:rsid w:val="00C970FA"/>
    <w:rsid w:val="00C9752B"/>
    <w:rsid w:val="00CA0A4F"/>
    <w:rsid w:val="00CA129B"/>
    <w:rsid w:val="00CA2C15"/>
    <w:rsid w:val="00CA52A2"/>
    <w:rsid w:val="00CA68F2"/>
    <w:rsid w:val="00CB46C1"/>
    <w:rsid w:val="00CB580E"/>
    <w:rsid w:val="00CB7EDC"/>
    <w:rsid w:val="00CC11CA"/>
    <w:rsid w:val="00CC1A7F"/>
    <w:rsid w:val="00CC47B4"/>
    <w:rsid w:val="00CD0C39"/>
    <w:rsid w:val="00CD3164"/>
    <w:rsid w:val="00CD348D"/>
    <w:rsid w:val="00CD59F8"/>
    <w:rsid w:val="00CD657A"/>
    <w:rsid w:val="00CE0C31"/>
    <w:rsid w:val="00CE5F2B"/>
    <w:rsid w:val="00CE7566"/>
    <w:rsid w:val="00CF16AB"/>
    <w:rsid w:val="00CF1C2F"/>
    <w:rsid w:val="00CF4EAB"/>
    <w:rsid w:val="00CF4F15"/>
    <w:rsid w:val="00CF51BC"/>
    <w:rsid w:val="00CF62EF"/>
    <w:rsid w:val="00CF646D"/>
    <w:rsid w:val="00D00F37"/>
    <w:rsid w:val="00D0403B"/>
    <w:rsid w:val="00D108F0"/>
    <w:rsid w:val="00D10A8C"/>
    <w:rsid w:val="00D12861"/>
    <w:rsid w:val="00D149AA"/>
    <w:rsid w:val="00D17008"/>
    <w:rsid w:val="00D20A7F"/>
    <w:rsid w:val="00D20C43"/>
    <w:rsid w:val="00D21890"/>
    <w:rsid w:val="00D25B74"/>
    <w:rsid w:val="00D25FEE"/>
    <w:rsid w:val="00D33610"/>
    <w:rsid w:val="00D37481"/>
    <w:rsid w:val="00D45BE7"/>
    <w:rsid w:val="00D53AA8"/>
    <w:rsid w:val="00D60A58"/>
    <w:rsid w:val="00D60C62"/>
    <w:rsid w:val="00D631E8"/>
    <w:rsid w:val="00D638D4"/>
    <w:rsid w:val="00D66AA6"/>
    <w:rsid w:val="00D7033A"/>
    <w:rsid w:val="00D71AD4"/>
    <w:rsid w:val="00D72DBA"/>
    <w:rsid w:val="00D73D58"/>
    <w:rsid w:val="00D75933"/>
    <w:rsid w:val="00D76754"/>
    <w:rsid w:val="00D811CB"/>
    <w:rsid w:val="00D81D17"/>
    <w:rsid w:val="00D82939"/>
    <w:rsid w:val="00D84966"/>
    <w:rsid w:val="00D84BDA"/>
    <w:rsid w:val="00D850AB"/>
    <w:rsid w:val="00D85DD6"/>
    <w:rsid w:val="00D871CF"/>
    <w:rsid w:val="00D93281"/>
    <w:rsid w:val="00D93299"/>
    <w:rsid w:val="00D94CA1"/>
    <w:rsid w:val="00D95916"/>
    <w:rsid w:val="00DA1AD7"/>
    <w:rsid w:val="00DA2058"/>
    <w:rsid w:val="00DA22A3"/>
    <w:rsid w:val="00DA393D"/>
    <w:rsid w:val="00DA4509"/>
    <w:rsid w:val="00DB14DF"/>
    <w:rsid w:val="00DB1997"/>
    <w:rsid w:val="00DB2D3C"/>
    <w:rsid w:val="00DB5391"/>
    <w:rsid w:val="00DB58CD"/>
    <w:rsid w:val="00DC0D2E"/>
    <w:rsid w:val="00DC1708"/>
    <w:rsid w:val="00DD1628"/>
    <w:rsid w:val="00DD2BBD"/>
    <w:rsid w:val="00DD3DA7"/>
    <w:rsid w:val="00DD51B6"/>
    <w:rsid w:val="00DD55F8"/>
    <w:rsid w:val="00DD7D44"/>
    <w:rsid w:val="00DE135E"/>
    <w:rsid w:val="00DE6D6D"/>
    <w:rsid w:val="00DE70A4"/>
    <w:rsid w:val="00DF032A"/>
    <w:rsid w:val="00DF0D4D"/>
    <w:rsid w:val="00DF1394"/>
    <w:rsid w:val="00DF349F"/>
    <w:rsid w:val="00DF475A"/>
    <w:rsid w:val="00E1208A"/>
    <w:rsid w:val="00E12326"/>
    <w:rsid w:val="00E1698C"/>
    <w:rsid w:val="00E17738"/>
    <w:rsid w:val="00E17CA5"/>
    <w:rsid w:val="00E17D75"/>
    <w:rsid w:val="00E21B3A"/>
    <w:rsid w:val="00E240F9"/>
    <w:rsid w:val="00E245E7"/>
    <w:rsid w:val="00E26EEE"/>
    <w:rsid w:val="00E27E0D"/>
    <w:rsid w:val="00E358DF"/>
    <w:rsid w:val="00E406E8"/>
    <w:rsid w:val="00E42EA0"/>
    <w:rsid w:val="00E442B9"/>
    <w:rsid w:val="00E4758B"/>
    <w:rsid w:val="00E47728"/>
    <w:rsid w:val="00E47E3D"/>
    <w:rsid w:val="00E508A3"/>
    <w:rsid w:val="00E50B0C"/>
    <w:rsid w:val="00E53C3B"/>
    <w:rsid w:val="00E563CA"/>
    <w:rsid w:val="00E577A8"/>
    <w:rsid w:val="00E57866"/>
    <w:rsid w:val="00E61EE7"/>
    <w:rsid w:val="00E64C83"/>
    <w:rsid w:val="00E65A90"/>
    <w:rsid w:val="00E74966"/>
    <w:rsid w:val="00E749D8"/>
    <w:rsid w:val="00E76F39"/>
    <w:rsid w:val="00E77E6C"/>
    <w:rsid w:val="00E810F8"/>
    <w:rsid w:val="00E830D1"/>
    <w:rsid w:val="00E84DC4"/>
    <w:rsid w:val="00E874B8"/>
    <w:rsid w:val="00E902FF"/>
    <w:rsid w:val="00E9123F"/>
    <w:rsid w:val="00E94BDA"/>
    <w:rsid w:val="00E96437"/>
    <w:rsid w:val="00E97528"/>
    <w:rsid w:val="00E97E35"/>
    <w:rsid w:val="00EA353B"/>
    <w:rsid w:val="00EA357B"/>
    <w:rsid w:val="00EA5F02"/>
    <w:rsid w:val="00EA622A"/>
    <w:rsid w:val="00EB0595"/>
    <w:rsid w:val="00EB412D"/>
    <w:rsid w:val="00EB49CB"/>
    <w:rsid w:val="00EB4F04"/>
    <w:rsid w:val="00EC00F2"/>
    <w:rsid w:val="00EC2C16"/>
    <w:rsid w:val="00EC46D3"/>
    <w:rsid w:val="00EC7954"/>
    <w:rsid w:val="00ED054B"/>
    <w:rsid w:val="00ED0BB1"/>
    <w:rsid w:val="00ED182E"/>
    <w:rsid w:val="00ED2269"/>
    <w:rsid w:val="00ED407B"/>
    <w:rsid w:val="00ED52FE"/>
    <w:rsid w:val="00EE07D5"/>
    <w:rsid w:val="00EE1DF8"/>
    <w:rsid w:val="00EE2416"/>
    <w:rsid w:val="00EE3772"/>
    <w:rsid w:val="00EE7633"/>
    <w:rsid w:val="00EF070F"/>
    <w:rsid w:val="00EF0843"/>
    <w:rsid w:val="00EF134F"/>
    <w:rsid w:val="00EF142E"/>
    <w:rsid w:val="00EF2578"/>
    <w:rsid w:val="00EF40DA"/>
    <w:rsid w:val="00EF6DA7"/>
    <w:rsid w:val="00EF7C2E"/>
    <w:rsid w:val="00F03F13"/>
    <w:rsid w:val="00F0527F"/>
    <w:rsid w:val="00F05BB3"/>
    <w:rsid w:val="00F106AD"/>
    <w:rsid w:val="00F12DF7"/>
    <w:rsid w:val="00F1322A"/>
    <w:rsid w:val="00F13CD0"/>
    <w:rsid w:val="00F20923"/>
    <w:rsid w:val="00F20C53"/>
    <w:rsid w:val="00F22A3D"/>
    <w:rsid w:val="00F23D09"/>
    <w:rsid w:val="00F240E7"/>
    <w:rsid w:val="00F253CD"/>
    <w:rsid w:val="00F25B0F"/>
    <w:rsid w:val="00F339CF"/>
    <w:rsid w:val="00F34250"/>
    <w:rsid w:val="00F355D7"/>
    <w:rsid w:val="00F36191"/>
    <w:rsid w:val="00F361AC"/>
    <w:rsid w:val="00F37CDF"/>
    <w:rsid w:val="00F42674"/>
    <w:rsid w:val="00F44C49"/>
    <w:rsid w:val="00F45FC7"/>
    <w:rsid w:val="00F572C7"/>
    <w:rsid w:val="00F65D23"/>
    <w:rsid w:val="00F70CB1"/>
    <w:rsid w:val="00F7556E"/>
    <w:rsid w:val="00F76D53"/>
    <w:rsid w:val="00F81419"/>
    <w:rsid w:val="00F84011"/>
    <w:rsid w:val="00F927C9"/>
    <w:rsid w:val="00F928B1"/>
    <w:rsid w:val="00F951B2"/>
    <w:rsid w:val="00F95A51"/>
    <w:rsid w:val="00F96B3A"/>
    <w:rsid w:val="00FA4145"/>
    <w:rsid w:val="00FA5D43"/>
    <w:rsid w:val="00FB1456"/>
    <w:rsid w:val="00FB22E1"/>
    <w:rsid w:val="00FB2F44"/>
    <w:rsid w:val="00FB51C6"/>
    <w:rsid w:val="00FB7542"/>
    <w:rsid w:val="00FB7B5B"/>
    <w:rsid w:val="00FC224C"/>
    <w:rsid w:val="00FC3D2A"/>
    <w:rsid w:val="00FC53E8"/>
    <w:rsid w:val="00FC7E77"/>
    <w:rsid w:val="00FD26C5"/>
    <w:rsid w:val="00FD4570"/>
    <w:rsid w:val="00FD7FC2"/>
    <w:rsid w:val="00FE045F"/>
    <w:rsid w:val="00FE07C5"/>
    <w:rsid w:val="00FE74D7"/>
    <w:rsid w:val="00FE7BB8"/>
    <w:rsid w:val="00FF1BB5"/>
    <w:rsid w:val="00FF32C7"/>
    <w:rsid w:val="00FF42A2"/>
    <w:rsid w:val="00FF5570"/>
    <w:rsid w:val="00FF5D4F"/>
    <w:rsid w:val="00FF63C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BC75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noteText">
    <w:name w:val="footnote text"/>
    <w:basedOn w:val="Normal"/>
    <w:link w:val="FootnoteTextChar"/>
    <w:rPr>
      <w:rFonts w:ascii="Courier New" w:hAnsi="Courier New"/>
      <w:snapToGrid/>
    </w:rPr>
  </w:style>
  <w:style w:type="character" w:styleId="Hyperlink">
    <w:name w:val="Hyperlink"/>
    <w:rPr>
      <w:color w:val="0000FF"/>
      <w:u w:val="single"/>
    </w:rPr>
  </w:style>
  <w:style w:type="paragraph" w:styleId="Footer">
    <w:name w:val="footer"/>
    <w:basedOn w:val="Normal"/>
    <w:rsid w:val="006F7CA9"/>
    <w:pPr>
      <w:tabs>
        <w:tab w:val="center" w:pos="4320"/>
        <w:tab w:val="right" w:pos="8640"/>
      </w:tabs>
    </w:pPr>
    <w:rPr>
      <w:rFonts w:ascii="Courier" w:hAnsi="Courier"/>
    </w:rPr>
  </w:style>
  <w:style w:type="character" w:styleId="PageNumber">
    <w:name w:val="page number"/>
    <w:basedOn w:val="DefaultParagraphFont"/>
    <w:rsid w:val="006F7CA9"/>
  </w:style>
  <w:style w:type="character" w:styleId="FollowedHyperlink">
    <w:name w:val="FollowedHyperlink"/>
    <w:rsid w:val="00DA2058"/>
    <w:rPr>
      <w:color w:val="800080"/>
      <w:u w:val="single"/>
    </w:rPr>
  </w:style>
  <w:style w:type="paragraph" w:styleId="Header">
    <w:name w:val="header"/>
    <w:basedOn w:val="Normal"/>
    <w:rsid w:val="00EC00F2"/>
    <w:pPr>
      <w:tabs>
        <w:tab w:val="center" w:pos="4320"/>
        <w:tab w:val="right" w:pos="8640"/>
      </w:tabs>
    </w:pPr>
  </w:style>
  <w:style w:type="paragraph" w:styleId="BalloonText">
    <w:name w:val="Balloon Text"/>
    <w:basedOn w:val="Normal"/>
    <w:link w:val="BalloonTextChar"/>
    <w:rsid w:val="00DD55F8"/>
    <w:rPr>
      <w:rFonts w:ascii="Tahoma" w:hAnsi="Tahoma" w:cs="Tahoma"/>
      <w:sz w:val="16"/>
      <w:szCs w:val="16"/>
    </w:rPr>
  </w:style>
  <w:style w:type="character" w:customStyle="1" w:styleId="BalloonTextChar">
    <w:name w:val="Balloon Text Char"/>
    <w:link w:val="BalloonText"/>
    <w:rsid w:val="00DD55F8"/>
    <w:rPr>
      <w:rFonts w:ascii="Tahoma" w:hAnsi="Tahoma" w:cs="Tahoma"/>
      <w:snapToGrid w:val="0"/>
      <w:sz w:val="16"/>
      <w:szCs w:val="16"/>
    </w:rPr>
  </w:style>
  <w:style w:type="character" w:styleId="CommentReference">
    <w:name w:val="annotation reference"/>
    <w:uiPriority w:val="99"/>
    <w:rsid w:val="00DD55F8"/>
    <w:rPr>
      <w:sz w:val="16"/>
      <w:szCs w:val="16"/>
    </w:rPr>
  </w:style>
  <w:style w:type="paragraph" w:styleId="CommentText">
    <w:name w:val="annotation text"/>
    <w:basedOn w:val="Normal"/>
    <w:link w:val="CommentTextChar"/>
    <w:rsid w:val="00DD55F8"/>
    <w:rPr>
      <w:sz w:val="20"/>
    </w:rPr>
  </w:style>
  <w:style w:type="character" w:customStyle="1" w:styleId="CommentTextChar">
    <w:name w:val="Comment Text Char"/>
    <w:link w:val="CommentText"/>
    <w:rsid w:val="00DD55F8"/>
    <w:rPr>
      <w:snapToGrid w:val="0"/>
    </w:rPr>
  </w:style>
  <w:style w:type="paragraph" w:styleId="CommentSubject">
    <w:name w:val="annotation subject"/>
    <w:basedOn w:val="CommentText"/>
    <w:next w:val="CommentText"/>
    <w:link w:val="CommentSubjectChar"/>
    <w:rsid w:val="00DD55F8"/>
    <w:rPr>
      <w:b/>
      <w:bCs/>
    </w:rPr>
  </w:style>
  <w:style w:type="character" w:customStyle="1" w:styleId="CommentSubjectChar">
    <w:name w:val="Comment Subject Char"/>
    <w:link w:val="CommentSubject"/>
    <w:rsid w:val="00DD55F8"/>
    <w:rPr>
      <w:b/>
      <w:bCs/>
      <w:snapToGrid w:val="0"/>
    </w:rPr>
  </w:style>
  <w:style w:type="table" w:styleId="TableGrid">
    <w:name w:val="Table Grid"/>
    <w:basedOn w:val="TableNormal"/>
    <w:uiPriority w:val="59"/>
    <w:rsid w:val="00BF66CA"/>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7B51"/>
    <w:pPr>
      <w:ind w:left="720"/>
      <w:contextualSpacing/>
    </w:pPr>
  </w:style>
  <w:style w:type="character" w:customStyle="1" w:styleId="FootnoteTextChar">
    <w:name w:val="Footnote Text Char"/>
    <w:basedOn w:val="DefaultParagraphFont"/>
    <w:link w:val="FootnoteText"/>
    <w:rsid w:val="006938A2"/>
    <w:rPr>
      <w:rFonts w:ascii="Courier New" w:hAnsi="Courier New"/>
      <w:sz w:val="24"/>
    </w:rPr>
  </w:style>
  <w:style w:type="character" w:styleId="UnresolvedMention">
    <w:name w:val="Unresolved Mention"/>
    <w:basedOn w:val="DefaultParagraphFont"/>
    <w:uiPriority w:val="99"/>
    <w:semiHidden/>
    <w:unhideWhenUsed/>
    <w:rsid w:val="00C44B50"/>
    <w:rPr>
      <w:color w:val="605E5C"/>
      <w:shd w:val="clear" w:color="auto" w:fill="E1DFDD"/>
    </w:rPr>
  </w:style>
  <w:style w:type="paragraph" w:styleId="Revision">
    <w:name w:val="Revision"/>
    <w:hidden/>
    <w:uiPriority w:val="99"/>
    <w:semiHidden/>
    <w:rsid w:val="00CB580E"/>
    <w:rPr>
      <w:snapToGrid w:val="0"/>
      <w:sz w:val="24"/>
    </w:rPr>
  </w:style>
  <w:style w:type="paragraph" w:styleId="BodyText">
    <w:name w:val="Body Text"/>
    <w:basedOn w:val="Normal"/>
    <w:link w:val="BodyTextChar"/>
    <w:uiPriority w:val="1"/>
    <w:qFormat/>
    <w:rsid w:val="00B10700"/>
    <w:pPr>
      <w:autoSpaceDE w:val="0"/>
      <w:autoSpaceDN w:val="0"/>
      <w:adjustRightInd w:val="0"/>
      <w:ind w:left="120"/>
    </w:pPr>
    <w:rPr>
      <w:snapToGrid/>
      <w:szCs w:val="24"/>
    </w:rPr>
  </w:style>
  <w:style w:type="character" w:customStyle="1" w:styleId="BodyTextChar">
    <w:name w:val="Body Text Char"/>
    <w:basedOn w:val="DefaultParagraphFont"/>
    <w:link w:val="BodyText"/>
    <w:uiPriority w:val="1"/>
    <w:rsid w:val="00B107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fda.gov/drugs/types-applications/new-drug-application-nda" TargetMode="External" /><Relationship Id="rId6" Type="http://schemas.openxmlformats.org/officeDocument/2006/relationships/hyperlink" Target="https://www.fda.gov/industry/electronic-submissions-gateway" TargetMode="External" /><Relationship Id="rId7" Type="http://schemas.openxmlformats.org/officeDocument/2006/relationships/hyperlink" Target="http://www.fda.gov/Drugs/GuidanceComplianceRegulatoryInformation/Guidances/default.htm" TargetMode="External" /><Relationship Id="rId8" Type="http://schemas.openxmlformats.org/officeDocument/2006/relationships/hyperlink" Target="https://google2.fda.gov/search?q=small+business&amp;client=FDAgov&amp;site=FDAgov&amp;lr=&amp;proxystylesheet=FDAgov&amp;requiredfields=-archive%3AYes&amp;output=xml_no_dtd&amp;getfields=*www.fda.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19B02-355F-437D-AAB9-590D710FAED5}">
  <ds:schemaRefs>
    <ds:schemaRef ds:uri="http://schemas.openxmlformats.org/officeDocument/2006/bibliography"/>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2126</Words>
  <Characters>12976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2025-07-24T12:57:00Z</dcterms:created>
  <dcterms:modified xsi:type="dcterms:W3CDTF">2025-07-24T12:57:00Z</dcterms:modified>
</cp:coreProperties>
</file>