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366B4" w:rsidRPr="00B93A55" w:rsidP="003F4627" w14:paraId="58B29362" w14:textId="77777777">
      <w:pPr>
        <w:jc w:val="center"/>
        <w:rPr>
          <w:sz w:val="24"/>
          <w:szCs w:val="24"/>
        </w:rPr>
      </w:pPr>
      <w:r w:rsidRPr="00B93A55">
        <w:rPr>
          <w:sz w:val="24"/>
          <w:szCs w:val="24"/>
        </w:rPr>
        <w:t>UNITED STATES FOOD &amp; DRUG ADMINISTRATION</w:t>
      </w:r>
    </w:p>
    <w:p w:rsidR="00E00DA8" w:rsidRPr="00B93A55" w:rsidP="003F4627" w14:paraId="55CCF2FD" w14:textId="77777777">
      <w:pPr>
        <w:jc w:val="center"/>
        <w:rPr>
          <w:sz w:val="24"/>
          <w:szCs w:val="24"/>
        </w:rPr>
      </w:pPr>
    </w:p>
    <w:p w:rsidR="004327A6" w:rsidP="003F4627" w14:paraId="3292AC54" w14:textId="77777777">
      <w:pPr>
        <w:jc w:val="center"/>
        <w:rPr>
          <w:sz w:val="24"/>
          <w:szCs w:val="24"/>
        </w:rPr>
      </w:pPr>
      <w:r w:rsidRPr="00B93A55">
        <w:rPr>
          <w:sz w:val="24"/>
          <w:szCs w:val="24"/>
        </w:rPr>
        <w:t xml:space="preserve">Public Health Service Guideline on </w:t>
      </w:r>
    </w:p>
    <w:p w:rsidR="00E00DA8" w:rsidRPr="00B93A55" w:rsidP="003F4627" w14:paraId="3FE9D2E1" w14:textId="77777777">
      <w:pPr>
        <w:jc w:val="center"/>
        <w:rPr>
          <w:sz w:val="24"/>
          <w:szCs w:val="24"/>
        </w:rPr>
      </w:pPr>
      <w:r w:rsidRPr="00B93A55">
        <w:rPr>
          <w:sz w:val="24"/>
          <w:szCs w:val="24"/>
        </w:rPr>
        <w:t>Infectious Disease Issues in Xenotransplantation</w:t>
      </w:r>
    </w:p>
    <w:p w:rsidR="00E00DA8" w:rsidRPr="00B93A55" w:rsidP="003F4627" w14:paraId="084BDCB4" w14:textId="77777777">
      <w:pPr>
        <w:jc w:val="center"/>
        <w:rPr>
          <w:sz w:val="24"/>
          <w:szCs w:val="24"/>
        </w:rPr>
      </w:pPr>
    </w:p>
    <w:p w:rsidR="00E00DA8" w:rsidRPr="00B93A55" w:rsidP="003F4627" w14:paraId="615EAC7F" w14:textId="77777777">
      <w:pPr>
        <w:jc w:val="center"/>
        <w:rPr>
          <w:sz w:val="24"/>
          <w:szCs w:val="24"/>
          <w:u w:val="single"/>
        </w:rPr>
      </w:pPr>
      <w:r w:rsidRPr="00B93A55">
        <w:rPr>
          <w:sz w:val="24"/>
          <w:szCs w:val="24"/>
          <w:u w:val="single"/>
        </w:rPr>
        <w:t>OMB Control No. 0910-0456</w:t>
      </w:r>
    </w:p>
    <w:p w:rsidR="00E00DA8" w:rsidRPr="00B93A55" w:rsidP="003F4627" w14:paraId="080C6C71" w14:textId="77777777">
      <w:pPr>
        <w:rPr>
          <w:sz w:val="24"/>
          <w:szCs w:val="24"/>
        </w:rPr>
      </w:pPr>
    </w:p>
    <w:p w:rsidR="00E00DA8" w:rsidRPr="00B93A55" w:rsidP="003F4627" w14:paraId="5FA8D888" w14:textId="77777777">
      <w:pPr>
        <w:rPr>
          <w:sz w:val="24"/>
          <w:szCs w:val="24"/>
        </w:rPr>
      </w:pPr>
      <w:r w:rsidRPr="00B93A55">
        <w:rPr>
          <w:sz w:val="24"/>
          <w:szCs w:val="24"/>
        </w:rPr>
        <w:t xml:space="preserve">SUPPORTING STATEMENT </w:t>
      </w:r>
      <w:r w:rsidRPr="00B93A55">
        <w:rPr>
          <w:b/>
          <w:sz w:val="24"/>
          <w:szCs w:val="24"/>
        </w:rPr>
        <w:t>Part A – Justification</w:t>
      </w:r>
      <w:r w:rsidRPr="00B93A55">
        <w:rPr>
          <w:sz w:val="24"/>
          <w:szCs w:val="24"/>
        </w:rPr>
        <w:t>:</w:t>
      </w:r>
    </w:p>
    <w:p w:rsidR="00E00DA8" w:rsidRPr="00B93A55" w:rsidP="003F4627" w14:paraId="6B87BD0F" w14:textId="77777777">
      <w:pPr>
        <w:rPr>
          <w:sz w:val="24"/>
          <w:szCs w:val="24"/>
        </w:rPr>
      </w:pPr>
    </w:p>
    <w:p w:rsidR="00E00DA8" w:rsidRPr="00B93A55" w:rsidP="003F4627" w14:paraId="516CD89E" w14:textId="77777777">
      <w:pPr>
        <w:rPr>
          <w:sz w:val="24"/>
          <w:szCs w:val="24"/>
        </w:rPr>
      </w:pPr>
      <w:r w:rsidRPr="00B93A55">
        <w:rPr>
          <w:sz w:val="24"/>
          <w:szCs w:val="24"/>
        </w:rPr>
        <w:t xml:space="preserve">1.  </w:t>
      </w:r>
      <w:r w:rsidRPr="00B93A55">
        <w:rPr>
          <w:sz w:val="24"/>
          <w:szCs w:val="24"/>
          <w:u w:val="single"/>
        </w:rPr>
        <w:t>Circumstances Making the Collection of Information Necessary</w:t>
      </w:r>
    </w:p>
    <w:p w:rsidR="00E00DA8" w:rsidRPr="00B93A55" w:rsidP="003F4627" w14:paraId="57BEFC17" w14:textId="77777777">
      <w:pPr>
        <w:rPr>
          <w:sz w:val="24"/>
          <w:szCs w:val="24"/>
        </w:rPr>
      </w:pPr>
    </w:p>
    <w:p w:rsidR="00B93A55" w:rsidP="003F4627" w14:paraId="54D9DE43" w14:textId="323692D4">
      <w:pPr>
        <w:rPr>
          <w:sz w:val="24"/>
          <w:szCs w:val="24"/>
        </w:rPr>
      </w:pPr>
      <w:r w:rsidRPr="00B93A55">
        <w:rPr>
          <w:sz w:val="24"/>
          <w:szCs w:val="24"/>
        </w:rPr>
        <w:t xml:space="preserve">This information </w:t>
      </w:r>
      <w:r w:rsidRPr="00B93A55" w:rsidR="00754B34">
        <w:rPr>
          <w:sz w:val="24"/>
          <w:szCs w:val="24"/>
        </w:rPr>
        <w:t>collection</w:t>
      </w:r>
      <w:r w:rsidRPr="00B93A55">
        <w:rPr>
          <w:sz w:val="24"/>
          <w:szCs w:val="24"/>
        </w:rPr>
        <w:t xml:space="preserve"> supports implementation of sections 351 and 361 of the Public Health Service Act (PHS Act) (42 U.S.C. 262 and 264) and </w:t>
      </w:r>
      <w:r>
        <w:rPr>
          <w:sz w:val="24"/>
          <w:szCs w:val="24"/>
        </w:rPr>
        <w:t xml:space="preserve">certain </w:t>
      </w:r>
      <w:r w:rsidRPr="00B93A55">
        <w:rPr>
          <w:sz w:val="24"/>
          <w:szCs w:val="24"/>
        </w:rPr>
        <w:t xml:space="preserve">drug provisions of the Federal Food, Drug, and Cosmetic Act (21 U.S.C. 301 et seq.).  </w:t>
      </w:r>
      <w:r w:rsidRPr="00B93A55">
        <w:rPr>
          <w:sz w:val="24"/>
          <w:szCs w:val="24"/>
        </w:rPr>
        <w:t xml:space="preserve">In the </w:t>
      </w:r>
      <w:r w:rsidRPr="00B93A55">
        <w:rPr>
          <w:sz w:val="24"/>
          <w:szCs w:val="24"/>
          <w:u w:val="single"/>
        </w:rPr>
        <w:t>Federal Register</w:t>
      </w:r>
      <w:r w:rsidRPr="00B93A55">
        <w:rPr>
          <w:sz w:val="24"/>
          <w:szCs w:val="24"/>
        </w:rPr>
        <w:t xml:space="preserve"> of January 29, 2001 (66 FR 8120), </w:t>
      </w:r>
      <w:r>
        <w:rPr>
          <w:sz w:val="24"/>
          <w:szCs w:val="24"/>
        </w:rPr>
        <w:t xml:space="preserve">the Food and Drug Administration (FDA, us or we) </w:t>
      </w:r>
      <w:r w:rsidRPr="00B93A55">
        <w:rPr>
          <w:sz w:val="24"/>
          <w:szCs w:val="24"/>
        </w:rPr>
        <w:t>announced the availability of the “</w:t>
      </w:r>
      <w:r w:rsidRPr="00B93A55">
        <w:rPr>
          <w:i/>
          <w:sz w:val="24"/>
          <w:szCs w:val="24"/>
        </w:rPr>
        <w:t>PHS Guideline on Infectious Disease Issues in Xenotransplantation</w:t>
      </w:r>
      <w:r w:rsidRPr="00B93A55">
        <w:rPr>
          <w:sz w:val="24"/>
          <w:szCs w:val="24"/>
        </w:rPr>
        <w:t>.”  The guideline was developed by the PHS to identify general principles for the prevention and control of infectious diseases associated with xenotransplantation that may pose a risk to public health.  The PHS guideline recommends procedures to diminish the risk of transmission of infectious agents to the xenotransplantation product recipient and to the general public.</w:t>
      </w:r>
    </w:p>
    <w:p w:rsidR="00B93A55" w:rsidP="003F4627" w14:paraId="43B0E500" w14:textId="77777777">
      <w:pPr>
        <w:rPr>
          <w:sz w:val="24"/>
          <w:szCs w:val="24"/>
        </w:rPr>
      </w:pPr>
    </w:p>
    <w:p w:rsidR="00B93A55" w:rsidP="003F4627" w14:paraId="744E127B" w14:textId="6B586B0E">
      <w:pPr>
        <w:rPr>
          <w:sz w:val="24"/>
          <w:szCs w:val="24"/>
        </w:rPr>
      </w:pPr>
      <w:r w:rsidRPr="00B93A55">
        <w:rPr>
          <w:sz w:val="24"/>
          <w:szCs w:val="24"/>
        </w:rPr>
        <w:t xml:space="preserve">The </w:t>
      </w:r>
      <w:r>
        <w:rPr>
          <w:sz w:val="24"/>
          <w:szCs w:val="24"/>
        </w:rPr>
        <w:t xml:space="preserve">PHS Guideline covers </w:t>
      </w:r>
      <w:r w:rsidRPr="00B93A55">
        <w:rPr>
          <w:sz w:val="24"/>
          <w:szCs w:val="24"/>
        </w:rPr>
        <w:t xml:space="preserve">information </w:t>
      </w:r>
      <w:r>
        <w:rPr>
          <w:sz w:val="24"/>
          <w:szCs w:val="24"/>
        </w:rPr>
        <w:t>collection</w:t>
      </w:r>
      <w:r w:rsidR="00330374">
        <w:rPr>
          <w:sz w:val="24"/>
          <w:szCs w:val="24"/>
        </w:rPr>
        <w:t xml:space="preserve"> elements</w:t>
      </w:r>
      <w:r>
        <w:rPr>
          <w:sz w:val="24"/>
          <w:szCs w:val="24"/>
        </w:rPr>
        <w:t xml:space="preserve"> including </w:t>
      </w:r>
      <w:r w:rsidRPr="00B93A55">
        <w:rPr>
          <w:sz w:val="24"/>
          <w:szCs w:val="24"/>
        </w:rPr>
        <w:t>notification of certain information to FDA or to sponsor</w:t>
      </w:r>
      <w:r>
        <w:rPr>
          <w:sz w:val="24"/>
          <w:szCs w:val="24"/>
        </w:rPr>
        <w:t>s</w:t>
      </w:r>
      <w:r w:rsidRPr="00B93A55">
        <w:rPr>
          <w:sz w:val="24"/>
          <w:szCs w:val="24"/>
        </w:rPr>
        <w:t xml:space="preserve">, and documentation of certain information associated with xenotransplantation.  The collections of information are intended to provide general guidance on the following topics: (1) The development of xenotransplantation clinical protocols, (2) the preparation of submissions to FDA, and (3) the conduct of xenotransplantation clinical trials.  Also, the collections of information are intended to help ensure that the sponsor maintains important information in a cross-referenced system that links the relevant records of the xenotransplantation product recipient, xenotransplantation product, source animal(s), animal procurement center, and significant nosocomial exposures.  The PHS Guideline </w:t>
      </w:r>
      <w:r>
        <w:rPr>
          <w:sz w:val="24"/>
          <w:szCs w:val="24"/>
        </w:rPr>
        <w:t xml:space="preserve">also </w:t>
      </w:r>
      <w:r w:rsidRPr="00B93A55">
        <w:rPr>
          <w:sz w:val="24"/>
          <w:szCs w:val="24"/>
        </w:rPr>
        <w:t>describes an occupational health service program for the protection of health care workers involved in xenotransplantation procedures, caring for xenotransplantation product recipients, and performing associated laboratory testing.</w:t>
      </w:r>
    </w:p>
    <w:p w:rsidR="00B93A55" w:rsidP="003F4627" w14:paraId="7227DE95" w14:textId="77777777">
      <w:pPr>
        <w:rPr>
          <w:sz w:val="24"/>
          <w:szCs w:val="24"/>
        </w:rPr>
      </w:pPr>
    </w:p>
    <w:p w:rsidR="00B93A55" w:rsidP="003F4627" w14:paraId="7E92FB87" w14:textId="5882EAF6">
      <w:pPr>
        <w:rPr>
          <w:sz w:val="24"/>
          <w:szCs w:val="24"/>
        </w:rPr>
      </w:pPr>
      <w:r>
        <w:rPr>
          <w:sz w:val="24"/>
          <w:szCs w:val="24"/>
        </w:rPr>
        <w:t xml:space="preserve">Accordingly, we request </w:t>
      </w:r>
      <w:r w:rsidR="00B7765C">
        <w:rPr>
          <w:sz w:val="24"/>
          <w:szCs w:val="24"/>
        </w:rPr>
        <w:t xml:space="preserve">extension of </w:t>
      </w:r>
      <w:r>
        <w:rPr>
          <w:sz w:val="24"/>
          <w:szCs w:val="24"/>
        </w:rPr>
        <w:t xml:space="preserve">OMB approval </w:t>
      </w:r>
      <w:r w:rsidR="00B7765C">
        <w:rPr>
          <w:sz w:val="24"/>
          <w:szCs w:val="24"/>
        </w:rPr>
        <w:t xml:space="preserve">for </w:t>
      </w:r>
      <w:r>
        <w:rPr>
          <w:sz w:val="24"/>
          <w:szCs w:val="24"/>
        </w:rPr>
        <w:t xml:space="preserve">information </w:t>
      </w:r>
      <w:r w:rsidR="00330374">
        <w:rPr>
          <w:sz w:val="24"/>
          <w:szCs w:val="24"/>
        </w:rPr>
        <w:t xml:space="preserve">included </w:t>
      </w:r>
      <w:r>
        <w:rPr>
          <w:sz w:val="24"/>
          <w:szCs w:val="24"/>
        </w:rPr>
        <w:t>in the PHS Guideline</w:t>
      </w:r>
      <w:r w:rsidR="00B7765C">
        <w:rPr>
          <w:sz w:val="24"/>
          <w:szCs w:val="24"/>
        </w:rPr>
        <w:t>, and</w:t>
      </w:r>
      <w:r>
        <w:rPr>
          <w:sz w:val="24"/>
          <w:szCs w:val="24"/>
        </w:rPr>
        <w:t xml:space="preserve"> as discussed in this supporting statement.</w:t>
      </w:r>
    </w:p>
    <w:p w:rsidR="00330374" w:rsidP="003F4627" w14:paraId="17E2CE84" w14:textId="77777777">
      <w:pPr>
        <w:rPr>
          <w:sz w:val="24"/>
          <w:szCs w:val="24"/>
        </w:rPr>
      </w:pPr>
    </w:p>
    <w:p w:rsidR="00B93A55" w:rsidP="003F4627" w14:paraId="0CE058D0" w14:textId="77777777">
      <w:pPr>
        <w:rPr>
          <w:sz w:val="24"/>
          <w:szCs w:val="24"/>
        </w:rPr>
      </w:pPr>
      <w:r>
        <w:rPr>
          <w:sz w:val="24"/>
          <w:szCs w:val="24"/>
        </w:rPr>
        <w:t xml:space="preserve">2.  </w:t>
      </w:r>
      <w:r w:rsidRPr="00B93A55">
        <w:rPr>
          <w:sz w:val="24"/>
          <w:szCs w:val="24"/>
          <w:u w:val="single"/>
        </w:rPr>
        <w:t>Purpose and Use of the Information Collection</w:t>
      </w:r>
    </w:p>
    <w:p w:rsidR="00B93A55" w:rsidP="003F4627" w14:paraId="15BBD445" w14:textId="77777777">
      <w:pPr>
        <w:rPr>
          <w:sz w:val="24"/>
          <w:szCs w:val="24"/>
        </w:rPr>
      </w:pPr>
    </w:p>
    <w:p w:rsidR="00E00DA8" w:rsidP="003F4627" w14:paraId="61CB1117" w14:textId="77777777">
      <w:pPr>
        <w:rPr>
          <w:sz w:val="24"/>
          <w:szCs w:val="24"/>
        </w:rPr>
      </w:pPr>
      <w:r w:rsidRPr="00B93A55">
        <w:rPr>
          <w:sz w:val="24"/>
          <w:szCs w:val="24"/>
        </w:rPr>
        <w:t>The PHS guideline is intended to address public health issues raised by xenotransplantation, through identification of general principles of prevention and control of infectious diseases associated with xenotransplantation that may pose a hazard to the public health.</w:t>
      </w:r>
      <w:r w:rsidR="00727A67">
        <w:rPr>
          <w:sz w:val="24"/>
          <w:szCs w:val="24"/>
        </w:rPr>
        <w:t xml:space="preserve">  Respondents to the collection are </w:t>
      </w:r>
      <w:r w:rsidRPr="00727A67" w:rsidR="00727A67">
        <w:rPr>
          <w:sz w:val="24"/>
          <w:szCs w:val="24"/>
        </w:rPr>
        <w:t>sponsors of clinical studies of investigational xenotransplantation products under investigational new drug applications (INDs) and xenotransplantation product procurement centers, referred to as source animal facilities.</w:t>
      </w:r>
    </w:p>
    <w:p w:rsidR="00B93A55" w:rsidP="003F4627" w14:paraId="465B77C5" w14:textId="77777777">
      <w:pPr>
        <w:rPr>
          <w:sz w:val="24"/>
          <w:szCs w:val="24"/>
        </w:rPr>
      </w:pPr>
    </w:p>
    <w:p w:rsidR="00B93A55" w:rsidP="003F4627" w14:paraId="3E0EA74B" w14:textId="77777777">
      <w:pPr>
        <w:rPr>
          <w:sz w:val="24"/>
          <w:szCs w:val="24"/>
        </w:rPr>
      </w:pPr>
      <w:r>
        <w:rPr>
          <w:sz w:val="24"/>
          <w:szCs w:val="24"/>
        </w:rPr>
        <w:t xml:space="preserve">3.  </w:t>
      </w:r>
      <w:r w:rsidRPr="00727A67">
        <w:rPr>
          <w:sz w:val="24"/>
          <w:szCs w:val="24"/>
          <w:u w:val="single"/>
        </w:rPr>
        <w:t>Use of Improved Information Technology and Burden Reduction</w:t>
      </w:r>
    </w:p>
    <w:p w:rsidR="00727A67" w:rsidP="003F4627" w14:paraId="5334C335" w14:textId="77777777">
      <w:pPr>
        <w:rPr>
          <w:sz w:val="24"/>
          <w:szCs w:val="24"/>
        </w:rPr>
      </w:pPr>
    </w:p>
    <w:p w:rsidR="00727A67" w:rsidP="003F4627" w14:paraId="2A31B5BA" w14:textId="77777777">
      <w:pPr>
        <w:rPr>
          <w:sz w:val="24"/>
          <w:szCs w:val="24"/>
        </w:rPr>
      </w:pPr>
      <w:r>
        <w:rPr>
          <w:sz w:val="24"/>
          <w:szCs w:val="24"/>
        </w:rPr>
        <w:t xml:space="preserve">Respondents to the information collection </w:t>
      </w:r>
      <w:r w:rsidRPr="00727A67">
        <w:rPr>
          <w:sz w:val="24"/>
          <w:szCs w:val="24"/>
        </w:rPr>
        <w:t>may use computerized storage e.g., (tapes, discs, etc.), microfiche or microfilm to record and store data and information rather than hard copy records if they choose.  Notification can be made by phone, fax, or mail.</w:t>
      </w:r>
      <w:r>
        <w:rPr>
          <w:sz w:val="24"/>
          <w:szCs w:val="24"/>
        </w:rPr>
        <w:t xml:space="preserve">  Although we are un</w:t>
      </w:r>
      <w:r w:rsidRPr="00727A67">
        <w:rPr>
          <w:sz w:val="24"/>
          <w:szCs w:val="24"/>
        </w:rPr>
        <w:t>aware of any other improved technology to further reduce the burden</w:t>
      </w:r>
      <w:r>
        <w:rPr>
          <w:sz w:val="24"/>
          <w:szCs w:val="24"/>
        </w:rPr>
        <w:t xml:space="preserve">, we </w:t>
      </w:r>
      <w:r w:rsidRPr="00727A67">
        <w:rPr>
          <w:sz w:val="24"/>
          <w:szCs w:val="24"/>
        </w:rPr>
        <w:t>continue to pursue methods of applying technology to further reduce the burden to the respondents of the collection of information.</w:t>
      </w:r>
    </w:p>
    <w:p w:rsidR="00727A67" w:rsidP="003F4627" w14:paraId="50156282" w14:textId="77777777">
      <w:pPr>
        <w:rPr>
          <w:sz w:val="24"/>
          <w:szCs w:val="24"/>
        </w:rPr>
      </w:pPr>
    </w:p>
    <w:p w:rsidR="00727A67" w:rsidP="003F4627" w14:paraId="5F70E912" w14:textId="77777777">
      <w:pPr>
        <w:rPr>
          <w:sz w:val="24"/>
          <w:szCs w:val="24"/>
        </w:rPr>
      </w:pPr>
      <w:r>
        <w:rPr>
          <w:sz w:val="24"/>
          <w:szCs w:val="24"/>
        </w:rPr>
        <w:t xml:space="preserve">4.  </w:t>
      </w:r>
      <w:r w:rsidRPr="00727A67">
        <w:rPr>
          <w:sz w:val="24"/>
          <w:szCs w:val="24"/>
          <w:u w:val="single"/>
        </w:rPr>
        <w:t>Efforts to Identify Duplication and Use of Similar Information</w:t>
      </w:r>
    </w:p>
    <w:p w:rsidR="00727A67" w:rsidP="003F4627" w14:paraId="09AA3B33" w14:textId="77777777">
      <w:pPr>
        <w:rPr>
          <w:sz w:val="24"/>
          <w:szCs w:val="24"/>
        </w:rPr>
      </w:pPr>
    </w:p>
    <w:p w:rsidR="00727A67" w:rsidP="003F4627" w14:paraId="62ADB6F7" w14:textId="77777777">
      <w:pPr>
        <w:rPr>
          <w:sz w:val="24"/>
          <w:szCs w:val="24"/>
        </w:rPr>
      </w:pPr>
      <w:r>
        <w:rPr>
          <w:sz w:val="24"/>
          <w:szCs w:val="24"/>
        </w:rPr>
        <w:t>We are unaware of duplicative information collection.  The provisions of the PHS Guideline uniquely apply to Infectious Disease Issues in Xenotransplantation.</w:t>
      </w:r>
    </w:p>
    <w:p w:rsidR="00727A67" w:rsidP="003F4627" w14:paraId="3D511EB6" w14:textId="77777777">
      <w:pPr>
        <w:rPr>
          <w:sz w:val="24"/>
          <w:szCs w:val="24"/>
        </w:rPr>
      </w:pPr>
    </w:p>
    <w:p w:rsidR="00727A67" w:rsidP="003F4627" w14:paraId="6C14050E" w14:textId="77777777">
      <w:pPr>
        <w:rPr>
          <w:sz w:val="24"/>
          <w:szCs w:val="24"/>
        </w:rPr>
      </w:pPr>
      <w:r>
        <w:rPr>
          <w:sz w:val="24"/>
          <w:szCs w:val="24"/>
        </w:rPr>
        <w:t xml:space="preserve">5.  </w:t>
      </w:r>
      <w:r w:rsidRPr="0094542D">
        <w:rPr>
          <w:sz w:val="24"/>
          <w:szCs w:val="24"/>
          <w:u w:val="single"/>
        </w:rPr>
        <w:t>Impact on Small Businesses or Other Small Entities</w:t>
      </w:r>
    </w:p>
    <w:p w:rsidR="00727A67" w:rsidP="003F4627" w14:paraId="5712DB3A" w14:textId="77777777">
      <w:pPr>
        <w:rPr>
          <w:sz w:val="24"/>
          <w:szCs w:val="24"/>
        </w:rPr>
      </w:pPr>
    </w:p>
    <w:p w:rsidR="00727A67" w:rsidP="003F4627" w14:paraId="097124B4" w14:textId="71B96C00">
      <w:pPr>
        <w:rPr>
          <w:sz w:val="24"/>
          <w:szCs w:val="24"/>
        </w:rPr>
      </w:pPr>
      <w:r>
        <w:rPr>
          <w:sz w:val="24"/>
          <w:szCs w:val="24"/>
        </w:rPr>
        <w:t>We do not believe t</w:t>
      </w:r>
      <w:r>
        <w:rPr>
          <w:sz w:val="24"/>
          <w:szCs w:val="24"/>
        </w:rPr>
        <w:t>he information collection imposes undue burden on small entities.  At the sa</w:t>
      </w:r>
      <w:r w:rsidR="00382FF7">
        <w:rPr>
          <w:sz w:val="24"/>
          <w:szCs w:val="24"/>
        </w:rPr>
        <w:t>m</w:t>
      </w:r>
      <w:r>
        <w:rPr>
          <w:sz w:val="24"/>
          <w:szCs w:val="24"/>
        </w:rPr>
        <w:t xml:space="preserve">e time, assistance is available to small business entities through our </w:t>
      </w:r>
      <w:r w:rsidRPr="00382FF7" w:rsidR="00382FF7">
        <w:rPr>
          <w:sz w:val="24"/>
          <w:szCs w:val="24"/>
        </w:rPr>
        <w:t>C</w:t>
      </w:r>
      <w:r w:rsidR="00382FF7">
        <w:rPr>
          <w:sz w:val="24"/>
          <w:szCs w:val="24"/>
        </w:rPr>
        <w:t>enter for Biologics Evaluation and Research’s (C</w:t>
      </w:r>
      <w:r w:rsidRPr="00382FF7" w:rsidR="00382FF7">
        <w:rPr>
          <w:sz w:val="24"/>
          <w:szCs w:val="24"/>
        </w:rPr>
        <w:t>BER’s</w:t>
      </w:r>
      <w:r w:rsidR="00382FF7">
        <w:rPr>
          <w:sz w:val="24"/>
          <w:szCs w:val="24"/>
        </w:rPr>
        <w:t>)</w:t>
      </w:r>
      <w:r w:rsidRPr="00382FF7" w:rsidR="00382FF7">
        <w:rPr>
          <w:sz w:val="24"/>
          <w:szCs w:val="24"/>
        </w:rPr>
        <w:t xml:space="preserve"> Office of Communication, Outreach, and Development, Division of Manufacturers Assistance and Training, </w:t>
      </w:r>
      <w:r w:rsidR="00382FF7">
        <w:rPr>
          <w:sz w:val="24"/>
          <w:szCs w:val="24"/>
        </w:rPr>
        <w:t>as well as through resources available from our website.</w:t>
      </w:r>
    </w:p>
    <w:p w:rsidR="00382FF7" w:rsidP="003F4627" w14:paraId="5499BEB1" w14:textId="77777777">
      <w:pPr>
        <w:rPr>
          <w:sz w:val="24"/>
          <w:szCs w:val="24"/>
        </w:rPr>
      </w:pPr>
    </w:p>
    <w:p w:rsidR="00382FF7" w:rsidP="003F4627" w14:paraId="29357A13" w14:textId="77777777">
      <w:pPr>
        <w:rPr>
          <w:sz w:val="24"/>
          <w:szCs w:val="24"/>
        </w:rPr>
      </w:pPr>
      <w:r>
        <w:rPr>
          <w:sz w:val="24"/>
          <w:szCs w:val="24"/>
        </w:rPr>
        <w:t xml:space="preserve">6.  </w:t>
      </w:r>
      <w:r w:rsidRPr="0094542D">
        <w:rPr>
          <w:sz w:val="24"/>
          <w:szCs w:val="24"/>
          <w:u w:val="single"/>
        </w:rPr>
        <w:t>Consequences of Collecting the Information Less Frequently</w:t>
      </w:r>
    </w:p>
    <w:p w:rsidR="003F4627" w:rsidP="003F4627" w14:paraId="214799DF" w14:textId="77777777">
      <w:pPr>
        <w:rPr>
          <w:sz w:val="24"/>
          <w:szCs w:val="24"/>
        </w:rPr>
      </w:pPr>
    </w:p>
    <w:p w:rsidR="00382FF7" w:rsidRPr="00382FF7" w:rsidP="003F4627" w14:paraId="1B305A0F" w14:textId="06249726">
      <w:pPr>
        <w:rPr>
          <w:sz w:val="24"/>
          <w:szCs w:val="24"/>
        </w:rPr>
      </w:pPr>
      <w:r>
        <w:rPr>
          <w:sz w:val="24"/>
          <w:szCs w:val="24"/>
        </w:rPr>
        <w:t xml:space="preserve">The information collection schedule </w:t>
      </w:r>
      <w:r w:rsidR="003F4627">
        <w:rPr>
          <w:sz w:val="24"/>
          <w:szCs w:val="24"/>
        </w:rPr>
        <w:t xml:space="preserve">is consistent with applicable statutory and regulatory requirements.  We believe the frequency of information collection is the minimal necessary to help ensure </w:t>
      </w:r>
      <w:r w:rsidRPr="00382FF7">
        <w:rPr>
          <w:sz w:val="24"/>
          <w:szCs w:val="24"/>
        </w:rPr>
        <w:t>diminish</w:t>
      </w:r>
      <w:r w:rsidR="003F4627">
        <w:rPr>
          <w:sz w:val="24"/>
          <w:szCs w:val="24"/>
        </w:rPr>
        <w:t>ing</w:t>
      </w:r>
      <w:r w:rsidRPr="00382FF7">
        <w:rPr>
          <w:sz w:val="24"/>
          <w:szCs w:val="24"/>
        </w:rPr>
        <w:t xml:space="preserve"> the risk of transmission of infectious agents to the xenotransplantation product recipient, to health care workers, and to the general public.</w:t>
      </w:r>
    </w:p>
    <w:p w:rsidR="00382FF7" w:rsidP="003F4627" w14:paraId="28FBB03E" w14:textId="77777777">
      <w:pPr>
        <w:rPr>
          <w:sz w:val="24"/>
          <w:szCs w:val="24"/>
        </w:rPr>
      </w:pPr>
    </w:p>
    <w:p w:rsidR="00382FF7" w:rsidRPr="00382FF7" w:rsidP="003F4627" w14:paraId="5AA4F63D" w14:textId="77777777">
      <w:pPr>
        <w:rPr>
          <w:rFonts w:eastAsia="Calibri"/>
          <w:sz w:val="24"/>
          <w:szCs w:val="24"/>
        </w:rPr>
      </w:pPr>
      <w:bookmarkStart w:id="0" w:name="_Toc239649227"/>
      <w:r w:rsidRPr="00382FF7">
        <w:rPr>
          <w:rFonts w:eastAsia="Calibri"/>
          <w:sz w:val="24"/>
          <w:szCs w:val="24"/>
        </w:rPr>
        <w:t xml:space="preserve">7.  </w:t>
      </w:r>
      <w:r w:rsidRPr="00382FF7">
        <w:rPr>
          <w:rFonts w:eastAsia="Calibri"/>
          <w:sz w:val="24"/>
          <w:szCs w:val="24"/>
          <w:u w:val="single"/>
        </w:rPr>
        <w:t>Special Circumstances</w:t>
      </w:r>
      <w:bookmarkEnd w:id="0"/>
      <w:r w:rsidRPr="00382FF7">
        <w:rPr>
          <w:rFonts w:eastAsia="Calibri"/>
          <w:sz w:val="24"/>
          <w:szCs w:val="24"/>
          <w:u w:val="single"/>
        </w:rPr>
        <w:t xml:space="preserve"> Relating to the Guidelines of 5 CFR 1320.5</w:t>
      </w:r>
    </w:p>
    <w:p w:rsidR="00382FF7" w:rsidRPr="00382FF7" w:rsidP="003F4627" w14:paraId="05877973" w14:textId="77777777">
      <w:pPr>
        <w:rPr>
          <w:rFonts w:eastAsia="Calibri"/>
          <w:sz w:val="24"/>
          <w:szCs w:val="24"/>
        </w:rPr>
      </w:pPr>
    </w:p>
    <w:p w:rsidR="00382FF7" w:rsidRPr="00382FF7" w:rsidP="003F4627" w14:paraId="394AEAD9" w14:textId="77777777">
      <w:pPr>
        <w:rPr>
          <w:rFonts w:eastAsia="Calibri"/>
          <w:sz w:val="24"/>
          <w:szCs w:val="24"/>
        </w:rPr>
      </w:pPr>
      <w:bookmarkStart w:id="1" w:name="_Toc276963630"/>
      <w:r w:rsidRPr="00382FF7">
        <w:rPr>
          <w:rFonts w:eastAsia="Calibri"/>
          <w:sz w:val="24"/>
          <w:szCs w:val="24"/>
        </w:rPr>
        <w:t xml:space="preserve">Because xenotransplantation is a </w:t>
      </w:r>
      <w:r w:rsidR="003843DC">
        <w:rPr>
          <w:rFonts w:eastAsia="Calibri"/>
          <w:sz w:val="24"/>
          <w:szCs w:val="24"/>
        </w:rPr>
        <w:t xml:space="preserve">unique </w:t>
      </w:r>
      <w:r w:rsidRPr="00382FF7">
        <w:rPr>
          <w:rFonts w:eastAsia="Calibri"/>
          <w:sz w:val="24"/>
          <w:szCs w:val="24"/>
        </w:rPr>
        <w:t>area of medical science</w:t>
      </w:r>
      <w:r w:rsidR="003843DC">
        <w:rPr>
          <w:rFonts w:eastAsia="Calibri"/>
          <w:sz w:val="24"/>
          <w:szCs w:val="24"/>
        </w:rPr>
        <w:t xml:space="preserve"> where </w:t>
      </w:r>
      <w:r w:rsidRPr="00382FF7">
        <w:rPr>
          <w:rFonts w:eastAsia="Calibri"/>
          <w:sz w:val="24"/>
          <w:szCs w:val="24"/>
        </w:rPr>
        <w:t>potential problems and adverse effects</w:t>
      </w:r>
      <w:r w:rsidR="003843DC">
        <w:rPr>
          <w:rFonts w:eastAsia="Calibri"/>
          <w:sz w:val="24"/>
          <w:szCs w:val="24"/>
        </w:rPr>
        <w:t xml:space="preserve"> continue to be revealed</w:t>
      </w:r>
      <w:r w:rsidRPr="00382FF7">
        <w:rPr>
          <w:rFonts w:eastAsia="Calibri"/>
          <w:sz w:val="24"/>
          <w:szCs w:val="24"/>
        </w:rPr>
        <w:t xml:space="preserve">.  </w:t>
      </w:r>
      <w:r w:rsidR="003843DC">
        <w:rPr>
          <w:rFonts w:eastAsia="Calibri"/>
          <w:sz w:val="24"/>
          <w:szCs w:val="24"/>
        </w:rPr>
        <w:t xml:space="preserve">Due to </w:t>
      </w:r>
      <w:r w:rsidRPr="00382FF7">
        <w:rPr>
          <w:rFonts w:eastAsia="Calibri"/>
          <w:sz w:val="24"/>
          <w:szCs w:val="24"/>
        </w:rPr>
        <w:t xml:space="preserve">the potential risk for cross-species transmission of pathogenic persistent virus, the PHS Guideline recommends that health records be retained for 50 years.  </w:t>
      </w:r>
      <w:r w:rsidR="003843DC">
        <w:rPr>
          <w:rFonts w:eastAsia="Calibri"/>
          <w:sz w:val="24"/>
          <w:szCs w:val="24"/>
        </w:rPr>
        <w:t>We regard these records as “</w:t>
      </w:r>
      <w:r w:rsidRPr="003843DC" w:rsidR="003843DC">
        <w:rPr>
          <w:rFonts w:eastAsia="Calibri"/>
          <w:i/>
          <w:sz w:val="24"/>
          <w:szCs w:val="24"/>
        </w:rPr>
        <w:t>[f]acts or opinions obtained initially or in follow-on requests, from individuals (including individuals in control groups) under treatment or clinical examination</w:t>
      </w:r>
      <w:r w:rsidR="003843DC">
        <w:rPr>
          <w:rFonts w:eastAsia="Calibri"/>
          <w:sz w:val="24"/>
          <w:szCs w:val="24"/>
        </w:rPr>
        <w:t xml:space="preserve">” (5 CFR 1320.3(h)(5)) and therefore not subject to OMB review.  </w:t>
      </w:r>
      <w:r w:rsidRPr="00382FF7">
        <w:rPr>
          <w:rFonts w:eastAsia="Calibri"/>
          <w:sz w:val="24"/>
          <w:szCs w:val="24"/>
        </w:rPr>
        <w:t>The retention period is intended to assist health care practitioners and officials in surveillance and tracking source</w:t>
      </w:r>
      <w:r w:rsidR="003843DC">
        <w:rPr>
          <w:rFonts w:eastAsia="Calibri"/>
          <w:sz w:val="24"/>
          <w:szCs w:val="24"/>
        </w:rPr>
        <w:t>s</w:t>
      </w:r>
      <w:r w:rsidRPr="00382FF7">
        <w:rPr>
          <w:rFonts w:eastAsia="Calibri"/>
          <w:sz w:val="24"/>
          <w:szCs w:val="24"/>
        </w:rPr>
        <w:t xml:space="preserve"> of infection, disease, or illness that might emerge in recipient</w:t>
      </w:r>
      <w:r w:rsidR="003843DC">
        <w:rPr>
          <w:rFonts w:eastAsia="Calibri"/>
          <w:sz w:val="24"/>
          <w:szCs w:val="24"/>
        </w:rPr>
        <w:t>s</w:t>
      </w:r>
      <w:r w:rsidRPr="00382FF7">
        <w:rPr>
          <w:rFonts w:eastAsia="Calibri"/>
          <w:sz w:val="24"/>
          <w:szCs w:val="24"/>
        </w:rPr>
        <w:t>, the source animal, or the animal herd or colony after a xenotransplantation.</w:t>
      </w:r>
    </w:p>
    <w:p w:rsidR="004327A6" w:rsidP="003F4627" w14:paraId="0A2057E8" w14:textId="77777777">
      <w:pPr>
        <w:rPr>
          <w:rFonts w:eastAsia="Calibri"/>
          <w:sz w:val="24"/>
          <w:szCs w:val="24"/>
        </w:rPr>
      </w:pPr>
      <w:bookmarkStart w:id="2" w:name="_Toc239649228"/>
      <w:bookmarkStart w:id="3" w:name="_Toc264962854"/>
    </w:p>
    <w:p w:rsidR="001446FE" w14:paraId="6C3D1D0F" w14:textId="77777777">
      <w:pPr>
        <w:rPr>
          <w:rFonts w:eastAsia="Calibri"/>
          <w:sz w:val="24"/>
          <w:szCs w:val="24"/>
        </w:rPr>
      </w:pPr>
      <w:r>
        <w:rPr>
          <w:rFonts w:eastAsia="Calibri"/>
          <w:sz w:val="24"/>
          <w:szCs w:val="24"/>
        </w:rPr>
        <w:br w:type="page"/>
      </w:r>
    </w:p>
    <w:p w:rsidR="00382FF7" w:rsidRPr="00382FF7" w:rsidP="003F4627" w14:paraId="15D9274A" w14:textId="4CF4F3E3">
      <w:pPr>
        <w:rPr>
          <w:rFonts w:eastAsia="Calibri"/>
          <w:sz w:val="24"/>
          <w:szCs w:val="24"/>
        </w:rPr>
      </w:pPr>
      <w:r w:rsidRPr="00382FF7">
        <w:rPr>
          <w:rFonts w:eastAsia="Calibri"/>
          <w:sz w:val="24"/>
          <w:szCs w:val="24"/>
        </w:rPr>
        <w:t xml:space="preserve">8.  </w:t>
      </w:r>
      <w:r w:rsidRPr="00382FF7">
        <w:rPr>
          <w:rFonts w:eastAsia="Calibri"/>
          <w:sz w:val="24"/>
          <w:szCs w:val="24"/>
          <w:u w:val="single"/>
        </w:rPr>
        <w:t>Comments in Response to the Federal Register Notice and Efforts to Consult Outside</w:t>
      </w:r>
      <w:bookmarkStart w:id="4" w:name="_Toc239649229"/>
      <w:bookmarkEnd w:id="2"/>
      <w:r w:rsidRPr="00382FF7">
        <w:rPr>
          <w:rFonts w:eastAsia="Calibri"/>
          <w:sz w:val="24"/>
          <w:szCs w:val="24"/>
          <w:u w:val="single"/>
        </w:rPr>
        <w:t xml:space="preserve"> Agency</w:t>
      </w:r>
      <w:bookmarkEnd w:id="1"/>
      <w:bookmarkEnd w:id="3"/>
      <w:bookmarkEnd w:id="4"/>
    </w:p>
    <w:p w:rsidR="00382FF7" w:rsidRPr="00382FF7" w:rsidP="003F4627" w14:paraId="46C50AB7" w14:textId="77777777">
      <w:pPr>
        <w:rPr>
          <w:rFonts w:eastAsia="Calibri"/>
          <w:sz w:val="24"/>
          <w:szCs w:val="24"/>
        </w:rPr>
      </w:pPr>
      <w:r w:rsidRPr="00382FF7">
        <w:rPr>
          <w:rFonts w:eastAsia="Calibri"/>
          <w:sz w:val="24"/>
          <w:szCs w:val="24"/>
        </w:rPr>
        <w:tab/>
      </w:r>
    </w:p>
    <w:p w:rsidR="00382FF7" w:rsidP="003F4627" w14:paraId="1038D73D" w14:textId="77777777">
      <w:pPr>
        <w:rPr>
          <w:sz w:val="24"/>
          <w:szCs w:val="24"/>
        </w:rPr>
      </w:pPr>
      <w:r w:rsidRPr="003843DC">
        <w:rPr>
          <w:sz w:val="24"/>
          <w:szCs w:val="24"/>
        </w:rPr>
        <w:t xml:space="preserve">In accordance with 5 CFR 1320.8(d), </w:t>
      </w:r>
      <w:r>
        <w:rPr>
          <w:sz w:val="24"/>
          <w:szCs w:val="24"/>
        </w:rPr>
        <w:t xml:space="preserve">we </w:t>
      </w:r>
      <w:r w:rsidRPr="003843DC">
        <w:rPr>
          <w:sz w:val="24"/>
          <w:szCs w:val="24"/>
        </w:rPr>
        <w:t>published a 60</w:t>
      </w:r>
      <w:r>
        <w:rPr>
          <w:sz w:val="24"/>
          <w:szCs w:val="24"/>
        </w:rPr>
        <w:t>-</w:t>
      </w:r>
      <w:r w:rsidRPr="003843DC">
        <w:rPr>
          <w:sz w:val="24"/>
          <w:szCs w:val="24"/>
        </w:rPr>
        <w:t xml:space="preserve">day notice </w:t>
      </w:r>
      <w:r w:rsidR="005A4741">
        <w:rPr>
          <w:sz w:val="24"/>
          <w:szCs w:val="24"/>
        </w:rPr>
        <w:t xml:space="preserve">inviting </w:t>
      </w:r>
      <w:r w:rsidRPr="003843DC">
        <w:rPr>
          <w:sz w:val="24"/>
          <w:szCs w:val="24"/>
        </w:rPr>
        <w:t xml:space="preserve">public comment in the </w:t>
      </w:r>
      <w:r w:rsidRPr="003843DC">
        <w:rPr>
          <w:sz w:val="24"/>
          <w:szCs w:val="24"/>
          <w:u w:val="single"/>
        </w:rPr>
        <w:t>Federal Register</w:t>
      </w:r>
      <w:r>
        <w:rPr>
          <w:sz w:val="24"/>
          <w:szCs w:val="24"/>
        </w:rPr>
        <w:t xml:space="preserve"> </w:t>
      </w:r>
      <w:r w:rsidRPr="003843DC">
        <w:rPr>
          <w:sz w:val="24"/>
          <w:szCs w:val="24"/>
        </w:rPr>
        <w:t>of September 25, 2018 (83 FR 48441).</w:t>
      </w:r>
      <w:r w:rsidR="005A4741">
        <w:rPr>
          <w:sz w:val="24"/>
          <w:szCs w:val="24"/>
        </w:rPr>
        <w:t xml:space="preserve">  </w:t>
      </w:r>
      <w:r w:rsidRPr="003843DC">
        <w:rPr>
          <w:sz w:val="24"/>
          <w:szCs w:val="24"/>
        </w:rPr>
        <w:t>No comments were received.</w:t>
      </w:r>
    </w:p>
    <w:p w:rsidR="005A4741" w:rsidP="003F4627" w14:paraId="6FA600F2" w14:textId="77777777">
      <w:pPr>
        <w:rPr>
          <w:sz w:val="24"/>
          <w:szCs w:val="24"/>
        </w:rPr>
      </w:pPr>
    </w:p>
    <w:p w:rsidR="005A4741" w:rsidP="003F4627" w14:paraId="4E7F302F" w14:textId="77777777">
      <w:pPr>
        <w:rPr>
          <w:sz w:val="24"/>
          <w:szCs w:val="24"/>
        </w:rPr>
      </w:pPr>
      <w:r>
        <w:rPr>
          <w:sz w:val="24"/>
          <w:szCs w:val="24"/>
        </w:rPr>
        <w:t xml:space="preserve">9.  </w:t>
      </w:r>
      <w:r w:rsidRPr="005A4741">
        <w:rPr>
          <w:sz w:val="24"/>
          <w:szCs w:val="24"/>
          <w:u w:val="single"/>
        </w:rPr>
        <w:t>Explanation of Any Payment or Gift to Respondents</w:t>
      </w:r>
    </w:p>
    <w:p w:rsidR="005A4741" w:rsidP="003F4627" w14:paraId="0068670D" w14:textId="77777777">
      <w:pPr>
        <w:rPr>
          <w:sz w:val="24"/>
          <w:szCs w:val="24"/>
        </w:rPr>
      </w:pPr>
    </w:p>
    <w:p w:rsidR="005A4741" w:rsidP="003F4627" w14:paraId="40460762" w14:textId="77777777">
      <w:pPr>
        <w:rPr>
          <w:sz w:val="24"/>
          <w:szCs w:val="24"/>
        </w:rPr>
      </w:pPr>
      <w:r>
        <w:rPr>
          <w:sz w:val="24"/>
          <w:szCs w:val="24"/>
        </w:rPr>
        <w:t>No payment or gift is provided to respondents.</w:t>
      </w:r>
    </w:p>
    <w:p w:rsidR="003843DC" w:rsidP="003F4627" w14:paraId="59961424" w14:textId="77777777">
      <w:pPr>
        <w:rPr>
          <w:sz w:val="24"/>
          <w:szCs w:val="24"/>
        </w:rPr>
      </w:pPr>
    </w:p>
    <w:p w:rsidR="003843DC" w:rsidP="003F4627" w14:paraId="6D8F93A0" w14:textId="77777777">
      <w:pPr>
        <w:rPr>
          <w:sz w:val="24"/>
          <w:szCs w:val="24"/>
        </w:rPr>
      </w:pPr>
      <w:r>
        <w:rPr>
          <w:sz w:val="24"/>
          <w:szCs w:val="24"/>
        </w:rPr>
        <w:t xml:space="preserve">10.  </w:t>
      </w:r>
      <w:r w:rsidRPr="005A4741">
        <w:rPr>
          <w:sz w:val="24"/>
          <w:szCs w:val="24"/>
          <w:u w:val="single"/>
        </w:rPr>
        <w:t>Assurance of Confidentiality Provided to Respondents</w:t>
      </w:r>
    </w:p>
    <w:p w:rsidR="005A4741" w:rsidP="003F4627" w14:paraId="381F4634" w14:textId="77777777">
      <w:pPr>
        <w:rPr>
          <w:sz w:val="24"/>
          <w:szCs w:val="24"/>
        </w:rPr>
      </w:pPr>
    </w:p>
    <w:p w:rsidR="003843DC" w:rsidP="003F4627" w14:paraId="22D51415" w14:textId="77777777">
      <w:pPr>
        <w:rPr>
          <w:sz w:val="24"/>
          <w:szCs w:val="24"/>
        </w:rPr>
      </w:pPr>
      <w:r>
        <w:rPr>
          <w:sz w:val="24"/>
          <w:szCs w:val="24"/>
        </w:rPr>
        <w:t>P</w:t>
      </w:r>
      <w:r w:rsidRPr="003843DC">
        <w:rPr>
          <w:sz w:val="24"/>
          <w:szCs w:val="24"/>
        </w:rPr>
        <w:t xml:space="preserve">roprietary trade secret or other confidential information </w:t>
      </w:r>
      <w:r>
        <w:rPr>
          <w:sz w:val="24"/>
          <w:szCs w:val="24"/>
        </w:rPr>
        <w:t xml:space="preserve">may be submitted consistent with provisions found in the guideline.  </w:t>
      </w:r>
      <w:r w:rsidRPr="003843DC">
        <w:rPr>
          <w:sz w:val="24"/>
          <w:szCs w:val="24"/>
        </w:rPr>
        <w:t>The confidentiality of information received by FDA is consistent with the Freedom of Information Act (FOIA) and the agency’s published regulations of “</w:t>
      </w:r>
      <w:r w:rsidRPr="005A4741">
        <w:rPr>
          <w:i/>
          <w:sz w:val="24"/>
          <w:szCs w:val="24"/>
        </w:rPr>
        <w:t>Public Information</w:t>
      </w:r>
      <w:r w:rsidRPr="003843DC">
        <w:rPr>
          <w:sz w:val="24"/>
          <w:szCs w:val="24"/>
        </w:rPr>
        <w:t>” under 21 CFR Part 20.</w:t>
      </w:r>
    </w:p>
    <w:p w:rsidR="005A4741" w:rsidP="003F4627" w14:paraId="63701F47" w14:textId="77777777">
      <w:pPr>
        <w:rPr>
          <w:sz w:val="24"/>
          <w:szCs w:val="24"/>
        </w:rPr>
      </w:pPr>
    </w:p>
    <w:p w:rsidR="005A4741" w:rsidP="003F4627" w14:paraId="5F6CC2BA" w14:textId="77777777">
      <w:pPr>
        <w:rPr>
          <w:sz w:val="24"/>
          <w:szCs w:val="24"/>
        </w:rPr>
      </w:pPr>
      <w:r>
        <w:rPr>
          <w:sz w:val="24"/>
          <w:szCs w:val="24"/>
        </w:rPr>
        <w:t xml:space="preserve">11.  </w:t>
      </w:r>
      <w:r w:rsidRPr="005A4741">
        <w:rPr>
          <w:sz w:val="24"/>
          <w:szCs w:val="24"/>
          <w:u w:val="single"/>
        </w:rPr>
        <w:t xml:space="preserve">Justification for </w:t>
      </w:r>
      <w:r w:rsidRPr="005A4741" w:rsidR="00754B34">
        <w:rPr>
          <w:sz w:val="24"/>
          <w:szCs w:val="24"/>
          <w:u w:val="single"/>
        </w:rPr>
        <w:t>Sensitive</w:t>
      </w:r>
      <w:r w:rsidRPr="005A4741">
        <w:rPr>
          <w:sz w:val="24"/>
          <w:szCs w:val="24"/>
          <w:u w:val="single"/>
        </w:rPr>
        <w:t xml:space="preserve"> Questions</w:t>
      </w:r>
    </w:p>
    <w:p w:rsidR="005A4741" w:rsidP="003F4627" w14:paraId="6A7754E6" w14:textId="77777777">
      <w:pPr>
        <w:rPr>
          <w:sz w:val="24"/>
          <w:szCs w:val="24"/>
        </w:rPr>
      </w:pPr>
    </w:p>
    <w:p w:rsidR="005A4741" w:rsidP="003F4627" w14:paraId="7F00FB01" w14:textId="77777777">
      <w:pPr>
        <w:rPr>
          <w:sz w:val="24"/>
          <w:szCs w:val="24"/>
        </w:rPr>
      </w:pPr>
      <w:r>
        <w:rPr>
          <w:sz w:val="24"/>
          <w:szCs w:val="24"/>
        </w:rPr>
        <w:t xml:space="preserve">There are no questions of a </w:t>
      </w:r>
      <w:r w:rsidR="00754B34">
        <w:rPr>
          <w:sz w:val="24"/>
          <w:szCs w:val="24"/>
        </w:rPr>
        <w:t>sensitive</w:t>
      </w:r>
      <w:r>
        <w:rPr>
          <w:sz w:val="24"/>
          <w:szCs w:val="24"/>
        </w:rPr>
        <w:t xml:space="preserve"> nature associated with the information collection.</w:t>
      </w:r>
    </w:p>
    <w:p w:rsidR="005A4741" w:rsidP="003F4627" w14:paraId="63AA5471" w14:textId="77777777">
      <w:pPr>
        <w:rPr>
          <w:sz w:val="24"/>
          <w:szCs w:val="24"/>
        </w:rPr>
      </w:pPr>
    </w:p>
    <w:p w:rsidR="005A4741" w:rsidP="003F4627" w14:paraId="18764F4A" w14:textId="77777777">
      <w:pPr>
        <w:rPr>
          <w:sz w:val="24"/>
          <w:szCs w:val="24"/>
        </w:rPr>
      </w:pPr>
      <w:r>
        <w:rPr>
          <w:sz w:val="24"/>
          <w:szCs w:val="24"/>
        </w:rPr>
        <w:t xml:space="preserve">12.  </w:t>
      </w:r>
      <w:r w:rsidRPr="004C0AFA" w:rsidR="004C0AFA">
        <w:rPr>
          <w:sz w:val="24"/>
          <w:szCs w:val="24"/>
          <w:u w:val="single"/>
        </w:rPr>
        <w:t>Estimates of Annualized Burden and Costs</w:t>
      </w:r>
    </w:p>
    <w:p w:rsidR="00E315BC" w:rsidP="003F4627" w14:paraId="0DCC945D" w14:textId="77777777">
      <w:pPr>
        <w:rPr>
          <w:sz w:val="24"/>
          <w:szCs w:val="24"/>
        </w:rPr>
      </w:pPr>
    </w:p>
    <w:p w:rsidR="004C0AFA" w:rsidP="003F4627" w14:paraId="7C647C63" w14:textId="77777777">
      <w:pPr>
        <w:rPr>
          <w:sz w:val="24"/>
          <w:szCs w:val="24"/>
        </w:rPr>
      </w:pPr>
      <w:r>
        <w:rPr>
          <w:sz w:val="24"/>
          <w:szCs w:val="24"/>
        </w:rPr>
        <w:t>We estimate the burden for the information collection as follows:</w:t>
      </w:r>
    </w:p>
    <w:p w:rsidR="004C0AFA" w:rsidP="003F4627" w14:paraId="3604E28B" w14:textId="77777777">
      <w:pPr>
        <w:rPr>
          <w:sz w:val="24"/>
          <w:szCs w:val="24"/>
        </w:rPr>
      </w:pPr>
    </w:p>
    <w:p w:rsidR="00E315BC" w:rsidRPr="004C0AFA" w:rsidP="003F4627" w14:paraId="7473BCA5" w14:textId="77777777">
      <w:pPr>
        <w:rPr>
          <w:i/>
          <w:sz w:val="24"/>
          <w:szCs w:val="24"/>
        </w:rPr>
      </w:pPr>
      <w:r>
        <w:rPr>
          <w:sz w:val="24"/>
          <w:szCs w:val="24"/>
        </w:rPr>
        <w:tab/>
      </w:r>
      <w:r w:rsidRPr="004C0AFA">
        <w:rPr>
          <w:i/>
          <w:sz w:val="24"/>
          <w:szCs w:val="24"/>
        </w:rPr>
        <w:t>12a.  Annualized Hour Burden Estimate</w:t>
      </w:r>
    </w:p>
    <w:p w:rsidR="004C0AFA" w:rsidP="003F4627" w14:paraId="1718F117" w14:textId="77777777">
      <w:pPr>
        <w:rPr>
          <w:sz w:val="24"/>
          <w:szCs w:val="24"/>
        </w:rPr>
      </w:pPr>
    </w:p>
    <w:p w:rsidR="004C0AFA" w:rsidP="003F4627" w14:paraId="32E5CF9B" w14:textId="77777777">
      <w:pPr>
        <w:rPr>
          <w:sz w:val="24"/>
          <w:szCs w:val="24"/>
        </w:rPr>
      </w:pPr>
      <w:r>
        <w:rPr>
          <w:sz w:val="24"/>
          <w:szCs w:val="24"/>
        </w:rPr>
        <w:tab/>
        <w:t xml:space="preserve">The total estimated </w:t>
      </w:r>
      <w:r w:rsidR="005525F0">
        <w:rPr>
          <w:sz w:val="24"/>
          <w:szCs w:val="24"/>
        </w:rPr>
        <w:t xml:space="preserve">annual </w:t>
      </w:r>
      <w:r>
        <w:rPr>
          <w:sz w:val="24"/>
          <w:szCs w:val="24"/>
        </w:rPr>
        <w:t>hour</w:t>
      </w:r>
      <w:r w:rsidR="005525F0">
        <w:rPr>
          <w:sz w:val="24"/>
          <w:szCs w:val="24"/>
        </w:rPr>
        <w:t>ly</w:t>
      </w:r>
      <w:r>
        <w:rPr>
          <w:sz w:val="24"/>
          <w:szCs w:val="24"/>
        </w:rPr>
        <w:t xml:space="preserve"> burden is 59.03, as reflected in the tables below</w:t>
      </w:r>
      <w:r w:rsidR="005525F0">
        <w:rPr>
          <w:sz w:val="24"/>
          <w:szCs w:val="24"/>
        </w:rPr>
        <w:t>:</w:t>
      </w:r>
    </w:p>
    <w:p w:rsidR="00E315BC" w:rsidP="003F4627" w14:paraId="355A3564" w14:textId="77777777">
      <w:pPr>
        <w:rPr>
          <w:sz w:val="24"/>
          <w:szCs w:val="24"/>
        </w:rPr>
      </w:pPr>
    </w:p>
    <w:p w:rsidR="00E315BC" w:rsidRPr="00E315BC" w:rsidP="003F4627" w14:paraId="60BF0D20" w14:textId="77777777">
      <w:pPr>
        <w:jc w:val="center"/>
      </w:pPr>
      <w:r w:rsidRPr="00E315BC">
        <w:t>Table</w:t>
      </w:r>
      <w:r>
        <w:t xml:space="preserve"> 1 – Estimated </w:t>
      </w:r>
      <w:r w:rsidRPr="00E315BC">
        <w:t>Annual Reporting Burden</w:t>
      </w:r>
      <w:r w:rsidRPr="00E315BC">
        <w:rPr>
          <w:vertAlign w:val="superscript"/>
        </w:rPr>
        <w:t>1</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1260"/>
        <w:gridCol w:w="1530"/>
        <w:gridCol w:w="1080"/>
        <w:gridCol w:w="1260"/>
        <w:gridCol w:w="787"/>
      </w:tblGrid>
      <w:tr w14:paraId="0E3A250C" w14:textId="77777777" w:rsidTr="005525F0">
        <w:tblPrEx>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3708" w:type="dxa"/>
          </w:tcPr>
          <w:p w:rsidR="00E315BC" w:rsidRPr="00E315BC" w:rsidP="003F4627" w14:paraId="1C676FA0" w14:textId="77777777">
            <w:pPr>
              <w:jc w:val="center"/>
            </w:pPr>
            <w:r w:rsidRPr="00E315BC">
              <w:t>PHS Guideline Section</w:t>
            </w:r>
            <w:r w:rsidR="00A74CDA">
              <w:t>; Information Collection Activity</w:t>
            </w:r>
          </w:p>
        </w:tc>
        <w:tc>
          <w:tcPr>
            <w:tcW w:w="1260" w:type="dxa"/>
          </w:tcPr>
          <w:p w:rsidR="00E315BC" w:rsidRPr="00E315BC" w:rsidP="003F4627" w14:paraId="47320F49" w14:textId="77777777">
            <w:pPr>
              <w:jc w:val="center"/>
            </w:pPr>
            <w:r w:rsidRPr="00E315BC">
              <w:t>No. of Respondents</w:t>
            </w:r>
          </w:p>
        </w:tc>
        <w:tc>
          <w:tcPr>
            <w:tcW w:w="1530" w:type="dxa"/>
          </w:tcPr>
          <w:p w:rsidR="00E315BC" w:rsidRPr="00E315BC" w:rsidP="003F4627" w14:paraId="66814C44" w14:textId="77777777">
            <w:pPr>
              <w:jc w:val="center"/>
            </w:pPr>
            <w:r w:rsidRPr="00E315BC">
              <w:t>No. of Responses per Respondent</w:t>
            </w:r>
          </w:p>
        </w:tc>
        <w:tc>
          <w:tcPr>
            <w:tcW w:w="1080" w:type="dxa"/>
          </w:tcPr>
          <w:p w:rsidR="00E315BC" w:rsidRPr="00E315BC" w:rsidP="003F4627" w14:paraId="0957CA5D" w14:textId="77777777">
            <w:pPr>
              <w:jc w:val="center"/>
            </w:pPr>
            <w:r w:rsidRPr="00E315BC">
              <w:t>Total Annual</w:t>
            </w:r>
          </w:p>
          <w:p w:rsidR="00E315BC" w:rsidRPr="00E315BC" w:rsidP="003F4627" w14:paraId="07FAF65B" w14:textId="77777777">
            <w:pPr>
              <w:jc w:val="center"/>
            </w:pPr>
            <w:r w:rsidRPr="00E315BC">
              <w:t>Responses</w:t>
            </w:r>
          </w:p>
        </w:tc>
        <w:tc>
          <w:tcPr>
            <w:tcW w:w="1260" w:type="dxa"/>
          </w:tcPr>
          <w:p w:rsidR="00E315BC" w:rsidRPr="00E315BC" w:rsidP="003F4627" w14:paraId="41C9A6BF" w14:textId="77777777">
            <w:pPr>
              <w:jc w:val="center"/>
            </w:pPr>
            <w:r w:rsidRPr="00E315BC">
              <w:t>Av</w:t>
            </w:r>
            <w:r w:rsidR="00A74CDA">
              <w:t>g.</w:t>
            </w:r>
            <w:r w:rsidRPr="00E315BC">
              <w:t xml:space="preserve"> Burden per</w:t>
            </w:r>
          </w:p>
          <w:p w:rsidR="00E315BC" w:rsidRPr="00E315BC" w:rsidP="003F4627" w14:paraId="700ED53C" w14:textId="77777777">
            <w:pPr>
              <w:jc w:val="center"/>
            </w:pPr>
            <w:r w:rsidRPr="00E315BC">
              <w:t>Response</w:t>
            </w:r>
          </w:p>
        </w:tc>
        <w:tc>
          <w:tcPr>
            <w:tcW w:w="787" w:type="dxa"/>
          </w:tcPr>
          <w:p w:rsidR="00E315BC" w:rsidRPr="00E315BC" w:rsidP="003F4627" w14:paraId="04175590" w14:textId="77777777">
            <w:pPr>
              <w:jc w:val="center"/>
            </w:pPr>
            <w:r w:rsidRPr="00E315BC">
              <w:t>Total Hours</w:t>
            </w:r>
          </w:p>
        </w:tc>
      </w:tr>
      <w:tr w14:paraId="586A49D9" w14:textId="77777777" w:rsidTr="005525F0">
        <w:tblPrEx>
          <w:tblW w:w="9625" w:type="dxa"/>
          <w:jc w:val="center"/>
          <w:tblLayout w:type="fixed"/>
          <w:tblLook w:val="0000"/>
        </w:tblPrEx>
        <w:trPr>
          <w:jc w:val="center"/>
        </w:trPr>
        <w:tc>
          <w:tcPr>
            <w:tcW w:w="3708" w:type="dxa"/>
          </w:tcPr>
          <w:p w:rsidR="00E315BC" w:rsidRPr="00E315BC" w:rsidP="003F4627" w14:paraId="67ABE585" w14:textId="77777777">
            <w:r w:rsidRPr="00E315BC">
              <w:t>3.2.7.</w:t>
            </w:r>
            <w:r>
              <w:t xml:space="preserve">2; </w:t>
            </w:r>
            <w:r w:rsidRPr="00E315BC">
              <w:t>Notify sponsor or FDA of new archive site when the source animal facility or sponsor ceases operations</w:t>
            </w:r>
            <w:r w:rsidR="00C62449">
              <w:t>.</w:t>
            </w:r>
            <w:r w:rsidRPr="00C62449" w:rsidR="00C62449">
              <w:rPr>
                <w:vertAlign w:val="superscript"/>
              </w:rPr>
              <w:t>2</w:t>
            </w:r>
          </w:p>
        </w:tc>
        <w:tc>
          <w:tcPr>
            <w:tcW w:w="1260" w:type="dxa"/>
          </w:tcPr>
          <w:p w:rsidR="00E315BC" w:rsidRPr="00E315BC" w:rsidP="003F4627" w14:paraId="489106F1" w14:textId="77777777">
            <w:pPr>
              <w:jc w:val="right"/>
            </w:pPr>
            <w:r w:rsidRPr="00E315BC">
              <w:t>1</w:t>
            </w:r>
          </w:p>
        </w:tc>
        <w:tc>
          <w:tcPr>
            <w:tcW w:w="1530" w:type="dxa"/>
          </w:tcPr>
          <w:p w:rsidR="00E315BC" w:rsidRPr="00E315BC" w:rsidP="003F4627" w14:paraId="7EC42D67" w14:textId="77777777">
            <w:pPr>
              <w:jc w:val="right"/>
            </w:pPr>
            <w:r w:rsidRPr="00E315BC">
              <w:t>1</w:t>
            </w:r>
          </w:p>
        </w:tc>
        <w:tc>
          <w:tcPr>
            <w:tcW w:w="1080" w:type="dxa"/>
          </w:tcPr>
          <w:p w:rsidR="00E315BC" w:rsidRPr="00E315BC" w:rsidP="003F4627" w14:paraId="470ED129" w14:textId="77777777">
            <w:pPr>
              <w:jc w:val="right"/>
            </w:pPr>
            <w:r w:rsidRPr="00E315BC">
              <w:t>1</w:t>
            </w:r>
          </w:p>
        </w:tc>
        <w:tc>
          <w:tcPr>
            <w:tcW w:w="1260" w:type="dxa"/>
          </w:tcPr>
          <w:p w:rsidR="00E315BC" w:rsidRPr="00E315BC" w:rsidP="003F4627" w14:paraId="1E7AFEC5" w14:textId="77777777">
            <w:pPr>
              <w:jc w:val="right"/>
            </w:pPr>
            <w:r w:rsidRPr="00E315BC">
              <w:t>0.50</w:t>
            </w:r>
          </w:p>
          <w:p w:rsidR="00E315BC" w:rsidRPr="00E315BC" w:rsidP="003F4627" w14:paraId="6F8C7C1E" w14:textId="77777777">
            <w:pPr>
              <w:jc w:val="right"/>
            </w:pPr>
            <w:r w:rsidRPr="00E315BC">
              <w:t xml:space="preserve">(30 </w:t>
            </w:r>
            <w:r w:rsidR="00A74CDA">
              <w:t>mins.)</w:t>
            </w:r>
          </w:p>
        </w:tc>
        <w:tc>
          <w:tcPr>
            <w:tcW w:w="787" w:type="dxa"/>
          </w:tcPr>
          <w:p w:rsidR="00E315BC" w:rsidRPr="00E315BC" w:rsidP="003F4627" w14:paraId="7B827FB5" w14:textId="77777777">
            <w:pPr>
              <w:jc w:val="right"/>
            </w:pPr>
            <w:r w:rsidRPr="00E315BC">
              <w:t>0</w:t>
            </w:r>
            <w:r w:rsidR="005525F0">
              <w:t>.5</w:t>
            </w:r>
          </w:p>
        </w:tc>
      </w:tr>
    </w:tbl>
    <w:p w:rsidR="00E315BC" w:rsidRPr="00E315BC" w:rsidP="003F4627" w14:paraId="009FF6DB" w14:textId="77777777">
      <w:r w:rsidRPr="00E315BC">
        <w:rPr>
          <w:vertAlign w:val="superscript"/>
        </w:rPr>
        <w:t>1</w:t>
      </w:r>
      <w:r w:rsidR="00754B34">
        <w:rPr>
          <w:vertAlign w:val="superscript"/>
        </w:rPr>
        <w:t xml:space="preserve"> </w:t>
      </w:r>
      <w:r w:rsidRPr="00E315BC">
        <w:t>There are no capital costs or operating and maintenance costs associated with this collection of information.</w:t>
      </w:r>
    </w:p>
    <w:p w:rsidR="00E315BC" w:rsidRPr="00E315BC" w:rsidP="003F4627" w14:paraId="13CDEE0D" w14:textId="77777777">
      <w:pPr>
        <w:rPr>
          <w:i/>
          <w:iCs/>
        </w:rPr>
      </w:pPr>
      <w:r w:rsidRPr="00E315BC">
        <w:rPr>
          <w:vertAlign w:val="superscript"/>
        </w:rPr>
        <w:t>2</w:t>
      </w:r>
      <w:r w:rsidR="00754B34">
        <w:rPr>
          <w:vertAlign w:val="superscript"/>
        </w:rPr>
        <w:t xml:space="preserve"> </w:t>
      </w:r>
      <w:r w:rsidR="005525F0">
        <w:rPr>
          <w:vertAlign w:val="superscript"/>
        </w:rPr>
        <w:t xml:space="preserve"> </w:t>
      </w:r>
      <w:r w:rsidRPr="00E315BC">
        <w:t xml:space="preserve">FDA is using 1 animal facility or sponsor for estimation purposes. </w:t>
      </w:r>
    </w:p>
    <w:p w:rsidR="00E315BC" w:rsidP="003F4627" w14:paraId="5E322EEE" w14:textId="77777777">
      <w:pPr>
        <w:rPr>
          <w:sz w:val="24"/>
          <w:szCs w:val="24"/>
        </w:rPr>
      </w:pPr>
    </w:p>
    <w:p w:rsidR="00AF166C" w:rsidP="003F4627" w14:paraId="463F4D5F" w14:textId="77777777">
      <w:pPr>
        <w:rPr>
          <w:sz w:val="24"/>
          <w:szCs w:val="24"/>
        </w:rPr>
      </w:pPr>
      <w:r>
        <w:rPr>
          <w:sz w:val="24"/>
          <w:szCs w:val="24"/>
        </w:rPr>
        <w:br w:type="page"/>
      </w:r>
    </w:p>
    <w:p w:rsidR="00A74CDA" w:rsidRPr="00AF166C" w:rsidP="003F4627" w14:paraId="0587FCB3" w14:textId="77777777">
      <w:pPr>
        <w:jc w:val="center"/>
        <w:rPr>
          <w:sz w:val="24"/>
          <w:szCs w:val="24"/>
        </w:rPr>
      </w:pPr>
      <w:r w:rsidRPr="00AF166C">
        <w:rPr>
          <w:sz w:val="24"/>
          <w:szCs w:val="24"/>
        </w:rPr>
        <w:t xml:space="preserve">Table </w:t>
      </w:r>
      <w:r w:rsidRPr="00AF166C" w:rsidR="004C0AFA">
        <w:rPr>
          <w:sz w:val="24"/>
          <w:szCs w:val="24"/>
        </w:rPr>
        <w:t xml:space="preserve">2 – Estimated </w:t>
      </w:r>
      <w:r w:rsidRPr="00AF166C">
        <w:rPr>
          <w:sz w:val="24"/>
          <w:szCs w:val="24"/>
        </w:rPr>
        <w:t>Annual Recordkeeping Burden</w:t>
      </w:r>
      <w:r w:rsidRPr="00AF166C">
        <w:rPr>
          <w:sz w:val="24"/>
          <w:szCs w:val="24"/>
          <w:vertAlign w:val="superscript"/>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3708"/>
        <w:gridCol w:w="1440"/>
        <w:gridCol w:w="1350"/>
        <w:gridCol w:w="900"/>
        <w:gridCol w:w="1440"/>
        <w:gridCol w:w="738"/>
      </w:tblGrid>
      <w:tr w14:paraId="21234998" w14:textId="77777777" w:rsidTr="004C0AF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Ex>
        <w:trPr>
          <w:cantSplit/>
          <w:tblHeader/>
          <w:jc w:val="center"/>
        </w:trPr>
        <w:tc>
          <w:tcPr>
            <w:tcW w:w="3708" w:type="dxa"/>
          </w:tcPr>
          <w:p w:rsidR="00A74CDA" w:rsidRPr="00A74CDA" w:rsidP="003F4627" w14:paraId="4CF60192" w14:textId="77777777">
            <w:pPr>
              <w:jc w:val="center"/>
            </w:pPr>
            <w:r w:rsidRPr="00A74CDA">
              <w:t>PHS Guideline Section</w:t>
            </w:r>
            <w:r>
              <w:t>; Information Collection Activity</w:t>
            </w:r>
          </w:p>
        </w:tc>
        <w:tc>
          <w:tcPr>
            <w:tcW w:w="1440" w:type="dxa"/>
          </w:tcPr>
          <w:p w:rsidR="00A74CDA" w:rsidRPr="00A74CDA" w:rsidP="003F4627" w14:paraId="14A70DC4" w14:textId="77777777">
            <w:pPr>
              <w:jc w:val="center"/>
            </w:pPr>
            <w:r w:rsidRPr="00A74CDA">
              <w:t>No. of</w:t>
            </w:r>
          </w:p>
          <w:p w:rsidR="00A74CDA" w:rsidRPr="00A74CDA" w:rsidP="003F4627" w14:paraId="67C7D5DE" w14:textId="77777777">
            <w:pPr>
              <w:jc w:val="center"/>
            </w:pPr>
            <w:r w:rsidRPr="00A74CDA">
              <w:t>Recordkeepers</w:t>
            </w:r>
          </w:p>
        </w:tc>
        <w:tc>
          <w:tcPr>
            <w:tcW w:w="1350" w:type="dxa"/>
          </w:tcPr>
          <w:p w:rsidR="00A74CDA" w:rsidRPr="00A74CDA" w:rsidP="003F4627" w14:paraId="7864924B" w14:textId="77777777">
            <w:pPr>
              <w:jc w:val="center"/>
            </w:pPr>
            <w:r w:rsidRPr="00A74CDA">
              <w:t>No. of Records per Recordkeeper</w:t>
            </w:r>
          </w:p>
        </w:tc>
        <w:tc>
          <w:tcPr>
            <w:tcW w:w="900" w:type="dxa"/>
          </w:tcPr>
          <w:p w:rsidR="00A74CDA" w:rsidRPr="00A74CDA" w:rsidP="003F4627" w14:paraId="454D2F9F" w14:textId="77777777">
            <w:pPr>
              <w:jc w:val="center"/>
            </w:pPr>
            <w:r w:rsidRPr="00A74CDA">
              <w:t>Total Annual</w:t>
            </w:r>
          </w:p>
          <w:p w:rsidR="00A74CDA" w:rsidRPr="00A74CDA" w:rsidP="003F4627" w14:paraId="3D28C1A6" w14:textId="77777777">
            <w:pPr>
              <w:jc w:val="center"/>
            </w:pPr>
            <w:r w:rsidRPr="00A74CDA">
              <w:t>Records</w:t>
            </w:r>
          </w:p>
        </w:tc>
        <w:tc>
          <w:tcPr>
            <w:tcW w:w="1440" w:type="dxa"/>
          </w:tcPr>
          <w:p w:rsidR="00A74CDA" w:rsidRPr="00A74CDA" w:rsidP="003F4627" w14:paraId="5F99E3CE" w14:textId="77777777">
            <w:pPr>
              <w:jc w:val="center"/>
            </w:pPr>
            <w:r w:rsidRPr="00A74CDA">
              <w:t>A</w:t>
            </w:r>
            <w:r>
              <w:t>vg.</w:t>
            </w:r>
            <w:r w:rsidRPr="00A74CDA">
              <w:t xml:space="preserve"> Burden per</w:t>
            </w:r>
          </w:p>
          <w:p w:rsidR="00A74CDA" w:rsidRPr="00A74CDA" w:rsidP="003F4627" w14:paraId="2DC54242" w14:textId="77777777">
            <w:pPr>
              <w:jc w:val="center"/>
            </w:pPr>
            <w:r w:rsidRPr="00A74CDA">
              <w:t>Recordkeeping</w:t>
            </w:r>
          </w:p>
        </w:tc>
        <w:tc>
          <w:tcPr>
            <w:tcW w:w="738" w:type="dxa"/>
          </w:tcPr>
          <w:p w:rsidR="00A74CDA" w:rsidRPr="00A74CDA" w:rsidP="00BA1B02" w14:paraId="038BB173" w14:textId="77777777">
            <w:pPr>
              <w:jc w:val="right"/>
            </w:pPr>
            <w:r w:rsidRPr="00A74CDA">
              <w:t>Total Hours</w:t>
            </w:r>
          </w:p>
        </w:tc>
      </w:tr>
      <w:tr w14:paraId="2BD26A0D" w14:textId="77777777" w:rsidTr="004C0AFA">
        <w:tblPrEx>
          <w:tblW w:w="0" w:type="auto"/>
          <w:jc w:val="center"/>
          <w:tblLayout w:type="fixed"/>
          <w:tblLook w:val="0020"/>
        </w:tblPrEx>
        <w:trPr>
          <w:cantSplit/>
          <w:jc w:val="center"/>
        </w:trPr>
        <w:tc>
          <w:tcPr>
            <w:tcW w:w="3708" w:type="dxa"/>
          </w:tcPr>
          <w:p w:rsidR="000325DB" w:rsidRPr="007D2A6D" w:rsidP="003F4627" w14:paraId="61CB0443" w14:textId="77777777">
            <w:r w:rsidRPr="007D2A6D">
              <w:t>3.2.7</w:t>
            </w:r>
            <w:r>
              <w:t xml:space="preserve">; </w:t>
            </w:r>
            <w:r w:rsidRPr="007D2A6D">
              <w:t>Establish records linking each xenotransplantation product recipient with relevant records.</w:t>
            </w:r>
            <w:r w:rsidRPr="00C62449" w:rsidR="00C62449">
              <w:rPr>
                <w:vertAlign w:val="superscript"/>
              </w:rPr>
              <w:t>2</w:t>
            </w:r>
            <w:r w:rsidRPr="007D2A6D">
              <w:t xml:space="preserve"> </w:t>
            </w:r>
          </w:p>
        </w:tc>
        <w:tc>
          <w:tcPr>
            <w:tcW w:w="1440" w:type="dxa"/>
          </w:tcPr>
          <w:p w:rsidR="000325DB" w:rsidRPr="00A74CDA" w:rsidP="003F4627" w14:paraId="446F7972" w14:textId="77777777">
            <w:pPr>
              <w:jc w:val="right"/>
            </w:pPr>
            <w:r w:rsidRPr="00A74CDA">
              <w:t>1</w:t>
            </w:r>
          </w:p>
        </w:tc>
        <w:tc>
          <w:tcPr>
            <w:tcW w:w="1350" w:type="dxa"/>
          </w:tcPr>
          <w:p w:rsidR="000325DB" w:rsidRPr="00A74CDA" w:rsidP="003F4627" w14:paraId="0392F4F7" w14:textId="77777777">
            <w:pPr>
              <w:jc w:val="right"/>
            </w:pPr>
            <w:r w:rsidRPr="00A74CDA">
              <w:t>1</w:t>
            </w:r>
          </w:p>
        </w:tc>
        <w:tc>
          <w:tcPr>
            <w:tcW w:w="900" w:type="dxa"/>
          </w:tcPr>
          <w:p w:rsidR="000325DB" w:rsidRPr="00A74CDA" w:rsidP="003F4627" w14:paraId="37CC6672" w14:textId="77777777">
            <w:pPr>
              <w:jc w:val="right"/>
            </w:pPr>
            <w:r w:rsidRPr="00A74CDA">
              <w:t>1</w:t>
            </w:r>
          </w:p>
        </w:tc>
        <w:tc>
          <w:tcPr>
            <w:tcW w:w="1440" w:type="dxa"/>
          </w:tcPr>
          <w:p w:rsidR="000325DB" w:rsidRPr="00A74CDA" w:rsidP="003F4627" w14:paraId="3782FE87" w14:textId="77777777">
            <w:pPr>
              <w:jc w:val="right"/>
            </w:pPr>
            <w:r w:rsidRPr="00A74CDA">
              <w:t>16</w:t>
            </w:r>
          </w:p>
        </w:tc>
        <w:tc>
          <w:tcPr>
            <w:tcW w:w="738" w:type="dxa"/>
          </w:tcPr>
          <w:p w:rsidR="000325DB" w:rsidRPr="00A74CDA" w:rsidP="00BA1B02" w14:paraId="376B5616" w14:textId="77777777">
            <w:pPr>
              <w:jc w:val="right"/>
            </w:pPr>
            <w:r w:rsidRPr="00A74CDA">
              <w:t xml:space="preserve">      16</w:t>
            </w:r>
          </w:p>
        </w:tc>
      </w:tr>
      <w:tr w14:paraId="6E639DF8" w14:textId="77777777" w:rsidTr="004C0AFA">
        <w:tblPrEx>
          <w:tblW w:w="0" w:type="auto"/>
          <w:jc w:val="center"/>
          <w:tblLayout w:type="fixed"/>
          <w:tblLook w:val="0020"/>
        </w:tblPrEx>
        <w:trPr>
          <w:cantSplit/>
          <w:jc w:val="center"/>
        </w:trPr>
        <w:tc>
          <w:tcPr>
            <w:tcW w:w="3708" w:type="dxa"/>
          </w:tcPr>
          <w:p w:rsidR="000325DB" w:rsidRPr="007D2A6D" w:rsidP="003F4627" w14:paraId="423B4951" w14:textId="77777777">
            <w:pPr>
              <w:tabs>
                <w:tab w:val="center" w:pos="4320"/>
                <w:tab w:val="right" w:pos="8640"/>
              </w:tabs>
            </w:pPr>
            <w:r w:rsidRPr="007D2A6D">
              <w:t>4.3</w:t>
            </w:r>
            <w:r>
              <w:t xml:space="preserve">; </w:t>
            </w:r>
            <w:r w:rsidRPr="007D2A6D">
              <w:t>Sponsor to maintain cross-referenced system that links all relevant records (recipient, product, source animal, animal procurement center, and nosocomial exposures).</w:t>
            </w:r>
            <w:r w:rsidRPr="00C62449" w:rsidR="00C62449">
              <w:rPr>
                <w:vertAlign w:val="superscript"/>
              </w:rPr>
              <w:t>3</w:t>
            </w:r>
          </w:p>
        </w:tc>
        <w:tc>
          <w:tcPr>
            <w:tcW w:w="1440" w:type="dxa"/>
          </w:tcPr>
          <w:p w:rsidR="000325DB" w:rsidRPr="00A74CDA" w:rsidP="003F4627" w14:paraId="77788509" w14:textId="34E8694E">
            <w:pPr>
              <w:jc w:val="right"/>
            </w:pPr>
            <w:r>
              <w:t>5</w:t>
            </w:r>
          </w:p>
        </w:tc>
        <w:tc>
          <w:tcPr>
            <w:tcW w:w="1350" w:type="dxa"/>
          </w:tcPr>
          <w:p w:rsidR="000325DB" w:rsidRPr="00A74CDA" w:rsidP="003F4627" w14:paraId="65949797" w14:textId="77777777">
            <w:pPr>
              <w:jc w:val="right"/>
            </w:pPr>
            <w:r w:rsidRPr="00A74CDA">
              <w:t>1</w:t>
            </w:r>
          </w:p>
        </w:tc>
        <w:tc>
          <w:tcPr>
            <w:tcW w:w="900" w:type="dxa"/>
          </w:tcPr>
          <w:p w:rsidR="000325DB" w:rsidRPr="00A74CDA" w:rsidP="003F4627" w14:paraId="1088564C" w14:textId="0D4590DC">
            <w:pPr>
              <w:jc w:val="right"/>
            </w:pPr>
            <w:r>
              <w:t>5</w:t>
            </w:r>
          </w:p>
        </w:tc>
        <w:tc>
          <w:tcPr>
            <w:tcW w:w="1440" w:type="dxa"/>
          </w:tcPr>
          <w:p w:rsidR="000325DB" w:rsidRPr="00A74CDA" w:rsidP="003F4627" w14:paraId="59635E4D" w14:textId="77777777">
            <w:pPr>
              <w:jc w:val="right"/>
            </w:pPr>
            <w:r w:rsidRPr="00A74CDA">
              <w:t>0.75</w:t>
            </w:r>
          </w:p>
          <w:p w:rsidR="000325DB" w:rsidRPr="00A74CDA" w:rsidP="003F4627" w14:paraId="54258EC2" w14:textId="77777777">
            <w:pPr>
              <w:jc w:val="right"/>
            </w:pPr>
            <w:r w:rsidRPr="00A74CDA">
              <w:t xml:space="preserve">(45 </w:t>
            </w:r>
            <w:r>
              <w:t>mins.)</w:t>
            </w:r>
          </w:p>
        </w:tc>
        <w:tc>
          <w:tcPr>
            <w:tcW w:w="738" w:type="dxa"/>
          </w:tcPr>
          <w:p w:rsidR="000325DB" w:rsidRPr="00A74CDA" w:rsidP="00BA1B02" w14:paraId="3FE279B3" w14:textId="376F1E29">
            <w:pPr>
              <w:jc w:val="right"/>
            </w:pPr>
            <w:r>
              <w:t>3.75</w:t>
            </w:r>
            <w:r w:rsidRPr="00A74CDA">
              <w:t xml:space="preserve">   </w:t>
            </w:r>
          </w:p>
        </w:tc>
      </w:tr>
      <w:tr w14:paraId="65BE9740" w14:textId="77777777" w:rsidTr="004C0AFA">
        <w:tblPrEx>
          <w:tblW w:w="0" w:type="auto"/>
          <w:jc w:val="center"/>
          <w:tblLayout w:type="fixed"/>
          <w:tblLook w:val="0020"/>
        </w:tblPrEx>
        <w:trPr>
          <w:cantSplit/>
          <w:jc w:val="center"/>
        </w:trPr>
        <w:tc>
          <w:tcPr>
            <w:tcW w:w="3708" w:type="dxa"/>
          </w:tcPr>
          <w:p w:rsidR="000325DB" w:rsidRPr="007D2A6D" w:rsidP="003F4627" w14:paraId="7EB01A0B" w14:textId="77777777">
            <w:pPr>
              <w:tabs>
                <w:tab w:val="center" w:pos="4320"/>
                <w:tab w:val="right" w:pos="8640"/>
              </w:tabs>
            </w:pPr>
            <w:r w:rsidRPr="007D2A6D">
              <w:t>3.4.2</w:t>
            </w:r>
            <w:r>
              <w:t xml:space="preserve">; </w:t>
            </w:r>
            <w:r w:rsidRPr="007D2A6D">
              <w:t>Document results of monitoring program used to detect introduction of infectious agents which may not be apparent clinically.</w:t>
            </w:r>
            <w:r w:rsidRPr="00C62449" w:rsidR="00C62449">
              <w:rPr>
                <w:vertAlign w:val="superscript"/>
              </w:rPr>
              <w:t>4</w:t>
            </w:r>
          </w:p>
        </w:tc>
        <w:tc>
          <w:tcPr>
            <w:tcW w:w="1440" w:type="dxa"/>
          </w:tcPr>
          <w:p w:rsidR="000325DB" w:rsidRPr="00A74CDA" w:rsidP="003F4627" w14:paraId="44E40804" w14:textId="7BC949C8">
            <w:pPr>
              <w:jc w:val="right"/>
            </w:pPr>
            <w:r>
              <w:t>5</w:t>
            </w:r>
          </w:p>
        </w:tc>
        <w:tc>
          <w:tcPr>
            <w:tcW w:w="1350" w:type="dxa"/>
          </w:tcPr>
          <w:p w:rsidR="000325DB" w:rsidRPr="00A74CDA" w:rsidP="003F4627" w14:paraId="7B144A35" w14:textId="2B87E363">
            <w:pPr>
              <w:jc w:val="right"/>
            </w:pPr>
            <w:r>
              <w:t>8.8</w:t>
            </w:r>
          </w:p>
        </w:tc>
        <w:tc>
          <w:tcPr>
            <w:tcW w:w="900" w:type="dxa"/>
          </w:tcPr>
          <w:p w:rsidR="000325DB" w:rsidRPr="00A74CDA" w:rsidP="003F4627" w14:paraId="546FBB67" w14:textId="4E06177B">
            <w:pPr>
              <w:jc w:val="right"/>
            </w:pPr>
            <w:r>
              <w:t>44</w:t>
            </w:r>
          </w:p>
        </w:tc>
        <w:tc>
          <w:tcPr>
            <w:tcW w:w="1440" w:type="dxa"/>
          </w:tcPr>
          <w:p w:rsidR="000325DB" w:rsidRPr="00A74CDA" w:rsidP="003F4627" w14:paraId="5D754AD6" w14:textId="77777777">
            <w:pPr>
              <w:jc w:val="right"/>
            </w:pPr>
            <w:r w:rsidRPr="00A74CDA">
              <w:t>0.25</w:t>
            </w:r>
          </w:p>
          <w:p w:rsidR="000325DB" w:rsidRPr="00A74CDA" w:rsidP="003F4627" w14:paraId="77C4ED93" w14:textId="77777777">
            <w:pPr>
              <w:jc w:val="right"/>
            </w:pPr>
            <w:r w:rsidRPr="00A74CDA">
              <w:t xml:space="preserve">(15 </w:t>
            </w:r>
            <w:r>
              <w:t>mins.)</w:t>
            </w:r>
          </w:p>
        </w:tc>
        <w:tc>
          <w:tcPr>
            <w:tcW w:w="738" w:type="dxa"/>
          </w:tcPr>
          <w:p w:rsidR="000325DB" w:rsidRPr="00A74CDA" w:rsidP="00BA1B02" w14:paraId="58DB0794" w14:textId="17BADBA4">
            <w:pPr>
              <w:jc w:val="right"/>
            </w:pPr>
            <w:r>
              <w:t>11</w:t>
            </w:r>
          </w:p>
        </w:tc>
      </w:tr>
      <w:tr w14:paraId="59FA6785" w14:textId="77777777" w:rsidTr="004C0AFA">
        <w:tblPrEx>
          <w:tblW w:w="0" w:type="auto"/>
          <w:jc w:val="center"/>
          <w:tblLayout w:type="fixed"/>
          <w:tblLook w:val="0020"/>
        </w:tblPrEx>
        <w:trPr>
          <w:cantSplit/>
          <w:jc w:val="center"/>
        </w:trPr>
        <w:tc>
          <w:tcPr>
            <w:tcW w:w="3708" w:type="dxa"/>
          </w:tcPr>
          <w:p w:rsidR="000325DB" w:rsidRPr="007D2A6D" w:rsidP="003F4627" w14:paraId="5BBD4DF6" w14:textId="77777777">
            <w:r w:rsidRPr="007D2A6D">
              <w:t>3.4.3.2</w:t>
            </w:r>
            <w:r>
              <w:t xml:space="preserve">; </w:t>
            </w:r>
            <w:r w:rsidRPr="007D2A6D">
              <w:t>Document full necropsy investigations including evaluation for infectious etiologies.</w:t>
            </w:r>
            <w:r w:rsidRPr="00C62449" w:rsidR="00C62449">
              <w:rPr>
                <w:vertAlign w:val="superscript"/>
              </w:rPr>
              <w:t>5</w:t>
            </w:r>
          </w:p>
        </w:tc>
        <w:tc>
          <w:tcPr>
            <w:tcW w:w="1440" w:type="dxa"/>
          </w:tcPr>
          <w:p w:rsidR="000325DB" w:rsidRPr="00A74CDA" w:rsidP="003F4627" w14:paraId="0864BCCC" w14:textId="1A6736AE">
            <w:pPr>
              <w:jc w:val="right"/>
            </w:pPr>
            <w:r>
              <w:t>5</w:t>
            </w:r>
          </w:p>
        </w:tc>
        <w:tc>
          <w:tcPr>
            <w:tcW w:w="1350" w:type="dxa"/>
          </w:tcPr>
          <w:p w:rsidR="000325DB" w:rsidRPr="00A74CDA" w:rsidP="003F4627" w14:paraId="1BAB9D34" w14:textId="2B0194DC">
            <w:pPr>
              <w:jc w:val="right"/>
            </w:pPr>
            <w:r w:rsidRPr="00A74CDA">
              <w:t>2.</w:t>
            </w:r>
            <w:r w:rsidR="00041BE5">
              <w:t>40</w:t>
            </w:r>
          </w:p>
        </w:tc>
        <w:tc>
          <w:tcPr>
            <w:tcW w:w="900" w:type="dxa"/>
          </w:tcPr>
          <w:p w:rsidR="000325DB" w:rsidRPr="00A74CDA" w:rsidP="003F4627" w14:paraId="21BA851F" w14:textId="12D9D267">
            <w:pPr>
              <w:jc w:val="right"/>
            </w:pPr>
            <w:r>
              <w:t>12</w:t>
            </w:r>
          </w:p>
        </w:tc>
        <w:tc>
          <w:tcPr>
            <w:tcW w:w="1440" w:type="dxa"/>
          </w:tcPr>
          <w:p w:rsidR="000325DB" w:rsidRPr="00A74CDA" w:rsidP="003F4627" w14:paraId="0B91B6B4" w14:textId="77777777">
            <w:pPr>
              <w:jc w:val="right"/>
            </w:pPr>
            <w:r w:rsidRPr="00A74CDA">
              <w:t>0.25</w:t>
            </w:r>
          </w:p>
          <w:p w:rsidR="000325DB" w:rsidRPr="00A74CDA" w:rsidP="003F4627" w14:paraId="701AD2F5" w14:textId="77777777">
            <w:pPr>
              <w:jc w:val="right"/>
            </w:pPr>
            <w:r w:rsidRPr="00A74CDA">
              <w:t xml:space="preserve">(15 </w:t>
            </w:r>
            <w:r>
              <w:t>mins.)</w:t>
            </w:r>
          </w:p>
        </w:tc>
        <w:tc>
          <w:tcPr>
            <w:tcW w:w="738" w:type="dxa"/>
          </w:tcPr>
          <w:p w:rsidR="000325DB" w:rsidRPr="00A74CDA" w:rsidP="00BA1B02" w14:paraId="501BEA5A" w14:textId="7688DFCB">
            <w:pPr>
              <w:jc w:val="right"/>
            </w:pPr>
            <w:r>
              <w:t>3</w:t>
            </w:r>
          </w:p>
        </w:tc>
      </w:tr>
      <w:tr w14:paraId="6ED094CC" w14:textId="77777777" w:rsidTr="004C0AFA">
        <w:tblPrEx>
          <w:tblW w:w="0" w:type="auto"/>
          <w:jc w:val="center"/>
          <w:tblLayout w:type="fixed"/>
          <w:tblLook w:val="0020"/>
        </w:tblPrEx>
        <w:trPr>
          <w:cantSplit/>
          <w:jc w:val="center"/>
        </w:trPr>
        <w:tc>
          <w:tcPr>
            <w:tcW w:w="3708" w:type="dxa"/>
          </w:tcPr>
          <w:p w:rsidR="000325DB" w:rsidRPr="007D2A6D" w:rsidP="003F4627" w14:paraId="76623793" w14:textId="77777777">
            <w:r w:rsidRPr="007D2A6D">
              <w:t>3.5.1</w:t>
            </w:r>
            <w:r>
              <w:t xml:space="preserve">; </w:t>
            </w:r>
            <w:r w:rsidRPr="007D2A6D">
              <w:t>Justify shortening a source animal</w:t>
            </w:r>
            <w:r w:rsidRPr="0073481A">
              <w:t>’</w:t>
            </w:r>
            <w:r w:rsidRPr="007D2A6D">
              <w:t>s quarantine period of 3 weeks prior to xenotransplantation product procurement.</w:t>
            </w:r>
            <w:r w:rsidRPr="00C62449" w:rsidR="00C62449">
              <w:rPr>
                <w:vertAlign w:val="superscript"/>
              </w:rPr>
              <w:t>6</w:t>
            </w:r>
          </w:p>
        </w:tc>
        <w:tc>
          <w:tcPr>
            <w:tcW w:w="1440" w:type="dxa"/>
          </w:tcPr>
          <w:p w:rsidR="000325DB" w:rsidRPr="00A74CDA" w:rsidP="003F4627" w14:paraId="30FAEF93" w14:textId="714F0831">
            <w:pPr>
              <w:jc w:val="right"/>
            </w:pPr>
            <w:r>
              <w:t>5</w:t>
            </w:r>
          </w:p>
        </w:tc>
        <w:tc>
          <w:tcPr>
            <w:tcW w:w="1350" w:type="dxa"/>
          </w:tcPr>
          <w:p w:rsidR="000325DB" w:rsidRPr="00A74CDA" w:rsidP="003F4627" w14:paraId="25C5A6E8" w14:textId="77777777">
            <w:pPr>
              <w:jc w:val="right"/>
            </w:pPr>
            <w:r w:rsidRPr="00A74CDA">
              <w:t>0.33</w:t>
            </w:r>
          </w:p>
        </w:tc>
        <w:tc>
          <w:tcPr>
            <w:tcW w:w="900" w:type="dxa"/>
          </w:tcPr>
          <w:p w:rsidR="000325DB" w:rsidRPr="00A74CDA" w:rsidP="003F4627" w14:paraId="2AA0D738" w14:textId="77777777">
            <w:pPr>
              <w:jc w:val="right"/>
            </w:pPr>
            <w:r w:rsidRPr="00A74CDA">
              <w:t>1</w:t>
            </w:r>
          </w:p>
        </w:tc>
        <w:tc>
          <w:tcPr>
            <w:tcW w:w="1440" w:type="dxa"/>
          </w:tcPr>
          <w:p w:rsidR="000325DB" w:rsidRPr="00A74CDA" w:rsidP="003F4627" w14:paraId="776D3703" w14:textId="77777777">
            <w:pPr>
              <w:jc w:val="right"/>
            </w:pPr>
            <w:r w:rsidRPr="00A74CDA">
              <w:t>0.50</w:t>
            </w:r>
          </w:p>
          <w:p w:rsidR="000325DB" w:rsidRPr="00A74CDA" w:rsidP="003F4627" w14:paraId="33E46CB8" w14:textId="77777777">
            <w:pPr>
              <w:jc w:val="right"/>
            </w:pPr>
            <w:r w:rsidRPr="00A74CDA">
              <w:t xml:space="preserve">(30 </w:t>
            </w:r>
            <w:r>
              <w:t>mins.)</w:t>
            </w:r>
          </w:p>
        </w:tc>
        <w:tc>
          <w:tcPr>
            <w:tcW w:w="738" w:type="dxa"/>
          </w:tcPr>
          <w:p w:rsidR="000325DB" w:rsidRPr="00A74CDA" w:rsidP="00BA1B02" w14:paraId="5D2BA7C8" w14:textId="524245B8">
            <w:pPr>
              <w:jc w:val="right"/>
            </w:pPr>
            <w:r>
              <w:t>0.50</w:t>
            </w:r>
          </w:p>
        </w:tc>
      </w:tr>
      <w:tr w14:paraId="1F23C494" w14:textId="77777777" w:rsidTr="004C0AFA">
        <w:tblPrEx>
          <w:tblW w:w="0" w:type="auto"/>
          <w:jc w:val="center"/>
          <w:tblLayout w:type="fixed"/>
          <w:tblLook w:val="0020"/>
        </w:tblPrEx>
        <w:trPr>
          <w:cantSplit/>
          <w:jc w:val="center"/>
        </w:trPr>
        <w:tc>
          <w:tcPr>
            <w:tcW w:w="3708" w:type="dxa"/>
          </w:tcPr>
          <w:p w:rsidR="000325DB" w:rsidRPr="007D2A6D" w:rsidP="003F4627" w14:paraId="52E93A96" w14:textId="77777777">
            <w:r w:rsidRPr="007D2A6D">
              <w:t>3.5.2</w:t>
            </w:r>
            <w:r>
              <w:t xml:space="preserve">; </w:t>
            </w:r>
            <w:r w:rsidRPr="007D2A6D">
              <w:t>Document absence of infectious agent in xenotransplantation product if its presence elsewhere in source animal does not preclude using it.</w:t>
            </w:r>
            <w:r w:rsidRPr="00C62449" w:rsidR="00C62449">
              <w:rPr>
                <w:vertAlign w:val="superscript"/>
              </w:rPr>
              <w:t>6</w:t>
            </w:r>
          </w:p>
        </w:tc>
        <w:tc>
          <w:tcPr>
            <w:tcW w:w="1440" w:type="dxa"/>
          </w:tcPr>
          <w:p w:rsidR="000325DB" w:rsidRPr="00A74CDA" w:rsidP="003F4627" w14:paraId="58797CA9" w14:textId="3F3F6F0F">
            <w:pPr>
              <w:jc w:val="right"/>
            </w:pPr>
            <w:r>
              <w:t>5</w:t>
            </w:r>
          </w:p>
        </w:tc>
        <w:tc>
          <w:tcPr>
            <w:tcW w:w="1350" w:type="dxa"/>
          </w:tcPr>
          <w:p w:rsidR="000325DB" w:rsidRPr="00A74CDA" w:rsidP="003F4627" w14:paraId="47B03603" w14:textId="77777777">
            <w:pPr>
              <w:jc w:val="right"/>
            </w:pPr>
            <w:r w:rsidRPr="00A74CDA">
              <w:t>0.33</w:t>
            </w:r>
          </w:p>
        </w:tc>
        <w:tc>
          <w:tcPr>
            <w:tcW w:w="900" w:type="dxa"/>
          </w:tcPr>
          <w:p w:rsidR="000325DB" w:rsidRPr="00A74CDA" w:rsidP="003F4627" w14:paraId="4E14EA07" w14:textId="77777777">
            <w:pPr>
              <w:jc w:val="right"/>
            </w:pPr>
            <w:r w:rsidRPr="00A74CDA">
              <w:t>1</w:t>
            </w:r>
          </w:p>
        </w:tc>
        <w:tc>
          <w:tcPr>
            <w:tcW w:w="1440" w:type="dxa"/>
          </w:tcPr>
          <w:p w:rsidR="000325DB" w:rsidRPr="00A74CDA" w:rsidP="003F4627" w14:paraId="1362FFB0" w14:textId="77777777">
            <w:pPr>
              <w:jc w:val="right"/>
            </w:pPr>
            <w:r w:rsidRPr="00A74CDA">
              <w:t>0.25</w:t>
            </w:r>
          </w:p>
          <w:p w:rsidR="000325DB" w:rsidRPr="00A74CDA" w:rsidP="003F4627" w14:paraId="57F7C10D" w14:textId="77777777">
            <w:pPr>
              <w:jc w:val="right"/>
            </w:pPr>
            <w:r w:rsidRPr="00A74CDA">
              <w:t xml:space="preserve">(15 </w:t>
            </w:r>
            <w:r>
              <w:t>mins.)</w:t>
            </w:r>
          </w:p>
        </w:tc>
        <w:tc>
          <w:tcPr>
            <w:tcW w:w="738" w:type="dxa"/>
          </w:tcPr>
          <w:p w:rsidR="000325DB" w:rsidRPr="00A74CDA" w:rsidP="00BA1B02" w14:paraId="56B5FFD0" w14:textId="6F08627D">
            <w:pPr>
              <w:jc w:val="right"/>
            </w:pPr>
            <w:r>
              <w:t>0.25</w:t>
            </w:r>
          </w:p>
        </w:tc>
      </w:tr>
      <w:tr w14:paraId="66CF192F" w14:textId="77777777" w:rsidTr="004C0AFA">
        <w:tblPrEx>
          <w:tblW w:w="0" w:type="auto"/>
          <w:jc w:val="center"/>
          <w:tblLayout w:type="fixed"/>
          <w:tblLook w:val="0020"/>
        </w:tblPrEx>
        <w:trPr>
          <w:cantSplit/>
          <w:jc w:val="center"/>
        </w:trPr>
        <w:tc>
          <w:tcPr>
            <w:tcW w:w="3708" w:type="dxa"/>
          </w:tcPr>
          <w:p w:rsidR="000325DB" w:rsidRPr="007D2A6D" w:rsidP="003F4627" w14:paraId="3A391877" w14:textId="77777777">
            <w:r w:rsidRPr="007D2A6D">
              <w:t>3.5.4</w:t>
            </w:r>
            <w:r>
              <w:t xml:space="preserve">; </w:t>
            </w:r>
            <w:r w:rsidRPr="007D2A6D">
              <w:t>Add summary of individual source animal record to permanent medical record of the xenotransplantation product recipient.</w:t>
            </w:r>
          </w:p>
        </w:tc>
        <w:tc>
          <w:tcPr>
            <w:tcW w:w="1440" w:type="dxa"/>
          </w:tcPr>
          <w:p w:rsidR="000325DB" w:rsidRPr="00A74CDA" w:rsidP="003F4627" w14:paraId="3B6C57A3" w14:textId="7A0B7B92">
            <w:pPr>
              <w:jc w:val="right"/>
            </w:pPr>
            <w:r>
              <w:t>5</w:t>
            </w:r>
          </w:p>
        </w:tc>
        <w:tc>
          <w:tcPr>
            <w:tcW w:w="1350" w:type="dxa"/>
          </w:tcPr>
          <w:p w:rsidR="000325DB" w:rsidRPr="00A74CDA" w:rsidP="003F4627" w14:paraId="466AC9DA" w14:textId="77777777">
            <w:pPr>
              <w:jc w:val="right"/>
            </w:pPr>
            <w:r w:rsidRPr="00A74CDA">
              <w:t>1</w:t>
            </w:r>
          </w:p>
        </w:tc>
        <w:tc>
          <w:tcPr>
            <w:tcW w:w="900" w:type="dxa"/>
          </w:tcPr>
          <w:p w:rsidR="000325DB" w:rsidRPr="00A74CDA" w:rsidP="003F4627" w14:paraId="09CE8E89" w14:textId="77777777">
            <w:pPr>
              <w:jc w:val="right"/>
            </w:pPr>
            <w:r w:rsidRPr="00A74CDA">
              <w:t>3</w:t>
            </w:r>
          </w:p>
        </w:tc>
        <w:tc>
          <w:tcPr>
            <w:tcW w:w="1440" w:type="dxa"/>
          </w:tcPr>
          <w:p w:rsidR="000325DB" w:rsidRPr="00A74CDA" w:rsidP="003F4627" w14:paraId="543EC52E" w14:textId="77777777">
            <w:pPr>
              <w:jc w:val="right"/>
            </w:pPr>
            <w:r w:rsidRPr="00A74CDA">
              <w:t>0.17</w:t>
            </w:r>
          </w:p>
          <w:p w:rsidR="000325DB" w:rsidRPr="00A74CDA" w:rsidP="003F4627" w14:paraId="071F6462" w14:textId="77777777">
            <w:pPr>
              <w:jc w:val="right"/>
            </w:pPr>
            <w:r w:rsidRPr="00A74CDA">
              <w:t xml:space="preserve">(10 </w:t>
            </w:r>
            <w:r>
              <w:t>mins.)</w:t>
            </w:r>
          </w:p>
        </w:tc>
        <w:tc>
          <w:tcPr>
            <w:tcW w:w="738" w:type="dxa"/>
          </w:tcPr>
          <w:p w:rsidR="000325DB" w:rsidRPr="00A74CDA" w:rsidP="00BA1B02" w14:paraId="5A5AC1F1" w14:textId="15AF9D36">
            <w:pPr>
              <w:jc w:val="right"/>
            </w:pPr>
            <w:r>
              <w:t>0.85</w:t>
            </w:r>
          </w:p>
        </w:tc>
      </w:tr>
      <w:tr w14:paraId="1CCA7A53" w14:textId="77777777" w:rsidTr="004C0AFA">
        <w:tblPrEx>
          <w:tblW w:w="0" w:type="auto"/>
          <w:jc w:val="center"/>
          <w:tblLayout w:type="fixed"/>
          <w:tblLook w:val="0020"/>
        </w:tblPrEx>
        <w:trPr>
          <w:cantSplit/>
          <w:jc w:val="center"/>
        </w:trPr>
        <w:tc>
          <w:tcPr>
            <w:tcW w:w="3708" w:type="dxa"/>
          </w:tcPr>
          <w:p w:rsidR="000325DB" w:rsidRPr="007D2A6D" w:rsidP="003F4627" w14:paraId="320609B9" w14:textId="77777777">
            <w:r w:rsidRPr="007D2A6D">
              <w:t>3.6.4</w:t>
            </w:r>
            <w:r>
              <w:t xml:space="preserve">; </w:t>
            </w:r>
            <w:r w:rsidRPr="007D2A6D">
              <w:t>Document complete necropsy results on source animals (50-year record retention).</w:t>
            </w:r>
            <w:r w:rsidRPr="00C62449" w:rsidR="00C62449">
              <w:rPr>
                <w:vertAlign w:val="superscript"/>
              </w:rPr>
              <w:t>7</w:t>
            </w:r>
          </w:p>
        </w:tc>
        <w:tc>
          <w:tcPr>
            <w:tcW w:w="1440" w:type="dxa"/>
          </w:tcPr>
          <w:p w:rsidR="000325DB" w:rsidRPr="00A74CDA" w:rsidP="003F4627" w14:paraId="2CAFDC65" w14:textId="369B6507">
            <w:pPr>
              <w:jc w:val="right"/>
            </w:pPr>
            <w:r>
              <w:t>5</w:t>
            </w:r>
          </w:p>
        </w:tc>
        <w:tc>
          <w:tcPr>
            <w:tcW w:w="1350" w:type="dxa"/>
          </w:tcPr>
          <w:p w:rsidR="000325DB" w:rsidRPr="00A74CDA" w:rsidP="003F4627" w14:paraId="71A6CE87" w14:textId="7778A533">
            <w:pPr>
              <w:jc w:val="right"/>
            </w:pPr>
            <w:r w:rsidRPr="00A74CDA">
              <w:t>2.6</w:t>
            </w:r>
            <w:r w:rsidR="00E453BC">
              <w:t>0</w:t>
            </w:r>
          </w:p>
        </w:tc>
        <w:tc>
          <w:tcPr>
            <w:tcW w:w="900" w:type="dxa"/>
          </w:tcPr>
          <w:p w:rsidR="000325DB" w:rsidRPr="00A74CDA" w:rsidP="003F4627" w14:paraId="274E07F5" w14:textId="77777777">
            <w:pPr>
              <w:jc w:val="right"/>
            </w:pPr>
            <w:r w:rsidRPr="00A74CDA">
              <w:t>8</w:t>
            </w:r>
          </w:p>
        </w:tc>
        <w:tc>
          <w:tcPr>
            <w:tcW w:w="1440" w:type="dxa"/>
          </w:tcPr>
          <w:p w:rsidR="000325DB" w:rsidRPr="00A74CDA" w:rsidP="003F4627" w14:paraId="7793FFAB" w14:textId="77777777">
            <w:pPr>
              <w:jc w:val="right"/>
            </w:pPr>
            <w:r w:rsidRPr="00A74CDA">
              <w:t>0.25</w:t>
            </w:r>
          </w:p>
          <w:p w:rsidR="000325DB" w:rsidRPr="00A74CDA" w:rsidP="003F4627" w14:paraId="03C42FC5" w14:textId="77777777">
            <w:pPr>
              <w:jc w:val="right"/>
            </w:pPr>
            <w:r w:rsidRPr="00A74CDA">
              <w:t xml:space="preserve">(15 </w:t>
            </w:r>
            <w:r>
              <w:t>mins.)</w:t>
            </w:r>
          </w:p>
        </w:tc>
        <w:tc>
          <w:tcPr>
            <w:tcW w:w="738" w:type="dxa"/>
          </w:tcPr>
          <w:p w:rsidR="000325DB" w:rsidRPr="00A74CDA" w:rsidP="00BA1B02" w14:paraId="18695ABB" w14:textId="0D2ED3B9">
            <w:pPr>
              <w:jc w:val="right"/>
            </w:pPr>
            <w:r>
              <w:t>2</w:t>
            </w:r>
          </w:p>
        </w:tc>
      </w:tr>
      <w:tr w14:paraId="52B08B3A" w14:textId="77777777" w:rsidTr="004C0AFA">
        <w:tblPrEx>
          <w:tblW w:w="0" w:type="auto"/>
          <w:jc w:val="center"/>
          <w:tblLayout w:type="fixed"/>
          <w:tblLook w:val="0020"/>
        </w:tblPrEx>
        <w:trPr>
          <w:cantSplit/>
          <w:jc w:val="center"/>
        </w:trPr>
        <w:tc>
          <w:tcPr>
            <w:tcW w:w="3708" w:type="dxa"/>
          </w:tcPr>
          <w:p w:rsidR="000325DB" w:rsidRPr="007D2A6D" w:rsidP="003F4627" w14:paraId="1EC37315" w14:textId="77777777">
            <w:r w:rsidRPr="007D2A6D">
              <w:t>3.7</w:t>
            </w:r>
            <w:r>
              <w:t xml:space="preserve">; </w:t>
            </w:r>
            <w:r w:rsidRPr="007D2A6D">
              <w:t>Link xenotransplantation product recipients to individual source animal records and archived biologic specimens.</w:t>
            </w:r>
            <w:r w:rsidRPr="00C62449" w:rsidR="00C62449">
              <w:rPr>
                <w:vertAlign w:val="superscript"/>
              </w:rPr>
              <w:t>7</w:t>
            </w:r>
          </w:p>
        </w:tc>
        <w:tc>
          <w:tcPr>
            <w:tcW w:w="1440" w:type="dxa"/>
          </w:tcPr>
          <w:p w:rsidR="000325DB" w:rsidRPr="00A74CDA" w:rsidP="003F4627" w14:paraId="4B22B78F" w14:textId="77777777">
            <w:pPr>
              <w:jc w:val="right"/>
            </w:pPr>
            <w:r w:rsidRPr="00A74CDA">
              <w:t>4</w:t>
            </w:r>
          </w:p>
        </w:tc>
        <w:tc>
          <w:tcPr>
            <w:tcW w:w="1350" w:type="dxa"/>
          </w:tcPr>
          <w:p w:rsidR="000325DB" w:rsidRPr="00A74CDA" w:rsidP="003F4627" w14:paraId="0DE8B501" w14:textId="77777777">
            <w:pPr>
              <w:jc w:val="right"/>
            </w:pPr>
            <w:r w:rsidRPr="00A74CDA">
              <w:t>2</w:t>
            </w:r>
          </w:p>
        </w:tc>
        <w:tc>
          <w:tcPr>
            <w:tcW w:w="900" w:type="dxa"/>
          </w:tcPr>
          <w:p w:rsidR="000325DB" w:rsidRPr="00A74CDA" w:rsidP="003F4627" w14:paraId="3374A8DA" w14:textId="77777777">
            <w:pPr>
              <w:jc w:val="right"/>
            </w:pPr>
            <w:r w:rsidRPr="00A74CDA">
              <w:t>8</w:t>
            </w:r>
          </w:p>
        </w:tc>
        <w:tc>
          <w:tcPr>
            <w:tcW w:w="1440" w:type="dxa"/>
          </w:tcPr>
          <w:p w:rsidR="000325DB" w:rsidRPr="00A74CDA" w:rsidP="003F4627" w14:paraId="1D7E8399" w14:textId="77777777">
            <w:pPr>
              <w:jc w:val="right"/>
            </w:pPr>
            <w:r w:rsidRPr="00A74CDA">
              <w:t>0.08</w:t>
            </w:r>
          </w:p>
          <w:p w:rsidR="000325DB" w:rsidRPr="00A74CDA" w:rsidP="003F4627" w14:paraId="198B343D" w14:textId="77777777">
            <w:pPr>
              <w:jc w:val="right"/>
            </w:pPr>
            <w:r w:rsidRPr="00A74CDA">
              <w:t xml:space="preserve">(5 </w:t>
            </w:r>
            <w:r>
              <w:t>mins.)</w:t>
            </w:r>
          </w:p>
        </w:tc>
        <w:tc>
          <w:tcPr>
            <w:tcW w:w="738" w:type="dxa"/>
          </w:tcPr>
          <w:p w:rsidR="000325DB" w:rsidRPr="00A74CDA" w:rsidP="00BA1B02" w14:paraId="0C5FCFB8" w14:textId="68C0E972">
            <w:pPr>
              <w:jc w:val="right"/>
            </w:pPr>
            <w:r>
              <w:t>0.64</w:t>
            </w:r>
          </w:p>
        </w:tc>
      </w:tr>
      <w:tr w14:paraId="2FA0CAAD" w14:textId="77777777" w:rsidTr="004C0AFA">
        <w:tblPrEx>
          <w:tblW w:w="0" w:type="auto"/>
          <w:jc w:val="center"/>
          <w:tblLayout w:type="fixed"/>
          <w:tblLook w:val="0020"/>
        </w:tblPrEx>
        <w:trPr>
          <w:cantSplit/>
          <w:jc w:val="center"/>
        </w:trPr>
        <w:tc>
          <w:tcPr>
            <w:tcW w:w="3708" w:type="dxa"/>
          </w:tcPr>
          <w:p w:rsidR="000325DB" w:rsidRPr="00C62449" w:rsidP="003F4627" w14:paraId="59DA118D" w14:textId="77777777">
            <w:r w:rsidRPr="00C62449">
              <w:t>4.2.3.2; Record baseline sera of xenotransplantation health care workers and specific nosocomial exposure.</w:t>
            </w:r>
            <w:r w:rsidRPr="00C62449" w:rsidR="00C62449">
              <w:rPr>
                <w:vertAlign w:val="superscript"/>
              </w:rPr>
              <w:t>8</w:t>
            </w:r>
          </w:p>
        </w:tc>
        <w:tc>
          <w:tcPr>
            <w:tcW w:w="1440" w:type="dxa"/>
          </w:tcPr>
          <w:p w:rsidR="000325DB" w:rsidRPr="00C62449" w:rsidP="003F4627" w14:paraId="1DE03421" w14:textId="35C7D976">
            <w:pPr>
              <w:jc w:val="right"/>
            </w:pPr>
            <w:r>
              <w:t>4</w:t>
            </w:r>
          </w:p>
        </w:tc>
        <w:tc>
          <w:tcPr>
            <w:tcW w:w="1350" w:type="dxa"/>
          </w:tcPr>
          <w:p w:rsidR="000325DB" w:rsidRPr="00C62449" w:rsidP="003F4627" w14:paraId="3D3C8AAA" w14:textId="5E2D382D">
            <w:pPr>
              <w:jc w:val="right"/>
            </w:pPr>
            <w:r>
              <w:t>25</w:t>
            </w:r>
          </w:p>
        </w:tc>
        <w:tc>
          <w:tcPr>
            <w:tcW w:w="900" w:type="dxa"/>
          </w:tcPr>
          <w:p w:rsidR="000325DB" w:rsidRPr="00C62449" w:rsidP="003F4627" w14:paraId="56A069D5" w14:textId="300E8909">
            <w:pPr>
              <w:jc w:val="right"/>
            </w:pPr>
            <w:r w:rsidRPr="00C62449">
              <w:t>1</w:t>
            </w:r>
            <w:r w:rsidR="00624165">
              <w:t>00</w:t>
            </w:r>
          </w:p>
        </w:tc>
        <w:tc>
          <w:tcPr>
            <w:tcW w:w="1440" w:type="dxa"/>
          </w:tcPr>
          <w:p w:rsidR="000325DB" w:rsidRPr="00C62449" w:rsidP="003F4627" w14:paraId="6308F48E" w14:textId="77777777">
            <w:pPr>
              <w:jc w:val="right"/>
            </w:pPr>
            <w:r w:rsidRPr="00C62449">
              <w:t>0.17</w:t>
            </w:r>
          </w:p>
          <w:p w:rsidR="000325DB" w:rsidRPr="00C62449" w:rsidP="003F4627" w14:paraId="699AE62B" w14:textId="77777777">
            <w:pPr>
              <w:jc w:val="right"/>
            </w:pPr>
            <w:r w:rsidRPr="00C62449">
              <w:t>(10 mins.)</w:t>
            </w:r>
          </w:p>
        </w:tc>
        <w:tc>
          <w:tcPr>
            <w:tcW w:w="738" w:type="dxa"/>
          </w:tcPr>
          <w:p w:rsidR="000325DB" w:rsidRPr="00C62449" w:rsidP="00BA1B02" w14:paraId="767CDFC0" w14:textId="6AC97DD1">
            <w:pPr>
              <w:jc w:val="right"/>
            </w:pPr>
            <w:r>
              <w:t>17</w:t>
            </w:r>
          </w:p>
        </w:tc>
      </w:tr>
      <w:tr w14:paraId="3B030526" w14:textId="77777777" w:rsidTr="004C0AFA">
        <w:tblPrEx>
          <w:tblW w:w="0" w:type="auto"/>
          <w:jc w:val="center"/>
          <w:tblLayout w:type="fixed"/>
          <w:tblLook w:val="0020"/>
        </w:tblPrEx>
        <w:trPr>
          <w:cantSplit/>
          <w:jc w:val="center"/>
        </w:trPr>
        <w:tc>
          <w:tcPr>
            <w:tcW w:w="3708" w:type="dxa"/>
          </w:tcPr>
          <w:p w:rsidR="000325DB" w:rsidRPr="00C62449" w:rsidP="003F4627" w14:paraId="468C277D" w14:textId="77777777">
            <w:r w:rsidRPr="00C62449">
              <w:t xml:space="preserve">4.2.3.2; </w:t>
            </w:r>
            <w:r w:rsidRPr="00C62449" w:rsidR="00C62449">
              <w:t>Record baseline sera of xenotransplantation health care workers and specific nosocomial exposur</w:t>
            </w:r>
            <w:r w:rsidR="00AF166C">
              <w:t>e (no exposure).</w:t>
            </w:r>
            <w:r w:rsidRPr="00C62449" w:rsidR="00C62449">
              <w:t>.</w:t>
            </w:r>
            <w:r w:rsidRPr="00C62449" w:rsidR="00C62449">
              <w:rPr>
                <w:vertAlign w:val="superscript"/>
              </w:rPr>
              <w:t>6</w:t>
            </w:r>
          </w:p>
        </w:tc>
        <w:tc>
          <w:tcPr>
            <w:tcW w:w="1440" w:type="dxa"/>
          </w:tcPr>
          <w:p w:rsidR="000325DB" w:rsidRPr="00C62449" w:rsidP="003F4627" w14:paraId="09D3BBAF" w14:textId="77777777">
            <w:pPr>
              <w:jc w:val="right"/>
            </w:pPr>
            <w:r w:rsidRPr="00C62449">
              <w:t>5</w:t>
            </w:r>
          </w:p>
        </w:tc>
        <w:tc>
          <w:tcPr>
            <w:tcW w:w="1350" w:type="dxa"/>
          </w:tcPr>
          <w:p w:rsidR="000325DB" w:rsidRPr="00C62449" w:rsidP="003F4627" w14:paraId="1AD3D0D0" w14:textId="77777777">
            <w:pPr>
              <w:jc w:val="right"/>
            </w:pPr>
            <w:r w:rsidRPr="00C62449">
              <w:t>0.20</w:t>
            </w:r>
          </w:p>
        </w:tc>
        <w:tc>
          <w:tcPr>
            <w:tcW w:w="900" w:type="dxa"/>
          </w:tcPr>
          <w:p w:rsidR="000325DB" w:rsidRPr="00C62449" w:rsidP="003F4627" w14:paraId="4AFE83CB" w14:textId="77777777">
            <w:pPr>
              <w:jc w:val="right"/>
            </w:pPr>
            <w:r w:rsidRPr="00C62449">
              <w:t>1</w:t>
            </w:r>
          </w:p>
        </w:tc>
        <w:tc>
          <w:tcPr>
            <w:tcW w:w="1440" w:type="dxa"/>
          </w:tcPr>
          <w:p w:rsidR="000325DB" w:rsidRPr="00C62449" w:rsidP="003F4627" w14:paraId="2112E07C" w14:textId="77777777">
            <w:pPr>
              <w:jc w:val="right"/>
            </w:pPr>
            <w:r w:rsidRPr="00C62449">
              <w:t>0.17</w:t>
            </w:r>
          </w:p>
          <w:p w:rsidR="000325DB" w:rsidRPr="00C62449" w:rsidP="003F4627" w14:paraId="6C3AB170" w14:textId="77777777">
            <w:pPr>
              <w:jc w:val="right"/>
            </w:pPr>
            <w:r w:rsidRPr="00C62449">
              <w:t>(10 mins.)</w:t>
            </w:r>
          </w:p>
        </w:tc>
        <w:tc>
          <w:tcPr>
            <w:tcW w:w="738" w:type="dxa"/>
          </w:tcPr>
          <w:p w:rsidR="000325DB" w:rsidRPr="00C62449" w:rsidP="00BA1B02" w14:paraId="22B5FEF7" w14:textId="62236211">
            <w:pPr>
              <w:jc w:val="right"/>
            </w:pPr>
            <w:r>
              <w:t>0.17</w:t>
            </w:r>
          </w:p>
        </w:tc>
      </w:tr>
      <w:tr w14:paraId="4508CF62" w14:textId="77777777" w:rsidTr="004C0AFA">
        <w:tblPrEx>
          <w:tblW w:w="0" w:type="auto"/>
          <w:jc w:val="center"/>
          <w:tblLayout w:type="fixed"/>
          <w:tblLook w:val="0020"/>
        </w:tblPrEx>
        <w:trPr>
          <w:cantSplit/>
          <w:jc w:val="center"/>
        </w:trPr>
        <w:tc>
          <w:tcPr>
            <w:tcW w:w="3708" w:type="dxa"/>
          </w:tcPr>
          <w:p w:rsidR="000325DB" w:rsidRPr="007D2A6D" w:rsidP="003F4627" w14:paraId="7DE95E37" w14:textId="77777777">
            <w:r w:rsidRPr="007D2A6D">
              <w:t>4.2.3.3 and 4.3.2</w:t>
            </w:r>
            <w:r>
              <w:t xml:space="preserve">; </w:t>
            </w:r>
            <w:r w:rsidRPr="007D2A6D">
              <w:t>Keep a log of health care workers</w:t>
            </w:r>
            <w:bookmarkStart w:id="5" w:name="_Hlk6322696"/>
            <w:r w:rsidRPr="007D2A6D">
              <w:t>’</w:t>
            </w:r>
            <w:bookmarkEnd w:id="5"/>
            <w:r w:rsidRPr="007D2A6D">
              <w:t xml:space="preserve"> significant nosocomial exposure(s).</w:t>
            </w:r>
            <w:r w:rsidRPr="00C62449" w:rsidR="00C62449">
              <w:rPr>
                <w:vertAlign w:val="superscript"/>
              </w:rPr>
              <w:t>6</w:t>
            </w:r>
          </w:p>
        </w:tc>
        <w:tc>
          <w:tcPr>
            <w:tcW w:w="1440" w:type="dxa"/>
          </w:tcPr>
          <w:p w:rsidR="000325DB" w:rsidRPr="00A74CDA" w:rsidP="003F4627" w14:paraId="7CD054E5" w14:textId="77777777">
            <w:pPr>
              <w:jc w:val="right"/>
            </w:pPr>
            <w:r w:rsidRPr="00A74CDA">
              <w:t>5</w:t>
            </w:r>
          </w:p>
        </w:tc>
        <w:tc>
          <w:tcPr>
            <w:tcW w:w="1350" w:type="dxa"/>
          </w:tcPr>
          <w:p w:rsidR="000325DB" w:rsidRPr="00A74CDA" w:rsidP="003F4627" w14:paraId="5F55CB34" w14:textId="48B6FB50">
            <w:pPr>
              <w:jc w:val="right"/>
            </w:pPr>
            <w:r w:rsidRPr="00A74CDA">
              <w:t>0.2</w:t>
            </w:r>
            <w:r w:rsidR="001F0451">
              <w:t>5</w:t>
            </w:r>
          </w:p>
        </w:tc>
        <w:tc>
          <w:tcPr>
            <w:tcW w:w="900" w:type="dxa"/>
          </w:tcPr>
          <w:p w:rsidR="000325DB" w:rsidRPr="00A74CDA" w:rsidP="003F4627" w14:paraId="79616706" w14:textId="77777777">
            <w:pPr>
              <w:jc w:val="right"/>
            </w:pPr>
            <w:r w:rsidRPr="00A74CDA">
              <w:t>1</w:t>
            </w:r>
          </w:p>
        </w:tc>
        <w:tc>
          <w:tcPr>
            <w:tcW w:w="1440" w:type="dxa"/>
          </w:tcPr>
          <w:p w:rsidR="000325DB" w:rsidRPr="00A74CDA" w:rsidP="003F4627" w14:paraId="28BA48EB" w14:textId="77777777">
            <w:pPr>
              <w:jc w:val="right"/>
            </w:pPr>
            <w:r w:rsidRPr="00A74CDA">
              <w:t>0.17</w:t>
            </w:r>
          </w:p>
          <w:p w:rsidR="000325DB" w:rsidRPr="00A74CDA" w:rsidP="003F4627" w14:paraId="0D8C1D0A" w14:textId="77777777">
            <w:pPr>
              <w:jc w:val="right"/>
            </w:pPr>
            <w:r w:rsidRPr="00A74CDA">
              <w:t xml:space="preserve">(10 </w:t>
            </w:r>
            <w:r>
              <w:t>mins.)</w:t>
            </w:r>
          </w:p>
        </w:tc>
        <w:tc>
          <w:tcPr>
            <w:tcW w:w="738" w:type="dxa"/>
          </w:tcPr>
          <w:p w:rsidR="000325DB" w:rsidRPr="00A74CDA" w:rsidP="00BA1B02" w14:paraId="5342CEEA" w14:textId="4916C2E0">
            <w:pPr>
              <w:jc w:val="right"/>
            </w:pPr>
            <w:r>
              <w:t>0.17</w:t>
            </w:r>
          </w:p>
        </w:tc>
      </w:tr>
      <w:tr w14:paraId="4C808CA8" w14:textId="77777777" w:rsidTr="004C0AFA">
        <w:tblPrEx>
          <w:tblW w:w="0" w:type="auto"/>
          <w:jc w:val="center"/>
          <w:tblLayout w:type="fixed"/>
          <w:tblLook w:val="0020"/>
        </w:tblPrEx>
        <w:trPr>
          <w:cantSplit/>
          <w:jc w:val="center"/>
        </w:trPr>
        <w:tc>
          <w:tcPr>
            <w:tcW w:w="3708" w:type="dxa"/>
          </w:tcPr>
          <w:p w:rsidR="000325DB" w:rsidRPr="007D2A6D" w:rsidP="003F4627" w14:paraId="7E08BD69" w14:textId="77777777">
            <w:r w:rsidRPr="007D2A6D">
              <w:t>4.3.1</w:t>
            </w:r>
            <w:r>
              <w:t xml:space="preserve">; </w:t>
            </w:r>
            <w:r w:rsidRPr="007D2A6D">
              <w:t>Document each xenotransplant procedure.</w:t>
            </w:r>
          </w:p>
        </w:tc>
        <w:tc>
          <w:tcPr>
            <w:tcW w:w="1440" w:type="dxa"/>
          </w:tcPr>
          <w:p w:rsidR="000325DB" w:rsidRPr="00A74CDA" w:rsidP="003F4627" w14:paraId="30576B0B" w14:textId="7342979C">
            <w:pPr>
              <w:jc w:val="right"/>
            </w:pPr>
            <w:r>
              <w:t>5</w:t>
            </w:r>
          </w:p>
        </w:tc>
        <w:tc>
          <w:tcPr>
            <w:tcW w:w="1350" w:type="dxa"/>
          </w:tcPr>
          <w:p w:rsidR="000325DB" w:rsidRPr="00A74CDA" w:rsidP="003F4627" w14:paraId="24B24F41" w14:textId="171E5EA7">
            <w:pPr>
              <w:jc w:val="right"/>
            </w:pPr>
            <w:r w:rsidRPr="00A74CDA">
              <w:t>1</w:t>
            </w:r>
            <w:r w:rsidR="001F0451">
              <w:t>.4</w:t>
            </w:r>
          </w:p>
        </w:tc>
        <w:tc>
          <w:tcPr>
            <w:tcW w:w="900" w:type="dxa"/>
          </w:tcPr>
          <w:p w:rsidR="000325DB" w:rsidRPr="00A74CDA" w:rsidP="003F4627" w14:paraId="67972450" w14:textId="77777777">
            <w:pPr>
              <w:jc w:val="right"/>
            </w:pPr>
            <w:r w:rsidRPr="00A74CDA">
              <w:t>3</w:t>
            </w:r>
          </w:p>
        </w:tc>
        <w:tc>
          <w:tcPr>
            <w:tcW w:w="1440" w:type="dxa"/>
          </w:tcPr>
          <w:p w:rsidR="000325DB" w:rsidRPr="00A74CDA" w:rsidP="003F4627" w14:paraId="2C58F7A4" w14:textId="77777777">
            <w:pPr>
              <w:jc w:val="right"/>
            </w:pPr>
            <w:r w:rsidRPr="00A74CDA">
              <w:t>0.25</w:t>
            </w:r>
          </w:p>
          <w:p w:rsidR="000325DB" w:rsidRPr="00A74CDA" w:rsidP="003F4627" w14:paraId="6C211B9A" w14:textId="77777777">
            <w:pPr>
              <w:jc w:val="right"/>
            </w:pPr>
            <w:r w:rsidRPr="00A74CDA">
              <w:t xml:space="preserve">(15 </w:t>
            </w:r>
            <w:r>
              <w:t>mins.)</w:t>
            </w:r>
          </w:p>
        </w:tc>
        <w:tc>
          <w:tcPr>
            <w:tcW w:w="738" w:type="dxa"/>
          </w:tcPr>
          <w:p w:rsidR="000325DB" w:rsidRPr="00A74CDA" w:rsidP="00BA1B02" w14:paraId="4D2CD8A8" w14:textId="2B2CC9F1">
            <w:pPr>
              <w:jc w:val="right"/>
            </w:pPr>
            <w:r w:rsidRPr="00A74CDA">
              <w:t xml:space="preserve">   </w:t>
            </w:r>
            <w:r w:rsidR="001F0451">
              <w:t>1.25</w:t>
            </w:r>
          </w:p>
        </w:tc>
      </w:tr>
      <w:tr w14:paraId="5D992460" w14:textId="77777777" w:rsidTr="004C0AFA">
        <w:tblPrEx>
          <w:tblW w:w="0" w:type="auto"/>
          <w:jc w:val="center"/>
          <w:tblLayout w:type="fixed"/>
          <w:tblLook w:val="0020"/>
        </w:tblPrEx>
        <w:trPr>
          <w:cantSplit/>
          <w:jc w:val="center"/>
        </w:trPr>
        <w:tc>
          <w:tcPr>
            <w:tcW w:w="3708" w:type="dxa"/>
          </w:tcPr>
          <w:p w:rsidR="000325DB" w:rsidRPr="007D2A6D" w:rsidP="003F4627" w14:paraId="7AA0EAE2" w14:textId="77777777">
            <w:r w:rsidRPr="007D2A6D">
              <w:t>5.2</w:t>
            </w:r>
            <w:r>
              <w:t xml:space="preserve">; </w:t>
            </w:r>
            <w:r w:rsidRPr="007D2A6D">
              <w:t>Document location and nature of archived specimens in health care records of xenotransplantation product recipient and source animal.</w:t>
            </w:r>
            <w:r w:rsidRPr="00C62449" w:rsidR="00C62449">
              <w:rPr>
                <w:vertAlign w:val="superscript"/>
              </w:rPr>
              <w:t>9</w:t>
            </w:r>
          </w:p>
        </w:tc>
        <w:tc>
          <w:tcPr>
            <w:tcW w:w="1440" w:type="dxa"/>
          </w:tcPr>
          <w:p w:rsidR="000325DB" w:rsidRPr="00A74CDA" w:rsidP="003F4627" w14:paraId="0A5FE8D9" w14:textId="74C2720E">
            <w:pPr>
              <w:jc w:val="right"/>
            </w:pPr>
            <w:r>
              <w:t>5</w:t>
            </w:r>
          </w:p>
        </w:tc>
        <w:tc>
          <w:tcPr>
            <w:tcW w:w="1350" w:type="dxa"/>
          </w:tcPr>
          <w:p w:rsidR="000325DB" w:rsidRPr="00A74CDA" w:rsidP="003F4627" w14:paraId="1C749358" w14:textId="53FB1275">
            <w:pPr>
              <w:jc w:val="right"/>
            </w:pPr>
            <w:r>
              <w:t>2.4</w:t>
            </w:r>
          </w:p>
        </w:tc>
        <w:tc>
          <w:tcPr>
            <w:tcW w:w="900" w:type="dxa"/>
          </w:tcPr>
          <w:p w:rsidR="000325DB" w:rsidRPr="00A74CDA" w:rsidP="003F4627" w14:paraId="3F454786" w14:textId="77777777">
            <w:pPr>
              <w:jc w:val="right"/>
            </w:pPr>
            <w:r w:rsidRPr="00A74CDA">
              <w:t>12</w:t>
            </w:r>
          </w:p>
        </w:tc>
        <w:tc>
          <w:tcPr>
            <w:tcW w:w="1440" w:type="dxa"/>
          </w:tcPr>
          <w:p w:rsidR="000325DB" w:rsidRPr="00A74CDA" w:rsidP="003F4627" w14:paraId="5FD5AE21" w14:textId="77777777">
            <w:pPr>
              <w:jc w:val="right"/>
            </w:pPr>
            <w:r w:rsidRPr="00A74CDA">
              <w:t>0.08</w:t>
            </w:r>
          </w:p>
          <w:p w:rsidR="000325DB" w:rsidRPr="00A74CDA" w:rsidP="003F4627" w14:paraId="238608A6" w14:textId="77777777">
            <w:pPr>
              <w:jc w:val="right"/>
            </w:pPr>
            <w:r w:rsidRPr="00A74CDA">
              <w:t xml:space="preserve">(5 </w:t>
            </w:r>
            <w:r>
              <w:t>mins.)</w:t>
            </w:r>
          </w:p>
        </w:tc>
        <w:tc>
          <w:tcPr>
            <w:tcW w:w="738" w:type="dxa"/>
          </w:tcPr>
          <w:p w:rsidR="000325DB" w:rsidRPr="00A74CDA" w:rsidP="00BA1B02" w14:paraId="680687EB" w14:textId="77777777">
            <w:pPr>
              <w:jc w:val="right"/>
            </w:pPr>
            <w:r w:rsidRPr="00A74CDA">
              <w:t xml:space="preserve">   0.96</w:t>
            </w:r>
          </w:p>
        </w:tc>
      </w:tr>
      <w:tr w14:paraId="6F73828B" w14:textId="77777777" w:rsidTr="004C0AFA">
        <w:tblPrEx>
          <w:tblW w:w="0" w:type="auto"/>
          <w:jc w:val="center"/>
          <w:tblLayout w:type="fixed"/>
          <w:tblLook w:val="0020"/>
        </w:tblPrEx>
        <w:trPr>
          <w:cantSplit/>
          <w:jc w:val="center"/>
        </w:trPr>
        <w:tc>
          <w:tcPr>
            <w:tcW w:w="3708" w:type="dxa"/>
          </w:tcPr>
          <w:p w:rsidR="000325DB" w:rsidRPr="00A74CDA" w:rsidP="003F4627" w14:paraId="57156731" w14:textId="77777777">
            <w:r w:rsidRPr="00A74CDA">
              <w:t>Total</w:t>
            </w:r>
          </w:p>
        </w:tc>
        <w:tc>
          <w:tcPr>
            <w:tcW w:w="1440" w:type="dxa"/>
          </w:tcPr>
          <w:p w:rsidR="000325DB" w:rsidRPr="00A74CDA" w:rsidP="003F4627" w14:paraId="6B24A75A" w14:textId="77777777">
            <w:pPr>
              <w:jc w:val="right"/>
            </w:pPr>
          </w:p>
        </w:tc>
        <w:tc>
          <w:tcPr>
            <w:tcW w:w="1350" w:type="dxa"/>
          </w:tcPr>
          <w:p w:rsidR="000325DB" w:rsidRPr="00A74CDA" w:rsidP="003F4627" w14:paraId="78351EC1" w14:textId="77777777">
            <w:pPr>
              <w:jc w:val="right"/>
            </w:pPr>
          </w:p>
        </w:tc>
        <w:tc>
          <w:tcPr>
            <w:tcW w:w="900" w:type="dxa"/>
          </w:tcPr>
          <w:p w:rsidR="000325DB" w:rsidRPr="00A74CDA" w:rsidP="003F4627" w14:paraId="28E9C415" w14:textId="43827B2D">
            <w:pPr>
              <w:jc w:val="right"/>
            </w:pPr>
            <w:r>
              <w:fldChar w:fldCharType="begin"/>
            </w:r>
            <w:r>
              <w:instrText xml:space="preserve"> =SUM(ABOVE) </w:instrText>
            </w:r>
            <w:r>
              <w:fldChar w:fldCharType="separate"/>
            </w:r>
            <w:r>
              <w:rPr>
                <w:noProof/>
              </w:rPr>
              <w:t>200</w:t>
            </w:r>
            <w:r>
              <w:fldChar w:fldCharType="end"/>
            </w:r>
          </w:p>
        </w:tc>
        <w:tc>
          <w:tcPr>
            <w:tcW w:w="1440" w:type="dxa"/>
          </w:tcPr>
          <w:p w:rsidR="000325DB" w:rsidRPr="00A74CDA" w:rsidP="003F4627" w14:paraId="2B1417BF" w14:textId="77777777">
            <w:pPr>
              <w:jc w:val="right"/>
            </w:pPr>
          </w:p>
        </w:tc>
        <w:tc>
          <w:tcPr>
            <w:tcW w:w="738" w:type="dxa"/>
          </w:tcPr>
          <w:p w:rsidR="000325DB" w:rsidRPr="00A74CDA" w:rsidP="00BA1B02" w14:paraId="3CDFC41E" w14:textId="7968CDC5">
            <w:pPr>
              <w:jc w:val="right"/>
            </w:pPr>
            <w:r w:rsidRPr="00A74CDA">
              <w:t xml:space="preserve"> </w:t>
            </w:r>
            <w:r w:rsidR="00BA1B02">
              <w:fldChar w:fldCharType="begin"/>
            </w:r>
            <w:r w:rsidR="00BA1B02">
              <w:instrText xml:space="preserve"> =SUM(ABOVE) </w:instrText>
            </w:r>
            <w:r w:rsidR="00BA1B02">
              <w:fldChar w:fldCharType="separate"/>
            </w:r>
            <w:r w:rsidR="00BA1B02">
              <w:rPr>
                <w:noProof/>
              </w:rPr>
              <w:t>57.54</w:t>
            </w:r>
            <w:r w:rsidR="00BA1B02">
              <w:fldChar w:fldCharType="end"/>
            </w:r>
          </w:p>
        </w:tc>
      </w:tr>
    </w:tbl>
    <w:p w:rsidR="00A74CDA" w:rsidRPr="00A74CDA" w:rsidP="003F4627" w14:paraId="3D6411EC" w14:textId="77777777">
      <w:r w:rsidRPr="00A74CDA">
        <w:rPr>
          <w:vertAlign w:val="superscript"/>
        </w:rPr>
        <w:t>1</w:t>
      </w:r>
      <w:r w:rsidR="00C62449">
        <w:rPr>
          <w:vertAlign w:val="superscript"/>
        </w:rPr>
        <w:t xml:space="preserve"> </w:t>
      </w:r>
      <w:r w:rsidRPr="00A74CDA">
        <w:t>There are no capital costs or operating and maintenance costs associated with this collection of information.</w:t>
      </w:r>
    </w:p>
    <w:p w:rsidR="00A74CDA" w:rsidRPr="00A74CDA" w:rsidP="003F4627" w14:paraId="4310554A" w14:textId="77777777">
      <w:r w:rsidRPr="00A74CDA">
        <w:rPr>
          <w:vertAlign w:val="superscript"/>
        </w:rPr>
        <w:t>2</w:t>
      </w:r>
      <w:r w:rsidR="00C62449">
        <w:rPr>
          <w:vertAlign w:val="superscript"/>
        </w:rPr>
        <w:t xml:space="preserve"> </w:t>
      </w:r>
      <w:r w:rsidRPr="00A74CDA">
        <w:t>A one-time burden for new respondents to set up a recordkeeping system linking all relevant records.  FDA is using 1 new sponsor for estimation purposes.</w:t>
      </w:r>
    </w:p>
    <w:p w:rsidR="00C62449" w:rsidRPr="001A15C3" w:rsidP="003F4627" w14:paraId="64A4C774" w14:textId="77777777">
      <w:r w:rsidRPr="001A15C3">
        <w:rPr>
          <w:vertAlign w:val="superscript"/>
        </w:rPr>
        <w:t>3</w:t>
      </w:r>
      <w:r>
        <w:rPr>
          <w:vertAlign w:val="superscript"/>
        </w:rPr>
        <w:t xml:space="preserve"> </w:t>
      </w:r>
      <w:r w:rsidRPr="001A15C3">
        <w:t>FDA estimates there is minimal recordkeeping burden associated with maintaining the record system.</w:t>
      </w:r>
    </w:p>
    <w:p w:rsidR="00C62449" w:rsidRPr="001A15C3" w:rsidP="003F4627" w14:paraId="2084A999" w14:textId="77777777">
      <w:r w:rsidRPr="001A15C3">
        <w:rPr>
          <w:vertAlign w:val="superscript"/>
        </w:rPr>
        <w:t>4</w:t>
      </w:r>
      <w:r>
        <w:rPr>
          <w:vertAlign w:val="superscript"/>
        </w:rPr>
        <w:t xml:space="preserve"> </w:t>
      </w:r>
      <w:r w:rsidRPr="001A15C3">
        <w:t>Monitoring for sentinel animals (subset representative of herd) plus all source animals. There are approximately 6 sentinel animals per herd x 1 herd per facility x 4 facilities = 24 sentinel animals. There are approximately 8 source animals per year (see footnote 7 of this table); 24 + 8 = 32 monitoring records to document.</w:t>
      </w:r>
    </w:p>
    <w:p w:rsidR="00C62449" w:rsidRPr="001A15C3" w:rsidP="003F4627" w14:paraId="1C6B211C" w14:textId="77777777">
      <w:r w:rsidRPr="001A15C3">
        <w:rPr>
          <w:vertAlign w:val="superscript"/>
        </w:rPr>
        <w:t>5</w:t>
      </w:r>
      <w:r>
        <w:rPr>
          <w:vertAlign w:val="superscript"/>
        </w:rPr>
        <w:t xml:space="preserve"> </w:t>
      </w:r>
      <w:r w:rsidRPr="001A15C3">
        <w:t>Necropsy for animal deaths of unknown cause estimated to be approximately 2 per herd per year x 1 herd per facility x 4 facilities = 8.</w:t>
      </w:r>
    </w:p>
    <w:p w:rsidR="00C62449" w:rsidRPr="001A15C3" w:rsidP="003F4627" w14:paraId="54E1F06F" w14:textId="77777777">
      <w:r w:rsidRPr="001A15C3">
        <w:rPr>
          <w:vertAlign w:val="superscript"/>
        </w:rPr>
        <w:t>6</w:t>
      </w:r>
      <w:r>
        <w:rPr>
          <w:vertAlign w:val="superscript"/>
        </w:rPr>
        <w:t xml:space="preserve"> </w:t>
      </w:r>
      <w:r w:rsidRPr="001A15C3">
        <w:t>Has not occurred in the past 3 years and is expected to continue to be a rare occurrence.</w:t>
      </w:r>
    </w:p>
    <w:p w:rsidR="00C62449" w:rsidRPr="001A15C3" w:rsidP="003F4627" w14:paraId="7AD1B42D" w14:textId="7A4E864E">
      <w:r w:rsidRPr="001A15C3">
        <w:rPr>
          <w:vertAlign w:val="superscript"/>
        </w:rPr>
        <w:t>7</w:t>
      </w:r>
      <w:r>
        <w:rPr>
          <w:vertAlign w:val="superscript"/>
        </w:rPr>
        <w:t xml:space="preserve"> </w:t>
      </w:r>
      <w:r w:rsidRPr="001A15C3">
        <w:t>On average 2 source animals are used for preparing xenotransplantation product material for one recipient.  The average number of source animals is 2 source animals per recipient x 4 recipients annually = 8 source animals per year. (See footnote 5 of table 6 of this document.)</w:t>
      </w:r>
      <w:r w:rsidR="000601F3">
        <w:t>0.2520.253.58</w:t>
      </w:r>
    </w:p>
    <w:p w:rsidR="00C62449" w:rsidRPr="001A15C3" w:rsidP="003F4627" w14:paraId="59FA2B17" w14:textId="77777777">
      <w:r w:rsidRPr="001A15C3">
        <w:rPr>
          <w:vertAlign w:val="superscript"/>
        </w:rPr>
        <w:t>8</w:t>
      </w:r>
      <w:r>
        <w:rPr>
          <w:vertAlign w:val="superscript"/>
        </w:rPr>
        <w:t xml:space="preserve"> </w:t>
      </w:r>
      <w:r w:rsidRPr="001A15C3">
        <w:t>FDA estimates there are 5 clinical centers doing xenotransplantation procedures x approximately 25 health care workers involved per center = 125 health care workers.</w:t>
      </w:r>
    </w:p>
    <w:p w:rsidR="00E315BC" w:rsidRPr="0033517F" w:rsidP="003F4627" w14:paraId="6D53FE39" w14:textId="77777777">
      <w:r w:rsidRPr="001A15C3">
        <w:rPr>
          <w:vertAlign w:val="superscript"/>
        </w:rPr>
        <w:t>9</w:t>
      </w:r>
      <w:r>
        <w:rPr>
          <w:vertAlign w:val="superscript"/>
        </w:rPr>
        <w:t xml:space="preserve"> </w:t>
      </w:r>
      <w:r w:rsidRPr="001A15C3">
        <w:t>Eight source animal records + 4 recipient records = 12 total records.</w:t>
      </w:r>
    </w:p>
    <w:p w:rsidR="00AF166C" w:rsidP="003F4627" w14:paraId="4A4CCDFD" w14:textId="77777777">
      <w:pPr>
        <w:rPr>
          <w:sz w:val="24"/>
          <w:szCs w:val="24"/>
        </w:rPr>
      </w:pPr>
    </w:p>
    <w:p w:rsidR="00AF166C" w:rsidP="003F4627" w14:paraId="7F87315B" w14:textId="77777777">
      <w:pPr>
        <w:rPr>
          <w:sz w:val="24"/>
          <w:szCs w:val="24"/>
        </w:rPr>
      </w:pPr>
    </w:p>
    <w:p w:rsidR="004C0AFA" w:rsidRPr="005525F0" w:rsidP="003F4627" w14:paraId="007D7715" w14:textId="77777777">
      <w:pPr>
        <w:jc w:val="center"/>
        <w:rPr>
          <w:sz w:val="22"/>
          <w:szCs w:val="22"/>
        </w:rPr>
      </w:pPr>
      <w:r w:rsidRPr="005525F0">
        <w:rPr>
          <w:sz w:val="22"/>
          <w:szCs w:val="22"/>
        </w:rPr>
        <w:t>Table 3 – Estimated Annual Third-Party Disclosure Burden</w:t>
      </w:r>
      <w:r w:rsidRPr="005525F0">
        <w:rPr>
          <w:sz w:val="22"/>
          <w:szCs w:val="22"/>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1260"/>
        <w:gridCol w:w="1530"/>
        <w:gridCol w:w="1170"/>
        <w:gridCol w:w="1170"/>
        <w:gridCol w:w="738"/>
      </w:tblGrid>
      <w:tr w14:paraId="43AFA9C5" w14:textId="77777777" w:rsidTr="004C0AF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3708" w:type="dxa"/>
          </w:tcPr>
          <w:p w:rsidR="004C0AFA" w:rsidRPr="004C0AFA" w:rsidP="003F4627" w14:paraId="684E2064" w14:textId="77777777">
            <w:pPr>
              <w:jc w:val="center"/>
            </w:pPr>
            <w:r w:rsidRPr="004C0AFA">
              <w:t>PHS Guideline Section</w:t>
            </w:r>
            <w:r>
              <w:t>; Information Collection Activity</w:t>
            </w:r>
          </w:p>
        </w:tc>
        <w:tc>
          <w:tcPr>
            <w:tcW w:w="1260" w:type="dxa"/>
          </w:tcPr>
          <w:p w:rsidR="004C0AFA" w:rsidRPr="004C0AFA" w:rsidP="003F4627" w14:paraId="183D8C46" w14:textId="77777777">
            <w:pPr>
              <w:jc w:val="center"/>
            </w:pPr>
            <w:r w:rsidRPr="004C0AFA">
              <w:t>No. of Respondents</w:t>
            </w:r>
          </w:p>
        </w:tc>
        <w:tc>
          <w:tcPr>
            <w:tcW w:w="1530" w:type="dxa"/>
          </w:tcPr>
          <w:p w:rsidR="004C0AFA" w:rsidRPr="004C0AFA" w:rsidP="003F4627" w14:paraId="0C3B269C" w14:textId="77777777">
            <w:pPr>
              <w:jc w:val="center"/>
            </w:pPr>
            <w:r w:rsidRPr="004C0AFA">
              <w:t>No. of Disclosures per Respondent</w:t>
            </w:r>
          </w:p>
        </w:tc>
        <w:tc>
          <w:tcPr>
            <w:tcW w:w="1170" w:type="dxa"/>
          </w:tcPr>
          <w:p w:rsidR="004C0AFA" w:rsidRPr="004C0AFA" w:rsidP="003F4627" w14:paraId="5444E598" w14:textId="77777777">
            <w:pPr>
              <w:jc w:val="center"/>
            </w:pPr>
            <w:r w:rsidRPr="004C0AFA">
              <w:t>Total Annual</w:t>
            </w:r>
          </w:p>
          <w:p w:rsidR="004C0AFA" w:rsidRPr="004C0AFA" w:rsidP="003F4627" w14:paraId="7228D786" w14:textId="77777777">
            <w:pPr>
              <w:jc w:val="center"/>
            </w:pPr>
            <w:r w:rsidRPr="004C0AFA">
              <w:t>Disclosures</w:t>
            </w:r>
          </w:p>
        </w:tc>
        <w:tc>
          <w:tcPr>
            <w:tcW w:w="1170" w:type="dxa"/>
          </w:tcPr>
          <w:p w:rsidR="004C0AFA" w:rsidRPr="004C0AFA" w:rsidP="003F4627" w14:paraId="23E131AF" w14:textId="77777777">
            <w:pPr>
              <w:jc w:val="center"/>
            </w:pPr>
            <w:r w:rsidRPr="004C0AFA">
              <w:t>Av</w:t>
            </w:r>
            <w:r>
              <w:t xml:space="preserve">g. </w:t>
            </w:r>
            <w:r w:rsidRPr="004C0AFA">
              <w:t>Burden per</w:t>
            </w:r>
          </w:p>
          <w:p w:rsidR="004C0AFA" w:rsidRPr="004C0AFA" w:rsidP="003F4627" w14:paraId="113BBFBF" w14:textId="77777777">
            <w:pPr>
              <w:jc w:val="center"/>
            </w:pPr>
            <w:r w:rsidRPr="004C0AFA">
              <w:t>Disclosure</w:t>
            </w:r>
          </w:p>
        </w:tc>
        <w:tc>
          <w:tcPr>
            <w:tcW w:w="738" w:type="dxa"/>
          </w:tcPr>
          <w:p w:rsidR="004C0AFA" w:rsidRPr="004C0AFA" w:rsidP="003F4627" w14:paraId="3C37CC91" w14:textId="77777777">
            <w:pPr>
              <w:jc w:val="center"/>
            </w:pPr>
            <w:r w:rsidRPr="004C0AFA">
              <w:t>Total Hours</w:t>
            </w:r>
          </w:p>
        </w:tc>
      </w:tr>
      <w:tr w14:paraId="774617BA" w14:textId="77777777" w:rsidTr="004C0AFA">
        <w:tblPrEx>
          <w:tblW w:w="0" w:type="auto"/>
          <w:tblLayout w:type="fixed"/>
          <w:tblLook w:val="0000"/>
        </w:tblPrEx>
        <w:tc>
          <w:tcPr>
            <w:tcW w:w="3708" w:type="dxa"/>
          </w:tcPr>
          <w:p w:rsidR="004C0AFA" w:rsidRPr="007D2A6D" w:rsidP="003F4627" w14:paraId="4510D544" w14:textId="77777777">
            <w:r w:rsidRPr="007D2A6D">
              <w:t>3.2.7.2</w:t>
            </w:r>
            <w:r>
              <w:t xml:space="preserve">; </w:t>
            </w:r>
            <w:r w:rsidRPr="007D2A6D">
              <w:t>Notify sponsor or FDA of new archive site when the source animal facility or sponsor ceases operations.</w:t>
            </w:r>
            <w:r w:rsidRPr="005525F0" w:rsidR="005525F0">
              <w:rPr>
                <w:vertAlign w:val="superscript"/>
              </w:rPr>
              <w:t>2</w:t>
            </w:r>
          </w:p>
        </w:tc>
        <w:tc>
          <w:tcPr>
            <w:tcW w:w="1260" w:type="dxa"/>
          </w:tcPr>
          <w:p w:rsidR="004C0AFA" w:rsidRPr="004C0AFA" w:rsidP="003F4627" w14:paraId="31D25E5B" w14:textId="77777777">
            <w:pPr>
              <w:jc w:val="right"/>
            </w:pPr>
            <w:r w:rsidRPr="004C0AFA">
              <w:t>1</w:t>
            </w:r>
          </w:p>
        </w:tc>
        <w:tc>
          <w:tcPr>
            <w:tcW w:w="1530" w:type="dxa"/>
          </w:tcPr>
          <w:p w:rsidR="004C0AFA" w:rsidRPr="004C0AFA" w:rsidP="003F4627" w14:paraId="6E7A9BED" w14:textId="77777777">
            <w:pPr>
              <w:jc w:val="right"/>
            </w:pPr>
            <w:r w:rsidRPr="004C0AFA">
              <w:t>1</w:t>
            </w:r>
          </w:p>
        </w:tc>
        <w:tc>
          <w:tcPr>
            <w:tcW w:w="1170" w:type="dxa"/>
          </w:tcPr>
          <w:p w:rsidR="004C0AFA" w:rsidRPr="004C0AFA" w:rsidP="003F4627" w14:paraId="70BCCF40" w14:textId="77777777">
            <w:pPr>
              <w:jc w:val="right"/>
            </w:pPr>
            <w:r w:rsidRPr="004C0AFA">
              <w:t>1</w:t>
            </w:r>
          </w:p>
        </w:tc>
        <w:tc>
          <w:tcPr>
            <w:tcW w:w="1170" w:type="dxa"/>
          </w:tcPr>
          <w:p w:rsidR="004C0AFA" w:rsidRPr="004C0AFA" w:rsidP="003F4627" w14:paraId="1667C9B5" w14:textId="77777777">
            <w:pPr>
              <w:jc w:val="right"/>
            </w:pPr>
            <w:r w:rsidRPr="004C0AFA">
              <w:t>0.50</w:t>
            </w:r>
          </w:p>
          <w:p w:rsidR="004C0AFA" w:rsidRPr="004C0AFA" w:rsidP="003F4627" w14:paraId="26B1D72F" w14:textId="77777777">
            <w:pPr>
              <w:jc w:val="right"/>
            </w:pPr>
            <w:r w:rsidRPr="004C0AFA">
              <w:t xml:space="preserve">(30 </w:t>
            </w:r>
            <w:r>
              <w:t>mins.)</w:t>
            </w:r>
          </w:p>
        </w:tc>
        <w:tc>
          <w:tcPr>
            <w:tcW w:w="738" w:type="dxa"/>
          </w:tcPr>
          <w:p w:rsidR="004C0AFA" w:rsidRPr="004C0AFA" w:rsidP="003F4627" w14:paraId="0F98E2EB" w14:textId="75FDF4DE">
            <w:pPr>
              <w:jc w:val="right"/>
            </w:pPr>
            <w:r>
              <w:t>1</w:t>
            </w:r>
          </w:p>
        </w:tc>
      </w:tr>
      <w:tr w14:paraId="6D379E42" w14:textId="77777777" w:rsidTr="004C0AFA">
        <w:tblPrEx>
          <w:tblW w:w="0" w:type="auto"/>
          <w:tblLayout w:type="fixed"/>
          <w:tblLook w:val="0000"/>
        </w:tblPrEx>
        <w:tc>
          <w:tcPr>
            <w:tcW w:w="3708" w:type="dxa"/>
          </w:tcPr>
          <w:p w:rsidR="004C0AFA" w:rsidRPr="007D2A6D" w:rsidP="003F4627" w14:paraId="570929EA" w14:textId="77777777">
            <w:r w:rsidRPr="007D2A6D">
              <w:t>3.4</w:t>
            </w:r>
            <w:r>
              <w:t xml:space="preserve">; </w:t>
            </w:r>
            <w:r w:rsidRPr="007D2A6D">
              <w:t>Standard operating procedures (SOPs) of source animal facility should be available to review bodies.</w:t>
            </w:r>
            <w:r w:rsidRPr="005525F0" w:rsidR="005525F0">
              <w:rPr>
                <w:vertAlign w:val="superscript"/>
              </w:rPr>
              <w:t>3</w:t>
            </w:r>
          </w:p>
        </w:tc>
        <w:tc>
          <w:tcPr>
            <w:tcW w:w="1260" w:type="dxa"/>
          </w:tcPr>
          <w:p w:rsidR="004C0AFA" w:rsidRPr="004C0AFA" w:rsidP="003F4627" w14:paraId="1599CCDA" w14:textId="1A7591AE">
            <w:pPr>
              <w:jc w:val="right"/>
            </w:pPr>
            <w:r>
              <w:t>2</w:t>
            </w:r>
          </w:p>
        </w:tc>
        <w:tc>
          <w:tcPr>
            <w:tcW w:w="1530" w:type="dxa"/>
          </w:tcPr>
          <w:p w:rsidR="004C0AFA" w:rsidRPr="004C0AFA" w:rsidP="003F4627" w14:paraId="48548EAD" w14:textId="76750B10">
            <w:pPr>
              <w:jc w:val="right"/>
            </w:pPr>
            <w:r w:rsidRPr="004C0AFA">
              <w:t>0.</w:t>
            </w:r>
            <w:r w:rsidR="0051722F">
              <w:t>50</w:t>
            </w:r>
          </w:p>
        </w:tc>
        <w:tc>
          <w:tcPr>
            <w:tcW w:w="1170" w:type="dxa"/>
          </w:tcPr>
          <w:p w:rsidR="004C0AFA" w:rsidRPr="004C0AFA" w:rsidP="003F4627" w14:paraId="6EF267A0" w14:textId="77777777">
            <w:pPr>
              <w:jc w:val="right"/>
            </w:pPr>
            <w:r w:rsidRPr="004C0AFA">
              <w:t>1</w:t>
            </w:r>
          </w:p>
        </w:tc>
        <w:tc>
          <w:tcPr>
            <w:tcW w:w="1170" w:type="dxa"/>
          </w:tcPr>
          <w:p w:rsidR="004C0AFA" w:rsidRPr="004C0AFA" w:rsidP="003F4627" w14:paraId="647E4ABA" w14:textId="77777777">
            <w:pPr>
              <w:jc w:val="right"/>
            </w:pPr>
            <w:r w:rsidRPr="004C0AFA">
              <w:t>0.08</w:t>
            </w:r>
          </w:p>
          <w:p w:rsidR="004C0AFA" w:rsidRPr="004C0AFA" w:rsidP="003F4627" w14:paraId="5C05A719" w14:textId="77777777">
            <w:pPr>
              <w:jc w:val="right"/>
            </w:pPr>
            <w:r w:rsidRPr="004C0AFA">
              <w:t xml:space="preserve">(5 </w:t>
            </w:r>
            <w:r>
              <w:t>mins.)</w:t>
            </w:r>
          </w:p>
        </w:tc>
        <w:tc>
          <w:tcPr>
            <w:tcW w:w="738" w:type="dxa"/>
          </w:tcPr>
          <w:p w:rsidR="004C0AFA" w:rsidRPr="004C0AFA" w:rsidP="003F4627" w14:paraId="5FE848A4" w14:textId="78AFFB38">
            <w:pPr>
              <w:jc w:val="right"/>
            </w:pPr>
            <w:r>
              <w:t>0.08</w:t>
            </w:r>
          </w:p>
        </w:tc>
      </w:tr>
      <w:tr w14:paraId="2616F0DD" w14:textId="77777777" w:rsidTr="004C0AFA">
        <w:tblPrEx>
          <w:tblW w:w="0" w:type="auto"/>
          <w:tblLayout w:type="fixed"/>
          <w:tblLook w:val="0000"/>
        </w:tblPrEx>
        <w:tc>
          <w:tcPr>
            <w:tcW w:w="3708" w:type="dxa"/>
          </w:tcPr>
          <w:p w:rsidR="004C0AFA" w:rsidRPr="007D2A6D" w:rsidP="003F4627" w14:paraId="09BF2C49" w14:textId="77777777">
            <w:r w:rsidRPr="007D2A6D">
              <w:t>3.5.1</w:t>
            </w:r>
            <w:r>
              <w:t xml:space="preserve">; </w:t>
            </w:r>
            <w:r w:rsidRPr="007D2A6D">
              <w:t>Include increased infectious risk in informed consent if source animal quarantine period of 3 weeks is shortened.</w:t>
            </w:r>
            <w:r w:rsidRPr="005525F0" w:rsidR="005525F0">
              <w:rPr>
                <w:vertAlign w:val="superscript"/>
              </w:rPr>
              <w:t>4</w:t>
            </w:r>
          </w:p>
        </w:tc>
        <w:tc>
          <w:tcPr>
            <w:tcW w:w="1260" w:type="dxa"/>
          </w:tcPr>
          <w:p w:rsidR="004C0AFA" w:rsidRPr="004C0AFA" w:rsidP="003F4627" w14:paraId="0612ABFD" w14:textId="2B62866C">
            <w:pPr>
              <w:jc w:val="right"/>
            </w:pPr>
            <w:r>
              <w:t>2</w:t>
            </w:r>
          </w:p>
        </w:tc>
        <w:tc>
          <w:tcPr>
            <w:tcW w:w="1530" w:type="dxa"/>
          </w:tcPr>
          <w:p w:rsidR="004C0AFA" w:rsidRPr="004C0AFA" w:rsidP="003F4627" w14:paraId="155CB69F" w14:textId="2383AE73">
            <w:pPr>
              <w:jc w:val="right"/>
            </w:pPr>
            <w:r w:rsidRPr="004C0AFA">
              <w:t>0.</w:t>
            </w:r>
            <w:r w:rsidR="0051722F">
              <w:t>50</w:t>
            </w:r>
          </w:p>
        </w:tc>
        <w:tc>
          <w:tcPr>
            <w:tcW w:w="1170" w:type="dxa"/>
          </w:tcPr>
          <w:p w:rsidR="004C0AFA" w:rsidRPr="004C0AFA" w:rsidP="003F4627" w14:paraId="20D69D99" w14:textId="77777777">
            <w:pPr>
              <w:jc w:val="right"/>
            </w:pPr>
            <w:r w:rsidRPr="004C0AFA">
              <w:t>1</w:t>
            </w:r>
          </w:p>
        </w:tc>
        <w:tc>
          <w:tcPr>
            <w:tcW w:w="1170" w:type="dxa"/>
          </w:tcPr>
          <w:p w:rsidR="004C0AFA" w:rsidRPr="004C0AFA" w:rsidP="003F4627" w14:paraId="6468B405" w14:textId="77777777">
            <w:pPr>
              <w:jc w:val="right"/>
            </w:pPr>
            <w:r w:rsidRPr="004C0AFA">
              <w:t>0.25</w:t>
            </w:r>
          </w:p>
          <w:p w:rsidR="004C0AFA" w:rsidRPr="004C0AFA" w:rsidP="003F4627" w14:paraId="1FCF21EC" w14:textId="77777777">
            <w:pPr>
              <w:jc w:val="right"/>
            </w:pPr>
            <w:r w:rsidRPr="004C0AFA">
              <w:t xml:space="preserve">(15 </w:t>
            </w:r>
            <w:r>
              <w:t>mins.)</w:t>
            </w:r>
          </w:p>
        </w:tc>
        <w:tc>
          <w:tcPr>
            <w:tcW w:w="738" w:type="dxa"/>
          </w:tcPr>
          <w:p w:rsidR="004C0AFA" w:rsidRPr="004C0AFA" w:rsidP="003F4627" w14:paraId="6855291B" w14:textId="53FC86EC">
            <w:pPr>
              <w:jc w:val="right"/>
            </w:pPr>
            <w:r>
              <w:t>0.25</w:t>
            </w:r>
          </w:p>
        </w:tc>
      </w:tr>
      <w:tr w14:paraId="3426F396" w14:textId="77777777" w:rsidTr="004C0AFA">
        <w:tblPrEx>
          <w:tblW w:w="0" w:type="auto"/>
          <w:tblLayout w:type="fixed"/>
          <w:tblLook w:val="0000"/>
        </w:tblPrEx>
        <w:tc>
          <w:tcPr>
            <w:tcW w:w="3708" w:type="dxa"/>
          </w:tcPr>
          <w:p w:rsidR="004C0AFA" w:rsidRPr="007D2A6D" w:rsidP="003F4627" w14:paraId="59231205" w14:textId="77777777">
            <w:r w:rsidRPr="007D2A6D">
              <w:t>3.5.4</w:t>
            </w:r>
            <w:r>
              <w:t xml:space="preserve">; </w:t>
            </w:r>
            <w:r w:rsidRPr="007D2A6D">
              <w:t>Sponsor to make linked records described in section 3.2.7 available for review.</w:t>
            </w:r>
            <w:r w:rsidRPr="005525F0" w:rsidR="005525F0">
              <w:rPr>
                <w:vertAlign w:val="superscript"/>
              </w:rPr>
              <w:t>5</w:t>
            </w:r>
          </w:p>
        </w:tc>
        <w:tc>
          <w:tcPr>
            <w:tcW w:w="1260" w:type="dxa"/>
          </w:tcPr>
          <w:p w:rsidR="004C0AFA" w:rsidRPr="004C0AFA" w:rsidP="003F4627" w14:paraId="31772B73" w14:textId="7DCB9846">
            <w:pPr>
              <w:jc w:val="right"/>
            </w:pPr>
            <w:r>
              <w:t>2</w:t>
            </w:r>
          </w:p>
        </w:tc>
        <w:tc>
          <w:tcPr>
            <w:tcW w:w="1530" w:type="dxa"/>
          </w:tcPr>
          <w:p w:rsidR="004C0AFA" w:rsidRPr="004C0AFA" w:rsidP="003F4627" w14:paraId="43CAA841" w14:textId="5751C659">
            <w:pPr>
              <w:jc w:val="right"/>
            </w:pPr>
            <w:r>
              <w:t>2</w:t>
            </w:r>
          </w:p>
        </w:tc>
        <w:tc>
          <w:tcPr>
            <w:tcW w:w="1170" w:type="dxa"/>
          </w:tcPr>
          <w:p w:rsidR="004C0AFA" w:rsidRPr="004C0AFA" w:rsidP="003F4627" w14:paraId="50A59869" w14:textId="77777777">
            <w:pPr>
              <w:jc w:val="right"/>
            </w:pPr>
            <w:r w:rsidRPr="004C0AFA">
              <w:t>4</w:t>
            </w:r>
          </w:p>
        </w:tc>
        <w:tc>
          <w:tcPr>
            <w:tcW w:w="1170" w:type="dxa"/>
          </w:tcPr>
          <w:p w:rsidR="004C0AFA" w:rsidRPr="004C0AFA" w:rsidP="003F4627" w14:paraId="7BD4C2F7" w14:textId="77777777">
            <w:pPr>
              <w:jc w:val="right"/>
            </w:pPr>
            <w:r w:rsidRPr="004C0AFA">
              <w:t>0.50</w:t>
            </w:r>
          </w:p>
          <w:p w:rsidR="004C0AFA" w:rsidRPr="004C0AFA" w:rsidP="003F4627" w14:paraId="2C48813B" w14:textId="77777777">
            <w:pPr>
              <w:jc w:val="right"/>
            </w:pPr>
            <w:r w:rsidRPr="004C0AFA">
              <w:t xml:space="preserve">(30 </w:t>
            </w:r>
            <w:r>
              <w:t>mins.)</w:t>
            </w:r>
          </w:p>
        </w:tc>
        <w:tc>
          <w:tcPr>
            <w:tcW w:w="738" w:type="dxa"/>
          </w:tcPr>
          <w:p w:rsidR="004C0AFA" w:rsidRPr="004C0AFA" w:rsidP="003F4627" w14:paraId="749285E1" w14:textId="19D0F6A9">
            <w:pPr>
              <w:jc w:val="right"/>
            </w:pPr>
            <w:r>
              <w:t>2</w:t>
            </w:r>
          </w:p>
        </w:tc>
      </w:tr>
      <w:tr w14:paraId="6B9F4174" w14:textId="77777777" w:rsidTr="004C0AFA">
        <w:tblPrEx>
          <w:tblW w:w="0" w:type="auto"/>
          <w:tblLayout w:type="fixed"/>
          <w:tblLook w:val="0000"/>
        </w:tblPrEx>
        <w:tc>
          <w:tcPr>
            <w:tcW w:w="3708" w:type="dxa"/>
          </w:tcPr>
          <w:p w:rsidR="004C0AFA" w:rsidRPr="007D2A6D" w:rsidP="003F4627" w14:paraId="555B9C3B" w14:textId="77777777">
            <w:r w:rsidRPr="007D2A6D">
              <w:t>3.5.5</w:t>
            </w:r>
            <w:r>
              <w:t xml:space="preserve">; </w:t>
            </w:r>
            <w:r w:rsidRPr="007D2A6D">
              <w:t>Source animal facility to notify clinical center when infectious agent is identified in source animal or herd after xenotransplantation product procurement.</w:t>
            </w:r>
            <w:r w:rsidRPr="005525F0" w:rsidR="005525F0">
              <w:rPr>
                <w:vertAlign w:val="superscript"/>
              </w:rPr>
              <w:t>4</w:t>
            </w:r>
          </w:p>
        </w:tc>
        <w:tc>
          <w:tcPr>
            <w:tcW w:w="1260" w:type="dxa"/>
          </w:tcPr>
          <w:p w:rsidR="004C0AFA" w:rsidRPr="004C0AFA" w:rsidP="003F4627" w14:paraId="36855C00" w14:textId="069DBABB">
            <w:pPr>
              <w:tabs>
                <w:tab w:val="center" w:pos="4320"/>
                <w:tab w:val="right" w:pos="8640"/>
              </w:tabs>
              <w:jc w:val="right"/>
            </w:pPr>
            <w:r>
              <w:t>2</w:t>
            </w:r>
          </w:p>
        </w:tc>
        <w:tc>
          <w:tcPr>
            <w:tcW w:w="1530" w:type="dxa"/>
          </w:tcPr>
          <w:p w:rsidR="004C0AFA" w:rsidRPr="004C0AFA" w:rsidP="003F4627" w14:paraId="35273A4D" w14:textId="64F68E38">
            <w:pPr>
              <w:jc w:val="right"/>
            </w:pPr>
            <w:r w:rsidRPr="004C0AFA">
              <w:t>0.5</w:t>
            </w:r>
            <w:r w:rsidR="000601F3">
              <w:t>0</w:t>
            </w:r>
          </w:p>
        </w:tc>
        <w:tc>
          <w:tcPr>
            <w:tcW w:w="1170" w:type="dxa"/>
          </w:tcPr>
          <w:p w:rsidR="004C0AFA" w:rsidRPr="004C0AFA" w:rsidP="003F4627" w14:paraId="3CF46EB2" w14:textId="77777777">
            <w:pPr>
              <w:jc w:val="right"/>
            </w:pPr>
            <w:r w:rsidRPr="004C0AFA">
              <w:t>1</w:t>
            </w:r>
          </w:p>
        </w:tc>
        <w:tc>
          <w:tcPr>
            <w:tcW w:w="1170" w:type="dxa"/>
          </w:tcPr>
          <w:p w:rsidR="004C0AFA" w:rsidRPr="004C0AFA" w:rsidP="003F4627" w14:paraId="08476A86" w14:textId="77777777">
            <w:pPr>
              <w:jc w:val="right"/>
            </w:pPr>
            <w:r w:rsidRPr="004C0AFA">
              <w:t>0.25</w:t>
            </w:r>
          </w:p>
          <w:p w:rsidR="004C0AFA" w:rsidRPr="004C0AFA" w:rsidP="003F4627" w14:paraId="36CE5193" w14:textId="77777777">
            <w:pPr>
              <w:jc w:val="right"/>
            </w:pPr>
            <w:r w:rsidRPr="004C0AFA">
              <w:t xml:space="preserve">(15 </w:t>
            </w:r>
            <w:r>
              <w:t>mins.)</w:t>
            </w:r>
          </w:p>
        </w:tc>
        <w:tc>
          <w:tcPr>
            <w:tcW w:w="738" w:type="dxa"/>
          </w:tcPr>
          <w:p w:rsidR="004C0AFA" w:rsidRPr="004C0AFA" w:rsidP="003F4627" w14:paraId="241C4567" w14:textId="6B5DBC57">
            <w:pPr>
              <w:jc w:val="right"/>
            </w:pPr>
            <w:r>
              <w:t>0.25</w:t>
            </w:r>
          </w:p>
        </w:tc>
      </w:tr>
      <w:tr w14:paraId="48FEA02E" w14:textId="77777777" w:rsidTr="004C0AFA">
        <w:tblPrEx>
          <w:tblW w:w="0" w:type="auto"/>
          <w:tblLayout w:type="fixed"/>
          <w:tblLook w:val="0000"/>
        </w:tblPrEx>
        <w:tc>
          <w:tcPr>
            <w:tcW w:w="3708" w:type="dxa"/>
          </w:tcPr>
          <w:p w:rsidR="004C0AFA" w:rsidRPr="004C0AFA" w:rsidP="003F4627" w14:paraId="579EF274" w14:textId="77777777">
            <w:r w:rsidRPr="004C0AFA">
              <w:t>Total</w:t>
            </w:r>
          </w:p>
        </w:tc>
        <w:tc>
          <w:tcPr>
            <w:tcW w:w="1260" w:type="dxa"/>
          </w:tcPr>
          <w:p w:rsidR="004C0AFA" w:rsidRPr="004C0AFA" w:rsidP="003F4627" w14:paraId="07C83AF7" w14:textId="77777777">
            <w:pPr>
              <w:jc w:val="right"/>
            </w:pPr>
          </w:p>
        </w:tc>
        <w:tc>
          <w:tcPr>
            <w:tcW w:w="1530" w:type="dxa"/>
          </w:tcPr>
          <w:p w:rsidR="004C0AFA" w:rsidRPr="004C0AFA" w:rsidP="003F4627" w14:paraId="278ABBA5" w14:textId="77777777">
            <w:pPr>
              <w:jc w:val="right"/>
            </w:pPr>
          </w:p>
        </w:tc>
        <w:tc>
          <w:tcPr>
            <w:tcW w:w="1170" w:type="dxa"/>
          </w:tcPr>
          <w:p w:rsidR="004C0AFA" w:rsidRPr="004C0AFA" w:rsidP="003F4627" w14:paraId="104D7F56" w14:textId="77777777">
            <w:pPr>
              <w:jc w:val="right"/>
            </w:pPr>
          </w:p>
        </w:tc>
        <w:tc>
          <w:tcPr>
            <w:tcW w:w="1170" w:type="dxa"/>
          </w:tcPr>
          <w:p w:rsidR="004C0AFA" w:rsidRPr="004C0AFA" w:rsidP="003F4627" w14:paraId="081ACA48" w14:textId="77777777">
            <w:pPr>
              <w:jc w:val="right"/>
            </w:pPr>
          </w:p>
        </w:tc>
        <w:tc>
          <w:tcPr>
            <w:tcW w:w="738" w:type="dxa"/>
          </w:tcPr>
          <w:p w:rsidR="004C0AFA" w:rsidRPr="004C0AFA" w:rsidP="003F4627" w14:paraId="06CEDCF0" w14:textId="5B80E5EC">
            <w:pPr>
              <w:jc w:val="right"/>
            </w:pPr>
            <w:r>
              <w:fldChar w:fldCharType="begin"/>
            </w:r>
            <w:r>
              <w:instrText xml:space="preserve"> =SUM(ABOVE) </w:instrText>
            </w:r>
            <w:r>
              <w:fldChar w:fldCharType="separate"/>
            </w:r>
            <w:r>
              <w:rPr>
                <w:noProof/>
              </w:rPr>
              <w:t>3.58</w:t>
            </w:r>
            <w:r>
              <w:fldChar w:fldCharType="end"/>
            </w:r>
          </w:p>
        </w:tc>
      </w:tr>
    </w:tbl>
    <w:p w:rsidR="004C0AFA" w:rsidRPr="004C0AFA" w:rsidP="003F4627" w14:paraId="6B53D901" w14:textId="77777777">
      <w:r w:rsidRPr="004C0AFA">
        <w:rPr>
          <w:vertAlign w:val="superscript"/>
        </w:rPr>
        <w:t>1</w:t>
      </w:r>
      <w:r w:rsidR="00754B34">
        <w:rPr>
          <w:vertAlign w:val="superscript"/>
        </w:rPr>
        <w:t xml:space="preserve"> </w:t>
      </w:r>
      <w:r w:rsidRPr="004C0AFA">
        <w:t>There are no capital costs or operating and maintenance costs associated with this collection of information.</w:t>
      </w:r>
    </w:p>
    <w:p w:rsidR="004C0AFA" w:rsidRPr="004C0AFA" w:rsidP="003F4627" w14:paraId="0AB8E278" w14:textId="77777777">
      <w:pPr>
        <w:rPr>
          <w:i/>
          <w:iCs/>
        </w:rPr>
      </w:pPr>
      <w:r w:rsidRPr="004C0AFA">
        <w:rPr>
          <w:vertAlign w:val="superscript"/>
        </w:rPr>
        <w:t>2</w:t>
      </w:r>
      <w:r w:rsidR="00754B34">
        <w:rPr>
          <w:vertAlign w:val="superscript"/>
        </w:rPr>
        <w:t xml:space="preserve"> </w:t>
      </w:r>
      <w:r w:rsidRPr="004C0AFA">
        <w:t xml:space="preserve">FDA is using 1 animal facility or sponsor for estimation purposes. </w:t>
      </w:r>
    </w:p>
    <w:p w:rsidR="004C0AFA" w:rsidRPr="004C0AFA" w:rsidP="003F4627" w14:paraId="71D4C6AB" w14:textId="77777777">
      <w:pPr>
        <w:rPr>
          <w:b/>
          <w:i/>
        </w:rPr>
      </w:pPr>
      <w:r w:rsidRPr="004C0AFA">
        <w:rPr>
          <w:b/>
          <w:i/>
          <w:vertAlign w:val="superscript"/>
        </w:rPr>
        <w:t>3</w:t>
      </w:r>
      <w:r w:rsidR="00754B34">
        <w:rPr>
          <w:b/>
          <w:i/>
          <w:vertAlign w:val="superscript"/>
        </w:rPr>
        <w:t xml:space="preserve"> </w:t>
      </w:r>
      <w:r w:rsidRPr="004C0AFA">
        <w:t>FDA’s records indicate that an average of 1 INDs are expected to be submitted per year.</w:t>
      </w:r>
    </w:p>
    <w:p w:rsidR="004C0AFA" w:rsidRPr="004C0AFA" w:rsidP="003F4627" w14:paraId="0AD68D5A" w14:textId="77777777">
      <w:r w:rsidRPr="004C0AFA">
        <w:rPr>
          <w:vertAlign w:val="superscript"/>
        </w:rPr>
        <w:t>4</w:t>
      </w:r>
      <w:r w:rsidR="00754B34">
        <w:rPr>
          <w:vertAlign w:val="superscript"/>
        </w:rPr>
        <w:t xml:space="preserve"> </w:t>
      </w:r>
      <w:r w:rsidRPr="004C0AFA">
        <w:t xml:space="preserve">To our knowledge, has not occurred in the past 3 years and is expected to continue to be a rare occurrence. </w:t>
      </w:r>
    </w:p>
    <w:p w:rsidR="004C0AFA" w:rsidRPr="004C0AFA" w:rsidP="003F4627" w14:paraId="63F979A7" w14:textId="77777777">
      <w:r w:rsidRPr="004C0AFA">
        <w:rPr>
          <w:vertAlign w:val="superscript"/>
        </w:rPr>
        <w:t>5</w:t>
      </w:r>
      <w:r w:rsidR="00754B34">
        <w:rPr>
          <w:vertAlign w:val="superscript"/>
        </w:rPr>
        <w:t xml:space="preserve"> </w:t>
      </w:r>
      <w:r w:rsidRPr="004C0AFA">
        <w:t>Based on an estimate of 12 patients treated over a 3 year period, the average number of xenotransplantation product recipients per year is estimated to be 4.</w:t>
      </w:r>
    </w:p>
    <w:p w:rsidR="004C0AFA" w:rsidP="003F4627" w14:paraId="74BCF234" w14:textId="77777777">
      <w:pPr>
        <w:rPr>
          <w:sz w:val="24"/>
          <w:szCs w:val="24"/>
        </w:rPr>
      </w:pPr>
    </w:p>
    <w:p w:rsidR="0033517F" w:rsidP="003F4627" w14:paraId="0FA49C5F" w14:textId="77777777">
      <w:pPr>
        <w:rPr>
          <w:sz w:val="24"/>
          <w:szCs w:val="24"/>
        </w:rPr>
      </w:pPr>
      <w:r w:rsidRPr="00AF79F3">
        <w:rPr>
          <w:sz w:val="24"/>
          <w:szCs w:val="24"/>
        </w:rPr>
        <w:t xml:space="preserve">Respondents to this collection of information are sponsors of clinical studies of investigational xenotransplantation products under investigational new drug applications (INDs) and xenotransplantation product procurement centers, referred to as source animal facilities.  There are an estimated three respondents who are sponsors of INDs that include protocols for xenotransplantation in humans and five clinical centers doing xenotransplantation procedures.  Other respondents for this collection of information are an estimated four source animal facilities which provide source xenotransplantation product material to sponsors for use in human </w:t>
      </w:r>
      <w:r w:rsidRPr="00AF79F3">
        <w:rPr>
          <w:sz w:val="24"/>
          <w:szCs w:val="24"/>
        </w:rPr>
        <w:t>xenotransplantation procedures.  These four source animal facilities keep medical records of the herds/colonies as well as the medical records of the individual source animal(s).  The burden estimates are based on FDA's records of xenotransplantation-related INDs and estimates of time required to complete the various reporting, recordkeeping, and third-party disclosure tasks described in the PHS guideline.</w:t>
      </w:r>
    </w:p>
    <w:p w:rsidR="0033517F" w:rsidP="003F4627" w14:paraId="390F9625" w14:textId="77777777">
      <w:pPr>
        <w:rPr>
          <w:sz w:val="24"/>
          <w:szCs w:val="24"/>
        </w:rPr>
      </w:pPr>
    </w:p>
    <w:p w:rsidR="004C0AFA" w:rsidRPr="0033517F" w:rsidP="003F4627" w14:paraId="25FFD4AC" w14:textId="77777777">
      <w:pPr>
        <w:rPr>
          <w:sz w:val="24"/>
          <w:szCs w:val="24"/>
        </w:rPr>
      </w:pPr>
      <w:r>
        <w:rPr>
          <w:sz w:val="24"/>
          <w:szCs w:val="24"/>
        </w:rPr>
        <w:tab/>
      </w:r>
      <w:r w:rsidRPr="00BF0F08">
        <w:rPr>
          <w:i/>
          <w:sz w:val="24"/>
          <w:szCs w:val="24"/>
        </w:rPr>
        <w:t>12b.  Annualized Cost Burden Estimate</w:t>
      </w:r>
    </w:p>
    <w:p w:rsidR="004C0AFA" w:rsidP="003F4627" w14:paraId="628E8C0B" w14:textId="77777777">
      <w:pPr>
        <w:rPr>
          <w:sz w:val="24"/>
          <w:szCs w:val="24"/>
        </w:rPr>
      </w:pPr>
    </w:p>
    <w:p w:rsidR="00BF0F08" w:rsidRPr="00BF0F08" w:rsidP="003F4627" w14:paraId="119F7FBB" w14:textId="77777777">
      <w:pPr>
        <w:rPr>
          <w:bCs/>
          <w:sz w:val="24"/>
          <w:szCs w:val="24"/>
        </w:rPr>
      </w:pPr>
      <w:r>
        <w:rPr>
          <w:bCs/>
          <w:sz w:val="24"/>
          <w:szCs w:val="24"/>
        </w:rPr>
        <w:tab/>
      </w:r>
      <w:r w:rsidRPr="00BF0F08">
        <w:rPr>
          <w:bCs/>
          <w:sz w:val="24"/>
          <w:szCs w:val="24"/>
        </w:rPr>
        <w:t>The estimated annual cost</w:t>
      </w:r>
      <w:r>
        <w:rPr>
          <w:bCs/>
          <w:sz w:val="24"/>
          <w:szCs w:val="24"/>
        </w:rPr>
        <w:t xml:space="preserve"> </w:t>
      </w:r>
      <w:r w:rsidR="00754B34">
        <w:rPr>
          <w:bCs/>
          <w:sz w:val="24"/>
          <w:szCs w:val="24"/>
        </w:rPr>
        <w:t>burden</w:t>
      </w:r>
      <w:r w:rsidRPr="00BF0F08">
        <w:rPr>
          <w:bCs/>
          <w:sz w:val="24"/>
          <w:szCs w:val="24"/>
        </w:rPr>
        <w:t xml:space="preserve"> is $3,921.04</w:t>
      </w:r>
      <w:r>
        <w:rPr>
          <w:bCs/>
          <w:sz w:val="24"/>
          <w:szCs w:val="24"/>
        </w:rPr>
        <w:t>, as reflected below</w:t>
      </w:r>
      <w:r w:rsidRPr="00BF0F08">
        <w:rPr>
          <w:bCs/>
          <w:sz w:val="24"/>
          <w:szCs w:val="24"/>
        </w:rPr>
        <w:t>.</w:t>
      </w:r>
    </w:p>
    <w:p w:rsidR="00BF0F08" w:rsidRPr="00BF0F08" w:rsidP="003F4627" w14:paraId="2EF3D478" w14:textId="77777777">
      <w:pPr>
        <w:rPr>
          <w:bCs/>
          <w:sz w:val="24"/>
          <w:szCs w:val="24"/>
        </w:rPr>
      </w:pPr>
    </w:p>
    <w:tbl>
      <w:tblPr>
        <w:tblW w:w="9489" w:type="dxa"/>
        <w:tblInd w:w="-9" w:type="dxa"/>
        <w:tblLayout w:type="fixed"/>
        <w:tblCellMar>
          <w:left w:w="120" w:type="dxa"/>
          <w:right w:w="120" w:type="dxa"/>
        </w:tblCellMar>
        <w:tblLook w:val="0000"/>
      </w:tblPr>
      <w:tblGrid>
        <w:gridCol w:w="2469"/>
        <w:gridCol w:w="2340"/>
        <w:gridCol w:w="2340"/>
        <w:gridCol w:w="2340"/>
      </w:tblGrid>
      <w:tr w14:paraId="69026A34" w14:textId="77777777" w:rsidTr="004327A6">
        <w:tblPrEx>
          <w:tblW w:w="9489" w:type="dxa"/>
          <w:tblInd w:w="-9" w:type="dxa"/>
          <w:tblLayout w:type="fixed"/>
          <w:tblCellMar>
            <w:left w:w="120" w:type="dxa"/>
            <w:right w:w="120" w:type="dxa"/>
          </w:tblCellMar>
          <w:tblLook w:val="0000"/>
        </w:tblPrEx>
        <w:tc>
          <w:tcPr>
            <w:tcW w:w="2469" w:type="dxa"/>
            <w:tcBorders>
              <w:top w:val="single" w:sz="7" w:space="0" w:color="000000"/>
              <w:left w:val="single" w:sz="7" w:space="0" w:color="000000"/>
              <w:bottom w:val="single" w:sz="7" w:space="0" w:color="000000"/>
              <w:right w:val="single" w:sz="7" w:space="0" w:color="000000"/>
            </w:tcBorders>
          </w:tcPr>
          <w:p w:rsidR="00BF0F08" w:rsidRPr="00BF0F08" w:rsidP="003F4627" w14:paraId="5B2AC786" w14:textId="77777777">
            <w:pPr>
              <w:jc w:val="center"/>
              <w:rPr>
                <w:bCs/>
                <w:sz w:val="22"/>
                <w:szCs w:val="22"/>
              </w:rPr>
            </w:pPr>
            <w:r w:rsidRPr="00BF0F08">
              <w:rPr>
                <w:bCs/>
                <w:sz w:val="22"/>
                <w:szCs w:val="22"/>
              </w:rPr>
              <w:t>Activity</w:t>
            </w:r>
          </w:p>
        </w:tc>
        <w:tc>
          <w:tcPr>
            <w:tcW w:w="2340" w:type="dxa"/>
            <w:tcBorders>
              <w:top w:val="single" w:sz="7" w:space="0" w:color="000000"/>
              <w:left w:val="single" w:sz="7" w:space="0" w:color="000000"/>
              <w:bottom w:val="single" w:sz="7" w:space="0" w:color="000000"/>
              <w:right w:val="single" w:sz="7" w:space="0" w:color="000000"/>
            </w:tcBorders>
          </w:tcPr>
          <w:p w:rsidR="00BF0F08" w:rsidRPr="00BF0F08" w:rsidP="003F4627" w14:paraId="133547E8" w14:textId="77777777">
            <w:pPr>
              <w:jc w:val="center"/>
              <w:rPr>
                <w:bCs/>
                <w:sz w:val="22"/>
                <w:szCs w:val="22"/>
              </w:rPr>
            </w:pPr>
            <w:r w:rsidRPr="00BF0F08">
              <w:rPr>
                <w:bCs/>
                <w:sz w:val="22"/>
                <w:szCs w:val="22"/>
              </w:rPr>
              <w:t>Total Burden Hours</w:t>
            </w:r>
          </w:p>
        </w:tc>
        <w:tc>
          <w:tcPr>
            <w:tcW w:w="2340" w:type="dxa"/>
            <w:tcBorders>
              <w:top w:val="single" w:sz="7" w:space="0" w:color="000000"/>
              <w:left w:val="single" w:sz="7" w:space="0" w:color="000000"/>
              <w:bottom w:val="single" w:sz="7" w:space="0" w:color="000000"/>
              <w:right w:val="single" w:sz="7" w:space="0" w:color="000000"/>
            </w:tcBorders>
          </w:tcPr>
          <w:p w:rsidR="00BF0F08" w:rsidRPr="00BF0F08" w:rsidP="003F4627" w14:paraId="7E145C27" w14:textId="77777777">
            <w:pPr>
              <w:jc w:val="center"/>
              <w:rPr>
                <w:bCs/>
                <w:sz w:val="22"/>
                <w:szCs w:val="22"/>
              </w:rPr>
            </w:pPr>
            <w:r w:rsidRPr="00BF0F08">
              <w:rPr>
                <w:bCs/>
                <w:sz w:val="22"/>
                <w:szCs w:val="22"/>
              </w:rPr>
              <w:t>Hourly Wage Rate</w:t>
            </w:r>
          </w:p>
        </w:tc>
        <w:tc>
          <w:tcPr>
            <w:tcW w:w="2340" w:type="dxa"/>
            <w:tcBorders>
              <w:top w:val="single" w:sz="7" w:space="0" w:color="000000"/>
              <w:left w:val="single" w:sz="7" w:space="0" w:color="000000"/>
              <w:bottom w:val="single" w:sz="7" w:space="0" w:color="000000"/>
              <w:right w:val="single" w:sz="7" w:space="0" w:color="000000"/>
            </w:tcBorders>
          </w:tcPr>
          <w:p w:rsidR="00BF0F08" w:rsidRPr="00BF0F08" w:rsidP="003F4627" w14:paraId="6E20524E" w14:textId="77777777">
            <w:pPr>
              <w:jc w:val="center"/>
              <w:rPr>
                <w:bCs/>
                <w:sz w:val="22"/>
                <w:szCs w:val="22"/>
              </w:rPr>
            </w:pPr>
            <w:r w:rsidRPr="00BF0F08">
              <w:rPr>
                <w:bCs/>
                <w:sz w:val="22"/>
                <w:szCs w:val="22"/>
              </w:rPr>
              <w:t>Total Cost</w:t>
            </w:r>
          </w:p>
        </w:tc>
      </w:tr>
      <w:tr w14:paraId="19FC9C88" w14:textId="77777777" w:rsidTr="004327A6">
        <w:tblPrEx>
          <w:tblW w:w="9489" w:type="dxa"/>
          <w:tblInd w:w="-9" w:type="dxa"/>
          <w:tblLayout w:type="fixed"/>
          <w:tblCellMar>
            <w:left w:w="120" w:type="dxa"/>
            <w:right w:w="120" w:type="dxa"/>
          </w:tblCellMar>
          <w:tblLook w:val="0000"/>
        </w:tblPrEx>
        <w:tc>
          <w:tcPr>
            <w:tcW w:w="2469" w:type="dxa"/>
            <w:tcBorders>
              <w:top w:val="single" w:sz="7" w:space="0" w:color="000000"/>
              <w:left w:val="single" w:sz="7" w:space="0" w:color="000000"/>
              <w:bottom w:val="single" w:sz="7" w:space="0" w:color="000000"/>
              <w:right w:val="single" w:sz="7" w:space="0" w:color="000000"/>
            </w:tcBorders>
          </w:tcPr>
          <w:p w:rsidR="00BF0F08" w:rsidRPr="00BF0F08" w:rsidP="003F4627" w14:paraId="1CB12E13" w14:textId="77777777">
            <w:pPr>
              <w:rPr>
                <w:bCs/>
                <w:sz w:val="22"/>
                <w:szCs w:val="22"/>
              </w:rPr>
            </w:pPr>
            <w:r w:rsidRPr="00BF0F08">
              <w:rPr>
                <w:bCs/>
                <w:sz w:val="22"/>
                <w:szCs w:val="22"/>
              </w:rPr>
              <w:t xml:space="preserve">Reporting </w:t>
            </w:r>
          </w:p>
        </w:tc>
        <w:tc>
          <w:tcPr>
            <w:tcW w:w="2340" w:type="dxa"/>
            <w:tcBorders>
              <w:top w:val="single" w:sz="7" w:space="0" w:color="000000"/>
              <w:left w:val="single" w:sz="7" w:space="0" w:color="000000"/>
              <w:bottom w:val="single" w:sz="7" w:space="0" w:color="000000"/>
              <w:right w:val="single" w:sz="7" w:space="0" w:color="000000"/>
            </w:tcBorders>
          </w:tcPr>
          <w:p w:rsidR="00BF0F08" w:rsidRPr="00BF0F08" w:rsidP="003F4627" w14:paraId="544158EE" w14:textId="77777777">
            <w:pPr>
              <w:jc w:val="right"/>
              <w:rPr>
                <w:bCs/>
                <w:sz w:val="22"/>
                <w:szCs w:val="22"/>
              </w:rPr>
            </w:pPr>
            <w:r w:rsidRPr="00BF0F08">
              <w:rPr>
                <w:bCs/>
                <w:sz w:val="22"/>
                <w:szCs w:val="22"/>
              </w:rPr>
              <w:t xml:space="preserve">         0.50</w:t>
            </w:r>
          </w:p>
        </w:tc>
        <w:tc>
          <w:tcPr>
            <w:tcW w:w="2340" w:type="dxa"/>
            <w:tcBorders>
              <w:top w:val="single" w:sz="7" w:space="0" w:color="000000"/>
              <w:left w:val="single" w:sz="7" w:space="0" w:color="000000"/>
              <w:bottom w:val="single" w:sz="7" w:space="0" w:color="000000"/>
              <w:right w:val="single" w:sz="7" w:space="0" w:color="000000"/>
            </w:tcBorders>
          </w:tcPr>
          <w:p w:rsidR="00BF0F08" w:rsidRPr="00BF0F08" w:rsidP="003F4627" w14:paraId="69FD8DFB" w14:textId="77777777">
            <w:pPr>
              <w:jc w:val="right"/>
              <w:rPr>
                <w:bCs/>
                <w:sz w:val="22"/>
                <w:szCs w:val="22"/>
              </w:rPr>
            </w:pPr>
            <w:r w:rsidRPr="00BF0F08">
              <w:rPr>
                <w:bCs/>
                <w:sz w:val="22"/>
                <w:szCs w:val="22"/>
              </w:rPr>
              <w:t xml:space="preserve">        $73.00</w:t>
            </w:r>
          </w:p>
        </w:tc>
        <w:tc>
          <w:tcPr>
            <w:tcW w:w="2340" w:type="dxa"/>
            <w:tcBorders>
              <w:top w:val="single" w:sz="7" w:space="0" w:color="000000"/>
              <w:left w:val="single" w:sz="7" w:space="0" w:color="000000"/>
              <w:bottom w:val="single" w:sz="7" w:space="0" w:color="000000"/>
              <w:right w:val="single" w:sz="7" w:space="0" w:color="000000"/>
            </w:tcBorders>
          </w:tcPr>
          <w:p w:rsidR="00BF0F08" w:rsidRPr="00BF0F08" w:rsidP="003F4627" w14:paraId="3F3CC920" w14:textId="77777777">
            <w:pPr>
              <w:jc w:val="right"/>
              <w:rPr>
                <w:bCs/>
                <w:sz w:val="22"/>
                <w:szCs w:val="22"/>
              </w:rPr>
            </w:pPr>
            <w:r w:rsidRPr="00BF0F08">
              <w:rPr>
                <w:bCs/>
                <w:sz w:val="22"/>
                <w:szCs w:val="22"/>
              </w:rPr>
              <w:t xml:space="preserve">       $36.50</w:t>
            </w:r>
          </w:p>
        </w:tc>
      </w:tr>
      <w:tr w14:paraId="730A8CA6" w14:textId="77777777" w:rsidTr="004327A6">
        <w:tblPrEx>
          <w:tblW w:w="9489" w:type="dxa"/>
          <w:tblInd w:w="-9" w:type="dxa"/>
          <w:tblLayout w:type="fixed"/>
          <w:tblCellMar>
            <w:left w:w="120" w:type="dxa"/>
            <w:right w:w="120" w:type="dxa"/>
          </w:tblCellMar>
          <w:tblLook w:val="0000"/>
        </w:tblPrEx>
        <w:tc>
          <w:tcPr>
            <w:tcW w:w="2469" w:type="dxa"/>
            <w:tcBorders>
              <w:top w:val="single" w:sz="7" w:space="0" w:color="000000"/>
              <w:left w:val="single" w:sz="7" w:space="0" w:color="000000"/>
              <w:bottom w:val="single" w:sz="7" w:space="0" w:color="000000"/>
              <w:right w:val="single" w:sz="7" w:space="0" w:color="000000"/>
            </w:tcBorders>
          </w:tcPr>
          <w:p w:rsidR="00BF0F08" w:rsidRPr="00BF0F08" w:rsidP="003F4627" w14:paraId="0B0DC0F6" w14:textId="77777777">
            <w:pPr>
              <w:rPr>
                <w:bCs/>
                <w:sz w:val="22"/>
                <w:szCs w:val="22"/>
              </w:rPr>
            </w:pPr>
            <w:r w:rsidRPr="00BF0F08">
              <w:rPr>
                <w:bCs/>
                <w:sz w:val="22"/>
                <w:szCs w:val="22"/>
              </w:rPr>
              <w:t>Recordkeeping</w:t>
            </w:r>
          </w:p>
        </w:tc>
        <w:tc>
          <w:tcPr>
            <w:tcW w:w="2340" w:type="dxa"/>
            <w:tcBorders>
              <w:top w:val="single" w:sz="7" w:space="0" w:color="000000"/>
              <w:left w:val="single" w:sz="7" w:space="0" w:color="000000"/>
              <w:bottom w:val="single" w:sz="7" w:space="0" w:color="000000"/>
              <w:right w:val="single" w:sz="7" w:space="0" w:color="000000"/>
            </w:tcBorders>
          </w:tcPr>
          <w:p w:rsidR="00BF0F08" w:rsidRPr="00BF0F08" w:rsidP="003F4627" w14:paraId="29B04FA5" w14:textId="77777777">
            <w:pPr>
              <w:jc w:val="right"/>
              <w:rPr>
                <w:bCs/>
                <w:sz w:val="22"/>
                <w:szCs w:val="22"/>
              </w:rPr>
            </w:pPr>
            <w:r w:rsidRPr="00BF0F08">
              <w:rPr>
                <w:bCs/>
                <w:sz w:val="22"/>
                <w:szCs w:val="22"/>
              </w:rPr>
              <w:t xml:space="preserve">       55.45</w:t>
            </w:r>
          </w:p>
        </w:tc>
        <w:tc>
          <w:tcPr>
            <w:tcW w:w="2340" w:type="dxa"/>
            <w:tcBorders>
              <w:top w:val="single" w:sz="7" w:space="0" w:color="000000"/>
              <w:left w:val="single" w:sz="7" w:space="0" w:color="000000"/>
              <w:bottom w:val="single" w:sz="7" w:space="0" w:color="000000"/>
              <w:right w:val="single" w:sz="7" w:space="0" w:color="000000"/>
            </w:tcBorders>
          </w:tcPr>
          <w:p w:rsidR="00BF0F08" w:rsidRPr="00BF0F08" w:rsidP="003F4627" w14:paraId="6BEC4235" w14:textId="77777777">
            <w:pPr>
              <w:jc w:val="right"/>
              <w:rPr>
                <w:bCs/>
                <w:sz w:val="22"/>
                <w:szCs w:val="22"/>
              </w:rPr>
            </w:pPr>
            <w:r w:rsidRPr="00BF0F08">
              <w:rPr>
                <w:bCs/>
                <w:sz w:val="22"/>
                <w:szCs w:val="22"/>
              </w:rPr>
              <w:t xml:space="preserve">        $66.00</w:t>
            </w:r>
          </w:p>
        </w:tc>
        <w:tc>
          <w:tcPr>
            <w:tcW w:w="2340" w:type="dxa"/>
            <w:tcBorders>
              <w:top w:val="single" w:sz="7" w:space="0" w:color="000000"/>
              <w:left w:val="single" w:sz="7" w:space="0" w:color="000000"/>
              <w:bottom w:val="single" w:sz="7" w:space="0" w:color="000000"/>
              <w:right w:val="single" w:sz="7" w:space="0" w:color="000000"/>
            </w:tcBorders>
          </w:tcPr>
          <w:p w:rsidR="00BF0F08" w:rsidRPr="00BF0F08" w:rsidP="003F4627" w14:paraId="61B4E037" w14:textId="77777777">
            <w:pPr>
              <w:jc w:val="right"/>
              <w:rPr>
                <w:bCs/>
                <w:sz w:val="22"/>
                <w:szCs w:val="22"/>
              </w:rPr>
            </w:pPr>
            <w:r w:rsidRPr="00BF0F08">
              <w:rPr>
                <w:bCs/>
                <w:sz w:val="22"/>
                <w:szCs w:val="22"/>
              </w:rPr>
              <w:t xml:space="preserve">  $3,659.70</w:t>
            </w:r>
          </w:p>
        </w:tc>
      </w:tr>
      <w:tr w14:paraId="5E1A2C73" w14:textId="77777777" w:rsidTr="004327A6">
        <w:tblPrEx>
          <w:tblW w:w="9489" w:type="dxa"/>
          <w:tblInd w:w="-9" w:type="dxa"/>
          <w:tblLayout w:type="fixed"/>
          <w:tblCellMar>
            <w:left w:w="120" w:type="dxa"/>
            <w:right w:w="120" w:type="dxa"/>
          </w:tblCellMar>
          <w:tblLook w:val="0000"/>
        </w:tblPrEx>
        <w:tc>
          <w:tcPr>
            <w:tcW w:w="2469" w:type="dxa"/>
            <w:tcBorders>
              <w:top w:val="single" w:sz="7" w:space="0" w:color="000000"/>
              <w:left w:val="single" w:sz="7" w:space="0" w:color="000000"/>
              <w:bottom w:val="single" w:sz="7" w:space="0" w:color="000000"/>
              <w:right w:val="single" w:sz="7" w:space="0" w:color="000000"/>
            </w:tcBorders>
          </w:tcPr>
          <w:p w:rsidR="00BF0F08" w:rsidRPr="00BF0F08" w:rsidP="003F4627" w14:paraId="76C2A101" w14:textId="77777777">
            <w:pPr>
              <w:rPr>
                <w:bCs/>
                <w:sz w:val="22"/>
                <w:szCs w:val="22"/>
              </w:rPr>
            </w:pPr>
            <w:r w:rsidRPr="00BF0F08">
              <w:rPr>
                <w:bCs/>
                <w:sz w:val="22"/>
                <w:szCs w:val="22"/>
              </w:rPr>
              <w:t>Disclosure</w:t>
            </w:r>
          </w:p>
        </w:tc>
        <w:tc>
          <w:tcPr>
            <w:tcW w:w="2340" w:type="dxa"/>
            <w:tcBorders>
              <w:top w:val="single" w:sz="7" w:space="0" w:color="000000"/>
              <w:left w:val="single" w:sz="7" w:space="0" w:color="000000"/>
              <w:bottom w:val="single" w:sz="7" w:space="0" w:color="000000"/>
              <w:right w:val="single" w:sz="7" w:space="0" w:color="000000"/>
            </w:tcBorders>
          </w:tcPr>
          <w:p w:rsidR="00BF0F08" w:rsidRPr="00BF0F08" w:rsidP="003F4627" w14:paraId="23A7A85D" w14:textId="77777777">
            <w:pPr>
              <w:jc w:val="right"/>
              <w:rPr>
                <w:bCs/>
                <w:sz w:val="22"/>
                <w:szCs w:val="22"/>
              </w:rPr>
            </w:pPr>
            <w:r w:rsidRPr="00BF0F08">
              <w:rPr>
                <w:bCs/>
                <w:sz w:val="22"/>
                <w:szCs w:val="22"/>
              </w:rPr>
              <w:t xml:space="preserve">         3.08</w:t>
            </w:r>
          </w:p>
        </w:tc>
        <w:tc>
          <w:tcPr>
            <w:tcW w:w="2340" w:type="dxa"/>
            <w:tcBorders>
              <w:top w:val="single" w:sz="7" w:space="0" w:color="000000"/>
              <w:left w:val="single" w:sz="7" w:space="0" w:color="000000"/>
              <w:bottom w:val="single" w:sz="7" w:space="0" w:color="000000"/>
              <w:right w:val="single" w:sz="7" w:space="0" w:color="000000"/>
            </w:tcBorders>
          </w:tcPr>
          <w:p w:rsidR="00BF0F08" w:rsidRPr="00BF0F08" w:rsidP="003F4627" w14:paraId="71F2BB25" w14:textId="77777777">
            <w:pPr>
              <w:jc w:val="right"/>
              <w:rPr>
                <w:bCs/>
                <w:sz w:val="22"/>
                <w:szCs w:val="22"/>
              </w:rPr>
            </w:pPr>
            <w:r w:rsidRPr="00BF0F08">
              <w:rPr>
                <w:bCs/>
                <w:sz w:val="22"/>
                <w:szCs w:val="22"/>
              </w:rPr>
              <w:t xml:space="preserve">        $73.00</w:t>
            </w:r>
          </w:p>
        </w:tc>
        <w:tc>
          <w:tcPr>
            <w:tcW w:w="2340" w:type="dxa"/>
            <w:tcBorders>
              <w:top w:val="single" w:sz="7" w:space="0" w:color="000000"/>
              <w:left w:val="single" w:sz="7" w:space="0" w:color="000000"/>
              <w:bottom w:val="single" w:sz="7" w:space="0" w:color="000000"/>
              <w:right w:val="single" w:sz="7" w:space="0" w:color="000000"/>
            </w:tcBorders>
          </w:tcPr>
          <w:p w:rsidR="00BF0F08" w:rsidRPr="00BF0F08" w:rsidP="003F4627" w14:paraId="08025F99" w14:textId="77777777">
            <w:pPr>
              <w:jc w:val="right"/>
              <w:rPr>
                <w:bCs/>
                <w:sz w:val="22"/>
                <w:szCs w:val="22"/>
              </w:rPr>
            </w:pPr>
            <w:r w:rsidRPr="00BF0F08">
              <w:rPr>
                <w:bCs/>
                <w:sz w:val="22"/>
                <w:szCs w:val="22"/>
              </w:rPr>
              <w:t xml:space="preserve">     $224.84</w:t>
            </w:r>
          </w:p>
        </w:tc>
      </w:tr>
      <w:tr w14:paraId="2BF9A07D" w14:textId="77777777" w:rsidTr="004327A6">
        <w:tblPrEx>
          <w:tblW w:w="9489" w:type="dxa"/>
          <w:tblInd w:w="-9" w:type="dxa"/>
          <w:tblLayout w:type="fixed"/>
          <w:tblCellMar>
            <w:left w:w="120" w:type="dxa"/>
            <w:right w:w="120" w:type="dxa"/>
          </w:tblCellMar>
          <w:tblLook w:val="0000"/>
        </w:tblPrEx>
        <w:tc>
          <w:tcPr>
            <w:tcW w:w="2469" w:type="dxa"/>
            <w:tcBorders>
              <w:top w:val="single" w:sz="7" w:space="0" w:color="000000"/>
              <w:left w:val="single" w:sz="7" w:space="0" w:color="000000"/>
              <w:bottom w:val="single" w:sz="7" w:space="0" w:color="000000"/>
              <w:right w:val="single" w:sz="7" w:space="0" w:color="000000"/>
            </w:tcBorders>
          </w:tcPr>
          <w:p w:rsidR="00BF0F08" w:rsidRPr="00BF0F08" w:rsidP="003F4627" w14:paraId="2D2816A3" w14:textId="77777777">
            <w:pPr>
              <w:rPr>
                <w:bCs/>
                <w:sz w:val="22"/>
                <w:szCs w:val="22"/>
              </w:rPr>
            </w:pPr>
            <w:r w:rsidRPr="00BF0F08">
              <w:rPr>
                <w:bCs/>
                <w:sz w:val="22"/>
                <w:szCs w:val="22"/>
              </w:rPr>
              <w:t>TOTAL</w:t>
            </w:r>
          </w:p>
        </w:tc>
        <w:tc>
          <w:tcPr>
            <w:tcW w:w="2340" w:type="dxa"/>
            <w:tcBorders>
              <w:top w:val="single" w:sz="7" w:space="0" w:color="000000"/>
              <w:left w:val="single" w:sz="7" w:space="0" w:color="000000"/>
              <w:bottom w:val="single" w:sz="7" w:space="0" w:color="000000"/>
              <w:right w:val="single" w:sz="7" w:space="0" w:color="000000"/>
            </w:tcBorders>
          </w:tcPr>
          <w:p w:rsidR="00BF0F08" w:rsidRPr="00BF0F08" w:rsidP="003F4627" w14:paraId="75F94367" w14:textId="77777777">
            <w:pPr>
              <w:rPr>
                <w:bCs/>
                <w:sz w:val="22"/>
                <w:szCs w:val="22"/>
              </w:rPr>
            </w:pPr>
          </w:p>
        </w:tc>
        <w:tc>
          <w:tcPr>
            <w:tcW w:w="2340" w:type="dxa"/>
            <w:tcBorders>
              <w:top w:val="single" w:sz="7" w:space="0" w:color="000000"/>
              <w:left w:val="single" w:sz="7" w:space="0" w:color="000000"/>
              <w:bottom w:val="single" w:sz="7" w:space="0" w:color="000000"/>
              <w:right w:val="single" w:sz="7" w:space="0" w:color="000000"/>
            </w:tcBorders>
          </w:tcPr>
          <w:p w:rsidR="00BF0F08" w:rsidRPr="00BF0F08" w:rsidP="003F4627" w14:paraId="769BBE9A" w14:textId="77777777">
            <w:pPr>
              <w:rPr>
                <w:bCs/>
                <w:sz w:val="22"/>
                <w:szCs w:val="22"/>
              </w:rPr>
            </w:pPr>
          </w:p>
        </w:tc>
        <w:tc>
          <w:tcPr>
            <w:tcW w:w="2340" w:type="dxa"/>
            <w:tcBorders>
              <w:top w:val="single" w:sz="7" w:space="0" w:color="000000"/>
              <w:left w:val="single" w:sz="7" w:space="0" w:color="000000"/>
              <w:bottom w:val="single" w:sz="7" w:space="0" w:color="000000"/>
              <w:right w:val="single" w:sz="7" w:space="0" w:color="000000"/>
            </w:tcBorders>
          </w:tcPr>
          <w:p w:rsidR="00BF0F08" w:rsidRPr="00BF0F08" w:rsidP="003F4627" w14:paraId="4FEC0145" w14:textId="77777777">
            <w:pPr>
              <w:jc w:val="right"/>
              <w:rPr>
                <w:bCs/>
                <w:sz w:val="22"/>
                <w:szCs w:val="22"/>
              </w:rPr>
            </w:pPr>
            <w:r w:rsidRPr="00BF0F08">
              <w:rPr>
                <w:bCs/>
                <w:sz w:val="22"/>
                <w:szCs w:val="22"/>
              </w:rPr>
              <w:t xml:space="preserve">  $3,921.04</w:t>
            </w:r>
          </w:p>
        </w:tc>
      </w:tr>
    </w:tbl>
    <w:p w:rsidR="00BF0F08" w:rsidRPr="00BF0F08" w:rsidP="003F4627" w14:paraId="228EAEE2" w14:textId="77777777">
      <w:pPr>
        <w:rPr>
          <w:bCs/>
          <w:sz w:val="24"/>
          <w:szCs w:val="24"/>
        </w:rPr>
      </w:pPr>
    </w:p>
    <w:p w:rsidR="004C0AFA" w:rsidP="003F4627" w14:paraId="56D7D4EA" w14:textId="77777777">
      <w:pPr>
        <w:rPr>
          <w:bCs/>
          <w:sz w:val="24"/>
          <w:szCs w:val="24"/>
        </w:rPr>
      </w:pPr>
      <w:r w:rsidRPr="00BF0F08">
        <w:rPr>
          <w:bCs/>
          <w:sz w:val="24"/>
          <w:szCs w:val="24"/>
        </w:rPr>
        <w:t>The reporting cost estimate is based on an average pay rate of $73.00/hour.  This average is based on the salaries of an upper-level manager, mid-level professional, and clerical support who may be involved in notifying or providing any necessary information.  The recordkeeping cost estimate is based on an average pay rate of $66.00/hour of a study coordinator and clinical investigator who are involved with the documentation and maintenance of records.  The salary estimates include benefits but no overhead costs.</w:t>
      </w:r>
    </w:p>
    <w:p w:rsidR="00BF0F08" w:rsidP="003F4627" w14:paraId="310FF36B" w14:textId="77777777">
      <w:pPr>
        <w:rPr>
          <w:sz w:val="24"/>
          <w:szCs w:val="24"/>
        </w:rPr>
      </w:pPr>
    </w:p>
    <w:p w:rsidR="00BF0F08" w:rsidRPr="00BF0F08" w:rsidP="003F4627" w14:paraId="4BFA249D" w14:textId="77777777">
      <w:pPr>
        <w:rPr>
          <w:rFonts w:eastAsia="Calibri"/>
          <w:sz w:val="24"/>
          <w:szCs w:val="24"/>
        </w:rPr>
      </w:pPr>
      <w:r w:rsidRPr="00BF0F08">
        <w:rPr>
          <w:rFonts w:eastAsia="Calibri"/>
          <w:sz w:val="24"/>
          <w:szCs w:val="24"/>
        </w:rPr>
        <w:t xml:space="preserve">13.  </w:t>
      </w:r>
      <w:r w:rsidRPr="00BF0F08">
        <w:rPr>
          <w:rFonts w:eastAsia="Calibri"/>
          <w:sz w:val="24"/>
          <w:szCs w:val="24"/>
          <w:u w:val="single"/>
        </w:rPr>
        <w:t>Estimates of Other Total Annual Cost Burden to Respondents or Recordkeepers</w:t>
      </w:r>
    </w:p>
    <w:p w:rsidR="00BF0F08" w:rsidRPr="00BF0F08" w:rsidP="003F4627" w14:paraId="565B8595" w14:textId="77777777">
      <w:pPr>
        <w:rPr>
          <w:rFonts w:eastAsia="Calibri"/>
          <w:sz w:val="24"/>
          <w:szCs w:val="24"/>
        </w:rPr>
      </w:pPr>
    </w:p>
    <w:p w:rsidR="00BF0F08" w:rsidRPr="00BF0F08" w:rsidP="003F4627" w14:paraId="10208A36" w14:textId="77777777">
      <w:pPr>
        <w:rPr>
          <w:rFonts w:eastAsia="Calibri"/>
          <w:sz w:val="24"/>
          <w:szCs w:val="24"/>
        </w:rPr>
      </w:pPr>
      <w:r w:rsidRPr="00BF0F08">
        <w:rPr>
          <w:rFonts w:eastAsia="Calibri"/>
          <w:sz w:val="24"/>
          <w:szCs w:val="24"/>
        </w:rPr>
        <w:t>There are no capital, start-up, operating or maintenance costs associated with this information</w:t>
      </w:r>
    </w:p>
    <w:p w:rsidR="00BF0F08" w:rsidRPr="00BF0F08" w:rsidP="003F4627" w14:paraId="4B62EE5E" w14:textId="77777777">
      <w:pPr>
        <w:rPr>
          <w:rFonts w:eastAsia="Calibri"/>
          <w:sz w:val="24"/>
          <w:szCs w:val="24"/>
        </w:rPr>
      </w:pPr>
      <w:r w:rsidRPr="00BF0F08">
        <w:rPr>
          <w:rFonts w:eastAsia="Calibri"/>
          <w:sz w:val="24"/>
          <w:szCs w:val="24"/>
        </w:rPr>
        <w:t>collection.</w:t>
      </w:r>
    </w:p>
    <w:p w:rsidR="00BF0F08" w:rsidRPr="00BF0F08" w:rsidP="003F4627" w14:paraId="2D5F6132" w14:textId="77777777">
      <w:pPr>
        <w:rPr>
          <w:rFonts w:eastAsia="Calibri"/>
          <w:sz w:val="24"/>
          <w:szCs w:val="24"/>
        </w:rPr>
      </w:pPr>
    </w:p>
    <w:p w:rsidR="00BF0F08" w:rsidRPr="00BF0F08" w:rsidP="003F4627" w14:paraId="3F2074DC" w14:textId="77777777">
      <w:pPr>
        <w:rPr>
          <w:rFonts w:eastAsia="Calibri"/>
          <w:sz w:val="24"/>
          <w:szCs w:val="24"/>
        </w:rPr>
      </w:pPr>
      <w:bookmarkStart w:id="6" w:name="_Toc276963636"/>
      <w:bookmarkStart w:id="7" w:name="_Toc239649235"/>
      <w:r w:rsidRPr="00BF0F08">
        <w:rPr>
          <w:rFonts w:eastAsia="Calibri"/>
          <w:sz w:val="24"/>
          <w:szCs w:val="24"/>
        </w:rPr>
        <w:t xml:space="preserve">14.  </w:t>
      </w:r>
      <w:r w:rsidRPr="00BF0F08">
        <w:rPr>
          <w:rFonts w:eastAsia="Calibri"/>
          <w:sz w:val="24"/>
          <w:szCs w:val="24"/>
          <w:u w:val="single"/>
        </w:rPr>
        <w:t>Annualized Cost to the Federal Government</w:t>
      </w:r>
      <w:bookmarkEnd w:id="6"/>
      <w:bookmarkEnd w:id="7"/>
    </w:p>
    <w:p w:rsidR="00CB3BFC" w:rsidP="003F4627" w14:paraId="0C33C3C7" w14:textId="77777777">
      <w:pPr>
        <w:rPr>
          <w:rFonts w:eastAsia="Calibri"/>
          <w:sz w:val="24"/>
          <w:szCs w:val="24"/>
        </w:rPr>
      </w:pPr>
    </w:p>
    <w:p w:rsidR="00CB3BFC" w:rsidRPr="00CB3BFC" w:rsidP="00CB3BFC" w14:paraId="5CC6D227" w14:textId="77777777">
      <w:pPr>
        <w:tabs>
          <w:tab w:val="left" w:pos="360"/>
          <w:tab w:val="left" w:pos="540"/>
        </w:tabs>
        <w:rPr>
          <w:bCs/>
          <w:sz w:val="24"/>
          <w:szCs w:val="24"/>
        </w:rPr>
      </w:pPr>
      <w:r w:rsidRPr="00CB3BFC">
        <w:rPr>
          <w:bCs/>
          <w:sz w:val="24"/>
          <w:szCs w:val="24"/>
        </w:rPr>
        <w:t>The estimated annual cost to FDA is $5,360.00.</w:t>
      </w:r>
    </w:p>
    <w:p w:rsidR="00CB3BFC" w:rsidRPr="00CB3BFC" w:rsidP="00CB3BFC" w14:paraId="52790BD1" w14:textId="77777777">
      <w:pPr>
        <w:tabs>
          <w:tab w:val="left" w:pos="360"/>
          <w:tab w:val="left" w:pos="540"/>
          <w:tab w:val="center" w:pos="4320"/>
          <w:tab w:val="right" w:pos="8640"/>
        </w:tabs>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980"/>
        <w:gridCol w:w="1260"/>
        <w:gridCol w:w="2160"/>
        <w:gridCol w:w="1728"/>
      </w:tblGrid>
      <w:tr w14:paraId="7D8F64C5" w14:textId="77777777" w:rsidTr="0020372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728" w:type="dxa"/>
          </w:tcPr>
          <w:p w:rsidR="00CB3BFC" w:rsidRPr="00CB3BFC" w:rsidP="00CB3BFC" w14:paraId="08C72F1D" w14:textId="77777777">
            <w:pPr>
              <w:tabs>
                <w:tab w:val="left" w:pos="360"/>
                <w:tab w:val="left" w:pos="540"/>
              </w:tabs>
              <w:rPr>
                <w:bCs/>
                <w:sz w:val="24"/>
                <w:szCs w:val="24"/>
              </w:rPr>
            </w:pPr>
            <w:r w:rsidRPr="00CB3BFC">
              <w:rPr>
                <w:bCs/>
                <w:sz w:val="24"/>
                <w:szCs w:val="24"/>
              </w:rPr>
              <w:t>Activity</w:t>
            </w:r>
          </w:p>
        </w:tc>
        <w:tc>
          <w:tcPr>
            <w:tcW w:w="1980" w:type="dxa"/>
          </w:tcPr>
          <w:p w:rsidR="00CB3BFC" w:rsidRPr="00CB3BFC" w:rsidP="00CB3BFC" w14:paraId="5C672B5F" w14:textId="77777777">
            <w:pPr>
              <w:tabs>
                <w:tab w:val="left" w:pos="360"/>
                <w:tab w:val="left" w:pos="540"/>
              </w:tabs>
              <w:rPr>
                <w:bCs/>
                <w:sz w:val="24"/>
                <w:szCs w:val="24"/>
              </w:rPr>
            </w:pPr>
            <w:r w:rsidRPr="00CB3BFC">
              <w:rPr>
                <w:bCs/>
                <w:sz w:val="24"/>
                <w:szCs w:val="24"/>
              </w:rPr>
              <w:t>Number of Inspections</w:t>
            </w:r>
          </w:p>
        </w:tc>
        <w:tc>
          <w:tcPr>
            <w:tcW w:w="1260" w:type="dxa"/>
          </w:tcPr>
          <w:p w:rsidR="00CB3BFC" w:rsidRPr="00CB3BFC" w:rsidP="00CB3BFC" w14:paraId="7CF7D26B" w14:textId="77777777">
            <w:pPr>
              <w:tabs>
                <w:tab w:val="left" w:pos="360"/>
                <w:tab w:val="left" w:pos="540"/>
              </w:tabs>
              <w:rPr>
                <w:bCs/>
                <w:sz w:val="24"/>
                <w:szCs w:val="24"/>
              </w:rPr>
            </w:pPr>
            <w:r w:rsidRPr="00CB3BFC">
              <w:rPr>
                <w:bCs/>
                <w:sz w:val="24"/>
                <w:szCs w:val="24"/>
              </w:rPr>
              <w:t>Review Time</w:t>
            </w:r>
          </w:p>
        </w:tc>
        <w:tc>
          <w:tcPr>
            <w:tcW w:w="2160" w:type="dxa"/>
          </w:tcPr>
          <w:p w:rsidR="00CB3BFC" w:rsidRPr="00CB3BFC" w:rsidP="00CB3BFC" w14:paraId="4A505D30" w14:textId="77777777">
            <w:pPr>
              <w:tabs>
                <w:tab w:val="left" w:pos="360"/>
                <w:tab w:val="left" w:pos="540"/>
              </w:tabs>
              <w:rPr>
                <w:bCs/>
                <w:sz w:val="24"/>
                <w:szCs w:val="24"/>
              </w:rPr>
            </w:pPr>
            <w:r w:rsidRPr="00CB3BFC">
              <w:rPr>
                <w:bCs/>
                <w:sz w:val="24"/>
                <w:szCs w:val="24"/>
              </w:rPr>
              <w:t>Average Cost per Hour</w:t>
            </w:r>
          </w:p>
        </w:tc>
        <w:tc>
          <w:tcPr>
            <w:tcW w:w="1728" w:type="dxa"/>
          </w:tcPr>
          <w:p w:rsidR="00CB3BFC" w:rsidRPr="00CB3BFC" w:rsidP="00CB3BFC" w14:paraId="0813E045" w14:textId="77777777">
            <w:pPr>
              <w:tabs>
                <w:tab w:val="left" w:pos="360"/>
                <w:tab w:val="left" w:pos="540"/>
              </w:tabs>
              <w:rPr>
                <w:bCs/>
                <w:sz w:val="24"/>
                <w:szCs w:val="24"/>
              </w:rPr>
            </w:pPr>
            <w:r w:rsidRPr="00CB3BFC">
              <w:rPr>
                <w:bCs/>
                <w:sz w:val="24"/>
                <w:szCs w:val="24"/>
              </w:rPr>
              <w:t>Total Cost</w:t>
            </w:r>
          </w:p>
        </w:tc>
      </w:tr>
      <w:tr w14:paraId="7D14B490" w14:textId="77777777" w:rsidTr="00203723">
        <w:tblPrEx>
          <w:tblW w:w="0" w:type="auto"/>
          <w:tblLayout w:type="fixed"/>
          <w:tblLook w:val="0000"/>
        </w:tblPrEx>
        <w:tc>
          <w:tcPr>
            <w:tcW w:w="1728" w:type="dxa"/>
          </w:tcPr>
          <w:p w:rsidR="00CB3BFC" w:rsidRPr="00CB3BFC" w:rsidP="00CB3BFC" w14:paraId="0119D221" w14:textId="77777777">
            <w:pPr>
              <w:tabs>
                <w:tab w:val="left" w:pos="360"/>
                <w:tab w:val="left" w:pos="540"/>
              </w:tabs>
              <w:rPr>
                <w:bCs/>
                <w:sz w:val="24"/>
                <w:szCs w:val="24"/>
              </w:rPr>
            </w:pPr>
            <w:r w:rsidRPr="00CB3BFC">
              <w:rPr>
                <w:bCs/>
                <w:sz w:val="24"/>
                <w:szCs w:val="24"/>
              </w:rPr>
              <w:t>Review / Inspection</w:t>
            </w:r>
          </w:p>
        </w:tc>
        <w:tc>
          <w:tcPr>
            <w:tcW w:w="1980" w:type="dxa"/>
          </w:tcPr>
          <w:p w:rsidR="00CB3BFC" w:rsidRPr="00CB3BFC" w:rsidP="00CB3BFC" w14:paraId="569EF981" w14:textId="77777777">
            <w:pPr>
              <w:tabs>
                <w:tab w:val="left" w:pos="360"/>
                <w:tab w:val="left" w:pos="540"/>
              </w:tabs>
              <w:rPr>
                <w:bCs/>
                <w:sz w:val="24"/>
                <w:szCs w:val="24"/>
              </w:rPr>
            </w:pPr>
            <w:r w:rsidRPr="00CB3BFC">
              <w:rPr>
                <w:bCs/>
                <w:sz w:val="24"/>
                <w:szCs w:val="24"/>
              </w:rPr>
              <w:t xml:space="preserve">     1</w:t>
            </w:r>
          </w:p>
        </w:tc>
        <w:tc>
          <w:tcPr>
            <w:tcW w:w="1260" w:type="dxa"/>
          </w:tcPr>
          <w:p w:rsidR="00CB3BFC" w:rsidRPr="00CB3BFC" w:rsidP="00CB3BFC" w14:paraId="2BD6A893" w14:textId="77777777">
            <w:pPr>
              <w:tabs>
                <w:tab w:val="left" w:pos="360"/>
                <w:tab w:val="left" w:pos="540"/>
              </w:tabs>
              <w:rPr>
                <w:bCs/>
                <w:sz w:val="24"/>
                <w:szCs w:val="24"/>
              </w:rPr>
            </w:pPr>
            <w:r w:rsidRPr="00CB3BFC">
              <w:rPr>
                <w:bCs/>
                <w:sz w:val="24"/>
                <w:szCs w:val="24"/>
              </w:rPr>
              <w:t>40 hrs.</w:t>
            </w:r>
          </w:p>
        </w:tc>
        <w:tc>
          <w:tcPr>
            <w:tcW w:w="2160" w:type="dxa"/>
          </w:tcPr>
          <w:p w:rsidR="00CB3BFC" w:rsidRPr="00CB3BFC" w:rsidP="00CB3BFC" w14:paraId="650DE51E" w14:textId="77777777">
            <w:pPr>
              <w:tabs>
                <w:tab w:val="left" w:pos="360"/>
                <w:tab w:val="left" w:pos="540"/>
              </w:tabs>
              <w:rPr>
                <w:bCs/>
                <w:sz w:val="24"/>
                <w:szCs w:val="24"/>
              </w:rPr>
            </w:pPr>
            <w:r w:rsidRPr="00CB3BFC">
              <w:rPr>
                <w:bCs/>
                <w:sz w:val="24"/>
                <w:szCs w:val="24"/>
              </w:rPr>
              <w:t>$134.00</w:t>
            </w:r>
          </w:p>
        </w:tc>
        <w:tc>
          <w:tcPr>
            <w:tcW w:w="1728" w:type="dxa"/>
          </w:tcPr>
          <w:p w:rsidR="00CB3BFC" w:rsidRPr="00CB3BFC" w:rsidP="00CB3BFC" w14:paraId="611BA84E" w14:textId="77777777">
            <w:pPr>
              <w:tabs>
                <w:tab w:val="left" w:pos="360"/>
                <w:tab w:val="left" w:pos="540"/>
              </w:tabs>
              <w:rPr>
                <w:bCs/>
                <w:sz w:val="24"/>
                <w:szCs w:val="24"/>
              </w:rPr>
            </w:pPr>
            <w:r w:rsidRPr="00CB3BFC">
              <w:rPr>
                <w:bCs/>
                <w:sz w:val="24"/>
                <w:szCs w:val="24"/>
              </w:rPr>
              <w:t>$5,360.00</w:t>
            </w:r>
          </w:p>
        </w:tc>
      </w:tr>
    </w:tbl>
    <w:p w:rsidR="00CB3BFC" w:rsidRPr="00CB3BFC" w:rsidP="00CB3BFC" w14:paraId="1E5FFEA9" w14:textId="77777777">
      <w:pPr>
        <w:tabs>
          <w:tab w:val="left" w:pos="360"/>
          <w:tab w:val="left" w:pos="540"/>
        </w:tabs>
        <w:rPr>
          <w:bCs/>
          <w:sz w:val="24"/>
          <w:szCs w:val="24"/>
        </w:rPr>
      </w:pPr>
    </w:p>
    <w:p w:rsidR="00BF0F08" w:rsidRPr="00CB3BFC" w:rsidP="00CB3BFC" w14:paraId="5B2FF084" w14:textId="7CCAB7C8">
      <w:pPr>
        <w:tabs>
          <w:tab w:val="left" w:pos="360"/>
          <w:tab w:val="left" w:pos="540"/>
        </w:tabs>
        <w:rPr>
          <w:bCs/>
          <w:sz w:val="24"/>
          <w:szCs w:val="24"/>
        </w:rPr>
      </w:pPr>
      <w:r w:rsidRPr="00CB3BFC">
        <w:rPr>
          <w:bCs/>
          <w:sz w:val="24"/>
          <w:szCs w:val="24"/>
        </w:rPr>
        <w:t>The cost to the Federal Government is based on two FDA investigators at an average grade scale of GS-13 ($67.00/hour) who perform on-site inspections.  The salary estimate includes benefits but no overhead costs.  The cost is also based on an average time to inspect a facility, review the records, and prepare an establishment inspection report.  FDA does not plan to inspect them unless the need arises due to specific circumstances.  Therefore, FDA is estimating one annual inspection.</w:t>
      </w:r>
      <w:r w:rsidRPr="00BF0F08">
        <w:rPr>
          <w:rFonts w:eastAsia="Calibri"/>
          <w:sz w:val="24"/>
          <w:szCs w:val="24"/>
        </w:rPr>
        <w:tab/>
      </w:r>
    </w:p>
    <w:p w:rsidR="00BF0F08" w:rsidP="003F4627" w14:paraId="5B2985A2" w14:textId="77777777">
      <w:pPr>
        <w:rPr>
          <w:bCs/>
          <w:sz w:val="24"/>
          <w:szCs w:val="24"/>
        </w:rPr>
      </w:pPr>
    </w:p>
    <w:p w:rsidR="00E4438B" w14:paraId="03F4074B" w14:textId="77777777">
      <w:pPr>
        <w:rPr>
          <w:rFonts w:eastAsia="Calibri"/>
          <w:sz w:val="24"/>
          <w:szCs w:val="24"/>
        </w:rPr>
      </w:pPr>
      <w:r>
        <w:rPr>
          <w:rFonts w:eastAsia="Calibri"/>
          <w:sz w:val="24"/>
          <w:szCs w:val="24"/>
        </w:rPr>
        <w:br w:type="page"/>
      </w:r>
    </w:p>
    <w:p w:rsidR="00754B34" w:rsidRPr="00754B34" w:rsidP="003F4627" w14:paraId="62F87237" w14:textId="51494BF6">
      <w:pPr>
        <w:rPr>
          <w:rFonts w:eastAsia="Calibri"/>
          <w:sz w:val="24"/>
          <w:szCs w:val="24"/>
        </w:rPr>
      </w:pPr>
      <w:r w:rsidRPr="00754B34">
        <w:rPr>
          <w:rFonts w:eastAsia="Calibri"/>
          <w:sz w:val="24"/>
          <w:szCs w:val="24"/>
        </w:rPr>
        <w:t xml:space="preserve">15.  </w:t>
      </w:r>
      <w:r w:rsidRPr="00754B34">
        <w:rPr>
          <w:rFonts w:eastAsia="Calibri"/>
          <w:sz w:val="24"/>
          <w:szCs w:val="24"/>
          <w:u w:val="single"/>
        </w:rPr>
        <w:t>Explanation for Program Changes or Adjustments</w:t>
      </w:r>
    </w:p>
    <w:p w:rsidR="00754B34" w:rsidP="003F4627" w14:paraId="70428411" w14:textId="77777777">
      <w:pPr>
        <w:rPr>
          <w:rFonts w:eastAsia="Calibri"/>
          <w:sz w:val="24"/>
          <w:szCs w:val="24"/>
        </w:rPr>
      </w:pPr>
    </w:p>
    <w:p w:rsidR="00754B34" w:rsidRPr="007E11EE" w:rsidP="007E11EE" w14:paraId="42D16315" w14:textId="747F4364">
      <w:pPr>
        <w:tabs>
          <w:tab w:val="left" w:pos="360"/>
          <w:tab w:val="left" w:pos="540"/>
        </w:tabs>
        <w:rPr>
          <w:bCs/>
          <w:sz w:val="24"/>
          <w:szCs w:val="24"/>
        </w:rPr>
      </w:pPr>
      <w:r w:rsidRPr="007E11EE">
        <w:rPr>
          <w:bCs/>
          <w:sz w:val="24"/>
          <w:szCs w:val="24"/>
        </w:rPr>
        <w:t>The total estimated annual burden is 62.12 hours.   Based on a review of the information collection since our last request for OMB approval, we have adjusted our burden estimate</w:t>
      </w:r>
      <w:r w:rsidR="000760CB">
        <w:rPr>
          <w:bCs/>
          <w:sz w:val="24"/>
          <w:szCs w:val="24"/>
        </w:rPr>
        <w:t xml:space="preserve"> to</w:t>
      </w:r>
      <w:r w:rsidRPr="007E11EE">
        <w:rPr>
          <w:bCs/>
          <w:sz w:val="24"/>
          <w:szCs w:val="24"/>
        </w:rPr>
        <w:t xml:space="preserve"> 62.12 hours (an increase of 3.09 hours)</w:t>
      </w:r>
      <w:r w:rsidR="002822CD">
        <w:rPr>
          <w:bCs/>
          <w:sz w:val="24"/>
          <w:szCs w:val="24"/>
        </w:rPr>
        <w:t xml:space="preserve"> and </w:t>
      </w:r>
      <w:r w:rsidR="00E4438B">
        <w:rPr>
          <w:bCs/>
          <w:sz w:val="24"/>
          <w:szCs w:val="24"/>
        </w:rPr>
        <w:t>7 fewer responses annually.</w:t>
      </w:r>
      <w:r w:rsidR="002822CD">
        <w:rPr>
          <w:rFonts w:eastAsia="Calibri"/>
          <w:sz w:val="24"/>
          <w:szCs w:val="24"/>
        </w:rPr>
        <w:t xml:space="preserve"> </w:t>
      </w:r>
    </w:p>
    <w:p w:rsidR="00754B34" w:rsidRPr="00754B34" w:rsidP="003F4627" w14:paraId="75D2ED79" w14:textId="77777777">
      <w:pPr>
        <w:rPr>
          <w:rFonts w:eastAsia="Calibri"/>
          <w:sz w:val="24"/>
          <w:szCs w:val="24"/>
        </w:rPr>
      </w:pPr>
      <w:bookmarkStart w:id="8" w:name="_Toc276963638"/>
      <w:bookmarkStart w:id="9" w:name="_Toc239649237"/>
    </w:p>
    <w:p w:rsidR="00754B34" w:rsidRPr="00754B34" w:rsidP="003F4627" w14:paraId="37ED3AC9" w14:textId="18B96F6C">
      <w:pPr>
        <w:rPr>
          <w:rFonts w:eastAsia="Calibri"/>
          <w:sz w:val="24"/>
          <w:szCs w:val="24"/>
        </w:rPr>
      </w:pPr>
      <w:r w:rsidRPr="00754B34">
        <w:rPr>
          <w:rFonts w:eastAsia="Calibri"/>
          <w:sz w:val="24"/>
          <w:szCs w:val="24"/>
        </w:rPr>
        <w:t xml:space="preserve">16.  </w:t>
      </w:r>
      <w:r w:rsidRPr="00754B34">
        <w:rPr>
          <w:rFonts w:eastAsia="Calibri"/>
          <w:sz w:val="24"/>
          <w:szCs w:val="24"/>
          <w:u w:val="single"/>
        </w:rPr>
        <w:t>Plans for Tabulation and Publication and Project Time Schedule</w:t>
      </w:r>
      <w:bookmarkEnd w:id="8"/>
      <w:bookmarkEnd w:id="9"/>
    </w:p>
    <w:p w:rsidR="00754B34" w:rsidRPr="00754B34" w:rsidP="003F4627" w14:paraId="22F5065D" w14:textId="77777777">
      <w:pPr>
        <w:rPr>
          <w:rFonts w:eastAsia="Calibri"/>
          <w:sz w:val="24"/>
          <w:szCs w:val="24"/>
        </w:rPr>
      </w:pPr>
      <w:r w:rsidRPr="00754B34">
        <w:rPr>
          <w:rFonts w:eastAsia="Calibri"/>
          <w:sz w:val="24"/>
          <w:szCs w:val="24"/>
        </w:rPr>
        <w:tab/>
      </w:r>
    </w:p>
    <w:p w:rsidR="00754B34" w:rsidRPr="00754B34" w:rsidP="003F4627" w14:paraId="2D01F35B" w14:textId="77777777">
      <w:pPr>
        <w:rPr>
          <w:rFonts w:eastAsia="Calibri"/>
          <w:sz w:val="24"/>
          <w:szCs w:val="24"/>
        </w:rPr>
      </w:pPr>
      <w:r>
        <w:rPr>
          <w:rFonts w:eastAsia="Calibri"/>
          <w:sz w:val="24"/>
          <w:szCs w:val="24"/>
        </w:rPr>
        <w:t>We have no such plans for the information collection.</w:t>
      </w:r>
    </w:p>
    <w:p w:rsidR="00754B34" w:rsidRPr="00754B34" w:rsidP="003F4627" w14:paraId="3EE1AE2B" w14:textId="77777777">
      <w:pPr>
        <w:rPr>
          <w:rFonts w:eastAsia="Calibri"/>
          <w:sz w:val="24"/>
          <w:szCs w:val="24"/>
        </w:rPr>
      </w:pPr>
      <w:r w:rsidRPr="00754B34">
        <w:rPr>
          <w:rFonts w:eastAsia="Calibri"/>
          <w:sz w:val="24"/>
          <w:szCs w:val="24"/>
        </w:rPr>
        <w:tab/>
      </w:r>
    </w:p>
    <w:p w:rsidR="00754B34" w:rsidRPr="00754B34" w:rsidP="003F4627" w14:paraId="72E385BA" w14:textId="77777777">
      <w:pPr>
        <w:rPr>
          <w:rFonts w:eastAsia="Calibri"/>
          <w:sz w:val="24"/>
          <w:szCs w:val="24"/>
        </w:rPr>
      </w:pPr>
      <w:bookmarkStart w:id="10" w:name="_Toc239649238"/>
      <w:bookmarkStart w:id="11" w:name="_Toc276963639"/>
      <w:r w:rsidRPr="00754B34">
        <w:rPr>
          <w:rFonts w:eastAsia="Calibri"/>
          <w:sz w:val="24"/>
          <w:szCs w:val="24"/>
        </w:rPr>
        <w:t xml:space="preserve">17.  </w:t>
      </w:r>
      <w:r w:rsidRPr="00754B34">
        <w:rPr>
          <w:rFonts w:eastAsia="Calibri"/>
          <w:sz w:val="24"/>
          <w:szCs w:val="24"/>
          <w:u w:val="single"/>
        </w:rPr>
        <w:t>Reason(s) Display of OMB Expiration Date</w:t>
      </w:r>
      <w:bookmarkEnd w:id="10"/>
      <w:r w:rsidRPr="00754B34">
        <w:rPr>
          <w:rFonts w:eastAsia="Calibri"/>
          <w:sz w:val="24"/>
          <w:szCs w:val="24"/>
          <w:u w:val="single"/>
        </w:rPr>
        <w:t xml:space="preserve"> is Inappropriate</w:t>
      </w:r>
      <w:bookmarkEnd w:id="11"/>
    </w:p>
    <w:p w:rsidR="00754B34" w:rsidRPr="00754B34" w:rsidP="003F4627" w14:paraId="1D8E362B" w14:textId="77777777">
      <w:pPr>
        <w:rPr>
          <w:rFonts w:eastAsia="Calibri"/>
          <w:sz w:val="24"/>
          <w:szCs w:val="24"/>
        </w:rPr>
      </w:pPr>
      <w:r w:rsidRPr="00754B34">
        <w:rPr>
          <w:rFonts w:eastAsia="Calibri"/>
          <w:sz w:val="24"/>
          <w:szCs w:val="24"/>
        </w:rPr>
        <w:tab/>
      </w:r>
    </w:p>
    <w:p w:rsidR="00754B34" w:rsidRPr="00754B34" w:rsidP="003F4627" w14:paraId="73C0E45D" w14:textId="77777777">
      <w:pPr>
        <w:rPr>
          <w:rFonts w:eastAsia="Calibri"/>
          <w:sz w:val="24"/>
          <w:szCs w:val="24"/>
        </w:rPr>
      </w:pPr>
      <w:r w:rsidRPr="00754B34">
        <w:rPr>
          <w:rFonts w:eastAsia="Calibri"/>
          <w:sz w:val="24"/>
          <w:szCs w:val="24"/>
        </w:rPr>
        <w:t xml:space="preserve">The </w:t>
      </w:r>
      <w:bookmarkStart w:id="12" w:name="_Hlk530998982"/>
      <w:r w:rsidRPr="00754B34">
        <w:rPr>
          <w:rFonts w:eastAsia="Calibri"/>
          <w:sz w:val="24"/>
          <w:szCs w:val="24"/>
        </w:rPr>
        <w:t>OMB expiration date will be displayed</w:t>
      </w:r>
      <w:bookmarkEnd w:id="12"/>
      <w:r>
        <w:rPr>
          <w:rFonts w:eastAsia="Calibri"/>
          <w:sz w:val="24"/>
          <w:szCs w:val="24"/>
        </w:rPr>
        <w:t xml:space="preserve"> as required</w:t>
      </w:r>
      <w:r w:rsidRPr="00754B34">
        <w:rPr>
          <w:rFonts w:eastAsia="Calibri"/>
          <w:sz w:val="24"/>
          <w:szCs w:val="24"/>
        </w:rPr>
        <w:t>.</w:t>
      </w:r>
    </w:p>
    <w:p w:rsidR="00754B34" w:rsidRPr="00754B34" w:rsidP="003F4627" w14:paraId="4A05AE55" w14:textId="77777777">
      <w:pPr>
        <w:rPr>
          <w:rFonts w:eastAsia="Calibri"/>
          <w:sz w:val="24"/>
          <w:szCs w:val="24"/>
        </w:rPr>
      </w:pPr>
    </w:p>
    <w:p w:rsidR="00754B34" w:rsidRPr="00754B34" w:rsidP="003F4627" w14:paraId="56FDD81B" w14:textId="77777777">
      <w:pPr>
        <w:rPr>
          <w:rFonts w:eastAsia="Calibri"/>
          <w:sz w:val="24"/>
          <w:szCs w:val="24"/>
        </w:rPr>
      </w:pPr>
      <w:bookmarkStart w:id="13" w:name="_Toc276963640"/>
      <w:bookmarkStart w:id="14" w:name="_Toc239649239"/>
      <w:r w:rsidRPr="00754B34">
        <w:rPr>
          <w:rFonts w:eastAsia="Calibri"/>
          <w:sz w:val="24"/>
          <w:szCs w:val="24"/>
        </w:rPr>
        <w:t xml:space="preserve">18.  </w:t>
      </w:r>
      <w:r w:rsidRPr="00754B34">
        <w:rPr>
          <w:rFonts w:eastAsia="Calibri"/>
          <w:sz w:val="24"/>
          <w:szCs w:val="24"/>
          <w:u w:val="single"/>
        </w:rPr>
        <w:t>Exceptions to Certification for Paperwork Reduction Act Submissions</w:t>
      </w:r>
      <w:bookmarkEnd w:id="13"/>
      <w:bookmarkEnd w:id="14"/>
    </w:p>
    <w:p w:rsidR="00754B34" w:rsidRPr="00754B34" w:rsidP="003F4627" w14:paraId="63586CDB" w14:textId="77777777">
      <w:pPr>
        <w:rPr>
          <w:rFonts w:eastAsia="Calibri"/>
          <w:sz w:val="24"/>
          <w:szCs w:val="24"/>
        </w:rPr>
      </w:pPr>
      <w:r w:rsidRPr="00754B34">
        <w:rPr>
          <w:rFonts w:eastAsia="Calibri"/>
          <w:sz w:val="24"/>
          <w:szCs w:val="24"/>
        </w:rPr>
        <w:tab/>
      </w:r>
    </w:p>
    <w:p w:rsidR="00754B34" w:rsidRPr="00754B34" w:rsidP="003F4627" w14:paraId="525500B9" w14:textId="77777777">
      <w:pPr>
        <w:rPr>
          <w:rFonts w:eastAsia="Calibri"/>
          <w:sz w:val="24"/>
          <w:szCs w:val="24"/>
        </w:rPr>
      </w:pPr>
      <w:r w:rsidRPr="00754B34">
        <w:rPr>
          <w:rFonts w:eastAsia="Calibri"/>
          <w:sz w:val="24"/>
          <w:szCs w:val="24"/>
        </w:rPr>
        <w:t>There are no exceptions to the certification.</w:t>
      </w:r>
    </w:p>
    <w:p w:rsidR="00754B34" w:rsidRPr="00BF0F08" w:rsidP="003F4627" w14:paraId="22099A04" w14:textId="77777777">
      <w:pPr>
        <w:rPr>
          <w:bCs/>
          <w:sz w:val="24"/>
          <w:szCs w:val="24"/>
        </w:rPr>
      </w:pPr>
    </w:p>
    <w:sectPr w:rsidSect="006366B4">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75397876"/>
      <w:docPartObj>
        <w:docPartGallery w:val="Page Numbers (Top of Page)"/>
        <w:docPartUnique/>
      </w:docPartObj>
    </w:sdtPr>
    <w:sdtEndPr>
      <w:rPr>
        <w:noProof/>
      </w:rPr>
    </w:sdtEndPr>
    <w:sdtContent>
      <w:p w:rsidR="00AF166C" w14:paraId="52AEB268" w14:textId="558A924E">
        <w:pPr>
          <w:pStyle w:val="Header"/>
          <w:jc w:val="right"/>
          <w:rPr>
            <w:noProof/>
          </w:rPr>
        </w:pPr>
        <w:r>
          <w:fldChar w:fldCharType="begin"/>
        </w:r>
        <w:r>
          <w:instrText xml:space="preserve"> PAGE   \* MERGEFORMAT </w:instrText>
        </w:r>
        <w:r>
          <w:fldChar w:fldCharType="separate"/>
        </w:r>
        <w:r>
          <w:rPr>
            <w:noProof/>
          </w:rPr>
          <w:t>2</w:t>
        </w:r>
        <w:r>
          <w:rPr>
            <w:noProof/>
          </w:rPr>
          <w:fldChar w:fldCharType="end"/>
        </w:r>
      </w:p>
      <w:p w:rsidR="00AF166C" w14:paraId="12FF13EE" w14:textId="77777777">
        <w:pPr>
          <w:pStyle w:val="Header"/>
          <w:jc w:val="right"/>
        </w:pPr>
      </w:p>
      <w:p w:rsidR="004327A6" w14:paraId="5EAC4443" w14:textId="77777777">
        <w:pPr>
          <w:pStyle w:val="Header"/>
          <w:jc w:val="right"/>
        </w:pPr>
      </w:p>
    </w:sdtContent>
  </w:sdt>
  <w:p w:rsidR="004327A6" w14:paraId="11C39E07"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DA8"/>
    <w:rsid w:val="000325DB"/>
    <w:rsid w:val="000414E2"/>
    <w:rsid w:val="00041BE5"/>
    <w:rsid w:val="00047775"/>
    <w:rsid w:val="000601F3"/>
    <w:rsid w:val="000760CB"/>
    <w:rsid w:val="00085E6C"/>
    <w:rsid w:val="000F53FD"/>
    <w:rsid w:val="001446FE"/>
    <w:rsid w:val="00163004"/>
    <w:rsid w:val="001A15C3"/>
    <w:rsid w:val="001E7A8E"/>
    <w:rsid w:val="001F0451"/>
    <w:rsid w:val="002010AC"/>
    <w:rsid w:val="002822CD"/>
    <w:rsid w:val="00330374"/>
    <w:rsid w:val="0033517F"/>
    <w:rsid w:val="00382FF7"/>
    <w:rsid w:val="003843DC"/>
    <w:rsid w:val="003F4627"/>
    <w:rsid w:val="004327A6"/>
    <w:rsid w:val="004678F7"/>
    <w:rsid w:val="004C0AFA"/>
    <w:rsid w:val="004E37EC"/>
    <w:rsid w:val="00500C79"/>
    <w:rsid w:val="0051722F"/>
    <w:rsid w:val="005525F0"/>
    <w:rsid w:val="00597451"/>
    <w:rsid w:val="005A4741"/>
    <w:rsid w:val="005D66FA"/>
    <w:rsid w:val="00624165"/>
    <w:rsid w:val="006366B4"/>
    <w:rsid w:val="00727A67"/>
    <w:rsid w:val="0073481A"/>
    <w:rsid w:val="00737C36"/>
    <w:rsid w:val="007506BE"/>
    <w:rsid w:val="00754B34"/>
    <w:rsid w:val="007630E0"/>
    <w:rsid w:val="00764DE1"/>
    <w:rsid w:val="007B7A67"/>
    <w:rsid w:val="007D2A6D"/>
    <w:rsid w:val="007E11EE"/>
    <w:rsid w:val="008039A8"/>
    <w:rsid w:val="00840F45"/>
    <w:rsid w:val="00871F9B"/>
    <w:rsid w:val="0088666C"/>
    <w:rsid w:val="0091470B"/>
    <w:rsid w:val="0094542D"/>
    <w:rsid w:val="00962D2E"/>
    <w:rsid w:val="009A5033"/>
    <w:rsid w:val="009B0966"/>
    <w:rsid w:val="009D0BCA"/>
    <w:rsid w:val="00A3294D"/>
    <w:rsid w:val="00A427AB"/>
    <w:rsid w:val="00A67E25"/>
    <w:rsid w:val="00A74CDA"/>
    <w:rsid w:val="00AE42BC"/>
    <w:rsid w:val="00AF166C"/>
    <w:rsid w:val="00AF6F9E"/>
    <w:rsid w:val="00AF79F3"/>
    <w:rsid w:val="00B7765C"/>
    <w:rsid w:val="00B93A55"/>
    <w:rsid w:val="00BA1B02"/>
    <w:rsid w:val="00BC688D"/>
    <w:rsid w:val="00BF0B76"/>
    <w:rsid w:val="00BF0F08"/>
    <w:rsid w:val="00C32CF8"/>
    <w:rsid w:val="00C62449"/>
    <w:rsid w:val="00CA37EE"/>
    <w:rsid w:val="00CB3BFC"/>
    <w:rsid w:val="00CF5BD4"/>
    <w:rsid w:val="00D0778E"/>
    <w:rsid w:val="00D129F5"/>
    <w:rsid w:val="00D41A8D"/>
    <w:rsid w:val="00D81AA7"/>
    <w:rsid w:val="00D87742"/>
    <w:rsid w:val="00D94628"/>
    <w:rsid w:val="00DC3E58"/>
    <w:rsid w:val="00DD29D4"/>
    <w:rsid w:val="00E00DA8"/>
    <w:rsid w:val="00E315BC"/>
    <w:rsid w:val="00E4438B"/>
    <w:rsid w:val="00E453BC"/>
    <w:rsid w:val="00E60254"/>
    <w:rsid w:val="00EE47E5"/>
    <w:rsid w:val="00EF45F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AEF9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1F9B"/>
    <w:rPr>
      <w:rFont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4C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CDA"/>
    <w:rPr>
      <w:rFonts w:ascii="Segoe UI" w:hAnsi="Segoe UI" w:cs="Segoe UI"/>
      <w:sz w:val="18"/>
      <w:szCs w:val="18"/>
    </w:rPr>
  </w:style>
  <w:style w:type="paragraph" w:styleId="Header">
    <w:name w:val="header"/>
    <w:basedOn w:val="Normal"/>
    <w:link w:val="HeaderChar"/>
    <w:uiPriority w:val="99"/>
    <w:unhideWhenUsed/>
    <w:rsid w:val="004327A6"/>
    <w:pPr>
      <w:tabs>
        <w:tab w:val="center" w:pos="4680"/>
        <w:tab w:val="right" w:pos="9360"/>
      </w:tabs>
    </w:pPr>
  </w:style>
  <w:style w:type="character" w:customStyle="1" w:styleId="HeaderChar">
    <w:name w:val="Header Char"/>
    <w:basedOn w:val="DefaultParagraphFont"/>
    <w:link w:val="Header"/>
    <w:uiPriority w:val="99"/>
    <w:rsid w:val="004327A6"/>
    <w:rPr>
      <w:rFonts w:cs="Times New Roman"/>
      <w:sz w:val="20"/>
      <w:szCs w:val="20"/>
    </w:rPr>
  </w:style>
  <w:style w:type="paragraph" w:styleId="Footer">
    <w:name w:val="footer"/>
    <w:basedOn w:val="Normal"/>
    <w:link w:val="FooterChar"/>
    <w:uiPriority w:val="99"/>
    <w:unhideWhenUsed/>
    <w:rsid w:val="004327A6"/>
    <w:pPr>
      <w:tabs>
        <w:tab w:val="center" w:pos="4680"/>
        <w:tab w:val="right" w:pos="9360"/>
      </w:tabs>
    </w:pPr>
  </w:style>
  <w:style w:type="character" w:customStyle="1" w:styleId="FooterChar">
    <w:name w:val="Footer Char"/>
    <w:basedOn w:val="DefaultParagraphFont"/>
    <w:link w:val="Footer"/>
    <w:uiPriority w:val="99"/>
    <w:rsid w:val="004327A6"/>
    <w:rPr>
      <w:rFonts w:cs="Times New Roman"/>
      <w:sz w:val="20"/>
      <w:szCs w:val="20"/>
    </w:rPr>
  </w:style>
  <w:style w:type="character" w:styleId="Hyperlink">
    <w:name w:val="Hyperlink"/>
    <w:basedOn w:val="DefaultParagraphFont"/>
    <w:uiPriority w:val="99"/>
    <w:unhideWhenUsed/>
    <w:rsid w:val="00AE42BC"/>
    <w:rPr>
      <w:color w:val="0000FF" w:themeColor="hyperlink"/>
      <w:u w:val="single"/>
    </w:rPr>
  </w:style>
  <w:style w:type="character" w:styleId="UnresolvedMention">
    <w:name w:val="Unresolved Mention"/>
    <w:basedOn w:val="DefaultParagraphFont"/>
    <w:uiPriority w:val="99"/>
    <w:semiHidden/>
    <w:unhideWhenUsed/>
    <w:rsid w:val="00AE4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2373</Words>
  <Characters>13529</Characters>
  <Application>Microsoft Office Word</Application>
  <DocSecurity>0</DocSecurity>
  <Lines>112</Lines>
  <Paragraphs>31</Paragraphs>
  <ScaleCrop>false</ScaleCrop>
  <Company/>
  <LinksUpToDate>false</LinksUpToDate>
  <CharactersWithSpaces>15871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2025-07-30T16:47:00Z</dcterms:created>
  <dcterms:modified xsi:type="dcterms:W3CDTF">2025-07-30T16:47:00Z</dcterms:modified>
</cp:coreProperties>
</file>