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RPr="00200E42" w:rsidP="002840B2" w14:paraId="3CA34F36" w14:textId="6F251ED3">
      <w:pPr>
        <w:jc w:val="center"/>
        <w:rPr>
          <w:rFonts w:eastAsia="Calibri"/>
        </w:rPr>
      </w:pPr>
      <w:r w:rsidRPr="00200E42">
        <w:rPr>
          <w:rFonts w:eastAsia="Calibri"/>
        </w:rPr>
        <w:t xml:space="preserve">UNITED STATES FOOD </w:t>
      </w:r>
      <w:r>
        <w:rPr>
          <w:rFonts w:eastAsia="Calibri"/>
        </w:rPr>
        <w:t xml:space="preserve">&amp; </w:t>
      </w:r>
      <w:r w:rsidRPr="00200E42">
        <w:rPr>
          <w:rFonts w:eastAsia="Calibri"/>
        </w:rPr>
        <w:t>DRUG ADMINISTRATION</w:t>
      </w:r>
    </w:p>
    <w:p w:rsidR="00357C8A" w:rsidP="002840B2" w14:paraId="6022946B" w14:textId="77777777">
      <w:pPr>
        <w:jc w:val="center"/>
        <w:rPr>
          <w:rFonts w:eastAsia="Calibri"/>
        </w:rPr>
      </w:pPr>
    </w:p>
    <w:p w:rsidR="00357C8A" w:rsidP="002840B2" w14:paraId="29A4C9DA" w14:textId="77777777">
      <w:pPr>
        <w:jc w:val="center"/>
        <w:rPr>
          <w:rFonts w:eastAsia="Calibri"/>
        </w:rPr>
      </w:pPr>
      <w:r w:rsidRPr="00CB08A7">
        <w:t>Compounding Animal Drugs from Bulk Drug Substances</w:t>
      </w:r>
    </w:p>
    <w:p w:rsidR="00357C8A" w:rsidP="002840B2" w14:paraId="31E08923" w14:textId="77777777">
      <w:pPr>
        <w:jc w:val="center"/>
        <w:rPr>
          <w:rFonts w:eastAsia="Calibri"/>
        </w:rPr>
      </w:pPr>
    </w:p>
    <w:p w:rsidR="00357C8A" w:rsidRPr="00221F6E" w:rsidP="002840B2" w14:paraId="0DF9CE7F" w14:textId="11A4BB61">
      <w:pPr>
        <w:jc w:val="center"/>
        <w:rPr>
          <w:rFonts w:eastAsia="Calibri"/>
          <w:u w:val="single"/>
        </w:rPr>
      </w:pPr>
      <w:r w:rsidRPr="00221F6E">
        <w:rPr>
          <w:rFonts w:eastAsia="Calibri"/>
          <w:u w:val="single"/>
        </w:rPr>
        <w:t>OMB Control No. 0910-</w:t>
      </w:r>
      <w:r w:rsidRPr="00221F6E" w:rsidR="00091DC9">
        <w:rPr>
          <w:rFonts w:eastAsia="Calibri"/>
          <w:u w:val="single"/>
        </w:rPr>
        <w:t>0904</w:t>
      </w:r>
      <w:r w:rsidR="00221F6E">
        <w:rPr>
          <w:rFonts w:eastAsia="Calibri"/>
          <w:u w:val="single"/>
        </w:rPr>
        <w:t xml:space="preserve"> – </w:t>
      </w:r>
      <w:r w:rsidRPr="00221F6E" w:rsidR="00727CDF">
        <w:rPr>
          <w:rFonts w:eastAsia="Calibri"/>
          <w:u w:val="single"/>
        </w:rPr>
        <w:t>EXTENSION</w:t>
      </w:r>
    </w:p>
    <w:p w:rsidR="00357C8A" w:rsidP="002840B2" w14:paraId="43739C41" w14:textId="77777777">
      <w:pPr>
        <w:jc w:val="center"/>
        <w:rPr>
          <w:rFonts w:eastAsia="Calibri"/>
        </w:rPr>
      </w:pPr>
    </w:p>
    <w:p w:rsidR="00357C8A" w:rsidP="00EC1DF1" w14:paraId="2CBDEBCF" w14:textId="05835C1F">
      <w:pPr>
        <w:rPr>
          <w:rFonts w:eastAsia="Calibri"/>
        </w:rPr>
      </w:pPr>
      <w:r w:rsidRPr="00357C8A">
        <w:rPr>
          <w:rFonts w:eastAsia="Calibri"/>
        </w:rPr>
        <w:t>SUPPORTING STATEMENT</w:t>
      </w:r>
      <w:r w:rsidR="00EC1DF1">
        <w:rPr>
          <w:rFonts w:eastAsia="Calibri"/>
        </w:rPr>
        <w:t xml:space="preserve"> – </w:t>
      </w:r>
      <w:r w:rsidRPr="00357C8A">
        <w:rPr>
          <w:rFonts w:eastAsia="Calibri"/>
          <w:b/>
        </w:rPr>
        <w:t>Part A:  Justification</w:t>
      </w:r>
      <w:r w:rsidRPr="00357C8A">
        <w:rPr>
          <w:rFonts w:eastAsia="Calibri"/>
        </w:rPr>
        <w:t>:</w:t>
      </w:r>
    </w:p>
    <w:p w:rsidR="000D79CC" w:rsidRPr="00357C8A" w:rsidP="002840B2" w14:paraId="0D0C3A4C" w14:textId="77777777">
      <w:pPr>
        <w:rPr>
          <w:rFonts w:eastAsia="Calibri"/>
        </w:rPr>
      </w:pPr>
    </w:p>
    <w:p w:rsidR="00357C8A" w:rsidRPr="00357C8A" w:rsidP="002840B2" w14:paraId="29251DC6" w14:textId="77777777">
      <w:pPr>
        <w:numPr>
          <w:ilvl w:val="0"/>
          <w:numId w:val="6"/>
        </w:numPr>
        <w:spacing w:line="276" w:lineRule="auto"/>
        <w:ind w:left="0"/>
        <w:rPr>
          <w:rFonts w:eastAsia="Calibri"/>
        </w:rPr>
      </w:pPr>
      <w:r w:rsidRPr="00357C8A">
        <w:rPr>
          <w:rFonts w:eastAsia="Calibri"/>
          <w:u w:val="single"/>
        </w:rPr>
        <w:t>Circumstances Making the Collection of Information Necessary</w:t>
      </w:r>
    </w:p>
    <w:p w:rsidR="002840B2" w:rsidP="002840B2" w14:paraId="07750273" w14:textId="77777777">
      <w:pPr>
        <w:rPr>
          <w:rFonts w:eastAsia="Calibri"/>
        </w:rPr>
      </w:pPr>
    </w:p>
    <w:p w:rsidR="00091DC9" w:rsidRPr="00091DC9" w:rsidP="002840B2" w14:paraId="0FF3F632" w14:textId="73044FC4">
      <w:pPr>
        <w:rPr>
          <w:rFonts w:eastAsia="Calibri"/>
        </w:rPr>
      </w:pPr>
      <w:r w:rsidRPr="00091DC9">
        <w:rPr>
          <w:rFonts w:eastAsia="Calibri"/>
        </w:rPr>
        <w:t xml:space="preserve">This information collection helps support recommendations discussed in Food and Drug Administration (FDA) guidance.  Animal drugs compounded from bulk drug substances by pharmacists and veterinarians do not meet certain important requirements of the Federal Food, Drug, and Cosmetic Act (FD&amp;C Act).  To be legally marketed in accordance with animal drug approval requirements of the FD&amp;C Act, an approval, conditional approval, or listing on the Index of Legally Marketed Unapproved New Animal Drugs for Minor Species is required, and compounded drugs do not go through any of these pre-market review processes.  (Information collection associated with new animal drug applications is approved under OMB control no. 0910-0032; information collection pertaining to index of legally marketed unapproved new animal drugs for minor species is approved under OMB control no. 0910-0605.)  Further, all animal drugs are required to, among other things, be made in accordance with current good manufacturing practice (CGMP) requirements and have adequate directions for use, requirements not met by compounded drugs.   Thus, drugs compounded from bulk drug substances violate the FD&amp;C Act because they are not approved or indexed, are not made according to CGMP, and cannot satisfy the FD&amp;C Act’s adequate directions for use provision (which requires, among other things, that a prescription drug have FDA-approved labeling).  However, FDA has generally refrained from taking enforcement action against animal drugs compounded from bulk drug substances under certain circumstances when no other medically appropriate treatment options exist.  </w:t>
      </w:r>
    </w:p>
    <w:p w:rsidR="00091DC9" w:rsidP="002840B2" w14:paraId="1D3897A9" w14:textId="77777777">
      <w:pPr>
        <w:rPr>
          <w:rFonts w:eastAsia="Calibri"/>
        </w:rPr>
      </w:pPr>
    </w:p>
    <w:p w:rsidR="00423272" w:rsidRPr="005C71CA" w:rsidP="002840B2" w14:paraId="1F1EEA6A" w14:textId="77777777">
      <w:pPr>
        <w:rPr>
          <w:rFonts w:eastAsia="Calibri"/>
        </w:rPr>
      </w:pPr>
      <w:r w:rsidRPr="00091DC9">
        <w:rPr>
          <w:rFonts w:eastAsia="Calibri"/>
        </w:rPr>
        <w:t>To assist respondents in understanding FDA’s current thinking about animal drug compounding from bulk substances, our Center for Veterinary Medicine developed GFI #256 entitled “Compounding Animal Drugs from Bulk Drug Substances” (</w:t>
      </w:r>
      <w:hyperlink r:id="rId5" w:history="1">
        <w:r w:rsidRPr="00091DC9">
          <w:rPr>
            <w:rStyle w:val="Hyperlink"/>
            <w:rFonts w:eastAsia="Calibri"/>
          </w:rPr>
          <w:t>https://www.fda.gov/regulatory-information/search-fda-guidance-documents/cvm-gfi-256-compounding-animal-drugs-bulk-drug-substances</w:t>
        </w:r>
      </w:hyperlink>
      <w:r w:rsidRPr="00091DC9">
        <w:rPr>
          <w:rFonts w:eastAsia="Calibri"/>
        </w:rPr>
        <w:t>).   The guidance describes circumstances under which FDA generally does not intend to take enforcement action against pharmacists and veterinarians who compound animal drugs from bulk drug substances.</w:t>
      </w:r>
    </w:p>
    <w:p w:rsidR="00423272" w:rsidP="002840B2" w14:paraId="0013AAF2" w14:textId="77777777">
      <w:pPr>
        <w:rPr>
          <w:rFonts w:eastAsia="Calibri"/>
        </w:rPr>
      </w:pPr>
    </w:p>
    <w:p w:rsidR="00423272" w:rsidRPr="00423272" w:rsidP="002840B2" w14:paraId="0D91AF81" w14:textId="77777777">
      <w:pPr>
        <w:rPr>
          <w:rFonts w:eastAsia="Calibri"/>
          <w:i/>
        </w:rPr>
      </w:pPr>
      <w:r w:rsidRPr="005C71CA">
        <w:rPr>
          <w:rFonts w:eastAsia="Calibri"/>
        </w:rPr>
        <w:t xml:space="preserve">We therefore request OMB extension of OMB approval of </w:t>
      </w:r>
      <w:r w:rsidR="00091DC9">
        <w:rPr>
          <w:rFonts w:eastAsia="Calibri"/>
        </w:rPr>
        <w:t xml:space="preserve">the information collection discussed in </w:t>
      </w:r>
      <w:r w:rsidRPr="006B2B84" w:rsidR="00091DC9">
        <w:rPr>
          <w:rFonts w:eastAsia="Calibri"/>
          <w:i/>
          <w:iCs/>
        </w:rPr>
        <w:t>GFI #256</w:t>
      </w:r>
      <w:r w:rsidR="00091DC9">
        <w:rPr>
          <w:rFonts w:eastAsia="Calibri"/>
          <w:i/>
          <w:iCs/>
        </w:rPr>
        <w:t>,</w:t>
      </w:r>
      <w:r w:rsidRPr="006B2B84" w:rsidR="00091DC9">
        <w:rPr>
          <w:rFonts w:eastAsia="Calibri"/>
          <w:i/>
          <w:iCs/>
        </w:rPr>
        <w:t xml:space="preserve"> </w:t>
      </w:r>
      <w:r w:rsidR="00091DC9">
        <w:rPr>
          <w:rFonts w:eastAsia="Calibri"/>
          <w:i/>
          <w:iCs/>
        </w:rPr>
        <w:t>“</w:t>
      </w:r>
      <w:r w:rsidRPr="006B2B84" w:rsidR="00091DC9">
        <w:rPr>
          <w:rFonts w:eastAsia="Calibri"/>
          <w:i/>
          <w:iCs/>
        </w:rPr>
        <w:t>Compounding Animal Drugs from Bulk Drug Substances</w:t>
      </w:r>
      <w:r w:rsidR="00091DC9">
        <w:rPr>
          <w:rFonts w:eastAsia="Calibri"/>
        </w:rPr>
        <w:t>.”</w:t>
      </w:r>
    </w:p>
    <w:p w:rsidR="00357C8A" w:rsidRPr="00357C8A" w:rsidP="002840B2" w14:paraId="29069413" w14:textId="77777777">
      <w:pPr>
        <w:rPr>
          <w:rFonts w:eastAsia="Calibri"/>
          <w:color w:val="FF0000"/>
        </w:rPr>
      </w:pPr>
    </w:p>
    <w:p w:rsidR="00357C8A" w:rsidRPr="00357C8A" w:rsidP="002840B2" w14:paraId="7C6B6479" w14:textId="479D8308">
      <w:pPr>
        <w:numPr>
          <w:ilvl w:val="0"/>
          <w:numId w:val="6"/>
        </w:numPr>
        <w:spacing w:line="276" w:lineRule="auto"/>
        <w:ind w:left="0"/>
        <w:rPr>
          <w:rFonts w:eastAsia="Calibri"/>
          <w:u w:val="single"/>
        </w:rPr>
      </w:pPr>
      <w:r w:rsidRPr="00357C8A">
        <w:rPr>
          <w:rFonts w:eastAsia="Calibri"/>
          <w:u w:val="single"/>
        </w:rPr>
        <w:t xml:space="preserve">Purpose and Use of the Information Collection </w:t>
      </w:r>
    </w:p>
    <w:p w:rsidR="002840B2" w:rsidP="002840B2" w14:paraId="3AC9D0C1" w14:textId="77777777"/>
    <w:p w:rsidR="00357C8A" w:rsidP="002840B2" w14:paraId="3EFA8033" w14:textId="4D546C41">
      <w:r w:rsidRPr="00091DC9">
        <w:t xml:space="preserve">The policies described in the guidance document are intended to protect the public health by limiting the use of animal drugs compounded from bulk drug substances to when a veterinarian, </w:t>
      </w:r>
      <w:r w:rsidRPr="00091DC9">
        <w:t>acting within a valid veterinarian-client-patient relationship (VCPR),</w:t>
      </w:r>
      <w:r>
        <w:rPr>
          <w:vertAlign w:val="superscript"/>
        </w:rPr>
        <w:footnoteReference w:id="2"/>
      </w:r>
      <w:r w:rsidRPr="00091DC9">
        <w:t xml:space="preserve"> determines there is no medically appropriate </w:t>
      </w:r>
      <w:r w:rsidRPr="00091DC9">
        <w:t xml:space="preserve">human </w:t>
      </w:r>
      <w:r w:rsidRPr="00091DC9">
        <w:t xml:space="preserve">or </w:t>
      </w:r>
      <w:r w:rsidRPr="00091DC9">
        <w:t xml:space="preserve">animal </w:t>
      </w:r>
      <w:r w:rsidRPr="00091DC9">
        <w:t>drug that is FDA-approved,</w:t>
      </w:r>
      <w:r>
        <w:rPr>
          <w:vertAlign w:val="superscript"/>
        </w:rPr>
        <w:footnoteReference w:id="3"/>
      </w:r>
      <w:r w:rsidRPr="00091DC9">
        <w:t xml:space="preserve"> conditionally approved, or indexed to treat the animal.</w:t>
      </w:r>
    </w:p>
    <w:p w:rsidR="002840B2" w:rsidP="002840B2" w14:paraId="4B591706" w14:textId="77777777"/>
    <w:p w:rsidR="007D48EB" w:rsidP="002840B2" w14:paraId="2B150350" w14:textId="77777777">
      <w:r w:rsidRPr="00A12E38">
        <w:rPr>
          <w:i/>
          <w:iCs/>
          <w:u w:val="single"/>
        </w:rPr>
        <w:t>Description of Respondents:</w:t>
      </w:r>
      <w:r>
        <w:t xml:space="preserve">  </w:t>
      </w:r>
      <w:r w:rsidRPr="00F361DE">
        <w:t>Respondents include</w:t>
      </w:r>
      <w:r>
        <w:t xml:space="preserve"> veterinarians and pharmacists compounders.</w:t>
      </w:r>
    </w:p>
    <w:p w:rsidR="002840B2" w:rsidRPr="005E687C" w:rsidP="002840B2" w14:paraId="7C045597" w14:textId="77777777">
      <w:pPr>
        <w:rPr>
          <w:rFonts w:eastAsia="Calibri"/>
        </w:rPr>
      </w:pPr>
    </w:p>
    <w:p w:rsidR="00357C8A" w:rsidRPr="00357C8A" w:rsidP="002840B2" w14:paraId="602CE548" w14:textId="77777777">
      <w:pPr>
        <w:numPr>
          <w:ilvl w:val="0"/>
          <w:numId w:val="6"/>
        </w:numPr>
        <w:spacing w:line="276" w:lineRule="auto"/>
        <w:ind w:left="0"/>
        <w:rPr>
          <w:rFonts w:eastAsia="Calibri"/>
          <w:u w:val="single"/>
        </w:rPr>
      </w:pPr>
      <w:r w:rsidRPr="00357C8A">
        <w:rPr>
          <w:rFonts w:eastAsia="Calibri"/>
          <w:u w:val="single"/>
        </w:rPr>
        <w:t>Use of Improved Information Technology and Burden Reduction</w:t>
      </w:r>
    </w:p>
    <w:p w:rsidR="002840B2" w:rsidP="002840B2" w14:paraId="050D52E4" w14:textId="77777777">
      <w:pPr>
        <w:rPr>
          <w:rFonts w:eastAsia="Calibri"/>
        </w:rPr>
      </w:pPr>
    </w:p>
    <w:p w:rsidR="00357C8A" w:rsidP="002840B2" w14:paraId="3564F777" w14:textId="6B5A5F77">
      <w:pPr>
        <w:rPr>
          <w:rFonts w:eastAsia="Calibri"/>
        </w:rPr>
      </w:pPr>
      <w:r w:rsidRPr="005E687C">
        <w:rPr>
          <w:rFonts w:eastAsia="Calibri"/>
        </w:rPr>
        <w:t>The information collection recommendations describe agency enforcement policy.  The guidance makes no recommendation regarding the format for the information collection discussed in the guidance; however, we believe that it is standard business practice for these licensed respondents to maintain records electronically.</w:t>
      </w:r>
    </w:p>
    <w:p w:rsidR="002840B2" w:rsidRPr="00357C8A" w:rsidP="002840B2" w14:paraId="6D1232FC" w14:textId="77777777">
      <w:pPr>
        <w:rPr>
          <w:rFonts w:eastAsia="Calibri"/>
          <w:color w:val="FF0000"/>
        </w:rPr>
      </w:pPr>
    </w:p>
    <w:p w:rsidR="00357C8A" w:rsidRPr="00357C8A" w:rsidP="002840B2" w14:paraId="7D7650D1" w14:textId="77777777">
      <w:pPr>
        <w:numPr>
          <w:ilvl w:val="0"/>
          <w:numId w:val="6"/>
        </w:numPr>
        <w:spacing w:line="276" w:lineRule="auto"/>
        <w:ind w:left="0"/>
        <w:rPr>
          <w:rFonts w:eastAsia="Calibri"/>
        </w:rPr>
      </w:pPr>
      <w:r w:rsidRPr="00357C8A">
        <w:rPr>
          <w:rFonts w:eastAsia="Calibri"/>
          <w:u w:val="single"/>
        </w:rPr>
        <w:t xml:space="preserve">Efforts to Identify Duplication and Use of Similar Information </w:t>
      </w:r>
    </w:p>
    <w:p w:rsidR="002840B2" w:rsidP="002840B2" w14:paraId="64FC394A" w14:textId="77777777"/>
    <w:p w:rsidR="000C1260" w:rsidP="002840B2" w14:paraId="3F0751CB" w14:textId="6E3AE8A7">
      <w:r w:rsidRPr="005C71CA">
        <w:t>We are unaware of duplicative information collection.</w:t>
      </w:r>
    </w:p>
    <w:p w:rsidR="002840B2" w:rsidRPr="005E687C" w:rsidP="002840B2" w14:paraId="57C671B0" w14:textId="77777777"/>
    <w:p w:rsidR="00357C8A" w:rsidRPr="00357C8A" w:rsidP="002840B2" w14:paraId="16D9B9EE" w14:textId="77777777">
      <w:pPr>
        <w:numPr>
          <w:ilvl w:val="0"/>
          <w:numId w:val="6"/>
        </w:numPr>
        <w:spacing w:line="276" w:lineRule="auto"/>
        <w:ind w:left="0"/>
        <w:rPr>
          <w:rFonts w:eastAsia="Calibri"/>
        </w:rPr>
      </w:pPr>
      <w:r w:rsidRPr="00357C8A">
        <w:rPr>
          <w:rFonts w:eastAsia="Calibri"/>
          <w:u w:val="single"/>
        </w:rPr>
        <w:t>Impact on Small Businesses or Other Small Entities</w:t>
      </w:r>
    </w:p>
    <w:p w:rsidR="002840B2" w:rsidP="002840B2" w14:paraId="0A55DC54" w14:textId="77777777">
      <w:pPr>
        <w:rPr>
          <w:rFonts w:eastAsia="Calibri"/>
        </w:rPr>
      </w:pPr>
    </w:p>
    <w:p w:rsidR="00357C8A" w:rsidP="002840B2" w14:paraId="39BEA97E" w14:textId="54FB1070">
      <w:pPr>
        <w:rPr>
          <w:rFonts w:eastAsia="Calibri"/>
        </w:rPr>
      </w:pPr>
      <w:r>
        <w:rPr>
          <w:rFonts w:eastAsia="Calibri"/>
        </w:rPr>
        <w:t>We do not believe t</w:t>
      </w:r>
      <w:r w:rsidRPr="005E687C" w:rsidR="005E687C">
        <w:rPr>
          <w:rFonts w:eastAsia="Calibri"/>
        </w:rPr>
        <w:t>he information collection poses undue burden on small entities.  Respondents to the information collection are</w:t>
      </w:r>
      <w:r w:rsidRPr="005E687C" w:rsidR="005E687C">
        <w:t xml:space="preserve"> </w:t>
      </w:r>
      <w:r w:rsidRPr="005E687C" w:rsidR="005E687C">
        <w:rPr>
          <w:rFonts w:eastAsia="Calibri"/>
        </w:rPr>
        <w:t>pharmacists in either State-licensed pharmacies or Federal facilities, or veterinarians who compound animal drugs from bulk drug substances.  At the same time, FDA provides small business assistance through agency staff and resources available through our website.</w:t>
      </w:r>
    </w:p>
    <w:p w:rsidR="002840B2" w:rsidRPr="00357C8A" w:rsidP="002840B2" w14:paraId="15159C6B" w14:textId="77777777">
      <w:pPr>
        <w:rPr>
          <w:rFonts w:eastAsia="Calibri"/>
        </w:rPr>
      </w:pPr>
    </w:p>
    <w:p w:rsidR="00357C8A" w:rsidRPr="00357C8A" w:rsidP="002840B2" w14:paraId="62790BEE" w14:textId="77777777">
      <w:pPr>
        <w:numPr>
          <w:ilvl w:val="0"/>
          <w:numId w:val="6"/>
        </w:numPr>
        <w:spacing w:line="276" w:lineRule="auto"/>
        <w:ind w:left="0"/>
        <w:rPr>
          <w:rFonts w:eastAsia="Calibri"/>
          <w:u w:val="single"/>
        </w:rPr>
      </w:pPr>
      <w:r w:rsidRPr="00357C8A">
        <w:rPr>
          <w:rFonts w:eastAsia="Calibri"/>
          <w:u w:val="single"/>
        </w:rPr>
        <w:t>Consequences of Collecting the Information Less Frequently</w:t>
      </w:r>
    </w:p>
    <w:p w:rsidR="002840B2" w:rsidP="002840B2" w14:paraId="225E6D90" w14:textId="77777777">
      <w:pPr>
        <w:rPr>
          <w:rFonts w:eastAsia="Calibri"/>
        </w:rPr>
      </w:pPr>
    </w:p>
    <w:p w:rsidR="00357C8A" w:rsidP="002840B2" w14:paraId="58CB9C66" w14:textId="2EEBAD27">
      <w:pPr>
        <w:rPr>
          <w:rFonts w:eastAsia="Calibri"/>
        </w:rPr>
      </w:pPr>
      <w:r w:rsidRPr="005E687C">
        <w:rPr>
          <w:rFonts w:eastAsia="Calibri"/>
        </w:rPr>
        <w:t>The information collection schedule is consistent with statutory and regulatory requirements.</w:t>
      </w:r>
    </w:p>
    <w:p w:rsidR="002840B2" w:rsidRPr="00357C8A" w:rsidP="002840B2" w14:paraId="1DC6F951" w14:textId="77777777">
      <w:pPr>
        <w:rPr>
          <w:rFonts w:eastAsia="Calibri"/>
          <w:color w:val="FF0000"/>
        </w:rPr>
      </w:pPr>
    </w:p>
    <w:p w:rsidR="00357C8A" w:rsidRPr="00357C8A" w:rsidP="002840B2" w14:paraId="163BE753" w14:textId="77777777">
      <w:pPr>
        <w:numPr>
          <w:ilvl w:val="0"/>
          <w:numId w:val="6"/>
        </w:numPr>
        <w:spacing w:line="276" w:lineRule="auto"/>
        <w:ind w:left="0"/>
        <w:rPr>
          <w:rFonts w:eastAsia="Calibri"/>
        </w:rPr>
      </w:pPr>
      <w:r w:rsidRPr="00357C8A">
        <w:rPr>
          <w:rFonts w:eastAsia="Calibri"/>
          <w:u w:val="single"/>
        </w:rPr>
        <w:t>Special Circumstances Relating to the Guidelines of 5 CFR 1320.5</w:t>
      </w:r>
    </w:p>
    <w:p w:rsidR="00AE5167" w:rsidP="002840B2" w14:paraId="01CB3602" w14:textId="77777777">
      <w:pPr>
        <w:rPr>
          <w:rFonts w:eastAsia="Calibri"/>
        </w:rPr>
      </w:pPr>
    </w:p>
    <w:p w:rsidR="00AE5167" w14:paraId="615D56B1" w14:textId="2F28FDD8">
      <w:pPr>
        <w:rPr>
          <w:rFonts w:eastAsia="Calibri"/>
        </w:rPr>
      </w:pPr>
      <w:r w:rsidRPr="005E687C">
        <w:rPr>
          <w:rFonts w:eastAsia="Calibri"/>
        </w:rPr>
        <w:t>There are no special circumstances associated with this information collection.</w:t>
      </w:r>
    </w:p>
    <w:p w:rsidR="00EC1DF1" w14:paraId="3DC505C2" w14:textId="77777777">
      <w:pPr>
        <w:rPr>
          <w:rFonts w:eastAsia="Calibri"/>
        </w:rPr>
      </w:pPr>
    </w:p>
    <w:p w:rsidR="00357C8A" w:rsidRPr="00357C8A" w:rsidP="002840B2" w14:paraId="360EE808" w14:textId="27D2E9BA">
      <w:pPr>
        <w:numPr>
          <w:ilvl w:val="0"/>
          <w:numId w:val="6"/>
        </w:numPr>
        <w:spacing w:line="276" w:lineRule="auto"/>
        <w:ind w:left="0"/>
        <w:rPr>
          <w:rFonts w:eastAsia="Calibri"/>
        </w:rPr>
      </w:pPr>
      <w:r w:rsidRPr="00357C8A">
        <w:rPr>
          <w:rFonts w:eastAsia="Calibri"/>
          <w:u w:val="single"/>
        </w:rPr>
        <w:t>Comments in Response to the Federal Register Notice and Efforts to Consult Outside the Agency</w:t>
      </w:r>
    </w:p>
    <w:p w:rsidR="00F03291" w:rsidP="002840B2" w14:paraId="75C3F81C" w14:textId="77777777">
      <w:pPr>
        <w:rPr>
          <w:rFonts w:eastAsia="Calibri"/>
        </w:rPr>
      </w:pPr>
    </w:p>
    <w:p w:rsidR="00F03291" w:rsidP="002840B2" w14:paraId="044662BD" w14:textId="20B4A192">
      <w:pPr>
        <w:rPr>
          <w:rFonts w:eastAsia="Calibri"/>
        </w:rPr>
      </w:pPr>
      <w:r>
        <w:rPr>
          <w:rFonts w:eastAsia="Calibri"/>
        </w:rPr>
        <w:t xml:space="preserve">FDA published a 60-day notice </w:t>
      </w:r>
      <w:r w:rsidR="00C33DDD">
        <w:rPr>
          <w:rFonts w:eastAsia="Calibri"/>
        </w:rPr>
        <w:t>inviting</w:t>
      </w:r>
      <w:r>
        <w:rPr>
          <w:rFonts w:eastAsia="Calibri"/>
        </w:rPr>
        <w:t xml:space="preserve"> public comment in the </w:t>
      </w:r>
      <w:r w:rsidRPr="009009E7">
        <w:rPr>
          <w:rFonts w:eastAsia="Calibri"/>
          <w:i/>
        </w:rPr>
        <w:t>Federal Register</w:t>
      </w:r>
      <w:r>
        <w:rPr>
          <w:rFonts w:eastAsia="Calibri"/>
        </w:rPr>
        <w:t xml:space="preserve"> </w:t>
      </w:r>
      <w:r w:rsidRPr="00F03291">
        <w:rPr>
          <w:rFonts w:eastAsia="Calibri"/>
        </w:rPr>
        <w:t>of May 1, 2025 (90 FR 18665)</w:t>
      </w:r>
      <w:r w:rsidR="00C33DDD">
        <w:rPr>
          <w:rFonts w:eastAsia="Calibri"/>
        </w:rPr>
        <w:t xml:space="preserve">.  </w:t>
      </w:r>
      <w:r w:rsidRPr="00F03291">
        <w:rPr>
          <w:rFonts w:eastAsia="Calibri"/>
        </w:rPr>
        <w:t xml:space="preserve">Three comments were submitted to the docket by various trade associations, however the first two were not responsive to the information collection topics solicited under 5 </w:t>
      </w:r>
      <w:r w:rsidRPr="00F03291">
        <w:rPr>
          <w:rFonts w:eastAsia="Calibri"/>
        </w:rPr>
        <w:t>CFR 1320.8(d).</w:t>
      </w:r>
      <w:r w:rsidR="007752CD">
        <w:rPr>
          <w:rFonts w:eastAsia="Calibri"/>
        </w:rPr>
        <w:t xml:space="preserve">  </w:t>
      </w:r>
      <w:r w:rsidRPr="00F03291">
        <w:rPr>
          <w:rFonts w:eastAsia="Calibri"/>
        </w:rPr>
        <w:t>Rather, the comments appeared to be proffered in accordance with our Good Guidance Practice regulations in 21 CFR 10.115 and we therefore refer the comment</w:t>
      </w:r>
      <w:r w:rsidR="007752CD">
        <w:rPr>
          <w:rFonts w:eastAsia="Calibri"/>
        </w:rPr>
        <w:t>o</w:t>
      </w:r>
      <w:r w:rsidRPr="00F03291">
        <w:rPr>
          <w:rFonts w:eastAsia="Calibri"/>
        </w:rPr>
        <w:t xml:space="preserve">rs to 21 CFR 10.115(f) regarding how the public may participate in the development of FDA guidance documents. The third comment suggested improvements to increase the utility of Form FDA 1932a, </w:t>
      </w:r>
      <w:r w:rsidRPr="007752CD">
        <w:rPr>
          <w:rFonts w:eastAsia="Calibri"/>
          <w:i/>
          <w:iCs/>
        </w:rPr>
        <w:t>Veterinary Adverse Drug Reaction, Lack of Effectiveness</w:t>
      </w:r>
      <w:r w:rsidRPr="00F03291">
        <w:rPr>
          <w:rFonts w:eastAsia="Calibri"/>
        </w:rPr>
        <w:t xml:space="preserve">, </w:t>
      </w:r>
      <w:r w:rsidR="007752CD">
        <w:rPr>
          <w:rFonts w:eastAsia="Calibri"/>
        </w:rPr>
        <w:t xml:space="preserve">or </w:t>
      </w:r>
      <w:r w:rsidRPr="007752CD">
        <w:rPr>
          <w:rFonts w:eastAsia="Calibri"/>
          <w:i/>
          <w:iCs/>
        </w:rPr>
        <w:t>Product Defect Report</w:t>
      </w:r>
      <w:r w:rsidRPr="00F03291">
        <w:rPr>
          <w:rFonts w:eastAsia="Calibri"/>
        </w:rPr>
        <w:t>, approved for use in OMB control no. 0910–0291, currently pending OMB review. We appreciate this comment and continue to make technological enhancements to our collection instruments as our limited resources allow. At the same, none of the comments offered an alternative estimate, and we therefore retain the estimate of burden for the information collection as communicated in our 60- day notice</w:t>
      </w:r>
      <w:r w:rsidR="007752CD">
        <w:rPr>
          <w:rFonts w:eastAsia="Calibri"/>
        </w:rPr>
        <w:t>.</w:t>
      </w:r>
    </w:p>
    <w:p w:rsidR="007752CD" w:rsidP="002840B2" w14:paraId="42ECE8E1" w14:textId="77777777">
      <w:pPr>
        <w:rPr>
          <w:rFonts w:eastAsia="Calibri"/>
        </w:rPr>
      </w:pPr>
    </w:p>
    <w:p w:rsidR="00357C8A" w:rsidRPr="00357C8A" w:rsidP="002840B2" w14:paraId="0F589CF3" w14:textId="77777777">
      <w:pPr>
        <w:numPr>
          <w:ilvl w:val="0"/>
          <w:numId w:val="6"/>
        </w:numPr>
        <w:spacing w:line="276" w:lineRule="auto"/>
        <w:ind w:left="0"/>
        <w:rPr>
          <w:rFonts w:eastAsia="Calibri"/>
        </w:rPr>
      </w:pPr>
      <w:r w:rsidRPr="00357C8A">
        <w:rPr>
          <w:rFonts w:eastAsia="Calibri"/>
          <w:u w:val="single"/>
        </w:rPr>
        <w:t>Explanation of Any Payment or Gift to Respondents</w:t>
      </w:r>
    </w:p>
    <w:p w:rsidR="007752CD" w:rsidP="002840B2" w14:paraId="717BC1D0" w14:textId="77777777">
      <w:pPr>
        <w:rPr>
          <w:rFonts w:eastAsia="Calibri"/>
        </w:rPr>
      </w:pPr>
    </w:p>
    <w:p w:rsidR="00357C8A" w:rsidP="002840B2" w14:paraId="5589DE95" w14:textId="15AEE45F">
      <w:pPr>
        <w:rPr>
          <w:rFonts w:eastAsia="Calibri"/>
        </w:rPr>
      </w:pPr>
      <w:r w:rsidRPr="002074FE">
        <w:rPr>
          <w:rFonts w:eastAsia="Calibri"/>
        </w:rPr>
        <w:t>There are no incentives, payments or gifts associated with this information collection.</w:t>
      </w:r>
    </w:p>
    <w:p w:rsidR="007752CD" w:rsidRPr="005E687C" w:rsidP="002840B2" w14:paraId="7C7C38C3" w14:textId="77777777">
      <w:pPr>
        <w:rPr>
          <w:rFonts w:eastAsia="Calibri"/>
          <w:i/>
        </w:rPr>
      </w:pPr>
    </w:p>
    <w:p w:rsidR="00357C8A" w:rsidRPr="00357C8A" w:rsidP="002840B2" w14:paraId="252CDED6" w14:textId="77777777">
      <w:pPr>
        <w:numPr>
          <w:ilvl w:val="0"/>
          <w:numId w:val="6"/>
        </w:numPr>
        <w:spacing w:line="276" w:lineRule="auto"/>
        <w:ind w:left="0"/>
        <w:rPr>
          <w:rFonts w:eastAsia="Calibri"/>
        </w:rPr>
      </w:pPr>
      <w:r w:rsidRPr="00357C8A">
        <w:rPr>
          <w:rFonts w:eastAsia="Calibri"/>
          <w:u w:val="single"/>
        </w:rPr>
        <w:t>Assurance of Confidentiality Provided to Respondents</w:t>
      </w:r>
    </w:p>
    <w:p w:rsidR="007752CD" w:rsidP="002840B2" w14:paraId="76681F6F" w14:textId="77777777">
      <w:pPr>
        <w:rPr>
          <w:rFonts w:eastAsia="Calibri"/>
        </w:rPr>
      </w:pPr>
    </w:p>
    <w:p w:rsidR="00357C8A" w:rsidP="002840B2" w14:paraId="456D7003" w14:textId="449A8188">
      <w:pPr>
        <w:rPr>
          <w:rFonts w:eastAsia="Calibri"/>
          <w:color w:val="FF0000"/>
        </w:rPr>
      </w:pPr>
      <w:r w:rsidRPr="005E687C">
        <w:rPr>
          <w:rFonts w:eastAsia="Calibri"/>
        </w:rPr>
        <w:t>We have determined that no personally identifiable information (PII) or information of a personal nature is collected.  We also determined that the information collection is not subject to the Privacy Act of 1974, and the particular notice and other requirements of the Privacy Act do not apply.  Specifically, FDA does not maintain information that facilities collect and does not use names or any other personal identifiers to retrieve records from the information collected.</w:t>
      </w:r>
    </w:p>
    <w:p w:rsidR="001075D3" w:rsidRPr="001075D3" w:rsidP="002840B2" w14:paraId="126F0CBE" w14:textId="77777777"/>
    <w:p w:rsidR="00357C8A" w:rsidRPr="00357C8A" w:rsidP="002840B2" w14:paraId="49488CD8" w14:textId="77777777">
      <w:pPr>
        <w:numPr>
          <w:ilvl w:val="0"/>
          <w:numId w:val="6"/>
        </w:numPr>
        <w:spacing w:line="276" w:lineRule="auto"/>
        <w:ind w:left="0"/>
        <w:rPr>
          <w:rFonts w:eastAsia="Calibri"/>
        </w:rPr>
      </w:pPr>
      <w:r w:rsidRPr="00357C8A">
        <w:rPr>
          <w:rFonts w:eastAsia="Calibri"/>
          <w:u w:val="single"/>
        </w:rPr>
        <w:t>Justification for Sensitive Questions</w:t>
      </w:r>
    </w:p>
    <w:p w:rsidR="007752CD" w:rsidP="002840B2" w14:paraId="53DECEFE" w14:textId="77777777">
      <w:pPr>
        <w:rPr>
          <w:rFonts w:eastAsia="Calibri"/>
          <w:iCs/>
        </w:rPr>
      </w:pPr>
    </w:p>
    <w:p w:rsidR="00357C8A" w:rsidP="002840B2" w14:paraId="7F5020AB" w14:textId="138AEE25">
      <w:pPr>
        <w:rPr>
          <w:rFonts w:eastAsia="Calibri"/>
          <w:iCs/>
        </w:rPr>
      </w:pPr>
      <w:r w:rsidRPr="005E687C">
        <w:rPr>
          <w:rFonts w:eastAsia="Calibri"/>
          <w:iCs/>
        </w:rPr>
        <w:t>The collection of information does not involve sensitive questions.</w:t>
      </w:r>
    </w:p>
    <w:p w:rsidR="007752CD" w:rsidRPr="005E687C" w:rsidP="002840B2" w14:paraId="154F0A57" w14:textId="77777777">
      <w:pPr>
        <w:rPr>
          <w:rFonts w:eastAsia="Calibri"/>
          <w:iCs/>
        </w:rPr>
      </w:pPr>
    </w:p>
    <w:p w:rsidR="00357C8A" w:rsidRPr="00357C8A" w:rsidP="002840B2" w14:paraId="40023708" w14:textId="53EE7B33">
      <w:pPr>
        <w:numPr>
          <w:ilvl w:val="0"/>
          <w:numId w:val="6"/>
        </w:numPr>
        <w:spacing w:line="276" w:lineRule="auto"/>
        <w:ind w:left="0"/>
        <w:rPr>
          <w:rFonts w:eastAsia="Calibri"/>
          <w:u w:val="single"/>
        </w:rPr>
      </w:pPr>
      <w:r w:rsidRPr="00357C8A">
        <w:rPr>
          <w:rFonts w:eastAsia="Calibri"/>
          <w:u w:val="single"/>
        </w:rPr>
        <w:t>Estimates of Annualized Burden Hours and Cost</w:t>
      </w:r>
    </w:p>
    <w:p w:rsidR="007752CD" w:rsidP="002840B2" w14:paraId="0EBC35DD" w14:textId="77777777">
      <w:pPr>
        <w:rPr>
          <w:rFonts w:eastAsia="Calibri"/>
        </w:rPr>
      </w:pPr>
    </w:p>
    <w:p w:rsidR="00357C8A" w:rsidRPr="007752CD" w:rsidP="007752CD" w14:paraId="300611F0" w14:textId="16D89AED">
      <w:pPr>
        <w:ind w:firstLine="720"/>
        <w:rPr>
          <w:rFonts w:eastAsia="Calibri"/>
          <w:i/>
          <w:iCs/>
        </w:rPr>
      </w:pPr>
      <w:r w:rsidRPr="007752CD">
        <w:rPr>
          <w:rFonts w:eastAsia="Calibri"/>
          <w:i/>
          <w:iCs/>
        </w:rPr>
        <w:t>12a.  Annualized Hour Burden Estimate</w:t>
      </w:r>
    </w:p>
    <w:p w:rsidR="007752CD" w:rsidP="002840B2" w14:paraId="7A573CA9" w14:textId="77777777">
      <w:pPr>
        <w:keepNext/>
        <w:jc w:val="center"/>
        <w:rPr>
          <w:sz w:val="20"/>
          <w:szCs w:val="20"/>
        </w:rPr>
      </w:pPr>
    </w:p>
    <w:p w:rsidR="005E687C" w:rsidRPr="005E687C" w:rsidP="002840B2" w14:paraId="73EAEA78" w14:textId="61EDC97A">
      <w:pPr>
        <w:keepNext/>
        <w:jc w:val="center"/>
        <w:rPr>
          <w:sz w:val="20"/>
          <w:szCs w:val="20"/>
        </w:rPr>
      </w:pPr>
      <w:r w:rsidRPr="005E687C">
        <w:rPr>
          <w:sz w:val="20"/>
          <w:szCs w:val="20"/>
        </w:rPr>
        <w:t>Table 1.--Estimated Annual Recordkeeping Burden</w:t>
      </w:r>
    </w:p>
    <w:tbl>
      <w:tblPr>
        <w:tblW w:w="507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2"/>
        <w:gridCol w:w="1442"/>
        <w:gridCol w:w="1351"/>
        <w:gridCol w:w="1169"/>
        <w:gridCol w:w="1169"/>
        <w:gridCol w:w="988"/>
      </w:tblGrid>
      <w:tr w14:paraId="448622F5" w14:textId="77777777" w:rsidTr="008D00DD">
        <w:tblPrEx>
          <w:tblW w:w="507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20"/>
        </w:trPr>
        <w:tc>
          <w:tcPr>
            <w:tcW w:w="1822" w:type="pct"/>
            <w:shd w:val="clear" w:color="auto" w:fill="auto"/>
          </w:tcPr>
          <w:p w:rsidR="005E687C" w:rsidRPr="00B26806" w:rsidP="002840B2" w14:paraId="1631E5F9" w14:textId="77777777">
            <w:pPr>
              <w:jc w:val="center"/>
              <w:rPr>
                <w:sz w:val="22"/>
                <w:szCs w:val="22"/>
              </w:rPr>
            </w:pPr>
            <w:r w:rsidRPr="00B26806">
              <w:rPr>
                <w:sz w:val="22"/>
                <w:szCs w:val="22"/>
              </w:rPr>
              <w:t>Activity</w:t>
            </w:r>
          </w:p>
        </w:tc>
        <w:tc>
          <w:tcPr>
            <w:tcW w:w="748" w:type="pct"/>
            <w:shd w:val="clear" w:color="auto" w:fill="auto"/>
          </w:tcPr>
          <w:p w:rsidR="005E687C" w:rsidRPr="00B26806" w:rsidP="002840B2" w14:paraId="135035FC" w14:textId="77777777">
            <w:pPr>
              <w:jc w:val="center"/>
              <w:rPr>
                <w:sz w:val="22"/>
                <w:szCs w:val="22"/>
              </w:rPr>
            </w:pPr>
            <w:r w:rsidRPr="00B26806">
              <w:rPr>
                <w:sz w:val="22"/>
                <w:szCs w:val="22"/>
              </w:rPr>
              <w:t>No. of Respondents</w:t>
            </w:r>
          </w:p>
        </w:tc>
        <w:tc>
          <w:tcPr>
            <w:tcW w:w="701" w:type="pct"/>
            <w:shd w:val="clear" w:color="auto" w:fill="auto"/>
          </w:tcPr>
          <w:p w:rsidR="005E687C" w:rsidRPr="00B26806" w:rsidP="002840B2" w14:paraId="0733C4B0" w14:textId="77777777">
            <w:pPr>
              <w:jc w:val="center"/>
              <w:rPr>
                <w:sz w:val="22"/>
                <w:szCs w:val="22"/>
              </w:rPr>
            </w:pPr>
            <w:r w:rsidRPr="00B26806">
              <w:rPr>
                <w:bCs/>
                <w:sz w:val="22"/>
                <w:szCs w:val="22"/>
              </w:rPr>
              <w:t>No. of Responses per Respondent</w:t>
            </w:r>
          </w:p>
        </w:tc>
        <w:tc>
          <w:tcPr>
            <w:tcW w:w="607" w:type="pct"/>
            <w:shd w:val="clear" w:color="auto" w:fill="auto"/>
          </w:tcPr>
          <w:p w:rsidR="005E687C" w:rsidRPr="00B26806" w:rsidP="002840B2" w14:paraId="680D59FE" w14:textId="77777777">
            <w:pPr>
              <w:jc w:val="center"/>
              <w:rPr>
                <w:sz w:val="22"/>
                <w:szCs w:val="22"/>
              </w:rPr>
            </w:pPr>
            <w:r w:rsidRPr="00B26806">
              <w:rPr>
                <w:sz w:val="22"/>
                <w:szCs w:val="22"/>
              </w:rPr>
              <w:t>Total Annual Responses</w:t>
            </w:r>
          </w:p>
        </w:tc>
        <w:tc>
          <w:tcPr>
            <w:tcW w:w="607" w:type="pct"/>
            <w:shd w:val="clear" w:color="auto" w:fill="auto"/>
          </w:tcPr>
          <w:p w:rsidR="005E687C" w:rsidRPr="00B26806" w:rsidP="002840B2" w14:paraId="63425F1B" w14:textId="77777777">
            <w:pPr>
              <w:jc w:val="center"/>
              <w:rPr>
                <w:sz w:val="22"/>
                <w:szCs w:val="22"/>
              </w:rPr>
            </w:pPr>
            <w:r w:rsidRPr="00B26806">
              <w:rPr>
                <w:bCs/>
                <w:sz w:val="22"/>
                <w:szCs w:val="22"/>
              </w:rPr>
              <w:t>Average Burden per Response</w:t>
            </w:r>
          </w:p>
        </w:tc>
        <w:tc>
          <w:tcPr>
            <w:tcW w:w="513" w:type="pct"/>
            <w:shd w:val="clear" w:color="auto" w:fill="auto"/>
          </w:tcPr>
          <w:p w:rsidR="005E687C" w:rsidRPr="00B26806" w:rsidP="002840B2" w14:paraId="044775FD" w14:textId="77777777">
            <w:pPr>
              <w:jc w:val="center"/>
              <w:rPr>
                <w:sz w:val="22"/>
                <w:szCs w:val="22"/>
              </w:rPr>
            </w:pPr>
            <w:r w:rsidRPr="00B26806">
              <w:rPr>
                <w:sz w:val="22"/>
                <w:szCs w:val="22"/>
              </w:rPr>
              <w:t>Total Hours</w:t>
            </w:r>
          </w:p>
        </w:tc>
      </w:tr>
      <w:tr w14:paraId="0B952A5B" w14:textId="77777777" w:rsidTr="008D00DD">
        <w:tblPrEx>
          <w:tblW w:w="5072" w:type="pct"/>
          <w:tblInd w:w="-185" w:type="dxa"/>
          <w:tblLayout w:type="fixed"/>
          <w:tblLook w:val="01E0"/>
        </w:tblPrEx>
        <w:trPr>
          <w:cantSplit/>
          <w:trHeight w:val="20"/>
        </w:trPr>
        <w:tc>
          <w:tcPr>
            <w:tcW w:w="1822" w:type="pct"/>
            <w:shd w:val="clear" w:color="auto" w:fill="auto"/>
          </w:tcPr>
          <w:p w:rsidR="005E687C" w:rsidRPr="00B26806" w:rsidP="002840B2" w14:paraId="68F7E5BF" w14:textId="77777777">
            <w:pPr>
              <w:rPr>
                <w:sz w:val="22"/>
                <w:szCs w:val="22"/>
              </w:rPr>
            </w:pPr>
            <w:r w:rsidRPr="00B26806">
              <w:rPr>
                <w:sz w:val="22"/>
                <w:szCs w:val="22"/>
              </w:rPr>
              <w:t>Documenting Rationales by licensed veterinarian/pharmacist compounders in state-licensed pharmacies or Federal Facilities</w:t>
            </w:r>
          </w:p>
        </w:tc>
        <w:tc>
          <w:tcPr>
            <w:tcW w:w="748" w:type="pct"/>
            <w:shd w:val="clear" w:color="auto" w:fill="auto"/>
          </w:tcPr>
          <w:p w:rsidR="005E687C" w:rsidRPr="00B26806" w:rsidP="002840B2" w14:paraId="0935BAF0" w14:textId="77777777">
            <w:pPr>
              <w:jc w:val="right"/>
              <w:rPr>
                <w:sz w:val="22"/>
                <w:szCs w:val="22"/>
              </w:rPr>
            </w:pPr>
            <w:r w:rsidRPr="00B26806">
              <w:rPr>
                <w:sz w:val="22"/>
                <w:szCs w:val="22"/>
              </w:rPr>
              <w:t xml:space="preserve">7,500 </w:t>
            </w:r>
          </w:p>
        </w:tc>
        <w:tc>
          <w:tcPr>
            <w:tcW w:w="701" w:type="pct"/>
            <w:shd w:val="clear" w:color="auto" w:fill="auto"/>
          </w:tcPr>
          <w:p w:rsidR="005E687C" w:rsidRPr="00B26806" w:rsidP="002840B2" w14:paraId="6D5147E6" w14:textId="77777777">
            <w:pPr>
              <w:jc w:val="right"/>
              <w:rPr>
                <w:sz w:val="22"/>
                <w:szCs w:val="22"/>
              </w:rPr>
            </w:pPr>
            <w:r w:rsidRPr="00B26806">
              <w:rPr>
                <w:sz w:val="22"/>
                <w:szCs w:val="22"/>
              </w:rPr>
              <w:t>1,134</w:t>
            </w:r>
          </w:p>
        </w:tc>
        <w:tc>
          <w:tcPr>
            <w:tcW w:w="607" w:type="pct"/>
            <w:shd w:val="clear" w:color="auto" w:fill="auto"/>
          </w:tcPr>
          <w:p w:rsidR="005E687C" w:rsidRPr="00B26806" w:rsidP="002840B2" w14:paraId="62404407" w14:textId="77777777">
            <w:pPr>
              <w:jc w:val="right"/>
              <w:rPr>
                <w:sz w:val="22"/>
                <w:szCs w:val="22"/>
              </w:rPr>
            </w:pPr>
            <w:r w:rsidRPr="00B26806">
              <w:rPr>
                <w:sz w:val="22"/>
                <w:szCs w:val="22"/>
              </w:rPr>
              <w:t>8,505,000</w:t>
            </w:r>
          </w:p>
        </w:tc>
        <w:tc>
          <w:tcPr>
            <w:tcW w:w="607" w:type="pct"/>
            <w:shd w:val="clear" w:color="auto" w:fill="auto"/>
          </w:tcPr>
          <w:p w:rsidR="005E687C" w:rsidRPr="00B26806" w:rsidP="002840B2" w14:paraId="567EBBF3" w14:textId="77777777">
            <w:pPr>
              <w:pStyle w:val="NoSpacing"/>
              <w:jc w:val="right"/>
              <w:rPr>
                <w:rFonts w:ascii="Times New Roman" w:hAnsi="Times New Roman"/>
              </w:rPr>
            </w:pPr>
            <w:r w:rsidRPr="00B26806">
              <w:rPr>
                <w:rFonts w:ascii="Times New Roman" w:hAnsi="Times New Roman"/>
              </w:rPr>
              <w:t>0.017</w:t>
            </w:r>
          </w:p>
          <w:p w:rsidR="005E687C" w:rsidRPr="00B26806" w:rsidP="002840B2" w14:paraId="56FD3956" w14:textId="77777777">
            <w:pPr>
              <w:jc w:val="right"/>
              <w:rPr>
                <w:sz w:val="22"/>
                <w:szCs w:val="22"/>
              </w:rPr>
            </w:pPr>
            <w:r w:rsidRPr="00B26806">
              <w:rPr>
                <w:sz w:val="22"/>
                <w:szCs w:val="22"/>
              </w:rPr>
              <w:t>(1 minute)</w:t>
            </w:r>
          </w:p>
        </w:tc>
        <w:tc>
          <w:tcPr>
            <w:tcW w:w="513" w:type="pct"/>
            <w:shd w:val="clear" w:color="auto" w:fill="auto"/>
          </w:tcPr>
          <w:p w:rsidR="005E687C" w:rsidRPr="00B26806" w:rsidP="002840B2" w14:paraId="4B8D6CD6" w14:textId="77777777">
            <w:pPr>
              <w:jc w:val="right"/>
              <w:rPr>
                <w:sz w:val="22"/>
                <w:szCs w:val="22"/>
              </w:rPr>
            </w:pPr>
            <w:r w:rsidRPr="00B26806">
              <w:rPr>
                <w:sz w:val="22"/>
                <w:szCs w:val="22"/>
              </w:rPr>
              <w:t>144,585</w:t>
            </w:r>
          </w:p>
        </w:tc>
      </w:tr>
    </w:tbl>
    <w:p w:rsidR="000D79CC" w:rsidP="002840B2" w14:paraId="6D81EFD0" w14:textId="77777777">
      <w:pPr>
        <w:rPr>
          <w:rFonts w:eastAsia="Calibri"/>
        </w:rPr>
      </w:pPr>
    </w:p>
    <w:p w:rsidR="00EC1DF1" w14:paraId="2996431E" w14:textId="77777777">
      <w:pPr>
        <w:rPr>
          <w:rFonts w:eastAsia="Calibri"/>
          <w:i/>
          <w:iCs/>
        </w:rPr>
      </w:pPr>
      <w:r>
        <w:rPr>
          <w:rFonts w:eastAsia="Calibri"/>
          <w:i/>
          <w:iCs/>
        </w:rPr>
        <w:br w:type="page"/>
      </w:r>
    </w:p>
    <w:p w:rsidR="00B26806" w:rsidP="00D63934" w14:paraId="6202EA22" w14:textId="593A387F">
      <w:pPr>
        <w:ind w:firstLine="720"/>
        <w:rPr>
          <w:rFonts w:eastAsia="Calibri"/>
        </w:rPr>
      </w:pPr>
      <w:r w:rsidRPr="00B26806">
        <w:rPr>
          <w:rFonts w:eastAsia="Calibri"/>
          <w:i/>
          <w:iCs/>
        </w:rPr>
        <w:t>12b.  Annualized Cost Burden Estimate</w:t>
      </w:r>
    </w:p>
    <w:p w:rsidR="00D63934" w:rsidP="00D63934" w14:paraId="2BB27ACE" w14:textId="77777777">
      <w:pPr>
        <w:ind w:firstLine="720"/>
        <w:rPr>
          <w:rFonts w:eastAsia="Calibri"/>
        </w:rPr>
      </w:pPr>
    </w:p>
    <w:p w:rsidR="00B26806" w:rsidRPr="00B26806" w:rsidP="00B26806" w14:paraId="50567682" w14:textId="09A3579F">
      <w:pPr>
        <w:ind w:firstLine="720"/>
        <w:jc w:val="center"/>
        <w:rPr>
          <w:rFonts w:eastAsia="Calibri"/>
          <w:sz w:val="20"/>
          <w:szCs w:val="20"/>
        </w:rPr>
      </w:pPr>
      <w:r w:rsidRPr="00B26806">
        <w:rPr>
          <w:rFonts w:eastAsia="Calibri"/>
          <w:sz w:val="20"/>
          <w:szCs w:val="20"/>
        </w:rPr>
        <w:t>Table 2 – Estimated Annual Cost Burden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3"/>
        <w:gridCol w:w="1890"/>
        <w:gridCol w:w="1944"/>
        <w:gridCol w:w="2173"/>
      </w:tblGrid>
      <w:tr w14:paraId="7AE5F4D4" w14:textId="77777777" w:rsidTr="00B26806">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353" w:type="dxa"/>
            <w:shd w:val="clear" w:color="auto" w:fill="auto"/>
          </w:tcPr>
          <w:p w:rsidR="00734A54" w:rsidRPr="00734A54" w:rsidP="002840B2" w14:paraId="426B72D0" w14:textId="77777777">
            <w:pPr>
              <w:rPr>
                <w:rFonts w:eastAsia="Calibri"/>
              </w:rPr>
            </w:pPr>
            <w:r w:rsidRPr="00734A54">
              <w:rPr>
                <w:rFonts w:eastAsia="Calibri"/>
              </w:rPr>
              <w:t>Type of Respondent</w:t>
            </w:r>
          </w:p>
        </w:tc>
        <w:tc>
          <w:tcPr>
            <w:tcW w:w="1890" w:type="dxa"/>
            <w:shd w:val="clear" w:color="auto" w:fill="auto"/>
          </w:tcPr>
          <w:p w:rsidR="00734A54" w:rsidRPr="00734A54" w:rsidP="002840B2" w14:paraId="2F206523" w14:textId="77777777">
            <w:pPr>
              <w:rPr>
                <w:rFonts w:eastAsia="Calibri"/>
              </w:rPr>
            </w:pPr>
            <w:r w:rsidRPr="00734A54">
              <w:rPr>
                <w:rFonts w:eastAsia="Calibri"/>
              </w:rPr>
              <w:t>Total Burden Hours</w:t>
            </w:r>
          </w:p>
        </w:tc>
        <w:tc>
          <w:tcPr>
            <w:tcW w:w="1944" w:type="dxa"/>
            <w:shd w:val="clear" w:color="auto" w:fill="auto"/>
          </w:tcPr>
          <w:p w:rsidR="00734A54" w:rsidRPr="00734A54" w:rsidP="002840B2" w14:paraId="08D4C5D0" w14:textId="77777777">
            <w:pPr>
              <w:rPr>
                <w:rFonts w:eastAsia="Calibri"/>
              </w:rPr>
            </w:pPr>
            <w:r w:rsidRPr="00734A54">
              <w:rPr>
                <w:rFonts w:eastAsia="Calibri"/>
              </w:rPr>
              <w:t>Hourly Wage Rate</w:t>
            </w:r>
          </w:p>
        </w:tc>
        <w:tc>
          <w:tcPr>
            <w:tcW w:w="2173" w:type="dxa"/>
            <w:shd w:val="clear" w:color="auto" w:fill="auto"/>
          </w:tcPr>
          <w:p w:rsidR="00734A54" w:rsidRPr="00734A54" w:rsidP="002840B2" w14:paraId="65B564B9" w14:textId="77777777">
            <w:pPr>
              <w:rPr>
                <w:rFonts w:eastAsia="Calibri"/>
              </w:rPr>
            </w:pPr>
            <w:r w:rsidRPr="00734A54">
              <w:rPr>
                <w:rFonts w:eastAsia="Calibri"/>
              </w:rPr>
              <w:t>Total Respondent Costs</w:t>
            </w:r>
          </w:p>
        </w:tc>
      </w:tr>
      <w:tr w14:paraId="2026220C" w14:textId="77777777" w:rsidTr="00B26806">
        <w:tblPrEx>
          <w:tblW w:w="0" w:type="auto"/>
          <w:tblInd w:w="-5" w:type="dxa"/>
          <w:tblLook w:val="01E0"/>
        </w:tblPrEx>
        <w:tc>
          <w:tcPr>
            <w:tcW w:w="3353" w:type="dxa"/>
            <w:shd w:val="clear" w:color="auto" w:fill="auto"/>
          </w:tcPr>
          <w:p w:rsidR="00734A54" w:rsidRPr="00734A54" w:rsidP="002840B2" w14:paraId="62EE713C" w14:textId="77777777">
            <w:pPr>
              <w:rPr>
                <w:rFonts w:eastAsia="Calibri"/>
                <w:vertAlign w:val="superscript"/>
              </w:rPr>
            </w:pPr>
            <w:r w:rsidRPr="00734A54">
              <w:rPr>
                <w:rFonts w:eastAsia="Calibri"/>
              </w:rPr>
              <w:t>Pharmacist Compounder</w:t>
            </w:r>
            <w:r w:rsidRPr="00734A54">
              <w:rPr>
                <w:rFonts w:eastAsia="Calibri"/>
                <w:vertAlign w:val="superscript"/>
              </w:rPr>
              <w:t>1,2</w:t>
            </w:r>
          </w:p>
        </w:tc>
        <w:tc>
          <w:tcPr>
            <w:tcW w:w="1890" w:type="dxa"/>
            <w:shd w:val="clear" w:color="auto" w:fill="auto"/>
          </w:tcPr>
          <w:p w:rsidR="00734A54" w:rsidRPr="00734A54" w:rsidP="002840B2" w14:paraId="707AED53" w14:textId="77777777">
            <w:pPr>
              <w:rPr>
                <w:rFonts w:eastAsia="Calibri"/>
              </w:rPr>
            </w:pPr>
            <w:r w:rsidRPr="00734A54">
              <w:rPr>
                <w:rFonts w:eastAsia="Calibri"/>
              </w:rPr>
              <w:t>144,585</w:t>
            </w:r>
          </w:p>
        </w:tc>
        <w:tc>
          <w:tcPr>
            <w:tcW w:w="1944" w:type="dxa"/>
            <w:shd w:val="clear" w:color="auto" w:fill="auto"/>
          </w:tcPr>
          <w:p w:rsidR="00734A54" w:rsidRPr="00734A54" w:rsidP="002840B2" w14:paraId="36EF83E3" w14:textId="77777777">
            <w:pPr>
              <w:rPr>
                <w:rFonts w:eastAsia="Calibri"/>
              </w:rPr>
            </w:pPr>
            <w:r w:rsidRPr="00734A54">
              <w:rPr>
                <w:rFonts w:eastAsia="Calibri"/>
              </w:rPr>
              <w:t>$</w:t>
            </w:r>
            <w:r>
              <w:rPr>
                <w:rFonts w:eastAsia="Calibri"/>
              </w:rPr>
              <w:t>84.25</w:t>
            </w:r>
          </w:p>
        </w:tc>
        <w:tc>
          <w:tcPr>
            <w:tcW w:w="2173" w:type="dxa"/>
            <w:shd w:val="clear" w:color="auto" w:fill="auto"/>
          </w:tcPr>
          <w:p w:rsidR="00734A54" w:rsidRPr="00734A54" w:rsidP="002840B2" w14:paraId="1DA36353" w14:textId="77777777">
            <w:pPr>
              <w:rPr>
                <w:rFonts w:eastAsia="Calibri"/>
              </w:rPr>
            </w:pPr>
            <w:r w:rsidRPr="00734A54">
              <w:rPr>
                <w:rFonts w:eastAsia="Calibri"/>
              </w:rPr>
              <w:t>$1</w:t>
            </w:r>
            <w:r>
              <w:rPr>
                <w:rFonts w:eastAsia="Calibri"/>
              </w:rPr>
              <w:t>2</w:t>
            </w:r>
            <w:r w:rsidRPr="00734A54">
              <w:rPr>
                <w:rFonts w:eastAsia="Calibri"/>
              </w:rPr>
              <w:t>,</w:t>
            </w:r>
            <w:r>
              <w:rPr>
                <w:rFonts w:eastAsia="Calibri"/>
              </w:rPr>
              <w:t>181</w:t>
            </w:r>
            <w:r w:rsidRPr="00734A54">
              <w:rPr>
                <w:rFonts w:eastAsia="Calibri"/>
              </w:rPr>
              <w:t>,</w:t>
            </w:r>
            <w:r>
              <w:rPr>
                <w:rFonts w:eastAsia="Calibri"/>
              </w:rPr>
              <w:t>286</w:t>
            </w:r>
            <w:r w:rsidRPr="00734A54">
              <w:rPr>
                <w:rFonts w:eastAsia="Calibri"/>
              </w:rPr>
              <w:t>.</w:t>
            </w:r>
            <w:r>
              <w:rPr>
                <w:rFonts w:eastAsia="Calibri"/>
              </w:rPr>
              <w:t>2</w:t>
            </w:r>
            <w:r w:rsidRPr="00734A54">
              <w:rPr>
                <w:rFonts w:eastAsia="Calibri"/>
              </w:rPr>
              <w:t>5</w:t>
            </w:r>
          </w:p>
        </w:tc>
      </w:tr>
    </w:tbl>
    <w:p w:rsidR="00734A54" w:rsidRPr="00D8351C" w:rsidP="002840B2" w14:paraId="71F4F75B" w14:textId="77777777">
      <w:pPr>
        <w:rPr>
          <w:rFonts w:eastAsia="Calibri"/>
          <w:sz w:val="20"/>
          <w:szCs w:val="20"/>
        </w:rPr>
      </w:pPr>
      <w:r w:rsidRPr="00D8351C">
        <w:rPr>
          <w:rFonts w:eastAsia="Calibri"/>
          <w:sz w:val="20"/>
          <w:szCs w:val="20"/>
          <w:vertAlign w:val="superscript"/>
        </w:rPr>
        <w:t>1</w:t>
      </w:r>
      <w:r w:rsidRPr="00D8351C">
        <w:rPr>
          <w:rFonts w:eastAsia="Calibri"/>
          <w:sz w:val="20"/>
          <w:szCs w:val="20"/>
        </w:rPr>
        <w:t>May 2023 National Industry-Specific Occupational Employment and Wage Estimates, Bureau of Labor Statistics  and including 30% for benefits  (</w:t>
      </w:r>
      <w:hyperlink r:id="rId6" w:history="1">
        <w:r w:rsidRPr="00D8351C">
          <w:rPr>
            <w:rStyle w:val="Hyperlink"/>
            <w:rFonts w:eastAsia="Calibri"/>
            <w:sz w:val="20"/>
            <w:szCs w:val="20"/>
          </w:rPr>
          <w:t>https://www.bls.gov/oes/current/oes291051.htm</w:t>
        </w:r>
      </w:hyperlink>
      <w:r w:rsidRPr="00D8351C">
        <w:rPr>
          <w:rFonts w:eastAsia="Calibri"/>
          <w:sz w:val="20"/>
          <w:szCs w:val="20"/>
        </w:rPr>
        <w:t>)</w:t>
      </w:r>
    </w:p>
    <w:p w:rsidR="00A707CC" w:rsidRPr="00EC1DF1" w:rsidP="002840B2" w14:paraId="00EF8CD3" w14:textId="36C6C773">
      <w:pPr>
        <w:rPr>
          <w:rFonts w:eastAsia="Calibri"/>
          <w:sz w:val="20"/>
          <w:szCs w:val="20"/>
        </w:rPr>
      </w:pPr>
      <w:r w:rsidRPr="00D8351C">
        <w:rPr>
          <w:rFonts w:eastAsia="Calibri"/>
          <w:sz w:val="20"/>
          <w:szCs w:val="20"/>
          <w:vertAlign w:val="superscript"/>
        </w:rPr>
        <w:t xml:space="preserve">2 </w:t>
      </w:r>
      <w:r w:rsidRPr="00D8351C">
        <w:rPr>
          <w:rFonts w:eastAsia="Calibri"/>
          <w:sz w:val="20"/>
          <w:szCs w:val="20"/>
        </w:rPr>
        <w:t>We currently do not have data regarding the number of veterinarians who compound drugs.</w:t>
      </w:r>
    </w:p>
    <w:p w:rsidR="00357C8A" w:rsidRPr="00357C8A" w:rsidP="002840B2" w14:paraId="00FA1CAD" w14:textId="77777777">
      <w:pPr>
        <w:rPr>
          <w:rFonts w:eastAsia="Calibri"/>
        </w:rPr>
      </w:pPr>
    </w:p>
    <w:p w:rsidR="00357C8A" w:rsidRPr="00357C8A" w:rsidP="002840B2" w14:paraId="162AB7CC" w14:textId="77777777">
      <w:pPr>
        <w:numPr>
          <w:ilvl w:val="0"/>
          <w:numId w:val="6"/>
        </w:numPr>
        <w:spacing w:line="276" w:lineRule="auto"/>
        <w:ind w:left="0"/>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8D00DD" w:rsidP="002840B2" w14:paraId="6006CD08" w14:textId="77777777">
      <w:pPr>
        <w:autoSpaceDE w:val="0"/>
        <w:autoSpaceDN w:val="0"/>
        <w:adjustRightInd w:val="0"/>
      </w:pPr>
    </w:p>
    <w:p w:rsidR="00A707CC" w:rsidP="002840B2" w14:paraId="7FD9CCC1" w14:textId="71D052D6">
      <w:pPr>
        <w:autoSpaceDE w:val="0"/>
        <w:autoSpaceDN w:val="0"/>
        <w:adjustRightInd w:val="0"/>
      </w:pPr>
      <w:r w:rsidRPr="00734A54">
        <w:t>There are no capital, start-up, operating, or maintenance costs associated with this information collection.</w:t>
      </w:r>
    </w:p>
    <w:p w:rsidR="00734A54" w:rsidRPr="00734A54" w:rsidP="002840B2" w14:paraId="61911025" w14:textId="77777777">
      <w:pPr>
        <w:autoSpaceDE w:val="0"/>
        <w:autoSpaceDN w:val="0"/>
        <w:adjustRightInd w:val="0"/>
      </w:pPr>
    </w:p>
    <w:p w:rsidR="00357C8A" w:rsidRPr="00357C8A" w:rsidP="002840B2" w14:paraId="15253FA0" w14:textId="77777777">
      <w:pPr>
        <w:numPr>
          <w:ilvl w:val="0"/>
          <w:numId w:val="6"/>
        </w:numPr>
        <w:spacing w:line="276" w:lineRule="auto"/>
        <w:ind w:left="0"/>
        <w:rPr>
          <w:rFonts w:eastAsia="Calibri"/>
          <w:u w:val="single"/>
        </w:rPr>
      </w:pPr>
      <w:r w:rsidRPr="00357C8A">
        <w:rPr>
          <w:rFonts w:eastAsia="Calibri"/>
          <w:u w:val="single"/>
        </w:rPr>
        <w:t>Annualized Cost to the Federal Government</w:t>
      </w:r>
    </w:p>
    <w:p w:rsidR="00B26806" w:rsidP="002840B2" w14:paraId="381A878F" w14:textId="77777777">
      <w:bookmarkStart w:id="0" w:name="_Hlk188538670"/>
    </w:p>
    <w:p w:rsidR="00D63934" w:rsidRPr="00D63934" w:rsidP="002840B2" w14:paraId="381C95B6" w14:textId="48446A93">
      <w:pPr>
        <w:rPr>
          <w:bCs/>
        </w:rPr>
      </w:pPr>
      <w:r w:rsidRPr="000958D1">
        <w:t xml:space="preserve">We estimate the annualized cost to the Federal Government to be $13,566.  We estimate that we spend 200 hours annually reviewing rationales as part of pharmacy inspections.  We estimate the average hourly wage for personnel to review rationales as part of a pharmacy inspection </w:t>
      </w:r>
      <w:r w:rsidRPr="000958D1">
        <w:rPr>
          <w:bCs/>
        </w:rPr>
        <w:t xml:space="preserve">at the 2024 </w:t>
      </w:r>
      <w:r w:rsidRPr="000958D1">
        <w:t>OPM wage rates for a GS-13- Step 7 employee in the Washington-Baltimore-Arlington, DC-MD-VA-WV-PA area</w:t>
      </w:r>
      <w:r w:rsidRPr="000958D1">
        <w:rPr>
          <w:bCs/>
        </w:rPr>
        <w:t>, to be approximately $</w:t>
      </w:r>
      <w:r w:rsidRPr="000958D1">
        <w:t>67.83</w:t>
      </w:r>
      <w:r w:rsidRPr="000958D1">
        <w:rPr>
          <w:bCs/>
        </w:rPr>
        <w:t xml:space="preserve">/hour.  Thus, the estimated annualized cost </w:t>
      </w:r>
      <w:r w:rsidRPr="000958D1">
        <w:t xml:space="preserve">to the Federal government </w:t>
      </w:r>
      <w:r w:rsidRPr="000958D1">
        <w:rPr>
          <w:bCs/>
        </w:rPr>
        <w:t>is $</w:t>
      </w:r>
      <w:r w:rsidRPr="000958D1">
        <w:t xml:space="preserve">13,566 </w:t>
      </w:r>
      <w:r w:rsidRPr="000958D1">
        <w:rPr>
          <w:bCs/>
        </w:rPr>
        <w:t>(200 hours x $</w:t>
      </w:r>
      <w:r w:rsidRPr="000958D1">
        <w:t>67.83</w:t>
      </w:r>
      <w:r w:rsidRPr="000958D1">
        <w:rPr>
          <w:bCs/>
        </w:rPr>
        <w:t>/hour = $13,566</w:t>
      </w:r>
      <w:bookmarkEnd w:id="0"/>
      <w:r w:rsidR="00221F6E">
        <w:rPr>
          <w:bCs/>
        </w:rPr>
        <w:t>).</w:t>
      </w:r>
    </w:p>
    <w:p w:rsidR="00357C8A" w:rsidRPr="00B26806" w:rsidP="002840B2" w14:paraId="030E9F52" w14:textId="41F6E784">
      <w:pPr>
        <w:rPr>
          <w:sz w:val="22"/>
          <w:szCs w:val="22"/>
        </w:rPr>
      </w:pPr>
      <w:r w:rsidRPr="00357C8A">
        <w:rPr>
          <w:rFonts w:eastAsia="Calibri"/>
        </w:rPr>
        <w:t xml:space="preserve"> </w:t>
      </w:r>
    </w:p>
    <w:p w:rsidR="00357C8A" w:rsidP="002840B2" w14:paraId="6302C1FD" w14:textId="3292C90A">
      <w:pPr>
        <w:numPr>
          <w:ilvl w:val="0"/>
          <w:numId w:val="6"/>
        </w:numPr>
        <w:spacing w:line="276" w:lineRule="auto"/>
        <w:ind w:left="0"/>
        <w:rPr>
          <w:rFonts w:eastAsia="Calibri"/>
          <w:u w:val="single"/>
        </w:rPr>
      </w:pPr>
      <w:r w:rsidRPr="00357C8A">
        <w:rPr>
          <w:rFonts w:eastAsia="Calibri"/>
          <w:u w:val="single"/>
        </w:rPr>
        <w:t>Explanation for Program Changes or Adjustments</w:t>
      </w:r>
    </w:p>
    <w:p w:rsidR="00D63934" w:rsidP="002840B2" w14:paraId="1083C0E9" w14:textId="77777777">
      <w:pPr>
        <w:rPr>
          <w:rFonts w:eastAsia="Calibri"/>
        </w:rPr>
      </w:pPr>
    </w:p>
    <w:p w:rsidR="00D63934" w:rsidP="002840B2" w14:paraId="03CB8AA7" w14:textId="305C679F">
      <w:pPr>
        <w:rPr>
          <w:rFonts w:eastAsia="Calibri"/>
        </w:rPr>
      </w:pPr>
      <w:r>
        <w:rPr>
          <w:rFonts w:eastAsia="Calibri"/>
        </w:rPr>
        <w:t>We have made</w:t>
      </w:r>
      <w:r w:rsidR="00D8351C">
        <w:rPr>
          <w:rFonts w:eastAsia="Calibri"/>
        </w:rPr>
        <w:t xml:space="preserve"> no changes </w:t>
      </w:r>
      <w:r>
        <w:rPr>
          <w:rFonts w:eastAsia="Calibri"/>
        </w:rPr>
        <w:t xml:space="preserve">or adjustments </w:t>
      </w:r>
      <w:r w:rsidR="00D8351C">
        <w:rPr>
          <w:rFonts w:eastAsia="Calibri"/>
        </w:rPr>
        <w:t>to the information collection</w:t>
      </w:r>
      <w:r>
        <w:rPr>
          <w:rFonts w:eastAsia="Calibri"/>
        </w:rPr>
        <w:t>.</w:t>
      </w:r>
    </w:p>
    <w:p w:rsidR="00357C8A" w:rsidRPr="00357C8A" w:rsidP="002840B2" w14:paraId="7BD8DF66" w14:textId="4E1481FC">
      <w:pPr>
        <w:rPr>
          <w:rFonts w:eastAsia="Calibri"/>
        </w:rPr>
      </w:pPr>
      <w:r>
        <w:rPr>
          <w:rFonts w:eastAsia="Calibri"/>
        </w:rPr>
        <w:t xml:space="preserve"> </w:t>
      </w:r>
    </w:p>
    <w:p w:rsidR="00357C8A" w:rsidRPr="00357C8A" w:rsidP="002840B2" w14:paraId="49FF50C1" w14:textId="77777777">
      <w:pPr>
        <w:numPr>
          <w:ilvl w:val="0"/>
          <w:numId w:val="6"/>
        </w:numPr>
        <w:spacing w:line="276" w:lineRule="auto"/>
        <w:ind w:left="0"/>
        <w:rPr>
          <w:rFonts w:eastAsia="Calibri"/>
          <w:u w:val="single"/>
        </w:rPr>
      </w:pPr>
      <w:r w:rsidRPr="00357C8A">
        <w:rPr>
          <w:rFonts w:eastAsia="Calibri"/>
          <w:u w:val="single"/>
        </w:rPr>
        <w:t>Plans for Tabulation and Publication and Project Time Schedule</w:t>
      </w:r>
    </w:p>
    <w:p w:rsidR="00D63934" w:rsidP="002840B2" w14:paraId="0ACF883F" w14:textId="77777777">
      <w:pPr>
        <w:rPr>
          <w:rFonts w:eastAsia="Calibri"/>
        </w:rPr>
      </w:pPr>
    </w:p>
    <w:p w:rsidR="00357C8A" w:rsidP="002840B2" w14:paraId="62C9C9F6" w14:textId="298C6A1C">
      <w:pPr>
        <w:rPr>
          <w:rFonts w:eastAsia="Calibri"/>
        </w:rPr>
      </w:pPr>
      <w:r w:rsidRPr="005C71CA">
        <w:rPr>
          <w:rFonts w:eastAsia="Calibri"/>
        </w:rPr>
        <w:t>This information collected will not be published or tabulated.</w:t>
      </w:r>
    </w:p>
    <w:p w:rsidR="00D63934" w:rsidRPr="00734A54" w:rsidP="002840B2" w14:paraId="0169ACBD" w14:textId="77777777">
      <w:pPr>
        <w:rPr>
          <w:rFonts w:eastAsia="Calibri"/>
        </w:rPr>
      </w:pPr>
    </w:p>
    <w:p w:rsidR="00357C8A" w:rsidRPr="00357C8A" w:rsidP="002840B2" w14:paraId="7255D800" w14:textId="53EB96F5">
      <w:pPr>
        <w:numPr>
          <w:ilvl w:val="0"/>
          <w:numId w:val="6"/>
        </w:numPr>
        <w:spacing w:line="276" w:lineRule="auto"/>
        <w:ind w:left="0"/>
        <w:rPr>
          <w:rFonts w:eastAsia="Calibri"/>
          <w:u w:val="single"/>
        </w:rPr>
      </w:pPr>
      <w:r w:rsidRPr="00357C8A">
        <w:rPr>
          <w:rFonts w:eastAsia="Calibri"/>
          <w:u w:val="single"/>
        </w:rPr>
        <w:t>Reason(s) Display of OMB Expiration Date is Inappropriate</w:t>
      </w:r>
    </w:p>
    <w:p w:rsidR="00D63934" w:rsidP="002840B2" w14:paraId="66B26AA5" w14:textId="77777777">
      <w:pPr>
        <w:rPr>
          <w:rFonts w:eastAsia="Calibri"/>
        </w:rPr>
      </w:pPr>
    </w:p>
    <w:p w:rsidR="00744525" w:rsidP="002840B2" w14:paraId="624C7EF2" w14:textId="3B22939E">
      <w:pPr>
        <w:rPr>
          <w:rFonts w:eastAsia="Calibri"/>
        </w:rPr>
      </w:pPr>
      <w:r w:rsidRPr="00744525">
        <w:rPr>
          <w:rFonts w:eastAsia="Calibri"/>
        </w:rPr>
        <w:t xml:space="preserve">Consistent with established practice FDA will publish a </w:t>
      </w:r>
      <w:r w:rsidRPr="00744525">
        <w:rPr>
          <w:rFonts w:eastAsia="Calibri"/>
          <w:i/>
          <w:iCs/>
        </w:rPr>
        <w:t>Federal Register</w:t>
      </w:r>
      <w:r w:rsidRPr="00744525">
        <w:rPr>
          <w:rFonts w:eastAsia="Calibri"/>
        </w:rPr>
        <w:t xml:space="preserve"> notice announcing OMB approval of the information collection associated with this guidance document and will display in that notice both the OMB control number and its current expiration date.</w:t>
      </w:r>
      <w:r w:rsidR="00221F6E">
        <w:rPr>
          <w:rFonts w:eastAsia="Calibri"/>
        </w:rPr>
        <w:t xml:space="preserve">  </w:t>
      </w:r>
      <w:r w:rsidRPr="00744525">
        <w:rPr>
          <w:rFonts w:eastAsia="Calibri"/>
        </w:rPr>
        <w:t>In addition, the OMB control number will be displayed on the guidance document cover page and include a link to www.reginfo.gov to identify the current expiration date.</w:t>
      </w:r>
    </w:p>
    <w:p w:rsidR="00EC1DF1" w:rsidRPr="00357C8A" w:rsidP="002840B2" w14:paraId="73927B9E" w14:textId="77777777">
      <w:pPr>
        <w:rPr>
          <w:rFonts w:eastAsia="Calibri"/>
        </w:rPr>
      </w:pPr>
    </w:p>
    <w:p w:rsidR="00357C8A" w:rsidRPr="00357C8A" w:rsidP="002840B2" w14:paraId="2BAEE900" w14:textId="77777777">
      <w:pPr>
        <w:numPr>
          <w:ilvl w:val="0"/>
          <w:numId w:val="6"/>
        </w:numPr>
        <w:spacing w:line="276" w:lineRule="auto"/>
        <w:ind w:left="0"/>
        <w:rPr>
          <w:rFonts w:eastAsia="Calibri"/>
          <w:u w:val="single"/>
        </w:rPr>
      </w:pPr>
      <w:r w:rsidRPr="00357C8A">
        <w:rPr>
          <w:rFonts w:eastAsia="Calibri"/>
          <w:u w:val="single"/>
        </w:rPr>
        <w:t>Exceptions to Certification for Paperwork Reduction Act Submissions</w:t>
      </w:r>
    </w:p>
    <w:p w:rsidR="00EC1DF1" w:rsidP="002840B2" w14:paraId="0F3E858F" w14:textId="77777777">
      <w:pPr>
        <w:rPr>
          <w:rFonts w:eastAsia="Calibri"/>
        </w:rPr>
      </w:pPr>
    </w:p>
    <w:p w:rsidR="007E59A8" w:rsidP="002840B2" w14:paraId="702D6BBB" w14:textId="559D5123">
      <w:pPr>
        <w:rPr>
          <w:rFonts w:eastAsia="Calibri"/>
        </w:rPr>
      </w:pPr>
      <w:r w:rsidRPr="007E59A8">
        <w:rPr>
          <w:rFonts w:eastAsia="Calibri"/>
        </w:rPr>
        <w:t>There are no exceptions to the certification</w:t>
      </w:r>
      <w:r>
        <w:rPr>
          <w:rFonts w:eastAsia="Calibri"/>
        </w:rPr>
        <w:t>.</w:t>
      </w:r>
    </w:p>
    <w:sectPr w:rsidSect="002840B2">
      <w:footerReference w:type="even" r:id="rId7"/>
      <w:footerReference w:type="default" r:id="rId8"/>
      <w:pgSz w:w="12240" w:h="15840" w:code="1"/>
      <w:pgMar w:top="1440" w:right="1296"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6B5FCE1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557351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78280B6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3349A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B4280" w14:paraId="7D264ABF" w14:textId="77777777">
      <w:r>
        <w:separator/>
      </w:r>
    </w:p>
  </w:footnote>
  <w:footnote w:type="continuationSeparator" w:id="1">
    <w:p w:rsidR="007B4280" w14:paraId="61BFAFEF" w14:textId="77777777">
      <w:r>
        <w:continuationSeparator/>
      </w:r>
    </w:p>
  </w:footnote>
  <w:footnote w:id="2">
    <w:p w:rsidR="00091DC9" w:rsidRPr="004E5EE7" w:rsidP="00091DC9" w14:paraId="17D79FEC" w14:textId="77777777">
      <w:pPr>
        <w:spacing w:after="120"/>
        <w:rPr>
          <w:sz w:val="20"/>
          <w:szCs w:val="20"/>
        </w:rPr>
      </w:pPr>
      <w:r w:rsidRPr="004E5EE7">
        <w:rPr>
          <w:rStyle w:val="FootnoteReference"/>
          <w:sz w:val="20"/>
          <w:szCs w:val="20"/>
        </w:rPr>
        <w:footnoteRef/>
      </w:r>
      <w:r w:rsidRPr="004E5EE7">
        <w:rPr>
          <w:sz w:val="20"/>
          <w:szCs w:val="20"/>
        </w:rPr>
        <w:t xml:space="preserve"> A valid VCPR is a relationship in which, among other things, the veterinarian: (1) has assumed responsibility for making medical judgments concerning the health of the animal patient and the need for medical treatment; (2) is familiar enough with the animal patient to make a general diagnosis of the medical condition; and (3) is readily available for follow-up should an adverse reaction occur or the prescribed therapy is not effective. For a complete definition of VCPR, see 21 CFR 530.3(i).</w:t>
      </w:r>
    </w:p>
  </w:footnote>
  <w:footnote w:id="3">
    <w:p w:rsidR="00091DC9" w:rsidRPr="004E5EE7" w:rsidP="00091DC9" w14:paraId="461EE5D1" w14:textId="77777777">
      <w:pPr>
        <w:pStyle w:val="FootnoteText"/>
        <w:spacing w:after="120"/>
      </w:pPr>
      <w:r w:rsidRPr="004E5EE7">
        <w:rPr>
          <w:rStyle w:val="FootnoteReference"/>
        </w:rPr>
        <w:footnoteRef/>
      </w:r>
      <w:r w:rsidRPr="004E5EE7">
        <w:t xml:space="preserve"> Unless explicitly limited to “animal drugs,” the term “FDA-approved drugs” includes FDA-approved human drugs, FDA-approved animal drugs, conditionally approved animal drugs, and licensed human biologics.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40523595">
    <w:abstractNumId w:val="5"/>
  </w:num>
  <w:num w:numId="2" w16cid:durableId="404307647">
    <w:abstractNumId w:val="1"/>
  </w:num>
  <w:num w:numId="3" w16cid:durableId="1885407382">
    <w:abstractNumId w:val="6"/>
  </w:num>
  <w:num w:numId="4" w16cid:durableId="116072377">
    <w:abstractNumId w:val="3"/>
  </w:num>
  <w:num w:numId="5" w16cid:durableId="754322394">
    <w:abstractNumId w:val="7"/>
  </w:num>
  <w:num w:numId="6" w16cid:durableId="1437553275">
    <w:abstractNumId w:val="0"/>
  </w:num>
  <w:num w:numId="7" w16cid:durableId="271714674">
    <w:abstractNumId w:val="2"/>
  </w:num>
  <w:num w:numId="8" w16cid:durableId="210403357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15D7B"/>
    <w:rsid w:val="000161E3"/>
    <w:rsid w:val="00031A2C"/>
    <w:rsid w:val="00042B93"/>
    <w:rsid w:val="00043C7F"/>
    <w:rsid w:val="000467A8"/>
    <w:rsid w:val="0006570F"/>
    <w:rsid w:val="00075DE8"/>
    <w:rsid w:val="00087439"/>
    <w:rsid w:val="00091DC9"/>
    <w:rsid w:val="000958D1"/>
    <w:rsid w:val="000C1260"/>
    <w:rsid w:val="000C560C"/>
    <w:rsid w:val="000D080B"/>
    <w:rsid w:val="000D48FD"/>
    <w:rsid w:val="000D79CC"/>
    <w:rsid w:val="000E1C64"/>
    <w:rsid w:val="000F7119"/>
    <w:rsid w:val="00100739"/>
    <w:rsid w:val="0010493E"/>
    <w:rsid w:val="001075D3"/>
    <w:rsid w:val="00107885"/>
    <w:rsid w:val="00114FC4"/>
    <w:rsid w:val="0012329C"/>
    <w:rsid w:val="00134FA7"/>
    <w:rsid w:val="00137950"/>
    <w:rsid w:val="00140762"/>
    <w:rsid w:val="00144749"/>
    <w:rsid w:val="00152F29"/>
    <w:rsid w:val="00174D54"/>
    <w:rsid w:val="0017702C"/>
    <w:rsid w:val="00185270"/>
    <w:rsid w:val="001A3B5A"/>
    <w:rsid w:val="001A458C"/>
    <w:rsid w:val="001B7CE9"/>
    <w:rsid w:val="001D495A"/>
    <w:rsid w:val="001E244C"/>
    <w:rsid w:val="001F1437"/>
    <w:rsid w:val="00200E42"/>
    <w:rsid w:val="002017F8"/>
    <w:rsid w:val="00206799"/>
    <w:rsid w:val="002074FE"/>
    <w:rsid w:val="00221F6E"/>
    <w:rsid w:val="0022425B"/>
    <w:rsid w:val="002259EF"/>
    <w:rsid w:val="00242ED1"/>
    <w:rsid w:val="002444BB"/>
    <w:rsid w:val="00254069"/>
    <w:rsid w:val="00270748"/>
    <w:rsid w:val="002734E5"/>
    <w:rsid w:val="002746DB"/>
    <w:rsid w:val="00280CAF"/>
    <w:rsid w:val="00282F09"/>
    <w:rsid w:val="002840B2"/>
    <w:rsid w:val="00291810"/>
    <w:rsid w:val="00294D62"/>
    <w:rsid w:val="00297532"/>
    <w:rsid w:val="00297FFD"/>
    <w:rsid w:val="002A1210"/>
    <w:rsid w:val="002A47D2"/>
    <w:rsid w:val="002A7FB5"/>
    <w:rsid w:val="002B2074"/>
    <w:rsid w:val="002D14D8"/>
    <w:rsid w:val="002D4799"/>
    <w:rsid w:val="002E3FA4"/>
    <w:rsid w:val="002E53A5"/>
    <w:rsid w:val="002E64B8"/>
    <w:rsid w:val="002E6834"/>
    <w:rsid w:val="003113FF"/>
    <w:rsid w:val="00312622"/>
    <w:rsid w:val="0032277F"/>
    <w:rsid w:val="00336B69"/>
    <w:rsid w:val="0034302B"/>
    <w:rsid w:val="00350523"/>
    <w:rsid w:val="0035189D"/>
    <w:rsid w:val="00355B62"/>
    <w:rsid w:val="00357C8A"/>
    <w:rsid w:val="003740BC"/>
    <w:rsid w:val="0037456B"/>
    <w:rsid w:val="003801A3"/>
    <w:rsid w:val="00383D90"/>
    <w:rsid w:val="003870AE"/>
    <w:rsid w:val="003939AB"/>
    <w:rsid w:val="003A1A27"/>
    <w:rsid w:val="003A50CC"/>
    <w:rsid w:val="003B42B3"/>
    <w:rsid w:val="003B6384"/>
    <w:rsid w:val="003C0FE2"/>
    <w:rsid w:val="003C4EBB"/>
    <w:rsid w:val="003D1531"/>
    <w:rsid w:val="003E4EC6"/>
    <w:rsid w:val="003E527E"/>
    <w:rsid w:val="003E553E"/>
    <w:rsid w:val="003E7078"/>
    <w:rsid w:val="003F3DF5"/>
    <w:rsid w:val="003F73B8"/>
    <w:rsid w:val="0040297E"/>
    <w:rsid w:val="00411D11"/>
    <w:rsid w:val="00414494"/>
    <w:rsid w:val="00415E23"/>
    <w:rsid w:val="0041670D"/>
    <w:rsid w:val="00423272"/>
    <w:rsid w:val="00424061"/>
    <w:rsid w:val="00442A3C"/>
    <w:rsid w:val="00443969"/>
    <w:rsid w:val="00447D74"/>
    <w:rsid w:val="00450A74"/>
    <w:rsid w:val="004546BF"/>
    <w:rsid w:val="0046004E"/>
    <w:rsid w:val="00465350"/>
    <w:rsid w:val="00476B91"/>
    <w:rsid w:val="004846BF"/>
    <w:rsid w:val="00490670"/>
    <w:rsid w:val="00494912"/>
    <w:rsid w:val="004A5323"/>
    <w:rsid w:val="004A5A99"/>
    <w:rsid w:val="004C4C73"/>
    <w:rsid w:val="004C6979"/>
    <w:rsid w:val="004D13A2"/>
    <w:rsid w:val="004D3E7A"/>
    <w:rsid w:val="004E5EE7"/>
    <w:rsid w:val="004F594B"/>
    <w:rsid w:val="004F61E1"/>
    <w:rsid w:val="0053380B"/>
    <w:rsid w:val="00543194"/>
    <w:rsid w:val="00544138"/>
    <w:rsid w:val="00554E34"/>
    <w:rsid w:val="00584583"/>
    <w:rsid w:val="00590E90"/>
    <w:rsid w:val="00590EEB"/>
    <w:rsid w:val="005A4099"/>
    <w:rsid w:val="005C38B2"/>
    <w:rsid w:val="005C5029"/>
    <w:rsid w:val="005C55C2"/>
    <w:rsid w:val="005C71CA"/>
    <w:rsid w:val="005C745C"/>
    <w:rsid w:val="005D4DF5"/>
    <w:rsid w:val="005E42BA"/>
    <w:rsid w:val="005E687C"/>
    <w:rsid w:val="00611D6B"/>
    <w:rsid w:val="00625CFD"/>
    <w:rsid w:val="006326EC"/>
    <w:rsid w:val="00663A42"/>
    <w:rsid w:val="006641C7"/>
    <w:rsid w:val="006705EA"/>
    <w:rsid w:val="00670BE2"/>
    <w:rsid w:val="00681FB2"/>
    <w:rsid w:val="006916D9"/>
    <w:rsid w:val="006A0E05"/>
    <w:rsid w:val="006A26C6"/>
    <w:rsid w:val="006A465A"/>
    <w:rsid w:val="006A7D5D"/>
    <w:rsid w:val="006B2B84"/>
    <w:rsid w:val="006D0C12"/>
    <w:rsid w:val="006D5D57"/>
    <w:rsid w:val="006E2538"/>
    <w:rsid w:val="006E302F"/>
    <w:rsid w:val="006F4D6D"/>
    <w:rsid w:val="00705086"/>
    <w:rsid w:val="00722001"/>
    <w:rsid w:val="00727CDF"/>
    <w:rsid w:val="00734A54"/>
    <w:rsid w:val="00744525"/>
    <w:rsid w:val="00751E66"/>
    <w:rsid w:val="00754497"/>
    <w:rsid w:val="007635D5"/>
    <w:rsid w:val="00773201"/>
    <w:rsid w:val="007752CD"/>
    <w:rsid w:val="00787C39"/>
    <w:rsid w:val="00792947"/>
    <w:rsid w:val="00795DF3"/>
    <w:rsid w:val="007A373C"/>
    <w:rsid w:val="007B225C"/>
    <w:rsid w:val="007B4280"/>
    <w:rsid w:val="007C75B1"/>
    <w:rsid w:val="007D3DFC"/>
    <w:rsid w:val="007D48EB"/>
    <w:rsid w:val="007E2F07"/>
    <w:rsid w:val="007E59A8"/>
    <w:rsid w:val="0080776D"/>
    <w:rsid w:val="00810145"/>
    <w:rsid w:val="008108FA"/>
    <w:rsid w:val="00810FF1"/>
    <w:rsid w:val="00822336"/>
    <w:rsid w:val="00823DFA"/>
    <w:rsid w:val="00824DE0"/>
    <w:rsid w:val="00842DB7"/>
    <w:rsid w:val="00843752"/>
    <w:rsid w:val="0084479F"/>
    <w:rsid w:val="0085725E"/>
    <w:rsid w:val="00873D4F"/>
    <w:rsid w:val="0087509F"/>
    <w:rsid w:val="00885B09"/>
    <w:rsid w:val="00892400"/>
    <w:rsid w:val="00893E3B"/>
    <w:rsid w:val="008A209D"/>
    <w:rsid w:val="008A22BB"/>
    <w:rsid w:val="008B035D"/>
    <w:rsid w:val="008B0E29"/>
    <w:rsid w:val="008B0EFA"/>
    <w:rsid w:val="008B30AB"/>
    <w:rsid w:val="008C3BB8"/>
    <w:rsid w:val="008C4B65"/>
    <w:rsid w:val="008D00DD"/>
    <w:rsid w:val="008E5F55"/>
    <w:rsid w:val="009009E7"/>
    <w:rsid w:val="00905DEF"/>
    <w:rsid w:val="00906056"/>
    <w:rsid w:val="009122AE"/>
    <w:rsid w:val="00913B43"/>
    <w:rsid w:val="00930203"/>
    <w:rsid w:val="009311D2"/>
    <w:rsid w:val="009311E6"/>
    <w:rsid w:val="00931275"/>
    <w:rsid w:val="00936AC7"/>
    <w:rsid w:val="00947761"/>
    <w:rsid w:val="00953B64"/>
    <w:rsid w:val="009646A7"/>
    <w:rsid w:val="00970A88"/>
    <w:rsid w:val="009818A1"/>
    <w:rsid w:val="009A1674"/>
    <w:rsid w:val="009B38BE"/>
    <w:rsid w:val="009B4DF2"/>
    <w:rsid w:val="009C684F"/>
    <w:rsid w:val="009D074C"/>
    <w:rsid w:val="009D6E73"/>
    <w:rsid w:val="009F1F1D"/>
    <w:rsid w:val="009F2B4F"/>
    <w:rsid w:val="009F3C63"/>
    <w:rsid w:val="009F66B5"/>
    <w:rsid w:val="00A02F10"/>
    <w:rsid w:val="00A1060C"/>
    <w:rsid w:val="00A12E38"/>
    <w:rsid w:val="00A160E1"/>
    <w:rsid w:val="00A16221"/>
    <w:rsid w:val="00A20A7D"/>
    <w:rsid w:val="00A35D42"/>
    <w:rsid w:val="00A46CCF"/>
    <w:rsid w:val="00A506DE"/>
    <w:rsid w:val="00A53451"/>
    <w:rsid w:val="00A70426"/>
    <w:rsid w:val="00A707CC"/>
    <w:rsid w:val="00A71410"/>
    <w:rsid w:val="00A91E9A"/>
    <w:rsid w:val="00A93ED9"/>
    <w:rsid w:val="00A96221"/>
    <w:rsid w:val="00AC2DBB"/>
    <w:rsid w:val="00AC6A99"/>
    <w:rsid w:val="00AD6048"/>
    <w:rsid w:val="00AE5167"/>
    <w:rsid w:val="00AF0A45"/>
    <w:rsid w:val="00B055EF"/>
    <w:rsid w:val="00B06B5B"/>
    <w:rsid w:val="00B22F29"/>
    <w:rsid w:val="00B23769"/>
    <w:rsid w:val="00B26806"/>
    <w:rsid w:val="00B41789"/>
    <w:rsid w:val="00B81808"/>
    <w:rsid w:val="00B86DFA"/>
    <w:rsid w:val="00B93146"/>
    <w:rsid w:val="00B936D0"/>
    <w:rsid w:val="00BB15FB"/>
    <w:rsid w:val="00BD3D5B"/>
    <w:rsid w:val="00BE3600"/>
    <w:rsid w:val="00C01F6F"/>
    <w:rsid w:val="00C041EA"/>
    <w:rsid w:val="00C13BBD"/>
    <w:rsid w:val="00C149AB"/>
    <w:rsid w:val="00C16929"/>
    <w:rsid w:val="00C20690"/>
    <w:rsid w:val="00C33DDD"/>
    <w:rsid w:val="00C36020"/>
    <w:rsid w:val="00C40694"/>
    <w:rsid w:val="00C40A0D"/>
    <w:rsid w:val="00C479BF"/>
    <w:rsid w:val="00C5124B"/>
    <w:rsid w:val="00C70542"/>
    <w:rsid w:val="00C71649"/>
    <w:rsid w:val="00C75CBF"/>
    <w:rsid w:val="00CB08A7"/>
    <w:rsid w:val="00CC2894"/>
    <w:rsid w:val="00CD77C3"/>
    <w:rsid w:val="00CE112C"/>
    <w:rsid w:val="00CF55D4"/>
    <w:rsid w:val="00D03B2C"/>
    <w:rsid w:val="00D0402C"/>
    <w:rsid w:val="00D608DA"/>
    <w:rsid w:val="00D63934"/>
    <w:rsid w:val="00D730BF"/>
    <w:rsid w:val="00D8351C"/>
    <w:rsid w:val="00D852F4"/>
    <w:rsid w:val="00DB1110"/>
    <w:rsid w:val="00DB3730"/>
    <w:rsid w:val="00DC371B"/>
    <w:rsid w:val="00DC3788"/>
    <w:rsid w:val="00DC76C7"/>
    <w:rsid w:val="00DD09F5"/>
    <w:rsid w:val="00DD0E02"/>
    <w:rsid w:val="00DD4201"/>
    <w:rsid w:val="00DD5E9F"/>
    <w:rsid w:val="00DE5711"/>
    <w:rsid w:val="00E00EA0"/>
    <w:rsid w:val="00E021CB"/>
    <w:rsid w:val="00E138F1"/>
    <w:rsid w:val="00E2309D"/>
    <w:rsid w:val="00E26758"/>
    <w:rsid w:val="00E4251F"/>
    <w:rsid w:val="00E4357B"/>
    <w:rsid w:val="00E443A7"/>
    <w:rsid w:val="00E45904"/>
    <w:rsid w:val="00E63DE5"/>
    <w:rsid w:val="00E647AF"/>
    <w:rsid w:val="00E647C7"/>
    <w:rsid w:val="00E65A37"/>
    <w:rsid w:val="00E65EF7"/>
    <w:rsid w:val="00E77B48"/>
    <w:rsid w:val="00E857FB"/>
    <w:rsid w:val="00E91799"/>
    <w:rsid w:val="00E97DF8"/>
    <w:rsid w:val="00EA21FE"/>
    <w:rsid w:val="00EA34E3"/>
    <w:rsid w:val="00EB7538"/>
    <w:rsid w:val="00EC1868"/>
    <w:rsid w:val="00EC1DF1"/>
    <w:rsid w:val="00EE6468"/>
    <w:rsid w:val="00F03291"/>
    <w:rsid w:val="00F1299B"/>
    <w:rsid w:val="00F207A4"/>
    <w:rsid w:val="00F25173"/>
    <w:rsid w:val="00F355AC"/>
    <w:rsid w:val="00F361DE"/>
    <w:rsid w:val="00F40CF7"/>
    <w:rsid w:val="00F44194"/>
    <w:rsid w:val="00F71A5A"/>
    <w:rsid w:val="00F73A1A"/>
    <w:rsid w:val="00F769E0"/>
    <w:rsid w:val="00FA4A46"/>
    <w:rsid w:val="00FA75FE"/>
    <w:rsid w:val="00FB1032"/>
    <w:rsid w:val="00FB39BC"/>
    <w:rsid w:val="00FB5FEA"/>
    <w:rsid w:val="00FB6A53"/>
    <w:rsid w:val="00FC11CA"/>
    <w:rsid w:val="00FC5D37"/>
    <w:rsid w:val="00FC6BDE"/>
    <w:rsid w:val="00FD3382"/>
    <w:rsid w:val="00FF2B9D"/>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2130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FootnoteText">
    <w:name w:val="footnote text"/>
    <w:basedOn w:val="Normal"/>
    <w:link w:val="FootnoteTextChar"/>
    <w:rsid w:val="00091DC9"/>
    <w:rPr>
      <w:sz w:val="20"/>
      <w:szCs w:val="20"/>
    </w:rPr>
  </w:style>
  <w:style w:type="character" w:customStyle="1" w:styleId="FootnoteTextChar">
    <w:name w:val="Footnote Text Char"/>
    <w:basedOn w:val="DefaultParagraphFont"/>
    <w:link w:val="FootnoteText"/>
    <w:rsid w:val="00091DC9"/>
  </w:style>
  <w:style w:type="character" w:styleId="FootnoteReference">
    <w:name w:val="footnote reference"/>
    <w:uiPriority w:val="99"/>
    <w:unhideWhenUsed/>
    <w:rsid w:val="00091DC9"/>
    <w:rPr>
      <w:vertAlign w:val="superscript"/>
    </w:rPr>
  </w:style>
  <w:style w:type="paragraph" w:styleId="NoSpacing">
    <w:name w:val="No Spacing"/>
    <w:uiPriority w:val="1"/>
    <w:qFormat/>
    <w:rsid w:val="005E687C"/>
    <w:rPr>
      <w:rFonts w:ascii="Calibri" w:eastAsia="Calibri" w:hAnsi="Calibri"/>
      <w:sz w:val="22"/>
      <w:szCs w:val="22"/>
    </w:rPr>
  </w:style>
  <w:style w:type="character" w:styleId="CommentReference">
    <w:name w:val="annotation reference"/>
    <w:rsid w:val="00734A54"/>
    <w:rPr>
      <w:sz w:val="16"/>
      <w:szCs w:val="16"/>
    </w:rPr>
  </w:style>
  <w:style w:type="paragraph" w:styleId="CommentText">
    <w:name w:val="annotation text"/>
    <w:basedOn w:val="Normal"/>
    <w:link w:val="CommentTextChar"/>
    <w:rsid w:val="00734A54"/>
    <w:rPr>
      <w:sz w:val="20"/>
      <w:szCs w:val="20"/>
    </w:rPr>
  </w:style>
  <w:style w:type="character" w:customStyle="1" w:styleId="CommentTextChar">
    <w:name w:val="Comment Text Char"/>
    <w:basedOn w:val="DefaultParagraphFont"/>
    <w:link w:val="CommentText"/>
    <w:rsid w:val="00734A54"/>
  </w:style>
  <w:style w:type="paragraph" w:styleId="CommentSubject">
    <w:name w:val="annotation subject"/>
    <w:basedOn w:val="CommentText"/>
    <w:next w:val="CommentText"/>
    <w:link w:val="CommentSubjectChar"/>
    <w:rsid w:val="00734A54"/>
    <w:rPr>
      <w:b/>
      <w:bCs/>
    </w:rPr>
  </w:style>
  <w:style w:type="character" w:customStyle="1" w:styleId="CommentSubjectChar">
    <w:name w:val="Comment Subject Char"/>
    <w:link w:val="CommentSubject"/>
    <w:rsid w:val="00734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da.gov/regulatory-information/search-fda-guidance-documents/cvm-gfi-256-compounding-animal-drugs-bulk-drug-substances" TargetMode="External" /><Relationship Id="rId6" Type="http://schemas.openxmlformats.org/officeDocument/2006/relationships/hyperlink" Target="https://www.bls.gov/oes/current/oes291051.htm"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2025-07-30T18:51:00Z</dcterms:created>
  <dcterms:modified xsi:type="dcterms:W3CDTF">2025-07-30T19:13:00Z</dcterms:modified>
</cp:coreProperties>
</file>