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14E5" w:rsidRPr="00374081" w:rsidP="00E24FA1" w14:paraId="6C77241D" w14:textId="77777777">
      <w:pPr>
        <w:spacing w:line="360" w:lineRule="auto"/>
        <w:ind w:left="14"/>
        <w:jc w:val="center"/>
        <w:rPr>
          <w:rFonts w:ascii="Arial" w:hAnsi="Arial" w:cs="Arial"/>
        </w:rPr>
      </w:pPr>
      <w:r w:rsidRPr="00374081">
        <w:rPr>
          <w:rFonts w:ascii="Arial" w:hAnsi="Arial" w:cs="Arial"/>
          <w:b/>
          <w:sz w:val="32"/>
        </w:rPr>
        <w:t xml:space="preserve">Supporting Statement A </w:t>
      </w:r>
    </w:p>
    <w:p w:rsidR="001214E5" w:rsidRPr="00374081" w:rsidP="00E24FA1" w14:paraId="31B160AD" w14:textId="53E07E20">
      <w:pPr>
        <w:spacing w:line="360" w:lineRule="auto"/>
        <w:ind w:left="14"/>
        <w:jc w:val="center"/>
        <w:rPr>
          <w:rFonts w:ascii="Arial" w:hAnsi="Arial" w:cs="Arial"/>
        </w:rPr>
      </w:pPr>
      <w:r w:rsidRPr="00374081">
        <w:rPr>
          <w:rFonts w:ascii="Arial" w:hAnsi="Arial" w:cs="Arial"/>
          <w:b/>
          <w:sz w:val="32"/>
        </w:rPr>
        <w:t xml:space="preserve">Stem Cell Therapeutic Outcomes Database </w:t>
      </w:r>
    </w:p>
    <w:p w:rsidR="005A0B87" w:rsidRPr="00374081" w:rsidP="009409E2" w14:paraId="3887C7C8" w14:textId="77777777">
      <w:pPr>
        <w:ind w:left="14" w:hanging="14"/>
        <w:jc w:val="center"/>
        <w:rPr>
          <w:rFonts w:ascii="Arial" w:hAnsi="Arial" w:cs="Arial"/>
          <w:b/>
          <w:sz w:val="32"/>
        </w:rPr>
      </w:pPr>
      <w:r w:rsidRPr="00374081">
        <w:rPr>
          <w:rFonts w:ascii="Arial" w:hAnsi="Arial" w:cs="Arial"/>
          <w:b/>
          <w:sz w:val="32"/>
        </w:rPr>
        <w:t>OMB Control No. 0915-0310</w:t>
      </w:r>
    </w:p>
    <w:p w:rsidR="001214E5" w:rsidRPr="00374081" w:rsidP="003976C3" w14:paraId="7CD6954D" w14:textId="28AD8D25">
      <w:pPr>
        <w:spacing w:line="480" w:lineRule="auto"/>
        <w:ind w:left="12" w:right="2"/>
        <w:jc w:val="center"/>
        <w:rPr>
          <w:rFonts w:ascii="Arial" w:hAnsi="Arial" w:cs="Arial"/>
        </w:rPr>
      </w:pPr>
      <w:r w:rsidRPr="00374081">
        <w:rPr>
          <w:rFonts w:ascii="Arial" w:hAnsi="Arial" w:cs="Arial"/>
          <w:b/>
          <w:sz w:val="32"/>
        </w:rPr>
        <w:t>Revision</w:t>
      </w:r>
    </w:p>
    <w:p w:rsidR="001214E5" w:rsidRPr="00374081" w:rsidP="00E13343" w14:paraId="30ED6694" w14:textId="56B30504">
      <w:pPr>
        <w:rPr>
          <w:rFonts w:ascii="Arial" w:hAnsi="Arial" w:cs="Arial"/>
          <w:b/>
        </w:rPr>
      </w:pPr>
      <w:r w:rsidRPr="00374081">
        <w:rPr>
          <w:rFonts w:ascii="Arial" w:hAnsi="Arial" w:cs="Arial"/>
          <w:b/>
        </w:rPr>
        <w:t>Terms of Clearance:</w:t>
      </w:r>
      <w:r w:rsidR="00374081">
        <w:rPr>
          <w:rFonts w:ascii="Arial" w:hAnsi="Arial" w:cs="Arial"/>
        </w:rPr>
        <w:t xml:space="preserve"> </w:t>
      </w:r>
      <w:r w:rsidRPr="00374081" w:rsidR="00AD3831">
        <w:rPr>
          <w:rFonts w:ascii="Arial" w:hAnsi="Arial" w:cs="Arial"/>
        </w:rPr>
        <w:t>None.</w:t>
      </w:r>
      <w:r w:rsidR="00374081">
        <w:rPr>
          <w:rFonts w:ascii="Arial" w:hAnsi="Arial" w:cs="Arial"/>
          <w:b/>
        </w:rPr>
        <w:t xml:space="preserve"> </w:t>
      </w:r>
    </w:p>
    <w:p w:rsidR="0023443F" w:rsidRPr="00374081" w:rsidP="00E13343" w14:paraId="7D7DE8B8" w14:textId="77777777">
      <w:pPr>
        <w:rPr>
          <w:rFonts w:ascii="Arial" w:hAnsi="Arial" w:cs="Arial"/>
          <w:b/>
          <w:sz w:val="20"/>
          <w:szCs w:val="20"/>
        </w:rPr>
      </w:pPr>
    </w:p>
    <w:p w:rsidR="008F46EA" w:rsidRPr="00374081" w:rsidP="009725BB" w14:paraId="4A38D2D8" w14:textId="284A8C1E">
      <w:pPr>
        <w:pStyle w:val="Heading1"/>
        <w:rPr>
          <w:rFonts w:ascii="Arial" w:hAnsi="Arial" w:cs="Arial"/>
        </w:rPr>
      </w:pPr>
      <w:r w:rsidRPr="00374081">
        <w:rPr>
          <w:rFonts w:ascii="Arial" w:hAnsi="Arial" w:cs="Arial"/>
        </w:rPr>
        <w:t>BACKGROUND</w:t>
      </w:r>
    </w:p>
    <w:p w:rsidR="00E13343" w:rsidRPr="00374081" w:rsidP="00E13343" w14:paraId="4EEE34F6" w14:textId="77777777">
      <w:pPr>
        <w:pStyle w:val="ListParagraph"/>
        <w:tabs>
          <w:tab w:val="center" w:pos="1476"/>
        </w:tabs>
        <w:spacing w:after="0" w:line="240" w:lineRule="auto"/>
        <w:ind w:left="360" w:firstLine="0"/>
        <w:rPr>
          <w:b/>
          <w:sz w:val="20"/>
          <w:szCs w:val="20"/>
        </w:rPr>
      </w:pPr>
    </w:p>
    <w:p w:rsidR="00F1283F" w:rsidRPr="00374081" w:rsidP="00E13343" w14:paraId="659C89B5" w14:textId="163AEBB7">
      <w:pPr>
        <w:rPr>
          <w:rFonts w:ascii="Arial" w:hAnsi="Arial" w:cs="Arial"/>
        </w:rPr>
      </w:pPr>
      <w:r w:rsidRPr="00374081">
        <w:rPr>
          <w:rFonts w:ascii="Arial" w:hAnsi="Arial" w:cs="Arial"/>
        </w:rPr>
        <w:t>The Stem Cell Therapeutic and Research Act of 2005 (Public Law 109-129) as amended and codified in Section 379 of the Public Health Service Act (42 U.S.C. 247k) requires “The Secretary, acting through the Administrator of the Health Resources and Services Administration, shall by one or more contracts establish and maintain a C.W. Bill Young Cell Transplantation Program</w:t>
      </w:r>
      <w:r w:rsidRPr="00374081" w:rsidR="00F21BA2">
        <w:rPr>
          <w:rFonts w:ascii="Arial" w:hAnsi="Arial" w:cs="Arial"/>
        </w:rPr>
        <w:t>…that has the purpose of increasing the number of transplants for recipients suitably matched to biologically unrelated donors of bone marrow and cord blood, and that meets the requirements of this section.”</w:t>
      </w:r>
      <w:r w:rsidRPr="00374081" w:rsidR="008B7CD9">
        <w:rPr>
          <w:rFonts w:ascii="Arial" w:hAnsi="Arial" w:cs="Arial"/>
        </w:rPr>
        <w:t xml:space="preserve"> </w:t>
      </w:r>
      <w:r>
        <w:rPr>
          <w:rStyle w:val="FootnoteReference"/>
          <w:rFonts w:ascii="Arial" w:hAnsi="Arial" w:cs="Arial"/>
          <w:vertAlign w:val="superscript"/>
        </w:rPr>
        <w:footnoteReference w:id="3"/>
      </w:r>
      <w:r w:rsidRPr="00374081">
        <w:rPr>
          <w:rFonts w:ascii="Arial" w:hAnsi="Arial" w:cs="Arial"/>
        </w:rPr>
        <w:t xml:space="preserve"> On behalf of the Secretary of Health and Human Services</w:t>
      </w:r>
      <w:r w:rsidRPr="00374081" w:rsidR="004D48CC">
        <w:rPr>
          <w:rFonts w:ascii="Arial" w:hAnsi="Arial" w:cs="Arial"/>
        </w:rPr>
        <w:t xml:space="preserve"> (“the Secretary”)</w:t>
      </w:r>
      <w:r w:rsidRPr="00374081">
        <w:rPr>
          <w:rFonts w:ascii="Arial" w:hAnsi="Arial" w:cs="Arial"/>
        </w:rPr>
        <w:t>, the Health Resources and Services Administration (HRSA) provides oversight and management of the C.W. Bill Young Cell Transplantation Program (CWBYCTP).</w:t>
      </w:r>
      <w:r>
        <w:rPr>
          <w:rStyle w:val="FootnoteReference"/>
          <w:rFonts w:ascii="Arial" w:hAnsi="Arial" w:cs="Arial"/>
          <w:vertAlign w:val="superscript"/>
        </w:rPr>
        <w:footnoteReference w:id="4"/>
      </w:r>
    </w:p>
    <w:p w:rsidR="00567338" w:rsidRPr="00374081" w:rsidP="00E13343" w14:paraId="6BDAD40C" w14:textId="4505C014">
      <w:pPr>
        <w:rPr>
          <w:rFonts w:ascii="Arial" w:hAnsi="Arial" w:cs="Arial"/>
          <w:sz w:val="20"/>
          <w:szCs w:val="20"/>
        </w:rPr>
      </w:pPr>
    </w:p>
    <w:p w:rsidR="00F1283F" w:rsidRPr="00374081" w:rsidP="00E13343" w14:paraId="3EF62721" w14:textId="0DAE768B">
      <w:pPr>
        <w:rPr>
          <w:rFonts w:ascii="Arial" w:hAnsi="Arial" w:cs="Arial"/>
        </w:rPr>
      </w:pPr>
      <w:r w:rsidRPr="00374081">
        <w:rPr>
          <w:rFonts w:ascii="Arial" w:hAnsi="Arial" w:cs="Arial"/>
        </w:rPr>
        <w:t xml:space="preserve">The CWBYCTP was reauthorized by </w:t>
      </w:r>
      <w:r w:rsidRPr="00374081" w:rsidR="004F58A9">
        <w:rPr>
          <w:rFonts w:ascii="Arial" w:hAnsi="Arial" w:cs="Arial"/>
        </w:rPr>
        <w:t>t</w:t>
      </w:r>
      <w:r w:rsidRPr="00374081" w:rsidR="008B7CD9">
        <w:rPr>
          <w:rFonts w:ascii="Arial" w:hAnsi="Arial" w:cs="Arial"/>
        </w:rPr>
        <w:t xml:space="preserve">he Stem Cell Therapeutic and Research Reauthorization Act of </w:t>
      </w:r>
      <w:r w:rsidR="006333E8">
        <w:rPr>
          <w:rFonts w:ascii="Arial" w:hAnsi="Arial" w:cs="Arial"/>
        </w:rPr>
        <w:t>2010 (Public Law 111-264)</w:t>
      </w:r>
      <w:r w:rsidR="001E1DC6">
        <w:rPr>
          <w:rFonts w:ascii="Arial" w:hAnsi="Arial" w:cs="Arial"/>
        </w:rPr>
        <w:t>,</w:t>
      </w:r>
      <w:r w:rsidR="006333E8">
        <w:rPr>
          <w:rFonts w:ascii="Arial" w:hAnsi="Arial" w:cs="Arial"/>
        </w:rPr>
        <w:t xml:space="preserve"> </w:t>
      </w:r>
      <w:r w:rsidRPr="00374081" w:rsidR="008B7CD9">
        <w:rPr>
          <w:rFonts w:ascii="Arial" w:hAnsi="Arial" w:cs="Arial"/>
        </w:rPr>
        <w:t>2015 (Public Law 114-104) and the Transplant Act of 2021 (Public Law 117-15)</w:t>
      </w:r>
      <w:r w:rsidRPr="00374081" w:rsidR="00CA0FDE">
        <w:rPr>
          <w:rFonts w:ascii="Arial" w:hAnsi="Arial" w:cs="Arial"/>
        </w:rPr>
        <w:t xml:space="preserve">. These </w:t>
      </w:r>
      <w:r w:rsidRPr="00374081" w:rsidR="009D4331">
        <w:rPr>
          <w:rFonts w:ascii="Arial" w:hAnsi="Arial" w:cs="Arial"/>
        </w:rPr>
        <w:t>pieces of legislation also reauthorized ot</w:t>
      </w:r>
      <w:r w:rsidRPr="00374081">
        <w:rPr>
          <w:rFonts w:ascii="Arial" w:hAnsi="Arial" w:cs="Arial"/>
        </w:rPr>
        <w:t xml:space="preserve">her related programs, including </w:t>
      </w:r>
      <w:r w:rsidRPr="00374081" w:rsidR="008B7CD9">
        <w:rPr>
          <w:rFonts w:ascii="Arial" w:hAnsi="Arial" w:cs="Arial"/>
        </w:rPr>
        <w:t xml:space="preserve">the National Cord Blood Inventory (NCBI) and the Advisory Council on Blood Stem Cell Transplantation (ACBSCT). </w:t>
      </w:r>
    </w:p>
    <w:p w:rsidR="00F21BA2" w:rsidRPr="00374081" w:rsidP="00E24FA1" w14:paraId="2E85A548" w14:textId="1B3B6C5E">
      <w:pPr>
        <w:rPr>
          <w:rFonts w:ascii="Arial" w:hAnsi="Arial" w:cs="Arial"/>
          <w:sz w:val="20"/>
          <w:szCs w:val="20"/>
        </w:rPr>
      </w:pPr>
    </w:p>
    <w:p w:rsidR="00283DC7" w:rsidRPr="00374081" w:rsidP="00283DC7" w14:paraId="31D0AD9F" w14:textId="5EB239AB">
      <w:pPr>
        <w:pStyle w:val="ListParagraph"/>
        <w:numPr>
          <w:ilvl w:val="0"/>
          <w:numId w:val="24"/>
        </w:numPr>
        <w:spacing w:after="0" w:line="240" w:lineRule="auto"/>
        <w:rPr>
          <w:b/>
          <w:bCs/>
          <w:sz w:val="24"/>
          <w:szCs w:val="24"/>
        </w:rPr>
      </w:pPr>
      <w:r w:rsidRPr="00374081">
        <w:rPr>
          <w:b/>
          <w:bCs/>
          <w:sz w:val="24"/>
          <w:szCs w:val="24"/>
        </w:rPr>
        <w:t>C.W. Bill Young Cell Transplantation Program (CWBYCTP)</w:t>
      </w:r>
    </w:p>
    <w:p w:rsidR="00283DC7" w:rsidRPr="00374081" w:rsidP="00283DC7" w14:paraId="3AB6CDB4" w14:textId="77777777">
      <w:pPr>
        <w:rPr>
          <w:rFonts w:ascii="Arial" w:hAnsi="Arial" w:cs="Arial"/>
          <w:sz w:val="20"/>
          <w:szCs w:val="20"/>
        </w:rPr>
      </w:pPr>
    </w:p>
    <w:p w:rsidR="00253CBC" w:rsidRPr="00374081" w:rsidP="00283DC7" w14:paraId="70B91BD5" w14:textId="03FE369A">
      <w:pPr>
        <w:rPr>
          <w:rFonts w:ascii="Arial" w:hAnsi="Arial" w:cs="Arial"/>
        </w:rPr>
      </w:pPr>
      <w:r w:rsidRPr="00374081">
        <w:rPr>
          <w:rFonts w:ascii="Arial" w:hAnsi="Arial" w:cs="Arial"/>
        </w:rPr>
        <w:t>CWBYCTP provides a</w:t>
      </w:r>
      <w:r w:rsidRPr="00374081" w:rsidR="00D60325">
        <w:rPr>
          <w:rFonts w:ascii="Arial" w:hAnsi="Arial" w:cs="Arial"/>
        </w:rPr>
        <w:t>n infra</w:t>
      </w:r>
      <w:r w:rsidRPr="00374081">
        <w:rPr>
          <w:rFonts w:ascii="Arial" w:hAnsi="Arial" w:cs="Arial"/>
        </w:rPr>
        <w:t xml:space="preserve">structure </w:t>
      </w:r>
      <w:r w:rsidRPr="00374081">
        <w:rPr>
          <w:rFonts w:ascii="Arial" w:hAnsi="Arial" w:cs="Arial"/>
        </w:rPr>
        <w:t xml:space="preserve">for identifying, matching, and facilitating the distribution of bone marrow and cord blood from unrelated donors </w:t>
      </w:r>
      <w:r w:rsidRPr="00374081" w:rsidR="00F43494">
        <w:rPr>
          <w:rFonts w:ascii="Arial" w:hAnsi="Arial" w:cs="Arial"/>
        </w:rPr>
        <w:t>to</w:t>
      </w:r>
      <w:r w:rsidRPr="00374081">
        <w:rPr>
          <w:rFonts w:ascii="Arial" w:hAnsi="Arial" w:cs="Arial"/>
        </w:rPr>
        <w:t xml:space="preserve"> individuals in need of hematopoietic stem cell transplants (HCT).</w:t>
      </w:r>
      <w:r>
        <w:rPr>
          <w:rStyle w:val="FootnoteReference"/>
          <w:rFonts w:ascii="Arial" w:hAnsi="Arial" w:cs="Arial"/>
          <w:vertAlign w:val="superscript"/>
        </w:rPr>
        <w:footnoteReference w:id="5"/>
      </w:r>
      <w:r w:rsidRPr="00374081">
        <w:rPr>
          <w:rFonts w:ascii="Arial" w:hAnsi="Arial" w:cs="Arial"/>
        </w:rPr>
        <w:t xml:space="preserve"> The transplantation of </w:t>
      </w:r>
      <w:r w:rsidR="0057458D">
        <w:rPr>
          <w:rFonts w:ascii="Arial" w:hAnsi="Arial" w:cs="Arial"/>
        </w:rPr>
        <w:t>blood-forming cells from unrelated donors can improve patient-centered outcomes for individuals with life-threatening diseases,</w:t>
      </w:r>
      <w:r w:rsidRPr="00374081">
        <w:rPr>
          <w:rFonts w:ascii="Arial" w:hAnsi="Arial" w:cs="Arial"/>
        </w:rPr>
        <w:t xml:space="preserve"> such as leukemia, lymphoma, sickle cell anemia, or other metabolic or immune system disorders.</w:t>
      </w:r>
    </w:p>
    <w:p w:rsidR="00D60325" w:rsidRPr="00374081" w:rsidP="00283DC7" w14:paraId="5AAC6A63" w14:textId="4BFAD48E">
      <w:pPr>
        <w:rPr>
          <w:rFonts w:ascii="Arial" w:hAnsi="Arial" w:cs="Arial"/>
          <w:sz w:val="20"/>
          <w:szCs w:val="20"/>
        </w:rPr>
      </w:pPr>
      <w:r w:rsidRPr="00374081">
        <w:rPr>
          <w:rFonts w:ascii="Arial" w:hAnsi="Arial" w:cs="Arial"/>
        </w:rPr>
        <w:t xml:space="preserve"> </w:t>
      </w:r>
    </w:p>
    <w:p w:rsidR="00C26E5C" w:rsidRPr="00374081" w:rsidP="00C26E5C" w14:paraId="32846924" w14:textId="6397F553">
      <w:pPr>
        <w:rPr>
          <w:rFonts w:ascii="Arial" w:hAnsi="Arial" w:cs="Arial"/>
        </w:rPr>
      </w:pPr>
      <w:r w:rsidRPr="00374081">
        <w:rPr>
          <w:rFonts w:ascii="Arial" w:hAnsi="Arial" w:cs="Arial"/>
        </w:rPr>
        <w:t xml:space="preserve">The </w:t>
      </w:r>
      <w:r w:rsidRPr="00374081" w:rsidR="6EB1C1D6">
        <w:rPr>
          <w:rFonts w:ascii="Arial" w:hAnsi="Arial" w:cs="Arial"/>
        </w:rPr>
        <w:t xml:space="preserve">CWBYCTP includes </w:t>
      </w:r>
      <w:r w:rsidRPr="00374081">
        <w:rPr>
          <w:rFonts w:ascii="Arial" w:hAnsi="Arial" w:cs="Arial"/>
        </w:rPr>
        <w:t xml:space="preserve">the following </w:t>
      </w:r>
      <w:r w:rsidRPr="00374081" w:rsidR="6EB1C1D6">
        <w:rPr>
          <w:rFonts w:ascii="Arial" w:hAnsi="Arial" w:cs="Arial"/>
        </w:rPr>
        <w:t>functions</w:t>
      </w:r>
      <w:r w:rsidRPr="00374081">
        <w:rPr>
          <w:rFonts w:ascii="Arial" w:hAnsi="Arial" w:cs="Arial"/>
        </w:rPr>
        <w:t xml:space="preserve">: </w:t>
      </w:r>
      <w:r w:rsidRPr="00374081" w:rsidR="6EB1C1D6">
        <w:rPr>
          <w:rFonts w:ascii="Arial" w:hAnsi="Arial" w:cs="Arial"/>
        </w:rPr>
        <w:t xml:space="preserve">Bone Marrow Coordinating Center, Cord Blood Coordinating Center, Single Point of Access, Office of Patient Advocacy, </w:t>
      </w:r>
      <w:r w:rsidRPr="00374081" w:rsidR="6EB1C1D6">
        <w:rPr>
          <w:rFonts w:ascii="Arial" w:hAnsi="Arial" w:cs="Arial"/>
        </w:rPr>
        <w:t xml:space="preserve">and Stem Cell Therapeutic Outcomes Database. </w:t>
      </w:r>
      <w:r w:rsidRPr="00374081">
        <w:rPr>
          <w:rFonts w:ascii="Arial" w:hAnsi="Arial" w:cs="Arial"/>
        </w:rPr>
        <w:t xml:space="preserve">In 2017, HRSA </w:t>
      </w:r>
      <w:r w:rsidR="0057458D">
        <w:rPr>
          <w:rFonts w:ascii="Arial" w:hAnsi="Arial" w:cs="Arial"/>
        </w:rPr>
        <w:t>reorganized</w:t>
      </w:r>
      <w:r w:rsidRPr="00374081">
        <w:rPr>
          <w:rFonts w:ascii="Arial" w:hAnsi="Arial" w:cs="Arial"/>
        </w:rPr>
        <w:t xml:space="preserve"> these </w:t>
      </w:r>
      <w:r w:rsidRPr="00374081">
        <w:rPr>
          <w:rFonts w:ascii="Arial" w:hAnsi="Arial" w:cs="Arial"/>
        </w:rPr>
        <w:t xml:space="preserve">five </w:t>
      </w:r>
      <w:r w:rsidRPr="00374081">
        <w:rPr>
          <w:rFonts w:ascii="Arial" w:hAnsi="Arial" w:cs="Arial"/>
        </w:rPr>
        <w:t xml:space="preserve">functions into three </w:t>
      </w:r>
      <w:r w:rsidRPr="00374081">
        <w:rPr>
          <w:rFonts w:ascii="Arial" w:hAnsi="Arial" w:cs="Arial"/>
        </w:rPr>
        <w:t xml:space="preserve">major </w:t>
      </w:r>
      <w:r w:rsidRPr="00374081">
        <w:rPr>
          <w:rFonts w:ascii="Arial" w:hAnsi="Arial" w:cs="Arial"/>
        </w:rPr>
        <w:t xml:space="preserve">contracts </w:t>
      </w:r>
      <w:r w:rsidRPr="00374081">
        <w:rPr>
          <w:rFonts w:ascii="Arial" w:hAnsi="Arial" w:cs="Arial"/>
        </w:rPr>
        <w:t>as</w:t>
      </w:r>
      <w:r w:rsidRPr="00374081">
        <w:rPr>
          <w:rFonts w:ascii="Arial" w:hAnsi="Arial" w:cs="Arial"/>
        </w:rPr>
        <w:t xml:space="preserve"> described below:</w:t>
      </w:r>
    </w:p>
    <w:p w:rsidR="00E24FA1" w:rsidRPr="00374081" w:rsidP="004B3349" w14:paraId="6F2B93BA" w14:textId="77777777">
      <w:pPr>
        <w:rPr>
          <w:rFonts w:ascii="Arial" w:hAnsi="Arial" w:cs="Arial"/>
          <w:sz w:val="20"/>
          <w:szCs w:val="20"/>
        </w:rPr>
      </w:pPr>
    </w:p>
    <w:p w:rsidR="004B3349" w:rsidRPr="00374081" w:rsidP="004B3349" w14:paraId="6BEC41FD" w14:textId="3B9A25F5">
      <w:pPr>
        <w:pStyle w:val="NormalWeb"/>
        <w:numPr>
          <w:ilvl w:val="0"/>
          <w:numId w:val="21"/>
        </w:numPr>
        <w:spacing w:before="0" w:beforeAutospacing="0" w:after="0" w:afterAutospacing="0"/>
        <w:rPr>
          <w:rFonts w:ascii="Arial" w:hAnsi="Arial" w:cs="Arial"/>
        </w:rPr>
      </w:pPr>
      <w:r w:rsidRPr="00374081">
        <w:rPr>
          <w:rFonts w:ascii="Arial" w:hAnsi="Arial" w:cs="Arial"/>
          <w:b/>
          <w:bCs/>
        </w:rPr>
        <w:t>Single Point of Access-Coordinating Center (SPA-CC)</w:t>
      </w:r>
      <w:r w:rsidRPr="00374081" w:rsidR="00381927">
        <w:rPr>
          <w:rFonts w:ascii="Arial" w:hAnsi="Arial" w:cs="Arial"/>
        </w:rPr>
        <w:t xml:space="preserve">. This </w:t>
      </w:r>
      <w:r w:rsidRPr="00374081">
        <w:rPr>
          <w:rFonts w:ascii="Arial" w:hAnsi="Arial" w:cs="Arial"/>
        </w:rPr>
        <w:t xml:space="preserve">contract coordinates a network of organizations to recruit potential </w:t>
      </w:r>
      <w:r w:rsidR="007A749F">
        <w:rPr>
          <w:rFonts w:ascii="Arial" w:hAnsi="Arial" w:cs="Arial"/>
        </w:rPr>
        <w:t xml:space="preserve">adult </w:t>
      </w:r>
      <w:r w:rsidRPr="00374081">
        <w:rPr>
          <w:rFonts w:ascii="Arial" w:hAnsi="Arial" w:cs="Arial"/>
        </w:rPr>
        <w:t>donors</w:t>
      </w:r>
      <w:r w:rsidR="0057458D">
        <w:rPr>
          <w:rFonts w:ascii="Arial" w:hAnsi="Arial" w:cs="Arial"/>
        </w:rPr>
        <w:t>, with an emphasis on recruiting</w:t>
      </w:r>
      <w:r w:rsidRPr="00374081">
        <w:rPr>
          <w:rFonts w:ascii="Arial" w:hAnsi="Arial" w:cs="Arial"/>
        </w:rPr>
        <w:t xml:space="preserve"> individuals from </w:t>
      </w:r>
      <w:r w:rsidR="002F5685">
        <w:rPr>
          <w:rFonts w:ascii="Arial" w:hAnsi="Arial" w:cs="Arial"/>
        </w:rPr>
        <w:t xml:space="preserve">genetically </w:t>
      </w:r>
      <w:r w:rsidR="00B778CD">
        <w:rPr>
          <w:rFonts w:ascii="Arial" w:hAnsi="Arial" w:cs="Arial"/>
        </w:rPr>
        <w:t>varied</w:t>
      </w:r>
      <w:r w:rsidRPr="00374081">
        <w:rPr>
          <w:rFonts w:ascii="Arial" w:hAnsi="Arial" w:cs="Arial"/>
        </w:rPr>
        <w:t xml:space="preserve"> populations. This network collectively provides access to bone marrow transplants, provides tissue typing to match patients and donors, and engages in public and professional educational activities</w:t>
      </w:r>
      <w:r w:rsidRPr="00374081" w:rsidR="00D163A1">
        <w:rPr>
          <w:rFonts w:ascii="Arial" w:hAnsi="Arial" w:cs="Arial"/>
        </w:rPr>
        <w:t>.</w:t>
      </w:r>
      <w:r w:rsidRPr="00374081">
        <w:rPr>
          <w:rFonts w:ascii="Arial" w:hAnsi="Arial" w:cs="Arial"/>
        </w:rPr>
        <w:t xml:space="preserve"> The SPA-CC also contains a network of cord blood banks (CBBs) that </w:t>
      </w:r>
      <w:r w:rsidR="0057458D">
        <w:rPr>
          <w:rFonts w:ascii="Arial" w:hAnsi="Arial" w:cs="Arial"/>
        </w:rPr>
        <w:t>list their cord blood units (CBUs) and make</w:t>
      </w:r>
      <w:r w:rsidRPr="00374081">
        <w:rPr>
          <w:rFonts w:ascii="Arial" w:hAnsi="Arial" w:cs="Arial"/>
        </w:rPr>
        <w:t xml:space="preserve"> them available for transplantation. The SPA-CC maintains a single, searchable electronic system for health care professionals and physicians searching on behalf of patients for cells derived from adult bone marrow donors and </w:t>
      </w:r>
      <w:r w:rsidR="0057458D">
        <w:rPr>
          <w:rFonts w:ascii="Arial" w:hAnsi="Arial" w:cs="Arial"/>
        </w:rPr>
        <w:t>cord blood units (</w:t>
      </w:r>
      <w:r w:rsidRPr="00374081">
        <w:rPr>
          <w:rFonts w:ascii="Arial" w:hAnsi="Arial" w:cs="Arial"/>
        </w:rPr>
        <w:t>CBUs</w:t>
      </w:r>
      <w:r w:rsidR="0057458D">
        <w:rPr>
          <w:rFonts w:ascii="Arial" w:hAnsi="Arial" w:cs="Arial"/>
        </w:rPr>
        <w:t>)</w:t>
      </w:r>
      <w:r w:rsidRPr="00374081">
        <w:rPr>
          <w:rFonts w:ascii="Arial" w:hAnsi="Arial" w:cs="Arial"/>
        </w:rPr>
        <w:t xml:space="preserve"> through a single point of access. </w:t>
      </w:r>
    </w:p>
    <w:p w:rsidR="008F46EA" w:rsidRPr="00374081" w:rsidP="004B3349" w14:paraId="1166E08E" w14:textId="77777777">
      <w:pPr>
        <w:rPr>
          <w:rFonts w:ascii="Arial" w:hAnsi="Arial" w:cs="Arial"/>
          <w:sz w:val="20"/>
          <w:szCs w:val="20"/>
        </w:rPr>
      </w:pPr>
    </w:p>
    <w:p w:rsidR="004B3349" w:rsidRPr="00374081" w:rsidP="00381927" w14:paraId="5966CD89" w14:textId="23AEFA94">
      <w:pPr>
        <w:pStyle w:val="NormalWeb"/>
        <w:numPr>
          <w:ilvl w:val="0"/>
          <w:numId w:val="21"/>
        </w:numPr>
        <w:spacing w:before="0" w:beforeAutospacing="0" w:after="0" w:afterAutospacing="0"/>
        <w:rPr>
          <w:rFonts w:ascii="Arial" w:hAnsi="Arial" w:cs="Arial"/>
        </w:rPr>
      </w:pPr>
      <w:r w:rsidRPr="00374081">
        <w:rPr>
          <w:rFonts w:ascii="Arial" w:hAnsi="Arial" w:cs="Arial"/>
          <w:b/>
          <w:bCs/>
        </w:rPr>
        <w:t>Office of Patient Advocacy (OPA)</w:t>
      </w:r>
      <w:r w:rsidRPr="00374081" w:rsidR="002557F8">
        <w:rPr>
          <w:rFonts w:ascii="Arial" w:hAnsi="Arial" w:cs="Arial"/>
        </w:rPr>
        <w:t>. This</w:t>
      </w:r>
      <w:r w:rsidRPr="00374081">
        <w:rPr>
          <w:rFonts w:ascii="Arial" w:hAnsi="Arial" w:cs="Arial"/>
        </w:rPr>
        <w:t xml:space="preserve"> contract supports patient advocacy and case management specific to bone marrow and blood stem cell transplantation, </w:t>
      </w:r>
      <w:r w:rsidR="00210266">
        <w:rPr>
          <w:rFonts w:ascii="Arial" w:hAnsi="Arial" w:cs="Arial"/>
        </w:rPr>
        <w:t>as well as histocompatibility and search expertise, providing</w:t>
      </w:r>
      <w:r w:rsidRPr="00374081">
        <w:rPr>
          <w:rFonts w:ascii="Arial" w:hAnsi="Arial" w:cs="Arial"/>
        </w:rPr>
        <w:t xml:space="preserve"> guidance for patients and physicians. The OPA provides public and professional education, information, resources, and support for transplant patients and families from diagnosis through </w:t>
      </w:r>
      <w:r w:rsidR="004145EE">
        <w:rPr>
          <w:rFonts w:ascii="Arial" w:hAnsi="Arial" w:cs="Arial"/>
        </w:rPr>
        <w:t xml:space="preserve">long-term </w:t>
      </w:r>
      <w:r w:rsidRPr="00374081">
        <w:rPr>
          <w:rFonts w:ascii="Arial" w:hAnsi="Arial" w:cs="Arial"/>
        </w:rPr>
        <w:t xml:space="preserve">survivorship. </w:t>
      </w:r>
    </w:p>
    <w:p w:rsidR="004B3349" w:rsidRPr="00374081" w:rsidP="004B3349" w14:paraId="7E68B884" w14:textId="77777777">
      <w:pPr>
        <w:pStyle w:val="NormalWeb"/>
        <w:spacing w:before="0" w:beforeAutospacing="0" w:after="0" w:afterAutospacing="0"/>
        <w:ind w:left="720"/>
        <w:rPr>
          <w:rFonts w:ascii="Arial" w:hAnsi="Arial" w:cs="Arial"/>
          <w:sz w:val="20"/>
          <w:szCs w:val="20"/>
        </w:rPr>
      </w:pPr>
    </w:p>
    <w:p w:rsidR="004B3349" w:rsidRPr="00374081" w14:paraId="759D00EA" w14:textId="5E135812">
      <w:pPr>
        <w:pStyle w:val="NormalWeb"/>
        <w:numPr>
          <w:ilvl w:val="0"/>
          <w:numId w:val="21"/>
        </w:numPr>
        <w:spacing w:before="0" w:beforeAutospacing="0" w:after="0" w:afterAutospacing="0"/>
        <w:rPr>
          <w:rFonts w:ascii="Arial" w:hAnsi="Arial" w:cs="Arial"/>
        </w:rPr>
      </w:pPr>
      <w:r w:rsidRPr="00374081">
        <w:rPr>
          <w:rFonts w:ascii="Arial" w:hAnsi="Arial" w:cs="Arial"/>
          <w:b/>
          <w:bCs/>
        </w:rPr>
        <w:t>Stem Cell Therapeutic Outcomes Database (SCTOD)</w:t>
      </w:r>
      <w:r w:rsidRPr="00374081" w:rsidR="002557F8">
        <w:rPr>
          <w:rFonts w:ascii="Arial" w:hAnsi="Arial" w:cs="Arial"/>
        </w:rPr>
        <w:t>. This</w:t>
      </w:r>
      <w:r w:rsidRPr="00374081">
        <w:rPr>
          <w:rFonts w:ascii="Arial" w:hAnsi="Arial" w:cs="Arial"/>
        </w:rPr>
        <w:t xml:space="preserve"> contract </w:t>
      </w:r>
      <w:r w:rsidRPr="00374081" w:rsidR="00F26253">
        <w:rPr>
          <w:rFonts w:ascii="Arial" w:hAnsi="Arial" w:cs="Arial"/>
        </w:rPr>
        <w:t xml:space="preserve">provides a repository of donor and patient samples for research and </w:t>
      </w:r>
      <w:r w:rsidRPr="00374081">
        <w:rPr>
          <w:rFonts w:ascii="Arial" w:hAnsi="Arial" w:cs="Arial"/>
        </w:rPr>
        <w:t xml:space="preserve">supports an electronic database of blood stem cell transplantation </w:t>
      </w:r>
      <w:r w:rsidRPr="00374081" w:rsidR="00F26253">
        <w:rPr>
          <w:rFonts w:ascii="Arial" w:hAnsi="Arial" w:cs="Arial"/>
        </w:rPr>
        <w:t xml:space="preserve">products, processes, and </w:t>
      </w:r>
      <w:r w:rsidRPr="00374081">
        <w:rPr>
          <w:rFonts w:ascii="Arial" w:hAnsi="Arial" w:cs="Arial"/>
        </w:rPr>
        <w:t>outcomes for use by researchers</w:t>
      </w:r>
      <w:r w:rsidRPr="00374081" w:rsidR="008F64B2">
        <w:rPr>
          <w:rFonts w:ascii="Arial" w:hAnsi="Arial" w:cs="Arial"/>
        </w:rPr>
        <w:t>,</w:t>
      </w:r>
      <w:r w:rsidRPr="00374081">
        <w:rPr>
          <w:rFonts w:ascii="Arial" w:hAnsi="Arial" w:cs="Arial"/>
        </w:rPr>
        <w:t xml:space="preserve"> health care professionals</w:t>
      </w:r>
      <w:r w:rsidRPr="00374081" w:rsidR="008F64B2">
        <w:rPr>
          <w:rFonts w:ascii="Arial" w:hAnsi="Arial" w:cs="Arial"/>
        </w:rPr>
        <w:t>, and the public</w:t>
      </w:r>
      <w:r w:rsidRPr="00374081">
        <w:rPr>
          <w:rFonts w:ascii="Arial" w:hAnsi="Arial" w:cs="Arial"/>
        </w:rPr>
        <w:t xml:space="preserve">. The SCTOD </w:t>
      </w:r>
      <w:r w:rsidRPr="00374081" w:rsidR="00F26253">
        <w:rPr>
          <w:rFonts w:ascii="Arial" w:hAnsi="Arial" w:cs="Arial"/>
        </w:rPr>
        <w:t xml:space="preserve">produces </w:t>
      </w:r>
      <w:r w:rsidRPr="00374081" w:rsidR="008F64B2">
        <w:rPr>
          <w:rFonts w:ascii="Arial" w:hAnsi="Arial" w:cs="Arial"/>
        </w:rPr>
        <w:t xml:space="preserve">data </w:t>
      </w:r>
      <w:r w:rsidRPr="00374081">
        <w:rPr>
          <w:rFonts w:ascii="Arial" w:hAnsi="Arial" w:cs="Arial"/>
        </w:rPr>
        <w:t xml:space="preserve">on clinical outcomes </w:t>
      </w:r>
      <w:r w:rsidRPr="00374081" w:rsidR="008F64B2">
        <w:rPr>
          <w:rFonts w:ascii="Arial" w:hAnsi="Arial" w:cs="Arial"/>
        </w:rPr>
        <w:t xml:space="preserve">(e.g., by </w:t>
      </w:r>
      <w:r w:rsidR="004145EE">
        <w:rPr>
          <w:rFonts w:ascii="Arial" w:hAnsi="Arial" w:cs="Arial"/>
        </w:rPr>
        <w:t>transplant</w:t>
      </w:r>
      <w:r w:rsidR="006318EF">
        <w:rPr>
          <w:rFonts w:ascii="Arial" w:hAnsi="Arial" w:cs="Arial"/>
        </w:rPr>
        <w:t xml:space="preserve"> </w:t>
      </w:r>
      <w:r w:rsidRPr="00374081" w:rsidR="008F64B2">
        <w:rPr>
          <w:rFonts w:ascii="Arial" w:hAnsi="Arial" w:cs="Arial"/>
        </w:rPr>
        <w:t xml:space="preserve">facility and treatment method) </w:t>
      </w:r>
      <w:r w:rsidRPr="00374081" w:rsidR="00F26253">
        <w:rPr>
          <w:rFonts w:ascii="Arial" w:hAnsi="Arial" w:cs="Arial"/>
        </w:rPr>
        <w:t xml:space="preserve">that </w:t>
      </w:r>
      <w:r w:rsidRPr="00374081" w:rsidR="008F64B2">
        <w:rPr>
          <w:rFonts w:ascii="Arial" w:hAnsi="Arial" w:cs="Arial"/>
        </w:rPr>
        <w:t xml:space="preserve">supports patient decision-making and fosters continuous quality improvement efforts among health care professionals and </w:t>
      </w:r>
      <w:r w:rsidR="004145EE">
        <w:rPr>
          <w:rFonts w:ascii="Arial" w:hAnsi="Arial" w:cs="Arial"/>
        </w:rPr>
        <w:t>transplant</w:t>
      </w:r>
      <w:r w:rsidRPr="00374081" w:rsidR="004145EE">
        <w:rPr>
          <w:rFonts w:ascii="Arial" w:hAnsi="Arial" w:cs="Arial"/>
        </w:rPr>
        <w:t xml:space="preserve"> </w:t>
      </w:r>
      <w:r w:rsidRPr="00374081" w:rsidR="008F64B2">
        <w:rPr>
          <w:rFonts w:ascii="Arial" w:hAnsi="Arial" w:cs="Arial"/>
        </w:rPr>
        <w:t>facilities.</w:t>
      </w:r>
    </w:p>
    <w:p w:rsidR="00381927" w:rsidRPr="00374081" w:rsidP="00381927" w14:paraId="05F71CFD" w14:textId="77777777">
      <w:pPr>
        <w:pStyle w:val="NormalWeb"/>
        <w:spacing w:before="0" w:beforeAutospacing="0" w:after="0" w:afterAutospacing="0"/>
        <w:rPr>
          <w:rFonts w:ascii="Arial" w:hAnsi="Arial" w:cs="Arial"/>
          <w:sz w:val="20"/>
          <w:szCs w:val="20"/>
        </w:rPr>
      </w:pPr>
    </w:p>
    <w:p w:rsidR="002557F8" w:rsidRPr="00374081" w:rsidP="009631EF" w14:paraId="1CE3E7E9" w14:textId="61305099">
      <w:pPr>
        <w:rPr>
          <w:rFonts w:ascii="Arial" w:hAnsi="Arial" w:cs="Arial"/>
        </w:rPr>
      </w:pPr>
      <w:r w:rsidRPr="00374081">
        <w:rPr>
          <w:rFonts w:ascii="Arial" w:hAnsi="Arial" w:cs="Arial"/>
        </w:rPr>
        <w:t xml:space="preserve">As part of its oversight responsibilities, </w:t>
      </w:r>
      <w:r w:rsidRPr="00374081">
        <w:rPr>
          <w:rFonts w:ascii="Arial" w:hAnsi="Arial" w:cs="Arial"/>
        </w:rPr>
        <w:t xml:space="preserve">HRSA submits an annual </w:t>
      </w:r>
      <w:r w:rsidRPr="00374081">
        <w:rPr>
          <w:rFonts w:ascii="Arial" w:hAnsi="Arial" w:cs="Arial"/>
        </w:rPr>
        <w:t>R</w:t>
      </w:r>
      <w:r w:rsidRPr="00374081">
        <w:rPr>
          <w:rFonts w:ascii="Arial" w:hAnsi="Arial" w:cs="Arial"/>
        </w:rPr>
        <w:t xml:space="preserve">eport to Congress on the </w:t>
      </w:r>
      <w:r w:rsidRPr="00374081">
        <w:rPr>
          <w:rFonts w:ascii="Arial" w:hAnsi="Arial" w:cs="Arial"/>
        </w:rPr>
        <w:t xml:space="preserve">performance and activities of these contractors in supporting the </w:t>
      </w:r>
      <w:r w:rsidRPr="00374081">
        <w:rPr>
          <w:rFonts w:ascii="Arial" w:hAnsi="Arial" w:cs="Arial"/>
        </w:rPr>
        <w:t>CWBYCTP</w:t>
      </w:r>
      <w:r w:rsidRPr="00374081" w:rsidR="00D60325">
        <w:rPr>
          <w:rFonts w:ascii="Arial" w:hAnsi="Arial" w:cs="Arial"/>
        </w:rPr>
        <w:t>.</w:t>
      </w:r>
      <w:r>
        <w:rPr>
          <w:rStyle w:val="FootnoteReference"/>
          <w:rFonts w:ascii="Arial" w:hAnsi="Arial" w:cs="Arial"/>
          <w:vertAlign w:val="superscript"/>
        </w:rPr>
        <w:footnoteReference w:id="6"/>
      </w:r>
      <w:r w:rsidRPr="00374081">
        <w:rPr>
          <w:rFonts w:ascii="Arial" w:hAnsi="Arial" w:cs="Arial"/>
        </w:rPr>
        <w:t xml:space="preserve"> </w:t>
      </w:r>
    </w:p>
    <w:p w:rsidR="00283DC7" w:rsidRPr="00374081" w:rsidP="009631EF" w14:paraId="554BB41F" w14:textId="77777777">
      <w:pPr>
        <w:rPr>
          <w:rFonts w:ascii="Arial" w:hAnsi="Arial" w:cs="Arial"/>
          <w:sz w:val="20"/>
          <w:szCs w:val="20"/>
        </w:rPr>
      </w:pPr>
    </w:p>
    <w:p w:rsidR="009631EF" w:rsidRPr="00374081" w:rsidP="009631EF" w14:paraId="68F905A5" w14:textId="11E627E9">
      <w:pPr>
        <w:pStyle w:val="ListParagraph"/>
        <w:numPr>
          <w:ilvl w:val="0"/>
          <w:numId w:val="24"/>
        </w:numPr>
        <w:spacing w:after="0" w:line="240" w:lineRule="auto"/>
        <w:rPr>
          <w:b/>
          <w:bCs/>
          <w:sz w:val="24"/>
          <w:szCs w:val="24"/>
        </w:rPr>
      </w:pPr>
      <w:r w:rsidRPr="00374081">
        <w:rPr>
          <w:b/>
          <w:bCs/>
          <w:sz w:val="24"/>
          <w:szCs w:val="24"/>
        </w:rPr>
        <w:t xml:space="preserve">National Cord Blood Inventory (NCBI) </w:t>
      </w:r>
    </w:p>
    <w:p w:rsidR="009631EF" w:rsidRPr="00374081" w:rsidP="009631EF" w14:paraId="4595D3E9" w14:textId="250D076A">
      <w:pPr>
        <w:pStyle w:val="ListParagraph"/>
        <w:spacing w:after="0" w:line="240" w:lineRule="auto"/>
        <w:ind w:left="360" w:firstLine="0"/>
        <w:rPr>
          <w:sz w:val="20"/>
          <w:szCs w:val="20"/>
        </w:rPr>
      </w:pPr>
    </w:p>
    <w:p w:rsidR="00D43A2C" w:rsidRPr="00374081" w:rsidP="00D43A2C" w14:paraId="7FE23729" w14:textId="2726A127">
      <w:pPr>
        <w:rPr>
          <w:rFonts w:ascii="Arial" w:hAnsi="Arial" w:cs="Arial"/>
        </w:rPr>
      </w:pPr>
      <w:r w:rsidRPr="00374081">
        <w:rPr>
          <w:rFonts w:ascii="Arial" w:hAnsi="Arial" w:cs="Arial"/>
        </w:rPr>
        <w:t xml:space="preserve">The NCBI Program contracts with CBBs to meet the statutory goal of building a public inventory of at least 150,000 new, </w:t>
      </w:r>
      <w:r w:rsidR="009443F1">
        <w:rPr>
          <w:rFonts w:ascii="Arial" w:hAnsi="Arial" w:cs="Arial"/>
        </w:rPr>
        <w:t>high-quality</w:t>
      </w:r>
      <w:r w:rsidRPr="00374081">
        <w:rPr>
          <w:rFonts w:ascii="Arial" w:hAnsi="Arial" w:cs="Arial"/>
        </w:rPr>
        <w:t xml:space="preserve">, and genetically </w:t>
      </w:r>
      <w:r w:rsidR="00A20E2E">
        <w:rPr>
          <w:rFonts w:ascii="Arial" w:hAnsi="Arial" w:cs="Arial"/>
        </w:rPr>
        <w:t>varied</w:t>
      </w:r>
      <w:r w:rsidRPr="00374081" w:rsidR="00A20E2E">
        <w:rPr>
          <w:rFonts w:ascii="Arial" w:hAnsi="Arial" w:cs="Arial"/>
        </w:rPr>
        <w:t xml:space="preserve"> </w:t>
      </w:r>
      <w:r w:rsidRPr="00374081">
        <w:rPr>
          <w:rFonts w:ascii="Arial" w:hAnsi="Arial" w:cs="Arial"/>
        </w:rPr>
        <w:t>CBUs. These CBUs are available for transplantation through the CWBYCTP.</w:t>
      </w:r>
    </w:p>
    <w:p w:rsidR="009631EF" w:rsidRPr="00374081" w:rsidP="00D43A2C" w14:paraId="36D720A7" w14:textId="364305D6">
      <w:pPr>
        <w:rPr>
          <w:rFonts w:ascii="Arial" w:hAnsi="Arial" w:cs="Arial"/>
          <w:sz w:val="20"/>
          <w:szCs w:val="20"/>
        </w:rPr>
      </w:pPr>
    </w:p>
    <w:p w:rsidR="00D43A2C" w:rsidRPr="00374081" w:rsidP="00D43A2C" w14:paraId="2D03CEFC" w14:textId="38ADCD54">
      <w:pPr>
        <w:pStyle w:val="ListParagraph"/>
        <w:numPr>
          <w:ilvl w:val="0"/>
          <w:numId w:val="24"/>
        </w:numPr>
        <w:spacing w:after="0" w:line="240" w:lineRule="auto"/>
        <w:rPr>
          <w:b/>
          <w:bCs/>
          <w:sz w:val="24"/>
          <w:szCs w:val="24"/>
        </w:rPr>
      </w:pPr>
      <w:r w:rsidRPr="00374081">
        <w:rPr>
          <w:b/>
          <w:bCs/>
          <w:sz w:val="24"/>
          <w:szCs w:val="24"/>
        </w:rPr>
        <w:t>Advisory Council on Blood Stem Cell Transplantation (ACBSCT)</w:t>
      </w:r>
    </w:p>
    <w:p w:rsidR="00D43A2C" w:rsidRPr="00374081" w:rsidP="00283DC7" w14:paraId="760B8B03" w14:textId="77777777">
      <w:pPr>
        <w:rPr>
          <w:rFonts w:ascii="Arial" w:hAnsi="Arial" w:cs="Arial"/>
          <w:sz w:val="20"/>
          <w:szCs w:val="20"/>
        </w:rPr>
      </w:pPr>
    </w:p>
    <w:p w:rsidR="008F46EA" w:rsidRPr="00374081" w:rsidP="00283DC7" w14:paraId="25E69B33" w14:textId="7F1F0236">
      <w:pPr>
        <w:rPr>
          <w:rFonts w:ascii="Arial" w:hAnsi="Arial" w:cs="Arial"/>
          <w:vertAlign w:val="superscript"/>
        </w:rPr>
      </w:pPr>
      <w:r w:rsidRPr="00374081">
        <w:rPr>
          <w:rFonts w:ascii="Arial" w:hAnsi="Arial" w:cs="Arial"/>
        </w:rPr>
        <w:t>The role of the ACBSCT is to advise, assist, consult with, and make recommendations to the Secretary of Health and Human Services (HHS) and the Administrator of HRSA on matters conducted by both the CWBYCTP and the NCBI Program.</w:t>
      </w:r>
      <w:r>
        <w:rPr>
          <w:rStyle w:val="FootnoteReference"/>
          <w:rFonts w:ascii="Arial" w:hAnsi="Arial" w:cs="Arial"/>
          <w:vertAlign w:val="superscript"/>
        </w:rPr>
        <w:footnoteReference w:id="7"/>
      </w:r>
      <w:r w:rsidRPr="00374081">
        <w:rPr>
          <w:rFonts w:ascii="Arial" w:hAnsi="Arial" w:cs="Arial"/>
          <w:vertAlign w:val="superscript"/>
        </w:rPr>
        <w:t xml:space="preserve"> </w:t>
      </w:r>
    </w:p>
    <w:p w:rsidR="00CF19A2" w:rsidRPr="00374081" w:rsidP="00283DC7" w14:paraId="63A4DA96" w14:textId="466287D4">
      <w:pPr>
        <w:rPr>
          <w:rFonts w:ascii="Arial" w:hAnsi="Arial" w:cs="Arial"/>
          <w:sz w:val="20"/>
          <w:szCs w:val="20"/>
        </w:rPr>
      </w:pPr>
    </w:p>
    <w:p w:rsidR="001214E5" w:rsidRPr="00374081" w:rsidP="009725BB" w14:paraId="716CDA8F" w14:textId="4EBBE434">
      <w:pPr>
        <w:pStyle w:val="Heading1"/>
        <w:rPr>
          <w:rFonts w:ascii="Arial" w:hAnsi="Arial" w:cs="Arial"/>
        </w:rPr>
      </w:pPr>
      <w:r w:rsidRPr="00374081">
        <w:rPr>
          <w:rFonts w:ascii="Arial" w:hAnsi="Arial" w:cs="Arial"/>
        </w:rPr>
        <w:t>JUSTIFICATION</w:t>
      </w:r>
    </w:p>
    <w:p w:rsidR="00FD678D" w:rsidRPr="00374081" w:rsidP="00FD678D" w14:paraId="192E6BB2" w14:textId="77777777">
      <w:pPr>
        <w:pStyle w:val="ListParagraph"/>
        <w:tabs>
          <w:tab w:val="center" w:pos="1476"/>
        </w:tabs>
        <w:spacing w:after="0" w:line="240" w:lineRule="auto"/>
        <w:ind w:left="360" w:firstLine="0"/>
        <w:rPr>
          <w:b/>
          <w:sz w:val="20"/>
          <w:szCs w:val="20"/>
        </w:rPr>
      </w:pPr>
    </w:p>
    <w:p w:rsidR="00AD3831" w:rsidRPr="00374081" w:rsidP="008036C1" w14:paraId="0AA47AB1" w14:textId="24E6461C">
      <w:pPr>
        <w:widowControl w:val="0"/>
        <w:numPr>
          <w:ilvl w:val="0"/>
          <w:numId w:val="7"/>
        </w:numPr>
        <w:tabs>
          <w:tab w:val="num" w:pos="360"/>
          <w:tab w:val="clear" w:pos="1080"/>
        </w:tabs>
        <w:autoSpaceDE w:val="0"/>
        <w:autoSpaceDN w:val="0"/>
        <w:adjustRightInd w:val="0"/>
        <w:ind w:left="360"/>
        <w:rPr>
          <w:rFonts w:ascii="Arial" w:hAnsi="Arial" w:cs="Arial"/>
          <w:b/>
          <w:u w:val="single"/>
        </w:rPr>
      </w:pPr>
      <w:r w:rsidRPr="00374081">
        <w:rPr>
          <w:rFonts w:ascii="Arial" w:hAnsi="Arial" w:cs="Arial"/>
          <w:b/>
          <w:u w:val="single"/>
        </w:rPr>
        <w:t>Circumstances Making the Collection of Information Necessary</w:t>
      </w:r>
    </w:p>
    <w:p w:rsidR="00FD678D" w:rsidRPr="00374081" w:rsidP="00FD678D" w14:paraId="311C6DB9" w14:textId="77777777">
      <w:pPr>
        <w:widowControl w:val="0"/>
        <w:autoSpaceDE w:val="0"/>
        <w:autoSpaceDN w:val="0"/>
        <w:adjustRightInd w:val="0"/>
        <w:ind w:left="360"/>
        <w:rPr>
          <w:rFonts w:ascii="Arial" w:hAnsi="Arial" w:cs="Arial"/>
          <w:b/>
          <w:sz w:val="20"/>
          <w:szCs w:val="20"/>
        </w:rPr>
      </w:pPr>
    </w:p>
    <w:p w:rsidR="009208D7" w:rsidRPr="00374081" w:rsidP="002F11D4" w14:paraId="28D7059B" w14:textId="291B0374">
      <w:pPr>
        <w:rPr>
          <w:rFonts w:ascii="Arial" w:hAnsi="Arial" w:cs="Arial"/>
        </w:rPr>
      </w:pPr>
      <w:r w:rsidRPr="00374081">
        <w:rPr>
          <w:rFonts w:ascii="Arial" w:hAnsi="Arial" w:cs="Arial"/>
        </w:rPr>
        <w:t>T</w:t>
      </w:r>
      <w:r w:rsidRPr="00374081" w:rsidR="00467BD0">
        <w:rPr>
          <w:rFonts w:ascii="Arial" w:hAnsi="Arial" w:cs="Arial"/>
        </w:rPr>
        <w:t xml:space="preserve">he </w:t>
      </w:r>
      <w:r w:rsidRPr="00374081" w:rsidR="006C368F">
        <w:rPr>
          <w:rFonts w:ascii="Arial" w:hAnsi="Arial" w:cs="Arial"/>
        </w:rPr>
        <w:t xml:space="preserve">Stem Cell Therapeutic and Research </w:t>
      </w:r>
      <w:r w:rsidRPr="00374081" w:rsidR="00837D7A">
        <w:rPr>
          <w:rFonts w:ascii="Arial" w:hAnsi="Arial" w:cs="Arial"/>
        </w:rPr>
        <w:t>Act of 2005 (</w:t>
      </w:r>
      <w:r w:rsidRPr="00374081" w:rsidR="006C368F">
        <w:rPr>
          <w:rFonts w:ascii="Arial" w:hAnsi="Arial" w:cs="Arial"/>
        </w:rPr>
        <w:t>Public Law 1</w:t>
      </w:r>
      <w:r w:rsidRPr="00374081" w:rsidR="00837D7A">
        <w:rPr>
          <w:rFonts w:ascii="Arial" w:hAnsi="Arial" w:cs="Arial"/>
        </w:rPr>
        <w:t>09-129</w:t>
      </w:r>
      <w:r w:rsidRPr="00374081" w:rsidR="006C368F">
        <w:rPr>
          <w:rFonts w:ascii="Arial" w:hAnsi="Arial" w:cs="Arial"/>
        </w:rPr>
        <w:t xml:space="preserve">, December </w:t>
      </w:r>
      <w:r w:rsidRPr="00374081" w:rsidR="00837D7A">
        <w:rPr>
          <w:rFonts w:ascii="Arial" w:hAnsi="Arial" w:cs="Arial"/>
        </w:rPr>
        <w:t>20</w:t>
      </w:r>
      <w:r w:rsidRPr="00374081" w:rsidR="006C368F">
        <w:rPr>
          <w:rFonts w:ascii="Arial" w:hAnsi="Arial" w:cs="Arial"/>
        </w:rPr>
        <w:t>, 20</w:t>
      </w:r>
      <w:r w:rsidRPr="00374081" w:rsidR="00837D7A">
        <w:rPr>
          <w:rFonts w:ascii="Arial" w:hAnsi="Arial" w:cs="Arial"/>
        </w:rPr>
        <w:t>0</w:t>
      </w:r>
      <w:r w:rsidRPr="00374081" w:rsidR="006C368F">
        <w:rPr>
          <w:rFonts w:ascii="Arial" w:hAnsi="Arial" w:cs="Arial"/>
        </w:rPr>
        <w:t>5</w:t>
      </w:r>
      <w:r w:rsidRPr="00374081" w:rsidR="00837D7A">
        <w:rPr>
          <w:rFonts w:ascii="Arial" w:hAnsi="Arial" w:cs="Arial"/>
        </w:rPr>
        <w:t>) as amended and codified in Section 379</w:t>
      </w:r>
      <w:r w:rsidRPr="00374081" w:rsidR="00F23C1E">
        <w:rPr>
          <w:rFonts w:ascii="Arial" w:hAnsi="Arial" w:cs="Arial"/>
        </w:rPr>
        <w:t>A</w:t>
      </w:r>
      <w:r w:rsidRPr="00374081" w:rsidR="00837D7A">
        <w:rPr>
          <w:rFonts w:ascii="Arial" w:hAnsi="Arial" w:cs="Arial"/>
        </w:rPr>
        <w:t xml:space="preserve"> of the Public Health Service Act (42 U.S.C. 247l)</w:t>
      </w:r>
      <w:r w:rsidRPr="00374081">
        <w:rPr>
          <w:rFonts w:ascii="Arial" w:hAnsi="Arial" w:cs="Arial"/>
        </w:rPr>
        <w:t xml:space="preserve"> </w:t>
      </w:r>
      <w:r w:rsidRPr="00374081" w:rsidR="00F23C1E">
        <w:rPr>
          <w:rFonts w:ascii="Arial" w:hAnsi="Arial" w:cs="Arial"/>
        </w:rPr>
        <w:t xml:space="preserve">requires that the Secretary, by contract, </w:t>
      </w:r>
      <w:r w:rsidRPr="00374081" w:rsidR="00AC5D47">
        <w:rPr>
          <w:rFonts w:ascii="Arial" w:hAnsi="Arial" w:cs="Arial" w:hint="eastAsia"/>
        </w:rPr>
        <w:t>“</w:t>
      </w:r>
      <w:r w:rsidRPr="00374081" w:rsidR="00F23C1E">
        <w:rPr>
          <w:rFonts w:ascii="Arial" w:hAnsi="Arial" w:cs="Arial"/>
        </w:rPr>
        <w:t>establish and maintain a scientific database of information relating to patients who have been recipients of a stem cell therapeutics product (including bone marrow, cord blood, or other such product) from a donor.</w:t>
      </w:r>
      <w:r w:rsidRPr="00374081" w:rsidR="00AC5D47">
        <w:rPr>
          <w:rFonts w:ascii="Arial" w:hAnsi="Arial" w:cs="Arial" w:hint="eastAsia"/>
        </w:rPr>
        <w:t>”</w:t>
      </w:r>
      <w:r w:rsidRPr="00374081" w:rsidR="00F23C1E">
        <w:rPr>
          <w:rFonts w:ascii="Arial" w:hAnsi="Arial" w:cs="Arial"/>
        </w:rPr>
        <w:t xml:space="preserve"> </w:t>
      </w:r>
      <w:r w:rsidRPr="00374081" w:rsidR="00837D7A">
        <w:rPr>
          <w:rFonts w:ascii="Arial" w:hAnsi="Arial" w:cs="Arial"/>
        </w:rPr>
        <w:t xml:space="preserve">Based on this authority, </w:t>
      </w:r>
      <w:r w:rsidRPr="00374081">
        <w:rPr>
          <w:rFonts w:ascii="Arial" w:hAnsi="Arial" w:cs="Arial"/>
        </w:rPr>
        <w:t>HRSA</w:t>
      </w:r>
      <w:r w:rsidRPr="00374081" w:rsidR="001214E5">
        <w:rPr>
          <w:rFonts w:ascii="Arial" w:hAnsi="Arial" w:cs="Arial"/>
        </w:rPr>
        <w:t xml:space="preserve"> </w:t>
      </w:r>
      <w:r w:rsidRPr="00374081" w:rsidR="00837D7A">
        <w:rPr>
          <w:rFonts w:ascii="Arial" w:hAnsi="Arial" w:cs="Arial"/>
        </w:rPr>
        <w:t>r</w:t>
      </w:r>
      <w:r w:rsidRPr="00374081" w:rsidR="001214E5">
        <w:rPr>
          <w:rFonts w:ascii="Arial" w:hAnsi="Arial" w:cs="Arial"/>
        </w:rPr>
        <w:t>equest</w:t>
      </w:r>
      <w:r w:rsidRPr="00374081" w:rsidR="00837D7A">
        <w:rPr>
          <w:rFonts w:ascii="Arial" w:hAnsi="Arial" w:cs="Arial"/>
        </w:rPr>
        <w:t>s</w:t>
      </w:r>
      <w:r w:rsidRPr="00374081" w:rsidR="001214E5">
        <w:rPr>
          <w:rFonts w:ascii="Arial" w:hAnsi="Arial" w:cs="Arial"/>
        </w:rPr>
        <w:t xml:space="preserve"> that the Office of Management and Budget </w:t>
      </w:r>
      <w:r w:rsidRPr="00374081" w:rsidR="00B06630">
        <w:rPr>
          <w:rFonts w:ascii="Arial" w:hAnsi="Arial" w:cs="Arial"/>
        </w:rPr>
        <w:t xml:space="preserve">(OMB) </w:t>
      </w:r>
      <w:r w:rsidRPr="00374081" w:rsidR="001214E5">
        <w:rPr>
          <w:rFonts w:ascii="Arial" w:hAnsi="Arial" w:cs="Arial"/>
        </w:rPr>
        <w:t>continu</w:t>
      </w:r>
      <w:r w:rsidRPr="00374081" w:rsidR="002171D5">
        <w:rPr>
          <w:rFonts w:ascii="Arial" w:hAnsi="Arial" w:cs="Arial"/>
        </w:rPr>
        <w:t>e</w:t>
      </w:r>
      <w:r w:rsidRPr="00374081" w:rsidR="001214E5">
        <w:rPr>
          <w:rFonts w:ascii="Arial" w:hAnsi="Arial" w:cs="Arial"/>
        </w:rPr>
        <w:t xml:space="preserve"> approval of the </w:t>
      </w:r>
      <w:r w:rsidRPr="00374081" w:rsidR="00252A71">
        <w:rPr>
          <w:rFonts w:ascii="Arial" w:hAnsi="Arial" w:cs="Arial"/>
        </w:rPr>
        <w:t xml:space="preserve">collection of </w:t>
      </w:r>
      <w:r w:rsidRPr="00374081" w:rsidR="00850293">
        <w:rPr>
          <w:rFonts w:ascii="Arial" w:hAnsi="Arial" w:cs="Arial"/>
        </w:rPr>
        <w:t>information</w:t>
      </w:r>
      <w:r w:rsidRPr="00374081" w:rsidR="001214E5">
        <w:rPr>
          <w:rFonts w:ascii="Arial" w:hAnsi="Arial" w:cs="Arial"/>
        </w:rPr>
        <w:t xml:space="preserve"> for the SCTOD, a component of the C.W. Bill Young Cell Transplantation Program (</w:t>
      </w:r>
      <w:r w:rsidRPr="00374081" w:rsidR="009905F5">
        <w:rPr>
          <w:rFonts w:ascii="Arial" w:hAnsi="Arial" w:cs="Arial"/>
        </w:rPr>
        <w:t>CWBYCTP</w:t>
      </w:r>
      <w:r w:rsidRPr="00374081" w:rsidR="001214E5">
        <w:rPr>
          <w:rFonts w:ascii="Arial" w:hAnsi="Arial" w:cs="Arial"/>
        </w:rPr>
        <w:t>).</w:t>
      </w:r>
      <w:r w:rsidRPr="00374081" w:rsidR="00431F3E">
        <w:rPr>
          <w:rFonts w:ascii="Arial" w:hAnsi="Arial" w:cs="Arial"/>
        </w:rPr>
        <w:t xml:space="preserve"> </w:t>
      </w:r>
      <w:r w:rsidRPr="00374081" w:rsidR="00DF6B08">
        <w:rPr>
          <w:rFonts w:ascii="Arial" w:hAnsi="Arial" w:cs="Arial"/>
        </w:rPr>
        <w:t>Th</w:t>
      </w:r>
      <w:r w:rsidRPr="00374081" w:rsidR="00D134E9">
        <w:rPr>
          <w:rFonts w:ascii="Arial" w:hAnsi="Arial" w:cs="Arial"/>
        </w:rPr>
        <w:t>e</w:t>
      </w:r>
      <w:r w:rsidRPr="00374081" w:rsidR="00DF6B08">
        <w:rPr>
          <w:rFonts w:ascii="Arial" w:hAnsi="Arial" w:cs="Arial"/>
        </w:rPr>
        <w:t xml:space="preserve"> collection of </w:t>
      </w:r>
      <w:r w:rsidRPr="00374081" w:rsidR="00D134E9">
        <w:rPr>
          <w:rFonts w:ascii="Arial" w:hAnsi="Arial" w:cs="Arial"/>
        </w:rPr>
        <w:t xml:space="preserve">these data </w:t>
      </w:r>
      <w:r w:rsidRPr="00374081" w:rsidR="00FC7F37">
        <w:rPr>
          <w:rFonts w:ascii="Arial" w:hAnsi="Arial" w:cs="Arial"/>
        </w:rPr>
        <w:t>fulfills</w:t>
      </w:r>
      <w:r w:rsidRPr="00374081" w:rsidR="00D134E9">
        <w:rPr>
          <w:rFonts w:ascii="Arial" w:hAnsi="Arial" w:cs="Arial"/>
        </w:rPr>
        <w:t xml:space="preserve"> the </w:t>
      </w:r>
      <w:r w:rsidRPr="00374081">
        <w:rPr>
          <w:rFonts w:ascii="Arial" w:hAnsi="Arial" w:cs="Arial"/>
        </w:rPr>
        <w:t xml:space="preserve">statutory </w:t>
      </w:r>
      <w:r w:rsidRPr="00374081" w:rsidR="001214E5">
        <w:rPr>
          <w:rFonts w:ascii="Arial" w:hAnsi="Arial" w:cs="Arial"/>
        </w:rPr>
        <w:t xml:space="preserve">requirements </w:t>
      </w:r>
      <w:r w:rsidRPr="00374081">
        <w:rPr>
          <w:rFonts w:ascii="Arial" w:hAnsi="Arial" w:cs="Arial"/>
        </w:rPr>
        <w:t>at 42 U.S.C. 247l</w:t>
      </w:r>
      <w:r w:rsidRPr="00374081" w:rsidR="001214E5">
        <w:rPr>
          <w:rFonts w:ascii="Arial" w:hAnsi="Arial" w:cs="Arial"/>
        </w:rPr>
        <w:t xml:space="preserve">. </w:t>
      </w:r>
    </w:p>
    <w:p w:rsidR="00D91741" w:rsidRPr="00374081" w:rsidP="008036C1" w14:paraId="02D6E440" w14:textId="77777777">
      <w:pPr>
        <w:ind w:left="-5"/>
        <w:rPr>
          <w:rFonts w:ascii="Arial" w:hAnsi="Arial" w:cs="Arial"/>
          <w:sz w:val="20"/>
          <w:szCs w:val="20"/>
        </w:rPr>
      </w:pPr>
    </w:p>
    <w:p w:rsidR="001214E5" w:rsidRPr="00374081" w:rsidP="008036C1" w14:paraId="08FF1716" w14:textId="5DBCDEE7">
      <w:pPr>
        <w:ind w:left="360" w:hanging="360"/>
        <w:rPr>
          <w:rFonts w:ascii="Arial" w:hAnsi="Arial" w:cs="Arial"/>
          <w:b/>
          <w:u w:val="single"/>
        </w:rPr>
      </w:pPr>
      <w:r w:rsidRPr="00374081">
        <w:rPr>
          <w:rFonts w:ascii="Arial" w:hAnsi="Arial" w:cs="Arial"/>
          <w:b/>
        </w:rPr>
        <w:t xml:space="preserve">2. </w:t>
      </w:r>
      <w:r w:rsidRPr="00374081" w:rsidR="00966A77">
        <w:rPr>
          <w:rFonts w:ascii="Arial" w:hAnsi="Arial" w:cs="Arial"/>
          <w:b/>
        </w:rPr>
        <w:tab/>
      </w:r>
      <w:r w:rsidRPr="00374081">
        <w:rPr>
          <w:rFonts w:ascii="Arial" w:hAnsi="Arial" w:cs="Arial"/>
          <w:b/>
          <w:u w:val="single"/>
        </w:rPr>
        <w:t xml:space="preserve">Purpose and Use of Information </w:t>
      </w:r>
    </w:p>
    <w:p w:rsidR="002F11D4" w:rsidRPr="00374081" w:rsidP="008036C1" w14:paraId="31C01BF6" w14:textId="77777777">
      <w:pPr>
        <w:ind w:left="360" w:hanging="360"/>
        <w:rPr>
          <w:rFonts w:ascii="Arial" w:hAnsi="Arial" w:cs="Arial"/>
          <w:sz w:val="20"/>
          <w:szCs w:val="20"/>
        </w:rPr>
      </w:pPr>
    </w:p>
    <w:p w:rsidR="00F37A67" w:rsidRPr="00374081" w:rsidP="00626E51" w14:paraId="7D62A57C" w14:textId="198E1AE2">
      <w:pPr>
        <w:spacing w:after="120"/>
        <w:rPr>
          <w:rFonts w:ascii="Arial" w:hAnsi="Arial" w:cs="Arial"/>
        </w:rPr>
      </w:pPr>
      <w:r w:rsidRPr="00374081">
        <w:rPr>
          <w:rFonts w:ascii="Arial" w:hAnsi="Arial" w:cs="Arial"/>
        </w:rPr>
        <w:t xml:space="preserve">The overall purpose of the data collection is to </w:t>
      </w:r>
      <w:r w:rsidRPr="00374081" w:rsidR="00492EE0">
        <w:rPr>
          <w:rFonts w:ascii="Arial" w:hAnsi="Arial" w:cs="Arial"/>
        </w:rPr>
        <w:t xml:space="preserve">improve the </w:t>
      </w:r>
      <w:r w:rsidRPr="00374081" w:rsidR="0061343A">
        <w:rPr>
          <w:rFonts w:ascii="Arial" w:hAnsi="Arial" w:cs="Arial"/>
        </w:rPr>
        <w:t xml:space="preserve">treatment and </w:t>
      </w:r>
      <w:r w:rsidR="008244B0">
        <w:rPr>
          <w:rFonts w:ascii="Arial" w:hAnsi="Arial" w:cs="Arial"/>
        </w:rPr>
        <w:t>outcome</w:t>
      </w:r>
      <w:r w:rsidR="009B7230">
        <w:rPr>
          <w:rFonts w:ascii="Arial" w:hAnsi="Arial" w:cs="Arial"/>
        </w:rPr>
        <w:t xml:space="preserve"> </w:t>
      </w:r>
      <w:r w:rsidRPr="00374081" w:rsidR="00492EE0">
        <w:rPr>
          <w:rFonts w:ascii="Arial" w:hAnsi="Arial" w:cs="Arial"/>
        </w:rPr>
        <w:t>for patients who may benefit from cellular therapies</w:t>
      </w:r>
      <w:r w:rsidRPr="00374081" w:rsidR="00FC7F37">
        <w:rPr>
          <w:rFonts w:ascii="Arial" w:hAnsi="Arial" w:cs="Arial"/>
        </w:rPr>
        <w:t xml:space="preserve">. It does so </w:t>
      </w:r>
      <w:r w:rsidRPr="00374081" w:rsidR="000E600C">
        <w:rPr>
          <w:rFonts w:ascii="Arial" w:hAnsi="Arial" w:cs="Arial"/>
        </w:rPr>
        <w:t xml:space="preserve">by </w:t>
      </w:r>
      <w:r w:rsidRPr="00374081">
        <w:rPr>
          <w:rFonts w:ascii="Arial" w:hAnsi="Arial" w:cs="Arial"/>
        </w:rPr>
        <w:t>fulfill</w:t>
      </w:r>
      <w:r w:rsidRPr="00374081" w:rsidR="000E600C">
        <w:rPr>
          <w:rFonts w:ascii="Arial" w:hAnsi="Arial" w:cs="Arial"/>
        </w:rPr>
        <w:t>ing</w:t>
      </w:r>
      <w:r w:rsidRPr="00374081">
        <w:rPr>
          <w:rFonts w:ascii="Arial" w:hAnsi="Arial" w:cs="Arial"/>
        </w:rPr>
        <w:t xml:space="preserve"> the legislative </w:t>
      </w:r>
      <w:r w:rsidRPr="00374081" w:rsidR="00492EE0">
        <w:rPr>
          <w:rFonts w:ascii="Arial" w:hAnsi="Arial" w:cs="Arial"/>
        </w:rPr>
        <w:t xml:space="preserve">requirement </w:t>
      </w:r>
      <w:r w:rsidRPr="00374081" w:rsidR="006F7A9C">
        <w:rPr>
          <w:rFonts w:ascii="Arial" w:hAnsi="Arial" w:cs="Arial"/>
        </w:rPr>
        <w:t>at 42 U.S.C. 247l(a)</w:t>
      </w:r>
      <w:r w:rsidRPr="00374081">
        <w:rPr>
          <w:rFonts w:ascii="Arial" w:hAnsi="Arial" w:cs="Arial"/>
        </w:rPr>
        <w:t xml:space="preserve"> </w:t>
      </w:r>
      <w:r w:rsidRPr="00374081" w:rsidR="005556C4">
        <w:rPr>
          <w:rFonts w:ascii="Arial" w:hAnsi="Arial" w:cs="Arial"/>
        </w:rPr>
        <w:t>to</w:t>
      </w:r>
      <w:r w:rsidRPr="00374081" w:rsidR="00492EE0">
        <w:rPr>
          <w:rFonts w:ascii="Arial" w:hAnsi="Arial" w:cs="Arial"/>
        </w:rPr>
        <w:t xml:space="preserve"> </w:t>
      </w:r>
      <w:r w:rsidRPr="00374081" w:rsidR="00A961CE">
        <w:rPr>
          <w:rFonts w:ascii="Arial" w:hAnsi="Arial" w:cs="Arial"/>
        </w:rPr>
        <w:t xml:space="preserve">establish and maintain a </w:t>
      </w:r>
      <w:r w:rsidRPr="00374081" w:rsidR="005D4824">
        <w:rPr>
          <w:rFonts w:ascii="Arial" w:hAnsi="Arial" w:cs="Arial"/>
        </w:rPr>
        <w:t xml:space="preserve">scientific database of information relating to </w:t>
      </w:r>
      <w:r w:rsidRPr="00374081" w:rsidR="00C333F1">
        <w:rPr>
          <w:rFonts w:ascii="Arial" w:hAnsi="Arial" w:cs="Arial"/>
        </w:rPr>
        <w:t xml:space="preserve">donors and </w:t>
      </w:r>
      <w:r w:rsidRPr="00374081" w:rsidR="005D4824">
        <w:rPr>
          <w:rFonts w:ascii="Arial" w:hAnsi="Arial" w:cs="Arial"/>
        </w:rPr>
        <w:t>recipients of a stem cell therapeutics product</w:t>
      </w:r>
      <w:r w:rsidRPr="00374081" w:rsidR="00A961CE">
        <w:rPr>
          <w:rFonts w:ascii="Arial" w:hAnsi="Arial" w:cs="Arial"/>
        </w:rPr>
        <w:t>.</w:t>
      </w:r>
      <w:r w:rsidRPr="00374081" w:rsidR="00741B89">
        <w:rPr>
          <w:rFonts w:ascii="Arial" w:hAnsi="Arial" w:cs="Arial"/>
        </w:rPr>
        <w:t xml:space="preserve"> </w:t>
      </w:r>
      <w:r w:rsidRPr="00374081" w:rsidR="0010335E">
        <w:rPr>
          <w:rFonts w:ascii="Arial" w:hAnsi="Arial" w:cs="Arial"/>
        </w:rPr>
        <w:t xml:space="preserve">Per 42 U.S.C. 247l(b), the outcomes database shall include information </w:t>
      </w:r>
      <w:r w:rsidRPr="00374081" w:rsidR="00B76B8B">
        <w:rPr>
          <w:rFonts w:ascii="Arial" w:hAnsi="Arial" w:cs="Arial"/>
        </w:rPr>
        <w:t>regarding “</w:t>
      </w:r>
      <w:r w:rsidRPr="00374081" w:rsidR="0010335E">
        <w:rPr>
          <w:rFonts w:ascii="Arial" w:hAnsi="Arial" w:cs="Arial"/>
        </w:rPr>
        <w:t>diagnosis, transplant procedures, results, long-term follow-up, and such other information as the Secretary determines to be appropriate</w:t>
      </w:r>
      <w:r w:rsidRPr="00374081" w:rsidR="00B76B8B">
        <w:rPr>
          <w:rFonts w:ascii="Arial" w:hAnsi="Arial" w:cs="Arial"/>
        </w:rPr>
        <w:t>”</w:t>
      </w:r>
      <w:r w:rsidRPr="00374081" w:rsidR="0010335E">
        <w:rPr>
          <w:rFonts w:ascii="Arial" w:hAnsi="Arial" w:cs="Arial"/>
        </w:rPr>
        <w:t xml:space="preserve"> to conduct an ongoing evaluation of the scientific and clinical status of </w:t>
      </w:r>
      <w:r w:rsidRPr="00374081" w:rsidR="00B76B8B">
        <w:rPr>
          <w:rFonts w:ascii="Arial" w:hAnsi="Arial" w:cs="Arial"/>
        </w:rPr>
        <w:t xml:space="preserve">HCT </w:t>
      </w:r>
      <w:r w:rsidRPr="00374081" w:rsidR="0010335E">
        <w:rPr>
          <w:rFonts w:ascii="Arial" w:hAnsi="Arial" w:cs="Arial"/>
        </w:rPr>
        <w:t>transplantation</w:t>
      </w:r>
      <w:r w:rsidRPr="00374081" w:rsidR="00B76B8B">
        <w:rPr>
          <w:rFonts w:ascii="Arial" w:hAnsi="Arial" w:cs="Arial"/>
        </w:rPr>
        <w:t xml:space="preserve">. </w:t>
      </w:r>
      <w:r w:rsidRPr="00374081" w:rsidR="00A1630D">
        <w:rPr>
          <w:rFonts w:ascii="Arial" w:hAnsi="Arial" w:cs="Arial"/>
        </w:rPr>
        <w:t xml:space="preserve">HRSA, through its SCTOD contractor, maintains the scientific database and fulfills the </w:t>
      </w:r>
      <w:r w:rsidRPr="00374081" w:rsidR="00A03611">
        <w:rPr>
          <w:rFonts w:ascii="Arial" w:hAnsi="Arial" w:cs="Arial"/>
        </w:rPr>
        <w:t xml:space="preserve">statutory </w:t>
      </w:r>
      <w:r w:rsidRPr="00374081" w:rsidR="00A1630D">
        <w:rPr>
          <w:rFonts w:ascii="Arial" w:hAnsi="Arial" w:cs="Arial"/>
        </w:rPr>
        <w:t xml:space="preserve">requirements to provide </w:t>
      </w:r>
      <w:r w:rsidRPr="00374081">
        <w:rPr>
          <w:rFonts w:ascii="Arial" w:hAnsi="Arial" w:cs="Arial"/>
        </w:rPr>
        <w:t>information for</w:t>
      </w:r>
      <w:r w:rsidRPr="00374081" w:rsidR="003B4CEA">
        <w:rPr>
          <w:rFonts w:ascii="Arial" w:hAnsi="Arial" w:cs="Arial"/>
        </w:rPr>
        <w:t xml:space="preserve"> </w:t>
      </w:r>
      <w:r w:rsidRPr="00374081">
        <w:rPr>
          <w:rFonts w:ascii="Arial" w:hAnsi="Arial" w:cs="Arial"/>
        </w:rPr>
        <w:t xml:space="preserve">two </w:t>
      </w:r>
      <w:r w:rsidRPr="00374081" w:rsidR="00A03611">
        <w:rPr>
          <w:rFonts w:ascii="Arial" w:hAnsi="Arial" w:cs="Arial"/>
        </w:rPr>
        <w:t xml:space="preserve">primary </w:t>
      </w:r>
      <w:r w:rsidRPr="00374081">
        <w:rPr>
          <w:rFonts w:ascii="Arial" w:hAnsi="Arial" w:cs="Arial"/>
        </w:rPr>
        <w:t>purposes:</w:t>
      </w:r>
    </w:p>
    <w:p w:rsidR="00F37A67" w:rsidRPr="00374081" w:rsidP="00626E51" w14:paraId="40E756BD" w14:textId="65BC244A">
      <w:pPr>
        <w:pStyle w:val="ListParagraph"/>
        <w:numPr>
          <w:ilvl w:val="0"/>
          <w:numId w:val="8"/>
        </w:numPr>
        <w:spacing w:after="120" w:line="240" w:lineRule="auto"/>
        <w:ind w:left="706"/>
        <w:contextualSpacing w:val="0"/>
        <w:rPr>
          <w:sz w:val="24"/>
          <w:szCs w:val="24"/>
        </w:rPr>
      </w:pPr>
      <w:r w:rsidRPr="00374081">
        <w:rPr>
          <w:rFonts w:eastAsia="Times New Roman"/>
          <w:sz w:val="24"/>
          <w:szCs w:val="24"/>
        </w:rPr>
        <w:t>The s</w:t>
      </w:r>
      <w:r w:rsidRPr="00374081" w:rsidR="0031095D">
        <w:rPr>
          <w:rFonts w:eastAsia="Times New Roman"/>
          <w:sz w:val="24"/>
          <w:szCs w:val="24"/>
        </w:rPr>
        <w:t>ubmission of a</w:t>
      </w:r>
      <w:r w:rsidRPr="00374081" w:rsidR="00C21411">
        <w:rPr>
          <w:rFonts w:eastAsia="Times New Roman"/>
          <w:sz w:val="24"/>
          <w:szCs w:val="24"/>
        </w:rPr>
        <w:t>n</w:t>
      </w:r>
      <w:r w:rsidRPr="00374081">
        <w:rPr>
          <w:rFonts w:eastAsia="Times New Roman"/>
          <w:sz w:val="24"/>
          <w:szCs w:val="24"/>
        </w:rPr>
        <w:t xml:space="preserve"> annual report </w:t>
      </w:r>
      <w:r w:rsidRPr="00374081" w:rsidR="004D48CC">
        <w:rPr>
          <w:rFonts w:eastAsia="Times New Roman"/>
          <w:sz w:val="24"/>
          <w:szCs w:val="24"/>
        </w:rPr>
        <w:t xml:space="preserve">to the Secretary “concerning patient outcomes with respect to each transplant center” </w:t>
      </w:r>
      <w:r w:rsidRPr="00374081">
        <w:rPr>
          <w:rFonts w:eastAsia="Times New Roman"/>
          <w:sz w:val="24"/>
          <w:szCs w:val="24"/>
        </w:rPr>
        <w:t xml:space="preserve">under </w:t>
      </w:r>
      <w:r w:rsidRPr="00374081" w:rsidR="0031095D">
        <w:rPr>
          <w:rFonts w:eastAsia="Times New Roman"/>
          <w:sz w:val="24"/>
          <w:szCs w:val="24"/>
        </w:rPr>
        <w:t>42 U.S.C. 247l(c)</w:t>
      </w:r>
      <w:r w:rsidRPr="00374081">
        <w:rPr>
          <w:rFonts w:eastAsia="Times New Roman"/>
          <w:sz w:val="24"/>
          <w:szCs w:val="24"/>
        </w:rPr>
        <w:t xml:space="preserve"> and</w:t>
      </w:r>
    </w:p>
    <w:p w:rsidR="00F37A67" w:rsidRPr="00374081" w:rsidP="008036C1" w14:paraId="0987553A" w14:textId="16E8D93C">
      <w:pPr>
        <w:pStyle w:val="ListParagraph"/>
        <w:numPr>
          <w:ilvl w:val="0"/>
          <w:numId w:val="8"/>
        </w:numPr>
        <w:spacing w:after="0" w:line="240" w:lineRule="auto"/>
        <w:rPr>
          <w:rFonts w:eastAsia="Times New Roman"/>
          <w:sz w:val="24"/>
          <w:szCs w:val="24"/>
        </w:rPr>
      </w:pPr>
      <w:r w:rsidRPr="00374081">
        <w:rPr>
          <w:sz w:val="24"/>
          <w:szCs w:val="24"/>
        </w:rPr>
        <w:t>T</w:t>
      </w:r>
      <w:r w:rsidRPr="00374081">
        <w:rPr>
          <w:sz w:val="24"/>
          <w:szCs w:val="24"/>
        </w:rPr>
        <w:t xml:space="preserve">he provision of relevant </w:t>
      </w:r>
      <w:r w:rsidRPr="00374081" w:rsidR="00D93BE1">
        <w:rPr>
          <w:sz w:val="24"/>
          <w:szCs w:val="24"/>
        </w:rPr>
        <w:t xml:space="preserve">and de-identified </w:t>
      </w:r>
      <w:r w:rsidRPr="00374081">
        <w:rPr>
          <w:sz w:val="24"/>
          <w:szCs w:val="24"/>
        </w:rPr>
        <w:t xml:space="preserve">scientific information </w:t>
      </w:r>
      <w:r w:rsidRPr="00374081" w:rsidR="00D93BE1">
        <w:rPr>
          <w:sz w:val="24"/>
          <w:szCs w:val="24"/>
        </w:rPr>
        <w:t xml:space="preserve">to the public in the form of summaries and data sets </w:t>
      </w:r>
      <w:r w:rsidRPr="00374081">
        <w:rPr>
          <w:sz w:val="24"/>
          <w:szCs w:val="24"/>
        </w:rPr>
        <w:t>under 42 U.S.C. 247l(d).</w:t>
      </w:r>
    </w:p>
    <w:p w:rsidR="00A1630D" w:rsidRPr="00374081" w:rsidP="00A1630D" w14:paraId="7DE29F4C" w14:textId="77777777">
      <w:pPr>
        <w:pStyle w:val="ListParagraph"/>
        <w:spacing w:after="0" w:line="240" w:lineRule="auto"/>
        <w:ind w:left="705" w:firstLine="0"/>
        <w:rPr>
          <w:rFonts w:eastAsia="Times New Roman"/>
          <w:sz w:val="20"/>
          <w:szCs w:val="20"/>
        </w:rPr>
      </w:pPr>
    </w:p>
    <w:p w:rsidR="006A6D9E" w:rsidRPr="00374081" w:rsidP="006D48EA" w14:paraId="4ED2A7ED" w14:textId="5D078FCB">
      <w:pPr>
        <w:rPr>
          <w:rFonts w:ascii="Arial" w:hAnsi="Arial" w:cs="Arial"/>
        </w:rPr>
      </w:pPr>
      <w:r w:rsidRPr="00374081">
        <w:rPr>
          <w:rFonts w:ascii="Arial" w:hAnsi="Arial" w:cs="Arial"/>
        </w:rPr>
        <w:t>To meet the</w:t>
      </w:r>
      <w:r w:rsidRPr="00374081" w:rsidR="00D92292">
        <w:rPr>
          <w:rFonts w:ascii="Arial" w:hAnsi="Arial" w:cs="Arial"/>
        </w:rPr>
        <w:t>se</w:t>
      </w:r>
      <w:r w:rsidRPr="00374081">
        <w:rPr>
          <w:rFonts w:ascii="Arial" w:hAnsi="Arial" w:cs="Arial"/>
        </w:rPr>
        <w:t xml:space="preserve"> requirement</w:t>
      </w:r>
      <w:r w:rsidRPr="00374081" w:rsidR="00D92292">
        <w:rPr>
          <w:rFonts w:ascii="Arial" w:hAnsi="Arial" w:cs="Arial"/>
        </w:rPr>
        <w:t>s</w:t>
      </w:r>
      <w:r w:rsidRPr="00374081">
        <w:rPr>
          <w:rFonts w:ascii="Arial" w:hAnsi="Arial" w:cs="Arial"/>
        </w:rPr>
        <w:t xml:space="preserve">, </w:t>
      </w:r>
      <w:r w:rsidRPr="00374081" w:rsidR="00AD4B2D">
        <w:rPr>
          <w:rFonts w:ascii="Arial" w:hAnsi="Arial" w:cs="Arial"/>
        </w:rPr>
        <w:t xml:space="preserve">the SCTOD contractor supports </w:t>
      </w:r>
      <w:r w:rsidRPr="00374081">
        <w:rPr>
          <w:rFonts w:ascii="Arial" w:hAnsi="Arial" w:cs="Arial"/>
        </w:rPr>
        <w:t>HRSA</w:t>
      </w:r>
      <w:r w:rsidRPr="00374081" w:rsidR="00AD4B2D">
        <w:rPr>
          <w:rFonts w:ascii="Arial" w:hAnsi="Arial" w:cs="Arial"/>
        </w:rPr>
        <w:t xml:space="preserve">’s production of </w:t>
      </w:r>
      <w:r w:rsidRPr="00374081" w:rsidR="00260A4B">
        <w:rPr>
          <w:rFonts w:ascii="Arial" w:hAnsi="Arial" w:cs="Arial"/>
        </w:rPr>
        <w:t xml:space="preserve">annual </w:t>
      </w:r>
      <w:r w:rsidRPr="00374081" w:rsidR="00AD4B2D">
        <w:rPr>
          <w:rFonts w:ascii="Arial" w:hAnsi="Arial" w:cs="Arial"/>
        </w:rPr>
        <w:t xml:space="preserve">reports, including a U.S. Patient Survival Report, U.S. Transplant Data by Center Report, U.S. Transplant Data by Disease Report, and </w:t>
      </w:r>
      <w:r w:rsidRPr="00374081" w:rsidR="0031095D">
        <w:rPr>
          <w:rFonts w:ascii="Arial" w:hAnsi="Arial" w:cs="Arial"/>
        </w:rPr>
        <w:t xml:space="preserve">a </w:t>
      </w:r>
      <w:r w:rsidRPr="00374081" w:rsidR="006E35E0">
        <w:rPr>
          <w:rFonts w:ascii="Arial" w:hAnsi="Arial" w:cs="Arial"/>
        </w:rPr>
        <w:t xml:space="preserve">Transplant </w:t>
      </w:r>
      <w:r w:rsidRPr="00374081" w:rsidR="009141B1">
        <w:rPr>
          <w:rFonts w:ascii="Arial" w:hAnsi="Arial" w:cs="Arial"/>
        </w:rPr>
        <w:t xml:space="preserve">Activity </w:t>
      </w:r>
      <w:r w:rsidRPr="00374081" w:rsidR="006E35E0">
        <w:rPr>
          <w:rFonts w:ascii="Arial" w:hAnsi="Arial" w:cs="Arial"/>
        </w:rPr>
        <w:t>Report</w:t>
      </w:r>
      <w:r w:rsidRPr="00374081" w:rsidR="00260A4B">
        <w:rPr>
          <w:rFonts w:ascii="Arial" w:hAnsi="Arial" w:cs="Arial"/>
        </w:rPr>
        <w:t>.</w:t>
      </w:r>
      <w:r>
        <w:rPr>
          <w:rStyle w:val="FootnoteReference"/>
          <w:rFonts w:ascii="Arial" w:hAnsi="Arial" w:cs="Arial"/>
          <w:vertAlign w:val="superscript"/>
        </w:rPr>
        <w:footnoteReference w:id="8"/>
      </w:r>
      <w:r w:rsidRPr="00374081" w:rsidR="009141B1">
        <w:rPr>
          <w:rFonts w:ascii="Arial" w:hAnsi="Arial" w:cs="Arial"/>
          <w:vertAlign w:val="superscript"/>
        </w:rPr>
        <w:t>,</w:t>
      </w:r>
      <w:r>
        <w:rPr>
          <w:rStyle w:val="FootnoteReference"/>
          <w:rFonts w:ascii="Arial" w:hAnsi="Arial" w:cs="Arial"/>
          <w:vertAlign w:val="superscript"/>
        </w:rPr>
        <w:footnoteReference w:id="9"/>
      </w:r>
      <w:r w:rsidRPr="00374081" w:rsidR="009141B1">
        <w:rPr>
          <w:rFonts w:ascii="Arial" w:hAnsi="Arial" w:cs="Arial"/>
        </w:rPr>
        <w:t xml:space="preserve"> </w:t>
      </w:r>
      <w:r w:rsidRPr="00374081" w:rsidR="006E35E0">
        <w:rPr>
          <w:rFonts w:ascii="Arial" w:hAnsi="Arial" w:cs="Arial"/>
        </w:rPr>
        <w:t>Th</w:t>
      </w:r>
      <w:r w:rsidRPr="00374081" w:rsidR="009141B1">
        <w:rPr>
          <w:rFonts w:ascii="Arial" w:hAnsi="Arial" w:cs="Arial"/>
        </w:rPr>
        <w:t>ese</w:t>
      </w:r>
      <w:r w:rsidRPr="00374081" w:rsidR="0092085C">
        <w:rPr>
          <w:rFonts w:ascii="Arial" w:hAnsi="Arial" w:cs="Arial"/>
        </w:rPr>
        <w:t xml:space="preserve"> report</w:t>
      </w:r>
      <w:r w:rsidRPr="00374081" w:rsidR="009141B1">
        <w:rPr>
          <w:rFonts w:ascii="Arial" w:hAnsi="Arial" w:cs="Arial"/>
        </w:rPr>
        <w:t>s</w:t>
      </w:r>
      <w:r w:rsidRPr="00374081" w:rsidR="0092085C">
        <w:rPr>
          <w:rFonts w:ascii="Arial" w:hAnsi="Arial" w:cs="Arial"/>
        </w:rPr>
        <w:t xml:space="preserve"> and </w:t>
      </w:r>
      <w:r w:rsidRPr="00374081" w:rsidR="009141B1">
        <w:rPr>
          <w:rFonts w:ascii="Arial" w:hAnsi="Arial" w:cs="Arial"/>
        </w:rPr>
        <w:t>their</w:t>
      </w:r>
      <w:r w:rsidRPr="00374081" w:rsidR="0092085C">
        <w:rPr>
          <w:rFonts w:ascii="Arial" w:hAnsi="Arial" w:cs="Arial"/>
        </w:rPr>
        <w:t xml:space="preserve"> datasets</w:t>
      </w:r>
      <w:r w:rsidRPr="00374081" w:rsidR="006E35E0">
        <w:rPr>
          <w:rFonts w:ascii="Arial" w:hAnsi="Arial" w:cs="Arial"/>
        </w:rPr>
        <w:t xml:space="preserve"> contain </w:t>
      </w:r>
      <w:r w:rsidRPr="00374081">
        <w:rPr>
          <w:rFonts w:ascii="Arial" w:hAnsi="Arial" w:cs="Arial"/>
        </w:rPr>
        <w:t xml:space="preserve">center-specific transplant patient-, disease-, and </w:t>
      </w:r>
      <w:r w:rsidRPr="00374081" w:rsidR="00A330D9">
        <w:rPr>
          <w:rFonts w:ascii="Arial" w:hAnsi="Arial" w:cs="Arial"/>
        </w:rPr>
        <w:t>procedure</w:t>
      </w:r>
      <w:r w:rsidRPr="00374081">
        <w:rPr>
          <w:rFonts w:ascii="Arial" w:hAnsi="Arial" w:cs="Arial"/>
        </w:rPr>
        <w:t xml:space="preserve">-related characteristics </w:t>
      </w:r>
      <w:r w:rsidRPr="00374081" w:rsidR="00A330D9">
        <w:rPr>
          <w:rFonts w:ascii="Arial" w:hAnsi="Arial" w:cs="Arial"/>
        </w:rPr>
        <w:t xml:space="preserve">and outcomes </w:t>
      </w:r>
      <w:r w:rsidRPr="00374081">
        <w:rPr>
          <w:rFonts w:ascii="Arial" w:hAnsi="Arial" w:cs="Arial"/>
        </w:rPr>
        <w:t xml:space="preserve">for nearly all allogeneic and a majority of autologous </w:t>
      </w:r>
      <w:r w:rsidR="009443F1">
        <w:rPr>
          <w:rFonts w:ascii="Arial" w:hAnsi="Arial" w:cs="Arial"/>
        </w:rPr>
        <w:t>HCTs</w:t>
      </w:r>
      <w:r w:rsidRPr="00374081" w:rsidR="009443F1">
        <w:rPr>
          <w:rFonts w:ascii="Arial" w:hAnsi="Arial" w:cs="Arial"/>
        </w:rPr>
        <w:t xml:space="preserve"> </w:t>
      </w:r>
      <w:r w:rsidRPr="00374081">
        <w:rPr>
          <w:rFonts w:ascii="Arial" w:hAnsi="Arial" w:cs="Arial"/>
        </w:rPr>
        <w:t>performed in the U</w:t>
      </w:r>
      <w:r w:rsidRPr="00374081" w:rsidR="006E35E0">
        <w:rPr>
          <w:rFonts w:ascii="Arial" w:hAnsi="Arial" w:cs="Arial"/>
        </w:rPr>
        <w:t>.S.</w:t>
      </w:r>
      <w:r w:rsidRPr="00374081" w:rsidR="00DB46E6">
        <w:rPr>
          <w:rFonts w:ascii="Arial" w:hAnsi="Arial" w:cs="Arial"/>
        </w:rPr>
        <w:t xml:space="preserve"> </w:t>
      </w:r>
    </w:p>
    <w:p w:rsidR="00DB46E6" w:rsidRPr="00374081" w:rsidP="006D48EA" w14:paraId="7DDEE050" w14:textId="6A5067E7">
      <w:pPr>
        <w:ind w:right="-270"/>
        <w:rPr>
          <w:rFonts w:ascii="Arial" w:hAnsi="Arial" w:cs="Arial"/>
          <w:sz w:val="20"/>
          <w:szCs w:val="20"/>
        </w:rPr>
      </w:pPr>
    </w:p>
    <w:p w:rsidR="007C23C9" w:rsidRPr="00374081" w:rsidP="007C23C9" w14:paraId="3376B189" w14:textId="0E6CBC2F">
      <w:pPr>
        <w:rPr>
          <w:rFonts w:ascii="Arial" w:hAnsi="Arial" w:cs="Arial"/>
        </w:rPr>
      </w:pPr>
      <w:r w:rsidRPr="00374081">
        <w:rPr>
          <w:rFonts w:ascii="Arial" w:hAnsi="Arial" w:cs="Arial"/>
        </w:rPr>
        <w:t xml:space="preserve">Much like Medicare’s </w:t>
      </w:r>
      <w:r w:rsidRPr="00374081">
        <w:rPr>
          <w:rFonts w:ascii="Arial" w:hAnsi="Arial" w:cs="Arial"/>
        </w:rPr>
        <w:t>CareCompare</w:t>
      </w:r>
      <w:r w:rsidRPr="00374081">
        <w:rPr>
          <w:rFonts w:ascii="Arial" w:hAnsi="Arial" w:cs="Arial"/>
        </w:rPr>
        <w:t xml:space="preserve"> website</w:t>
      </w:r>
      <w:r w:rsidRPr="00374081" w:rsidR="00D42B72">
        <w:rPr>
          <w:rFonts w:ascii="Arial" w:hAnsi="Arial" w:cs="Arial"/>
        </w:rPr>
        <w:t xml:space="preserve"> for hospitals</w:t>
      </w:r>
      <w:r w:rsidRPr="00374081">
        <w:rPr>
          <w:rFonts w:ascii="Arial" w:hAnsi="Arial" w:cs="Arial"/>
        </w:rPr>
        <w:t>,</w:t>
      </w:r>
      <w:r>
        <w:rPr>
          <w:rStyle w:val="FootnoteReference"/>
          <w:rFonts w:ascii="Arial" w:hAnsi="Arial" w:cs="Arial"/>
          <w:vertAlign w:val="superscript"/>
        </w:rPr>
        <w:footnoteReference w:id="10"/>
      </w:r>
      <w:r w:rsidRPr="00374081">
        <w:rPr>
          <w:rFonts w:ascii="Arial" w:hAnsi="Arial" w:cs="Arial"/>
        </w:rPr>
        <w:t xml:space="preserve"> these reports includ</w:t>
      </w:r>
      <w:r w:rsidRPr="00374081" w:rsidR="00D42B72">
        <w:rPr>
          <w:rFonts w:ascii="Arial" w:hAnsi="Arial" w:cs="Arial"/>
        </w:rPr>
        <w:t xml:space="preserve">e </w:t>
      </w:r>
      <w:r w:rsidRPr="00374081">
        <w:rPr>
          <w:rFonts w:ascii="Arial" w:hAnsi="Arial" w:cs="Arial"/>
        </w:rPr>
        <w:t xml:space="preserve">transplant center-specific data </w:t>
      </w:r>
      <w:r w:rsidRPr="00374081" w:rsidR="00D42B72">
        <w:rPr>
          <w:rFonts w:ascii="Arial" w:hAnsi="Arial" w:cs="Arial"/>
        </w:rPr>
        <w:t xml:space="preserve">that </w:t>
      </w:r>
      <w:r w:rsidRPr="00374081">
        <w:rPr>
          <w:rFonts w:ascii="Arial" w:hAnsi="Arial" w:cs="Arial"/>
        </w:rPr>
        <w:t xml:space="preserve">provide potential </w:t>
      </w:r>
      <w:r w:rsidRPr="00374081" w:rsidR="00FB32C8">
        <w:rPr>
          <w:rFonts w:ascii="Arial" w:hAnsi="Arial" w:cs="Arial"/>
        </w:rPr>
        <w:t xml:space="preserve">HCT </w:t>
      </w:r>
      <w:r w:rsidRPr="00374081">
        <w:rPr>
          <w:rFonts w:ascii="Arial" w:hAnsi="Arial" w:cs="Arial"/>
        </w:rPr>
        <w:t>recipients, their families, and the general public with a comparison of survival rates among the centers in the CWBYCTP network</w:t>
      </w:r>
      <w:r w:rsidRPr="00374081" w:rsidR="00D42B72">
        <w:rPr>
          <w:rFonts w:ascii="Arial" w:hAnsi="Arial" w:cs="Arial"/>
        </w:rPr>
        <w:t>. Also</w:t>
      </w:r>
      <w:r w:rsidRPr="00374081" w:rsidR="00D91A43">
        <w:rPr>
          <w:rFonts w:ascii="Arial" w:hAnsi="Arial" w:cs="Arial"/>
        </w:rPr>
        <w:t>,</w:t>
      </w:r>
      <w:r w:rsidRPr="00374081" w:rsidR="00D42B72">
        <w:rPr>
          <w:rFonts w:ascii="Arial" w:hAnsi="Arial" w:cs="Arial"/>
        </w:rPr>
        <w:t xml:space="preserve"> like Medicare’s </w:t>
      </w:r>
      <w:r w:rsidRPr="00374081" w:rsidR="00D42B72">
        <w:rPr>
          <w:rFonts w:ascii="Arial" w:hAnsi="Arial" w:cs="Arial"/>
        </w:rPr>
        <w:t>C</w:t>
      </w:r>
      <w:r w:rsidRPr="00374081" w:rsidR="00CA5402">
        <w:rPr>
          <w:rFonts w:ascii="Arial" w:hAnsi="Arial" w:cs="Arial"/>
        </w:rPr>
        <w:t>areC</w:t>
      </w:r>
      <w:r w:rsidRPr="00374081" w:rsidR="00D42B72">
        <w:rPr>
          <w:rFonts w:ascii="Arial" w:hAnsi="Arial" w:cs="Arial"/>
        </w:rPr>
        <w:t>ompare</w:t>
      </w:r>
      <w:r w:rsidRPr="00374081" w:rsidR="00D42B72">
        <w:rPr>
          <w:rFonts w:ascii="Arial" w:hAnsi="Arial" w:cs="Arial"/>
        </w:rPr>
        <w:t xml:space="preserve"> website, some of </w:t>
      </w:r>
      <w:r w:rsidRPr="00374081" w:rsidR="001839FF">
        <w:rPr>
          <w:rFonts w:ascii="Arial" w:hAnsi="Arial" w:cs="Arial"/>
        </w:rPr>
        <w:t xml:space="preserve">the </w:t>
      </w:r>
      <w:r w:rsidRPr="00374081" w:rsidR="00D42B72">
        <w:rPr>
          <w:rFonts w:ascii="Arial" w:hAnsi="Arial" w:cs="Arial"/>
        </w:rPr>
        <w:t xml:space="preserve">transplant center-specific data (e.g., </w:t>
      </w:r>
      <w:r w:rsidRPr="00374081" w:rsidR="00D91A43">
        <w:rPr>
          <w:rFonts w:ascii="Arial" w:hAnsi="Arial" w:cs="Arial"/>
        </w:rPr>
        <w:t xml:space="preserve">survival rates) </w:t>
      </w:r>
      <w:r w:rsidRPr="00374081" w:rsidR="00D42B72">
        <w:rPr>
          <w:rFonts w:ascii="Arial" w:hAnsi="Arial" w:cs="Arial"/>
        </w:rPr>
        <w:t xml:space="preserve">are based on </w:t>
      </w:r>
      <w:r w:rsidRPr="00374081" w:rsidR="00D91A43">
        <w:rPr>
          <w:rFonts w:ascii="Arial" w:hAnsi="Arial" w:cs="Arial"/>
        </w:rPr>
        <w:t>transparent statistical models that adjust for several</w:t>
      </w:r>
      <w:r w:rsidRPr="00374081" w:rsidR="001B573B">
        <w:rPr>
          <w:rFonts w:ascii="Arial" w:hAnsi="Arial" w:cs="Arial"/>
        </w:rPr>
        <w:t xml:space="preserve"> important</w:t>
      </w:r>
      <w:r w:rsidRPr="00374081" w:rsidR="00D91A43">
        <w:rPr>
          <w:rFonts w:ascii="Arial" w:hAnsi="Arial" w:cs="Arial"/>
        </w:rPr>
        <w:t xml:space="preserve"> risk factors. </w:t>
      </w:r>
      <w:r w:rsidRPr="00374081">
        <w:rPr>
          <w:rFonts w:ascii="Arial" w:hAnsi="Arial" w:cs="Arial"/>
        </w:rPr>
        <w:t xml:space="preserve">And finally, like Medicare’s </w:t>
      </w:r>
      <w:r w:rsidRPr="00374081">
        <w:rPr>
          <w:rFonts w:ascii="Arial" w:hAnsi="Arial" w:cs="Arial"/>
        </w:rPr>
        <w:t>C</w:t>
      </w:r>
      <w:r w:rsidRPr="00374081" w:rsidR="00CA5402">
        <w:rPr>
          <w:rFonts w:ascii="Arial" w:hAnsi="Arial" w:cs="Arial"/>
        </w:rPr>
        <w:t>areC</w:t>
      </w:r>
      <w:r w:rsidRPr="00374081">
        <w:rPr>
          <w:rFonts w:ascii="Arial" w:hAnsi="Arial" w:cs="Arial"/>
        </w:rPr>
        <w:t>ompare</w:t>
      </w:r>
      <w:r w:rsidRPr="00374081">
        <w:rPr>
          <w:rFonts w:ascii="Arial" w:hAnsi="Arial" w:cs="Arial"/>
        </w:rPr>
        <w:t xml:space="preserve"> website, the SCTOD contractor intends to continually improve the value of its models and public reporting. Thus, </w:t>
      </w:r>
      <w:r w:rsidRPr="00374081" w:rsidR="0080679A">
        <w:rPr>
          <w:rFonts w:ascii="Arial" w:hAnsi="Arial" w:cs="Arial"/>
        </w:rPr>
        <w:t xml:space="preserve">in consultation with stakeholders, </w:t>
      </w:r>
      <w:r w:rsidRPr="00374081" w:rsidR="002A073C">
        <w:rPr>
          <w:rFonts w:ascii="Arial" w:hAnsi="Arial" w:cs="Arial"/>
        </w:rPr>
        <w:t xml:space="preserve">it </w:t>
      </w:r>
      <w:r w:rsidRPr="00374081">
        <w:rPr>
          <w:rFonts w:ascii="Arial" w:hAnsi="Arial" w:cs="Arial"/>
        </w:rPr>
        <w:t xml:space="preserve">may update some </w:t>
      </w:r>
      <w:r w:rsidRPr="00374081" w:rsidR="0080679A">
        <w:rPr>
          <w:rFonts w:ascii="Arial" w:hAnsi="Arial" w:cs="Arial"/>
        </w:rPr>
        <w:t xml:space="preserve">of its models and their </w:t>
      </w:r>
      <w:r w:rsidRPr="00374081">
        <w:rPr>
          <w:rFonts w:ascii="Arial" w:hAnsi="Arial" w:cs="Arial"/>
        </w:rPr>
        <w:t xml:space="preserve">required data on a </w:t>
      </w:r>
      <w:r w:rsidR="009443F1">
        <w:rPr>
          <w:rFonts w:ascii="Arial" w:hAnsi="Arial" w:cs="Arial"/>
        </w:rPr>
        <w:t xml:space="preserve">more frequent basis </w:t>
      </w:r>
      <w:r w:rsidRPr="00374081">
        <w:rPr>
          <w:rFonts w:ascii="Arial" w:hAnsi="Arial" w:cs="Arial"/>
        </w:rPr>
        <w:t xml:space="preserve">than every </w:t>
      </w:r>
      <w:r w:rsidR="009443F1">
        <w:rPr>
          <w:rFonts w:ascii="Arial" w:hAnsi="Arial" w:cs="Arial"/>
        </w:rPr>
        <w:t>three years, to reflect the most up-to-date evidence on clinical care and statistical modeling</w:t>
      </w:r>
      <w:r w:rsidRPr="00374081">
        <w:rPr>
          <w:rFonts w:ascii="Arial" w:hAnsi="Arial" w:cs="Arial"/>
        </w:rPr>
        <w:t>.</w:t>
      </w:r>
      <w:r>
        <w:rPr>
          <w:rStyle w:val="FootnoteReference"/>
          <w:rFonts w:ascii="Arial" w:hAnsi="Arial" w:cs="Arial"/>
          <w:vertAlign w:val="superscript"/>
        </w:rPr>
        <w:footnoteReference w:id="11"/>
      </w:r>
    </w:p>
    <w:p w:rsidR="007C23C9" w:rsidRPr="00374081" w:rsidP="00CA6094" w14:paraId="3AAE2DD3" w14:textId="6B859787">
      <w:pPr>
        <w:rPr>
          <w:rFonts w:ascii="Arial" w:hAnsi="Arial" w:cs="Arial"/>
          <w:sz w:val="20"/>
          <w:szCs w:val="20"/>
        </w:rPr>
      </w:pPr>
    </w:p>
    <w:p w:rsidR="008F4A20" w:rsidRPr="00374081" w:rsidP="00A03611" w14:paraId="08AB6F69" w14:textId="19651234">
      <w:pPr>
        <w:rPr>
          <w:rFonts w:ascii="Arial" w:hAnsi="Arial" w:cs="Arial"/>
        </w:rPr>
      </w:pPr>
      <w:r w:rsidRPr="00374081">
        <w:rPr>
          <w:rFonts w:ascii="Arial" w:hAnsi="Arial" w:cs="Arial"/>
        </w:rPr>
        <w:t xml:space="preserve">To </w:t>
      </w:r>
      <w:r w:rsidRPr="00374081" w:rsidR="00244033">
        <w:rPr>
          <w:rFonts w:ascii="Arial" w:hAnsi="Arial" w:cs="Arial"/>
        </w:rPr>
        <w:t xml:space="preserve">help </w:t>
      </w:r>
      <w:r w:rsidRPr="00374081">
        <w:rPr>
          <w:rFonts w:ascii="Arial" w:hAnsi="Arial" w:cs="Arial"/>
        </w:rPr>
        <w:t xml:space="preserve">meet the second </w:t>
      </w:r>
      <w:r w:rsidRPr="00374081" w:rsidR="005E7259">
        <w:rPr>
          <w:rFonts w:ascii="Arial" w:hAnsi="Arial" w:cs="Arial"/>
        </w:rPr>
        <w:t xml:space="preserve">statutory </w:t>
      </w:r>
      <w:r w:rsidRPr="00374081">
        <w:rPr>
          <w:rFonts w:ascii="Arial" w:hAnsi="Arial" w:cs="Arial"/>
        </w:rPr>
        <w:t>requirement, t</w:t>
      </w:r>
      <w:r w:rsidRPr="00374081" w:rsidR="00C84A27">
        <w:rPr>
          <w:rFonts w:ascii="Arial" w:hAnsi="Arial" w:cs="Arial"/>
        </w:rPr>
        <w:t xml:space="preserve">he SCTOD contractor </w:t>
      </w:r>
      <w:r w:rsidRPr="00374081" w:rsidR="00244033">
        <w:rPr>
          <w:rFonts w:ascii="Arial" w:hAnsi="Arial" w:cs="Arial"/>
        </w:rPr>
        <w:t xml:space="preserve">also </w:t>
      </w:r>
      <w:r w:rsidRPr="00374081" w:rsidR="005E7259">
        <w:rPr>
          <w:rFonts w:ascii="Arial" w:hAnsi="Arial" w:cs="Arial"/>
        </w:rPr>
        <w:t>produces</w:t>
      </w:r>
      <w:r w:rsidRPr="00374081" w:rsidR="00C84A27">
        <w:rPr>
          <w:rFonts w:ascii="Arial" w:hAnsi="Arial" w:cs="Arial"/>
        </w:rPr>
        <w:t xml:space="preserve"> study summaries for patients, de-identified </w:t>
      </w:r>
      <w:r w:rsidRPr="00374081" w:rsidR="005E7259">
        <w:rPr>
          <w:rFonts w:ascii="Arial" w:hAnsi="Arial" w:cs="Arial"/>
        </w:rPr>
        <w:t xml:space="preserve">data for original and </w:t>
      </w:r>
      <w:r w:rsidRPr="00374081" w:rsidR="00C84A27">
        <w:rPr>
          <w:rFonts w:ascii="Arial" w:hAnsi="Arial" w:cs="Arial"/>
        </w:rPr>
        <w:t xml:space="preserve">secondary analysis, </w:t>
      </w:r>
      <w:r w:rsidRPr="00374081" w:rsidR="00E5099D">
        <w:rPr>
          <w:rFonts w:ascii="Arial" w:hAnsi="Arial" w:cs="Arial"/>
        </w:rPr>
        <w:t xml:space="preserve">and </w:t>
      </w:r>
      <w:r w:rsidRPr="00374081" w:rsidR="005E7259">
        <w:rPr>
          <w:rFonts w:ascii="Arial" w:hAnsi="Arial" w:cs="Arial"/>
        </w:rPr>
        <w:t xml:space="preserve">a highly detailed report on survival statistics that describes the use and outcome of autologous and allogeneic HCT in more than 500 </w:t>
      </w:r>
      <w:r w:rsidR="00B0463F">
        <w:rPr>
          <w:rFonts w:ascii="Arial" w:hAnsi="Arial" w:cs="Arial"/>
        </w:rPr>
        <w:t xml:space="preserve">transplant </w:t>
      </w:r>
      <w:r w:rsidRPr="00374081" w:rsidR="005E7259">
        <w:rPr>
          <w:rFonts w:ascii="Arial" w:hAnsi="Arial" w:cs="Arial"/>
        </w:rPr>
        <w:t xml:space="preserve">centers that have participated in the </w:t>
      </w:r>
      <w:r w:rsidRPr="00374081" w:rsidR="00C24858">
        <w:rPr>
          <w:rFonts w:ascii="Arial" w:hAnsi="Arial" w:cs="Arial"/>
        </w:rPr>
        <w:t>program.</w:t>
      </w:r>
      <w:r>
        <w:rPr>
          <w:rStyle w:val="FootnoteReference"/>
          <w:rFonts w:ascii="Arial" w:hAnsi="Arial" w:cs="Arial"/>
          <w:vertAlign w:val="superscript"/>
        </w:rPr>
        <w:footnoteReference w:id="12"/>
      </w:r>
      <w:r w:rsidRPr="00374081" w:rsidR="00393A47">
        <w:rPr>
          <w:rStyle w:val="FootnoteReference"/>
          <w:rFonts w:ascii="Arial" w:hAnsi="Arial" w:cs="Arial"/>
          <w:vertAlign w:val="superscript"/>
        </w:rPr>
        <w:t>,</w:t>
      </w:r>
      <w:r>
        <w:rPr>
          <w:rStyle w:val="FootnoteReference"/>
          <w:rFonts w:ascii="Arial" w:hAnsi="Arial" w:cs="Arial"/>
          <w:vertAlign w:val="superscript"/>
        </w:rPr>
        <w:footnoteReference w:id="13"/>
      </w:r>
      <w:r w:rsidRPr="00374081" w:rsidR="00393A47">
        <w:rPr>
          <w:rStyle w:val="FootnoteReference"/>
          <w:rFonts w:ascii="Arial" w:hAnsi="Arial" w:cs="Arial"/>
          <w:vertAlign w:val="superscript"/>
        </w:rPr>
        <w:t>,</w:t>
      </w:r>
      <w:r>
        <w:rPr>
          <w:rStyle w:val="FootnoteReference"/>
          <w:rFonts w:ascii="Arial" w:hAnsi="Arial" w:cs="Arial"/>
          <w:vertAlign w:val="superscript"/>
        </w:rPr>
        <w:footnoteReference w:id="14"/>
      </w:r>
      <w:r w:rsidRPr="00374081" w:rsidR="00393A47">
        <w:rPr>
          <w:rStyle w:val="FootnoteReference"/>
          <w:rFonts w:ascii="Arial" w:hAnsi="Arial" w:cs="Arial"/>
          <w:vertAlign w:val="superscript"/>
        </w:rPr>
        <w:t>,</w:t>
      </w:r>
      <w:r>
        <w:rPr>
          <w:rStyle w:val="FootnoteReference"/>
          <w:rFonts w:ascii="Arial" w:hAnsi="Arial" w:cs="Arial"/>
          <w:vertAlign w:val="superscript"/>
        </w:rPr>
        <w:footnoteReference w:id="15"/>
      </w:r>
      <w:r w:rsidR="002D5F4E">
        <w:rPr>
          <w:rFonts w:ascii="Arial" w:hAnsi="Arial" w:cs="Arial"/>
        </w:rPr>
        <w:t xml:space="preserve"> </w:t>
      </w:r>
      <w:r w:rsidRPr="00374081">
        <w:rPr>
          <w:rFonts w:ascii="Arial" w:hAnsi="Arial" w:cs="Arial"/>
        </w:rPr>
        <w:t xml:space="preserve">These reports, summaries, and data are made available to assist with program operation; to encourage medical research; and to provide relevant, timely, and actionable information to transplant programs, physicians, patients, </w:t>
      </w:r>
      <w:r w:rsidRPr="00374081" w:rsidR="00C85CF5">
        <w:rPr>
          <w:rFonts w:ascii="Arial" w:hAnsi="Arial" w:cs="Arial"/>
        </w:rPr>
        <w:t xml:space="preserve">certain </w:t>
      </w:r>
      <w:r w:rsidRPr="00374081" w:rsidR="00245F39">
        <w:rPr>
          <w:rFonts w:ascii="Arial" w:hAnsi="Arial" w:cs="Arial"/>
        </w:rPr>
        <w:t>donor registries</w:t>
      </w:r>
      <w:r w:rsidRPr="00374081">
        <w:rPr>
          <w:rFonts w:ascii="Arial" w:hAnsi="Arial" w:cs="Arial"/>
        </w:rPr>
        <w:t>,</w:t>
      </w:r>
      <w:r>
        <w:rPr>
          <w:rStyle w:val="FootnoteReference"/>
          <w:rFonts w:ascii="Arial" w:hAnsi="Arial" w:cs="Arial"/>
          <w:vertAlign w:val="superscript"/>
        </w:rPr>
        <w:footnoteReference w:id="16"/>
      </w:r>
      <w:r w:rsidRPr="00374081">
        <w:rPr>
          <w:rFonts w:ascii="Arial" w:hAnsi="Arial" w:cs="Arial"/>
        </w:rPr>
        <w:t xml:space="preserve"> and cord blood banks.</w:t>
      </w:r>
    </w:p>
    <w:p w:rsidR="008F4A20" w:rsidRPr="00374081" w:rsidP="008036C1" w14:paraId="7458AB2A" w14:textId="77777777">
      <w:pPr>
        <w:rPr>
          <w:rFonts w:ascii="Arial" w:hAnsi="Arial" w:cs="Arial"/>
          <w:sz w:val="20"/>
          <w:szCs w:val="20"/>
        </w:rPr>
      </w:pPr>
    </w:p>
    <w:p w:rsidR="001A5BE1" w:rsidRPr="00374081" w:rsidP="008036C1" w14:paraId="0C40B975" w14:textId="03891BF4">
      <w:pPr>
        <w:rPr>
          <w:rFonts w:ascii="Arial" w:hAnsi="Arial" w:cs="Arial"/>
        </w:rPr>
      </w:pPr>
      <w:r w:rsidRPr="00374081">
        <w:rPr>
          <w:rFonts w:ascii="Arial" w:hAnsi="Arial" w:cs="Arial"/>
        </w:rPr>
        <w:t xml:space="preserve">As part of its ongoing efforts </w:t>
      </w:r>
      <w:r w:rsidRPr="00374081" w:rsidR="0034046C">
        <w:rPr>
          <w:rFonts w:ascii="Arial" w:hAnsi="Arial" w:cs="Arial"/>
        </w:rPr>
        <w:t>to</w:t>
      </w:r>
      <w:r w:rsidRPr="00374081">
        <w:rPr>
          <w:rFonts w:ascii="Arial" w:hAnsi="Arial" w:cs="Arial"/>
        </w:rPr>
        <w:t xml:space="preserve"> provide transparency, </w:t>
      </w:r>
      <w:r w:rsidRPr="00374081" w:rsidR="0034046C">
        <w:rPr>
          <w:rFonts w:ascii="Arial" w:hAnsi="Arial" w:cs="Arial"/>
        </w:rPr>
        <w:t>demonstrate value</w:t>
      </w:r>
      <w:r w:rsidRPr="00374081">
        <w:rPr>
          <w:rFonts w:ascii="Arial" w:hAnsi="Arial" w:cs="Arial"/>
        </w:rPr>
        <w:t xml:space="preserve">, and welcome research, the SCTOD contractor </w:t>
      </w:r>
      <w:r w:rsidRPr="00374081" w:rsidR="009544F2">
        <w:rPr>
          <w:rFonts w:ascii="Arial" w:hAnsi="Arial" w:cs="Arial"/>
        </w:rPr>
        <w:t xml:space="preserve">maintains a </w:t>
      </w:r>
      <w:r w:rsidRPr="00374081" w:rsidR="0034046C">
        <w:rPr>
          <w:rFonts w:ascii="Arial" w:hAnsi="Arial" w:cs="Arial"/>
        </w:rPr>
        <w:t>Working Committee Research Portfolio</w:t>
      </w:r>
      <w:r w:rsidRPr="00374081">
        <w:rPr>
          <w:rFonts w:ascii="Arial" w:hAnsi="Arial" w:cs="Arial"/>
        </w:rPr>
        <w:t xml:space="preserve"> that lists recently published and current studies for each Working Committee, and it provides information regarding the committee structure and contact information for those who may wish to participate in or lead studies.</w:t>
      </w:r>
      <w:r>
        <w:rPr>
          <w:rStyle w:val="FootnoteReference"/>
          <w:rFonts w:ascii="Arial" w:hAnsi="Arial" w:cs="Arial"/>
          <w:vertAlign w:val="superscript"/>
        </w:rPr>
        <w:footnoteReference w:id="17"/>
      </w:r>
      <w:r w:rsidRPr="00374081">
        <w:rPr>
          <w:rFonts w:ascii="Arial" w:hAnsi="Arial" w:cs="Arial"/>
        </w:rPr>
        <w:t> </w:t>
      </w:r>
      <w:r w:rsidRPr="00374081" w:rsidR="0090610A">
        <w:rPr>
          <w:rFonts w:ascii="Arial" w:hAnsi="Arial" w:cs="Arial"/>
        </w:rPr>
        <w:t xml:space="preserve">The data, resources, and support provided by the entity currently serving as the SCTOD contractor </w:t>
      </w:r>
      <w:r w:rsidRPr="00374081" w:rsidR="004F6713">
        <w:rPr>
          <w:rFonts w:ascii="Arial" w:hAnsi="Arial" w:cs="Arial"/>
        </w:rPr>
        <w:t>h</w:t>
      </w:r>
      <w:r w:rsidRPr="00374081" w:rsidR="00A12B14">
        <w:rPr>
          <w:rFonts w:ascii="Arial" w:hAnsi="Arial" w:cs="Arial"/>
        </w:rPr>
        <w:t>ave</w:t>
      </w:r>
      <w:r w:rsidRPr="00374081" w:rsidR="0090610A">
        <w:rPr>
          <w:rFonts w:ascii="Arial" w:hAnsi="Arial" w:cs="Arial"/>
        </w:rPr>
        <w:t xml:space="preserve"> </w:t>
      </w:r>
      <w:r w:rsidRPr="00374081" w:rsidR="004F6713">
        <w:rPr>
          <w:rFonts w:ascii="Arial" w:hAnsi="Arial" w:cs="Arial"/>
        </w:rPr>
        <w:t xml:space="preserve">resulted in </w:t>
      </w:r>
      <w:r w:rsidRPr="00374081" w:rsidR="0090610A">
        <w:rPr>
          <w:rFonts w:ascii="Arial" w:hAnsi="Arial" w:cs="Arial"/>
        </w:rPr>
        <w:t xml:space="preserve">over </w:t>
      </w:r>
      <w:r w:rsidRPr="00374081" w:rsidR="00EF5FD9">
        <w:rPr>
          <w:rFonts w:ascii="Arial" w:hAnsi="Arial" w:cs="Arial"/>
        </w:rPr>
        <w:t>1,</w:t>
      </w:r>
      <w:r w:rsidRPr="00374081" w:rsidR="008519B7">
        <w:rPr>
          <w:rFonts w:ascii="Arial" w:hAnsi="Arial" w:cs="Arial"/>
        </w:rPr>
        <w:t>7</w:t>
      </w:r>
      <w:r w:rsidRPr="00374081" w:rsidR="008A71C7">
        <w:rPr>
          <w:rFonts w:ascii="Arial" w:hAnsi="Arial" w:cs="Arial"/>
        </w:rPr>
        <w:t>5</w:t>
      </w:r>
      <w:r w:rsidRPr="00374081" w:rsidR="00EF5FD9">
        <w:rPr>
          <w:rFonts w:ascii="Arial" w:hAnsi="Arial" w:cs="Arial"/>
        </w:rPr>
        <w:t xml:space="preserve">0 peer-reviewed publications, including more than </w:t>
      </w:r>
      <w:r w:rsidRPr="00374081" w:rsidR="008A71C7">
        <w:rPr>
          <w:rFonts w:ascii="Arial" w:hAnsi="Arial" w:cs="Arial"/>
        </w:rPr>
        <w:t xml:space="preserve">70 </w:t>
      </w:r>
      <w:r w:rsidRPr="00374081" w:rsidR="00804D99">
        <w:rPr>
          <w:rFonts w:ascii="Arial" w:hAnsi="Arial" w:cs="Arial"/>
        </w:rPr>
        <w:t xml:space="preserve">journal articles </w:t>
      </w:r>
      <w:r w:rsidRPr="00374081" w:rsidR="00C85CF5">
        <w:rPr>
          <w:rFonts w:ascii="Arial" w:hAnsi="Arial" w:cs="Arial"/>
        </w:rPr>
        <w:t>in</w:t>
      </w:r>
      <w:r w:rsidRPr="00374081" w:rsidR="00EF5FD9">
        <w:rPr>
          <w:rFonts w:ascii="Arial" w:hAnsi="Arial" w:cs="Arial"/>
        </w:rPr>
        <w:t xml:space="preserve"> 202</w:t>
      </w:r>
      <w:r w:rsidRPr="00374081" w:rsidR="008A71C7">
        <w:rPr>
          <w:rFonts w:ascii="Arial" w:hAnsi="Arial" w:cs="Arial"/>
        </w:rPr>
        <w:t>4</w:t>
      </w:r>
      <w:r w:rsidRPr="00374081" w:rsidR="00EF5FD9">
        <w:rPr>
          <w:rFonts w:ascii="Arial" w:hAnsi="Arial" w:cs="Arial"/>
        </w:rPr>
        <w:t>.</w:t>
      </w:r>
      <w:r>
        <w:rPr>
          <w:rStyle w:val="FootnoteReference"/>
          <w:rFonts w:ascii="Arial" w:hAnsi="Arial" w:cs="Arial"/>
          <w:vertAlign w:val="superscript"/>
        </w:rPr>
        <w:footnoteReference w:id="18"/>
      </w:r>
      <w:r w:rsidRPr="00374081" w:rsidR="007B1594">
        <w:rPr>
          <w:rFonts w:ascii="Arial" w:hAnsi="Arial" w:cs="Arial"/>
          <w:vertAlign w:val="superscript"/>
        </w:rPr>
        <w:t>,</w:t>
      </w:r>
      <w:r>
        <w:rPr>
          <w:rStyle w:val="FootnoteReference"/>
          <w:rFonts w:ascii="Arial" w:hAnsi="Arial" w:cs="Arial"/>
          <w:vertAlign w:val="superscript"/>
        </w:rPr>
        <w:footnoteReference w:id="19"/>
      </w:r>
      <w:r w:rsidRPr="00374081" w:rsidR="002A2394">
        <w:rPr>
          <w:rFonts w:ascii="Arial" w:hAnsi="Arial" w:cs="Arial"/>
          <w:vertAlign w:val="superscript"/>
        </w:rPr>
        <w:t>,</w:t>
      </w:r>
      <w:r>
        <w:rPr>
          <w:rStyle w:val="FootnoteReference"/>
          <w:rFonts w:ascii="Arial" w:hAnsi="Arial" w:cs="Arial"/>
          <w:vertAlign w:val="superscript"/>
        </w:rPr>
        <w:footnoteReference w:id="20"/>
      </w:r>
    </w:p>
    <w:p w:rsidR="007543CD" w:rsidRPr="00374081" w:rsidP="008036C1" w14:paraId="296E8CD4" w14:textId="111D63EE">
      <w:pPr>
        <w:rPr>
          <w:rFonts w:ascii="Arial" w:hAnsi="Arial" w:cs="Arial"/>
          <w:sz w:val="20"/>
          <w:szCs w:val="20"/>
        </w:rPr>
      </w:pPr>
    </w:p>
    <w:p w:rsidR="006A2D52" w:rsidRPr="00374081" w:rsidP="006A2D52" w14:paraId="05809780" w14:textId="7BE82D28">
      <w:pPr>
        <w:rPr>
          <w:rFonts w:ascii="Arial" w:hAnsi="Arial" w:cs="Arial"/>
        </w:rPr>
      </w:pPr>
      <w:r w:rsidRPr="00374081">
        <w:rPr>
          <w:rFonts w:ascii="Arial" w:hAnsi="Arial" w:cs="Arial"/>
        </w:rPr>
        <w:t xml:space="preserve">The SCTOD contractor also supports decision-making for other parts of the Government. For example, </w:t>
      </w:r>
      <w:r w:rsidRPr="00374081" w:rsidR="00485D0F">
        <w:rPr>
          <w:rFonts w:ascii="Arial" w:hAnsi="Arial" w:cs="Arial"/>
        </w:rPr>
        <w:t xml:space="preserve">the SCTOD </w:t>
      </w:r>
      <w:r w:rsidRPr="00374081">
        <w:rPr>
          <w:rFonts w:ascii="Arial" w:hAnsi="Arial" w:cs="Arial"/>
        </w:rPr>
        <w:t>contractor</w:t>
      </w:r>
      <w:r w:rsidRPr="00374081">
        <w:rPr>
          <w:rFonts w:ascii="Arial" w:hAnsi="Arial" w:cs="Arial"/>
        </w:rPr>
        <w:t xml:space="preserve"> </w:t>
      </w:r>
      <w:r w:rsidRPr="00374081" w:rsidR="00405F42">
        <w:rPr>
          <w:rFonts w:ascii="Arial" w:hAnsi="Arial" w:cs="Arial"/>
        </w:rPr>
        <w:t>recently completed two</w:t>
      </w:r>
      <w:r w:rsidR="00E434BB">
        <w:rPr>
          <w:rFonts w:ascii="Arial" w:hAnsi="Arial" w:cs="Arial"/>
        </w:rPr>
        <w:t xml:space="preserve"> </w:t>
      </w:r>
      <w:r w:rsidR="00DF1068">
        <w:rPr>
          <w:rFonts w:ascii="Arial" w:hAnsi="Arial" w:cs="Arial"/>
        </w:rPr>
        <w:t>clinical studies</w:t>
      </w:r>
      <w:r w:rsidR="004F6455">
        <w:rPr>
          <w:rFonts w:ascii="Arial" w:hAnsi="Arial" w:cs="Arial"/>
        </w:rPr>
        <w:t>,</w:t>
      </w:r>
      <w:r w:rsidRPr="00374081" w:rsidR="00405F42">
        <w:rPr>
          <w:rFonts w:ascii="Arial" w:hAnsi="Arial" w:cs="Arial"/>
        </w:rPr>
        <w:t xml:space="preserve"> </w:t>
      </w:r>
      <w:r w:rsidR="00456E45">
        <w:rPr>
          <w:rFonts w:ascii="Arial" w:hAnsi="Arial" w:cs="Arial"/>
        </w:rPr>
        <w:t xml:space="preserve">while </w:t>
      </w:r>
      <w:r w:rsidR="003C0595">
        <w:rPr>
          <w:rFonts w:ascii="Arial" w:hAnsi="Arial" w:cs="Arial"/>
        </w:rPr>
        <w:t>also</w:t>
      </w:r>
      <w:r w:rsidRPr="00374081" w:rsidR="00405F42">
        <w:rPr>
          <w:rFonts w:ascii="Arial" w:hAnsi="Arial" w:cs="Arial"/>
        </w:rPr>
        <w:t xml:space="preserve"> </w:t>
      </w:r>
      <w:r w:rsidRPr="00374081" w:rsidR="006979B9">
        <w:rPr>
          <w:rFonts w:ascii="Arial" w:hAnsi="Arial" w:cs="Arial"/>
        </w:rPr>
        <w:t>sponsor</w:t>
      </w:r>
      <w:r w:rsidR="006979B9">
        <w:rPr>
          <w:rFonts w:ascii="Arial" w:hAnsi="Arial" w:cs="Arial"/>
        </w:rPr>
        <w:t>ing</w:t>
      </w:r>
      <w:r w:rsidRPr="00374081" w:rsidR="006979B9">
        <w:rPr>
          <w:rFonts w:ascii="Arial" w:hAnsi="Arial" w:cs="Arial"/>
        </w:rPr>
        <w:t xml:space="preserve"> </w:t>
      </w:r>
      <w:r w:rsidRPr="00374081" w:rsidR="00867932">
        <w:rPr>
          <w:rFonts w:ascii="Arial" w:hAnsi="Arial" w:cs="Arial"/>
        </w:rPr>
        <w:t xml:space="preserve">three </w:t>
      </w:r>
      <w:r w:rsidRPr="00374081">
        <w:rPr>
          <w:rFonts w:ascii="Arial" w:hAnsi="Arial" w:cs="Arial"/>
        </w:rPr>
        <w:t xml:space="preserve">separate clinical </w:t>
      </w:r>
      <w:r w:rsidRPr="00374081" w:rsidR="00051252">
        <w:rPr>
          <w:rFonts w:ascii="Arial" w:hAnsi="Arial" w:cs="Arial"/>
        </w:rPr>
        <w:t>studies</w:t>
      </w:r>
      <w:r w:rsidRPr="00374081">
        <w:rPr>
          <w:rFonts w:ascii="Arial" w:hAnsi="Arial" w:cs="Arial"/>
        </w:rPr>
        <w:t xml:space="preserve"> to </w:t>
      </w:r>
      <w:r w:rsidRPr="00374081" w:rsidR="00D60E70">
        <w:rPr>
          <w:rFonts w:ascii="Arial" w:hAnsi="Arial" w:cs="Arial"/>
        </w:rPr>
        <w:t>support</w:t>
      </w:r>
      <w:r w:rsidRPr="00374081">
        <w:rPr>
          <w:rFonts w:ascii="Arial" w:hAnsi="Arial" w:cs="Arial"/>
        </w:rPr>
        <w:t xml:space="preserve"> the Centers for Medicare and Medicaid Services (CMS)</w:t>
      </w:r>
      <w:r w:rsidRPr="00374081" w:rsidR="00D60E70">
        <w:rPr>
          <w:rFonts w:ascii="Arial" w:hAnsi="Arial" w:cs="Arial"/>
        </w:rPr>
        <w:t xml:space="preserve"> </w:t>
      </w:r>
      <w:r w:rsidR="00500ACE">
        <w:rPr>
          <w:rFonts w:ascii="Arial" w:hAnsi="Arial" w:cs="Arial"/>
        </w:rPr>
        <w:t>in</w:t>
      </w:r>
      <w:r w:rsidRPr="00374081" w:rsidR="00D60E70">
        <w:rPr>
          <w:rFonts w:ascii="Arial" w:hAnsi="Arial" w:cs="Arial"/>
        </w:rPr>
        <w:t xml:space="preserve"> its coverage with evidence </w:t>
      </w:r>
      <w:r w:rsidRPr="00374081" w:rsidR="00A96136">
        <w:rPr>
          <w:rFonts w:ascii="Arial" w:hAnsi="Arial" w:cs="Arial"/>
        </w:rPr>
        <w:t xml:space="preserve">development </w:t>
      </w:r>
      <w:r w:rsidRPr="00374081" w:rsidR="00D60E70">
        <w:rPr>
          <w:rFonts w:ascii="Arial" w:hAnsi="Arial" w:cs="Arial"/>
        </w:rPr>
        <w:t xml:space="preserve">(CED) process. These clinical </w:t>
      </w:r>
      <w:r w:rsidRPr="00374081" w:rsidR="00051252">
        <w:rPr>
          <w:rFonts w:ascii="Arial" w:hAnsi="Arial" w:cs="Arial"/>
        </w:rPr>
        <w:t>studies</w:t>
      </w:r>
      <w:r w:rsidRPr="00374081" w:rsidR="00D60E70">
        <w:rPr>
          <w:rFonts w:ascii="Arial" w:hAnsi="Arial" w:cs="Arial"/>
        </w:rPr>
        <w:t xml:space="preserve"> aim to </w:t>
      </w:r>
      <w:r w:rsidRPr="00374081" w:rsidR="00FD5713">
        <w:rPr>
          <w:rFonts w:ascii="Arial" w:hAnsi="Arial" w:cs="Arial"/>
        </w:rPr>
        <w:t xml:space="preserve">develop evidence to support coverage decisions </w:t>
      </w:r>
      <w:r w:rsidRPr="00374081">
        <w:rPr>
          <w:rFonts w:ascii="Arial" w:hAnsi="Arial" w:cs="Arial"/>
        </w:rPr>
        <w:t xml:space="preserve">regarding stem cell transplantation </w:t>
      </w:r>
      <w:r w:rsidRPr="00374081" w:rsidR="00FD5713">
        <w:rPr>
          <w:rFonts w:ascii="Arial" w:hAnsi="Arial" w:cs="Arial"/>
        </w:rPr>
        <w:t xml:space="preserve">as a treatment </w:t>
      </w:r>
      <w:r w:rsidRPr="00374081">
        <w:rPr>
          <w:rFonts w:ascii="Arial" w:hAnsi="Arial" w:cs="Arial"/>
        </w:rPr>
        <w:t xml:space="preserve">for </w:t>
      </w:r>
      <w:r w:rsidRPr="00374081">
        <w:rPr>
          <w:rFonts w:ascii="Arial" w:hAnsi="Arial" w:cs="Arial"/>
        </w:rPr>
        <w:t xml:space="preserve">Myelodysplastic </w:t>
      </w:r>
      <w:r w:rsidRPr="00374081">
        <w:rPr>
          <w:rFonts w:ascii="Arial" w:hAnsi="Arial" w:cs="Arial"/>
        </w:rPr>
        <w:t>Syndrome (MDS), Sickle Cell Disease, Myelofibrosis, and Multiple Myeloma.</w:t>
      </w:r>
      <w:r>
        <w:rPr>
          <w:rStyle w:val="FootnoteReference"/>
          <w:rFonts w:ascii="Arial" w:hAnsi="Arial" w:cs="Arial"/>
          <w:vertAlign w:val="superscript"/>
        </w:rPr>
        <w:footnoteReference w:id="21"/>
      </w:r>
      <w:r w:rsidRPr="00374081" w:rsidR="00B50518">
        <w:rPr>
          <w:rFonts w:ascii="Arial" w:hAnsi="Arial" w:cs="Arial"/>
          <w:vertAlign w:val="superscript"/>
        </w:rPr>
        <w:t>,</w:t>
      </w:r>
      <w:r>
        <w:rPr>
          <w:rStyle w:val="FootnoteReference"/>
          <w:rFonts w:ascii="Arial" w:hAnsi="Arial" w:cs="Arial"/>
          <w:vertAlign w:val="superscript"/>
        </w:rPr>
        <w:footnoteReference w:id="22"/>
      </w:r>
      <w:r w:rsidRPr="00374081" w:rsidR="00B50518">
        <w:rPr>
          <w:rFonts w:ascii="Arial" w:hAnsi="Arial" w:cs="Arial"/>
          <w:vertAlign w:val="superscript"/>
        </w:rPr>
        <w:t>,</w:t>
      </w:r>
      <w:r>
        <w:rPr>
          <w:rStyle w:val="FootnoteReference"/>
          <w:rFonts w:ascii="Arial" w:hAnsi="Arial" w:cs="Arial"/>
          <w:vertAlign w:val="superscript"/>
        </w:rPr>
        <w:footnoteReference w:id="23"/>
      </w:r>
      <w:r w:rsidRPr="00374081" w:rsidR="00B50518">
        <w:rPr>
          <w:rFonts w:ascii="Arial" w:hAnsi="Arial" w:cs="Arial"/>
          <w:vertAlign w:val="superscript"/>
        </w:rPr>
        <w:t>,</w:t>
      </w:r>
      <w:r>
        <w:rPr>
          <w:rStyle w:val="FootnoteReference"/>
          <w:rFonts w:ascii="Arial" w:hAnsi="Arial" w:cs="Arial"/>
          <w:vertAlign w:val="superscript"/>
        </w:rPr>
        <w:footnoteReference w:id="24"/>
      </w:r>
      <w:r w:rsidRPr="00374081" w:rsidR="00B50518">
        <w:rPr>
          <w:rFonts w:ascii="Arial" w:hAnsi="Arial" w:cs="Arial"/>
          <w:vertAlign w:val="superscript"/>
        </w:rPr>
        <w:t>,</w:t>
      </w:r>
      <w:r>
        <w:rPr>
          <w:rStyle w:val="FootnoteReference"/>
          <w:rFonts w:ascii="Arial" w:hAnsi="Arial" w:cs="Arial"/>
          <w:vertAlign w:val="superscript"/>
        </w:rPr>
        <w:footnoteReference w:id="25"/>
      </w:r>
      <w:r w:rsidRPr="00374081" w:rsidR="00B50518">
        <w:rPr>
          <w:rFonts w:ascii="Arial" w:hAnsi="Arial" w:cs="Arial"/>
          <w:vertAlign w:val="superscript"/>
        </w:rPr>
        <w:t>,</w:t>
      </w:r>
      <w:r>
        <w:rPr>
          <w:rStyle w:val="FootnoteReference"/>
          <w:rFonts w:ascii="Arial" w:hAnsi="Arial" w:cs="Arial"/>
          <w:vertAlign w:val="superscript"/>
        </w:rPr>
        <w:footnoteReference w:id="26"/>
      </w:r>
      <w:r w:rsidRPr="00374081">
        <w:rPr>
          <w:rFonts w:ascii="Arial" w:hAnsi="Arial" w:cs="Arial"/>
          <w:vertAlign w:val="superscript"/>
        </w:rPr>
        <w:t xml:space="preserve"> </w:t>
      </w:r>
    </w:p>
    <w:p w:rsidR="00485D0F" w:rsidRPr="00374081" w:rsidP="008036C1" w14:paraId="4F0DE898" w14:textId="77777777">
      <w:pPr>
        <w:rPr>
          <w:rFonts w:ascii="Arial" w:hAnsi="Arial" w:cs="Arial"/>
          <w:sz w:val="20"/>
          <w:szCs w:val="20"/>
        </w:rPr>
      </w:pPr>
    </w:p>
    <w:p w:rsidR="001214E5" w:rsidRPr="00374081" w:rsidP="008036C1" w14:paraId="755624B9" w14:textId="6CA02112">
      <w:pPr>
        <w:ind w:left="360" w:hanging="360"/>
        <w:rPr>
          <w:rFonts w:ascii="Arial" w:hAnsi="Arial" w:cs="Arial"/>
          <w:b/>
        </w:rPr>
      </w:pPr>
      <w:r w:rsidRPr="00374081">
        <w:rPr>
          <w:rFonts w:ascii="Arial" w:hAnsi="Arial" w:cs="Arial"/>
          <w:b/>
        </w:rPr>
        <w:t>3.</w:t>
      </w:r>
      <w:r w:rsidRPr="00374081" w:rsidR="00966A77">
        <w:rPr>
          <w:rFonts w:ascii="Arial" w:hAnsi="Arial" w:cs="Arial"/>
          <w:b/>
        </w:rPr>
        <w:tab/>
      </w:r>
      <w:r w:rsidRPr="00374081">
        <w:rPr>
          <w:rFonts w:ascii="Arial" w:hAnsi="Arial" w:cs="Arial"/>
          <w:b/>
          <w:u w:val="single"/>
        </w:rPr>
        <w:t>Use of Improved Information Technology</w:t>
      </w:r>
      <w:r w:rsidRPr="00374081">
        <w:rPr>
          <w:rFonts w:ascii="Arial" w:hAnsi="Arial" w:cs="Arial"/>
          <w:b/>
        </w:rPr>
        <w:t xml:space="preserve"> </w:t>
      </w:r>
    </w:p>
    <w:p w:rsidR="002F11D4" w:rsidRPr="00374081" w:rsidP="008036C1" w14:paraId="5621AF71" w14:textId="77777777">
      <w:pPr>
        <w:ind w:left="360" w:hanging="360"/>
        <w:rPr>
          <w:rFonts w:ascii="Arial" w:hAnsi="Arial" w:cs="Arial"/>
          <w:sz w:val="20"/>
          <w:szCs w:val="20"/>
        </w:rPr>
      </w:pPr>
    </w:p>
    <w:p w:rsidR="005F26A2" w:rsidRPr="00374081" w:rsidP="004A204E" w14:paraId="3C3962D3" w14:textId="3203DADE">
      <w:pPr>
        <w:ind w:hanging="14"/>
        <w:rPr>
          <w:rFonts w:ascii="Arial" w:hAnsi="Arial" w:cs="Arial"/>
        </w:rPr>
      </w:pPr>
      <w:r w:rsidRPr="00374081">
        <w:rPr>
          <w:rFonts w:ascii="Arial" w:hAnsi="Arial" w:cs="Arial"/>
        </w:rPr>
        <w:t xml:space="preserve">The SCTOD </w:t>
      </w:r>
      <w:r w:rsidRPr="00374081" w:rsidR="00951DFB">
        <w:rPr>
          <w:rFonts w:ascii="Arial" w:hAnsi="Arial" w:cs="Arial"/>
        </w:rPr>
        <w:t xml:space="preserve">has </w:t>
      </w:r>
      <w:r w:rsidR="000F1274">
        <w:rPr>
          <w:rFonts w:ascii="Arial" w:hAnsi="Arial" w:cs="Arial"/>
        </w:rPr>
        <w:t>inte</w:t>
      </w:r>
      <w:r w:rsidR="005C2A69">
        <w:rPr>
          <w:rFonts w:ascii="Arial" w:hAnsi="Arial" w:cs="Arial"/>
        </w:rPr>
        <w:t>grated</w:t>
      </w:r>
      <w:r w:rsidRPr="00374081" w:rsidR="000F1274">
        <w:rPr>
          <w:rFonts w:ascii="Arial" w:hAnsi="Arial" w:cs="Arial"/>
        </w:rPr>
        <w:t xml:space="preserve"> </w:t>
      </w:r>
      <w:r w:rsidRPr="00374081">
        <w:rPr>
          <w:rFonts w:ascii="Arial" w:hAnsi="Arial" w:cs="Arial"/>
        </w:rPr>
        <w:t>electronic records</w:t>
      </w:r>
      <w:r w:rsidRPr="00374081" w:rsidR="00A956BC">
        <w:rPr>
          <w:rFonts w:ascii="Arial" w:hAnsi="Arial" w:cs="Arial"/>
        </w:rPr>
        <w:t xml:space="preserve"> and </w:t>
      </w:r>
      <w:r w:rsidRPr="00374081">
        <w:rPr>
          <w:rFonts w:ascii="Arial" w:hAnsi="Arial" w:cs="Arial"/>
        </w:rPr>
        <w:t xml:space="preserve">data </w:t>
      </w:r>
      <w:r w:rsidRPr="00374081" w:rsidR="00951DFB">
        <w:rPr>
          <w:rFonts w:ascii="Arial" w:hAnsi="Arial" w:cs="Arial"/>
        </w:rPr>
        <w:t xml:space="preserve">that </w:t>
      </w:r>
      <w:r w:rsidRPr="00374081">
        <w:rPr>
          <w:rFonts w:ascii="Arial" w:hAnsi="Arial" w:cs="Arial"/>
        </w:rPr>
        <w:t xml:space="preserve">are submitted to the </w:t>
      </w:r>
      <w:r w:rsidRPr="00374081" w:rsidR="004A204E">
        <w:rPr>
          <w:rFonts w:ascii="Arial" w:hAnsi="Arial" w:cs="Arial"/>
        </w:rPr>
        <w:t xml:space="preserve">database </w:t>
      </w:r>
      <w:r w:rsidRPr="00374081" w:rsidR="00A956BC">
        <w:rPr>
          <w:rFonts w:ascii="Arial" w:hAnsi="Arial" w:cs="Arial"/>
        </w:rPr>
        <w:t xml:space="preserve">through one of two </w:t>
      </w:r>
      <w:r w:rsidRPr="00374081" w:rsidR="007E3480">
        <w:rPr>
          <w:rFonts w:ascii="Arial" w:hAnsi="Arial" w:cs="Arial"/>
        </w:rPr>
        <w:t xml:space="preserve">primary </w:t>
      </w:r>
      <w:r w:rsidRPr="00374081" w:rsidR="00A956BC">
        <w:rPr>
          <w:rFonts w:ascii="Arial" w:hAnsi="Arial" w:cs="Arial"/>
        </w:rPr>
        <w:t xml:space="preserve">methods: </w:t>
      </w:r>
      <w:r w:rsidRPr="00374081" w:rsidR="004A204E">
        <w:rPr>
          <w:rFonts w:ascii="Arial" w:hAnsi="Arial" w:cs="Arial"/>
        </w:rPr>
        <w:t xml:space="preserve">a secure Web-based application known as </w:t>
      </w:r>
      <w:r w:rsidRPr="00374081" w:rsidR="004A204E">
        <w:rPr>
          <w:rFonts w:ascii="Arial" w:hAnsi="Arial" w:cs="Arial"/>
        </w:rPr>
        <w:t>FormsNet</w:t>
      </w:r>
      <w:r w:rsidRPr="00374081" w:rsidR="00951DFB">
        <w:rPr>
          <w:rFonts w:ascii="Arial" w:hAnsi="Arial" w:cs="Arial"/>
        </w:rPr>
        <w:t xml:space="preserve"> and</w:t>
      </w:r>
      <w:r w:rsidR="00374081">
        <w:rPr>
          <w:rFonts w:ascii="Arial" w:hAnsi="Arial" w:cs="Arial"/>
        </w:rPr>
        <w:t xml:space="preserve"> </w:t>
      </w:r>
      <w:r w:rsidRPr="00374081" w:rsidR="00951DFB">
        <w:rPr>
          <w:rFonts w:ascii="Arial" w:hAnsi="Arial" w:cs="Arial"/>
        </w:rPr>
        <w:t>an open-source messaging system specifically designed to exchange HCT data using a secure, standards-based system, known as AGNIS® (A Growable Network Information System).</w:t>
      </w:r>
      <w:r w:rsidR="00374081">
        <w:rPr>
          <w:rFonts w:ascii="Arial" w:hAnsi="Arial" w:cs="Arial"/>
        </w:rPr>
        <w:t xml:space="preserve"> </w:t>
      </w:r>
      <w:r w:rsidRPr="00374081" w:rsidR="00951DFB">
        <w:rPr>
          <w:rFonts w:ascii="Arial" w:hAnsi="Arial" w:cs="Arial"/>
        </w:rPr>
        <w:t>The SCTOD contractor also implemented</w:t>
      </w:r>
      <w:r w:rsidRPr="00374081" w:rsidR="004A204E">
        <w:rPr>
          <w:rFonts w:ascii="Arial" w:hAnsi="Arial" w:cs="Arial"/>
        </w:rPr>
        <w:t xml:space="preserve"> </w:t>
      </w:r>
      <w:r w:rsidRPr="00374081" w:rsidR="00951DFB">
        <w:rPr>
          <w:rFonts w:ascii="Arial" w:hAnsi="Arial" w:cs="Arial"/>
        </w:rPr>
        <w:t xml:space="preserve">an application that uses </w:t>
      </w:r>
      <w:r w:rsidRPr="00374081" w:rsidR="00D7384A">
        <w:rPr>
          <w:rFonts w:ascii="Arial" w:hAnsi="Arial" w:cs="Arial"/>
        </w:rPr>
        <w:t>an HHS-</w:t>
      </w:r>
      <w:r w:rsidRPr="00374081" w:rsidR="004A204E">
        <w:rPr>
          <w:rFonts w:ascii="Arial" w:hAnsi="Arial" w:cs="Arial"/>
        </w:rPr>
        <w:t xml:space="preserve">approved application programming interface (API) known as the </w:t>
      </w:r>
      <w:r w:rsidRPr="00374081" w:rsidR="00A956BC">
        <w:rPr>
          <w:rFonts w:ascii="Arial" w:hAnsi="Arial" w:cs="Arial"/>
        </w:rPr>
        <w:t>HL7 Fast Healthcare Interoperability Resources® (FHIR®) standard</w:t>
      </w:r>
      <w:r w:rsidRPr="00374081" w:rsidR="00951DFB">
        <w:rPr>
          <w:rFonts w:ascii="Arial" w:hAnsi="Arial" w:cs="Arial"/>
        </w:rPr>
        <w:t xml:space="preserve"> that enables automated acquisition of data from </w:t>
      </w:r>
      <w:r w:rsidR="00494783">
        <w:rPr>
          <w:rFonts w:ascii="Arial" w:hAnsi="Arial" w:cs="Arial"/>
        </w:rPr>
        <w:t>electronic medical records</w:t>
      </w:r>
      <w:r w:rsidRPr="00374081" w:rsidR="00951DFB">
        <w:rPr>
          <w:rFonts w:ascii="Arial" w:hAnsi="Arial" w:cs="Arial"/>
        </w:rPr>
        <w:t xml:space="preserve"> and other </w:t>
      </w:r>
      <w:r w:rsidR="009443F1">
        <w:rPr>
          <w:rFonts w:ascii="Arial" w:hAnsi="Arial" w:cs="Arial"/>
        </w:rPr>
        <w:t>real-world</w:t>
      </w:r>
      <w:r w:rsidRPr="00374081" w:rsidR="00951DFB">
        <w:rPr>
          <w:rFonts w:ascii="Arial" w:hAnsi="Arial" w:cs="Arial"/>
        </w:rPr>
        <w:t xml:space="preserve"> evidence source systems deployed within reporting centers</w:t>
      </w:r>
      <w:r w:rsidRPr="00374081" w:rsidR="00A956BC">
        <w:rPr>
          <w:rFonts w:ascii="Arial" w:hAnsi="Arial" w:cs="Arial"/>
        </w:rPr>
        <w:t>.</w:t>
      </w:r>
      <w:r>
        <w:rPr>
          <w:rStyle w:val="FootnoteReference"/>
          <w:rFonts w:ascii="Arial" w:hAnsi="Arial" w:cs="Arial"/>
          <w:vertAlign w:val="superscript"/>
        </w:rPr>
        <w:footnoteReference w:id="27"/>
      </w:r>
      <w:r w:rsidRPr="00374081" w:rsidR="0000407F">
        <w:rPr>
          <w:rStyle w:val="FootnoteReference"/>
          <w:rFonts w:ascii="Arial" w:hAnsi="Arial" w:cs="Arial"/>
          <w:vertAlign w:val="superscript"/>
        </w:rPr>
        <w:t>,</w:t>
      </w:r>
      <w:r>
        <w:rPr>
          <w:rStyle w:val="FootnoteReference"/>
          <w:rFonts w:ascii="Arial" w:hAnsi="Arial" w:cs="Arial"/>
          <w:vertAlign w:val="superscript"/>
        </w:rPr>
        <w:footnoteReference w:id="28"/>
      </w:r>
      <w:r w:rsidRPr="00374081" w:rsidR="00A956BC">
        <w:rPr>
          <w:rFonts w:ascii="Arial" w:hAnsi="Arial" w:cs="Arial"/>
          <w:vertAlign w:val="superscript"/>
        </w:rPr>
        <w:t xml:space="preserve"> </w:t>
      </w:r>
    </w:p>
    <w:p w:rsidR="007E3480" w:rsidRPr="00374081" w:rsidP="008036C1" w14:paraId="1373E893" w14:textId="77777777">
      <w:pPr>
        <w:ind w:hanging="14"/>
        <w:rPr>
          <w:rFonts w:ascii="Arial" w:hAnsi="Arial" w:cs="Arial"/>
          <w:sz w:val="20"/>
          <w:szCs w:val="20"/>
        </w:rPr>
      </w:pPr>
    </w:p>
    <w:p w:rsidR="007E3480" w:rsidRPr="00374081" w:rsidP="009338D1" w14:paraId="2AEE61B1" w14:textId="26A9B5FF">
      <w:pPr>
        <w:spacing w:after="120"/>
        <w:ind w:hanging="14"/>
        <w:rPr>
          <w:rFonts w:ascii="Arial" w:hAnsi="Arial" w:cs="Arial"/>
        </w:rPr>
      </w:pPr>
      <w:r w:rsidRPr="00374081">
        <w:rPr>
          <w:rFonts w:ascii="Arial" w:hAnsi="Arial" w:cs="Arial"/>
        </w:rPr>
        <w:t xml:space="preserve">The SCTOD contractor’s current default method for data collection is </w:t>
      </w:r>
      <w:r w:rsidRPr="00374081">
        <w:rPr>
          <w:rFonts w:ascii="Arial" w:hAnsi="Arial" w:cs="Arial"/>
        </w:rPr>
        <w:t>FormsNet</w:t>
      </w:r>
      <w:r w:rsidRPr="00374081" w:rsidR="003C64C3">
        <w:rPr>
          <w:rFonts w:ascii="Arial" w:hAnsi="Arial" w:cs="Arial"/>
        </w:rPr>
        <w:t xml:space="preserve">, </w:t>
      </w:r>
      <w:r w:rsidR="009443F1">
        <w:rPr>
          <w:rFonts w:ascii="Arial" w:hAnsi="Arial" w:cs="Arial"/>
        </w:rPr>
        <w:t>a single Web-based application for data entry, viewing, and auditing of electronic data. This application</w:t>
      </w:r>
      <w:r w:rsidRPr="00374081" w:rsidR="00013B0C">
        <w:rPr>
          <w:rFonts w:ascii="Arial" w:hAnsi="Arial" w:cs="Arial"/>
        </w:rPr>
        <w:t xml:space="preserve"> </w:t>
      </w:r>
      <w:r w:rsidRPr="00374081" w:rsidR="00A671E5">
        <w:rPr>
          <w:rFonts w:ascii="Arial" w:hAnsi="Arial" w:cs="Arial"/>
        </w:rPr>
        <w:t xml:space="preserve">allows </w:t>
      </w:r>
      <w:r w:rsidRPr="00374081">
        <w:rPr>
          <w:rFonts w:ascii="Arial" w:hAnsi="Arial" w:cs="Arial"/>
        </w:rPr>
        <w:t>remote data entry of all transplant baseline and follow-up data by transplant centers.</w:t>
      </w:r>
      <w:r>
        <w:rPr>
          <w:rStyle w:val="FootnoteReference"/>
          <w:rFonts w:ascii="Arial" w:hAnsi="Arial" w:cs="Arial"/>
          <w:vertAlign w:val="superscript"/>
        </w:rPr>
        <w:footnoteReference w:id="29"/>
      </w:r>
      <w:r w:rsidRPr="00374081">
        <w:rPr>
          <w:rFonts w:ascii="Arial" w:hAnsi="Arial" w:cs="Arial"/>
          <w:vertAlign w:val="superscript"/>
        </w:rPr>
        <w:t xml:space="preserve"> </w:t>
      </w:r>
      <w:r w:rsidRPr="00374081">
        <w:rPr>
          <w:rFonts w:ascii="Arial" w:hAnsi="Arial" w:cs="Arial"/>
        </w:rPr>
        <w:t xml:space="preserve">Important features included in </w:t>
      </w:r>
      <w:r w:rsidRPr="00374081" w:rsidR="00013B0C">
        <w:rPr>
          <w:rFonts w:ascii="Arial" w:hAnsi="Arial" w:cs="Arial"/>
        </w:rPr>
        <w:t xml:space="preserve">the </w:t>
      </w:r>
      <w:r w:rsidRPr="00374081" w:rsidR="00E01AE7">
        <w:rPr>
          <w:rFonts w:ascii="Arial" w:hAnsi="Arial" w:cs="Arial"/>
        </w:rPr>
        <w:t xml:space="preserve">current version of </w:t>
      </w:r>
      <w:r w:rsidR="009443F1">
        <w:rPr>
          <w:rFonts w:ascii="Arial" w:hAnsi="Arial" w:cs="Arial"/>
        </w:rPr>
        <w:t xml:space="preserve">the </w:t>
      </w:r>
      <w:r w:rsidRPr="00374081" w:rsidR="00A671E5">
        <w:rPr>
          <w:rFonts w:ascii="Arial" w:hAnsi="Arial" w:cs="Arial"/>
        </w:rPr>
        <w:t>FormsNet</w:t>
      </w:r>
      <w:r w:rsidRPr="00374081">
        <w:rPr>
          <w:rFonts w:ascii="Arial" w:hAnsi="Arial" w:cs="Arial"/>
        </w:rPr>
        <w:t xml:space="preserve"> </w:t>
      </w:r>
      <w:r w:rsidRPr="00374081" w:rsidR="00013B0C">
        <w:rPr>
          <w:rFonts w:ascii="Arial" w:hAnsi="Arial" w:cs="Arial"/>
        </w:rPr>
        <w:t xml:space="preserve">application </w:t>
      </w:r>
      <w:r w:rsidRPr="00374081" w:rsidR="00E01AE7">
        <w:rPr>
          <w:rFonts w:ascii="Arial" w:hAnsi="Arial" w:cs="Arial"/>
        </w:rPr>
        <w:t xml:space="preserve">(v3) </w:t>
      </w:r>
      <w:r w:rsidRPr="00374081">
        <w:rPr>
          <w:rFonts w:ascii="Arial" w:hAnsi="Arial" w:cs="Arial"/>
        </w:rPr>
        <w:t xml:space="preserve">are: </w:t>
      </w:r>
    </w:p>
    <w:p w:rsidR="007E3480" w:rsidRPr="00374081" w:rsidP="008036C1" w14:paraId="62C05BBD" w14:textId="3F957E03">
      <w:pPr>
        <w:pStyle w:val="ListParagraph"/>
        <w:numPr>
          <w:ilvl w:val="0"/>
          <w:numId w:val="18"/>
        </w:numPr>
        <w:spacing w:line="240" w:lineRule="auto"/>
        <w:rPr>
          <w:sz w:val="24"/>
          <w:szCs w:val="24"/>
        </w:rPr>
      </w:pPr>
      <w:r w:rsidRPr="00374081">
        <w:rPr>
          <w:sz w:val="24"/>
          <w:szCs w:val="24"/>
        </w:rPr>
        <w:t xml:space="preserve">24/7 accessibility; </w:t>
      </w:r>
    </w:p>
    <w:p w:rsidR="007E3480" w:rsidRPr="00374081" w:rsidP="008036C1" w14:paraId="088C54C1" w14:textId="6E2E20F2">
      <w:pPr>
        <w:pStyle w:val="ListParagraph"/>
        <w:numPr>
          <w:ilvl w:val="0"/>
          <w:numId w:val="18"/>
        </w:numPr>
        <w:spacing w:after="0" w:line="240" w:lineRule="auto"/>
        <w:rPr>
          <w:sz w:val="24"/>
          <w:szCs w:val="24"/>
        </w:rPr>
      </w:pPr>
      <w:r w:rsidRPr="00374081">
        <w:rPr>
          <w:sz w:val="24"/>
          <w:szCs w:val="24"/>
        </w:rPr>
        <w:t xml:space="preserve">create/edit </w:t>
      </w:r>
      <w:r w:rsidRPr="00374081" w:rsidR="00865C14">
        <w:rPr>
          <w:sz w:val="24"/>
          <w:szCs w:val="24"/>
        </w:rPr>
        <w:t>data collection instruments</w:t>
      </w:r>
      <w:r w:rsidRPr="00374081">
        <w:rPr>
          <w:sz w:val="24"/>
          <w:szCs w:val="24"/>
        </w:rPr>
        <w:t xml:space="preserve"> and inserts; </w:t>
      </w:r>
    </w:p>
    <w:p w:rsidR="007E3480" w:rsidRPr="00374081" w:rsidP="008036C1" w14:paraId="0A9C2398" w14:textId="77777777">
      <w:pPr>
        <w:numPr>
          <w:ilvl w:val="0"/>
          <w:numId w:val="10"/>
        </w:numPr>
        <w:rPr>
          <w:rFonts w:ascii="Arial" w:hAnsi="Arial" w:cs="Arial"/>
        </w:rPr>
      </w:pPr>
      <w:r w:rsidRPr="00374081">
        <w:rPr>
          <w:rFonts w:ascii="Arial" w:hAnsi="Arial" w:cs="Arial"/>
        </w:rPr>
        <w:t xml:space="preserve">create/edit all contractor-specific inserts; </w:t>
      </w:r>
    </w:p>
    <w:p w:rsidR="007E3480" w:rsidRPr="00374081" w:rsidP="008036C1" w14:paraId="230E2988" w14:textId="7AB2E1F1">
      <w:pPr>
        <w:numPr>
          <w:ilvl w:val="0"/>
          <w:numId w:val="10"/>
        </w:numPr>
        <w:rPr>
          <w:rFonts w:ascii="Arial" w:hAnsi="Arial" w:cs="Arial"/>
        </w:rPr>
      </w:pPr>
      <w:r w:rsidRPr="00374081">
        <w:rPr>
          <w:rFonts w:ascii="Arial" w:hAnsi="Arial" w:cs="Arial"/>
        </w:rPr>
        <w:t xml:space="preserve">create/edit confirmation of Human Leukocyte Antigen (HLA) typing and product </w:t>
      </w:r>
      <w:r w:rsidRPr="00374081" w:rsidR="00865C14">
        <w:rPr>
          <w:rFonts w:ascii="Arial" w:hAnsi="Arial" w:cs="Arial"/>
        </w:rPr>
        <w:t>data</w:t>
      </w:r>
      <w:r w:rsidRPr="00374081">
        <w:rPr>
          <w:rFonts w:ascii="Arial" w:hAnsi="Arial" w:cs="Arial"/>
        </w:rPr>
        <w:t xml:space="preserve">; </w:t>
      </w:r>
    </w:p>
    <w:p w:rsidR="007E3480" w:rsidRPr="00374081" w:rsidP="008036C1" w14:paraId="715BF96E" w14:textId="77777777">
      <w:pPr>
        <w:numPr>
          <w:ilvl w:val="0"/>
          <w:numId w:val="10"/>
        </w:numPr>
        <w:rPr>
          <w:rFonts w:ascii="Arial" w:hAnsi="Arial" w:cs="Arial"/>
        </w:rPr>
      </w:pPr>
      <w:r w:rsidRPr="00374081">
        <w:rPr>
          <w:rFonts w:ascii="Arial" w:hAnsi="Arial" w:cs="Arial"/>
        </w:rPr>
        <w:t xml:space="preserve">audit trail and user interface; </w:t>
      </w:r>
    </w:p>
    <w:p w:rsidR="007E3480" w:rsidRPr="00374081" w:rsidP="008036C1" w14:paraId="707CE58C" w14:textId="5455676D">
      <w:pPr>
        <w:numPr>
          <w:ilvl w:val="0"/>
          <w:numId w:val="10"/>
        </w:numPr>
        <w:rPr>
          <w:rFonts w:ascii="Arial" w:hAnsi="Arial" w:cs="Arial"/>
        </w:rPr>
      </w:pPr>
      <w:r w:rsidRPr="00374081">
        <w:rPr>
          <w:rFonts w:ascii="Arial" w:hAnsi="Arial" w:cs="Arial"/>
        </w:rPr>
        <w:t xml:space="preserve">data entry and </w:t>
      </w:r>
      <w:r w:rsidRPr="00374081" w:rsidR="00865C14">
        <w:rPr>
          <w:rFonts w:ascii="Arial" w:hAnsi="Arial" w:cs="Arial"/>
        </w:rPr>
        <w:t xml:space="preserve">data </w:t>
      </w:r>
      <w:r w:rsidRPr="00374081">
        <w:rPr>
          <w:rFonts w:ascii="Arial" w:hAnsi="Arial" w:cs="Arial"/>
        </w:rPr>
        <w:t xml:space="preserve">reconciliation; and </w:t>
      </w:r>
    </w:p>
    <w:p w:rsidR="007E3480" w:rsidRPr="00374081" w:rsidP="008036C1" w14:paraId="027F1DFB" w14:textId="77777777">
      <w:pPr>
        <w:numPr>
          <w:ilvl w:val="0"/>
          <w:numId w:val="10"/>
        </w:numPr>
        <w:rPr>
          <w:rFonts w:ascii="Arial" w:hAnsi="Arial" w:cs="Arial"/>
        </w:rPr>
      </w:pPr>
      <w:r w:rsidRPr="00374081">
        <w:rPr>
          <w:rFonts w:ascii="Arial" w:hAnsi="Arial" w:cs="Arial"/>
        </w:rPr>
        <w:t xml:space="preserve">tools for monitoring accuracy and processes. </w:t>
      </w:r>
    </w:p>
    <w:p w:rsidR="007E3480" w:rsidRPr="00374081" w:rsidP="008036C1" w14:paraId="61ADCBDF" w14:textId="77777777">
      <w:pPr>
        <w:ind w:left="360"/>
        <w:rPr>
          <w:rFonts w:ascii="Arial" w:hAnsi="Arial" w:cs="Arial"/>
          <w:sz w:val="20"/>
          <w:szCs w:val="20"/>
        </w:rPr>
      </w:pPr>
      <w:r w:rsidRPr="00374081">
        <w:rPr>
          <w:rFonts w:ascii="Arial" w:hAnsi="Arial" w:cs="Arial"/>
          <w:sz w:val="20"/>
          <w:szCs w:val="20"/>
        </w:rPr>
        <w:t xml:space="preserve"> </w:t>
      </w:r>
    </w:p>
    <w:p w:rsidR="00EA4930" w:rsidRPr="00374081" w:rsidP="006E6974" w14:paraId="5C1E689E" w14:textId="55A3B159">
      <w:pPr>
        <w:ind w:left="-5"/>
        <w:rPr>
          <w:rFonts w:ascii="Arial" w:hAnsi="Arial" w:cs="Arial"/>
        </w:rPr>
      </w:pPr>
      <w:r w:rsidRPr="00374081">
        <w:rPr>
          <w:rFonts w:ascii="Arial" w:hAnsi="Arial" w:cs="Arial"/>
        </w:rPr>
        <w:t>FormsNet</w:t>
      </w:r>
      <w:r w:rsidRPr="00374081" w:rsidR="007E3480">
        <w:rPr>
          <w:rFonts w:ascii="Arial" w:hAnsi="Arial" w:cs="Arial"/>
        </w:rPr>
        <w:t xml:space="preserve"> </w:t>
      </w:r>
      <w:r w:rsidRPr="00374081" w:rsidR="003F774A">
        <w:rPr>
          <w:rFonts w:ascii="Arial" w:hAnsi="Arial" w:cs="Arial"/>
        </w:rPr>
        <w:t xml:space="preserve">also </w:t>
      </w:r>
      <w:r w:rsidRPr="00374081" w:rsidR="007E3480">
        <w:rPr>
          <w:rFonts w:ascii="Arial" w:hAnsi="Arial" w:cs="Arial"/>
        </w:rPr>
        <w:t>includes</w:t>
      </w:r>
      <w:r w:rsidRPr="00374081" w:rsidR="00514475">
        <w:rPr>
          <w:rFonts w:ascii="Arial" w:hAnsi="Arial" w:cs="Arial"/>
        </w:rPr>
        <w:t>:</w:t>
      </w:r>
      <w:r w:rsidRPr="00374081" w:rsidR="007E3480">
        <w:rPr>
          <w:rFonts w:ascii="Arial" w:hAnsi="Arial" w:cs="Arial"/>
        </w:rPr>
        <w:t xml:space="preserve"> automated validation checks within and between </w:t>
      </w:r>
      <w:r w:rsidRPr="00374081" w:rsidR="00514475">
        <w:rPr>
          <w:rFonts w:ascii="Arial" w:hAnsi="Arial" w:cs="Arial"/>
        </w:rPr>
        <w:t>data collection instruments</w:t>
      </w:r>
      <w:r w:rsidRPr="00374081" w:rsidR="007E3480">
        <w:rPr>
          <w:rFonts w:ascii="Arial" w:hAnsi="Arial" w:cs="Arial"/>
        </w:rPr>
        <w:t xml:space="preserve">; automatically generated error reports; field-level saving and field-level audit trails; review functions for center supervisors; forms due reporting; and the flexibility to add additional features. </w:t>
      </w:r>
      <w:r w:rsidRPr="00374081" w:rsidR="003F774A">
        <w:rPr>
          <w:rFonts w:ascii="Arial" w:hAnsi="Arial" w:cs="Arial"/>
        </w:rPr>
        <w:t xml:space="preserve">And finally, </w:t>
      </w:r>
      <w:r w:rsidRPr="00374081">
        <w:rPr>
          <w:rFonts w:ascii="Arial" w:hAnsi="Arial" w:cs="Arial"/>
        </w:rPr>
        <w:t>F</w:t>
      </w:r>
      <w:r w:rsidRPr="00374081" w:rsidR="007E3480">
        <w:rPr>
          <w:rFonts w:ascii="Arial" w:hAnsi="Arial" w:cs="Arial"/>
        </w:rPr>
        <w:t>ormsNet</w:t>
      </w:r>
      <w:r w:rsidRPr="00374081" w:rsidR="007E3480">
        <w:rPr>
          <w:rFonts w:ascii="Arial" w:hAnsi="Arial" w:cs="Arial"/>
        </w:rPr>
        <w:t xml:space="preserve"> provides </w:t>
      </w:r>
      <w:r w:rsidRPr="00374081" w:rsidR="003F774A">
        <w:rPr>
          <w:rFonts w:ascii="Arial" w:hAnsi="Arial" w:cs="Arial"/>
        </w:rPr>
        <w:t xml:space="preserve">additional </w:t>
      </w:r>
      <w:r w:rsidRPr="00374081">
        <w:rPr>
          <w:rFonts w:ascii="Arial" w:hAnsi="Arial" w:cs="Arial"/>
        </w:rPr>
        <w:t xml:space="preserve">functionality that </w:t>
      </w:r>
      <w:r w:rsidRPr="00374081" w:rsidR="003F774A">
        <w:rPr>
          <w:rFonts w:ascii="Arial" w:hAnsi="Arial" w:cs="Arial"/>
        </w:rPr>
        <w:t xml:space="preserve">can </w:t>
      </w:r>
      <w:r w:rsidRPr="00374081" w:rsidR="007E3480">
        <w:rPr>
          <w:rFonts w:ascii="Arial" w:hAnsi="Arial" w:cs="Arial"/>
        </w:rPr>
        <w:t xml:space="preserve">reduce </w:t>
      </w:r>
      <w:r w:rsidR="009443F1">
        <w:rPr>
          <w:rFonts w:ascii="Arial" w:hAnsi="Arial" w:cs="Arial"/>
        </w:rPr>
        <w:t xml:space="preserve">the burden and increase data quality (e.g., modifying </w:t>
      </w:r>
      <w:r w:rsidR="009443F1">
        <w:rPr>
          <w:rFonts w:ascii="Arial" w:hAnsi="Arial" w:cs="Arial"/>
        </w:rPr>
        <w:t>response options in drop-down</w:t>
      </w:r>
      <w:r w:rsidRPr="00374081" w:rsidR="007E3480">
        <w:rPr>
          <w:rFonts w:ascii="Arial" w:hAnsi="Arial" w:cs="Arial"/>
        </w:rPr>
        <w:t xml:space="preserve"> boxes </w:t>
      </w:r>
      <w:r w:rsidRPr="00374081" w:rsidR="0000407F">
        <w:rPr>
          <w:rFonts w:ascii="Arial" w:hAnsi="Arial" w:cs="Arial"/>
        </w:rPr>
        <w:t xml:space="preserve">to </w:t>
      </w:r>
      <w:r w:rsidRPr="00374081" w:rsidR="003F774A">
        <w:rPr>
          <w:rFonts w:ascii="Arial" w:hAnsi="Arial" w:cs="Arial"/>
        </w:rPr>
        <w:t>align with c</w:t>
      </w:r>
      <w:r w:rsidRPr="00374081" w:rsidR="007E3480">
        <w:rPr>
          <w:rFonts w:ascii="Arial" w:hAnsi="Arial" w:cs="Arial"/>
        </w:rPr>
        <w:t>urrent medical evidence</w:t>
      </w:r>
      <w:r w:rsidRPr="00374081" w:rsidR="003F774A">
        <w:rPr>
          <w:rFonts w:ascii="Arial" w:hAnsi="Arial" w:cs="Arial"/>
        </w:rPr>
        <w:t xml:space="preserve"> and modifying question paths to align with respondent workflow</w:t>
      </w:r>
      <w:r w:rsidRPr="00374081" w:rsidR="007E3480">
        <w:rPr>
          <w:rFonts w:ascii="Arial" w:hAnsi="Arial" w:cs="Arial"/>
        </w:rPr>
        <w:t xml:space="preserve">). </w:t>
      </w:r>
    </w:p>
    <w:p w:rsidR="006274D2" w:rsidRPr="00374081" w:rsidP="006E6974" w14:paraId="20402B22" w14:textId="77777777">
      <w:pPr>
        <w:rPr>
          <w:rFonts w:ascii="Arial" w:hAnsi="Arial" w:cs="Arial"/>
          <w:sz w:val="20"/>
          <w:szCs w:val="20"/>
        </w:rPr>
      </w:pPr>
    </w:p>
    <w:p w:rsidR="007E3480" w:rsidRPr="00374081" w:rsidP="006E6974" w14:paraId="508132AF" w14:textId="1426C3A4">
      <w:pPr>
        <w:ind w:left="-5"/>
        <w:rPr>
          <w:rFonts w:ascii="Arial" w:hAnsi="Arial" w:cs="Arial"/>
        </w:rPr>
      </w:pPr>
      <w:r w:rsidRPr="00374081">
        <w:rPr>
          <w:rFonts w:ascii="Arial" w:hAnsi="Arial" w:cs="Arial"/>
        </w:rPr>
        <w:t>FormsNet</w:t>
      </w:r>
      <w:r w:rsidRPr="00374081">
        <w:rPr>
          <w:rFonts w:ascii="Arial" w:hAnsi="Arial" w:cs="Arial"/>
        </w:rPr>
        <w:t xml:space="preserve"> is fully compliant with Federal database security requirements as established by HRSA’s Office of Information Technology (OIT) and the Food and Drug Administration (FDA) </w:t>
      </w:r>
      <w:r w:rsidRPr="00374081">
        <w:rPr>
          <w:rFonts w:ascii="Arial" w:hAnsi="Arial" w:cs="Arial"/>
          <w:i/>
        </w:rPr>
        <w:t>21 CFR Part 11;</w:t>
      </w:r>
      <w:r w:rsidRPr="00374081">
        <w:rPr>
          <w:rFonts w:ascii="Arial" w:hAnsi="Arial" w:cs="Arial"/>
        </w:rPr>
        <w:t xml:space="preserve"> </w:t>
      </w:r>
      <w:r w:rsidRPr="00374081">
        <w:rPr>
          <w:rFonts w:ascii="Arial" w:hAnsi="Arial" w:cs="Arial"/>
          <w:i/>
        </w:rPr>
        <w:t>Electronic Records; Electronic Signatures Maintenance of Electronic Records</w:t>
      </w:r>
      <w:r w:rsidRPr="00374081">
        <w:rPr>
          <w:rFonts w:ascii="Arial" w:hAnsi="Arial" w:cs="Arial"/>
        </w:rPr>
        <w:t xml:space="preserve"> and </w:t>
      </w:r>
      <w:r w:rsidRPr="00374081">
        <w:rPr>
          <w:rFonts w:ascii="Arial" w:hAnsi="Arial" w:cs="Arial"/>
          <w:i/>
        </w:rPr>
        <w:t>Computerized Systems Used in Clinical Trials.</w:t>
      </w:r>
      <w:r w:rsidRPr="00374081">
        <w:rPr>
          <w:rFonts w:ascii="Arial" w:hAnsi="Arial" w:cs="Arial"/>
        </w:rPr>
        <w:t xml:space="preserve"> </w:t>
      </w:r>
    </w:p>
    <w:p w:rsidR="007E3480" w:rsidRPr="00374081" w:rsidP="008036C1" w14:paraId="0BCED9F7" w14:textId="77777777">
      <w:pPr>
        <w:ind w:hanging="14"/>
        <w:rPr>
          <w:rFonts w:ascii="Arial" w:hAnsi="Arial" w:cs="Arial"/>
          <w:sz w:val="20"/>
          <w:szCs w:val="20"/>
        </w:rPr>
      </w:pPr>
    </w:p>
    <w:p w:rsidR="005E1D92" w:rsidRPr="00374081" w:rsidP="00317DAD" w14:paraId="6DCA5239" w14:textId="7FBE3210">
      <w:pPr>
        <w:spacing w:after="120"/>
        <w:ind w:hanging="14"/>
        <w:rPr>
          <w:rFonts w:ascii="Arial" w:hAnsi="Arial" w:cs="Arial"/>
          <w:color w:val="000000" w:themeColor="text1"/>
        </w:rPr>
      </w:pPr>
      <w:r>
        <w:rPr>
          <w:rFonts w:ascii="Arial" w:hAnsi="Arial" w:cs="Arial"/>
          <w:color w:val="000000" w:themeColor="text1"/>
        </w:rPr>
        <w:t>To</w:t>
      </w:r>
      <w:r w:rsidRPr="00374081" w:rsidR="007E3480">
        <w:rPr>
          <w:rFonts w:ascii="Arial" w:hAnsi="Arial" w:cs="Arial"/>
          <w:color w:val="000000" w:themeColor="text1"/>
        </w:rPr>
        <w:t xml:space="preserve"> continually improve its data collection process, t</w:t>
      </w:r>
      <w:r w:rsidRPr="00374081" w:rsidR="00A956BC">
        <w:rPr>
          <w:rFonts w:ascii="Arial" w:hAnsi="Arial" w:cs="Arial"/>
          <w:color w:val="000000" w:themeColor="text1"/>
        </w:rPr>
        <w:t xml:space="preserve">he SCTOD contractor performed </w:t>
      </w:r>
      <w:r w:rsidRPr="00374081" w:rsidR="006D4EAE">
        <w:rPr>
          <w:rFonts w:ascii="Arial" w:hAnsi="Arial" w:cs="Arial"/>
          <w:color w:val="000000" w:themeColor="text1"/>
        </w:rPr>
        <w:t>a</w:t>
      </w:r>
      <w:r w:rsidRPr="00374081" w:rsidR="00E2112A">
        <w:rPr>
          <w:rFonts w:ascii="Arial" w:hAnsi="Arial" w:cs="Arial"/>
          <w:color w:val="000000" w:themeColor="text1"/>
        </w:rPr>
        <w:t xml:space="preserve">n </w:t>
      </w:r>
      <w:r w:rsidRPr="00374081" w:rsidR="006D4EAE">
        <w:rPr>
          <w:rFonts w:ascii="Arial" w:hAnsi="Arial" w:cs="Arial"/>
          <w:color w:val="000000" w:themeColor="text1"/>
        </w:rPr>
        <w:t xml:space="preserve">analysis </w:t>
      </w:r>
      <w:r w:rsidRPr="00374081" w:rsidR="00E2112A">
        <w:rPr>
          <w:rFonts w:ascii="Arial" w:hAnsi="Arial" w:cs="Arial"/>
          <w:color w:val="000000" w:themeColor="text1"/>
        </w:rPr>
        <w:t>to identify the gaps between the current state and desired future state for collecting data that (1) reduce</w:t>
      </w:r>
      <w:r w:rsidRPr="00374081" w:rsidR="00BF2162">
        <w:rPr>
          <w:rFonts w:ascii="Arial" w:hAnsi="Arial" w:cs="Arial"/>
          <w:color w:val="000000" w:themeColor="text1"/>
        </w:rPr>
        <w:t>s</w:t>
      </w:r>
      <w:r w:rsidRPr="00374081" w:rsidR="00E2112A">
        <w:rPr>
          <w:rFonts w:ascii="Arial" w:hAnsi="Arial" w:cs="Arial"/>
          <w:color w:val="000000" w:themeColor="text1"/>
        </w:rPr>
        <w:t xml:space="preserve"> burden and (2) </w:t>
      </w:r>
      <w:r w:rsidRPr="00374081" w:rsidR="00BF2162">
        <w:rPr>
          <w:rFonts w:ascii="Arial" w:hAnsi="Arial" w:cs="Arial"/>
          <w:color w:val="000000" w:themeColor="text1"/>
        </w:rPr>
        <w:t xml:space="preserve">results in data that </w:t>
      </w:r>
      <w:r>
        <w:rPr>
          <w:rFonts w:ascii="Arial" w:hAnsi="Arial" w:cs="Arial"/>
          <w:color w:val="000000" w:themeColor="text1"/>
        </w:rPr>
        <w:t>is</w:t>
      </w:r>
      <w:r w:rsidRPr="00374081">
        <w:rPr>
          <w:rFonts w:ascii="Arial" w:hAnsi="Arial" w:cs="Arial"/>
          <w:color w:val="000000" w:themeColor="text1"/>
        </w:rPr>
        <w:t xml:space="preserve"> </w:t>
      </w:r>
      <w:r w:rsidRPr="00374081" w:rsidR="00E2112A">
        <w:rPr>
          <w:rFonts w:ascii="Arial" w:hAnsi="Arial" w:cs="Arial"/>
          <w:color w:val="000000" w:themeColor="text1"/>
        </w:rPr>
        <w:t>timely, meaningful, and actionable</w:t>
      </w:r>
      <w:r w:rsidRPr="00374081" w:rsidR="007E3480">
        <w:rPr>
          <w:rFonts w:ascii="Arial" w:hAnsi="Arial" w:cs="Arial"/>
          <w:color w:val="000000" w:themeColor="text1"/>
        </w:rPr>
        <w:t>.</w:t>
      </w:r>
      <w:r w:rsidRPr="00374081" w:rsidR="00D67B52">
        <w:rPr>
          <w:rFonts w:ascii="Arial" w:hAnsi="Arial" w:cs="Arial"/>
          <w:color w:val="000000" w:themeColor="text1"/>
        </w:rPr>
        <w:t xml:space="preserve"> Based on this analysis, the SCTOD contractor implemented its Data Transformation Initiative</w:t>
      </w:r>
      <w:r w:rsidRPr="00374081" w:rsidR="003B686C">
        <w:rPr>
          <w:rFonts w:ascii="Arial" w:hAnsi="Arial" w:cs="Arial"/>
          <w:color w:val="000000" w:themeColor="text1"/>
        </w:rPr>
        <w:t xml:space="preserve"> (DTI), whose vision </w:t>
      </w:r>
      <w:r w:rsidRPr="00374081" w:rsidR="003B686C">
        <w:rPr>
          <w:rFonts w:ascii="Arial" w:hAnsi="Arial" w:cs="Arial"/>
          <w:color w:val="000000" w:themeColor="text1"/>
          <w:shd w:val="clear" w:color="auto" w:fill="FFFFFF"/>
        </w:rPr>
        <w:t xml:space="preserve">is “to optimize the acquisition and utilization of entrusted data assets to accelerate breakthroughs that transform patient experiences.” </w:t>
      </w:r>
      <w:r>
        <w:rPr>
          <w:rStyle w:val="FootnoteReference"/>
          <w:rFonts w:ascii="Arial" w:hAnsi="Arial" w:cs="Arial"/>
          <w:color w:val="000000" w:themeColor="text1"/>
          <w:vertAlign w:val="superscript"/>
        </w:rPr>
        <w:footnoteReference w:id="30"/>
      </w:r>
      <w:r w:rsidRPr="00374081" w:rsidR="00D67B52">
        <w:rPr>
          <w:rFonts w:ascii="Arial" w:hAnsi="Arial" w:cs="Arial"/>
          <w:color w:val="000000" w:themeColor="text1"/>
          <w:vertAlign w:val="superscript"/>
        </w:rPr>
        <w:t xml:space="preserve"> </w:t>
      </w:r>
      <w:r w:rsidRPr="00374081" w:rsidR="0046101A">
        <w:rPr>
          <w:rFonts w:ascii="Arial" w:hAnsi="Arial" w:cs="Arial"/>
          <w:color w:val="000000" w:themeColor="text1"/>
          <w:shd w:val="clear" w:color="auto" w:fill="FFFFFF"/>
        </w:rPr>
        <w:t xml:space="preserve">To support the Initiative, </w:t>
      </w:r>
      <w:r w:rsidRPr="00374081" w:rsidR="00D67B52">
        <w:rPr>
          <w:rFonts w:ascii="Arial" w:hAnsi="Arial" w:cs="Arial"/>
          <w:color w:val="000000" w:themeColor="text1"/>
        </w:rPr>
        <w:t xml:space="preserve">the SCTOD contractor </w:t>
      </w:r>
      <w:r w:rsidRPr="00374081">
        <w:rPr>
          <w:rFonts w:ascii="Arial" w:hAnsi="Arial" w:cs="Arial"/>
          <w:color w:val="000000" w:themeColor="text1"/>
        </w:rPr>
        <w:t>took two simultaneous paths to improving data quality and reducing burden:</w:t>
      </w:r>
    </w:p>
    <w:p w:rsidR="005E1D92" w:rsidRPr="00374081" w:rsidP="00317DAD" w14:paraId="3A435B60" w14:textId="344D40A0">
      <w:pPr>
        <w:pStyle w:val="ListParagraph"/>
        <w:numPr>
          <w:ilvl w:val="0"/>
          <w:numId w:val="26"/>
        </w:numPr>
        <w:spacing w:after="120" w:line="240" w:lineRule="auto"/>
        <w:contextualSpacing w:val="0"/>
        <w:rPr>
          <w:color w:val="000000" w:themeColor="text1"/>
          <w:sz w:val="24"/>
          <w:szCs w:val="24"/>
        </w:rPr>
      </w:pPr>
      <w:r w:rsidRPr="00374081">
        <w:rPr>
          <w:color w:val="000000" w:themeColor="text1"/>
          <w:sz w:val="24"/>
          <w:szCs w:val="24"/>
        </w:rPr>
        <w:t xml:space="preserve">Development and implementation of </w:t>
      </w:r>
      <w:r w:rsidRPr="00374081" w:rsidR="00D67B52">
        <w:rPr>
          <w:color w:val="000000" w:themeColor="text1"/>
          <w:sz w:val="24"/>
          <w:szCs w:val="24"/>
        </w:rPr>
        <w:t>an Epic</w:t>
      </w:r>
      <w:r w:rsidRPr="00374081" w:rsidR="00ED18F1">
        <w:rPr>
          <w:color w:val="000000" w:themeColor="text1"/>
          <w:sz w:val="24"/>
          <w:szCs w:val="24"/>
        </w:rPr>
        <w:t>®</w:t>
      </w:r>
      <w:r w:rsidRPr="00374081" w:rsidR="00D67B52">
        <w:rPr>
          <w:color w:val="000000" w:themeColor="text1"/>
          <w:sz w:val="24"/>
          <w:szCs w:val="24"/>
        </w:rPr>
        <w:t xml:space="preserve">-based </w:t>
      </w:r>
      <w:r w:rsidR="004536EC">
        <w:rPr>
          <w:color w:val="000000" w:themeColor="text1"/>
          <w:sz w:val="24"/>
          <w:szCs w:val="24"/>
        </w:rPr>
        <w:t>Center for International Bone Marrow Transplant and Research [</w:t>
      </w:r>
      <w:r w:rsidRPr="00374081" w:rsidR="00D67B52">
        <w:rPr>
          <w:color w:val="000000" w:themeColor="text1"/>
          <w:sz w:val="24"/>
          <w:szCs w:val="24"/>
        </w:rPr>
        <w:t>CIBMTR</w:t>
      </w:r>
      <w:r w:rsidR="004536EC">
        <w:rPr>
          <w:color w:val="000000" w:themeColor="text1"/>
          <w:sz w:val="24"/>
          <w:szCs w:val="24"/>
        </w:rPr>
        <w:t>]</w:t>
      </w:r>
      <w:r w:rsidRPr="00374081" w:rsidR="00D67B52">
        <w:rPr>
          <w:color w:val="000000" w:themeColor="text1"/>
          <w:sz w:val="24"/>
          <w:szCs w:val="24"/>
        </w:rPr>
        <w:t xml:space="preserve"> Reporting Application (CRA) that auto-populate</w:t>
      </w:r>
      <w:r w:rsidRPr="00374081" w:rsidR="0046101A">
        <w:rPr>
          <w:color w:val="000000" w:themeColor="text1"/>
          <w:sz w:val="24"/>
          <w:szCs w:val="24"/>
        </w:rPr>
        <w:t>s</w:t>
      </w:r>
      <w:r w:rsidRPr="00374081" w:rsidR="00D67B52">
        <w:rPr>
          <w:color w:val="000000" w:themeColor="text1"/>
          <w:sz w:val="24"/>
          <w:szCs w:val="24"/>
        </w:rPr>
        <w:t xml:space="preserve"> fields in the </w:t>
      </w:r>
      <w:r w:rsidRPr="00374081" w:rsidR="00D67B52">
        <w:rPr>
          <w:color w:val="000000" w:themeColor="text1"/>
          <w:sz w:val="24"/>
          <w:szCs w:val="24"/>
        </w:rPr>
        <w:t>FormsNet</w:t>
      </w:r>
      <w:r w:rsidRPr="00374081" w:rsidR="00D67B52">
        <w:rPr>
          <w:color w:val="000000" w:themeColor="text1"/>
          <w:sz w:val="24"/>
          <w:szCs w:val="24"/>
        </w:rPr>
        <w:t xml:space="preserve"> application using data from the HCT facility’s electronic health record</w:t>
      </w:r>
      <w:r w:rsidRPr="00374081" w:rsidR="007E3338">
        <w:rPr>
          <w:color w:val="000000" w:themeColor="text1"/>
          <w:sz w:val="24"/>
          <w:szCs w:val="24"/>
        </w:rPr>
        <w:t xml:space="preserve"> and</w:t>
      </w:r>
      <w:r w:rsidRPr="00374081" w:rsidR="0046101A">
        <w:rPr>
          <w:color w:val="000000" w:themeColor="text1"/>
          <w:sz w:val="24"/>
          <w:szCs w:val="24"/>
        </w:rPr>
        <w:t xml:space="preserve"> </w:t>
      </w:r>
    </w:p>
    <w:p w:rsidR="00317DAD" w:rsidRPr="00374081" w:rsidP="00317DAD" w14:paraId="70FF6E24" w14:textId="5ED7CA68">
      <w:pPr>
        <w:pStyle w:val="ListParagraph"/>
        <w:numPr>
          <w:ilvl w:val="0"/>
          <w:numId w:val="26"/>
        </w:numPr>
        <w:spacing w:after="0" w:line="240" w:lineRule="auto"/>
        <w:contextualSpacing w:val="0"/>
        <w:rPr>
          <w:color w:val="000000" w:themeColor="text1"/>
          <w:sz w:val="24"/>
          <w:szCs w:val="24"/>
        </w:rPr>
      </w:pPr>
      <w:r w:rsidRPr="00374081">
        <w:rPr>
          <w:color w:val="000000" w:themeColor="text1"/>
          <w:sz w:val="24"/>
          <w:szCs w:val="24"/>
        </w:rPr>
        <w:t xml:space="preserve">Development and release of </w:t>
      </w:r>
      <w:r w:rsidRPr="00374081" w:rsidR="00DD50D3">
        <w:rPr>
          <w:color w:val="000000" w:themeColor="text1"/>
          <w:sz w:val="24"/>
          <w:szCs w:val="24"/>
        </w:rPr>
        <w:t>tools</w:t>
      </w:r>
      <w:r w:rsidRPr="00374081" w:rsidR="00A956BC">
        <w:rPr>
          <w:color w:val="000000" w:themeColor="text1"/>
          <w:sz w:val="24"/>
          <w:szCs w:val="24"/>
        </w:rPr>
        <w:t xml:space="preserve">, </w:t>
      </w:r>
      <w:r w:rsidRPr="00374081" w:rsidR="00DD50D3">
        <w:rPr>
          <w:color w:val="000000" w:themeColor="text1"/>
          <w:sz w:val="24"/>
          <w:szCs w:val="24"/>
        </w:rPr>
        <w:t>perform</w:t>
      </w:r>
      <w:r w:rsidRPr="00374081">
        <w:rPr>
          <w:color w:val="000000" w:themeColor="text1"/>
          <w:sz w:val="24"/>
          <w:szCs w:val="24"/>
        </w:rPr>
        <w:t xml:space="preserve">ance of </w:t>
      </w:r>
      <w:r w:rsidRPr="00374081" w:rsidR="00E2112A">
        <w:rPr>
          <w:color w:val="000000" w:themeColor="text1"/>
          <w:sz w:val="24"/>
          <w:szCs w:val="24"/>
        </w:rPr>
        <w:t xml:space="preserve">voluntary </w:t>
      </w:r>
      <w:r w:rsidRPr="00374081" w:rsidR="00DD50D3">
        <w:rPr>
          <w:color w:val="000000" w:themeColor="text1"/>
          <w:sz w:val="24"/>
          <w:szCs w:val="24"/>
        </w:rPr>
        <w:t>pilots</w:t>
      </w:r>
      <w:r w:rsidRPr="00374081" w:rsidR="00A956BC">
        <w:rPr>
          <w:color w:val="000000" w:themeColor="text1"/>
          <w:sz w:val="24"/>
          <w:szCs w:val="24"/>
        </w:rPr>
        <w:t>, and enroll</w:t>
      </w:r>
      <w:r w:rsidRPr="00374081">
        <w:rPr>
          <w:color w:val="000000" w:themeColor="text1"/>
          <w:sz w:val="24"/>
          <w:szCs w:val="24"/>
        </w:rPr>
        <w:t>ment of</w:t>
      </w:r>
      <w:r w:rsidRPr="00374081" w:rsidR="00A956BC">
        <w:rPr>
          <w:color w:val="000000" w:themeColor="text1"/>
          <w:sz w:val="24"/>
          <w:szCs w:val="24"/>
        </w:rPr>
        <w:t xml:space="preserve"> </w:t>
      </w:r>
      <w:r w:rsidRPr="00374081" w:rsidR="003F4269">
        <w:rPr>
          <w:color w:val="000000" w:themeColor="text1"/>
          <w:sz w:val="24"/>
          <w:szCs w:val="24"/>
        </w:rPr>
        <w:t xml:space="preserve">interested </w:t>
      </w:r>
      <w:r w:rsidRPr="00374081" w:rsidR="00A956BC">
        <w:rPr>
          <w:color w:val="000000" w:themeColor="text1"/>
          <w:sz w:val="24"/>
          <w:szCs w:val="24"/>
        </w:rPr>
        <w:t xml:space="preserve">facilities </w:t>
      </w:r>
      <w:r w:rsidRPr="00374081" w:rsidR="003F4269">
        <w:rPr>
          <w:color w:val="000000" w:themeColor="text1"/>
          <w:sz w:val="24"/>
          <w:szCs w:val="24"/>
        </w:rPr>
        <w:t xml:space="preserve">into a program to </w:t>
      </w:r>
      <w:r w:rsidRPr="00374081" w:rsidR="00DD50D3">
        <w:rPr>
          <w:color w:val="000000" w:themeColor="text1"/>
          <w:sz w:val="24"/>
          <w:szCs w:val="24"/>
        </w:rPr>
        <w:t>submi</w:t>
      </w:r>
      <w:r w:rsidRPr="00374081" w:rsidR="003F4269">
        <w:rPr>
          <w:color w:val="000000" w:themeColor="text1"/>
          <w:sz w:val="24"/>
          <w:szCs w:val="24"/>
        </w:rPr>
        <w:t>t</w:t>
      </w:r>
      <w:r w:rsidRPr="00374081" w:rsidR="00DD50D3">
        <w:rPr>
          <w:color w:val="000000" w:themeColor="text1"/>
          <w:sz w:val="24"/>
          <w:szCs w:val="24"/>
        </w:rPr>
        <w:t xml:space="preserve"> data </w:t>
      </w:r>
      <w:r w:rsidRPr="00374081" w:rsidR="003F4269">
        <w:rPr>
          <w:color w:val="000000" w:themeColor="text1"/>
          <w:sz w:val="24"/>
          <w:szCs w:val="24"/>
        </w:rPr>
        <w:t>using the HL7 Fast Healthcare Interoperability Resources® (FHIR®) standard.</w:t>
      </w:r>
      <w:r w:rsidRPr="00374081" w:rsidR="007E3338">
        <w:rPr>
          <w:rStyle w:val="FootnoteReference"/>
          <w:color w:val="000000" w:themeColor="text1"/>
          <w:sz w:val="24"/>
          <w:szCs w:val="24"/>
          <w:vertAlign w:val="superscript"/>
        </w:rPr>
        <w:t xml:space="preserve"> </w:t>
      </w:r>
      <w:r>
        <w:rPr>
          <w:rStyle w:val="FootnoteReference"/>
          <w:color w:val="000000" w:themeColor="text1"/>
          <w:sz w:val="24"/>
          <w:szCs w:val="24"/>
          <w:vertAlign w:val="superscript"/>
        </w:rPr>
        <w:footnoteReference w:id="31"/>
      </w:r>
      <w:r w:rsidRPr="00374081" w:rsidR="007E3338">
        <w:rPr>
          <w:color w:val="000000" w:themeColor="text1"/>
          <w:vertAlign w:val="superscript"/>
        </w:rPr>
        <w:t>,</w:t>
      </w:r>
      <w:r>
        <w:rPr>
          <w:rStyle w:val="FootnoteReference"/>
          <w:color w:val="000000" w:themeColor="text1"/>
          <w:sz w:val="24"/>
          <w:szCs w:val="24"/>
          <w:shd w:val="clear" w:color="auto" w:fill="FFFFFF"/>
          <w:vertAlign w:val="superscript"/>
        </w:rPr>
        <w:footnoteReference w:id="32"/>
      </w:r>
      <w:r w:rsidRPr="00374081" w:rsidR="007E3338">
        <w:rPr>
          <w:color w:val="000000" w:themeColor="text1"/>
          <w:vertAlign w:val="superscript"/>
        </w:rPr>
        <w:t>,</w:t>
      </w:r>
      <w:r>
        <w:rPr>
          <w:rStyle w:val="FootnoteReference"/>
          <w:color w:val="000000" w:themeColor="text1"/>
          <w:sz w:val="24"/>
          <w:szCs w:val="24"/>
          <w:vertAlign w:val="superscript"/>
        </w:rPr>
        <w:footnoteReference w:id="33"/>
      </w:r>
      <w:r w:rsidRPr="00374081" w:rsidR="006E3B09">
        <w:rPr>
          <w:color w:val="000000" w:themeColor="text1"/>
          <w:sz w:val="24"/>
          <w:szCs w:val="24"/>
          <w:vertAlign w:val="superscript"/>
        </w:rPr>
        <w:t>,</w:t>
      </w:r>
      <w:r>
        <w:rPr>
          <w:rStyle w:val="FootnoteReference"/>
          <w:color w:val="000000" w:themeColor="text1"/>
          <w:sz w:val="24"/>
          <w:szCs w:val="24"/>
          <w:vertAlign w:val="superscript"/>
        </w:rPr>
        <w:footnoteReference w:id="34"/>
      </w:r>
      <w:r w:rsidRPr="00374081" w:rsidR="003F4269">
        <w:rPr>
          <w:color w:val="000000" w:themeColor="text1"/>
          <w:sz w:val="24"/>
          <w:szCs w:val="24"/>
        </w:rPr>
        <w:t xml:space="preserve"> </w:t>
      </w:r>
    </w:p>
    <w:p w:rsidR="00317DAD" w:rsidRPr="00374081" w:rsidP="00317DAD" w14:paraId="347B5075" w14:textId="77777777">
      <w:pPr>
        <w:rPr>
          <w:rFonts w:ascii="Arial" w:hAnsi="Arial" w:cs="Arial"/>
          <w:color w:val="000000" w:themeColor="text1"/>
          <w:sz w:val="20"/>
          <w:szCs w:val="20"/>
        </w:rPr>
      </w:pPr>
    </w:p>
    <w:p w:rsidR="000341DB" w:rsidRPr="00374081" w:rsidP="005E1D92" w14:paraId="0CEC0A37" w14:textId="4652150E">
      <w:pPr>
        <w:ind w:hanging="14"/>
        <w:rPr>
          <w:rFonts w:ascii="Arial" w:hAnsi="Arial" w:cs="Arial"/>
          <w:color w:val="000000" w:themeColor="text1"/>
        </w:rPr>
      </w:pPr>
      <w:r w:rsidRPr="00374081">
        <w:rPr>
          <w:rFonts w:ascii="Arial" w:hAnsi="Arial" w:cs="Arial"/>
          <w:color w:val="000000" w:themeColor="text1"/>
        </w:rPr>
        <w:t xml:space="preserve">With </w:t>
      </w:r>
      <w:r w:rsidRPr="00374081" w:rsidR="00E14D63">
        <w:rPr>
          <w:rFonts w:ascii="Arial" w:hAnsi="Arial" w:cs="Arial"/>
          <w:color w:val="000000" w:themeColor="text1"/>
        </w:rPr>
        <w:t xml:space="preserve">further </w:t>
      </w:r>
      <w:r w:rsidRPr="00374081" w:rsidR="00DA1E88">
        <w:rPr>
          <w:rFonts w:ascii="Arial" w:hAnsi="Arial" w:cs="Arial"/>
          <w:color w:val="000000" w:themeColor="text1"/>
        </w:rPr>
        <w:t>development and refinement</w:t>
      </w:r>
      <w:r w:rsidRPr="00374081">
        <w:rPr>
          <w:rFonts w:ascii="Arial" w:hAnsi="Arial" w:cs="Arial"/>
          <w:color w:val="000000" w:themeColor="text1"/>
        </w:rPr>
        <w:t xml:space="preserve"> of </w:t>
      </w:r>
      <w:r w:rsidRPr="00374081" w:rsidR="0046101A">
        <w:rPr>
          <w:rFonts w:ascii="Arial" w:hAnsi="Arial" w:cs="Arial"/>
          <w:color w:val="000000" w:themeColor="text1"/>
        </w:rPr>
        <w:t>these in</w:t>
      </w:r>
      <w:r w:rsidRPr="00374081">
        <w:rPr>
          <w:rFonts w:ascii="Arial" w:hAnsi="Arial" w:cs="Arial"/>
          <w:color w:val="000000" w:themeColor="text1"/>
        </w:rPr>
        <w:t xml:space="preserve">teroperability tools, HRSA and its contractor intend to continually refine and improve their data collection </w:t>
      </w:r>
      <w:r w:rsidR="009443F1">
        <w:rPr>
          <w:rFonts w:ascii="Arial" w:hAnsi="Arial" w:cs="Arial"/>
          <w:color w:val="000000" w:themeColor="text1"/>
        </w:rPr>
        <w:t>to reflect the most up-to-date medical evidence, while simultaneously reducing the burden on HCT facilities</w:t>
      </w:r>
      <w:r w:rsidRPr="00374081" w:rsidR="00467D69">
        <w:rPr>
          <w:rFonts w:ascii="Arial" w:hAnsi="Arial" w:cs="Arial"/>
          <w:color w:val="000000" w:themeColor="text1"/>
        </w:rPr>
        <w:t>.</w:t>
      </w:r>
    </w:p>
    <w:p w:rsidR="003B686C" w:rsidRPr="00374081" w:rsidP="008036C1" w14:paraId="04A1C8FF" w14:textId="4DA87EA1">
      <w:pPr>
        <w:rPr>
          <w:rFonts w:ascii="Arial" w:hAnsi="Arial" w:cs="Arial"/>
          <w:sz w:val="20"/>
          <w:szCs w:val="20"/>
        </w:rPr>
      </w:pPr>
    </w:p>
    <w:p w:rsidR="00966A77" w:rsidRPr="00374081" w:rsidP="00EA2E46" w14:paraId="1F4E3947" w14:textId="56EF76FB">
      <w:pPr>
        <w:pStyle w:val="ListParagraph"/>
        <w:numPr>
          <w:ilvl w:val="1"/>
          <w:numId w:val="9"/>
        </w:numPr>
        <w:spacing w:after="0" w:line="240" w:lineRule="auto"/>
        <w:ind w:left="360" w:hanging="360"/>
        <w:rPr>
          <w:b/>
          <w:bCs/>
          <w:sz w:val="24"/>
          <w:szCs w:val="24"/>
          <w:u w:val="single"/>
        </w:rPr>
      </w:pPr>
      <w:r w:rsidRPr="00374081">
        <w:rPr>
          <w:b/>
          <w:bCs/>
          <w:sz w:val="24"/>
          <w:szCs w:val="24"/>
          <w:u w:val="single"/>
        </w:rPr>
        <w:t>Efforts to Identify Duplication</w:t>
      </w:r>
      <w:r w:rsidRPr="00374081" w:rsidR="0080555E">
        <w:rPr>
          <w:b/>
          <w:bCs/>
          <w:sz w:val="24"/>
          <w:szCs w:val="24"/>
          <w:u w:val="single"/>
        </w:rPr>
        <w:t xml:space="preserve"> and Use of Similar Information</w:t>
      </w:r>
    </w:p>
    <w:p w:rsidR="0073772F" w:rsidRPr="00374081" w:rsidP="0073772F" w14:paraId="7AE2B100" w14:textId="77777777">
      <w:pPr>
        <w:pStyle w:val="ListParagraph"/>
        <w:spacing w:after="0" w:line="240" w:lineRule="auto"/>
        <w:ind w:left="360" w:firstLine="0"/>
        <w:rPr>
          <w:b/>
          <w:bCs/>
          <w:sz w:val="20"/>
          <w:szCs w:val="20"/>
        </w:rPr>
      </w:pPr>
    </w:p>
    <w:p w:rsidR="003B686C" w:rsidRPr="00374081" w:rsidP="0073772F" w14:paraId="5B008967" w14:textId="2933B306">
      <w:pPr>
        <w:rPr>
          <w:rFonts w:ascii="Arial" w:hAnsi="Arial" w:cs="Arial"/>
        </w:rPr>
      </w:pPr>
      <w:r w:rsidRPr="00374081">
        <w:rPr>
          <w:rFonts w:ascii="Arial" w:hAnsi="Arial" w:cs="Arial"/>
          <w:bCs/>
        </w:rPr>
        <w:t xml:space="preserve">The SCTOD data system is the only </w:t>
      </w:r>
      <w:r w:rsidRPr="00374081" w:rsidR="00FD13D1">
        <w:rPr>
          <w:rFonts w:ascii="Arial" w:hAnsi="Arial" w:cs="Arial"/>
          <w:bCs/>
        </w:rPr>
        <w:t xml:space="preserve">nationwide </w:t>
      </w:r>
      <w:r w:rsidRPr="00374081">
        <w:rPr>
          <w:rFonts w:ascii="Arial" w:hAnsi="Arial" w:cs="Arial"/>
          <w:bCs/>
        </w:rPr>
        <w:t xml:space="preserve">data collection effort </w:t>
      </w:r>
      <w:r w:rsidR="009443F1">
        <w:rPr>
          <w:rFonts w:ascii="Arial" w:hAnsi="Arial" w:cs="Arial"/>
          <w:bCs/>
        </w:rPr>
        <w:t>specifically targeting donors and recipients of stem cell therapeutics products (including bone marrow, cord blood, or other similar products</w:t>
      </w:r>
      <w:r w:rsidRPr="00374081">
        <w:rPr>
          <w:rFonts w:ascii="Arial" w:hAnsi="Arial" w:cs="Arial"/>
        </w:rPr>
        <w:t xml:space="preserve">). </w:t>
      </w:r>
      <w:r w:rsidRPr="00374081" w:rsidR="00FD13D1">
        <w:rPr>
          <w:rFonts w:ascii="Arial" w:hAnsi="Arial" w:cs="Arial"/>
        </w:rPr>
        <w:t>The system’s unique and robust data collection efforts</w:t>
      </w:r>
      <w:r w:rsidR="009443F1">
        <w:rPr>
          <w:rFonts w:ascii="Arial" w:hAnsi="Arial" w:cs="Arial"/>
        </w:rPr>
        <w:t xml:space="preserve">, </w:t>
      </w:r>
      <w:r w:rsidR="002D5F4E">
        <w:rPr>
          <w:rFonts w:ascii="Arial" w:hAnsi="Arial" w:cs="Arial"/>
        </w:rPr>
        <w:t xml:space="preserve">which utilize </w:t>
      </w:r>
      <w:r w:rsidR="009443F1">
        <w:rPr>
          <w:rFonts w:ascii="Arial" w:hAnsi="Arial" w:cs="Arial"/>
        </w:rPr>
        <w:t xml:space="preserve">internationally recognized instruments, </w:t>
      </w:r>
      <w:r w:rsidR="002D5F4E">
        <w:rPr>
          <w:rFonts w:ascii="Arial" w:hAnsi="Arial" w:cs="Arial"/>
        </w:rPr>
        <w:t xml:space="preserve">make </w:t>
      </w:r>
      <w:r w:rsidR="009443F1">
        <w:rPr>
          <w:rFonts w:ascii="Arial" w:hAnsi="Arial" w:cs="Arial"/>
        </w:rPr>
        <w:t xml:space="preserve">it a valuable </w:t>
      </w:r>
      <w:r w:rsidR="009443F1">
        <w:rPr>
          <w:rFonts w:ascii="Arial" w:hAnsi="Arial" w:cs="Arial"/>
        </w:rPr>
        <w:t>resource</w:t>
      </w:r>
      <w:r w:rsidRPr="00374081" w:rsidR="00FD13D1">
        <w:rPr>
          <w:rFonts w:ascii="Arial" w:hAnsi="Arial" w:cs="Arial"/>
        </w:rPr>
        <w:t xml:space="preserve"> for research, education, and policy development purposes.</w:t>
      </w:r>
      <w:r w:rsidRPr="00374081" w:rsidR="00D2601B">
        <w:rPr>
          <w:rFonts w:ascii="Arial" w:hAnsi="Arial" w:cs="Arial"/>
        </w:rPr>
        <w:t xml:space="preserve"> </w:t>
      </w:r>
      <w:r w:rsidR="009443F1">
        <w:rPr>
          <w:rFonts w:ascii="Arial" w:hAnsi="Arial" w:cs="Arial"/>
        </w:rPr>
        <w:t xml:space="preserve">The Federal government </w:t>
      </w:r>
      <w:r w:rsidR="0035022F">
        <w:rPr>
          <w:rFonts w:ascii="Arial" w:hAnsi="Arial" w:cs="Arial"/>
        </w:rPr>
        <w:t xml:space="preserve">contracts </w:t>
      </w:r>
      <w:r w:rsidR="00527F45">
        <w:rPr>
          <w:rFonts w:ascii="Arial" w:hAnsi="Arial" w:cs="Arial"/>
        </w:rPr>
        <w:t>with</w:t>
      </w:r>
      <w:r w:rsidR="0035022F">
        <w:rPr>
          <w:rFonts w:ascii="Arial" w:hAnsi="Arial" w:cs="Arial"/>
        </w:rPr>
        <w:t xml:space="preserve"> </w:t>
      </w:r>
      <w:r w:rsidR="009443F1">
        <w:rPr>
          <w:rFonts w:ascii="Arial" w:hAnsi="Arial" w:cs="Arial"/>
        </w:rPr>
        <w:t>no other entity</w:t>
      </w:r>
      <w:r w:rsidRPr="00374081" w:rsidR="00E34BEC">
        <w:rPr>
          <w:rFonts w:ascii="Arial" w:hAnsi="Arial" w:cs="Arial"/>
        </w:rPr>
        <w:t xml:space="preserve"> </w:t>
      </w:r>
      <w:r w:rsidRPr="00374081" w:rsidR="00D2601B">
        <w:rPr>
          <w:rFonts w:ascii="Arial" w:hAnsi="Arial" w:cs="Arial"/>
        </w:rPr>
        <w:t>to gather similar</w:t>
      </w:r>
      <w:r w:rsidRPr="00374081" w:rsidR="00A76178">
        <w:rPr>
          <w:rFonts w:ascii="Arial" w:hAnsi="Arial" w:cs="Arial"/>
        </w:rPr>
        <w:t xml:space="preserve"> </w:t>
      </w:r>
      <w:r w:rsidRPr="00374081" w:rsidR="00D2601B">
        <w:rPr>
          <w:rFonts w:ascii="Arial" w:hAnsi="Arial" w:cs="Arial"/>
        </w:rPr>
        <w:t xml:space="preserve">data related to </w:t>
      </w:r>
      <w:r w:rsidRPr="00374081" w:rsidR="00E34BEC">
        <w:rPr>
          <w:rFonts w:ascii="Arial" w:hAnsi="Arial" w:cs="Arial"/>
        </w:rPr>
        <w:t>HCT</w:t>
      </w:r>
      <w:r w:rsidRPr="00374081" w:rsidR="007515AD">
        <w:rPr>
          <w:rFonts w:ascii="Arial" w:hAnsi="Arial" w:cs="Arial"/>
        </w:rPr>
        <w:t>.</w:t>
      </w:r>
    </w:p>
    <w:p w:rsidR="0073772F" w:rsidRPr="00374081" w:rsidP="0073772F" w14:paraId="30D782CE" w14:textId="77777777">
      <w:pPr>
        <w:rPr>
          <w:rFonts w:ascii="Arial" w:hAnsi="Arial" w:cs="Arial"/>
          <w:sz w:val="20"/>
          <w:szCs w:val="20"/>
        </w:rPr>
      </w:pPr>
    </w:p>
    <w:p w:rsidR="001214E5" w:rsidRPr="00374081" w:rsidP="0073772F" w14:paraId="0C1127A5" w14:textId="644384DA">
      <w:pPr>
        <w:pStyle w:val="ListParagraph"/>
        <w:numPr>
          <w:ilvl w:val="1"/>
          <w:numId w:val="9"/>
        </w:numPr>
        <w:spacing w:after="0" w:line="240" w:lineRule="auto"/>
        <w:ind w:left="360" w:hanging="374"/>
        <w:rPr>
          <w:b/>
          <w:bCs/>
          <w:u w:val="single"/>
        </w:rPr>
      </w:pPr>
      <w:r w:rsidRPr="00374081">
        <w:rPr>
          <w:b/>
          <w:bCs/>
          <w:sz w:val="24"/>
          <w:szCs w:val="24"/>
          <w:u w:val="single"/>
        </w:rPr>
        <w:t>Impact on Small Businesses or Other Small Entities</w:t>
      </w:r>
      <w:r w:rsidR="00374081">
        <w:rPr>
          <w:b/>
          <w:bCs/>
          <w:sz w:val="24"/>
          <w:szCs w:val="24"/>
          <w:u w:val="single"/>
        </w:rPr>
        <w:t xml:space="preserve"> </w:t>
      </w:r>
    </w:p>
    <w:p w:rsidR="0073772F" w:rsidRPr="00374081" w:rsidP="0073772F" w14:paraId="09F5C8D3" w14:textId="77777777">
      <w:pPr>
        <w:pStyle w:val="ListParagraph"/>
        <w:spacing w:after="0" w:line="240" w:lineRule="auto"/>
        <w:ind w:left="360" w:firstLine="0"/>
        <w:rPr>
          <w:b/>
          <w:bCs/>
          <w:sz w:val="20"/>
          <w:szCs w:val="20"/>
        </w:rPr>
      </w:pPr>
    </w:p>
    <w:p w:rsidR="00D2601B" w:rsidRPr="00374081" w:rsidP="0073772F" w14:paraId="4ED9C779" w14:textId="4688801F">
      <w:pPr>
        <w:rPr>
          <w:rFonts w:ascii="Arial" w:hAnsi="Arial" w:cs="Arial"/>
          <w:bCs/>
        </w:rPr>
      </w:pPr>
      <w:r w:rsidRPr="00374081">
        <w:rPr>
          <w:rFonts w:ascii="Arial" w:hAnsi="Arial" w:cs="Arial"/>
          <w:bCs/>
        </w:rPr>
        <w:t xml:space="preserve">This project will not </w:t>
      </w:r>
      <w:r w:rsidR="009443F1">
        <w:rPr>
          <w:rFonts w:ascii="Arial" w:hAnsi="Arial" w:cs="Arial"/>
          <w:bCs/>
        </w:rPr>
        <w:t xml:space="preserve">collect any data from small businesses, as defined by the </w:t>
      </w:r>
      <w:r w:rsidRPr="00374081">
        <w:rPr>
          <w:rFonts w:ascii="Arial" w:hAnsi="Arial" w:cs="Arial"/>
          <w:bCs/>
        </w:rPr>
        <w:t>OMB.</w:t>
      </w:r>
      <w:r w:rsidR="00374081">
        <w:rPr>
          <w:rFonts w:ascii="Arial" w:hAnsi="Arial" w:cs="Arial"/>
          <w:bCs/>
        </w:rPr>
        <w:t xml:space="preserve"> </w:t>
      </w:r>
      <w:r w:rsidRPr="00374081">
        <w:rPr>
          <w:rFonts w:ascii="Arial" w:hAnsi="Arial" w:cs="Arial"/>
          <w:bCs/>
        </w:rPr>
        <w:t xml:space="preserve">The data collected will not have any significant impact on small </w:t>
      </w:r>
      <w:r w:rsidR="009443F1">
        <w:rPr>
          <w:rFonts w:ascii="Arial" w:hAnsi="Arial" w:cs="Arial"/>
          <w:bCs/>
        </w:rPr>
        <w:t>businesses</w:t>
      </w:r>
      <w:r w:rsidRPr="00374081" w:rsidR="009443F1">
        <w:rPr>
          <w:rFonts w:ascii="Arial" w:hAnsi="Arial" w:cs="Arial"/>
          <w:bCs/>
        </w:rPr>
        <w:t xml:space="preserve"> </w:t>
      </w:r>
      <w:r w:rsidRPr="00374081">
        <w:rPr>
          <w:rFonts w:ascii="Arial" w:hAnsi="Arial" w:cs="Arial"/>
          <w:bCs/>
        </w:rPr>
        <w:t>or other small entities.</w:t>
      </w:r>
      <w:r w:rsidR="00374081">
        <w:rPr>
          <w:rFonts w:ascii="Arial" w:hAnsi="Arial" w:cs="Arial"/>
          <w:bCs/>
        </w:rPr>
        <w:t xml:space="preserve"> </w:t>
      </w:r>
    </w:p>
    <w:p w:rsidR="00D14456" w:rsidRPr="00374081" w:rsidP="0073772F" w14:paraId="1C9EE296" w14:textId="0AC26CA2">
      <w:pPr>
        <w:rPr>
          <w:rFonts w:ascii="Arial" w:hAnsi="Arial" w:cs="Arial"/>
          <w:sz w:val="20"/>
          <w:szCs w:val="20"/>
        </w:rPr>
      </w:pPr>
    </w:p>
    <w:p w:rsidR="00D14456" w:rsidRPr="00DB610C" w:rsidP="0073772F" w14:paraId="5FCE3893" w14:textId="60096E5D">
      <w:pPr>
        <w:pStyle w:val="ListParagraph"/>
        <w:numPr>
          <w:ilvl w:val="1"/>
          <w:numId w:val="9"/>
        </w:numPr>
        <w:spacing w:after="0" w:line="240" w:lineRule="auto"/>
        <w:ind w:left="360" w:hanging="360"/>
        <w:rPr>
          <w:b/>
          <w:bCs/>
          <w:sz w:val="24"/>
          <w:szCs w:val="24"/>
          <w:u w:val="single"/>
        </w:rPr>
      </w:pPr>
      <w:r w:rsidRPr="005A7F3F">
        <w:rPr>
          <w:b/>
          <w:bCs/>
          <w:sz w:val="24"/>
          <w:szCs w:val="24"/>
          <w:u w:val="single"/>
        </w:rPr>
        <w:t xml:space="preserve">Consequences </w:t>
      </w:r>
      <w:r w:rsidRPr="00DB610C" w:rsidR="002D5F4E">
        <w:rPr>
          <w:sz w:val="24"/>
          <w:szCs w:val="24"/>
        </w:rPr>
        <w:t>of Collecting the Information Less Frequently</w:t>
      </w:r>
    </w:p>
    <w:p w:rsidR="0073772F" w:rsidRPr="00374081" w:rsidP="0073772F" w14:paraId="7F0C1940" w14:textId="77777777">
      <w:pPr>
        <w:pStyle w:val="ListParagraph"/>
        <w:spacing w:after="0" w:line="240" w:lineRule="auto"/>
        <w:ind w:left="360" w:firstLine="0"/>
        <w:rPr>
          <w:b/>
          <w:bCs/>
          <w:sz w:val="20"/>
          <w:szCs w:val="20"/>
        </w:rPr>
      </w:pPr>
    </w:p>
    <w:p w:rsidR="001214E5" w:rsidRPr="00374081" w:rsidP="00AF2934" w14:paraId="6BCF44D2" w14:textId="77777777">
      <w:pPr>
        <w:ind w:left="-5" w:right="-180"/>
        <w:rPr>
          <w:rFonts w:ascii="Arial" w:hAnsi="Arial" w:cs="Arial"/>
        </w:rPr>
      </w:pPr>
      <w:r w:rsidRPr="00374081">
        <w:rPr>
          <w:rFonts w:ascii="Arial" w:hAnsi="Arial" w:cs="Arial"/>
        </w:rPr>
        <w:t xml:space="preserve">The information collection activity outlined in this request is required under the Stem Cell </w:t>
      </w:r>
    </w:p>
    <w:p w:rsidR="00946693" w:rsidRPr="00374081" w:rsidP="00AF2934" w14:paraId="74457C91" w14:textId="03AB7B52">
      <w:pPr>
        <w:ind w:left="-5" w:right="-180"/>
        <w:rPr>
          <w:rFonts w:ascii="Arial" w:hAnsi="Arial" w:cs="Arial"/>
        </w:rPr>
      </w:pPr>
      <w:r w:rsidRPr="00374081">
        <w:rPr>
          <w:rFonts w:ascii="Arial" w:hAnsi="Arial" w:cs="Arial"/>
        </w:rPr>
        <w:t xml:space="preserve">Therapeutic and Research Act of 2005, as amended and codified in Section 379A of the Public Health Service Act (42 U.S.C. 247l). These data, </w:t>
      </w:r>
      <w:r w:rsidR="009443F1">
        <w:rPr>
          <w:rFonts w:ascii="Arial" w:hAnsi="Arial" w:cs="Arial"/>
        </w:rPr>
        <w:t xml:space="preserve">along with their corresponding data collection periods, represent a consensus-based solution to balancing the </w:t>
      </w:r>
      <w:r w:rsidRPr="00374081">
        <w:rPr>
          <w:rFonts w:ascii="Arial" w:hAnsi="Arial" w:cs="Arial"/>
        </w:rPr>
        <w:t xml:space="preserve">reporting burden </w:t>
      </w:r>
      <w:r w:rsidRPr="00374081">
        <w:rPr>
          <w:rFonts w:ascii="Arial" w:hAnsi="Arial" w:cs="Arial"/>
        </w:rPr>
        <w:t xml:space="preserve">with </w:t>
      </w:r>
      <w:r w:rsidRPr="00374081" w:rsidR="00AF2934">
        <w:rPr>
          <w:rFonts w:ascii="Arial" w:hAnsi="Arial" w:cs="Arial"/>
        </w:rPr>
        <w:t>statutory requirements</w:t>
      </w:r>
      <w:r w:rsidRPr="00374081">
        <w:rPr>
          <w:rFonts w:ascii="Arial" w:hAnsi="Arial" w:cs="Arial"/>
        </w:rPr>
        <w:t>.</w:t>
      </w:r>
      <w:r w:rsidRPr="00374081">
        <w:rPr>
          <w:rFonts w:ascii="Arial" w:hAnsi="Arial" w:cs="Arial"/>
        </w:rPr>
        <w:t xml:space="preserve"> </w:t>
      </w:r>
      <w:r w:rsidRPr="00374081" w:rsidR="00AF2934">
        <w:rPr>
          <w:rFonts w:ascii="Arial" w:hAnsi="Arial" w:cs="Arial"/>
        </w:rPr>
        <w:t>A</w:t>
      </w:r>
      <w:r w:rsidRPr="00374081" w:rsidR="0099659A">
        <w:rPr>
          <w:rFonts w:ascii="Arial" w:hAnsi="Arial" w:cs="Arial"/>
        </w:rPr>
        <w:t xml:space="preserve">dditionally, facilities </w:t>
      </w:r>
      <w:r w:rsidR="009443F1">
        <w:rPr>
          <w:rFonts w:ascii="Arial" w:hAnsi="Arial" w:cs="Arial"/>
        </w:rPr>
        <w:t>that</w:t>
      </w:r>
      <w:r w:rsidRPr="00374081" w:rsidR="009443F1">
        <w:rPr>
          <w:rFonts w:ascii="Arial" w:hAnsi="Arial" w:cs="Arial"/>
        </w:rPr>
        <w:t xml:space="preserve"> </w:t>
      </w:r>
      <w:r w:rsidRPr="00374081" w:rsidR="0099659A">
        <w:rPr>
          <w:rFonts w:ascii="Arial" w:hAnsi="Arial" w:cs="Arial"/>
        </w:rPr>
        <w:t xml:space="preserve">submit </w:t>
      </w:r>
      <w:r w:rsidRPr="00374081" w:rsidR="00E8574E">
        <w:rPr>
          <w:rFonts w:ascii="Arial" w:hAnsi="Arial" w:cs="Arial"/>
        </w:rPr>
        <w:t xml:space="preserve">data to the SCTOD </w:t>
      </w:r>
      <w:r w:rsidRPr="00374081" w:rsidR="0099659A">
        <w:rPr>
          <w:rFonts w:ascii="Arial" w:hAnsi="Arial" w:cs="Arial"/>
        </w:rPr>
        <w:t xml:space="preserve">are </w:t>
      </w:r>
      <w:r w:rsidRPr="00374081" w:rsidR="00E8574E">
        <w:rPr>
          <w:rFonts w:ascii="Arial" w:hAnsi="Arial" w:cs="Arial"/>
        </w:rPr>
        <w:t xml:space="preserve">regularly consulted regarding any improvements and changes in data collection [See Section B.3. Use of Improved Information Technology]. </w:t>
      </w:r>
      <w:r w:rsidRPr="00374081" w:rsidR="00AF2934">
        <w:rPr>
          <w:rFonts w:ascii="Arial" w:hAnsi="Arial" w:cs="Arial"/>
        </w:rPr>
        <w:t>For example, t</w:t>
      </w:r>
      <w:r w:rsidRPr="00374081" w:rsidR="00E8574E">
        <w:rPr>
          <w:rFonts w:ascii="Arial" w:hAnsi="Arial" w:cs="Arial"/>
        </w:rPr>
        <w:t xml:space="preserve">he SCTOD contractor </w:t>
      </w:r>
      <w:r w:rsidR="009443F1">
        <w:rPr>
          <w:rFonts w:ascii="Arial" w:hAnsi="Arial" w:cs="Arial"/>
        </w:rPr>
        <w:t>hosts an annual Clinical Research Professionals/Data Management conference and a biannual</w:t>
      </w:r>
      <w:r w:rsidRPr="00374081">
        <w:rPr>
          <w:rFonts w:ascii="Arial" w:hAnsi="Arial" w:cs="Arial"/>
        </w:rPr>
        <w:t xml:space="preserve"> </w:t>
      </w:r>
      <w:r w:rsidRPr="00374081" w:rsidR="006A7918">
        <w:rPr>
          <w:rFonts w:ascii="Arial" w:hAnsi="Arial" w:cs="Arial"/>
        </w:rPr>
        <w:t xml:space="preserve">Center Outcomes Forum. At these conferences, </w:t>
      </w:r>
      <w:r w:rsidRPr="00374081">
        <w:rPr>
          <w:rFonts w:ascii="Arial" w:hAnsi="Arial" w:cs="Arial"/>
        </w:rPr>
        <w:t>transplant physicians</w:t>
      </w:r>
      <w:r w:rsidR="009443F1">
        <w:rPr>
          <w:rFonts w:ascii="Arial" w:hAnsi="Arial" w:cs="Arial"/>
        </w:rPr>
        <w:t xml:space="preserve">, center directors, representatives from </w:t>
      </w:r>
      <w:r w:rsidRPr="00374081">
        <w:rPr>
          <w:rFonts w:ascii="Arial" w:hAnsi="Arial" w:cs="Arial"/>
        </w:rPr>
        <w:t xml:space="preserve">the </w:t>
      </w:r>
      <w:r w:rsidRPr="00374081" w:rsidR="00AF1B69">
        <w:rPr>
          <w:rFonts w:ascii="Arial" w:hAnsi="Arial" w:cs="Arial"/>
        </w:rPr>
        <w:t>American Society for Transplantation and Cellular Therapy (ASTCT),</w:t>
      </w:r>
      <w:r w:rsidRPr="00374081">
        <w:rPr>
          <w:rFonts w:ascii="Arial" w:hAnsi="Arial" w:cs="Arial"/>
        </w:rPr>
        <w:t xml:space="preserve"> governmental funding agencies, patients, private payers, and statisticians </w:t>
      </w:r>
      <w:r w:rsidRPr="00374081" w:rsidR="006A7918">
        <w:rPr>
          <w:rFonts w:ascii="Arial" w:hAnsi="Arial" w:cs="Arial"/>
        </w:rPr>
        <w:t xml:space="preserve">are consulted regarding </w:t>
      </w:r>
      <w:r w:rsidRPr="00374081">
        <w:rPr>
          <w:rFonts w:ascii="Arial" w:hAnsi="Arial" w:cs="Arial"/>
        </w:rPr>
        <w:t>data collection and outcomes reporting.</w:t>
      </w:r>
      <w:r>
        <w:rPr>
          <w:rStyle w:val="FootnoteReference"/>
          <w:rFonts w:ascii="Arial" w:hAnsi="Arial" w:cs="Arial"/>
          <w:vertAlign w:val="superscript"/>
        </w:rPr>
        <w:footnoteReference w:id="35"/>
      </w:r>
    </w:p>
    <w:p w:rsidR="0099659A" w:rsidRPr="00374081" w:rsidP="0073772F" w14:paraId="5A4826D7" w14:textId="5C8B9EC0">
      <w:pPr>
        <w:ind w:left="-5"/>
        <w:rPr>
          <w:rFonts w:ascii="Arial" w:hAnsi="Arial" w:cs="Arial"/>
          <w:sz w:val="20"/>
          <w:szCs w:val="20"/>
        </w:rPr>
      </w:pPr>
    </w:p>
    <w:p w:rsidR="00AF2934" w:rsidRPr="00374081" w:rsidP="0073772F" w14:paraId="0A665532" w14:textId="6A481192">
      <w:pPr>
        <w:ind w:left="-5"/>
        <w:rPr>
          <w:rFonts w:ascii="Arial" w:hAnsi="Arial" w:cs="Arial"/>
        </w:rPr>
      </w:pPr>
      <w:r w:rsidRPr="00374081">
        <w:rPr>
          <w:rFonts w:ascii="Arial" w:hAnsi="Arial" w:cs="Arial"/>
        </w:rPr>
        <w:t xml:space="preserve">The requirements </w:t>
      </w:r>
      <w:r w:rsidRPr="00374081" w:rsidR="00E8574E">
        <w:rPr>
          <w:rFonts w:ascii="Arial" w:hAnsi="Arial" w:cs="Arial"/>
        </w:rPr>
        <w:t xml:space="preserve">for data collection </w:t>
      </w:r>
      <w:r w:rsidRPr="00374081">
        <w:rPr>
          <w:rFonts w:ascii="Arial" w:hAnsi="Arial" w:cs="Arial"/>
        </w:rPr>
        <w:t xml:space="preserve">include </w:t>
      </w:r>
      <w:r w:rsidR="009443F1">
        <w:rPr>
          <w:rFonts w:ascii="Arial" w:hAnsi="Arial" w:cs="Arial"/>
        </w:rPr>
        <w:t xml:space="preserve">the number of transplants facilitated by the CWBYCTP, the number of transplants performed annually in the United States, the outcomes of those transplant procedures, the long-term outcomes of blood stem cell transplantation, and the </w:t>
      </w:r>
      <w:r w:rsidRPr="00374081">
        <w:rPr>
          <w:rFonts w:ascii="Arial" w:hAnsi="Arial" w:cs="Arial"/>
        </w:rPr>
        <w:t>effective use of cord blood units for transplantation</w:t>
      </w:r>
      <w:r w:rsidRPr="00374081" w:rsidR="00EF7BDA">
        <w:rPr>
          <w:rFonts w:ascii="Arial" w:hAnsi="Arial" w:cs="Arial"/>
        </w:rPr>
        <w:t xml:space="preserve">. </w:t>
      </w:r>
      <w:r w:rsidRPr="00374081">
        <w:rPr>
          <w:rFonts w:ascii="Arial" w:hAnsi="Arial" w:cs="Arial"/>
        </w:rPr>
        <w:t xml:space="preserve">Additionally, these requirements include annual Transplant Center-Specific Survival Reports </w:t>
      </w:r>
      <w:r w:rsidRPr="00374081">
        <w:rPr>
          <w:rFonts w:ascii="Arial" w:hAnsi="Arial" w:cs="Arial"/>
        </w:rPr>
        <w:t xml:space="preserve">that are </w:t>
      </w:r>
      <w:r w:rsidRPr="00374081">
        <w:rPr>
          <w:rFonts w:ascii="Arial" w:hAnsi="Arial" w:cs="Arial"/>
        </w:rPr>
        <w:t>made available to patients, physicians, and the public</w:t>
      </w:r>
      <w:r w:rsidRPr="00374081">
        <w:rPr>
          <w:rFonts w:ascii="Arial" w:hAnsi="Arial" w:cs="Arial"/>
        </w:rPr>
        <w:t>.</w:t>
      </w:r>
    </w:p>
    <w:p w:rsidR="00AF2934" w:rsidRPr="00374081" w:rsidP="0073772F" w14:paraId="3FE10D02" w14:textId="77777777">
      <w:pPr>
        <w:ind w:left="-5"/>
        <w:rPr>
          <w:rFonts w:ascii="Arial" w:hAnsi="Arial" w:cs="Arial"/>
          <w:sz w:val="20"/>
          <w:szCs w:val="20"/>
        </w:rPr>
      </w:pPr>
    </w:p>
    <w:p w:rsidR="00D62D67" w:rsidRPr="00374081" w:rsidP="00155CB7" w14:paraId="56B490B9" w14:textId="517D37FD">
      <w:pPr>
        <w:spacing w:after="120"/>
        <w:rPr>
          <w:rFonts w:ascii="Arial" w:hAnsi="Arial" w:cs="Arial"/>
        </w:rPr>
      </w:pPr>
      <w:r w:rsidRPr="00374081">
        <w:rPr>
          <w:rFonts w:ascii="Arial" w:hAnsi="Arial" w:cs="Arial"/>
        </w:rPr>
        <w:t xml:space="preserve">To meet these requirements, HRSA </w:t>
      </w:r>
      <w:r w:rsidRPr="00374081" w:rsidR="00155CB7">
        <w:rPr>
          <w:rFonts w:ascii="Arial" w:hAnsi="Arial" w:cs="Arial"/>
        </w:rPr>
        <w:t xml:space="preserve">requests continuation of the current </w:t>
      </w:r>
      <w:r w:rsidRPr="00374081">
        <w:rPr>
          <w:rFonts w:ascii="Arial" w:hAnsi="Arial" w:cs="Arial"/>
        </w:rPr>
        <w:t xml:space="preserve">data collection </w:t>
      </w:r>
      <w:r w:rsidRPr="00374081" w:rsidR="00155CB7">
        <w:rPr>
          <w:rFonts w:ascii="Arial" w:hAnsi="Arial" w:cs="Arial"/>
        </w:rPr>
        <w:t>schedule</w:t>
      </w:r>
      <w:r w:rsidRPr="00374081">
        <w:rPr>
          <w:rFonts w:ascii="Arial" w:hAnsi="Arial" w:cs="Arial"/>
        </w:rPr>
        <w:t>:</w:t>
      </w:r>
    </w:p>
    <w:p w:rsidR="00D62D67" w:rsidRPr="00374081" w:rsidP="00161F7E" w14:paraId="51768C3C" w14:textId="3C00DA8C">
      <w:pPr>
        <w:rPr>
          <w:rFonts w:ascii="Arial" w:hAnsi="Arial" w:cs="Arial"/>
          <w:u w:val="single"/>
        </w:rPr>
      </w:pPr>
      <w:r w:rsidRPr="00374081">
        <w:rPr>
          <w:rFonts w:ascii="Arial" w:hAnsi="Arial" w:cs="Arial"/>
          <w:u w:val="single"/>
        </w:rPr>
        <w:t>Pre</w:t>
      </w:r>
      <w:r w:rsidRPr="00374081" w:rsidR="00A317AC">
        <w:rPr>
          <w:rFonts w:ascii="Arial" w:hAnsi="Arial" w:cs="Arial"/>
          <w:u w:val="single"/>
        </w:rPr>
        <w:t>-</w:t>
      </w:r>
      <w:r w:rsidRPr="00374081">
        <w:rPr>
          <w:rFonts w:ascii="Arial" w:hAnsi="Arial" w:cs="Arial"/>
          <w:u w:val="single"/>
        </w:rPr>
        <w:t xml:space="preserve">transplant Data </w:t>
      </w:r>
      <w:r w:rsidRPr="00374081" w:rsidR="00A317AC">
        <w:rPr>
          <w:rFonts w:ascii="Arial" w:hAnsi="Arial" w:cs="Arial"/>
          <w:u w:val="single"/>
        </w:rPr>
        <w:t>(</w:t>
      </w:r>
      <w:r w:rsidRPr="00374081">
        <w:rPr>
          <w:rFonts w:ascii="Arial" w:hAnsi="Arial" w:cs="Arial"/>
          <w:u w:val="single"/>
        </w:rPr>
        <w:t>within 30 days of transplant</w:t>
      </w:r>
      <w:r w:rsidRPr="00374081" w:rsidR="00A317AC">
        <w:rPr>
          <w:rFonts w:ascii="Arial" w:hAnsi="Arial" w:cs="Arial"/>
          <w:u w:val="single"/>
        </w:rPr>
        <w:t>)</w:t>
      </w:r>
    </w:p>
    <w:p w:rsidR="00087934" w:rsidRPr="00374081" w:rsidP="00161F7E" w14:paraId="31A87F05" w14:textId="281DB550">
      <w:pPr>
        <w:pStyle w:val="ListParagraph"/>
        <w:numPr>
          <w:ilvl w:val="0"/>
          <w:numId w:val="27"/>
        </w:numPr>
        <w:spacing w:after="120" w:line="240" w:lineRule="auto"/>
        <w:ind w:left="360"/>
        <w:rPr>
          <w:sz w:val="24"/>
          <w:szCs w:val="24"/>
        </w:rPr>
      </w:pPr>
      <w:r w:rsidRPr="00374081">
        <w:rPr>
          <w:sz w:val="24"/>
          <w:szCs w:val="24"/>
        </w:rPr>
        <w:t xml:space="preserve">Baseline </w:t>
      </w:r>
      <w:r w:rsidRPr="00374081" w:rsidR="00EA2E46">
        <w:rPr>
          <w:sz w:val="24"/>
          <w:szCs w:val="24"/>
        </w:rPr>
        <w:t xml:space="preserve">recipient </w:t>
      </w:r>
      <w:r w:rsidRPr="00374081">
        <w:rPr>
          <w:sz w:val="24"/>
          <w:szCs w:val="24"/>
        </w:rPr>
        <w:t xml:space="preserve">data including patient demographics, pertinent medical history, disease characteristics and status, </w:t>
      </w:r>
      <w:r w:rsidRPr="00374081" w:rsidR="00A317AC">
        <w:rPr>
          <w:sz w:val="24"/>
          <w:szCs w:val="24"/>
        </w:rPr>
        <w:t xml:space="preserve">and </w:t>
      </w:r>
      <w:r w:rsidRPr="00374081">
        <w:rPr>
          <w:sz w:val="24"/>
          <w:szCs w:val="24"/>
        </w:rPr>
        <w:t>co-morbidities</w:t>
      </w:r>
      <w:r w:rsidRPr="00374081">
        <w:rPr>
          <w:sz w:val="24"/>
          <w:szCs w:val="24"/>
        </w:rPr>
        <w:t>;</w:t>
      </w:r>
      <w:r w:rsidRPr="00374081" w:rsidR="00161F7E">
        <w:rPr>
          <w:sz w:val="24"/>
          <w:szCs w:val="24"/>
        </w:rPr>
        <w:t xml:space="preserve"> </w:t>
      </w:r>
    </w:p>
    <w:p w:rsidR="00D62D67" w:rsidRPr="00374081" w:rsidP="00161F7E" w14:paraId="4BEECDDC" w14:textId="7692BD00">
      <w:pPr>
        <w:pStyle w:val="ListParagraph"/>
        <w:numPr>
          <w:ilvl w:val="0"/>
          <w:numId w:val="27"/>
        </w:numPr>
        <w:spacing w:after="120" w:line="240" w:lineRule="auto"/>
        <w:ind w:left="360"/>
        <w:rPr>
          <w:sz w:val="24"/>
          <w:szCs w:val="24"/>
        </w:rPr>
      </w:pPr>
      <w:r w:rsidRPr="00374081">
        <w:rPr>
          <w:sz w:val="24"/>
          <w:szCs w:val="24"/>
        </w:rPr>
        <w:t>Procedure characteristics, including preparative regimen</w:t>
      </w:r>
      <w:r w:rsidR="009443F1">
        <w:rPr>
          <w:sz w:val="24"/>
          <w:szCs w:val="24"/>
        </w:rPr>
        <w:t>,</w:t>
      </w:r>
      <w:r w:rsidRPr="00374081" w:rsidR="009443F1">
        <w:rPr>
          <w:sz w:val="24"/>
          <w:szCs w:val="24"/>
        </w:rPr>
        <w:t xml:space="preserve"> </w:t>
      </w:r>
      <w:r w:rsidRPr="00374081" w:rsidR="00161F7E">
        <w:rPr>
          <w:sz w:val="24"/>
          <w:szCs w:val="24"/>
        </w:rPr>
        <w:t xml:space="preserve">and </w:t>
      </w:r>
    </w:p>
    <w:p w:rsidR="00D62D67" w:rsidRPr="00374081" w:rsidP="00161F7E" w14:paraId="235C58A0" w14:textId="3C66860D">
      <w:pPr>
        <w:pStyle w:val="ListParagraph"/>
        <w:numPr>
          <w:ilvl w:val="0"/>
          <w:numId w:val="27"/>
        </w:numPr>
        <w:spacing w:after="120" w:line="240" w:lineRule="auto"/>
        <w:ind w:left="360"/>
        <w:rPr>
          <w:sz w:val="24"/>
          <w:szCs w:val="24"/>
        </w:rPr>
      </w:pPr>
      <w:r w:rsidRPr="00374081">
        <w:rPr>
          <w:sz w:val="24"/>
          <w:szCs w:val="24"/>
        </w:rPr>
        <w:t xml:space="preserve">Donor </w:t>
      </w:r>
      <w:r w:rsidRPr="00374081" w:rsidR="008959B7">
        <w:rPr>
          <w:sz w:val="24"/>
          <w:szCs w:val="24"/>
        </w:rPr>
        <w:t>d</w:t>
      </w:r>
      <w:r w:rsidRPr="00374081">
        <w:rPr>
          <w:sz w:val="24"/>
          <w:szCs w:val="24"/>
        </w:rPr>
        <w:t>ata</w:t>
      </w:r>
      <w:r w:rsidRPr="00374081" w:rsidR="008959B7">
        <w:rPr>
          <w:sz w:val="24"/>
          <w:szCs w:val="24"/>
        </w:rPr>
        <w:t>.</w:t>
      </w:r>
    </w:p>
    <w:p w:rsidR="00D62D67" w:rsidRPr="00374081" w:rsidP="00161F7E" w14:paraId="28C0B497" w14:textId="36B90651">
      <w:pPr>
        <w:rPr>
          <w:rFonts w:ascii="Arial" w:hAnsi="Arial" w:cs="Arial"/>
          <w:u w:val="single"/>
        </w:rPr>
      </w:pPr>
      <w:r w:rsidRPr="00374081">
        <w:rPr>
          <w:rFonts w:ascii="Arial" w:hAnsi="Arial" w:cs="Arial"/>
          <w:u w:val="single"/>
        </w:rPr>
        <w:t xml:space="preserve">Transplant Data </w:t>
      </w:r>
      <w:r w:rsidRPr="00374081" w:rsidR="00A317AC">
        <w:rPr>
          <w:rFonts w:ascii="Arial" w:hAnsi="Arial" w:cs="Arial"/>
          <w:u w:val="single"/>
        </w:rPr>
        <w:t>(</w:t>
      </w:r>
      <w:r w:rsidRPr="00374081">
        <w:rPr>
          <w:rFonts w:ascii="Arial" w:hAnsi="Arial" w:cs="Arial"/>
          <w:u w:val="single"/>
        </w:rPr>
        <w:t xml:space="preserve">within 60 days of </w:t>
      </w:r>
      <w:r w:rsidRPr="00374081" w:rsidR="00A317AC">
        <w:rPr>
          <w:rFonts w:ascii="Arial" w:hAnsi="Arial" w:cs="Arial"/>
          <w:u w:val="single"/>
        </w:rPr>
        <w:t>transplant)</w:t>
      </w:r>
    </w:p>
    <w:p w:rsidR="00D62D67" w:rsidRPr="00374081" w:rsidP="00161F7E" w14:paraId="03DCBCC2" w14:textId="55273A21">
      <w:pPr>
        <w:pStyle w:val="ListParagraph"/>
        <w:numPr>
          <w:ilvl w:val="0"/>
          <w:numId w:val="27"/>
        </w:numPr>
        <w:spacing w:after="120" w:line="240" w:lineRule="auto"/>
        <w:ind w:left="360" w:right="-270"/>
        <w:rPr>
          <w:sz w:val="24"/>
          <w:szCs w:val="24"/>
        </w:rPr>
      </w:pPr>
      <w:r w:rsidRPr="00374081">
        <w:rPr>
          <w:sz w:val="24"/>
          <w:szCs w:val="24"/>
        </w:rPr>
        <w:t>Graft-vs-Host Disease (GVHD) prophylaxis, graft source, donor type</w:t>
      </w:r>
      <w:r w:rsidR="009443F1">
        <w:rPr>
          <w:sz w:val="24"/>
          <w:szCs w:val="24"/>
        </w:rPr>
        <w:t>,</w:t>
      </w:r>
      <w:r w:rsidRPr="00374081">
        <w:rPr>
          <w:sz w:val="24"/>
          <w:szCs w:val="24"/>
        </w:rPr>
        <w:t xml:space="preserve"> and degree of HLA matching</w:t>
      </w:r>
      <w:r w:rsidR="009443F1">
        <w:rPr>
          <w:sz w:val="24"/>
          <w:szCs w:val="24"/>
        </w:rPr>
        <w:t>,</w:t>
      </w:r>
      <w:r w:rsidRPr="00374081">
        <w:rPr>
          <w:sz w:val="24"/>
          <w:szCs w:val="24"/>
        </w:rPr>
        <w:t xml:space="preserve"> and graft manipulation</w:t>
      </w:r>
      <w:r w:rsidRPr="00374081" w:rsidR="00161F7E">
        <w:rPr>
          <w:sz w:val="24"/>
          <w:szCs w:val="24"/>
        </w:rPr>
        <w:t>;</w:t>
      </w:r>
    </w:p>
    <w:p w:rsidR="00D62D67" w:rsidRPr="00374081" w:rsidP="00161F7E" w14:paraId="4641FEEC" w14:textId="766997BE">
      <w:pPr>
        <w:pStyle w:val="ListParagraph"/>
        <w:numPr>
          <w:ilvl w:val="0"/>
          <w:numId w:val="27"/>
        </w:numPr>
        <w:spacing w:after="120" w:line="240" w:lineRule="auto"/>
        <w:ind w:left="360"/>
        <w:rPr>
          <w:sz w:val="24"/>
          <w:szCs w:val="24"/>
        </w:rPr>
      </w:pPr>
      <w:r w:rsidRPr="00374081">
        <w:rPr>
          <w:sz w:val="24"/>
          <w:szCs w:val="24"/>
        </w:rPr>
        <w:t>Graft characteristic data for cord blood units, including infused cell dose</w:t>
      </w:r>
      <w:r w:rsidR="009443F1">
        <w:rPr>
          <w:sz w:val="24"/>
          <w:szCs w:val="24"/>
        </w:rPr>
        <w:t>,</w:t>
      </w:r>
      <w:r w:rsidRPr="00374081" w:rsidR="009443F1">
        <w:rPr>
          <w:sz w:val="24"/>
          <w:szCs w:val="24"/>
        </w:rPr>
        <w:t xml:space="preserve"> </w:t>
      </w:r>
      <w:r w:rsidRPr="00374081" w:rsidR="00161F7E">
        <w:rPr>
          <w:sz w:val="24"/>
          <w:szCs w:val="24"/>
        </w:rPr>
        <w:t>and</w:t>
      </w:r>
    </w:p>
    <w:p w:rsidR="00D62D67" w:rsidRPr="00374081" w:rsidP="0017127C" w14:paraId="6CDD7029" w14:textId="6FCDA749">
      <w:pPr>
        <w:pStyle w:val="ListParagraph"/>
        <w:numPr>
          <w:ilvl w:val="0"/>
          <w:numId w:val="27"/>
        </w:numPr>
        <w:spacing w:after="120" w:line="240" w:lineRule="auto"/>
        <w:ind w:left="360"/>
        <w:contextualSpacing w:val="0"/>
        <w:rPr>
          <w:sz w:val="24"/>
          <w:szCs w:val="24"/>
        </w:rPr>
      </w:pPr>
      <w:r w:rsidRPr="00374081">
        <w:rPr>
          <w:sz w:val="24"/>
          <w:szCs w:val="24"/>
        </w:rPr>
        <w:t xml:space="preserve">Product </w:t>
      </w:r>
      <w:r w:rsidRPr="00374081" w:rsidR="008959B7">
        <w:rPr>
          <w:sz w:val="24"/>
          <w:szCs w:val="24"/>
        </w:rPr>
        <w:t>i</w:t>
      </w:r>
      <w:r w:rsidRPr="00374081">
        <w:rPr>
          <w:sz w:val="24"/>
          <w:szCs w:val="24"/>
        </w:rPr>
        <w:t>nformation.</w:t>
      </w:r>
      <w:r w:rsidR="00374081">
        <w:rPr>
          <w:sz w:val="24"/>
          <w:szCs w:val="24"/>
        </w:rPr>
        <w:t xml:space="preserve"> </w:t>
      </w:r>
    </w:p>
    <w:p w:rsidR="00D62D67" w:rsidRPr="00374081" w:rsidP="0093328A" w14:paraId="49E2A1F0" w14:textId="74E40059">
      <w:pPr>
        <w:rPr>
          <w:rFonts w:ascii="Arial" w:hAnsi="Arial" w:cs="Arial"/>
          <w:color w:val="000000" w:themeColor="text1"/>
          <w:u w:val="single"/>
        </w:rPr>
      </w:pPr>
      <w:r w:rsidRPr="00374081">
        <w:rPr>
          <w:rFonts w:ascii="Arial" w:hAnsi="Arial" w:cs="Arial"/>
          <w:color w:val="000000" w:themeColor="text1"/>
          <w:u w:val="single"/>
        </w:rPr>
        <w:t>Post</w:t>
      </w:r>
      <w:r w:rsidRPr="00374081" w:rsidR="0093328A">
        <w:rPr>
          <w:rFonts w:ascii="Arial" w:hAnsi="Arial" w:cs="Arial"/>
          <w:color w:val="000000" w:themeColor="text1"/>
          <w:u w:val="single"/>
        </w:rPr>
        <w:t>-</w:t>
      </w:r>
      <w:r w:rsidRPr="00374081">
        <w:rPr>
          <w:rFonts w:ascii="Arial" w:hAnsi="Arial" w:cs="Arial"/>
          <w:color w:val="000000" w:themeColor="text1"/>
          <w:u w:val="single"/>
        </w:rPr>
        <w:t>Transplant Data</w:t>
      </w:r>
      <w:r w:rsidRPr="00374081" w:rsidR="0093328A">
        <w:rPr>
          <w:rFonts w:ascii="Arial" w:hAnsi="Arial" w:cs="Arial"/>
          <w:color w:val="000000" w:themeColor="text1"/>
          <w:u w:val="single"/>
        </w:rPr>
        <w:t xml:space="preserve"> (</w:t>
      </w:r>
      <w:r w:rsidRPr="00374081">
        <w:rPr>
          <w:rFonts w:ascii="Arial" w:hAnsi="Arial" w:cs="Arial"/>
          <w:color w:val="000000" w:themeColor="text1"/>
          <w:u w:val="single"/>
        </w:rPr>
        <w:t>100 days after transplant, 6 months after transplant, 1 year after transplant, annually for 6 years after transplant</w:t>
      </w:r>
      <w:r w:rsidR="009443F1">
        <w:rPr>
          <w:rFonts w:ascii="Arial" w:hAnsi="Arial" w:cs="Arial"/>
          <w:color w:val="000000" w:themeColor="text1"/>
          <w:u w:val="single"/>
        </w:rPr>
        <w:t>,</w:t>
      </w:r>
      <w:r w:rsidRPr="00374081">
        <w:rPr>
          <w:rFonts w:ascii="Arial" w:hAnsi="Arial" w:cs="Arial"/>
          <w:color w:val="000000" w:themeColor="text1"/>
          <w:u w:val="single"/>
        </w:rPr>
        <w:t xml:space="preserve"> and then biennially thereafter</w:t>
      </w:r>
      <w:r w:rsidRPr="00374081" w:rsidR="00AA3BA8">
        <w:rPr>
          <w:rFonts w:ascii="Arial" w:hAnsi="Arial" w:cs="Arial"/>
          <w:color w:val="000000" w:themeColor="text1"/>
          <w:u w:val="single"/>
        </w:rPr>
        <w:t>)</w:t>
      </w:r>
      <w:r>
        <w:rPr>
          <w:rFonts w:ascii="Arial" w:hAnsi="Arial" w:cs="Arial"/>
          <w:color w:val="000000" w:themeColor="text1"/>
          <w:vertAlign w:val="superscript"/>
        </w:rPr>
        <w:footnoteReference w:id="36"/>
      </w:r>
    </w:p>
    <w:p w:rsidR="00D62D67" w:rsidRPr="00374081" w:rsidP="0093328A" w14:paraId="166B530D" w14:textId="35784D57">
      <w:pPr>
        <w:pStyle w:val="ListParagraph"/>
        <w:numPr>
          <w:ilvl w:val="0"/>
          <w:numId w:val="27"/>
        </w:numPr>
        <w:spacing w:after="120" w:line="240" w:lineRule="auto"/>
        <w:ind w:left="360" w:right="-270"/>
        <w:rPr>
          <w:color w:val="000000" w:themeColor="text1"/>
          <w:sz w:val="24"/>
          <w:szCs w:val="24"/>
        </w:rPr>
      </w:pPr>
      <w:r w:rsidRPr="00374081">
        <w:rPr>
          <w:color w:val="000000" w:themeColor="text1"/>
          <w:sz w:val="24"/>
          <w:szCs w:val="24"/>
        </w:rPr>
        <w:t>H</w:t>
      </w:r>
      <w:r w:rsidRPr="00374081">
        <w:rPr>
          <w:color w:val="000000" w:themeColor="text1"/>
          <w:sz w:val="24"/>
          <w:szCs w:val="24"/>
        </w:rPr>
        <w:t>ematopoietic recovery and engraftment,</w:t>
      </w:r>
      <w:r>
        <w:rPr>
          <w:color w:val="000000" w:themeColor="text1"/>
          <w:sz w:val="24"/>
          <w:szCs w:val="24"/>
          <w:vertAlign w:val="superscript"/>
        </w:rPr>
        <w:footnoteReference w:id="37"/>
      </w:r>
      <w:r w:rsidRPr="00374081">
        <w:rPr>
          <w:color w:val="000000" w:themeColor="text1"/>
          <w:sz w:val="24"/>
          <w:szCs w:val="24"/>
        </w:rPr>
        <w:t xml:space="preserve"> serious complications including GVHD and second cancers, disease status, survival status, and cause of death</w:t>
      </w:r>
      <w:r w:rsidRPr="00374081">
        <w:rPr>
          <w:color w:val="000000" w:themeColor="text1"/>
          <w:sz w:val="24"/>
          <w:szCs w:val="24"/>
        </w:rPr>
        <w:t>; and</w:t>
      </w:r>
    </w:p>
    <w:p w:rsidR="006B6C86" w:rsidRPr="00374081" w:rsidP="00B267BD" w14:paraId="385E6AD9" w14:textId="05F35E2F">
      <w:pPr>
        <w:pStyle w:val="ListParagraph"/>
        <w:numPr>
          <w:ilvl w:val="0"/>
          <w:numId w:val="27"/>
        </w:numPr>
        <w:spacing w:after="0" w:line="240" w:lineRule="auto"/>
        <w:ind w:left="360" w:right="-274"/>
        <w:rPr>
          <w:color w:val="000000" w:themeColor="text1"/>
          <w:sz w:val="24"/>
          <w:szCs w:val="24"/>
        </w:rPr>
      </w:pPr>
      <w:r w:rsidRPr="00374081">
        <w:rPr>
          <w:color w:val="000000" w:themeColor="text1"/>
          <w:sz w:val="24"/>
          <w:szCs w:val="24"/>
        </w:rPr>
        <w:t xml:space="preserve">Subsequent procedures. </w:t>
      </w:r>
    </w:p>
    <w:p w:rsidR="00B267BD" w:rsidRPr="00374081" w:rsidP="00B267BD" w14:paraId="6470F003" w14:textId="77777777">
      <w:pPr>
        <w:ind w:right="-274"/>
        <w:rPr>
          <w:rFonts w:ascii="Arial" w:hAnsi="Arial" w:cs="Arial"/>
          <w:color w:val="000000" w:themeColor="text1"/>
          <w:sz w:val="20"/>
          <w:szCs w:val="20"/>
        </w:rPr>
      </w:pPr>
    </w:p>
    <w:p w:rsidR="007F7C5E" w:rsidRPr="00374081" w:rsidP="00F23F22" w14:paraId="767D77F0" w14:textId="7464DE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eastAsiaTheme="minorHAnsi" w:cs="Arial"/>
          <w:color w:val="000000" w:themeColor="text1"/>
        </w:rPr>
      </w:pPr>
      <w:r w:rsidRPr="00374081">
        <w:rPr>
          <w:rFonts w:ascii="Arial" w:hAnsi="Arial" w:eastAsiaTheme="minorHAnsi" w:cs="Arial"/>
          <w:color w:val="000000" w:themeColor="text1"/>
        </w:rPr>
        <w:t xml:space="preserve">These </w:t>
      </w:r>
      <w:r w:rsidRPr="00374081" w:rsidR="00E22E02">
        <w:rPr>
          <w:rFonts w:ascii="Arial" w:hAnsi="Arial" w:eastAsiaTheme="minorHAnsi" w:cs="Arial"/>
          <w:color w:val="000000" w:themeColor="text1"/>
        </w:rPr>
        <w:t xml:space="preserve">expectations and timelines for data submission </w:t>
      </w:r>
      <w:r w:rsidRPr="00374081">
        <w:rPr>
          <w:rFonts w:ascii="Arial" w:hAnsi="Arial" w:eastAsiaTheme="minorHAnsi" w:cs="Arial"/>
          <w:color w:val="000000" w:themeColor="text1"/>
        </w:rPr>
        <w:t xml:space="preserve">are the result of </w:t>
      </w:r>
      <w:r w:rsidRPr="00374081" w:rsidR="00E22E02">
        <w:rPr>
          <w:rFonts w:ascii="Arial" w:hAnsi="Arial" w:eastAsiaTheme="minorHAnsi" w:cs="Arial"/>
          <w:color w:val="000000" w:themeColor="text1"/>
        </w:rPr>
        <w:t xml:space="preserve">ongoing </w:t>
      </w:r>
      <w:r w:rsidRPr="00374081">
        <w:rPr>
          <w:rFonts w:ascii="Arial" w:hAnsi="Arial" w:eastAsiaTheme="minorHAnsi" w:cs="Arial"/>
          <w:color w:val="000000" w:themeColor="text1"/>
        </w:rPr>
        <w:t xml:space="preserve">input from the transplant community and </w:t>
      </w:r>
      <w:r w:rsidRPr="00374081" w:rsidR="00E22E02">
        <w:rPr>
          <w:rFonts w:ascii="Arial" w:hAnsi="Arial" w:eastAsiaTheme="minorHAnsi" w:cs="Arial"/>
          <w:color w:val="000000" w:themeColor="text1"/>
        </w:rPr>
        <w:t xml:space="preserve">the facilities </w:t>
      </w:r>
      <w:r w:rsidR="009443F1">
        <w:rPr>
          <w:rFonts w:ascii="Arial" w:hAnsi="Arial" w:eastAsiaTheme="minorHAnsi" w:cs="Arial"/>
          <w:color w:val="000000" w:themeColor="text1"/>
        </w:rPr>
        <w:t>that</w:t>
      </w:r>
      <w:r w:rsidRPr="00374081" w:rsidR="009443F1">
        <w:rPr>
          <w:rFonts w:ascii="Arial" w:hAnsi="Arial" w:eastAsiaTheme="minorHAnsi" w:cs="Arial"/>
          <w:color w:val="000000" w:themeColor="text1"/>
        </w:rPr>
        <w:t xml:space="preserve"> </w:t>
      </w:r>
      <w:r w:rsidRPr="00374081" w:rsidR="00E22E02">
        <w:rPr>
          <w:rFonts w:ascii="Arial" w:hAnsi="Arial" w:eastAsiaTheme="minorHAnsi" w:cs="Arial"/>
          <w:color w:val="000000" w:themeColor="text1"/>
        </w:rPr>
        <w:t>provide the data</w:t>
      </w:r>
      <w:r w:rsidRPr="00374081">
        <w:rPr>
          <w:rFonts w:ascii="Arial" w:hAnsi="Arial" w:eastAsiaTheme="minorHAnsi" w:cs="Arial"/>
          <w:color w:val="000000" w:themeColor="text1"/>
        </w:rPr>
        <w:t xml:space="preserve">. </w:t>
      </w:r>
      <w:r w:rsidR="009443F1">
        <w:rPr>
          <w:rFonts w:ascii="Arial" w:hAnsi="Arial" w:eastAsiaTheme="minorHAnsi" w:cs="Arial"/>
          <w:color w:val="000000" w:themeColor="text1"/>
        </w:rPr>
        <w:t>To</w:t>
      </w:r>
      <w:r w:rsidRPr="00374081" w:rsidR="00E22E02">
        <w:rPr>
          <w:rFonts w:ascii="Arial" w:hAnsi="Arial" w:eastAsiaTheme="minorHAnsi" w:cs="Arial"/>
          <w:color w:val="000000" w:themeColor="text1"/>
        </w:rPr>
        <w:t xml:space="preserve"> meet statutory requirements</w:t>
      </w:r>
      <w:r w:rsidRPr="00374081" w:rsidR="00BA7EB3">
        <w:rPr>
          <w:rFonts w:ascii="Arial" w:hAnsi="Arial" w:eastAsiaTheme="minorHAnsi" w:cs="Arial"/>
          <w:color w:val="000000" w:themeColor="text1"/>
        </w:rPr>
        <w:t xml:space="preserve"> under 42 U.S.C. 247l</w:t>
      </w:r>
      <w:r w:rsidRPr="00374081" w:rsidR="00E22E02">
        <w:rPr>
          <w:rFonts w:ascii="Arial" w:hAnsi="Arial" w:eastAsiaTheme="minorHAnsi" w:cs="Arial"/>
          <w:color w:val="000000" w:themeColor="text1"/>
        </w:rPr>
        <w:t>,</w:t>
      </w:r>
      <w:r w:rsidRPr="00374081" w:rsidR="0032107A">
        <w:rPr>
          <w:rFonts w:ascii="Arial" w:hAnsi="Arial" w:eastAsiaTheme="minorHAnsi" w:cs="Arial"/>
          <w:color w:val="000000" w:themeColor="text1"/>
        </w:rPr>
        <w:t xml:space="preserve"> the SCTOD contractor </w:t>
      </w:r>
      <w:r w:rsidRPr="00374081">
        <w:rPr>
          <w:rFonts w:ascii="Arial" w:hAnsi="Arial" w:eastAsiaTheme="minorHAnsi" w:cs="Arial"/>
          <w:color w:val="000000" w:themeColor="text1"/>
        </w:rPr>
        <w:t xml:space="preserve">will continue to work with stakeholders </w:t>
      </w:r>
      <w:r w:rsidR="009443F1">
        <w:rPr>
          <w:rFonts w:ascii="Arial" w:hAnsi="Arial" w:eastAsiaTheme="minorHAnsi" w:cs="Arial"/>
          <w:color w:val="000000" w:themeColor="text1"/>
        </w:rPr>
        <w:t>to</w:t>
      </w:r>
      <w:r w:rsidRPr="00374081">
        <w:rPr>
          <w:rFonts w:ascii="Arial" w:hAnsi="Arial" w:eastAsiaTheme="minorHAnsi" w:cs="Arial"/>
          <w:color w:val="000000" w:themeColor="text1"/>
        </w:rPr>
        <w:t xml:space="preserve"> improve the quality of data used </w:t>
      </w:r>
      <w:r w:rsidRPr="00374081" w:rsidR="00BA7EB3">
        <w:rPr>
          <w:rFonts w:ascii="Arial" w:hAnsi="Arial" w:eastAsiaTheme="minorHAnsi" w:cs="Arial"/>
          <w:color w:val="000000" w:themeColor="text1"/>
        </w:rPr>
        <w:t>for</w:t>
      </w:r>
      <w:r w:rsidRPr="00374081">
        <w:rPr>
          <w:rFonts w:ascii="Arial" w:hAnsi="Arial" w:eastAsiaTheme="minorHAnsi" w:cs="Arial"/>
          <w:color w:val="000000" w:themeColor="text1"/>
        </w:rPr>
        <w:t xml:space="preserve"> clinical research and outcomes reporting (e.g., disease classification, risk factors, and risk adjustments). </w:t>
      </w:r>
    </w:p>
    <w:p w:rsidR="007F7C5E" w:rsidRPr="00374081" w:rsidP="00F23F22" w14:paraId="31380BB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eastAsiaTheme="minorHAnsi" w:cs="Arial"/>
          <w:color w:val="3F3F3F"/>
          <w:sz w:val="20"/>
          <w:szCs w:val="20"/>
          <w:highlight w:val="yellow"/>
        </w:rPr>
      </w:pPr>
    </w:p>
    <w:p w:rsidR="00B94CE7" w:rsidRPr="00374081" w:rsidP="00B94CE7" w14:paraId="0238F1FA" w14:textId="7642E3F5">
      <w:pPr>
        <w:ind w:hanging="14"/>
        <w:rPr>
          <w:rFonts w:ascii="Arial" w:hAnsi="Arial" w:cs="Arial"/>
        </w:rPr>
      </w:pPr>
      <w:r w:rsidRPr="00374081">
        <w:rPr>
          <w:rFonts w:ascii="Arial" w:hAnsi="Arial" w:cs="Arial"/>
        </w:rPr>
        <w:t xml:space="preserve">Collecting data at the proposed time points is not only essential </w:t>
      </w:r>
      <w:r w:rsidR="009443F1">
        <w:rPr>
          <w:rFonts w:ascii="Arial" w:hAnsi="Arial" w:cs="Arial"/>
        </w:rPr>
        <w:t xml:space="preserve">for understanding outcomes at various stages of the transplant process, but it also represents standard assessment time points </w:t>
      </w:r>
      <w:r w:rsidRPr="00374081">
        <w:rPr>
          <w:rFonts w:ascii="Arial" w:hAnsi="Arial" w:cs="Arial"/>
        </w:rPr>
        <w:t xml:space="preserve">for allogeneic transplant recipients. These time points are also </w:t>
      </w:r>
      <w:r w:rsidR="009443F1">
        <w:rPr>
          <w:rFonts w:ascii="Arial" w:hAnsi="Arial" w:cs="Arial"/>
        </w:rPr>
        <w:t>intended to emphasize the importance of follow-up assessments by transplant centers to prevent losing contact with transplant recipients, as recipients gradually become more distant</w:t>
      </w:r>
      <w:r w:rsidRPr="00374081">
        <w:rPr>
          <w:rFonts w:ascii="Arial" w:hAnsi="Arial" w:cs="Arial"/>
        </w:rPr>
        <w:t xml:space="preserve"> from the tertiary care centers where allogeneic transplantation is performed. </w:t>
      </w:r>
    </w:p>
    <w:p w:rsidR="00B94CE7" w:rsidRPr="00374081" w:rsidP="00B94CE7" w14:paraId="004C49BD" w14:textId="77777777">
      <w:pPr>
        <w:ind w:hanging="14"/>
        <w:rPr>
          <w:rFonts w:ascii="Arial" w:hAnsi="Arial" w:cs="Arial"/>
          <w:sz w:val="20"/>
          <w:szCs w:val="20"/>
        </w:rPr>
      </w:pPr>
    </w:p>
    <w:p w:rsidR="001214E5" w:rsidRPr="00374081" w:rsidP="005B6C33" w14:paraId="5F2D7E4E" w14:textId="7563E4B1">
      <w:pPr>
        <w:spacing w:after="120"/>
        <w:ind w:hanging="14"/>
        <w:rPr>
          <w:rFonts w:ascii="Arial" w:hAnsi="Arial" w:cs="Arial"/>
        </w:rPr>
      </w:pPr>
      <w:r w:rsidRPr="00374081">
        <w:rPr>
          <w:rFonts w:ascii="Arial" w:hAnsi="Arial" w:cs="Arial"/>
        </w:rPr>
        <w:t xml:space="preserve">If the information required by </w:t>
      </w:r>
      <w:r w:rsidRPr="00374081" w:rsidR="00B267BD">
        <w:rPr>
          <w:rFonts w:ascii="Arial" w:hAnsi="Arial" w:cs="Arial"/>
        </w:rPr>
        <w:t xml:space="preserve">statute </w:t>
      </w:r>
      <w:r w:rsidRPr="00374081">
        <w:rPr>
          <w:rFonts w:ascii="Arial" w:hAnsi="Arial" w:cs="Arial"/>
        </w:rPr>
        <w:t xml:space="preserve">is not collected at the </w:t>
      </w:r>
      <w:r w:rsidR="009443F1">
        <w:rPr>
          <w:rFonts w:ascii="Arial" w:hAnsi="Arial" w:cs="Arial"/>
        </w:rPr>
        <w:t>designated time points</w:t>
      </w:r>
      <w:r w:rsidRPr="00374081">
        <w:rPr>
          <w:rFonts w:ascii="Arial" w:hAnsi="Arial" w:cs="Arial"/>
        </w:rPr>
        <w:t>, HRSA will not be in compliance with the authorizing legislation. Additionally, c</w:t>
      </w:r>
      <w:r w:rsidRPr="00374081">
        <w:rPr>
          <w:rFonts w:ascii="Arial" w:hAnsi="Arial" w:cs="Arial"/>
        </w:rPr>
        <w:t xml:space="preserve">ollecting less information </w:t>
      </w:r>
      <w:r w:rsidRPr="00374081" w:rsidR="00B267BD">
        <w:rPr>
          <w:rFonts w:ascii="Arial" w:hAnsi="Arial" w:cs="Arial"/>
        </w:rPr>
        <w:t xml:space="preserve">at each </w:t>
      </w:r>
      <w:r w:rsidR="009443F1">
        <w:rPr>
          <w:rFonts w:ascii="Arial" w:hAnsi="Arial" w:cs="Arial"/>
        </w:rPr>
        <w:t>time point</w:t>
      </w:r>
      <w:r w:rsidRPr="00374081" w:rsidR="009443F1">
        <w:rPr>
          <w:rFonts w:ascii="Arial" w:hAnsi="Arial" w:cs="Arial"/>
        </w:rPr>
        <w:t xml:space="preserve"> </w:t>
      </w:r>
      <w:r w:rsidRPr="00374081">
        <w:rPr>
          <w:rFonts w:ascii="Arial" w:hAnsi="Arial" w:cs="Arial"/>
        </w:rPr>
        <w:t xml:space="preserve">than that </w:t>
      </w:r>
      <w:r w:rsidRPr="00374081" w:rsidR="00B267BD">
        <w:rPr>
          <w:rFonts w:ascii="Arial" w:hAnsi="Arial" w:cs="Arial"/>
        </w:rPr>
        <w:t xml:space="preserve">which is </w:t>
      </w:r>
      <w:r w:rsidRPr="00374081">
        <w:rPr>
          <w:rFonts w:ascii="Arial" w:hAnsi="Arial" w:cs="Arial"/>
        </w:rPr>
        <w:t xml:space="preserve">proposed </w:t>
      </w:r>
      <w:r w:rsidRPr="00374081" w:rsidR="008B655E">
        <w:rPr>
          <w:rFonts w:ascii="Arial" w:hAnsi="Arial" w:cs="Arial"/>
        </w:rPr>
        <w:t xml:space="preserve">would </w:t>
      </w:r>
      <w:r w:rsidRPr="00374081" w:rsidR="00B267BD">
        <w:rPr>
          <w:rFonts w:ascii="Arial" w:hAnsi="Arial" w:cs="Arial"/>
        </w:rPr>
        <w:t xml:space="preserve">also </w:t>
      </w:r>
      <w:r w:rsidRPr="00374081" w:rsidR="008B655E">
        <w:rPr>
          <w:rFonts w:ascii="Arial" w:hAnsi="Arial" w:cs="Arial"/>
        </w:rPr>
        <w:t>be contrary to statutory direction and community consensus</w:t>
      </w:r>
      <w:r w:rsidRPr="00374081" w:rsidR="00AB57B2">
        <w:rPr>
          <w:rFonts w:ascii="Arial" w:hAnsi="Arial" w:cs="Arial"/>
        </w:rPr>
        <w:t>.</w:t>
      </w:r>
      <w:r>
        <w:rPr>
          <w:rStyle w:val="FootnoteReference"/>
          <w:rFonts w:ascii="Arial" w:hAnsi="Arial" w:cs="Arial"/>
          <w:vertAlign w:val="superscript"/>
        </w:rPr>
        <w:footnoteReference w:id="38"/>
      </w:r>
      <w:r w:rsidRPr="00374081" w:rsidR="008B655E">
        <w:rPr>
          <w:rFonts w:ascii="Arial" w:hAnsi="Arial" w:cs="Arial"/>
        </w:rPr>
        <w:t xml:space="preserve"> </w:t>
      </w:r>
      <w:r w:rsidRPr="00374081">
        <w:rPr>
          <w:rFonts w:ascii="Arial" w:hAnsi="Arial" w:cs="Arial"/>
        </w:rPr>
        <w:t>Th</w:t>
      </w:r>
      <w:r w:rsidRPr="00374081" w:rsidR="005B6C33">
        <w:rPr>
          <w:rFonts w:ascii="Arial" w:hAnsi="Arial" w:cs="Arial"/>
        </w:rPr>
        <w:t xml:space="preserve">ese data are also </w:t>
      </w:r>
      <w:r w:rsidRPr="00374081">
        <w:rPr>
          <w:rFonts w:ascii="Arial" w:hAnsi="Arial" w:cs="Arial"/>
        </w:rPr>
        <w:t xml:space="preserve">required by the Secretary to report the following: </w:t>
      </w:r>
    </w:p>
    <w:p w:rsidR="001214E5" w:rsidRPr="00374081" w:rsidP="005B6C33" w14:paraId="0684166D" w14:textId="131BA06E">
      <w:pPr>
        <w:pStyle w:val="ListParagraph"/>
        <w:numPr>
          <w:ilvl w:val="0"/>
          <w:numId w:val="28"/>
        </w:numPr>
        <w:spacing w:after="0" w:line="240" w:lineRule="auto"/>
        <w:contextualSpacing w:val="0"/>
        <w:rPr>
          <w:sz w:val="24"/>
          <w:szCs w:val="24"/>
        </w:rPr>
      </w:pPr>
      <w:r w:rsidRPr="00374081">
        <w:rPr>
          <w:sz w:val="24"/>
          <w:szCs w:val="24"/>
        </w:rPr>
        <w:t>W</w:t>
      </w:r>
      <w:r w:rsidRPr="00374081">
        <w:rPr>
          <w:sz w:val="24"/>
          <w:szCs w:val="24"/>
        </w:rPr>
        <w:t>hether program funds for the SCTOD are fulfilling the mission of the C</w:t>
      </w:r>
      <w:r w:rsidRPr="00374081" w:rsidR="00D334AE">
        <w:rPr>
          <w:sz w:val="24"/>
          <w:szCs w:val="24"/>
        </w:rPr>
        <w:t>WBYCTP</w:t>
      </w:r>
      <w:r w:rsidRPr="00374081">
        <w:rPr>
          <w:sz w:val="24"/>
          <w:szCs w:val="24"/>
        </w:rPr>
        <w:t xml:space="preserve">; </w:t>
      </w:r>
    </w:p>
    <w:p w:rsidR="001214E5" w:rsidRPr="00374081" w:rsidP="00945DE9" w14:paraId="145D0893" w14:textId="7F9821C4">
      <w:pPr>
        <w:pStyle w:val="ListParagraph"/>
        <w:numPr>
          <w:ilvl w:val="0"/>
          <w:numId w:val="28"/>
        </w:numPr>
        <w:spacing w:after="0" w:line="240" w:lineRule="auto"/>
        <w:ind w:right="-90"/>
        <w:contextualSpacing w:val="0"/>
        <w:rPr>
          <w:sz w:val="24"/>
          <w:szCs w:val="24"/>
        </w:rPr>
      </w:pPr>
      <w:r w:rsidRPr="00374081">
        <w:rPr>
          <w:sz w:val="24"/>
          <w:szCs w:val="24"/>
        </w:rPr>
        <w:t xml:space="preserve">The </w:t>
      </w:r>
      <w:r w:rsidRPr="00374081" w:rsidR="00945DE9">
        <w:rPr>
          <w:sz w:val="24"/>
          <w:szCs w:val="24"/>
        </w:rPr>
        <w:t xml:space="preserve">indications for and outcomes from various </w:t>
      </w:r>
      <w:r w:rsidRPr="00374081">
        <w:rPr>
          <w:sz w:val="24"/>
          <w:szCs w:val="24"/>
        </w:rPr>
        <w:t xml:space="preserve">types of transplants performed in </w:t>
      </w:r>
      <w:r w:rsidR="009443F1">
        <w:rPr>
          <w:sz w:val="24"/>
          <w:szCs w:val="24"/>
        </w:rPr>
        <w:t xml:space="preserve">the </w:t>
      </w:r>
      <w:r w:rsidRPr="00374081" w:rsidR="00945DE9">
        <w:rPr>
          <w:sz w:val="24"/>
          <w:szCs w:val="24"/>
        </w:rPr>
        <w:t>U.S.; and</w:t>
      </w:r>
      <w:r w:rsidRPr="00374081">
        <w:rPr>
          <w:sz w:val="24"/>
          <w:szCs w:val="24"/>
        </w:rPr>
        <w:t xml:space="preserve"> </w:t>
      </w:r>
    </w:p>
    <w:p w:rsidR="001214E5" w:rsidRPr="00374081" w:rsidP="005B6C33" w14:paraId="501EB2FD" w14:textId="69F89AD8">
      <w:pPr>
        <w:pStyle w:val="ListParagraph"/>
        <w:numPr>
          <w:ilvl w:val="0"/>
          <w:numId w:val="28"/>
        </w:numPr>
        <w:spacing w:after="0" w:line="240" w:lineRule="auto"/>
        <w:rPr>
          <w:sz w:val="24"/>
          <w:szCs w:val="24"/>
        </w:rPr>
      </w:pPr>
      <w:r w:rsidRPr="00374081">
        <w:rPr>
          <w:sz w:val="24"/>
          <w:szCs w:val="24"/>
        </w:rPr>
        <w:t>Facility-specific HCT o</w:t>
      </w:r>
      <w:r w:rsidRPr="00374081">
        <w:rPr>
          <w:sz w:val="24"/>
          <w:szCs w:val="24"/>
        </w:rPr>
        <w:t xml:space="preserve">utcomes. </w:t>
      </w:r>
    </w:p>
    <w:p w:rsidR="006B0427" w:rsidRPr="00374081" w:rsidP="00D334AE" w14:paraId="1F78BC8B" w14:textId="77777777">
      <w:pPr>
        <w:rPr>
          <w:rFonts w:ascii="Arial" w:hAnsi="Arial" w:cs="Arial"/>
          <w:sz w:val="20"/>
          <w:szCs w:val="20"/>
        </w:rPr>
      </w:pPr>
    </w:p>
    <w:p w:rsidR="001214E5" w:rsidRPr="00374081" w:rsidP="00D334AE" w14:paraId="44C5679B" w14:textId="1559281C">
      <w:pPr>
        <w:rPr>
          <w:rFonts w:ascii="Arial" w:hAnsi="Arial" w:cs="Arial"/>
        </w:rPr>
      </w:pPr>
      <w:r w:rsidRPr="00374081">
        <w:rPr>
          <w:rFonts w:ascii="Arial" w:hAnsi="Arial" w:cs="Arial"/>
        </w:rPr>
        <w:t>The l</w:t>
      </w:r>
      <w:r w:rsidRPr="00374081" w:rsidR="006B0427">
        <w:rPr>
          <w:rFonts w:ascii="Arial" w:hAnsi="Arial" w:cs="Arial"/>
        </w:rPr>
        <w:t>egal obstacles to reduc</w:t>
      </w:r>
      <w:r w:rsidRPr="00374081" w:rsidR="00155CB7">
        <w:rPr>
          <w:rFonts w:ascii="Arial" w:hAnsi="Arial" w:cs="Arial"/>
        </w:rPr>
        <w:t xml:space="preserve">ing </w:t>
      </w:r>
      <w:r w:rsidR="009443F1">
        <w:rPr>
          <w:rFonts w:ascii="Arial" w:hAnsi="Arial" w:cs="Arial"/>
        </w:rPr>
        <w:t xml:space="preserve">the </w:t>
      </w:r>
      <w:r w:rsidRPr="00374081" w:rsidR="006B0427">
        <w:rPr>
          <w:rFonts w:ascii="Arial" w:hAnsi="Arial" w:cs="Arial"/>
        </w:rPr>
        <w:t>burden</w:t>
      </w:r>
      <w:r w:rsidRPr="00374081" w:rsidR="00155CB7">
        <w:rPr>
          <w:rFonts w:ascii="Arial" w:hAnsi="Arial" w:cs="Arial"/>
        </w:rPr>
        <w:t xml:space="preserve"> are the authorizing statutes </w:t>
      </w:r>
      <w:r w:rsidRPr="00374081" w:rsidR="00A70CAC">
        <w:rPr>
          <w:rFonts w:ascii="Arial" w:hAnsi="Arial" w:cs="Arial"/>
        </w:rPr>
        <w:t xml:space="preserve">at </w:t>
      </w:r>
      <w:r w:rsidRPr="00374081" w:rsidR="00155CB7">
        <w:rPr>
          <w:rFonts w:ascii="Arial" w:hAnsi="Arial" w:cs="Arial"/>
        </w:rPr>
        <w:t>42 U.S.C. 247k</w:t>
      </w:r>
      <w:r w:rsidRPr="00374081" w:rsidR="00155CB7">
        <w:rPr>
          <w:rFonts w:ascii="Arial" w:hAnsi="Arial" w:eastAsiaTheme="minorHAnsi" w:cs="Arial"/>
          <w:color w:val="000000" w:themeColor="text1"/>
        </w:rPr>
        <w:t xml:space="preserve"> and 247l. </w:t>
      </w:r>
    </w:p>
    <w:p w:rsidR="006B0427" w:rsidRPr="00374081" w:rsidP="00D334AE" w14:paraId="121DAE4A" w14:textId="77777777">
      <w:pPr>
        <w:rPr>
          <w:rFonts w:ascii="Arial" w:hAnsi="Arial" w:cs="Arial"/>
          <w:sz w:val="20"/>
          <w:szCs w:val="20"/>
        </w:rPr>
      </w:pPr>
    </w:p>
    <w:p w:rsidR="001214E5" w:rsidRPr="00374081" w:rsidP="00D334AE" w14:paraId="66908D96" w14:textId="0A6BABC6">
      <w:pPr>
        <w:numPr>
          <w:ilvl w:val="1"/>
          <w:numId w:val="2"/>
        </w:numPr>
        <w:ind w:left="360" w:hanging="360"/>
        <w:rPr>
          <w:rFonts w:ascii="Arial" w:hAnsi="Arial" w:cs="Arial"/>
          <w:u w:val="single"/>
        </w:rPr>
      </w:pPr>
      <w:r w:rsidRPr="00374081">
        <w:rPr>
          <w:rFonts w:ascii="Arial" w:hAnsi="Arial" w:cs="Arial"/>
          <w:b/>
          <w:u w:val="single"/>
        </w:rPr>
        <w:t xml:space="preserve">Special Circumstances Relating to the Guidelines </w:t>
      </w:r>
      <w:r w:rsidRPr="00374081" w:rsidR="00680B73">
        <w:rPr>
          <w:rFonts w:ascii="Arial" w:hAnsi="Arial" w:cs="Arial"/>
          <w:b/>
          <w:u w:val="single"/>
        </w:rPr>
        <w:t>at</w:t>
      </w:r>
      <w:r w:rsidRPr="00374081">
        <w:rPr>
          <w:rFonts w:ascii="Arial" w:hAnsi="Arial" w:cs="Arial"/>
          <w:b/>
          <w:u w:val="single"/>
        </w:rPr>
        <w:t xml:space="preserve"> 5 CFR 1320.5</w:t>
      </w:r>
      <w:r w:rsidRPr="00374081" w:rsidR="00680B73">
        <w:rPr>
          <w:rFonts w:ascii="Arial" w:hAnsi="Arial" w:cs="Arial"/>
          <w:b/>
          <w:u w:val="single"/>
        </w:rPr>
        <w:t>(d)(2)</w:t>
      </w:r>
    </w:p>
    <w:p w:rsidR="00D334AE" w:rsidRPr="00374081" w:rsidP="00D334AE" w14:paraId="5FA9769C" w14:textId="77777777">
      <w:pPr>
        <w:ind w:left="360"/>
        <w:rPr>
          <w:rFonts w:ascii="Arial" w:hAnsi="Arial" w:cs="Arial"/>
          <w:sz w:val="20"/>
          <w:szCs w:val="20"/>
        </w:rPr>
      </w:pPr>
    </w:p>
    <w:p w:rsidR="008E0F2E" w:rsidRPr="00374081" w:rsidP="00D334AE" w14:paraId="1FD93D66" w14:textId="5BC8E821">
      <w:pPr>
        <w:rPr>
          <w:rFonts w:ascii="Arial" w:hAnsi="Arial" w:cs="Arial"/>
        </w:rPr>
      </w:pPr>
      <w:r w:rsidRPr="00374081">
        <w:rPr>
          <w:rFonts w:ascii="Arial" w:hAnsi="Arial" w:cs="Arial"/>
        </w:rPr>
        <w:t xml:space="preserve">As described above, HCT facilities may report data to HRSA’s contractor more often than quarterly. </w:t>
      </w:r>
      <w:r w:rsidRPr="00374081" w:rsidR="00680B73">
        <w:rPr>
          <w:rFonts w:ascii="Arial" w:hAnsi="Arial" w:cs="Arial"/>
        </w:rPr>
        <w:t>The HCT data reporting schedule is patient-based as opposed to facility-</w:t>
      </w:r>
      <w:r w:rsidRPr="00374081" w:rsidR="00680B73">
        <w:rPr>
          <w:rFonts w:ascii="Arial" w:hAnsi="Arial" w:cs="Arial"/>
        </w:rPr>
        <w:t>based</w:t>
      </w:r>
      <w:r w:rsidR="009443F1">
        <w:rPr>
          <w:rFonts w:ascii="Arial" w:hAnsi="Arial" w:cs="Arial"/>
        </w:rPr>
        <w:t>. It follows</w:t>
      </w:r>
      <w:r w:rsidRPr="00374081" w:rsidR="00680B73">
        <w:rPr>
          <w:rFonts w:ascii="Arial" w:hAnsi="Arial" w:cs="Arial"/>
        </w:rPr>
        <w:t xml:space="preserve"> a standardized schedule</w:t>
      </w:r>
      <w:r w:rsidRPr="00374081">
        <w:rPr>
          <w:rFonts w:ascii="Arial" w:hAnsi="Arial" w:cs="Arial"/>
        </w:rPr>
        <w:t>: baseline</w:t>
      </w:r>
      <w:r w:rsidRPr="00374081" w:rsidR="00680B73">
        <w:rPr>
          <w:rFonts w:ascii="Arial" w:hAnsi="Arial" w:cs="Arial"/>
        </w:rPr>
        <w:t xml:space="preserve"> (within 30 days of HCT)</w:t>
      </w:r>
      <w:r w:rsidRPr="00374081">
        <w:rPr>
          <w:rFonts w:ascii="Arial" w:hAnsi="Arial" w:cs="Arial"/>
        </w:rPr>
        <w:t>, 100 days after HCT, 6 months after HCT, 1 year after HCT, annually for 6 years after HCT</w:t>
      </w:r>
      <w:r w:rsidR="009443F1">
        <w:rPr>
          <w:rFonts w:ascii="Arial" w:hAnsi="Arial" w:cs="Arial"/>
        </w:rPr>
        <w:t>,</w:t>
      </w:r>
      <w:r w:rsidRPr="00374081">
        <w:rPr>
          <w:rFonts w:ascii="Arial" w:hAnsi="Arial" w:cs="Arial"/>
        </w:rPr>
        <w:t xml:space="preserve"> and biennially thereafter, </w:t>
      </w:r>
      <w:r w:rsidR="00210266">
        <w:rPr>
          <w:rFonts w:ascii="Arial" w:hAnsi="Arial" w:cs="Arial"/>
        </w:rPr>
        <w:t>as well as cause of death data if the patient dies</w:t>
      </w:r>
      <w:r w:rsidRPr="00374081">
        <w:rPr>
          <w:rFonts w:ascii="Arial" w:hAnsi="Arial" w:cs="Arial"/>
        </w:rPr>
        <w:t xml:space="preserve">. </w:t>
      </w:r>
      <w:r w:rsidRPr="00374081" w:rsidR="00C91F0C">
        <w:rPr>
          <w:rFonts w:ascii="Arial" w:hAnsi="Arial" w:cs="Arial"/>
        </w:rPr>
        <w:t xml:space="preserve">The reason for this scheduling is that the timeliness of pre- and post-transplant data collection is essential to improving patient outcomes and advancing transplantation policy and science. </w:t>
      </w:r>
    </w:p>
    <w:p w:rsidR="008E0F2E" w:rsidRPr="00374081" w:rsidP="00D334AE" w14:paraId="464DCB0A" w14:textId="77777777">
      <w:pPr>
        <w:rPr>
          <w:rFonts w:ascii="Arial" w:hAnsi="Arial" w:cs="Arial"/>
          <w:sz w:val="20"/>
          <w:szCs w:val="20"/>
        </w:rPr>
      </w:pPr>
    </w:p>
    <w:p w:rsidR="0082515A" w:rsidRPr="00374081" w:rsidP="0082515A" w14:paraId="66CACBEA" w14:textId="5E887533">
      <w:pPr>
        <w:rPr>
          <w:rFonts w:ascii="Arial" w:hAnsi="Arial" w:cs="Arial"/>
        </w:rPr>
      </w:pPr>
      <w:r>
        <w:rPr>
          <w:rFonts w:ascii="Arial" w:hAnsi="Arial" w:cs="Arial"/>
        </w:rPr>
        <w:t>HRSA’s contractor is</w:t>
      </w:r>
      <w:r w:rsidRPr="009D7F03">
        <w:rPr>
          <w:rFonts w:ascii="Arial" w:hAnsi="Arial" w:cs="Arial"/>
        </w:rPr>
        <w:t xml:space="preserve"> </w:t>
      </w:r>
      <w:r>
        <w:rPr>
          <w:rFonts w:ascii="Arial" w:hAnsi="Arial" w:cs="Arial"/>
        </w:rPr>
        <w:t>making</w:t>
      </w:r>
      <w:r w:rsidRPr="009D7F03">
        <w:rPr>
          <w:rFonts w:ascii="Arial" w:hAnsi="Arial" w:cs="Arial"/>
        </w:rPr>
        <w:t xml:space="preserve"> changes per OMB new guidance for race and ethnic categories</w:t>
      </w:r>
      <w:r>
        <w:rPr>
          <w:rFonts w:ascii="Arial" w:hAnsi="Arial" w:cs="Arial"/>
        </w:rPr>
        <w:t xml:space="preserve"> as outlined in SPD-15; h</w:t>
      </w:r>
      <w:r w:rsidRPr="009D7F03">
        <w:rPr>
          <w:rFonts w:ascii="Arial" w:hAnsi="Arial" w:cs="Arial"/>
        </w:rPr>
        <w:t xml:space="preserve">owever, the </w:t>
      </w:r>
      <w:r>
        <w:rPr>
          <w:rFonts w:ascii="Arial" w:hAnsi="Arial" w:cs="Arial"/>
        </w:rPr>
        <w:t xml:space="preserve">contractor’s </w:t>
      </w:r>
      <w:r w:rsidRPr="009D7F03">
        <w:rPr>
          <w:rFonts w:ascii="Arial" w:hAnsi="Arial" w:cs="Arial"/>
        </w:rPr>
        <w:t>classification</w:t>
      </w:r>
      <w:r>
        <w:rPr>
          <w:rFonts w:ascii="Arial" w:hAnsi="Arial" w:cs="Arial"/>
        </w:rPr>
        <w:t>s</w:t>
      </w:r>
      <w:r w:rsidRPr="009D7F03">
        <w:rPr>
          <w:rFonts w:ascii="Arial" w:hAnsi="Arial" w:cs="Arial"/>
        </w:rPr>
        <w:t xml:space="preserve"> </w:t>
      </w:r>
      <w:r>
        <w:rPr>
          <w:rFonts w:ascii="Arial" w:hAnsi="Arial" w:cs="Arial"/>
        </w:rPr>
        <w:t>do</w:t>
      </w:r>
      <w:r w:rsidRPr="009D7F03">
        <w:rPr>
          <w:rFonts w:ascii="Arial" w:hAnsi="Arial" w:cs="Arial"/>
        </w:rPr>
        <w:t xml:space="preserve"> not </w:t>
      </w:r>
      <w:r w:rsidR="000920E8">
        <w:rPr>
          <w:rFonts w:ascii="Arial" w:hAnsi="Arial" w:cs="Arial"/>
        </w:rPr>
        <w:t xml:space="preserve">exactly </w:t>
      </w:r>
      <w:r w:rsidRPr="009D7F03">
        <w:rPr>
          <w:rFonts w:ascii="Arial" w:hAnsi="Arial" w:cs="Arial"/>
        </w:rPr>
        <w:t xml:space="preserve">align with OMB classification. There </w:t>
      </w:r>
      <w:r>
        <w:rPr>
          <w:rFonts w:ascii="Arial" w:hAnsi="Arial" w:cs="Arial"/>
        </w:rPr>
        <w:t>are</w:t>
      </w:r>
      <w:r w:rsidRPr="009D7F03">
        <w:rPr>
          <w:rFonts w:ascii="Arial" w:hAnsi="Arial" w:cs="Arial"/>
        </w:rPr>
        <w:t xml:space="preserve"> some </w:t>
      </w:r>
      <w:r>
        <w:rPr>
          <w:rFonts w:ascii="Arial" w:hAnsi="Arial" w:cs="Arial"/>
        </w:rPr>
        <w:t xml:space="preserve">minor </w:t>
      </w:r>
      <w:r w:rsidRPr="009D7F03">
        <w:rPr>
          <w:rFonts w:ascii="Arial" w:hAnsi="Arial" w:cs="Arial"/>
        </w:rPr>
        <w:t xml:space="preserve">discrepancies as certain </w:t>
      </w:r>
      <w:r>
        <w:rPr>
          <w:rFonts w:ascii="Arial" w:hAnsi="Arial" w:cs="Arial"/>
        </w:rPr>
        <w:t xml:space="preserve">additional detailed </w:t>
      </w:r>
      <w:r w:rsidRPr="009D7F03">
        <w:rPr>
          <w:rFonts w:ascii="Arial" w:hAnsi="Arial" w:cs="Arial"/>
        </w:rPr>
        <w:t>subcategories</w:t>
      </w:r>
      <w:r>
        <w:rPr>
          <w:rFonts w:ascii="Arial" w:hAnsi="Arial" w:cs="Arial"/>
        </w:rPr>
        <w:t xml:space="preserve"> were developed</w:t>
      </w:r>
      <w:r w:rsidRPr="009D7F03">
        <w:rPr>
          <w:rFonts w:ascii="Arial" w:hAnsi="Arial" w:cs="Arial"/>
        </w:rPr>
        <w:t xml:space="preserve"> that align with </w:t>
      </w:r>
      <w:r>
        <w:rPr>
          <w:rFonts w:ascii="Arial" w:hAnsi="Arial" w:cs="Arial"/>
        </w:rPr>
        <w:t xml:space="preserve">geographic </w:t>
      </w:r>
      <w:r w:rsidRPr="009D7F03">
        <w:rPr>
          <w:rFonts w:ascii="Arial" w:hAnsi="Arial" w:cs="Arial"/>
        </w:rPr>
        <w:t xml:space="preserve">ancestry classification. This classification is necessary for work that involves genetic </w:t>
      </w:r>
      <w:r>
        <w:rPr>
          <w:rFonts w:ascii="Arial" w:hAnsi="Arial" w:cs="Arial"/>
        </w:rPr>
        <w:t xml:space="preserve">HLA </w:t>
      </w:r>
      <w:r w:rsidRPr="009D7F03">
        <w:rPr>
          <w:rFonts w:ascii="Arial" w:hAnsi="Arial" w:cs="Arial"/>
        </w:rPr>
        <w:t>matching for patients and donors. The</w:t>
      </w:r>
      <w:r>
        <w:rPr>
          <w:rFonts w:ascii="Arial" w:hAnsi="Arial" w:cs="Arial"/>
        </w:rPr>
        <w:t>re is</w:t>
      </w:r>
      <w:r w:rsidRPr="009D7F03">
        <w:rPr>
          <w:rFonts w:ascii="Arial" w:hAnsi="Arial" w:cs="Arial"/>
        </w:rPr>
        <w:t xml:space="preserve"> a mechanism to roll up the ancestry classification</w:t>
      </w:r>
      <w:r>
        <w:rPr>
          <w:rFonts w:ascii="Arial" w:hAnsi="Arial" w:cs="Arial"/>
        </w:rPr>
        <w:t xml:space="preserve"> developed by the contractor</w:t>
      </w:r>
      <w:r w:rsidRPr="009D7F03">
        <w:rPr>
          <w:rFonts w:ascii="Arial" w:hAnsi="Arial" w:cs="Arial"/>
        </w:rPr>
        <w:t xml:space="preserve"> to </w:t>
      </w:r>
      <w:r>
        <w:rPr>
          <w:rFonts w:ascii="Arial" w:hAnsi="Arial" w:cs="Arial"/>
        </w:rPr>
        <w:t>the</w:t>
      </w:r>
      <w:r w:rsidRPr="009D7F03">
        <w:rPr>
          <w:rFonts w:ascii="Arial" w:hAnsi="Arial" w:cs="Arial"/>
        </w:rPr>
        <w:t xml:space="preserve"> OMB overall classification for race and ethnicity categories.</w:t>
      </w:r>
    </w:p>
    <w:p w:rsidR="0082515A" w:rsidP="002C0BE1" w14:paraId="06388434" w14:textId="77777777">
      <w:pPr>
        <w:rPr>
          <w:rFonts w:ascii="Arial" w:hAnsi="Arial" w:cs="Arial"/>
        </w:rPr>
      </w:pPr>
    </w:p>
    <w:p w:rsidR="00C91F0C" w:rsidRPr="00374081" w:rsidP="002C0BE1" w14:paraId="792ECF02" w14:textId="03383AE8">
      <w:pPr>
        <w:rPr>
          <w:rFonts w:ascii="Arial" w:hAnsi="Arial" w:cs="Arial"/>
        </w:rPr>
      </w:pPr>
      <w:r w:rsidRPr="00374081">
        <w:rPr>
          <w:rFonts w:ascii="Arial" w:hAnsi="Arial" w:cs="Arial"/>
        </w:rPr>
        <w:t>Other than this special circumstance described above regarding 5 CFR 1320.5(d)(2)(i), t</w:t>
      </w:r>
      <w:r w:rsidRPr="00374081">
        <w:rPr>
          <w:rFonts w:ascii="Arial" w:hAnsi="Arial" w:cs="Arial"/>
        </w:rPr>
        <w:t xml:space="preserve">here are no </w:t>
      </w:r>
      <w:r w:rsidRPr="00374081">
        <w:rPr>
          <w:rFonts w:ascii="Arial" w:hAnsi="Arial" w:cs="Arial"/>
        </w:rPr>
        <w:t>other s</w:t>
      </w:r>
      <w:r w:rsidRPr="00374081">
        <w:rPr>
          <w:rFonts w:ascii="Arial" w:hAnsi="Arial" w:cs="Arial"/>
        </w:rPr>
        <w:t>pecial circumstances that would require an information collection to be conducted in a manner that requires respondents to:</w:t>
      </w:r>
    </w:p>
    <w:p w:rsidR="00D334AE" w:rsidRPr="00374081" w:rsidP="002C0BE1" w14:paraId="1F388FE7" w14:textId="77777777">
      <w:pPr>
        <w:rPr>
          <w:rFonts w:ascii="Arial" w:hAnsi="Arial" w:cs="Arial"/>
          <w:sz w:val="20"/>
          <w:szCs w:val="20"/>
        </w:rPr>
      </w:pPr>
    </w:p>
    <w:p w:rsidR="00C91F0C" w:rsidRPr="00374081" w:rsidP="002C0BE1" w14:paraId="0E05FD74" w14:textId="0E73CAF1">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rPr>
          <w:rFonts w:ascii="Arial" w:hAnsi="Arial" w:cs="Arial"/>
          <w:sz w:val="24"/>
        </w:rPr>
      </w:pPr>
      <w:r w:rsidRPr="00374081">
        <w:rPr>
          <w:rFonts w:ascii="Arial" w:hAnsi="Arial" w:cs="Arial"/>
          <w:sz w:val="24"/>
        </w:rPr>
        <w:t xml:space="preserve">Prepare a written response to a collection of information in </w:t>
      </w:r>
      <w:r w:rsidRPr="00374081" w:rsidR="00D334AE">
        <w:rPr>
          <w:rFonts w:ascii="Arial" w:hAnsi="Arial" w:cs="Arial"/>
          <w:sz w:val="24"/>
        </w:rPr>
        <w:t>less</w:t>
      </w:r>
      <w:r w:rsidRPr="00374081">
        <w:rPr>
          <w:rFonts w:ascii="Arial" w:hAnsi="Arial" w:cs="Arial"/>
          <w:sz w:val="24"/>
        </w:rPr>
        <w:t xml:space="preserve"> than 30 days after receipt; </w:t>
      </w:r>
    </w:p>
    <w:p w:rsidR="00C91F0C" w:rsidRPr="00374081" w:rsidP="002C0BE1" w14:paraId="16D91553" w14:textId="77777777">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rFonts w:ascii="Arial" w:hAnsi="Arial" w:cs="Arial"/>
          <w:sz w:val="24"/>
        </w:rPr>
      </w:pPr>
      <w:r w:rsidRPr="00374081">
        <w:rPr>
          <w:rFonts w:ascii="Arial" w:hAnsi="Arial" w:cs="Arial"/>
          <w:sz w:val="24"/>
        </w:rPr>
        <w:t>Submit more than an original and two copies of any document;</w:t>
      </w:r>
    </w:p>
    <w:p w:rsidR="00C91F0C" w:rsidRPr="00374081" w:rsidP="002C0BE1" w14:paraId="2113BDE3" w14:textId="77777777">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rFonts w:ascii="Arial" w:hAnsi="Arial" w:cs="Arial"/>
          <w:sz w:val="24"/>
        </w:rPr>
      </w:pPr>
      <w:r w:rsidRPr="00374081">
        <w:rPr>
          <w:rFonts w:ascii="Arial" w:hAnsi="Arial" w:cs="Arial"/>
          <w:sz w:val="24"/>
        </w:rPr>
        <w:t>Retain records, other than health, medical, government contract, grant-in-aid, or tax records for more than 3 years;</w:t>
      </w:r>
    </w:p>
    <w:p w:rsidR="00C91F0C" w:rsidRPr="00374081" w:rsidP="002C0BE1" w14:paraId="0D6871CE" w14:textId="77777777">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rFonts w:ascii="Arial" w:hAnsi="Arial" w:cs="Arial"/>
          <w:sz w:val="24"/>
        </w:rPr>
      </w:pPr>
      <w:r w:rsidRPr="00374081">
        <w:rPr>
          <w:rFonts w:ascii="Arial" w:hAnsi="Arial" w:cs="Arial"/>
          <w:sz w:val="24"/>
        </w:rPr>
        <w:t>Collect data in connection with a statistical survey that is not designed to produce valid and reliable results that can be generalized to the universe of study;</w:t>
      </w:r>
    </w:p>
    <w:p w:rsidR="00C91F0C" w:rsidRPr="00374081" w:rsidP="002C0BE1" w14:paraId="7AE2921F" w14:textId="77777777">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rFonts w:ascii="Arial" w:hAnsi="Arial" w:cs="Arial"/>
          <w:sz w:val="24"/>
        </w:rPr>
      </w:pPr>
      <w:r w:rsidRPr="00374081">
        <w:rPr>
          <w:rFonts w:ascii="Arial" w:hAnsi="Arial" w:cs="Arial"/>
          <w:sz w:val="24"/>
        </w:rPr>
        <w:t>Use a statistical data classification that has not been reviewed and approved by OMB;</w:t>
      </w:r>
    </w:p>
    <w:p w:rsidR="00C91F0C" w:rsidRPr="00374081" w:rsidP="002C0BE1" w14:paraId="610CA87E" w14:textId="77777777">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rFonts w:ascii="Arial" w:hAnsi="Arial" w:cs="Arial"/>
          <w:sz w:val="24"/>
        </w:rPr>
      </w:pPr>
      <w:r w:rsidRPr="00374081">
        <w:rPr>
          <w:rFonts w:ascii="Arial" w:hAnsi="Arial" w:cs="Arial"/>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91F0C" w:rsidRPr="00374081" w:rsidP="00D334AE" w14:paraId="3DA8E614" w14:textId="57F55E8B">
      <w:pPr>
        <w:pStyle w:val="MediumGrid1-Accent21"/>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right="-180"/>
        <w:rPr>
          <w:rFonts w:ascii="Arial" w:hAnsi="Arial" w:cs="Arial"/>
          <w:sz w:val="24"/>
        </w:rPr>
      </w:pPr>
      <w:r w:rsidRPr="00374081">
        <w:rPr>
          <w:rFonts w:ascii="Arial" w:hAnsi="Arial" w:cs="Arial"/>
          <w:sz w:val="24"/>
        </w:rPr>
        <w:t>Submit proprietary trade secret, or other confidential information unless the agency can demonstrate that it has instituted procedures to protect the information's confidentiality to the extent permitted by law.</w:t>
      </w:r>
    </w:p>
    <w:p w:rsidR="00D334AE" w:rsidRPr="00374081" w:rsidP="00D334AE" w14:paraId="7B38F23A" w14:textId="77777777">
      <w:pPr>
        <w:pStyle w:val="MediumGrid1-Accent21"/>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0"/>
        </w:rPr>
      </w:pPr>
    </w:p>
    <w:p w:rsidR="001214E5" w:rsidRPr="00374081" w:rsidP="00006986" w14:paraId="2C7A216E" w14:textId="3F979BF2">
      <w:pPr>
        <w:numPr>
          <w:ilvl w:val="1"/>
          <w:numId w:val="2"/>
        </w:numPr>
        <w:ind w:left="450" w:hanging="435"/>
        <w:rPr>
          <w:rFonts w:ascii="Arial" w:hAnsi="Arial" w:cs="Arial"/>
          <w:u w:val="single"/>
        </w:rPr>
      </w:pPr>
      <w:r w:rsidRPr="00374081">
        <w:rPr>
          <w:rFonts w:ascii="Arial" w:hAnsi="Arial" w:cs="Arial"/>
          <w:b/>
          <w:u w:val="single"/>
        </w:rPr>
        <w:t>Comments in Response to the Federal Register Notice/Outside Consultation</w:t>
      </w:r>
      <w:r w:rsidR="00374081">
        <w:rPr>
          <w:rFonts w:ascii="Arial" w:hAnsi="Arial" w:cs="Arial"/>
          <w:b/>
          <w:u w:val="single"/>
        </w:rPr>
        <w:t xml:space="preserve"> </w:t>
      </w:r>
    </w:p>
    <w:p w:rsidR="00006986" w:rsidRPr="00374081" w:rsidP="00006986" w14:paraId="78C51F79" w14:textId="77777777">
      <w:pPr>
        <w:ind w:left="450"/>
        <w:rPr>
          <w:rFonts w:ascii="Arial" w:hAnsi="Arial" w:cs="Arial"/>
          <w:sz w:val="20"/>
          <w:szCs w:val="20"/>
        </w:rPr>
      </w:pPr>
    </w:p>
    <w:p w:rsidR="001214E5" w:rsidRPr="00374081" w:rsidP="00006986" w14:paraId="64613354" w14:textId="3D555B7E">
      <w:pPr>
        <w:rPr>
          <w:rFonts w:ascii="Arial" w:hAnsi="Arial" w:cs="Arial"/>
          <w:b/>
        </w:rPr>
      </w:pPr>
      <w:r w:rsidRPr="00374081">
        <w:rPr>
          <w:rFonts w:ascii="Arial" w:hAnsi="Arial" w:cs="Arial"/>
          <w:b/>
          <w:sz w:val="28"/>
          <w:szCs w:val="28"/>
        </w:rPr>
        <w:t>Section 8A:</w:t>
      </w:r>
    </w:p>
    <w:p w:rsidR="00006986" w:rsidRPr="00374081" w:rsidP="00006986" w14:paraId="0EA3D867" w14:textId="77777777">
      <w:pPr>
        <w:rPr>
          <w:rFonts w:ascii="Arial" w:hAnsi="Arial" w:cs="Arial"/>
          <w:b/>
          <w:sz w:val="20"/>
          <w:szCs w:val="20"/>
        </w:rPr>
      </w:pPr>
    </w:p>
    <w:p w:rsidR="001214E5" w:rsidP="00006986" w14:paraId="7FFB0A75" w14:textId="48B5638A">
      <w:pPr>
        <w:ind w:left="-5"/>
        <w:rPr>
          <w:rFonts w:ascii="Arial" w:hAnsi="Arial" w:cs="Arial"/>
        </w:rPr>
      </w:pPr>
      <w:r w:rsidRPr="00374081">
        <w:rPr>
          <w:rFonts w:ascii="Arial" w:hAnsi="Arial" w:cs="Arial"/>
        </w:rPr>
        <w:t xml:space="preserve">The 60-day notice required in 5 CFR 1320.8(d) was published in the </w:t>
      </w:r>
      <w:r w:rsidRPr="00374081">
        <w:rPr>
          <w:rFonts w:ascii="Arial" w:hAnsi="Arial" w:cs="Arial"/>
          <w:i/>
        </w:rPr>
        <w:t>Federal Register</w:t>
      </w:r>
      <w:r w:rsidRPr="00374081">
        <w:rPr>
          <w:rFonts w:ascii="Arial" w:hAnsi="Arial" w:cs="Arial"/>
        </w:rPr>
        <w:t xml:space="preserve"> on </w:t>
      </w:r>
      <w:r w:rsidRPr="00374081" w:rsidR="00A23B22">
        <w:rPr>
          <w:rFonts w:ascii="Arial" w:hAnsi="Arial" w:cs="Arial"/>
        </w:rPr>
        <w:t>May 16</w:t>
      </w:r>
      <w:r w:rsidRPr="00374081" w:rsidR="00FC57D9">
        <w:rPr>
          <w:rFonts w:ascii="Arial" w:hAnsi="Arial" w:cs="Arial"/>
        </w:rPr>
        <w:t xml:space="preserve">, </w:t>
      </w:r>
      <w:r w:rsidRPr="00374081" w:rsidR="0000485D">
        <w:rPr>
          <w:rFonts w:ascii="Arial" w:hAnsi="Arial" w:cs="Arial"/>
        </w:rPr>
        <w:t>202</w:t>
      </w:r>
      <w:r w:rsidRPr="00374081" w:rsidR="00A23B22">
        <w:rPr>
          <w:rFonts w:ascii="Arial" w:hAnsi="Arial" w:cs="Arial"/>
        </w:rPr>
        <w:t>5</w:t>
      </w:r>
      <w:r w:rsidRPr="00374081">
        <w:rPr>
          <w:rFonts w:ascii="Arial" w:hAnsi="Arial" w:cs="Arial"/>
        </w:rPr>
        <w:t xml:space="preserve"> (Volume </w:t>
      </w:r>
      <w:r w:rsidRPr="00374081" w:rsidR="00A23B22">
        <w:rPr>
          <w:rFonts w:ascii="Arial" w:hAnsi="Arial" w:cs="Arial"/>
        </w:rPr>
        <w:t>90</w:t>
      </w:r>
      <w:r w:rsidRPr="00374081">
        <w:rPr>
          <w:rFonts w:ascii="Arial" w:hAnsi="Arial" w:cs="Arial"/>
        </w:rPr>
        <w:t xml:space="preserve">, Number </w:t>
      </w:r>
      <w:r w:rsidRPr="00374081" w:rsidR="00A23B22">
        <w:rPr>
          <w:rFonts w:ascii="Arial" w:hAnsi="Arial" w:cs="Arial"/>
        </w:rPr>
        <w:t>94</w:t>
      </w:r>
      <w:r w:rsidRPr="00374081">
        <w:rPr>
          <w:rFonts w:ascii="Arial" w:hAnsi="Arial" w:cs="Arial"/>
        </w:rPr>
        <w:t xml:space="preserve">, Pages </w:t>
      </w:r>
      <w:r w:rsidRPr="00374081" w:rsidR="00A23B22">
        <w:rPr>
          <w:rFonts w:ascii="Arial" w:hAnsi="Arial" w:cs="Arial"/>
        </w:rPr>
        <w:t>21049-21051</w:t>
      </w:r>
      <w:r w:rsidRPr="00374081" w:rsidR="001A2FAA">
        <w:rPr>
          <w:rFonts w:ascii="Arial" w:hAnsi="Arial" w:cs="Arial"/>
        </w:rPr>
        <w:t>)</w:t>
      </w:r>
      <w:r w:rsidRPr="00374081">
        <w:rPr>
          <w:rFonts w:ascii="Arial" w:hAnsi="Arial" w:cs="Arial"/>
        </w:rPr>
        <w:t>.</w:t>
      </w:r>
      <w:r w:rsidR="00374081">
        <w:rPr>
          <w:rFonts w:ascii="Arial" w:hAnsi="Arial" w:cs="Arial"/>
        </w:rPr>
        <w:t xml:space="preserve"> </w:t>
      </w:r>
      <w:r w:rsidRPr="00BD18FF">
        <w:rPr>
          <w:rFonts w:ascii="Arial" w:hAnsi="Arial" w:cs="Arial"/>
        </w:rPr>
        <w:t xml:space="preserve">No comments were received. </w:t>
      </w:r>
    </w:p>
    <w:p w:rsidR="00BD18FF" w:rsidRPr="00374081" w:rsidP="00BD18FF" w14:paraId="1E69F49B" w14:textId="7749EC3C">
      <w:pPr>
        <w:ind w:left="-5"/>
        <w:rPr>
          <w:rFonts w:ascii="Arial" w:hAnsi="Arial" w:cs="Arial"/>
        </w:rPr>
      </w:pPr>
      <w:r w:rsidRPr="00374081">
        <w:rPr>
          <w:rFonts w:ascii="Arial" w:hAnsi="Arial" w:cs="Arial"/>
        </w:rPr>
        <w:t xml:space="preserve">The </w:t>
      </w:r>
      <w:r>
        <w:rPr>
          <w:rFonts w:ascii="Arial" w:hAnsi="Arial" w:cs="Arial"/>
        </w:rPr>
        <w:t>30</w:t>
      </w:r>
      <w:r w:rsidRPr="00374081">
        <w:rPr>
          <w:rFonts w:ascii="Arial" w:hAnsi="Arial" w:cs="Arial"/>
        </w:rPr>
        <w:t xml:space="preserve">-day notice required in 5 CFR 1320.8(d) was published in the </w:t>
      </w:r>
      <w:r w:rsidRPr="00374081">
        <w:rPr>
          <w:rFonts w:ascii="Arial" w:hAnsi="Arial" w:cs="Arial"/>
          <w:i/>
        </w:rPr>
        <w:t>Federal Register</w:t>
      </w:r>
      <w:r w:rsidRPr="00374081">
        <w:rPr>
          <w:rFonts w:ascii="Arial" w:hAnsi="Arial" w:cs="Arial"/>
        </w:rPr>
        <w:t xml:space="preserve"> on </w:t>
      </w:r>
      <w:r>
        <w:rPr>
          <w:rFonts w:ascii="Arial" w:hAnsi="Arial" w:cs="Arial"/>
        </w:rPr>
        <w:t>July 30, 2025</w:t>
      </w:r>
      <w:r w:rsidRPr="00374081">
        <w:rPr>
          <w:rFonts w:ascii="Arial" w:hAnsi="Arial" w:cs="Arial"/>
        </w:rPr>
        <w:t xml:space="preserve"> (Volume 90, Number </w:t>
      </w:r>
      <w:r>
        <w:rPr>
          <w:rFonts w:ascii="Arial" w:hAnsi="Arial" w:cs="Arial"/>
        </w:rPr>
        <w:t>144</w:t>
      </w:r>
      <w:r w:rsidRPr="00374081">
        <w:rPr>
          <w:rFonts w:ascii="Arial" w:hAnsi="Arial" w:cs="Arial"/>
        </w:rPr>
        <w:t xml:space="preserve">, Pages </w:t>
      </w:r>
      <w:r>
        <w:rPr>
          <w:rFonts w:ascii="Arial" w:hAnsi="Arial" w:cs="Arial"/>
        </w:rPr>
        <w:t>35913-35914</w:t>
      </w:r>
      <w:r w:rsidRPr="00374081">
        <w:rPr>
          <w:rFonts w:ascii="Arial" w:hAnsi="Arial" w:cs="Arial"/>
        </w:rPr>
        <w:t>).</w:t>
      </w:r>
      <w:r>
        <w:rPr>
          <w:rFonts w:ascii="Arial" w:hAnsi="Arial" w:cs="Arial"/>
        </w:rPr>
        <w:t xml:space="preserve"> </w:t>
      </w:r>
    </w:p>
    <w:p w:rsidR="00BD18FF" w:rsidRPr="00374081" w:rsidP="00006986" w14:paraId="2C499871" w14:textId="77777777">
      <w:pPr>
        <w:ind w:left="-5"/>
        <w:rPr>
          <w:rFonts w:ascii="Arial" w:hAnsi="Arial" w:cs="Arial"/>
        </w:rPr>
      </w:pPr>
    </w:p>
    <w:p w:rsidR="001214E5" w:rsidRPr="00374081" w:rsidP="00006986" w14:paraId="5CCD2EC0" w14:textId="50F78197">
      <w:pPr>
        <w:rPr>
          <w:rFonts w:ascii="Arial" w:hAnsi="Arial" w:cs="Arial"/>
          <w:sz w:val="20"/>
          <w:szCs w:val="20"/>
        </w:rPr>
      </w:pPr>
      <w:r w:rsidRPr="00374081">
        <w:rPr>
          <w:rFonts w:ascii="Arial" w:hAnsi="Arial" w:cs="Arial"/>
        </w:rPr>
        <w:t xml:space="preserve"> </w:t>
      </w:r>
    </w:p>
    <w:p w:rsidR="006B0427" w:rsidRPr="00374081" w:rsidP="00006986" w14:paraId="423363AF" w14:textId="775B27C0">
      <w:pPr>
        <w:rPr>
          <w:rFonts w:ascii="Arial" w:hAnsi="Arial" w:cs="Arial"/>
          <w:b/>
          <w:sz w:val="28"/>
          <w:szCs w:val="28"/>
        </w:rPr>
      </w:pPr>
      <w:r w:rsidRPr="00374081">
        <w:rPr>
          <w:rFonts w:ascii="Arial" w:hAnsi="Arial" w:cs="Arial"/>
          <w:b/>
          <w:sz w:val="28"/>
          <w:szCs w:val="28"/>
        </w:rPr>
        <w:t>Section 8B:</w:t>
      </w:r>
    </w:p>
    <w:p w:rsidR="0002636F" w:rsidRPr="00374081" w:rsidP="00006986" w14:paraId="7F10F405" w14:textId="77777777">
      <w:pPr>
        <w:rPr>
          <w:rFonts w:ascii="Arial" w:hAnsi="Arial" w:cs="Arial"/>
          <w:b/>
          <w:sz w:val="20"/>
          <w:szCs w:val="20"/>
        </w:rPr>
      </w:pPr>
    </w:p>
    <w:p w:rsidR="001A2FAA" w:rsidRPr="00374081" w:rsidP="001A2FAA" w14:paraId="2BFFE48C" w14:textId="112499AE">
      <w:pPr>
        <w:ind w:left="-5"/>
        <w:rPr>
          <w:rFonts w:ascii="Arial" w:hAnsi="Arial" w:cs="Arial"/>
        </w:rPr>
      </w:pPr>
      <w:r w:rsidRPr="00374081">
        <w:rPr>
          <w:rFonts w:ascii="Arial" w:hAnsi="Arial" w:cs="Arial"/>
        </w:rPr>
        <w:t xml:space="preserve">HRSA and its SCTOD contractor </w:t>
      </w:r>
      <w:r w:rsidRPr="00374081" w:rsidR="00090CCA">
        <w:rPr>
          <w:rFonts w:ascii="Arial" w:hAnsi="Arial" w:cs="Arial"/>
        </w:rPr>
        <w:t xml:space="preserve">regularly </w:t>
      </w:r>
      <w:r w:rsidRPr="00374081">
        <w:rPr>
          <w:rFonts w:ascii="Arial" w:hAnsi="Arial" w:cs="Arial"/>
        </w:rPr>
        <w:t xml:space="preserve">consult with </w:t>
      </w:r>
      <w:r w:rsidRPr="00374081" w:rsidR="00090CCA">
        <w:rPr>
          <w:rFonts w:ascii="Arial" w:hAnsi="Arial" w:cs="Arial"/>
        </w:rPr>
        <w:t xml:space="preserve">outside </w:t>
      </w:r>
      <w:r w:rsidRPr="00374081">
        <w:rPr>
          <w:rFonts w:ascii="Arial" w:hAnsi="Arial" w:cs="Arial"/>
        </w:rPr>
        <w:t xml:space="preserve">persons </w:t>
      </w:r>
      <w:r w:rsidRPr="00374081" w:rsidR="00090CCA">
        <w:rPr>
          <w:rFonts w:ascii="Arial" w:hAnsi="Arial" w:cs="Arial"/>
        </w:rPr>
        <w:t>t</w:t>
      </w:r>
      <w:r w:rsidRPr="00374081">
        <w:rPr>
          <w:rFonts w:ascii="Arial" w:hAnsi="Arial" w:cs="Arial"/>
        </w:rPr>
        <w:t xml:space="preserve">o obtain their views on the </w:t>
      </w:r>
      <w:r w:rsidRPr="00374081" w:rsidR="0021508D">
        <w:rPr>
          <w:rFonts w:ascii="Arial" w:hAnsi="Arial" w:cs="Arial"/>
        </w:rPr>
        <w:t xml:space="preserve">data collected, including consideration of data </w:t>
      </w:r>
      <w:r w:rsidRPr="00374081">
        <w:rPr>
          <w:rFonts w:ascii="Arial" w:hAnsi="Arial" w:cs="Arial"/>
        </w:rPr>
        <w:t>availability</w:t>
      </w:r>
      <w:r w:rsidRPr="00374081" w:rsidR="0021508D">
        <w:rPr>
          <w:rFonts w:ascii="Arial" w:hAnsi="Arial" w:cs="Arial"/>
        </w:rPr>
        <w:t xml:space="preserve">, data frequency, </w:t>
      </w:r>
      <w:r w:rsidRPr="00374081">
        <w:rPr>
          <w:rFonts w:ascii="Arial" w:hAnsi="Arial" w:cs="Arial"/>
        </w:rPr>
        <w:t xml:space="preserve">instructions, </w:t>
      </w:r>
      <w:r w:rsidRPr="00374081" w:rsidR="0021508D">
        <w:rPr>
          <w:rFonts w:ascii="Arial" w:hAnsi="Arial" w:cs="Arial"/>
        </w:rPr>
        <w:t xml:space="preserve">data dictionaries, </w:t>
      </w:r>
      <w:r w:rsidRPr="00374081" w:rsidR="00090CCA">
        <w:rPr>
          <w:rFonts w:ascii="Arial" w:hAnsi="Arial" w:cs="Arial"/>
        </w:rPr>
        <w:t xml:space="preserve">reporting, </w:t>
      </w:r>
      <w:r w:rsidRPr="00374081" w:rsidR="0021508D">
        <w:rPr>
          <w:rFonts w:ascii="Arial" w:hAnsi="Arial" w:cs="Arial"/>
        </w:rPr>
        <w:t xml:space="preserve">and </w:t>
      </w:r>
      <w:r w:rsidRPr="00374081">
        <w:rPr>
          <w:rFonts w:ascii="Arial" w:hAnsi="Arial" w:cs="Arial"/>
        </w:rPr>
        <w:t>disclosure</w:t>
      </w:r>
      <w:r w:rsidRPr="00374081" w:rsidR="00090CCA">
        <w:rPr>
          <w:rFonts w:ascii="Arial" w:hAnsi="Arial" w:cs="Arial"/>
        </w:rPr>
        <w:t>s</w:t>
      </w:r>
      <w:r w:rsidRPr="00374081">
        <w:rPr>
          <w:rFonts w:ascii="Arial" w:hAnsi="Arial" w:cs="Arial"/>
        </w:rPr>
        <w:t xml:space="preserve">. These data, </w:t>
      </w:r>
      <w:r w:rsidR="00210266">
        <w:rPr>
          <w:rFonts w:ascii="Arial" w:hAnsi="Arial" w:cs="Arial"/>
        </w:rPr>
        <w:t xml:space="preserve">along with their corresponding data collection periods, represent a consensus-based solution to balancing the </w:t>
      </w:r>
      <w:r w:rsidRPr="00374081">
        <w:rPr>
          <w:rFonts w:ascii="Arial" w:hAnsi="Arial" w:cs="Arial"/>
        </w:rPr>
        <w:t xml:space="preserve">reporting burden with statutory requirements. Facilities </w:t>
      </w:r>
      <w:r w:rsidR="00210266">
        <w:rPr>
          <w:rFonts w:ascii="Arial" w:hAnsi="Arial" w:cs="Arial"/>
        </w:rPr>
        <w:t>that</w:t>
      </w:r>
      <w:r w:rsidRPr="00374081" w:rsidR="00210266">
        <w:rPr>
          <w:rFonts w:ascii="Arial" w:hAnsi="Arial" w:cs="Arial"/>
        </w:rPr>
        <w:t xml:space="preserve"> </w:t>
      </w:r>
      <w:r w:rsidRPr="00374081">
        <w:rPr>
          <w:rFonts w:ascii="Arial" w:hAnsi="Arial" w:cs="Arial"/>
        </w:rPr>
        <w:t xml:space="preserve">submit data to the SCTOD are regularly consulted regarding any improvements and changes in data collection [See Section B.3. Use of Improved Information Technology]. </w:t>
      </w:r>
    </w:p>
    <w:p w:rsidR="001A2FAA" w:rsidRPr="00374081" w:rsidP="001A2FAA" w14:paraId="0DD19C18" w14:textId="77777777">
      <w:pPr>
        <w:ind w:left="-5"/>
        <w:rPr>
          <w:rFonts w:ascii="Arial" w:hAnsi="Arial" w:cs="Arial"/>
          <w:sz w:val="20"/>
          <w:szCs w:val="20"/>
        </w:rPr>
      </w:pPr>
    </w:p>
    <w:p w:rsidR="001A2FAA" w:rsidRPr="00374081" w:rsidP="001A2FAA" w14:paraId="4DEA3F8B" w14:textId="53252497">
      <w:pPr>
        <w:ind w:left="-5"/>
        <w:rPr>
          <w:rFonts w:ascii="Arial" w:hAnsi="Arial" w:cs="Arial"/>
        </w:rPr>
      </w:pPr>
      <w:r w:rsidRPr="00374081">
        <w:rPr>
          <w:rFonts w:ascii="Arial" w:hAnsi="Arial" w:cs="Arial"/>
        </w:rPr>
        <w:t>The SCTOD contractor holds an annual Clinical Research Professionals / Data Management conference and a bi-annual Center Outcomes Forum. At these conferences, transplant physicians and center directors, the ASTCT, governmental funding agencies, patients, private payers, and statisticians are consulted regarding data collection and outcomes reporting.</w:t>
      </w:r>
      <w:r>
        <w:rPr>
          <w:rStyle w:val="FootnoteReference"/>
          <w:rFonts w:ascii="Arial" w:hAnsi="Arial" w:cs="Arial"/>
          <w:vertAlign w:val="superscript"/>
        </w:rPr>
        <w:footnoteReference w:id="39"/>
      </w:r>
    </w:p>
    <w:p w:rsidR="001A2FAA" w:rsidRPr="00374081" w:rsidP="00006986" w14:paraId="146FE133" w14:textId="77777777">
      <w:pPr>
        <w:ind w:left="-5"/>
        <w:rPr>
          <w:rFonts w:ascii="Arial" w:hAnsi="Arial" w:cs="Arial"/>
          <w:sz w:val="20"/>
          <w:szCs w:val="20"/>
        </w:rPr>
      </w:pPr>
    </w:p>
    <w:p w:rsidR="00EA717B" w:rsidRPr="00374081" w:rsidP="00006986" w14:paraId="73DFA6E1" w14:textId="442874F0">
      <w:pPr>
        <w:ind w:left="-5"/>
        <w:rPr>
          <w:rFonts w:ascii="Arial" w:hAnsi="Arial" w:cs="Arial"/>
        </w:rPr>
      </w:pPr>
      <w:r w:rsidRPr="00374081">
        <w:rPr>
          <w:rFonts w:ascii="Arial" w:hAnsi="Arial" w:cs="Arial"/>
        </w:rPr>
        <w:t>Data collection instruments are reviewed on an established timeline</w:t>
      </w:r>
      <w:r w:rsidRPr="00374081" w:rsidR="00BB0D0F">
        <w:rPr>
          <w:rFonts w:ascii="Arial" w:hAnsi="Arial" w:cs="Arial"/>
        </w:rPr>
        <w:t xml:space="preserve">, at least </w:t>
      </w:r>
      <w:r w:rsidRPr="00374081" w:rsidR="00AA5170">
        <w:rPr>
          <w:rFonts w:ascii="Arial" w:hAnsi="Arial" w:cs="Arial"/>
        </w:rPr>
        <w:t xml:space="preserve">once </w:t>
      </w:r>
      <w:r w:rsidRPr="00374081" w:rsidR="00BB0D0F">
        <w:rPr>
          <w:rFonts w:ascii="Arial" w:hAnsi="Arial" w:cs="Arial"/>
        </w:rPr>
        <w:t>every three years,</w:t>
      </w:r>
      <w:r w:rsidRPr="00374081">
        <w:rPr>
          <w:rFonts w:ascii="Arial" w:hAnsi="Arial" w:cs="Arial"/>
        </w:rPr>
        <w:t xml:space="preserve"> to ensure that the most relevant data are being collected.</w:t>
      </w:r>
      <w:r w:rsidR="00374081">
        <w:rPr>
          <w:rFonts w:ascii="Arial" w:hAnsi="Arial" w:cs="Arial"/>
        </w:rPr>
        <w:t xml:space="preserve"> </w:t>
      </w:r>
      <w:r w:rsidRPr="00374081">
        <w:rPr>
          <w:rFonts w:ascii="Arial" w:hAnsi="Arial" w:cs="Arial"/>
        </w:rPr>
        <w:t xml:space="preserve">Broad stakeholder participation in this process is accomplished through </w:t>
      </w:r>
      <w:r w:rsidRPr="00374081" w:rsidR="00D031E3">
        <w:rPr>
          <w:rFonts w:ascii="Arial" w:hAnsi="Arial" w:cs="Arial"/>
        </w:rPr>
        <w:t>engagement of da</w:t>
      </w:r>
      <w:r w:rsidRPr="00374081" w:rsidR="00B21F66">
        <w:rPr>
          <w:rFonts w:ascii="Arial" w:hAnsi="Arial" w:cs="Arial"/>
        </w:rPr>
        <w:t xml:space="preserve">ta professionals at participating centers and </w:t>
      </w:r>
      <w:r w:rsidRPr="00374081">
        <w:rPr>
          <w:rFonts w:ascii="Arial" w:hAnsi="Arial" w:cs="Arial"/>
        </w:rPr>
        <w:t xml:space="preserve">the Working Committees established by the SCTOD contractor, </w:t>
      </w:r>
      <w:r w:rsidR="00210266">
        <w:rPr>
          <w:rFonts w:ascii="Arial" w:hAnsi="Arial" w:cs="Arial"/>
        </w:rPr>
        <w:t>which</w:t>
      </w:r>
      <w:r w:rsidRPr="00374081" w:rsidR="00210266">
        <w:rPr>
          <w:rFonts w:ascii="Arial" w:hAnsi="Arial" w:cs="Arial"/>
        </w:rPr>
        <w:t xml:space="preserve"> </w:t>
      </w:r>
      <w:r w:rsidRPr="00374081" w:rsidR="00AA5170">
        <w:rPr>
          <w:rFonts w:ascii="Arial" w:hAnsi="Arial" w:cs="Arial"/>
        </w:rPr>
        <w:t xml:space="preserve">include </w:t>
      </w:r>
      <w:r w:rsidRPr="00374081">
        <w:rPr>
          <w:rFonts w:ascii="Arial" w:hAnsi="Arial" w:cs="Arial"/>
        </w:rPr>
        <w:t xml:space="preserve">cord blood banks, other CWBYCTP contractors, </w:t>
      </w:r>
      <w:r w:rsidRPr="00374081" w:rsidR="00AA5170">
        <w:rPr>
          <w:rFonts w:ascii="Arial" w:hAnsi="Arial" w:cs="Arial"/>
        </w:rPr>
        <w:t xml:space="preserve">HCT facilities, </w:t>
      </w:r>
      <w:r w:rsidRPr="00374081">
        <w:rPr>
          <w:rFonts w:ascii="Arial" w:hAnsi="Arial" w:cs="Arial"/>
        </w:rPr>
        <w:t xml:space="preserve">and </w:t>
      </w:r>
      <w:r w:rsidRPr="00374081" w:rsidR="00AA5170">
        <w:rPr>
          <w:rFonts w:ascii="Arial" w:hAnsi="Arial" w:cs="Arial"/>
        </w:rPr>
        <w:t xml:space="preserve">other stakeholders such as </w:t>
      </w:r>
      <w:r w:rsidRPr="00374081" w:rsidR="006C7702">
        <w:rPr>
          <w:rFonts w:ascii="Arial" w:hAnsi="Arial" w:cs="Arial"/>
        </w:rPr>
        <w:t>the European Group for Blood and Marrow Transplantation (EBMT)</w:t>
      </w:r>
      <w:r w:rsidRPr="00374081">
        <w:rPr>
          <w:rFonts w:ascii="Arial" w:hAnsi="Arial" w:cs="Arial"/>
        </w:rPr>
        <w:t xml:space="preserve">, </w:t>
      </w:r>
      <w:r w:rsidRPr="00374081" w:rsidR="006C7702">
        <w:rPr>
          <w:rFonts w:ascii="Arial" w:hAnsi="Arial" w:cs="Arial"/>
        </w:rPr>
        <w:t>the Worldwide Network for Blood and Marrow Transplantation (WBMT)</w:t>
      </w:r>
      <w:r w:rsidRPr="00374081">
        <w:rPr>
          <w:rFonts w:ascii="Arial" w:hAnsi="Arial" w:cs="Arial"/>
        </w:rPr>
        <w:t>, AS</w:t>
      </w:r>
      <w:r w:rsidRPr="00374081" w:rsidR="002171D5">
        <w:rPr>
          <w:rFonts w:ascii="Arial" w:hAnsi="Arial" w:cs="Arial"/>
        </w:rPr>
        <w:t>TCT</w:t>
      </w:r>
      <w:r w:rsidRPr="00374081" w:rsidR="006C7702">
        <w:rPr>
          <w:rFonts w:ascii="Arial" w:hAnsi="Arial" w:cs="Arial"/>
        </w:rPr>
        <w:t>,</w:t>
      </w:r>
      <w:r w:rsidRPr="00374081">
        <w:rPr>
          <w:rFonts w:ascii="Arial" w:hAnsi="Arial" w:cs="Arial"/>
        </w:rPr>
        <w:t xml:space="preserve"> and </w:t>
      </w:r>
      <w:r w:rsidRPr="00374081" w:rsidR="006C7702">
        <w:rPr>
          <w:rFonts w:ascii="Arial" w:hAnsi="Arial" w:cs="Arial"/>
        </w:rPr>
        <w:t>the Foundation for the Accreditation of Cellular Therapy (FACT)</w:t>
      </w:r>
      <w:r w:rsidRPr="00374081">
        <w:rPr>
          <w:rFonts w:ascii="Arial" w:hAnsi="Arial" w:cs="Arial"/>
        </w:rPr>
        <w:t xml:space="preserve">. </w:t>
      </w:r>
    </w:p>
    <w:p w:rsidR="00A62549" w:rsidRPr="00374081" w:rsidP="00006986" w14:paraId="273A536E" w14:textId="77777777">
      <w:pPr>
        <w:ind w:left="-5"/>
        <w:rPr>
          <w:rFonts w:ascii="Arial" w:hAnsi="Arial" w:cs="Arial"/>
          <w:sz w:val="20"/>
          <w:szCs w:val="20"/>
        </w:rPr>
      </w:pPr>
    </w:p>
    <w:p w:rsidR="001214E5" w:rsidRPr="00374081" w:rsidP="00006986" w14:paraId="6ED5DA42" w14:textId="1B436FFC">
      <w:pPr>
        <w:ind w:left="-5"/>
        <w:rPr>
          <w:rFonts w:ascii="Arial" w:hAnsi="Arial" w:cs="Arial"/>
        </w:rPr>
      </w:pPr>
      <w:r w:rsidRPr="00374081">
        <w:rPr>
          <w:rFonts w:ascii="Arial" w:hAnsi="Arial" w:cs="Arial"/>
        </w:rPr>
        <w:t xml:space="preserve">HRSA and its SCTOD contractor </w:t>
      </w:r>
      <w:r w:rsidRPr="00374081">
        <w:rPr>
          <w:rFonts w:ascii="Arial" w:hAnsi="Arial" w:cs="Arial"/>
        </w:rPr>
        <w:t xml:space="preserve">promote international harmonization of HCT data standards </w:t>
      </w:r>
      <w:r w:rsidRPr="00374081">
        <w:rPr>
          <w:rFonts w:ascii="Arial" w:hAnsi="Arial" w:cs="Arial"/>
        </w:rPr>
        <w:t xml:space="preserve">by participating </w:t>
      </w:r>
      <w:r w:rsidRPr="00374081">
        <w:rPr>
          <w:rFonts w:ascii="Arial" w:hAnsi="Arial" w:cs="Arial"/>
        </w:rPr>
        <w:t xml:space="preserve">in </w:t>
      </w:r>
      <w:r w:rsidRPr="00374081" w:rsidR="004005C3">
        <w:rPr>
          <w:rFonts w:ascii="Arial" w:hAnsi="Arial" w:cs="Arial"/>
        </w:rPr>
        <w:t>periodic data standards reviews with o</w:t>
      </w:r>
      <w:r w:rsidRPr="00374081" w:rsidR="00ED2E60">
        <w:rPr>
          <w:rFonts w:ascii="Arial" w:hAnsi="Arial" w:cs="Arial"/>
        </w:rPr>
        <w:t>ther international registries</w:t>
      </w:r>
      <w:r w:rsidR="00210266">
        <w:rPr>
          <w:rFonts w:ascii="Arial" w:hAnsi="Arial" w:cs="Arial"/>
        </w:rPr>
        <w:t>,</w:t>
      </w:r>
      <w:r w:rsidRPr="00374081" w:rsidR="00ED2E60">
        <w:rPr>
          <w:rFonts w:ascii="Arial" w:hAnsi="Arial" w:cs="Arial"/>
        </w:rPr>
        <w:t xml:space="preserve"> including the </w:t>
      </w:r>
      <w:r w:rsidR="00210266">
        <w:rPr>
          <w:rFonts w:ascii="Arial" w:hAnsi="Arial" w:cs="Arial"/>
        </w:rPr>
        <w:t>European Blood and Marrow Transplantation (EBMT)</w:t>
      </w:r>
      <w:r w:rsidRPr="00374081" w:rsidR="00ED2E60">
        <w:rPr>
          <w:rFonts w:ascii="Arial" w:hAnsi="Arial" w:cs="Arial"/>
        </w:rPr>
        <w:t xml:space="preserve">. </w:t>
      </w:r>
      <w:r w:rsidR="00210266">
        <w:rPr>
          <w:rFonts w:ascii="Arial" w:hAnsi="Arial" w:cs="Arial"/>
        </w:rPr>
        <w:t>The broad acceptance of these standards facilitates the acquisition of data regarding HCTs conducted</w:t>
      </w:r>
      <w:r w:rsidRPr="00374081">
        <w:rPr>
          <w:rFonts w:ascii="Arial" w:hAnsi="Arial" w:cs="Arial"/>
        </w:rPr>
        <w:t xml:space="preserve"> outside the U.S. </w:t>
      </w:r>
      <w:r w:rsidRPr="00374081" w:rsidR="00090CCA">
        <w:rPr>
          <w:rFonts w:ascii="Arial" w:hAnsi="Arial" w:cs="Arial"/>
        </w:rPr>
        <w:t xml:space="preserve">using </w:t>
      </w:r>
      <w:r w:rsidRPr="00374081">
        <w:rPr>
          <w:rFonts w:ascii="Arial" w:hAnsi="Arial" w:cs="Arial"/>
        </w:rPr>
        <w:t xml:space="preserve">U.S. products. </w:t>
      </w:r>
      <w:r w:rsidRPr="00374081" w:rsidR="00EA1EE4">
        <w:rPr>
          <w:rFonts w:ascii="Arial" w:hAnsi="Arial" w:cs="Arial"/>
        </w:rPr>
        <w:t xml:space="preserve">The SCTOD contractor </w:t>
      </w:r>
      <w:r w:rsidRPr="00374081">
        <w:rPr>
          <w:rFonts w:ascii="Arial" w:hAnsi="Arial" w:cs="Arial"/>
        </w:rPr>
        <w:t xml:space="preserve">will </w:t>
      </w:r>
      <w:r w:rsidRPr="00374081" w:rsidR="00AD6F73">
        <w:rPr>
          <w:rFonts w:ascii="Arial" w:hAnsi="Arial" w:cs="Arial"/>
        </w:rPr>
        <w:t xml:space="preserve">also </w:t>
      </w:r>
      <w:r w:rsidRPr="00374081">
        <w:rPr>
          <w:rFonts w:ascii="Arial" w:hAnsi="Arial" w:cs="Arial"/>
        </w:rPr>
        <w:t xml:space="preserve">continue to work with </w:t>
      </w:r>
      <w:r w:rsidRPr="00374081" w:rsidR="00AF1B69">
        <w:rPr>
          <w:rFonts w:ascii="Arial" w:hAnsi="Arial" w:cs="Arial"/>
        </w:rPr>
        <w:t>ASTCT</w:t>
      </w:r>
      <w:r w:rsidRPr="00374081">
        <w:rPr>
          <w:rFonts w:ascii="Arial" w:hAnsi="Arial" w:cs="Arial"/>
        </w:rPr>
        <w:t xml:space="preserve">, EBMT, </w:t>
      </w:r>
      <w:r w:rsidRPr="00374081" w:rsidR="004F43AD">
        <w:rPr>
          <w:rFonts w:ascii="Arial" w:hAnsi="Arial" w:cs="Arial"/>
        </w:rPr>
        <w:t>other international registries</w:t>
      </w:r>
      <w:r w:rsidRPr="00374081">
        <w:rPr>
          <w:rFonts w:ascii="Arial" w:hAnsi="Arial" w:cs="Arial"/>
        </w:rPr>
        <w:t xml:space="preserve">, cord blood banks (using the Cord Blood Data Working Group), and other </w:t>
      </w:r>
      <w:r w:rsidRPr="00374081" w:rsidR="00EA717B">
        <w:rPr>
          <w:rFonts w:ascii="Arial" w:hAnsi="Arial" w:cs="Arial"/>
        </w:rPr>
        <w:t xml:space="preserve">CWBYCTP </w:t>
      </w:r>
      <w:r w:rsidRPr="00374081">
        <w:rPr>
          <w:rFonts w:ascii="Arial" w:hAnsi="Arial" w:cs="Arial"/>
        </w:rPr>
        <w:t>members to achieve consensus on any revisions to the standard dataset</w:t>
      </w:r>
      <w:r w:rsidRPr="00374081" w:rsidR="00AD6F73">
        <w:rPr>
          <w:rFonts w:ascii="Arial" w:hAnsi="Arial" w:cs="Arial"/>
        </w:rPr>
        <w:t>.</w:t>
      </w:r>
      <w:r w:rsidRPr="00374081" w:rsidR="00090CCA">
        <w:rPr>
          <w:rFonts w:ascii="Arial" w:hAnsi="Arial" w:cs="Arial"/>
        </w:rPr>
        <w:t xml:space="preserve"> </w:t>
      </w:r>
      <w:r w:rsidRPr="00374081" w:rsidR="00AD6F73">
        <w:rPr>
          <w:rFonts w:ascii="Arial" w:hAnsi="Arial" w:cs="Arial"/>
        </w:rPr>
        <w:t>Finally, t</w:t>
      </w:r>
      <w:r w:rsidRPr="00374081" w:rsidR="00090CCA">
        <w:rPr>
          <w:rFonts w:ascii="Arial" w:hAnsi="Arial" w:cs="Arial"/>
        </w:rPr>
        <w:t xml:space="preserve">he SCTOD contractor will </w:t>
      </w:r>
      <w:r w:rsidRPr="00374081" w:rsidR="00AD6F73">
        <w:rPr>
          <w:rFonts w:ascii="Arial" w:hAnsi="Arial" w:cs="Arial"/>
        </w:rPr>
        <w:t xml:space="preserve">continue to </w:t>
      </w:r>
      <w:r w:rsidRPr="00374081" w:rsidR="00090CCA">
        <w:rPr>
          <w:rFonts w:ascii="Arial" w:hAnsi="Arial" w:cs="Arial"/>
        </w:rPr>
        <w:t xml:space="preserve">coordinate with the SPA-CC contractor </w:t>
      </w:r>
      <w:r w:rsidRPr="00374081">
        <w:rPr>
          <w:rFonts w:ascii="Arial" w:hAnsi="Arial" w:cs="Arial"/>
        </w:rPr>
        <w:t>to ensure that HLA data reflect current matching algorithms.</w:t>
      </w:r>
      <w:r w:rsidR="00374081">
        <w:rPr>
          <w:rFonts w:ascii="Arial" w:hAnsi="Arial" w:cs="Arial"/>
        </w:rPr>
        <w:t xml:space="preserve"> </w:t>
      </w:r>
    </w:p>
    <w:p w:rsidR="001214E5" w:rsidRPr="00374081" w:rsidP="00006986" w14:paraId="4ACF36BD" w14:textId="627DBA2F">
      <w:pPr>
        <w:rPr>
          <w:rFonts w:ascii="Arial" w:hAnsi="Arial" w:cs="Arial"/>
          <w:sz w:val="20"/>
          <w:szCs w:val="20"/>
        </w:rPr>
      </w:pPr>
    </w:p>
    <w:p w:rsidR="001214E5" w:rsidRPr="00374081" w:rsidP="00006986" w14:paraId="185D1477" w14:textId="301DC387">
      <w:pPr>
        <w:numPr>
          <w:ilvl w:val="0"/>
          <w:numId w:val="3"/>
        </w:numPr>
        <w:ind w:left="360" w:hanging="360"/>
        <w:rPr>
          <w:rFonts w:ascii="Arial" w:hAnsi="Arial" w:cs="Arial"/>
          <w:u w:val="single"/>
        </w:rPr>
      </w:pPr>
      <w:r w:rsidRPr="00374081">
        <w:rPr>
          <w:rFonts w:ascii="Arial" w:hAnsi="Arial" w:cs="Arial"/>
          <w:b/>
          <w:u w:val="single"/>
        </w:rPr>
        <w:t xml:space="preserve">Explanation of </w:t>
      </w:r>
      <w:r w:rsidRPr="00374081" w:rsidR="00FD6EFE">
        <w:rPr>
          <w:rFonts w:ascii="Arial" w:hAnsi="Arial" w:cs="Arial"/>
          <w:b/>
          <w:u w:val="single"/>
        </w:rPr>
        <w:t>A</w:t>
      </w:r>
      <w:r w:rsidRPr="00374081">
        <w:rPr>
          <w:rFonts w:ascii="Arial" w:hAnsi="Arial" w:cs="Arial"/>
          <w:b/>
          <w:u w:val="single"/>
        </w:rPr>
        <w:t>ny Payment/Gift to Respondents</w:t>
      </w:r>
      <w:r w:rsidR="00374081">
        <w:rPr>
          <w:rFonts w:ascii="Arial" w:hAnsi="Arial" w:cs="Arial"/>
          <w:b/>
          <w:u w:val="single"/>
        </w:rPr>
        <w:t xml:space="preserve"> </w:t>
      </w:r>
    </w:p>
    <w:p w:rsidR="00006986" w:rsidRPr="00374081" w:rsidP="00006986" w14:paraId="04EC7E00" w14:textId="77777777">
      <w:pPr>
        <w:ind w:left="360"/>
        <w:rPr>
          <w:rFonts w:ascii="Arial" w:hAnsi="Arial" w:cs="Arial"/>
          <w:sz w:val="20"/>
          <w:szCs w:val="20"/>
        </w:rPr>
      </w:pPr>
    </w:p>
    <w:p w:rsidR="001214E5" w:rsidRPr="00374081" w:rsidP="00006986" w14:paraId="45BD6598" w14:textId="7FAA8922">
      <w:pPr>
        <w:rPr>
          <w:rFonts w:ascii="Arial" w:hAnsi="Arial" w:cs="Arial"/>
        </w:rPr>
      </w:pPr>
      <w:r w:rsidRPr="00374081">
        <w:rPr>
          <w:rFonts w:ascii="Arial" w:hAnsi="Arial" w:cs="Arial"/>
        </w:rPr>
        <w:t>Respondents will not receive any payments or gifts</w:t>
      </w:r>
      <w:r w:rsidRPr="00374081" w:rsidR="002171D5">
        <w:rPr>
          <w:rFonts w:ascii="Arial" w:hAnsi="Arial" w:cs="Arial"/>
        </w:rPr>
        <w:t xml:space="preserve"> associated with completing these forms for the CWBYCTP</w:t>
      </w:r>
      <w:r w:rsidRPr="00374081">
        <w:rPr>
          <w:rFonts w:ascii="Arial" w:hAnsi="Arial" w:cs="Arial"/>
        </w:rPr>
        <w:t>.</w:t>
      </w:r>
      <w:r w:rsidRPr="00374081">
        <w:rPr>
          <w:rFonts w:ascii="Arial" w:hAnsi="Arial" w:cs="Arial"/>
        </w:rPr>
        <w:t xml:space="preserve"> </w:t>
      </w:r>
    </w:p>
    <w:p w:rsidR="00006986" w:rsidRPr="00374081" w:rsidP="00006986" w14:paraId="4C5BD3F6" w14:textId="77777777">
      <w:pPr>
        <w:rPr>
          <w:rFonts w:ascii="Arial" w:hAnsi="Arial" w:cs="Arial"/>
          <w:sz w:val="20"/>
          <w:szCs w:val="20"/>
        </w:rPr>
      </w:pPr>
    </w:p>
    <w:p w:rsidR="001214E5" w:rsidRPr="00374081" w:rsidP="00006986" w14:paraId="309C2197" w14:textId="59AC9097">
      <w:pPr>
        <w:numPr>
          <w:ilvl w:val="0"/>
          <w:numId w:val="3"/>
        </w:numPr>
        <w:ind w:left="450" w:hanging="450"/>
        <w:rPr>
          <w:rFonts w:ascii="Arial" w:hAnsi="Arial" w:cs="Arial"/>
        </w:rPr>
      </w:pPr>
      <w:r w:rsidRPr="00374081">
        <w:rPr>
          <w:rFonts w:ascii="Arial" w:hAnsi="Arial" w:cs="Arial"/>
          <w:b/>
          <w:u w:val="single"/>
        </w:rPr>
        <w:t>Assurance of Confidentiality Provided to Respondents</w:t>
      </w:r>
      <w:r w:rsidRPr="00374081">
        <w:rPr>
          <w:rFonts w:ascii="Arial" w:hAnsi="Arial" w:cs="Arial"/>
          <w:b/>
        </w:rPr>
        <w:t xml:space="preserve"> </w:t>
      </w:r>
      <w:r w:rsidRPr="00374081" w:rsidR="00405264">
        <w:rPr>
          <w:rFonts w:ascii="Arial" w:hAnsi="Arial" w:cs="Arial"/>
          <w:b/>
        </w:rPr>
        <w:t>[respondents are facilities]</w:t>
      </w:r>
    </w:p>
    <w:p w:rsidR="0032463F" w:rsidRPr="00374081" w:rsidP="00006986" w14:paraId="5A41D3D0" w14:textId="1995A860">
      <w:pPr>
        <w:rPr>
          <w:rFonts w:ascii="Arial" w:hAnsi="Arial" w:cs="Arial"/>
          <w:sz w:val="20"/>
          <w:szCs w:val="20"/>
        </w:rPr>
      </w:pPr>
    </w:p>
    <w:p w:rsidR="005B4BF3" w:rsidRPr="00374081" w:rsidP="005B4BF3" w14:paraId="4ABAE015" w14:textId="381D5270">
      <w:pPr>
        <w:rPr>
          <w:rFonts w:ascii="Arial" w:hAnsi="Arial" w:cs="Arial"/>
        </w:rPr>
      </w:pPr>
      <w:r w:rsidRPr="00374081">
        <w:rPr>
          <w:rFonts w:ascii="Arial" w:hAnsi="Arial" w:cs="Arial"/>
          <w:color w:val="000000" w:themeColor="text1"/>
        </w:rPr>
        <w:t xml:space="preserve">All data collected will be subject to Privacy Act protection (Privacy Act System of Records </w:t>
      </w:r>
      <w:r w:rsidRPr="00374081">
        <w:rPr>
          <w:rFonts w:ascii="Arial" w:hAnsi="Arial" w:cs="Arial"/>
        </w:rPr>
        <w:t>#09-15-0068</w:t>
      </w:r>
      <w:r w:rsidRPr="00374081">
        <w:rPr>
          <w:rFonts w:ascii="Arial" w:hAnsi="Arial" w:cs="Arial"/>
          <w:color w:val="000000" w:themeColor="text1"/>
        </w:rPr>
        <w:t xml:space="preserve">). Data collected under the SCTOD contract </w:t>
      </w:r>
      <w:r w:rsidR="00210266">
        <w:rPr>
          <w:rFonts w:ascii="Arial" w:hAnsi="Arial" w:cs="Arial"/>
          <w:color w:val="000000" w:themeColor="text1"/>
        </w:rPr>
        <w:t>is also well protected within the contractor’s robust cybersecurity program, which is aligned with NIST 800-53, Security and Privacy Controls for Federal Information Systems and Organizations</w:t>
      </w:r>
      <w:r w:rsidRPr="00374081">
        <w:rPr>
          <w:rFonts w:ascii="Arial" w:hAnsi="Arial" w:cs="Arial"/>
          <w:color w:val="000000" w:themeColor="text1"/>
        </w:rPr>
        <w:t xml:space="preserve">. </w:t>
      </w:r>
      <w:r w:rsidR="00210266">
        <w:rPr>
          <w:rFonts w:ascii="Arial" w:hAnsi="Arial" w:cs="Arial"/>
          <w:color w:val="000000" w:themeColor="text1"/>
        </w:rPr>
        <w:t>It</w:t>
      </w:r>
      <w:r w:rsidRPr="00374081" w:rsidR="00210266">
        <w:rPr>
          <w:rFonts w:ascii="Arial" w:hAnsi="Arial" w:cs="Arial"/>
          <w:color w:val="000000" w:themeColor="text1"/>
        </w:rPr>
        <w:t xml:space="preserve"> </w:t>
      </w:r>
      <w:r w:rsidRPr="00374081">
        <w:rPr>
          <w:rFonts w:ascii="Arial" w:hAnsi="Arial" w:cs="Arial"/>
          <w:color w:val="000000" w:themeColor="text1"/>
        </w:rPr>
        <w:t xml:space="preserve">is assessed annually by a qualified, independent third-party auditor to ensure that it meets or exceeds the requirements as prescribed by OMB Circular A-130, Appendix III, Security of Federal Automated Information Systems, and the </w:t>
      </w:r>
      <w:r w:rsidR="00210266">
        <w:rPr>
          <w:rFonts w:ascii="Arial" w:hAnsi="Arial" w:cs="Arial"/>
          <w:color w:val="000000" w:themeColor="text1"/>
        </w:rPr>
        <w:t>Department's</w:t>
      </w:r>
      <w:r w:rsidRPr="00374081" w:rsidR="00210266">
        <w:rPr>
          <w:rFonts w:ascii="Arial" w:hAnsi="Arial" w:cs="Arial"/>
          <w:color w:val="000000" w:themeColor="text1"/>
        </w:rPr>
        <w:t xml:space="preserve"> </w:t>
      </w:r>
      <w:r w:rsidRPr="00374081">
        <w:rPr>
          <w:rFonts w:ascii="Arial" w:hAnsi="Arial" w:cs="Arial"/>
          <w:color w:val="000000" w:themeColor="text1"/>
        </w:rPr>
        <w:t xml:space="preserve">Automated Information Systems Security Program Handbook. </w:t>
      </w:r>
      <w:r w:rsidRPr="00374081">
        <w:rPr>
          <w:rFonts w:ascii="Arial" w:hAnsi="Arial" w:cs="Arial"/>
        </w:rPr>
        <w:t>These security features are implemented within a comprehensive System Security Plan that addresses administrative, operational</w:t>
      </w:r>
      <w:r w:rsidR="00210266">
        <w:rPr>
          <w:rFonts w:ascii="Arial" w:hAnsi="Arial" w:cs="Arial"/>
        </w:rPr>
        <w:t>,</w:t>
      </w:r>
      <w:r w:rsidRPr="00374081">
        <w:rPr>
          <w:rFonts w:ascii="Arial" w:hAnsi="Arial" w:cs="Arial"/>
        </w:rPr>
        <w:t xml:space="preserve"> and technical controls, including but not limited to: </w:t>
      </w:r>
    </w:p>
    <w:p w:rsidR="005B4BF3" w:rsidRPr="00374081" w:rsidP="005B4BF3" w14:paraId="7E335799" w14:textId="77777777">
      <w:pPr>
        <w:pStyle w:val="Bullet"/>
        <w:rPr>
          <w:rFonts w:ascii="Arial" w:hAnsi="Arial" w:cs="Arial"/>
          <w:b w:val="0"/>
          <w:bCs w:val="0"/>
          <w:sz w:val="24"/>
          <w:szCs w:val="24"/>
        </w:rPr>
      </w:pPr>
      <w:r w:rsidRPr="00374081">
        <w:rPr>
          <w:rFonts w:ascii="Arial" w:hAnsi="Arial" w:cs="Arial"/>
          <w:b w:val="0"/>
          <w:bCs w:val="0"/>
          <w:sz w:val="24"/>
          <w:szCs w:val="24"/>
        </w:rPr>
        <w:t>Annual risk assessment;</w:t>
      </w:r>
    </w:p>
    <w:p w:rsidR="005B4BF3" w:rsidRPr="00374081" w:rsidP="005B4BF3" w14:paraId="12B48B7C" w14:textId="77777777">
      <w:pPr>
        <w:pStyle w:val="Bullet"/>
        <w:rPr>
          <w:rFonts w:ascii="Arial" w:hAnsi="Arial" w:cs="Arial"/>
          <w:b w:val="0"/>
          <w:bCs w:val="0"/>
          <w:sz w:val="24"/>
          <w:szCs w:val="24"/>
        </w:rPr>
      </w:pPr>
      <w:r w:rsidRPr="00374081">
        <w:rPr>
          <w:rFonts w:ascii="Arial" w:hAnsi="Arial" w:cs="Arial"/>
          <w:b w:val="0"/>
          <w:bCs w:val="0"/>
          <w:sz w:val="24"/>
          <w:szCs w:val="24"/>
        </w:rPr>
        <w:t>System and component inventories;</w:t>
      </w:r>
    </w:p>
    <w:p w:rsidR="005B4BF3" w:rsidRPr="00374081" w:rsidP="005B4BF3" w14:paraId="3357D41D" w14:textId="77777777">
      <w:pPr>
        <w:pStyle w:val="Bullet"/>
        <w:rPr>
          <w:rFonts w:ascii="Arial" w:hAnsi="Arial" w:cs="Arial"/>
          <w:b w:val="0"/>
          <w:bCs w:val="0"/>
          <w:sz w:val="24"/>
          <w:szCs w:val="24"/>
        </w:rPr>
      </w:pPr>
      <w:r w:rsidRPr="00374081">
        <w:rPr>
          <w:rFonts w:ascii="Arial" w:hAnsi="Arial" w:cs="Arial"/>
          <w:b w:val="0"/>
          <w:bCs w:val="0"/>
          <w:sz w:val="24"/>
          <w:szCs w:val="24"/>
        </w:rPr>
        <w:t>Annual security awareness &amp; data privacy training;</w:t>
      </w:r>
    </w:p>
    <w:p w:rsidR="005B4BF3" w:rsidRPr="00374081" w:rsidP="005B4BF3" w14:paraId="4B711BA0" w14:textId="77777777">
      <w:pPr>
        <w:pStyle w:val="Bullet"/>
        <w:rPr>
          <w:rFonts w:ascii="Arial" w:hAnsi="Arial" w:cs="Arial"/>
          <w:b w:val="0"/>
          <w:bCs w:val="0"/>
          <w:sz w:val="24"/>
          <w:szCs w:val="24"/>
        </w:rPr>
      </w:pPr>
      <w:r w:rsidRPr="00374081">
        <w:rPr>
          <w:rFonts w:ascii="Arial" w:hAnsi="Arial" w:cs="Arial"/>
          <w:b w:val="0"/>
          <w:bCs w:val="0"/>
          <w:sz w:val="24"/>
          <w:szCs w:val="24"/>
        </w:rPr>
        <w:t>System and data access control and entitlement reviews;</w:t>
      </w:r>
    </w:p>
    <w:p w:rsidR="005B4BF3" w:rsidRPr="00374081" w:rsidP="005B4BF3" w14:paraId="4D3DA0B7" w14:textId="77777777">
      <w:pPr>
        <w:pStyle w:val="Bullet"/>
        <w:rPr>
          <w:rFonts w:ascii="Arial" w:hAnsi="Arial" w:cs="Arial"/>
          <w:b w:val="0"/>
          <w:bCs w:val="0"/>
          <w:sz w:val="24"/>
          <w:szCs w:val="24"/>
        </w:rPr>
      </w:pPr>
      <w:r w:rsidRPr="00374081">
        <w:rPr>
          <w:rFonts w:ascii="Arial" w:hAnsi="Arial" w:cs="Arial"/>
          <w:b w:val="0"/>
          <w:bCs w:val="0"/>
          <w:sz w:val="24"/>
          <w:szCs w:val="24"/>
        </w:rPr>
        <w:t>System event auditing and accountability;</w:t>
      </w:r>
    </w:p>
    <w:p w:rsidR="005B4BF3" w:rsidRPr="00374081" w:rsidP="005B4BF3" w14:paraId="504B7348" w14:textId="77777777">
      <w:pPr>
        <w:pStyle w:val="Bullet"/>
        <w:rPr>
          <w:rFonts w:ascii="Arial" w:hAnsi="Arial" w:cs="Arial"/>
          <w:b w:val="0"/>
          <w:bCs w:val="0"/>
          <w:sz w:val="24"/>
          <w:szCs w:val="24"/>
        </w:rPr>
      </w:pPr>
      <w:r w:rsidRPr="00374081">
        <w:rPr>
          <w:rFonts w:ascii="Arial" w:hAnsi="Arial" w:cs="Arial"/>
          <w:b w:val="0"/>
          <w:bCs w:val="0"/>
          <w:sz w:val="24"/>
          <w:szCs w:val="24"/>
        </w:rPr>
        <w:t>Configuration and change management;</w:t>
      </w:r>
    </w:p>
    <w:p w:rsidR="005B4BF3" w:rsidRPr="00374081" w:rsidP="005B4BF3" w14:paraId="79927316" w14:textId="77777777">
      <w:pPr>
        <w:pStyle w:val="Bullet"/>
        <w:rPr>
          <w:rFonts w:ascii="Arial" w:hAnsi="Arial" w:cs="Arial"/>
          <w:b w:val="0"/>
          <w:bCs w:val="0"/>
          <w:sz w:val="24"/>
          <w:szCs w:val="24"/>
        </w:rPr>
      </w:pPr>
      <w:r w:rsidRPr="00374081">
        <w:rPr>
          <w:rFonts w:ascii="Arial" w:hAnsi="Arial" w:cs="Arial"/>
          <w:b w:val="0"/>
          <w:bCs w:val="0"/>
          <w:sz w:val="24"/>
          <w:szCs w:val="24"/>
        </w:rPr>
        <w:t>Threat and vulnerability management and remediation;</w:t>
      </w:r>
    </w:p>
    <w:p w:rsidR="005B4BF3" w:rsidRPr="00374081" w:rsidP="005B4BF3" w14:paraId="0255FC58" w14:textId="77777777">
      <w:pPr>
        <w:pStyle w:val="Bullet"/>
        <w:rPr>
          <w:rFonts w:ascii="Arial" w:hAnsi="Arial" w:cs="Arial"/>
          <w:b w:val="0"/>
          <w:bCs w:val="0"/>
          <w:sz w:val="24"/>
          <w:szCs w:val="24"/>
        </w:rPr>
      </w:pPr>
      <w:r w:rsidRPr="00374081">
        <w:rPr>
          <w:rFonts w:ascii="Arial" w:hAnsi="Arial" w:cs="Arial"/>
          <w:b w:val="0"/>
          <w:bCs w:val="0"/>
          <w:sz w:val="24"/>
          <w:szCs w:val="24"/>
        </w:rPr>
        <w:t>Incident response and management;</w:t>
      </w:r>
    </w:p>
    <w:p w:rsidR="005B4BF3" w:rsidRPr="00374081" w:rsidP="005B4BF3" w14:paraId="37BE7E6E" w14:textId="61D57B61">
      <w:pPr>
        <w:pStyle w:val="Bullet"/>
        <w:rPr>
          <w:rFonts w:ascii="Arial" w:hAnsi="Arial" w:cs="Arial"/>
          <w:b w:val="0"/>
          <w:bCs w:val="0"/>
          <w:sz w:val="24"/>
          <w:szCs w:val="24"/>
        </w:rPr>
      </w:pPr>
      <w:r w:rsidRPr="00374081">
        <w:rPr>
          <w:rFonts w:ascii="Arial" w:hAnsi="Arial" w:cs="Arial"/>
          <w:b w:val="0"/>
          <w:bCs w:val="0"/>
          <w:sz w:val="24"/>
          <w:szCs w:val="24"/>
        </w:rPr>
        <w:t xml:space="preserve">Contingency </w:t>
      </w:r>
      <w:r w:rsidR="00314F21">
        <w:rPr>
          <w:rFonts w:ascii="Arial" w:hAnsi="Arial" w:cs="Arial"/>
          <w:b w:val="0"/>
          <w:bCs w:val="0"/>
          <w:sz w:val="24"/>
          <w:szCs w:val="24"/>
        </w:rPr>
        <w:t>p</w:t>
      </w:r>
      <w:r w:rsidRPr="00374081">
        <w:rPr>
          <w:rFonts w:ascii="Arial" w:hAnsi="Arial" w:cs="Arial"/>
          <w:b w:val="0"/>
          <w:bCs w:val="0"/>
          <w:sz w:val="24"/>
          <w:szCs w:val="24"/>
        </w:rPr>
        <w:t>lanning;</w:t>
      </w:r>
    </w:p>
    <w:p w:rsidR="005B4BF3" w:rsidRPr="00374081" w:rsidP="005B4BF3" w14:paraId="2205203A" w14:textId="77777777">
      <w:pPr>
        <w:pStyle w:val="Bullet"/>
        <w:rPr>
          <w:rFonts w:ascii="Arial" w:hAnsi="Arial" w:cs="Arial"/>
          <w:b w:val="0"/>
          <w:bCs w:val="0"/>
          <w:sz w:val="24"/>
          <w:szCs w:val="24"/>
        </w:rPr>
      </w:pPr>
      <w:r w:rsidRPr="00374081">
        <w:rPr>
          <w:rFonts w:ascii="Arial" w:hAnsi="Arial" w:cs="Arial"/>
          <w:b w:val="0"/>
          <w:bCs w:val="0"/>
          <w:sz w:val="24"/>
          <w:szCs w:val="24"/>
        </w:rPr>
        <w:t>Annual privacy impact assessment;</w:t>
      </w:r>
    </w:p>
    <w:p w:rsidR="005B4BF3" w:rsidRPr="00374081" w:rsidP="005B4BF3" w14:paraId="39B20885" w14:textId="0F25CEAE">
      <w:pPr>
        <w:pStyle w:val="Bullet"/>
        <w:rPr>
          <w:rFonts w:ascii="Arial" w:hAnsi="Arial" w:cs="Arial"/>
          <w:b w:val="0"/>
          <w:bCs w:val="0"/>
          <w:sz w:val="24"/>
          <w:szCs w:val="24"/>
        </w:rPr>
      </w:pPr>
      <w:r w:rsidRPr="00374081">
        <w:rPr>
          <w:rFonts w:ascii="Arial" w:hAnsi="Arial" w:cs="Arial"/>
          <w:b w:val="0"/>
          <w:bCs w:val="0"/>
          <w:sz w:val="24"/>
          <w:szCs w:val="24"/>
        </w:rPr>
        <w:t>Physical and facilities access and security; and</w:t>
      </w:r>
    </w:p>
    <w:p w:rsidR="005B4BF3" w:rsidRPr="00374081" w:rsidP="005B4BF3" w14:paraId="7DFD99AC" w14:textId="55EB1FCA">
      <w:pPr>
        <w:pStyle w:val="Bullet"/>
        <w:rPr>
          <w:rFonts w:ascii="Arial" w:hAnsi="Arial" w:cs="Arial"/>
          <w:b w:val="0"/>
          <w:bCs w:val="0"/>
          <w:sz w:val="24"/>
          <w:szCs w:val="24"/>
        </w:rPr>
      </w:pPr>
      <w:r w:rsidRPr="00374081">
        <w:rPr>
          <w:rFonts w:ascii="Arial" w:hAnsi="Arial" w:cs="Arial"/>
          <w:b w:val="0"/>
          <w:bCs w:val="0"/>
          <w:sz w:val="24"/>
          <w:szCs w:val="24"/>
        </w:rPr>
        <w:t xml:space="preserve">Continuous </w:t>
      </w:r>
      <w:r w:rsidR="00314F21">
        <w:rPr>
          <w:rFonts w:ascii="Arial" w:hAnsi="Arial" w:cs="Arial"/>
          <w:b w:val="0"/>
          <w:bCs w:val="0"/>
          <w:sz w:val="24"/>
          <w:szCs w:val="24"/>
        </w:rPr>
        <w:t>m</w:t>
      </w:r>
      <w:r w:rsidRPr="00374081">
        <w:rPr>
          <w:rFonts w:ascii="Arial" w:hAnsi="Arial" w:cs="Arial"/>
          <w:b w:val="0"/>
          <w:bCs w:val="0"/>
          <w:sz w:val="24"/>
          <w:szCs w:val="24"/>
        </w:rPr>
        <w:t>onitoring</w:t>
      </w:r>
      <w:r w:rsidRPr="00374081" w:rsidR="007D1F2E">
        <w:rPr>
          <w:rFonts w:ascii="Arial" w:hAnsi="Arial" w:cs="Arial"/>
          <w:b w:val="0"/>
          <w:bCs w:val="0"/>
          <w:sz w:val="24"/>
          <w:szCs w:val="24"/>
        </w:rPr>
        <w:t>.</w:t>
      </w:r>
    </w:p>
    <w:p w:rsidR="00D30BA0" w:rsidRPr="00374081" w:rsidP="16A4883F" w14:paraId="0DEA4487" w14:textId="269C5046">
      <w:pPr>
        <w:rPr>
          <w:rFonts w:ascii="Arial" w:hAnsi="Arial" w:cs="Arial"/>
        </w:rPr>
      </w:pPr>
    </w:p>
    <w:p w:rsidR="00C0396C" w:rsidRPr="00374081" w:rsidP="00006986" w14:paraId="0CBA863B" w14:textId="3D410B8F">
      <w:pPr>
        <w:rPr>
          <w:rFonts w:ascii="Arial" w:hAnsi="Arial" w:cs="Arial"/>
        </w:rPr>
      </w:pPr>
      <w:r w:rsidRPr="00374081">
        <w:rPr>
          <w:rFonts w:ascii="Arial" w:hAnsi="Arial" w:cs="Arial"/>
        </w:rPr>
        <w:t xml:space="preserve">The </w:t>
      </w:r>
      <w:r w:rsidRPr="00374081" w:rsidR="00EA717B">
        <w:rPr>
          <w:rFonts w:ascii="Arial" w:hAnsi="Arial" w:cs="Arial"/>
        </w:rPr>
        <w:t xml:space="preserve">SCTOD </w:t>
      </w:r>
      <w:r w:rsidRPr="00374081">
        <w:rPr>
          <w:rFonts w:ascii="Arial" w:hAnsi="Arial" w:cs="Arial"/>
        </w:rPr>
        <w:t>contractor</w:t>
      </w:r>
      <w:r w:rsidRPr="00374081" w:rsidR="002171D5">
        <w:rPr>
          <w:rFonts w:ascii="Arial" w:hAnsi="Arial" w:cs="Arial"/>
        </w:rPr>
        <w:t xml:space="preserve"> </w:t>
      </w:r>
      <w:r w:rsidRPr="00374081">
        <w:rPr>
          <w:rFonts w:ascii="Arial" w:hAnsi="Arial" w:cs="Arial"/>
        </w:rPr>
        <w:t xml:space="preserve">utilizes a unique identification (ID) registration system for transplant recipients to </w:t>
      </w:r>
      <w:r w:rsidR="00210266">
        <w:rPr>
          <w:rFonts w:ascii="Arial" w:hAnsi="Arial" w:cs="Arial"/>
        </w:rPr>
        <w:t>prevent redundant reporting across transplant centers and over</w:t>
      </w:r>
      <w:r w:rsidRPr="00374081">
        <w:rPr>
          <w:rFonts w:ascii="Arial" w:hAnsi="Arial" w:cs="Arial"/>
        </w:rPr>
        <w:t xml:space="preserve"> time. This unique ID registration system exists within an isolated server</w:t>
      </w:r>
      <w:r w:rsidR="00210266">
        <w:rPr>
          <w:rFonts w:ascii="Arial" w:hAnsi="Arial" w:cs="Arial"/>
        </w:rPr>
        <w:t>. It uses</w:t>
      </w:r>
      <w:r w:rsidRPr="00374081">
        <w:rPr>
          <w:rFonts w:ascii="Arial" w:hAnsi="Arial" w:cs="Arial"/>
        </w:rPr>
        <w:t xml:space="preserve"> identifying information about transplant recipients provided by the transplant center to assign a unique ID number that does not contain personal identifiers.</w:t>
      </w:r>
      <w:r w:rsidR="00374081">
        <w:rPr>
          <w:rFonts w:ascii="Arial" w:hAnsi="Arial" w:cs="Arial"/>
        </w:rPr>
        <w:t xml:space="preserve"> </w:t>
      </w:r>
      <w:r w:rsidRPr="00374081">
        <w:rPr>
          <w:rFonts w:ascii="Arial" w:hAnsi="Arial" w:cs="Arial"/>
        </w:rPr>
        <w:t xml:space="preserve">Subsequently, this unique number is used by the transplant center and other </w:t>
      </w:r>
      <w:r w:rsidRPr="00374081" w:rsidR="002C50CD">
        <w:rPr>
          <w:rFonts w:ascii="Arial" w:hAnsi="Arial" w:cs="Arial"/>
        </w:rPr>
        <w:t xml:space="preserve">CWBYCTP </w:t>
      </w:r>
      <w:r w:rsidRPr="00374081">
        <w:rPr>
          <w:rFonts w:ascii="Arial" w:hAnsi="Arial" w:cs="Arial"/>
        </w:rPr>
        <w:t>components to exchange data regarding transplant recipients for purposes of reporting outcomes to the Government.</w:t>
      </w:r>
      <w:r w:rsidR="00374081">
        <w:rPr>
          <w:rFonts w:ascii="Arial" w:hAnsi="Arial" w:cs="Arial"/>
        </w:rPr>
        <w:t xml:space="preserve"> </w:t>
      </w:r>
    </w:p>
    <w:p w:rsidR="001214E5" w:rsidRPr="00374081" w:rsidP="00006986" w14:paraId="456AE3C1" w14:textId="7C5CBC8E">
      <w:pPr>
        <w:rPr>
          <w:rFonts w:ascii="Arial" w:hAnsi="Arial" w:cs="Arial"/>
          <w:sz w:val="20"/>
          <w:szCs w:val="20"/>
        </w:rPr>
      </w:pPr>
      <w:r w:rsidRPr="00374081">
        <w:rPr>
          <w:rFonts w:ascii="Arial" w:hAnsi="Arial" w:cs="Arial"/>
          <w:sz w:val="20"/>
          <w:szCs w:val="20"/>
        </w:rPr>
        <w:t xml:space="preserve"> </w:t>
      </w:r>
    </w:p>
    <w:p w:rsidR="00C0396C" w:rsidRPr="00374081" w:rsidP="00C0396C" w14:paraId="28FD7FB5" w14:textId="5BED8B18">
      <w:pPr>
        <w:ind w:left="-5"/>
        <w:rPr>
          <w:rFonts w:ascii="Arial" w:hAnsi="Arial" w:cs="Arial"/>
        </w:rPr>
      </w:pPr>
      <w:r w:rsidRPr="00374081">
        <w:rPr>
          <w:rFonts w:ascii="Arial" w:hAnsi="Arial" w:cs="Arial"/>
        </w:rPr>
        <w:t xml:space="preserve">The ID registration system and the exchange of data between entities exists within the context of the designation of the </w:t>
      </w:r>
      <w:r w:rsidRPr="00374081" w:rsidR="00EA717B">
        <w:rPr>
          <w:rFonts w:ascii="Arial" w:hAnsi="Arial" w:cs="Arial"/>
        </w:rPr>
        <w:t xml:space="preserve">SCTOD </w:t>
      </w:r>
      <w:r w:rsidRPr="00374081" w:rsidR="00556A27">
        <w:rPr>
          <w:rFonts w:ascii="Arial" w:hAnsi="Arial" w:cs="Arial"/>
        </w:rPr>
        <w:t>c</w:t>
      </w:r>
      <w:r w:rsidRPr="00374081" w:rsidR="00EA717B">
        <w:rPr>
          <w:rFonts w:ascii="Arial" w:hAnsi="Arial" w:cs="Arial"/>
        </w:rPr>
        <w:t xml:space="preserve">ontractor, CIBMTR, </w:t>
      </w:r>
      <w:r w:rsidRPr="00374081">
        <w:rPr>
          <w:rFonts w:ascii="Arial" w:hAnsi="Arial" w:cs="Arial"/>
        </w:rPr>
        <w:t xml:space="preserve">as a public health authority for purposes of the Health Insurance Portability and Accountability Act (HIPAA) as determined by the HHS Office of General Counsel </w:t>
      </w:r>
      <w:r w:rsidRPr="00374081" w:rsidR="00556A27">
        <w:rPr>
          <w:rFonts w:ascii="Arial" w:hAnsi="Arial" w:cs="Arial"/>
        </w:rPr>
        <w:t xml:space="preserve">(OGC) </w:t>
      </w:r>
      <w:r w:rsidRPr="00374081">
        <w:rPr>
          <w:rFonts w:ascii="Arial" w:hAnsi="Arial" w:cs="Arial"/>
        </w:rPr>
        <w:t xml:space="preserve">and Office of Civil Rights (OCR) in fulfillment of the contract requirements (PHA letter attached). The </w:t>
      </w:r>
      <w:r w:rsidRPr="00374081" w:rsidR="00556A27">
        <w:rPr>
          <w:rFonts w:ascii="Arial" w:hAnsi="Arial" w:cs="Arial"/>
        </w:rPr>
        <w:t>OGC</w:t>
      </w:r>
      <w:r w:rsidRPr="00374081">
        <w:rPr>
          <w:rFonts w:ascii="Arial" w:hAnsi="Arial" w:cs="Arial"/>
        </w:rPr>
        <w:t xml:space="preserve"> has determined, and OCR concurs, that the </w:t>
      </w:r>
      <w:r w:rsidRPr="00374081" w:rsidR="00EA717B">
        <w:rPr>
          <w:rFonts w:ascii="Arial" w:hAnsi="Arial" w:cs="Arial"/>
        </w:rPr>
        <w:t xml:space="preserve">SCTOD </w:t>
      </w:r>
      <w:r w:rsidRPr="00374081" w:rsidR="00556A27">
        <w:rPr>
          <w:rFonts w:ascii="Arial" w:hAnsi="Arial" w:cs="Arial"/>
        </w:rPr>
        <w:t>c</w:t>
      </w:r>
      <w:r w:rsidRPr="00374081" w:rsidR="00EA717B">
        <w:rPr>
          <w:rFonts w:ascii="Arial" w:hAnsi="Arial" w:cs="Arial"/>
        </w:rPr>
        <w:t xml:space="preserve">ontractor </w:t>
      </w:r>
      <w:r w:rsidRPr="00374081">
        <w:rPr>
          <w:rFonts w:ascii="Arial" w:hAnsi="Arial" w:cs="Arial"/>
        </w:rPr>
        <w:t>meets the Privacy Rule’s definition of a public health authority and is authorized by law to collect the information necessary for the SCTOD to fulfill its statutory purpose and functions.</w:t>
      </w:r>
      <w:r w:rsidR="00374081">
        <w:rPr>
          <w:rFonts w:ascii="Arial" w:hAnsi="Arial" w:cs="Arial"/>
        </w:rPr>
        <w:t xml:space="preserve"> </w:t>
      </w:r>
      <w:r w:rsidRPr="00374081">
        <w:rPr>
          <w:rFonts w:ascii="Arial" w:hAnsi="Arial" w:cs="Arial"/>
        </w:rPr>
        <w:t xml:space="preserve">Under this analysis, transplant centers that are covered entities may disclose to </w:t>
      </w:r>
      <w:r w:rsidRPr="00374081" w:rsidR="00EA717B">
        <w:rPr>
          <w:rFonts w:ascii="Arial" w:hAnsi="Arial" w:cs="Arial"/>
        </w:rPr>
        <w:t xml:space="preserve">the SCTOD </w:t>
      </w:r>
      <w:r w:rsidRPr="00374081" w:rsidR="00EA717B">
        <w:rPr>
          <w:rFonts w:ascii="Arial" w:hAnsi="Arial" w:cs="Arial"/>
        </w:rPr>
        <w:t xml:space="preserve">contractor </w:t>
      </w:r>
      <w:r w:rsidRPr="00374081">
        <w:rPr>
          <w:rFonts w:ascii="Arial" w:hAnsi="Arial" w:cs="Arial"/>
        </w:rPr>
        <w:t>the individually identifiable health information collected by the SCTOD to comply with its statutory purposes.</w:t>
      </w:r>
      <w:r w:rsidR="00374081">
        <w:rPr>
          <w:rFonts w:ascii="Arial" w:hAnsi="Arial" w:cs="Arial"/>
        </w:rPr>
        <w:t xml:space="preserve"> </w:t>
      </w:r>
      <w:r w:rsidRPr="00374081">
        <w:rPr>
          <w:rFonts w:ascii="Arial" w:hAnsi="Arial" w:cs="Arial"/>
        </w:rPr>
        <w:t>Additionally, the electronic systems used to create and maintain the unique ID system exist under the auspices of HRSA’s OIT Certification and Accreditation system.</w:t>
      </w:r>
      <w:r w:rsidR="00374081">
        <w:rPr>
          <w:rFonts w:ascii="Arial" w:hAnsi="Arial" w:cs="Arial"/>
        </w:rPr>
        <w:t xml:space="preserve">  </w:t>
      </w:r>
    </w:p>
    <w:p w:rsidR="001214E5" w:rsidRPr="00374081" w:rsidP="00C0396C" w14:paraId="632887C4" w14:textId="2E7DBE62">
      <w:pPr>
        <w:ind w:left="-5"/>
        <w:rPr>
          <w:rFonts w:ascii="Arial" w:hAnsi="Arial" w:cs="Arial"/>
          <w:sz w:val="20"/>
          <w:szCs w:val="20"/>
        </w:rPr>
      </w:pPr>
      <w:r w:rsidRPr="00374081">
        <w:rPr>
          <w:rFonts w:ascii="Arial" w:hAnsi="Arial" w:cs="Arial"/>
          <w:sz w:val="20"/>
          <w:szCs w:val="20"/>
        </w:rPr>
        <w:t xml:space="preserve"> </w:t>
      </w:r>
    </w:p>
    <w:p w:rsidR="001214E5" w:rsidRPr="00374081" w:rsidP="00006986" w14:paraId="24ED63F7" w14:textId="3E03F227">
      <w:pPr>
        <w:rPr>
          <w:rFonts w:ascii="Arial" w:hAnsi="Arial" w:cs="Arial"/>
        </w:rPr>
      </w:pPr>
      <w:r w:rsidRPr="00374081">
        <w:rPr>
          <w:rFonts w:ascii="Arial" w:hAnsi="Arial" w:cs="Arial"/>
        </w:rPr>
        <w:t xml:space="preserve">Although the data collection instruments do not request direct identifiers, </w:t>
      </w:r>
      <w:r w:rsidR="00210266">
        <w:rPr>
          <w:rFonts w:ascii="Arial" w:hAnsi="Arial" w:cs="Arial"/>
        </w:rPr>
        <w:t xml:space="preserve">due to the nature of reporting transplant outcomes required for the SCTOD contract, they do </w:t>
      </w:r>
      <w:r w:rsidRPr="00374081">
        <w:rPr>
          <w:rFonts w:ascii="Arial" w:hAnsi="Arial" w:cs="Arial"/>
        </w:rPr>
        <w:t>request birth dates, procedure dates, complication and event dates, and death dates.</w:t>
      </w:r>
      <w:r w:rsidR="00374081">
        <w:rPr>
          <w:rFonts w:ascii="Arial" w:hAnsi="Arial" w:cs="Arial"/>
        </w:rPr>
        <w:t xml:space="preserve"> </w:t>
      </w:r>
      <w:r w:rsidR="005F383C">
        <w:rPr>
          <w:rFonts w:ascii="Arial" w:hAnsi="Arial" w:cs="Arial"/>
        </w:rPr>
        <w:t>These data are</w:t>
      </w:r>
      <w:r w:rsidRPr="00374081">
        <w:rPr>
          <w:rFonts w:ascii="Arial" w:hAnsi="Arial" w:cs="Arial"/>
        </w:rPr>
        <w:t xml:space="preserve"> housed in secure electronic data systems </w:t>
      </w:r>
      <w:r w:rsidR="006E351B">
        <w:rPr>
          <w:rFonts w:ascii="Arial" w:hAnsi="Arial" w:cs="Arial"/>
        </w:rPr>
        <w:t xml:space="preserve">under </w:t>
      </w:r>
      <w:r w:rsidR="00B919BA">
        <w:rPr>
          <w:rFonts w:ascii="Arial" w:hAnsi="Arial" w:cs="Arial"/>
        </w:rPr>
        <w:t>the certification and accreditation</w:t>
      </w:r>
      <w:r w:rsidR="00726121">
        <w:rPr>
          <w:rFonts w:ascii="Arial" w:hAnsi="Arial" w:cs="Arial"/>
        </w:rPr>
        <w:t xml:space="preserve"> by HRSA </w:t>
      </w:r>
      <w:r w:rsidR="005E6DFA">
        <w:rPr>
          <w:rFonts w:ascii="Arial" w:hAnsi="Arial" w:cs="Arial"/>
        </w:rPr>
        <w:t>OIT</w:t>
      </w:r>
      <w:r w:rsidR="003E5DCC">
        <w:rPr>
          <w:rFonts w:ascii="Arial" w:hAnsi="Arial" w:cs="Arial"/>
        </w:rPr>
        <w:t xml:space="preserve">. </w:t>
      </w:r>
      <w:r w:rsidR="00374081">
        <w:rPr>
          <w:rFonts w:ascii="Arial" w:hAnsi="Arial" w:cs="Arial"/>
        </w:rPr>
        <w:t xml:space="preserve"> </w:t>
      </w:r>
    </w:p>
    <w:p w:rsidR="002259B7" w:rsidRPr="00374081" w:rsidP="00006986" w14:paraId="600E7A42" w14:textId="26752CF7">
      <w:pPr>
        <w:rPr>
          <w:rFonts w:ascii="Arial" w:hAnsi="Arial" w:cs="Arial"/>
          <w:sz w:val="20"/>
          <w:szCs w:val="20"/>
        </w:rPr>
      </w:pPr>
    </w:p>
    <w:p w:rsidR="00045577" w:rsidRPr="00374081" w:rsidP="00006986" w14:paraId="3189B06A" w14:textId="32AD0926">
      <w:pPr>
        <w:rPr>
          <w:rFonts w:ascii="Arial" w:hAnsi="Arial" w:cs="Arial"/>
        </w:rPr>
      </w:pPr>
      <w:r w:rsidRPr="00374081">
        <w:rPr>
          <w:rFonts w:ascii="Arial" w:hAnsi="Arial" w:cs="Arial"/>
        </w:rPr>
        <w:t xml:space="preserve">Data will be kept private to the extent allowed by law. This data collection is covered by a Certificate of Confidentiality from the National Institutes of Health. The researchers with this Certificate may not disclose or use information, documents, or biospecimens that may identify a patient in any federal, state, or local civil, criminal, administrative, legislative, or other action, suit, or proceeding, or be used as evidence, for example, if there is a court subpoena, unless the patient has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the patient has consented to the disclosure, including for medical treatment; or if it is used for </w:t>
      </w:r>
      <w:r w:rsidR="00210266">
        <w:rPr>
          <w:rFonts w:ascii="Arial" w:hAnsi="Arial" w:cs="Arial"/>
        </w:rPr>
        <w:t>different</w:t>
      </w:r>
      <w:r w:rsidRPr="00374081" w:rsidR="00210266">
        <w:rPr>
          <w:rFonts w:ascii="Arial" w:hAnsi="Arial" w:cs="Arial"/>
        </w:rPr>
        <w:t xml:space="preserve"> </w:t>
      </w:r>
      <w:r w:rsidRPr="00374081">
        <w:rPr>
          <w:rFonts w:ascii="Arial" w:hAnsi="Arial" w:cs="Arial"/>
        </w:rPr>
        <w:t xml:space="preserve">scientific research, as allowed by federal regulations protecting research subjects. </w:t>
      </w:r>
    </w:p>
    <w:p w:rsidR="00045577" w:rsidRPr="00374081" w:rsidP="00006986" w14:paraId="0A41B079" w14:textId="77777777">
      <w:pPr>
        <w:rPr>
          <w:rFonts w:ascii="Arial" w:hAnsi="Arial" w:cs="Arial"/>
          <w:sz w:val="20"/>
          <w:szCs w:val="20"/>
        </w:rPr>
      </w:pPr>
    </w:p>
    <w:p w:rsidR="002259B7" w:rsidRPr="00374081" w:rsidP="00006986" w14:paraId="784AC449" w14:textId="1AAFA347">
      <w:pPr>
        <w:rPr>
          <w:rFonts w:ascii="Arial" w:hAnsi="Arial" w:cs="Arial"/>
        </w:rPr>
      </w:pPr>
      <w:r w:rsidRPr="00374081">
        <w:rPr>
          <w:rFonts w:ascii="Arial" w:hAnsi="Arial" w:cs="Arial"/>
        </w:rPr>
        <w:t xml:space="preserve">The Certificate cannot be used to refuse a request for information from personnel of </w:t>
      </w:r>
      <w:r w:rsidR="00210266">
        <w:rPr>
          <w:rFonts w:ascii="Arial" w:hAnsi="Arial" w:cs="Arial"/>
        </w:rPr>
        <w:t>a United States federal or state government agency sponsoring the project that is needed for auditing or program evaluation by Federal funding agencies, or for information that must be disclosed to meet the requirements of the FDA</w:t>
      </w:r>
      <w:r w:rsidRPr="00374081">
        <w:rPr>
          <w:rFonts w:ascii="Arial" w:hAnsi="Arial" w:cs="Arial"/>
        </w:rPr>
        <w:t>.</w:t>
      </w:r>
      <w:r w:rsidR="00374081">
        <w:rPr>
          <w:rFonts w:ascii="Arial" w:hAnsi="Arial" w:cs="Arial"/>
        </w:rPr>
        <w:t xml:space="preserve"> </w:t>
      </w:r>
    </w:p>
    <w:p w:rsidR="001214E5" w:rsidRPr="00374081" w:rsidP="00006986" w14:paraId="4220B493" w14:textId="77777777">
      <w:pPr>
        <w:rPr>
          <w:rFonts w:ascii="Arial" w:hAnsi="Arial" w:cs="Arial"/>
          <w:sz w:val="20"/>
          <w:szCs w:val="20"/>
        </w:rPr>
      </w:pPr>
      <w:r w:rsidRPr="00374081">
        <w:rPr>
          <w:rFonts w:ascii="Arial" w:hAnsi="Arial" w:cs="Arial"/>
          <w:sz w:val="20"/>
          <w:szCs w:val="20"/>
        </w:rPr>
        <w:t xml:space="preserve"> </w:t>
      </w:r>
    </w:p>
    <w:p w:rsidR="001214E5" w:rsidRPr="00374081" w:rsidP="00006986" w14:paraId="4FA71D13" w14:textId="731738CF">
      <w:pPr>
        <w:numPr>
          <w:ilvl w:val="0"/>
          <w:numId w:val="4"/>
        </w:numPr>
        <w:ind w:left="450" w:hanging="450"/>
        <w:rPr>
          <w:rFonts w:ascii="Arial" w:hAnsi="Arial" w:cs="Arial"/>
          <w:u w:val="single"/>
        </w:rPr>
      </w:pPr>
      <w:r w:rsidRPr="00374081">
        <w:rPr>
          <w:rFonts w:ascii="Arial" w:hAnsi="Arial" w:cs="Arial"/>
          <w:b/>
          <w:u w:val="single"/>
        </w:rPr>
        <w:t>Justification for Sensitive Questions</w:t>
      </w:r>
      <w:r w:rsidR="00374081">
        <w:rPr>
          <w:rFonts w:ascii="Arial" w:hAnsi="Arial" w:cs="Arial"/>
          <w:b/>
          <w:u w:val="single"/>
        </w:rPr>
        <w:t xml:space="preserve"> </w:t>
      </w:r>
    </w:p>
    <w:p w:rsidR="00006986" w:rsidRPr="00AD1DB1" w:rsidP="00006986" w14:paraId="5C883757" w14:textId="77777777">
      <w:pPr>
        <w:ind w:left="450"/>
        <w:rPr>
          <w:rFonts w:ascii="Arial" w:hAnsi="Arial" w:cs="Arial"/>
          <w:sz w:val="20"/>
          <w:szCs w:val="20"/>
        </w:rPr>
      </w:pPr>
    </w:p>
    <w:p w:rsidR="001214E5" w:rsidRPr="00AD1DB1" w:rsidP="00E42E3A" w14:paraId="591349E7" w14:textId="5EB16876">
      <w:pPr>
        <w:tabs>
          <w:tab w:val="left" w:pos="450"/>
        </w:tabs>
        <w:ind w:left="-5" w:right="-90"/>
        <w:rPr>
          <w:rFonts w:ascii="Arial" w:hAnsi="Arial" w:cs="Arial"/>
        </w:rPr>
      </w:pPr>
      <w:r w:rsidRPr="00AD1DB1">
        <w:rPr>
          <w:rFonts w:ascii="Arial" w:hAnsi="Arial" w:cs="Arial"/>
        </w:rPr>
        <w:t xml:space="preserve">There are no questions of a </w:t>
      </w:r>
      <w:r w:rsidRPr="00AD1DB1" w:rsidR="00E42E3A">
        <w:rPr>
          <w:rFonts w:ascii="Arial" w:hAnsi="Arial" w:cs="Arial"/>
        </w:rPr>
        <w:t xml:space="preserve">possible </w:t>
      </w:r>
      <w:r w:rsidRPr="00AD1DB1">
        <w:rPr>
          <w:rFonts w:ascii="Arial" w:hAnsi="Arial" w:cs="Arial"/>
        </w:rPr>
        <w:t>sensitive nature</w:t>
      </w:r>
      <w:r w:rsidRPr="00AD1DB1" w:rsidR="002C50CD">
        <w:rPr>
          <w:rFonts w:ascii="Arial" w:hAnsi="Arial" w:cs="Arial"/>
        </w:rPr>
        <w:t xml:space="preserve">, except for race and ethnicity. These </w:t>
      </w:r>
      <w:r w:rsidRPr="00AD1DB1" w:rsidR="004B37A1">
        <w:rPr>
          <w:rFonts w:ascii="Arial" w:hAnsi="Arial" w:cs="Arial"/>
        </w:rPr>
        <w:t>data</w:t>
      </w:r>
      <w:r w:rsidRPr="00AD1DB1" w:rsidR="002C50CD">
        <w:rPr>
          <w:rFonts w:ascii="Arial" w:hAnsi="Arial" w:cs="Arial"/>
        </w:rPr>
        <w:t xml:space="preserve"> are </w:t>
      </w:r>
      <w:r w:rsidRPr="00AD1DB1" w:rsidR="004B37A1">
        <w:rPr>
          <w:rFonts w:ascii="Arial" w:hAnsi="Arial" w:cs="Arial"/>
        </w:rPr>
        <w:t>necessary</w:t>
      </w:r>
      <w:r w:rsidRPr="00AD1DB1" w:rsidR="002C50CD">
        <w:rPr>
          <w:rFonts w:ascii="Arial" w:hAnsi="Arial" w:cs="Arial"/>
        </w:rPr>
        <w:t xml:space="preserve"> to support analysis of demographic subgroups</w:t>
      </w:r>
      <w:r w:rsidRPr="00AD1DB1" w:rsidR="004B37A1">
        <w:rPr>
          <w:rFonts w:ascii="Arial" w:hAnsi="Arial" w:cs="Arial"/>
        </w:rPr>
        <w:t xml:space="preserve"> and </w:t>
      </w:r>
      <w:r w:rsidRPr="00AD1DB1" w:rsidR="0086282D">
        <w:rPr>
          <w:rFonts w:ascii="Arial" w:hAnsi="Arial" w:cs="Arial"/>
        </w:rPr>
        <w:t>improve access</w:t>
      </w:r>
      <w:r w:rsidRPr="00AD1DB1" w:rsidR="007472E3">
        <w:rPr>
          <w:rFonts w:ascii="Arial" w:hAnsi="Arial" w:cs="Arial"/>
        </w:rPr>
        <w:t>.</w:t>
      </w:r>
      <w:r w:rsidRPr="00AD1DB1">
        <w:rPr>
          <w:rFonts w:ascii="Arial" w:hAnsi="Arial" w:cs="Arial"/>
        </w:rPr>
        <w:t xml:space="preserve"> The only patient-level identifying information is birth date, procedure and complication dates, and death dates. These are required for outcomes reporting for the SCTOD.</w:t>
      </w:r>
      <w:r w:rsidR="00374081">
        <w:rPr>
          <w:rFonts w:ascii="Arial" w:hAnsi="Arial" w:cs="Arial"/>
        </w:rPr>
        <w:t xml:space="preserve"> </w:t>
      </w:r>
      <w:r w:rsidRPr="00AD1DB1">
        <w:rPr>
          <w:rFonts w:ascii="Arial" w:hAnsi="Arial" w:cs="Arial"/>
        </w:rPr>
        <w:t>However, as detailed above, these data are maintained in secure and protected systems.</w:t>
      </w:r>
      <w:r w:rsidR="00374081">
        <w:rPr>
          <w:rFonts w:ascii="Arial" w:hAnsi="Arial" w:cs="Arial"/>
        </w:rPr>
        <w:t xml:space="preserve"> </w:t>
      </w:r>
      <w:r w:rsidRPr="00AD1DB1">
        <w:rPr>
          <w:rFonts w:ascii="Arial" w:hAnsi="Arial" w:cs="Arial"/>
        </w:rPr>
        <w:t xml:space="preserve">Only aggregate data summarizing transplant activity and outcomes are included in reports published by the SCTOD. </w:t>
      </w:r>
    </w:p>
    <w:p w:rsidR="001214E5" w:rsidRPr="00AD1DB1" w:rsidP="0002636F" w14:paraId="54070140" w14:textId="77777777">
      <w:pPr>
        <w:rPr>
          <w:rFonts w:ascii="Arial" w:hAnsi="Arial" w:cs="Arial"/>
          <w:sz w:val="20"/>
          <w:szCs w:val="20"/>
        </w:rPr>
      </w:pPr>
      <w:r w:rsidRPr="00AD1DB1">
        <w:rPr>
          <w:rFonts w:ascii="Arial" w:hAnsi="Arial" w:cs="Arial"/>
          <w:sz w:val="20"/>
          <w:szCs w:val="20"/>
        </w:rPr>
        <w:t xml:space="preserve"> </w:t>
      </w:r>
    </w:p>
    <w:p w:rsidR="001214E5" w:rsidRPr="00AD1DB1" w:rsidP="0002636F" w14:paraId="2BC7E864" w14:textId="4F667026">
      <w:pPr>
        <w:numPr>
          <w:ilvl w:val="0"/>
          <w:numId w:val="4"/>
        </w:numPr>
        <w:ind w:left="446" w:hanging="446"/>
        <w:rPr>
          <w:rFonts w:ascii="Arial" w:hAnsi="Arial" w:cs="Arial"/>
          <w:u w:val="single"/>
        </w:rPr>
      </w:pPr>
      <w:r w:rsidRPr="00AD1DB1">
        <w:rPr>
          <w:rFonts w:ascii="Arial" w:hAnsi="Arial" w:cs="Arial"/>
          <w:b/>
          <w:u w:val="single"/>
        </w:rPr>
        <w:t>Estimates of Annualized Hour and Cost Burden</w:t>
      </w:r>
      <w:r w:rsidR="00374081">
        <w:rPr>
          <w:rFonts w:ascii="Arial" w:hAnsi="Arial" w:cs="Arial"/>
          <w:b/>
          <w:u w:val="single"/>
        </w:rPr>
        <w:t xml:space="preserve"> </w:t>
      </w:r>
    </w:p>
    <w:p w:rsidR="0002636F" w:rsidRPr="00AD1DB1" w:rsidP="0002636F" w14:paraId="337D82D6" w14:textId="77777777">
      <w:pPr>
        <w:ind w:left="446"/>
        <w:rPr>
          <w:rFonts w:ascii="Arial" w:hAnsi="Arial" w:cs="Arial"/>
          <w:sz w:val="20"/>
          <w:szCs w:val="20"/>
        </w:rPr>
      </w:pPr>
    </w:p>
    <w:p w:rsidR="002F7346" w:rsidP="00FA3472" w14:paraId="45F8F581" w14:textId="7DB078AC">
      <w:pPr>
        <w:tabs>
          <w:tab w:val="num" w:pos="720"/>
        </w:tabs>
        <w:spacing w:before="120"/>
        <w:rPr>
          <w:rFonts w:ascii="Arial" w:hAnsi="Arial" w:cs="Arial"/>
        </w:rPr>
      </w:pPr>
      <w:r w:rsidRPr="00AD1DB1">
        <w:rPr>
          <w:rFonts w:ascii="Arial" w:hAnsi="Arial" w:cs="Arial"/>
        </w:rPr>
        <w:t xml:space="preserve">The estimate of </w:t>
      </w:r>
      <w:r w:rsidRPr="00AD1DB1" w:rsidR="00BA4E83">
        <w:rPr>
          <w:rFonts w:ascii="Arial" w:hAnsi="Arial" w:cs="Arial"/>
        </w:rPr>
        <w:t xml:space="preserve">annualized </w:t>
      </w:r>
      <w:r w:rsidRPr="00AD1DB1" w:rsidR="00587EFE">
        <w:rPr>
          <w:rFonts w:ascii="Arial" w:hAnsi="Arial" w:cs="Arial"/>
        </w:rPr>
        <w:t xml:space="preserve">respondent </w:t>
      </w:r>
      <w:r w:rsidRPr="00AD1DB1" w:rsidR="00BA4E83">
        <w:rPr>
          <w:rFonts w:ascii="Arial" w:hAnsi="Arial" w:cs="Arial"/>
        </w:rPr>
        <w:t xml:space="preserve">burden hours </w:t>
      </w:r>
      <w:r w:rsidRPr="00AD1DB1" w:rsidR="00587EFE">
        <w:rPr>
          <w:rFonts w:ascii="Arial" w:hAnsi="Arial" w:cs="Arial"/>
        </w:rPr>
        <w:t xml:space="preserve">and costs </w:t>
      </w:r>
      <w:r w:rsidRPr="00AD1DB1">
        <w:rPr>
          <w:rFonts w:ascii="Arial" w:hAnsi="Arial" w:cs="Arial"/>
        </w:rPr>
        <w:t>to complete data collection instruments is shown in Table</w:t>
      </w:r>
      <w:r w:rsidRPr="00AD1DB1" w:rsidR="00587EFE">
        <w:rPr>
          <w:rFonts w:ascii="Arial" w:hAnsi="Arial" w:cs="Arial"/>
        </w:rPr>
        <w:t>s</w:t>
      </w:r>
      <w:r w:rsidRPr="00AD1DB1">
        <w:rPr>
          <w:rFonts w:ascii="Arial" w:hAnsi="Arial" w:cs="Arial"/>
        </w:rPr>
        <w:t xml:space="preserve"> 1</w:t>
      </w:r>
      <w:r w:rsidRPr="00AD1DB1" w:rsidR="00587EFE">
        <w:rPr>
          <w:rFonts w:ascii="Arial" w:hAnsi="Arial" w:cs="Arial"/>
        </w:rPr>
        <w:t xml:space="preserve"> and 2</w:t>
      </w:r>
      <w:r w:rsidRPr="00AD1DB1">
        <w:rPr>
          <w:rFonts w:ascii="Arial" w:hAnsi="Arial" w:cs="Arial"/>
        </w:rPr>
        <w:t>.</w:t>
      </w:r>
      <w:r w:rsidR="00374081">
        <w:rPr>
          <w:rFonts w:ascii="Arial" w:hAnsi="Arial" w:cs="Arial"/>
        </w:rPr>
        <w:t xml:space="preserve"> </w:t>
      </w:r>
      <w:r w:rsidRPr="00AD1DB1">
        <w:rPr>
          <w:rFonts w:ascii="Arial" w:hAnsi="Arial" w:cs="Arial"/>
        </w:rPr>
        <w:t xml:space="preserve">As </w:t>
      </w:r>
      <w:r w:rsidRPr="00AD1DB1" w:rsidR="006A0ECA">
        <w:rPr>
          <w:rFonts w:ascii="Arial" w:hAnsi="Arial" w:cs="Arial"/>
        </w:rPr>
        <w:t xml:space="preserve">shown in </w:t>
      </w:r>
      <w:r w:rsidRPr="00AD1DB1" w:rsidR="00587EFE">
        <w:rPr>
          <w:rFonts w:ascii="Arial" w:hAnsi="Arial" w:cs="Arial"/>
        </w:rPr>
        <w:t>T</w:t>
      </w:r>
      <w:r w:rsidRPr="00AD1DB1" w:rsidR="00BA4E83">
        <w:rPr>
          <w:rFonts w:ascii="Arial" w:hAnsi="Arial" w:cs="Arial"/>
        </w:rPr>
        <w:t>able</w:t>
      </w:r>
      <w:r w:rsidRPr="00AD1DB1" w:rsidR="00587EFE">
        <w:rPr>
          <w:rFonts w:ascii="Arial" w:hAnsi="Arial" w:cs="Arial"/>
        </w:rPr>
        <w:t xml:space="preserve"> 1</w:t>
      </w:r>
      <w:r w:rsidRPr="00AD1DB1" w:rsidR="00BA4E83">
        <w:rPr>
          <w:rFonts w:ascii="Arial" w:hAnsi="Arial" w:cs="Arial"/>
        </w:rPr>
        <w:t xml:space="preserve">, the </w:t>
      </w:r>
      <w:r w:rsidRPr="00AD1DB1" w:rsidR="006A0ECA">
        <w:rPr>
          <w:rFonts w:ascii="Arial" w:hAnsi="Arial" w:cs="Arial"/>
        </w:rPr>
        <w:t xml:space="preserve">SCTOD </w:t>
      </w:r>
      <w:r w:rsidRPr="00AD1DB1" w:rsidR="00BA4E83">
        <w:rPr>
          <w:rFonts w:ascii="Arial" w:hAnsi="Arial" w:cs="Arial"/>
        </w:rPr>
        <w:t xml:space="preserve">contractor </w:t>
      </w:r>
      <w:r w:rsidRPr="00AD1DB1" w:rsidR="006A0ECA">
        <w:rPr>
          <w:rFonts w:ascii="Arial" w:hAnsi="Arial" w:cs="Arial"/>
        </w:rPr>
        <w:t xml:space="preserve">collects </w:t>
      </w:r>
      <w:r w:rsidRPr="00AD1DB1" w:rsidR="00BD48B0">
        <w:rPr>
          <w:rFonts w:ascii="Arial" w:hAnsi="Arial" w:cs="Arial"/>
        </w:rPr>
        <w:t xml:space="preserve">transplant data from </w:t>
      </w:r>
      <w:r w:rsidRPr="00AD1DB1" w:rsidR="000657E2">
        <w:rPr>
          <w:rFonts w:ascii="Arial" w:hAnsi="Arial" w:cs="Arial"/>
        </w:rPr>
        <w:t xml:space="preserve">182 </w:t>
      </w:r>
      <w:r w:rsidRPr="00AD1DB1">
        <w:rPr>
          <w:rFonts w:ascii="Arial" w:hAnsi="Arial" w:cs="Arial"/>
        </w:rPr>
        <w:t xml:space="preserve">U.S. transplant centers using these reporting instruments. </w:t>
      </w:r>
      <w:r w:rsidRPr="00AD1DB1" w:rsidR="001439E1">
        <w:rPr>
          <w:rFonts w:ascii="Arial" w:hAnsi="Arial" w:cs="Arial"/>
        </w:rPr>
        <w:t>Over time</w:t>
      </w:r>
      <w:r w:rsidR="00210266">
        <w:rPr>
          <w:rFonts w:ascii="Arial" w:hAnsi="Arial" w:cs="Arial"/>
        </w:rPr>
        <w:t>,</w:t>
      </w:r>
      <w:r w:rsidRPr="00AD1DB1" w:rsidR="001439E1">
        <w:rPr>
          <w:rFonts w:ascii="Arial" w:hAnsi="Arial" w:cs="Arial"/>
        </w:rPr>
        <w:t xml:space="preserve"> there is an expected increase in the number of </w:t>
      </w:r>
      <w:r w:rsidRPr="00AD1DB1" w:rsidR="001439E1">
        <w:rPr>
          <w:rFonts w:ascii="Arial" w:hAnsi="Arial" w:cs="Arial"/>
        </w:rPr>
        <w:t>recipients for whom data are reported</w:t>
      </w:r>
      <w:r w:rsidR="00210266">
        <w:rPr>
          <w:rFonts w:ascii="Arial" w:hAnsi="Arial" w:cs="Arial"/>
        </w:rPr>
        <w:t>, as the number of transplants performed annually increases and survivorship after transplantation improves</w:t>
      </w:r>
      <w:r w:rsidRPr="00AD1DB1" w:rsidR="001439E1">
        <w:rPr>
          <w:rFonts w:ascii="Arial" w:hAnsi="Arial" w:cs="Arial"/>
        </w:rPr>
        <w:t xml:space="preserve">. </w:t>
      </w:r>
      <w:r w:rsidRPr="00AD1DB1" w:rsidR="008D7C3F">
        <w:rPr>
          <w:rFonts w:ascii="Arial" w:hAnsi="Arial" w:cs="Arial"/>
        </w:rPr>
        <w:t>The b</w:t>
      </w:r>
      <w:r w:rsidRPr="00AD1DB1">
        <w:rPr>
          <w:rFonts w:ascii="Arial" w:hAnsi="Arial" w:cs="Arial"/>
        </w:rPr>
        <w:t xml:space="preserve">urden of data collection and reporting will vary by transplant center, as </w:t>
      </w:r>
      <w:r w:rsidRPr="00AD1DB1" w:rsidR="00587EFE">
        <w:rPr>
          <w:rFonts w:ascii="Arial" w:hAnsi="Arial" w:cs="Arial"/>
        </w:rPr>
        <w:t xml:space="preserve">HCT facilities exhibit </w:t>
      </w:r>
      <w:r w:rsidRPr="00AD1DB1">
        <w:rPr>
          <w:rFonts w:ascii="Arial" w:hAnsi="Arial" w:cs="Arial"/>
        </w:rPr>
        <w:t xml:space="preserve">a </w:t>
      </w:r>
      <w:r w:rsidR="00210266">
        <w:rPr>
          <w:rFonts w:ascii="Arial" w:hAnsi="Arial" w:cs="Arial"/>
        </w:rPr>
        <w:t>significant</w:t>
      </w:r>
      <w:r w:rsidRPr="00AD1DB1" w:rsidR="00210266">
        <w:rPr>
          <w:rFonts w:ascii="Arial" w:hAnsi="Arial" w:cs="Arial"/>
        </w:rPr>
        <w:t xml:space="preserve"> </w:t>
      </w:r>
      <w:r w:rsidRPr="00AD1DB1">
        <w:rPr>
          <w:rFonts w:ascii="Arial" w:hAnsi="Arial" w:cs="Arial"/>
        </w:rPr>
        <w:t xml:space="preserve">variation in the number of allogeneic transplants performed. </w:t>
      </w:r>
    </w:p>
    <w:p w:rsidR="000B3DCE" w:rsidP="00A009BA" w14:paraId="4FA36DAA" w14:textId="77777777">
      <w:pPr>
        <w:tabs>
          <w:tab w:val="num" w:pos="720"/>
        </w:tabs>
        <w:spacing w:before="120"/>
        <w:rPr>
          <w:rFonts w:ascii="Arial" w:hAnsi="Arial" w:cs="Arial"/>
        </w:rPr>
      </w:pPr>
      <w:r w:rsidRPr="0086427F">
        <w:rPr>
          <w:rFonts w:ascii="Arial" w:hAnsi="Arial" w:cs="Arial"/>
        </w:rPr>
        <w:t xml:space="preserve">The Department of Labor rate was used for estimating respondent’s hourly wage rate. </w:t>
      </w:r>
      <w:r w:rsidRPr="004043C9">
        <w:rPr>
          <w:rFonts w:ascii="Arial" w:hAnsi="Arial" w:cs="Arial"/>
        </w:rPr>
        <w:t xml:space="preserve">  </w:t>
      </w:r>
      <w:r w:rsidR="003B6BC3">
        <w:rPr>
          <w:rFonts w:ascii="Arial" w:hAnsi="Arial" w:cs="Arial"/>
        </w:rPr>
        <w:t xml:space="preserve">The </w:t>
      </w:r>
      <w:r w:rsidRPr="00FA3472">
        <w:rPr>
          <w:rFonts w:ascii="Arial" w:hAnsi="Arial" w:cs="Arial"/>
        </w:rPr>
        <w:t>Bureau of Labor Statistics</w:t>
      </w:r>
      <w:r w:rsidRPr="004043C9">
        <w:rPr>
          <w:rFonts w:ascii="Arial" w:hAnsi="Arial" w:cs="Arial"/>
        </w:rPr>
        <w:t xml:space="preserve"> occupation code 29-2072 Medical Records Specialists was used</w:t>
      </w:r>
      <w:r w:rsidR="003B6BC3">
        <w:rPr>
          <w:rFonts w:ascii="Arial" w:hAnsi="Arial" w:cs="Arial"/>
        </w:rPr>
        <w:t>,</w:t>
      </w:r>
      <w:r w:rsidRPr="004043C9">
        <w:rPr>
          <w:rFonts w:ascii="Arial" w:hAnsi="Arial" w:cs="Arial"/>
        </w:rPr>
        <w:t xml:space="preserve"> as it </w:t>
      </w:r>
      <w:r w:rsidR="00083825">
        <w:rPr>
          <w:rFonts w:ascii="Arial" w:hAnsi="Arial" w:cs="Arial"/>
        </w:rPr>
        <w:t>is the</w:t>
      </w:r>
      <w:r w:rsidR="00DD6776">
        <w:rPr>
          <w:rFonts w:ascii="Arial" w:hAnsi="Arial" w:cs="Arial"/>
        </w:rPr>
        <w:t xml:space="preserve"> </w:t>
      </w:r>
      <w:r w:rsidRPr="004043C9">
        <w:rPr>
          <w:rFonts w:ascii="Arial" w:hAnsi="Arial" w:cs="Arial"/>
        </w:rPr>
        <w:t>close</w:t>
      </w:r>
      <w:r w:rsidR="00DD6776">
        <w:rPr>
          <w:rFonts w:ascii="Arial" w:hAnsi="Arial" w:cs="Arial"/>
        </w:rPr>
        <w:t>st</w:t>
      </w:r>
      <w:r w:rsidRPr="004043C9">
        <w:rPr>
          <w:rFonts w:ascii="Arial" w:hAnsi="Arial" w:cs="Arial"/>
        </w:rPr>
        <w:t xml:space="preserve"> represent</w:t>
      </w:r>
      <w:r w:rsidR="00DD6776">
        <w:rPr>
          <w:rFonts w:ascii="Arial" w:hAnsi="Arial" w:cs="Arial"/>
        </w:rPr>
        <w:t>ation of</w:t>
      </w:r>
      <w:r w:rsidRPr="004043C9">
        <w:rPr>
          <w:rFonts w:ascii="Arial" w:hAnsi="Arial" w:cs="Arial"/>
        </w:rPr>
        <w:t xml:space="preserve"> the required activities for information collection. </w:t>
      </w:r>
      <w:r w:rsidRPr="0086427F">
        <w:rPr>
          <w:rFonts w:ascii="Arial" w:hAnsi="Arial" w:cs="Arial"/>
        </w:rPr>
        <w:t xml:space="preserve">The </w:t>
      </w:r>
      <w:r w:rsidR="00DD6776">
        <w:rPr>
          <w:rFonts w:ascii="Arial" w:hAnsi="Arial" w:cs="Arial"/>
        </w:rPr>
        <w:t>h</w:t>
      </w:r>
      <w:r w:rsidRPr="0086427F">
        <w:rPr>
          <w:rFonts w:ascii="Arial" w:hAnsi="Arial" w:cs="Arial"/>
        </w:rPr>
        <w:t xml:space="preserve">ourly </w:t>
      </w:r>
      <w:r w:rsidR="00DD6776">
        <w:rPr>
          <w:rFonts w:ascii="Arial" w:hAnsi="Arial" w:cs="Arial"/>
        </w:rPr>
        <w:t>w</w:t>
      </w:r>
      <w:r w:rsidRPr="0086427F">
        <w:rPr>
          <w:rFonts w:ascii="Arial" w:hAnsi="Arial" w:cs="Arial"/>
        </w:rPr>
        <w:t xml:space="preserve">age </w:t>
      </w:r>
      <w:r w:rsidR="00DD6776">
        <w:rPr>
          <w:rFonts w:ascii="Arial" w:hAnsi="Arial" w:cs="Arial"/>
        </w:rPr>
        <w:t>r</w:t>
      </w:r>
      <w:r w:rsidRPr="0086427F">
        <w:rPr>
          <w:rFonts w:ascii="Arial" w:hAnsi="Arial" w:cs="Arial"/>
        </w:rPr>
        <w:t xml:space="preserve">ate has been doubled to account for overhead costs. The </w:t>
      </w:r>
      <w:r w:rsidR="00FA3472">
        <w:rPr>
          <w:rFonts w:ascii="Arial" w:hAnsi="Arial" w:cs="Arial"/>
        </w:rPr>
        <w:t>median</w:t>
      </w:r>
      <w:r w:rsidRPr="0086427F">
        <w:rPr>
          <w:rFonts w:ascii="Arial" w:hAnsi="Arial" w:cs="Arial"/>
        </w:rPr>
        <w:t xml:space="preserve"> hourly rate is used, as opposed to adjusting for locality, since award recipients are spread across the country.</w:t>
      </w:r>
    </w:p>
    <w:p w:rsidR="00A009BA" w:rsidP="00A009BA" w14:paraId="4C65C1B7" w14:textId="2957CC31">
      <w:pPr>
        <w:tabs>
          <w:tab w:val="num" w:pos="720"/>
        </w:tabs>
        <w:spacing w:before="120"/>
        <w:rPr>
          <w:rFonts w:ascii="Arial" w:hAnsi="Arial" w:cs="Arial"/>
          <w:b/>
        </w:rPr>
      </w:pPr>
      <w:r>
        <w:rPr>
          <w:rFonts w:ascii="Arial" w:hAnsi="Arial" w:cs="Arial"/>
          <w:b/>
          <w:sz w:val="28"/>
          <w:szCs w:val="28"/>
        </w:rPr>
        <w:br w:type="column"/>
      </w:r>
      <w:r w:rsidRPr="00C45431">
        <w:rPr>
          <w:rFonts w:ascii="Arial" w:hAnsi="Arial" w:cs="Arial"/>
          <w:b/>
          <w:sz w:val="28"/>
          <w:szCs w:val="28"/>
        </w:rPr>
        <w:t>12A.</w:t>
      </w:r>
      <w:r w:rsidRPr="00C45431">
        <w:rPr>
          <w:rFonts w:ascii="Arial" w:hAnsi="Arial" w:cs="Arial"/>
        </w:rPr>
        <w:t xml:space="preserve">        </w:t>
      </w:r>
      <w:r w:rsidRPr="00C45431">
        <w:rPr>
          <w:rFonts w:ascii="Arial" w:hAnsi="Arial" w:cs="Arial"/>
          <w:b/>
        </w:rPr>
        <w:t>Estimated Annualized Burden Hours</w:t>
      </w:r>
    </w:p>
    <w:tbl>
      <w:tblPr>
        <w:tblW w:w="9541" w:type="dxa"/>
        <w:tblInd w:w="-3" w:type="dxa"/>
        <w:tblLayout w:type="fixed"/>
        <w:tblCellMar>
          <w:left w:w="97" w:type="dxa"/>
          <w:right w:w="97" w:type="dxa"/>
        </w:tblCellMar>
        <w:tblLook w:val="0000"/>
      </w:tblPr>
      <w:tblGrid>
        <w:gridCol w:w="2519"/>
        <w:gridCol w:w="1350"/>
        <w:gridCol w:w="1350"/>
        <w:gridCol w:w="1261"/>
        <w:gridCol w:w="1530"/>
        <w:gridCol w:w="1531"/>
      </w:tblGrid>
      <w:tr w14:paraId="2E3724CC" w14:textId="77777777" w:rsidTr="00AD1DB1">
        <w:tblPrEx>
          <w:tblW w:w="9541" w:type="dxa"/>
          <w:tblInd w:w="-3" w:type="dxa"/>
          <w:tblLayout w:type="fixed"/>
          <w:tblCellMar>
            <w:left w:w="97" w:type="dxa"/>
            <w:right w:w="97" w:type="dxa"/>
          </w:tblCellMar>
          <w:tblLook w:val="0000"/>
        </w:tblPrEx>
        <w:trPr>
          <w:cantSplit/>
        </w:trPr>
        <w:tc>
          <w:tcPr>
            <w:tcW w:w="2519" w:type="dxa"/>
            <w:tcBorders>
              <w:top w:val="single" w:sz="2" w:space="0" w:color="auto"/>
              <w:left w:val="single" w:sz="2" w:space="0" w:color="auto"/>
              <w:bottom w:val="single" w:sz="2" w:space="0" w:color="auto"/>
              <w:right w:val="single" w:sz="2" w:space="0" w:color="auto"/>
            </w:tcBorders>
            <w:vAlign w:val="center"/>
          </w:tcPr>
          <w:p w:rsidR="00F61CBF" w:rsidRPr="00AD1DB1" w14:paraId="1C197BA9"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18"/>
                <w:szCs w:val="18"/>
              </w:rPr>
            </w:pPr>
            <w:r w:rsidRPr="00AD1DB1">
              <w:rPr>
                <w:rFonts w:ascii="Arial" w:hAnsi="Arial" w:cs="Arial"/>
                <w:color w:val="000000"/>
                <w:sz w:val="18"/>
                <w:szCs w:val="18"/>
              </w:rPr>
              <w:t>Form Name</w:t>
            </w:r>
            <w:r>
              <w:rPr>
                <w:rStyle w:val="FootnoteReference"/>
                <w:rFonts w:ascii="Arial" w:eastAsia="Arial" w:hAnsi="Arial" w:cs="Arial"/>
                <w:sz w:val="18"/>
                <w:szCs w:val="18"/>
                <w:vertAlign w:val="superscript"/>
              </w:rPr>
              <w:footnoteReference w:id="40"/>
            </w:r>
          </w:p>
        </w:tc>
        <w:tc>
          <w:tcPr>
            <w:tcW w:w="1350" w:type="dxa"/>
            <w:tcBorders>
              <w:top w:val="single" w:sz="2" w:space="0" w:color="auto"/>
              <w:left w:val="single" w:sz="2" w:space="0" w:color="auto"/>
              <w:bottom w:val="single" w:sz="2" w:space="0" w:color="auto"/>
              <w:right w:val="single" w:sz="2" w:space="0" w:color="auto"/>
            </w:tcBorders>
            <w:vAlign w:val="center"/>
          </w:tcPr>
          <w:p w:rsidR="00F61CBF" w:rsidRPr="00AD1DB1" w14:paraId="18A9BDAA" w14:textId="77777777">
            <w:pPr>
              <w:pStyle w:val="BodyText"/>
              <w:jc w:val="center"/>
              <w:rPr>
                <w:rFonts w:ascii="Arial" w:hAnsi="Arial" w:cs="Arial"/>
                <w:sz w:val="18"/>
                <w:szCs w:val="18"/>
              </w:rPr>
            </w:pPr>
            <w:r w:rsidRPr="00AD1DB1">
              <w:rPr>
                <w:rFonts w:ascii="Arial" w:hAnsi="Arial" w:cs="Arial"/>
                <w:color w:val="000000"/>
                <w:sz w:val="18"/>
                <w:szCs w:val="18"/>
              </w:rPr>
              <w:t>Number of Respondents</w:t>
            </w:r>
            <w:r>
              <w:rPr>
                <w:rStyle w:val="FootnoteReference"/>
                <w:rFonts w:ascii="Arial" w:eastAsia="Arial" w:hAnsi="Arial" w:cs="Arial"/>
                <w:sz w:val="18"/>
                <w:szCs w:val="18"/>
                <w:vertAlign w:val="superscript"/>
              </w:rPr>
              <w:footnoteReference w:id="41"/>
            </w:r>
          </w:p>
        </w:tc>
        <w:tc>
          <w:tcPr>
            <w:tcW w:w="1350" w:type="dxa"/>
            <w:tcBorders>
              <w:top w:val="single" w:sz="2" w:space="0" w:color="auto"/>
              <w:left w:val="single" w:sz="2" w:space="0" w:color="auto"/>
              <w:bottom w:val="single" w:sz="2" w:space="0" w:color="auto"/>
              <w:right w:val="single" w:sz="2" w:space="0" w:color="auto"/>
            </w:tcBorders>
            <w:vAlign w:val="center"/>
          </w:tcPr>
          <w:p w:rsidR="00F61CBF" w:rsidRPr="00AD1DB1" w14:paraId="42DDF03C" w14:textId="77777777">
            <w:pPr>
              <w:pStyle w:val="BodyText"/>
              <w:jc w:val="center"/>
              <w:rPr>
                <w:rFonts w:ascii="Arial" w:hAnsi="Arial" w:cs="Arial"/>
                <w:sz w:val="18"/>
                <w:szCs w:val="18"/>
              </w:rPr>
            </w:pPr>
            <w:r w:rsidRPr="00AD1DB1">
              <w:rPr>
                <w:rFonts w:ascii="Arial" w:hAnsi="Arial" w:cs="Arial"/>
                <w:color w:val="000000"/>
                <w:sz w:val="18"/>
                <w:szCs w:val="18"/>
              </w:rPr>
              <w:t>Number of Responses per Respondent</w:t>
            </w:r>
            <w:r>
              <w:rPr>
                <w:rStyle w:val="FootnoteReference"/>
                <w:rFonts w:ascii="Arial" w:eastAsia="Arial" w:hAnsi="Arial" w:cs="Arial"/>
                <w:sz w:val="18"/>
                <w:szCs w:val="18"/>
                <w:vertAlign w:val="superscript"/>
              </w:rPr>
              <w:footnoteReference w:id="42"/>
            </w:r>
          </w:p>
        </w:tc>
        <w:tc>
          <w:tcPr>
            <w:tcW w:w="1261" w:type="dxa"/>
            <w:tcBorders>
              <w:top w:val="single" w:sz="2" w:space="0" w:color="auto"/>
              <w:left w:val="single" w:sz="2" w:space="0" w:color="auto"/>
              <w:bottom w:val="single" w:sz="2" w:space="0" w:color="auto"/>
              <w:right w:val="single" w:sz="2" w:space="0" w:color="auto"/>
            </w:tcBorders>
            <w:vAlign w:val="center"/>
          </w:tcPr>
          <w:p w:rsidR="00F61CBF" w:rsidRPr="00AD1DB1" w14:paraId="57560097" w14:textId="77777777">
            <w:pPr>
              <w:pStyle w:val="BodyText"/>
              <w:jc w:val="center"/>
              <w:rPr>
                <w:rFonts w:ascii="Arial" w:hAnsi="Arial" w:cs="Arial"/>
                <w:sz w:val="18"/>
                <w:szCs w:val="18"/>
              </w:rPr>
            </w:pPr>
            <w:r w:rsidRPr="00AD1DB1">
              <w:rPr>
                <w:rFonts w:ascii="Arial" w:hAnsi="Arial" w:cs="Arial"/>
                <w:color w:val="000000"/>
                <w:sz w:val="18"/>
                <w:szCs w:val="18"/>
              </w:rPr>
              <w:t>Total Responses</w:t>
            </w:r>
          </w:p>
        </w:tc>
        <w:tc>
          <w:tcPr>
            <w:tcW w:w="1530" w:type="dxa"/>
            <w:tcBorders>
              <w:top w:val="single" w:sz="2" w:space="0" w:color="auto"/>
              <w:left w:val="single" w:sz="2" w:space="0" w:color="auto"/>
              <w:bottom w:val="single" w:sz="2" w:space="0" w:color="auto"/>
              <w:right w:val="single" w:sz="2" w:space="0" w:color="auto"/>
            </w:tcBorders>
            <w:vAlign w:val="center"/>
          </w:tcPr>
          <w:p w:rsidR="00F61CBF" w:rsidRPr="00AD1DB1" w14:paraId="1961960C" w14:textId="77777777">
            <w:pPr>
              <w:pStyle w:val="BodyText"/>
              <w:jc w:val="center"/>
              <w:rPr>
                <w:rFonts w:ascii="Arial" w:hAnsi="Arial" w:cs="Arial"/>
                <w:sz w:val="18"/>
                <w:szCs w:val="18"/>
              </w:rPr>
            </w:pPr>
            <w:r w:rsidRPr="00AD1DB1">
              <w:rPr>
                <w:rFonts w:ascii="Arial" w:hAnsi="Arial" w:cs="Arial"/>
                <w:color w:val="000000"/>
                <w:sz w:val="18"/>
                <w:szCs w:val="18"/>
              </w:rPr>
              <w:t>Average Burden per Response (in hours)</w:t>
            </w:r>
            <w:r w:rsidRPr="00AD1DB1">
              <w:rPr>
                <w:rStyle w:val="FootnoteReference"/>
                <w:rFonts w:ascii="Arial" w:eastAsia="Arial" w:hAnsi="Arial" w:cs="Arial"/>
                <w:sz w:val="18"/>
                <w:szCs w:val="18"/>
                <w:vertAlign w:val="superscript"/>
              </w:rPr>
              <w:t xml:space="preserve"> </w:t>
            </w:r>
          </w:p>
        </w:tc>
        <w:tc>
          <w:tcPr>
            <w:tcW w:w="1531" w:type="dxa"/>
            <w:tcBorders>
              <w:top w:val="single" w:sz="2" w:space="0" w:color="auto"/>
              <w:left w:val="single" w:sz="2" w:space="0" w:color="auto"/>
              <w:bottom w:val="single" w:sz="2" w:space="0" w:color="auto"/>
              <w:right w:val="single" w:sz="2" w:space="0" w:color="auto"/>
            </w:tcBorders>
            <w:vAlign w:val="center"/>
          </w:tcPr>
          <w:p w:rsidR="00F61CBF" w:rsidRPr="00AD1DB1" w14:paraId="4FC60122" w14:textId="4DD5CF3B">
            <w:pPr>
              <w:pStyle w:val="BodyText"/>
              <w:jc w:val="center"/>
              <w:rPr>
                <w:rFonts w:ascii="Arial" w:hAnsi="Arial" w:cs="Arial"/>
                <w:sz w:val="18"/>
                <w:szCs w:val="18"/>
              </w:rPr>
            </w:pPr>
            <w:r w:rsidRPr="00AD1DB1">
              <w:rPr>
                <w:rFonts w:ascii="Arial" w:hAnsi="Arial" w:cs="Arial"/>
                <w:color w:val="000000"/>
                <w:sz w:val="18"/>
                <w:szCs w:val="18"/>
              </w:rPr>
              <w:t>Total Burden Hours</w:t>
            </w:r>
            <w:r>
              <w:rPr>
                <w:rStyle w:val="FootnoteReference"/>
                <w:rFonts w:ascii="Arial" w:hAnsi="Arial" w:cs="Arial"/>
                <w:color w:val="000000"/>
                <w:sz w:val="18"/>
                <w:szCs w:val="18"/>
                <w:vertAlign w:val="superscript"/>
              </w:rPr>
              <w:footnoteReference w:id="43"/>
            </w:r>
          </w:p>
        </w:tc>
      </w:tr>
      <w:tr w14:paraId="1330956B" w14:textId="77777777" w:rsidTr="00AD1DB1">
        <w:tblPrEx>
          <w:tblW w:w="9541" w:type="dxa"/>
          <w:tblInd w:w="-3" w:type="dxa"/>
          <w:tblLayout w:type="fixed"/>
          <w:tblCellMar>
            <w:left w:w="97" w:type="dxa"/>
            <w:right w:w="97" w:type="dxa"/>
          </w:tblCellMar>
          <w:tblLook w:val="0000"/>
        </w:tblPrEx>
        <w:tc>
          <w:tcPr>
            <w:tcW w:w="2519" w:type="dxa"/>
            <w:tcBorders>
              <w:top w:val="single" w:sz="2" w:space="0" w:color="auto"/>
              <w:left w:val="single" w:sz="2" w:space="0" w:color="auto"/>
              <w:bottom w:val="single" w:sz="2" w:space="0" w:color="auto"/>
              <w:right w:val="single" w:sz="2" w:space="0" w:color="auto"/>
            </w:tcBorders>
            <w:vAlign w:val="center"/>
          </w:tcPr>
          <w:p w:rsidR="00F61CBF" w:rsidRPr="00AD1DB1" w14:paraId="29740B17" w14:textId="77777777">
            <w:pPr>
              <w:rPr>
                <w:rFonts w:ascii="Arial" w:hAnsi="Arial" w:cs="Arial"/>
                <w:sz w:val="20"/>
                <w:szCs w:val="20"/>
              </w:rPr>
            </w:pPr>
            <w:r w:rsidRPr="00AD1DB1">
              <w:rPr>
                <w:rFonts w:ascii="Arial" w:hAnsi="Arial" w:cs="Arial"/>
                <w:color w:val="000000"/>
                <w:sz w:val="20"/>
                <w:szCs w:val="20"/>
              </w:rPr>
              <w:t>Pre-Transplant Information Collection</w:t>
            </w:r>
          </w:p>
        </w:tc>
        <w:tc>
          <w:tcPr>
            <w:tcW w:w="1350" w:type="dxa"/>
            <w:tcBorders>
              <w:top w:val="single" w:sz="2" w:space="0" w:color="auto"/>
              <w:left w:val="single" w:sz="2" w:space="0" w:color="auto"/>
              <w:bottom w:val="single" w:sz="2" w:space="0" w:color="auto"/>
              <w:right w:val="single" w:sz="2" w:space="0" w:color="auto"/>
            </w:tcBorders>
            <w:vAlign w:val="center"/>
          </w:tcPr>
          <w:p w:rsidR="00F61CBF" w:rsidRPr="00AD1DB1" w14:paraId="63DA29C6" w14:textId="77777777">
            <w:pPr>
              <w:jc w:val="right"/>
              <w:rPr>
                <w:rFonts w:ascii="Arial" w:hAnsi="Arial" w:cs="Arial"/>
                <w:sz w:val="20"/>
                <w:szCs w:val="20"/>
              </w:rPr>
            </w:pPr>
            <w:r w:rsidRPr="00AD1DB1">
              <w:rPr>
                <w:rFonts w:ascii="Arial" w:hAnsi="Arial" w:cs="Arial"/>
                <w:color w:val="000000"/>
                <w:sz w:val="20"/>
                <w:szCs w:val="20"/>
              </w:rPr>
              <w:t>182.00</w:t>
            </w:r>
          </w:p>
        </w:tc>
        <w:tc>
          <w:tcPr>
            <w:tcW w:w="1350" w:type="dxa"/>
            <w:tcBorders>
              <w:top w:val="single" w:sz="2" w:space="0" w:color="auto"/>
              <w:left w:val="single" w:sz="2" w:space="0" w:color="auto"/>
              <w:bottom w:val="single" w:sz="2" w:space="0" w:color="auto"/>
              <w:right w:val="single" w:sz="2" w:space="0" w:color="auto"/>
            </w:tcBorders>
            <w:vAlign w:val="center"/>
          </w:tcPr>
          <w:p w:rsidR="00F61CBF" w:rsidRPr="00AD1DB1" w14:paraId="43818884" w14:textId="0B1C0D12">
            <w:pPr>
              <w:jc w:val="right"/>
              <w:rPr>
                <w:rFonts w:ascii="Arial" w:hAnsi="Arial" w:cs="Arial"/>
                <w:sz w:val="20"/>
                <w:szCs w:val="20"/>
              </w:rPr>
            </w:pPr>
            <w:r w:rsidRPr="00AD1DB1">
              <w:rPr>
                <w:rFonts w:ascii="Arial" w:hAnsi="Arial" w:cs="Arial"/>
                <w:color w:val="000000"/>
                <w:sz w:val="20"/>
                <w:szCs w:val="20"/>
              </w:rPr>
              <w:t>53.</w:t>
            </w:r>
            <w:r w:rsidR="00546484">
              <w:rPr>
                <w:rFonts w:ascii="Arial" w:hAnsi="Arial" w:cs="Arial"/>
                <w:color w:val="000000"/>
                <w:sz w:val="20"/>
                <w:szCs w:val="20"/>
              </w:rPr>
              <w:t>78</w:t>
            </w:r>
          </w:p>
        </w:tc>
        <w:tc>
          <w:tcPr>
            <w:tcW w:w="1261" w:type="dxa"/>
            <w:tcBorders>
              <w:top w:val="single" w:sz="2" w:space="0" w:color="auto"/>
              <w:left w:val="single" w:sz="2" w:space="0" w:color="auto"/>
              <w:bottom w:val="single" w:sz="2" w:space="0" w:color="auto"/>
              <w:right w:val="single" w:sz="2" w:space="0" w:color="auto"/>
            </w:tcBorders>
            <w:vAlign w:val="center"/>
          </w:tcPr>
          <w:p w:rsidR="00F61CBF" w:rsidRPr="00AD1DB1" w14:paraId="5B5F05E5" w14:textId="77777777">
            <w:pPr>
              <w:jc w:val="right"/>
              <w:rPr>
                <w:rFonts w:ascii="Arial" w:hAnsi="Arial" w:cs="Arial"/>
                <w:sz w:val="20"/>
                <w:szCs w:val="20"/>
              </w:rPr>
            </w:pPr>
            <w:r w:rsidRPr="00AD1DB1">
              <w:rPr>
                <w:rFonts w:ascii="Arial" w:hAnsi="Arial" w:cs="Arial"/>
                <w:color w:val="000000"/>
                <w:sz w:val="20"/>
                <w:szCs w:val="20"/>
              </w:rPr>
              <w:t>9,788.00</w:t>
            </w:r>
            <w:r>
              <w:rPr>
                <w:rStyle w:val="FootnoteReference"/>
                <w:rFonts w:ascii="Arial" w:hAnsi="Arial" w:cs="Arial"/>
                <w:color w:val="000000"/>
                <w:sz w:val="20"/>
                <w:szCs w:val="20"/>
                <w:vertAlign w:val="superscript"/>
              </w:rPr>
              <w:footnoteReference w:id="44"/>
            </w:r>
          </w:p>
        </w:tc>
        <w:tc>
          <w:tcPr>
            <w:tcW w:w="1530" w:type="dxa"/>
            <w:tcBorders>
              <w:top w:val="single" w:sz="2" w:space="0" w:color="auto"/>
              <w:left w:val="single" w:sz="2" w:space="0" w:color="auto"/>
              <w:bottom w:val="single" w:sz="2" w:space="0" w:color="auto"/>
              <w:right w:val="single" w:sz="2" w:space="0" w:color="auto"/>
            </w:tcBorders>
            <w:vAlign w:val="center"/>
          </w:tcPr>
          <w:p w:rsidR="00F61CBF" w:rsidRPr="00AD1DB1" w14:paraId="67720924" w14:textId="77777777">
            <w:pPr>
              <w:jc w:val="right"/>
              <w:rPr>
                <w:rFonts w:ascii="Arial" w:hAnsi="Arial" w:cs="Arial"/>
                <w:sz w:val="20"/>
                <w:szCs w:val="20"/>
              </w:rPr>
            </w:pPr>
            <w:r w:rsidRPr="00AD1DB1">
              <w:rPr>
                <w:rFonts w:ascii="Arial" w:hAnsi="Arial" w:cs="Arial"/>
                <w:color w:val="000000"/>
                <w:sz w:val="20"/>
                <w:szCs w:val="20"/>
              </w:rPr>
              <w:t>2.24</w:t>
            </w:r>
            <w:r>
              <w:rPr>
                <w:rStyle w:val="FootnoteReference"/>
                <w:rFonts w:ascii="Arial" w:hAnsi="Arial" w:cs="Arial"/>
                <w:color w:val="000000"/>
                <w:sz w:val="20"/>
                <w:szCs w:val="20"/>
                <w:vertAlign w:val="superscript"/>
              </w:rPr>
              <w:footnoteReference w:id="45"/>
            </w:r>
          </w:p>
        </w:tc>
        <w:tc>
          <w:tcPr>
            <w:tcW w:w="1531" w:type="dxa"/>
            <w:tcBorders>
              <w:top w:val="single" w:sz="2" w:space="0" w:color="auto"/>
              <w:left w:val="single" w:sz="2" w:space="0" w:color="auto"/>
              <w:bottom w:val="single" w:sz="2" w:space="0" w:color="auto"/>
              <w:right w:val="single" w:sz="2" w:space="0" w:color="auto"/>
            </w:tcBorders>
            <w:vAlign w:val="center"/>
          </w:tcPr>
          <w:p w:rsidR="00F61CBF" w:rsidRPr="00AD1DB1" w14:paraId="1CD599F3" w14:textId="452B9AE6">
            <w:pPr>
              <w:jc w:val="right"/>
              <w:rPr>
                <w:rFonts w:ascii="Arial" w:hAnsi="Arial" w:cs="Arial"/>
                <w:sz w:val="20"/>
                <w:szCs w:val="20"/>
              </w:rPr>
            </w:pPr>
            <w:r w:rsidRPr="00AD1DB1">
              <w:rPr>
                <w:rFonts w:ascii="Arial" w:hAnsi="Arial" w:cs="Arial"/>
                <w:color w:val="000000"/>
                <w:sz w:val="20"/>
                <w:szCs w:val="20"/>
              </w:rPr>
              <w:t>21,</w:t>
            </w:r>
            <w:r w:rsidR="00392B66">
              <w:rPr>
                <w:rFonts w:ascii="Arial" w:hAnsi="Arial" w:cs="Arial"/>
                <w:color w:val="000000"/>
                <w:sz w:val="20"/>
                <w:szCs w:val="20"/>
              </w:rPr>
              <w:t>902</w:t>
            </w:r>
            <w:r w:rsidR="00546484">
              <w:rPr>
                <w:rFonts w:ascii="Arial" w:hAnsi="Arial" w:cs="Arial"/>
                <w:color w:val="000000"/>
                <w:sz w:val="20"/>
                <w:szCs w:val="20"/>
              </w:rPr>
              <w:t>.</w:t>
            </w:r>
            <w:r w:rsidR="00392B66">
              <w:rPr>
                <w:rFonts w:ascii="Arial" w:hAnsi="Arial" w:cs="Arial"/>
                <w:color w:val="000000"/>
                <w:sz w:val="20"/>
                <w:szCs w:val="20"/>
              </w:rPr>
              <w:t>61</w:t>
            </w:r>
          </w:p>
        </w:tc>
      </w:tr>
      <w:tr w14:paraId="018B69E5" w14:textId="77777777" w:rsidTr="00AD1DB1">
        <w:tblPrEx>
          <w:tblW w:w="9541" w:type="dxa"/>
          <w:tblInd w:w="-3" w:type="dxa"/>
          <w:tblLayout w:type="fixed"/>
          <w:tblCellMar>
            <w:left w:w="97" w:type="dxa"/>
            <w:right w:w="97" w:type="dxa"/>
          </w:tblCellMar>
          <w:tblLook w:val="0000"/>
        </w:tblPrEx>
        <w:tc>
          <w:tcPr>
            <w:tcW w:w="2519" w:type="dxa"/>
            <w:tcBorders>
              <w:top w:val="single" w:sz="2" w:space="0" w:color="auto"/>
              <w:left w:val="single" w:sz="2" w:space="0" w:color="auto"/>
              <w:bottom w:val="single" w:sz="2" w:space="0" w:color="auto"/>
              <w:right w:val="single" w:sz="2" w:space="0" w:color="auto"/>
            </w:tcBorders>
            <w:vAlign w:val="center"/>
          </w:tcPr>
          <w:p w:rsidR="00546484" w:rsidRPr="00AD1DB1" w:rsidP="00546484" w14:paraId="44103B3E" w14:textId="77777777">
            <w:pPr>
              <w:rPr>
                <w:rFonts w:ascii="Arial" w:hAnsi="Arial" w:cs="Arial"/>
                <w:sz w:val="20"/>
                <w:szCs w:val="20"/>
              </w:rPr>
            </w:pPr>
            <w:r w:rsidRPr="00AD1DB1">
              <w:rPr>
                <w:rFonts w:ascii="Arial" w:hAnsi="Arial" w:cs="Arial"/>
                <w:color w:val="000000"/>
                <w:sz w:val="20"/>
                <w:szCs w:val="20"/>
              </w:rPr>
              <w:t>Transplant Procedure and Product Information</w:t>
            </w:r>
          </w:p>
        </w:tc>
        <w:tc>
          <w:tcPr>
            <w:tcW w:w="1350" w:type="dxa"/>
            <w:tcBorders>
              <w:top w:val="single" w:sz="2" w:space="0" w:color="auto"/>
              <w:left w:val="single" w:sz="2" w:space="0" w:color="auto"/>
              <w:bottom w:val="single" w:sz="2" w:space="0" w:color="auto"/>
              <w:right w:val="single" w:sz="2" w:space="0" w:color="auto"/>
            </w:tcBorders>
            <w:vAlign w:val="center"/>
          </w:tcPr>
          <w:p w:rsidR="00546484" w:rsidRPr="00AD1DB1" w:rsidP="00546484" w14:paraId="3DBD82CE" w14:textId="77777777">
            <w:pPr>
              <w:jc w:val="right"/>
              <w:rPr>
                <w:rFonts w:ascii="Arial" w:hAnsi="Arial" w:cs="Arial"/>
                <w:sz w:val="20"/>
                <w:szCs w:val="20"/>
              </w:rPr>
            </w:pPr>
            <w:r w:rsidRPr="00AD1DB1">
              <w:rPr>
                <w:rFonts w:ascii="Arial" w:hAnsi="Arial" w:cs="Arial"/>
                <w:color w:val="000000"/>
                <w:sz w:val="20"/>
                <w:szCs w:val="20"/>
              </w:rPr>
              <w:t>182.00</w:t>
            </w:r>
          </w:p>
        </w:tc>
        <w:tc>
          <w:tcPr>
            <w:tcW w:w="1350" w:type="dxa"/>
            <w:tcBorders>
              <w:top w:val="single" w:sz="2" w:space="0" w:color="auto"/>
              <w:left w:val="single" w:sz="2" w:space="0" w:color="auto"/>
              <w:bottom w:val="single" w:sz="2" w:space="0" w:color="auto"/>
              <w:right w:val="single" w:sz="2" w:space="0" w:color="auto"/>
            </w:tcBorders>
            <w:vAlign w:val="center"/>
          </w:tcPr>
          <w:p w:rsidR="00546484" w:rsidRPr="00AD1DB1" w:rsidP="00546484" w14:paraId="2A4FE50A" w14:textId="01986653">
            <w:pPr>
              <w:jc w:val="right"/>
              <w:rPr>
                <w:rFonts w:ascii="Arial" w:hAnsi="Arial" w:cs="Arial"/>
                <w:sz w:val="20"/>
                <w:szCs w:val="20"/>
              </w:rPr>
            </w:pPr>
            <w:r w:rsidRPr="00AD1DB1">
              <w:rPr>
                <w:rFonts w:ascii="Arial" w:hAnsi="Arial" w:cs="Arial"/>
                <w:color w:val="000000"/>
                <w:sz w:val="20"/>
                <w:szCs w:val="20"/>
              </w:rPr>
              <w:t>53.</w:t>
            </w:r>
            <w:r>
              <w:rPr>
                <w:rFonts w:ascii="Arial" w:hAnsi="Arial" w:cs="Arial"/>
                <w:color w:val="000000"/>
                <w:sz w:val="20"/>
                <w:szCs w:val="20"/>
              </w:rPr>
              <w:t>78</w:t>
            </w:r>
          </w:p>
        </w:tc>
        <w:tc>
          <w:tcPr>
            <w:tcW w:w="1261" w:type="dxa"/>
            <w:tcBorders>
              <w:top w:val="single" w:sz="2" w:space="0" w:color="auto"/>
              <w:left w:val="single" w:sz="2" w:space="0" w:color="auto"/>
              <w:bottom w:val="single" w:sz="2" w:space="0" w:color="auto"/>
              <w:right w:val="single" w:sz="2" w:space="0" w:color="auto"/>
            </w:tcBorders>
            <w:vAlign w:val="center"/>
          </w:tcPr>
          <w:p w:rsidR="00546484" w:rsidRPr="00AD1DB1" w:rsidP="00546484" w14:paraId="5612800E" w14:textId="77777777">
            <w:pPr>
              <w:jc w:val="right"/>
              <w:rPr>
                <w:rFonts w:ascii="Arial" w:hAnsi="Arial" w:cs="Arial"/>
                <w:sz w:val="20"/>
                <w:szCs w:val="20"/>
              </w:rPr>
            </w:pPr>
            <w:r w:rsidRPr="00AD1DB1">
              <w:rPr>
                <w:rFonts w:ascii="Arial" w:hAnsi="Arial" w:cs="Arial"/>
                <w:color w:val="000000"/>
                <w:sz w:val="20"/>
                <w:szCs w:val="20"/>
              </w:rPr>
              <w:t>9,788.00</w:t>
            </w:r>
            <w:r>
              <w:rPr>
                <w:rStyle w:val="FootnoteReference"/>
                <w:rFonts w:ascii="Arial" w:hAnsi="Arial" w:cs="Arial"/>
                <w:color w:val="000000"/>
                <w:sz w:val="20"/>
                <w:szCs w:val="20"/>
                <w:vertAlign w:val="superscript"/>
              </w:rPr>
              <w:footnoteReference w:id="46"/>
            </w:r>
          </w:p>
        </w:tc>
        <w:tc>
          <w:tcPr>
            <w:tcW w:w="1530" w:type="dxa"/>
            <w:tcBorders>
              <w:top w:val="single" w:sz="2" w:space="0" w:color="auto"/>
              <w:left w:val="single" w:sz="2" w:space="0" w:color="auto"/>
              <w:bottom w:val="single" w:sz="2" w:space="0" w:color="auto"/>
              <w:right w:val="single" w:sz="2" w:space="0" w:color="auto"/>
            </w:tcBorders>
            <w:vAlign w:val="center"/>
          </w:tcPr>
          <w:p w:rsidR="00546484" w:rsidRPr="00AD1DB1" w:rsidP="00546484" w14:paraId="1EC7879C" w14:textId="77777777">
            <w:pPr>
              <w:jc w:val="right"/>
              <w:rPr>
                <w:rFonts w:ascii="Arial" w:hAnsi="Arial" w:cs="Arial"/>
                <w:sz w:val="20"/>
                <w:szCs w:val="20"/>
              </w:rPr>
            </w:pPr>
            <w:r w:rsidRPr="00AD1DB1">
              <w:rPr>
                <w:rFonts w:ascii="Arial" w:hAnsi="Arial" w:cs="Arial"/>
                <w:color w:val="000000"/>
                <w:sz w:val="20"/>
                <w:szCs w:val="20"/>
              </w:rPr>
              <w:t>0.75</w:t>
            </w:r>
            <w:r>
              <w:rPr>
                <w:rStyle w:val="FootnoteReference"/>
                <w:rFonts w:ascii="Arial" w:hAnsi="Arial" w:cs="Arial"/>
                <w:color w:val="000000"/>
                <w:sz w:val="20"/>
                <w:szCs w:val="20"/>
                <w:vertAlign w:val="superscript"/>
              </w:rPr>
              <w:footnoteReference w:id="47"/>
            </w:r>
          </w:p>
        </w:tc>
        <w:tc>
          <w:tcPr>
            <w:tcW w:w="1531" w:type="dxa"/>
            <w:tcBorders>
              <w:top w:val="single" w:sz="2" w:space="0" w:color="auto"/>
              <w:left w:val="single" w:sz="2" w:space="0" w:color="auto"/>
              <w:bottom w:val="single" w:sz="2" w:space="0" w:color="auto"/>
              <w:right w:val="single" w:sz="2" w:space="0" w:color="auto"/>
            </w:tcBorders>
            <w:vAlign w:val="center"/>
          </w:tcPr>
          <w:p w:rsidR="00546484" w:rsidRPr="00AD1DB1" w:rsidP="00546484" w14:paraId="67AA1C13" w14:textId="7D20F4CF">
            <w:pPr>
              <w:jc w:val="right"/>
              <w:rPr>
                <w:rFonts w:ascii="Arial" w:hAnsi="Arial" w:cs="Arial"/>
                <w:sz w:val="20"/>
                <w:szCs w:val="20"/>
              </w:rPr>
            </w:pPr>
            <w:r>
              <w:rPr>
                <w:rFonts w:ascii="Arial" w:hAnsi="Arial" w:cs="Arial"/>
                <w:color w:val="000000"/>
                <w:sz w:val="20"/>
                <w:szCs w:val="20"/>
              </w:rPr>
              <w:t>7,356.66</w:t>
            </w:r>
          </w:p>
        </w:tc>
      </w:tr>
      <w:tr w14:paraId="2A4A36E2" w14:textId="77777777" w:rsidTr="00AD1DB1">
        <w:tblPrEx>
          <w:tblW w:w="9541" w:type="dxa"/>
          <w:tblInd w:w="-3" w:type="dxa"/>
          <w:tblLayout w:type="fixed"/>
          <w:tblCellMar>
            <w:left w:w="97" w:type="dxa"/>
            <w:right w:w="97" w:type="dxa"/>
          </w:tblCellMar>
          <w:tblLook w:val="0000"/>
        </w:tblPrEx>
        <w:tc>
          <w:tcPr>
            <w:tcW w:w="2519" w:type="dxa"/>
            <w:tcBorders>
              <w:top w:val="single" w:sz="2" w:space="0" w:color="auto"/>
              <w:left w:val="single" w:sz="2" w:space="0" w:color="auto"/>
              <w:bottom w:val="single" w:sz="2" w:space="0" w:color="auto"/>
              <w:right w:val="single" w:sz="2" w:space="0" w:color="auto"/>
            </w:tcBorders>
            <w:vAlign w:val="center"/>
          </w:tcPr>
          <w:p w:rsidR="00F61CBF" w:rsidRPr="00AD1DB1" w14:paraId="25791A32" w14:textId="77777777">
            <w:pPr>
              <w:rPr>
                <w:rFonts w:ascii="Arial" w:hAnsi="Arial" w:cs="Arial"/>
                <w:sz w:val="20"/>
                <w:szCs w:val="20"/>
              </w:rPr>
            </w:pPr>
            <w:r w:rsidRPr="00AD1DB1">
              <w:rPr>
                <w:rFonts w:ascii="Arial" w:hAnsi="Arial" w:cs="Arial"/>
                <w:color w:val="000000"/>
                <w:sz w:val="20"/>
                <w:szCs w:val="20"/>
              </w:rPr>
              <w:t>Post-Transplant Periodic Information Collection based on Predetermined Schedule</w:t>
            </w:r>
          </w:p>
        </w:tc>
        <w:tc>
          <w:tcPr>
            <w:tcW w:w="1350" w:type="dxa"/>
            <w:tcBorders>
              <w:top w:val="single" w:sz="2" w:space="0" w:color="auto"/>
              <w:left w:val="single" w:sz="2" w:space="0" w:color="auto"/>
              <w:bottom w:val="single" w:sz="2" w:space="0" w:color="auto"/>
              <w:right w:val="single" w:sz="2" w:space="0" w:color="auto"/>
            </w:tcBorders>
            <w:vAlign w:val="center"/>
          </w:tcPr>
          <w:p w:rsidR="00F61CBF" w:rsidRPr="00AD1DB1" w14:paraId="31EEAF08" w14:textId="77777777">
            <w:pPr>
              <w:jc w:val="right"/>
              <w:rPr>
                <w:rFonts w:ascii="Arial" w:hAnsi="Arial" w:cs="Arial"/>
                <w:sz w:val="20"/>
                <w:szCs w:val="20"/>
              </w:rPr>
            </w:pPr>
            <w:r w:rsidRPr="00AD1DB1">
              <w:rPr>
                <w:rFonts w:ascii="Arial" w:hAnsi="Arial" w:cs="Arial"/>
                <w:color w:val="000000"/>
                <w:sz w:val="20"/>
                <w:szCs w:val="20"/>
              </w:rPr>
              <w:t>182.00</w:t>
            </w:r>
          </w:p>
        </w:tc>
        <w:tc>
          <w:tcPr>
            <w:tcW w:w="1350" w:type="dxa"/>
            <w:tcBorders>
              <w:top w:val="single" w:sz="2" w:space="0" w:color="auto"/>
              <w:left w:val="single" w:sz="2" w:space="0" w:color="auto"/>
              <w:bottom w:val="single" w:sz="2" w:space="0" w:color="auto"/>
              <w:right w:val="single" w:sz="2" w:space="0" w:color="auto"/>
            </w:tcBorders>
            <w:vAlign w:val="center"/>
          </w:tcPr>
          <w:p w:rsidR="00F61CBF" w:rsidRPr="00AD1DB1" w14:paraId="2CBD8898" w14:textId="3C8F600C">
            <w:pPr>
              <w:jc w:val="right"/>
              <w:rPr>
                <w:rFonts w:ascii="Arial" w:hAnsi="Arial" w:cs="Arial"/>
                <w:sz w:val="20"/>
                <w:szCs w:val="20"/>
              </w:rPr>
            </w:pPr>
            <w:r w:rsidRPr="00AD1DB1">
              <w:rPr>
                <w:rFonts w:ascii="Arial" w:hAnsi="Arial" w:cs="Arial"/>
                <w:color w:val="000000"/>
                <w:sz w:val="20"/>
                <w:szCs w:val="20"/>
              </w:rPr>
              <w:t>418.</w:t>
            </w:r>
            <w:r w:rsidR="00546484">
              <w:rPr>
                <w:rFonts w:ascii="Arial" w:hAnsi="Arial" w:cs="Arial"/>
                <w:color w:val="000000"/>
                <w:sz w:val="20"/>
                <w:szCs w:val="20"/>
              </w:rPr>
              <w:t>86</w:t>
            </w:r>
          </w:p>
        </w:tc>
        <w:tc>
          <w:tcPr>
            <w:tcW w:w="1261" w:type="dxa"/>
            <w:tcBorders>
              <w:top w:val="single" w:sz="2" w:space="0" w:color="auto"/>
              <w:left w:val="single" w:sz="2" w:space="0" w:color="auto"/>
              <w:bottom w:val="single" w:sz="2" w:space="0" w:color="auto"/>
              <w:right w:val="single" w:sz="2" w:space="0" w:color="auto"/>
            </w:tcBorders>
            <w:vAlign w:val="center"/>
          </w:tcPr>
          <w:p w:rsidR="00F61CBF" w:rsidRPr="00AD1DB1" w14:paraId="7E2DFC04" w14:textId="77777777">
            <w:pPr>
              <w:jc w:val="right"/>
              <w:rPr>
                <w:rFonts w:ascii="Arial" w:hAnsi="Arial" w:cs="Arial"/>
                <w:sz w:val="20"/>
                <w:szCs w:val="20"/>
              </w:rPr>
            </w:pPr>
            <w:r w:rsidRPr="00AD1DB1">
              <w:rPr>
                <w:rFonts w:ascii="Arial" w:hAnsi="Arial" w:cs="Arial"/>
                <w:color w:val="000000"/>
                <w:sz w:val="20"/>
                <w:szCs w:val="20"/>
              </w:rPr>
              <w:t>76,232.00</w:t>
            </w:r>
            <w:r>
              <w:rPr>
                <w:rStyle w:val="FootnoteReference"/>
                <w:rFonts w:ascii="Arial" w:hAnsi="Arial" w:cs="Arial"/>
                <w:color w:val="000000"/>
                <w:sz w:val="20"/>
                <w:szCs w:val="20"/>
                <w:vertAlign w:val="superscript"/>
              </w:rPr>
              <w:footnoteReference w:id="48"/>
            </w:r>
          </w:p>
        </w:tc>
        <w:tc>
          <w:tcPr>
            <w:tcW w:w="1530" w:type="dxa"/>
            <w:tcBorders>
              <w:top w:val="single" w:sz="2" w:space="0" w:color="auto"/>
              <w:left w:val="single" w:sz="2" w:space="0" w:color="auto"/>
              <w:bottom w:val="single" w:sz="2" w:space="0" w:color="auto"/>
              <w:right w:val="single" w:sz="2" w:space="0" w:color="auto"/>
            </w:tcBorders>
            <w:vAlign w:val="center"/>
          </w:tcPr>
          <w:p w:rsidR="00F61CBF" w:rsidRPr="00AD1DB1" w14:paraId="452A2CA0" w14:textId="77777777">
            <w:pPr>
              <w:jc w:val="right"/>
              <w:rPr>
                <w:rFonts w:ascii="Arial" w:hAnsi="Arial" w:cs="Arial"/>
                <w:sz w:val="20"/>
                <w:szCs w:val="20"/>
              </w:rPr>
            </w:pPr>
            <w:r w:rsidRPr="00AD1DB1">
              <w:rPr>
                <w:rFonts w:ascii="Arial" w:hAnsi="Arial" w:cs="Arial"/>
                <w:color w:val="000000"/>
                <w:sz w:val="20"/>
                <w:szCs w:val="20"/>
              </w:rPr>
              <w:t>0.57</w:t>
            </w:r>
            <w:r>
              <w:rPr>
                <w:rStyle w:val="FootnoteReference"/>
                <w:rFonts w:ascii="Arial" w:hAnsi="Arial" w:cs="Arial"/>
                <w:color w:val="000000"/>
                <w:sz w:val="20"/>
                <w:szCs w:val="20"/>
                <w:vertAlign w:val="superscript"/>
              </w:rPr>
              <w:footnoteReference w:id="49"/>
            </w:r>
          </w:p>
        </w:tc>
        <w:tc>
          <w:tcPr>
            <w:tcW w:w="1531" w:type="dxa"/>
            <w:tcBorders>
              <w:top w:val="single" w:sz="2" w:space="0" w:color="auto"/>
              <w:left w:val="single" w:sz="2" w:space="0" w:color="auto"/>
              <w:bottom w:val="single" w:sz="2" w:space="0" w:color="auto"/>
              <w:right w:val="single" w:sz="2" w:space="0" w:color="auto"/>
            </w:tcBorders>
            <w:vAlign w:val="center"/>
          </w:tcPr>
          <w:p w:rsidR="00F61CBF" w:rsidRPr="00AD1DB1" w14:paraId="7DFEC3AC" w14:textId="77777777">
            <w:pPr>
              <w:jc w:val="right"/>
              <w:rPr>
                <w:rFonts w:ascii="Arial" w:hAnsi="Arial" w:cs="Arial"/>
                <w:sz w:val="20"/>
                <w:szCs w:val="20"/>
              </w:rPr>
            </w:pPr>
            <w:r w:rsidRPr="00AD1DB1">
              <w:rPr>
                <w:rFonts w:ascii="Arial" w:hAnsi="Arial" w:cs="Arial"/>
                <w:color w:val="000000"/>
                <w:sz w:val="20"/>
                <w:szCs w:val="20"/>
              </w:rPr>
              <w:t>43,810.53</w:t>
            </w:r>
          </w:p>
        </w:tc>
      </w:tr>
      <w:tr w14:paraId="4DA2BC79" w14:textId="77777777" w:rsidTr="00AD1DB1">
        <w:tblPrEx>
          <w:tblW w:w="9541" w:type="dxa"/>
          <w:tblInd w:w="-3" w:type="dxa"/>
          <w:tblLayout w:type="fixed"/>
          <w:tblCellMar>
            <w:left w:w="97" w:type="dxa"/>
            <w:right w:w="97" w:type="dxa"/>
          </w:tblCellMar>
          <w:tblLook w:val="0000"/>
        </w:tblPrEx>
        <w:tc>
          <w:tcPr>
            <w:tcW w:w="2519" w:type="dxa"/>
            <w:tcBorders>
              <w:top w:val="single" w:sz="2" w:space="0" w:color="auto"/>
              <w:left w:val="single" w:sz="2" w:space="0" w:color="auto"/>
              <w:bottom w:val="single" w:sz="2" w:space="0" w:color="auto"/>
              <w:right w:val="single" w:sz="2" w:space="0" w:color="auto"/>
            </w:tcBorders>
          </w:tcPr>
          <w:p w:rsidR="00F61CBF" w:rsidRPr="00AD1DB1" w14:paraId="399C5AE4" w14:textId="77777777">
            <w:pPr>
              <w:rPr>
                <w:rFonts w:ascii="Arial" w:hAnsi="Arial" w:cs="Arial"/>
                <w:sz w:val="20"/>
                <w:szCs w:val="20"/>
              </w:rPr>
            </w:pPr>
            <w:r w:rsidRPr="00AD1DB1">
              <w:rPr>
                <w:rFonts w:ascii="Arial" w:hAnsi="Arial" w:cs="Arial"/>
                <w:sz w:val="20"/>
                <w:szCs w:val="20"/>
                <w:lang w:val="fr-FR"/>
              </w:rPr>
              <w:t>Total</w:t>
            </w:r>
          </w:p>
        </w:tc>
        <w:tc>
          <w:tcPr>
            <w:tcW w:w="1350" w:type="dxa"/>
            <w:tcBorders>
              <w:top w:val="single" w:sz="2" w:space="0" w:color="auto"/>
              <w:left w:val="single" w:sz="2" w:space="0" w:color="auto"/>
              <w:bottom w:val="single" w:sz="2" w:space="0" w:color="auto"/>
              <w:right w:val="single" w:sz="2" w:space="0" w:color="auto"/>
            </w:tcBorders>
            <w:vAlign w:val="center"/>
          </w:tcPr>
          <w:p w:rsidR="00F61CBF" w:rsidRPr="00AD1DB1" w14:paraId="3E57A1EA" w14:textId="77777777">
            <w:pPr>
              <w:jc w:val="right"/>
              <w:rPr>
                <w:rFonts w:ascii="Arial" w:hAnsi="Arial" w:cs="Arial"/>
                <w:sz w:val="20"/>
                <w:szCs w:val="20"/>
              </w:rPr>
            </w:pPr>
            <w:r w:rsidRPr="00AD1DB1">
              <w:rPr>
                <w:rFonts w:ascii="Arial" w:hAnsi="Arial" w:cs="Arial"/>
                <w:color w:val="000000"/>
                <w:sz w:val="20"/>
                <w:szCs w:val="20"/>
              </w:rPr>
              <w:t>182.00</w:t>
            </w:r>
          </w:p>
        </w:tc>
        <w:tc>
          <w:tcPr>
            <w:tcW w:w="1350" w:type="dxa"/>
            <w:tcBorders>
              <w:top w:val="single" w:sz="2" w:space="0" w:color="auto"/>
              <w:left w:val="single" w:sz="2" w:space="0" w:color="auto"/>
              <w:bottom w:val="single" w:sz="2" w:space="0" w:color="auto"/>
              <w:right w:val="single" w:sz="2" w:space="0" w:color="auto"/>
            </w:tcBorders>
            <w:vAlign w:val="center"/>
          </w:tcPr>
          <w:p w:rsidR="00F61CBF" w:rsidRPr="00AD1DB1" w14:paraId="42EB539E" w14:textId="77777777">
            <w:pPr>
              <w:jc w:val="right"/>
              <w:rPr>
                <w:rFonts w:ascii="Arial" w:hAnsi="Arial" w:cs="Arial"/>
                <w:sz w:val="20"/>
                <w:szCs w:val="20"/>
              </w:rPr>
            </w:pPr>
          </w:p>
        </w:tc>
        <w:tc>
          <w:tcPr>
            <w:tcW w:w="1261" w:type="dxa"/>
            <w:tcBorders>
              <w:top w:val="single" w:sz="2" w:space="0" w:color="auto"/>
              <w:left w:val="single" w:sz="2" w:space="0" w:color="auto"/>
              <w:bottom w:val="single" w:sz="2" w:space="0" w:color="auto"/>
              <w:right w:val="single" w:sz="2" w:space="0" w:color="auto"/>
            </w:tcBorders>
            <w:vAlign w:val="center"/>
          </w:tcPr>
          <w:p w:rsidR="00F61CBF" w:rsidRPr="00AD1DB1" w14:paraId="58F3A46C" w14:textId="77777777">
            <w:pPr>
              <w:jc w:val="right"/>
              <w:rPr>
                <w:rFonts w:ascii="Arial" w:hAnsi="Arial" w:cs="Arial"/>
                <w:sz w:val="20"/>
                <w:szCs w:val="20"/>
              </w:rPr>
            </w:pPr>
            <w:r w:rsidRPr="00AD1DB1">
              <w:rPr>
                <w:rFonts w:ascii="Arial" w:hAnsi="Arial" w:cs="Arial"/>
                <w:color w:val="000000"/>
                <w:sz w:val="20"/>
                <w:szCs w:val="20"/>
              </w:rPr>
              <w:t>95,808.00</w:t>
            </w:r>
          </w:p>
        </w:tc>
        <w:tc>
          <w:tcPr>
            <w:tcW w:w="1530" w:type="dxa"/>
            <w:tcBorders>
              <w:top w:val="single" w:sz="2" w:space="0" w:color="auto"/>
              <w:left w:val="single" w:sz="2" w:space="0" w:color="auto"/>
              <w:bottom w:val="single" w:sz="2" w:space="0" w:color="auto"/>
              <w:right w:val="single" w:sz="2" w:space="0" w:color="auto"/>
            </w:tcBorders>
            <w:vAlign w:val="center"/>
          </w:tcPr>
          <w:p w:rsidR="00F61CBF" w:rsidRPr="00AD1DB1" w14:paraId="15F79CC7" w14:textId="77777777">
            <w:pPr>
              <w:jc w:val="right"/>
              <w:rPr>
                <w:rFonts w:ascii="Arial" w:hAnsi="Arial" w:cs="Arial"/>
                <w:sz w:val="20"/>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F61CBF" w:rsidRPr="00AD1DB1" w14:paraId="57463417" w14:textId="77777777">
            <w:pPr>
              <w:jc w:val="right"/>
              <w:rPr>
                <w:rFonts w:ascii="Arial" w:hAnsi="Arial" w:cs="Arial"/>
                <w:sz w:val="20"/>
                <w:szCs w:val="20"/>
              </w:rPr>
            </w:pPr>
            <w:r w:rsidRPr="00AD1DB1">
              <w:rPr>
                <w:rFonts w:ascii="Arial" w:hAnsi="Arial" w:cs="Arial"/>
                <w:color w:val="000000"/>
                <w:sz w:val="20"/>
                <w:szCs w:val="20"/>
              </w:rPr>
              <w:t>73,069.80</w:t>
            </w:r>
          </w:p>
        </w:tc>
      </w:tr>
    </w:tbl>
    <w:p w:rsidR="000B3DCE" w:rsidRPr="000B3DCE" w:rsidP="000B3DCE" w14:paraId="4BB2E926" w14:textId="6BC8B3FF">
      <w:pPr>
        <w:tabs>
          <w:tab w:val="num" w:pos="720"/>
        </w:tabs>
        <w:spacing w:before="120"/>
        <w:rPr>
          <w:rFonts w:ascii="Arial" w:hAnsi="Arial" w:cs="Arial"/>
          <w:sz w:val="20"/>
          <w:szCs w:val="20"/>
        </w:rPr>
      </w:pPr>
      <w:r w:rsidRPr="000B3DCE">
        <w:rPr>
          <w:rFonts w:ascii="Arial" w:hAnsi="Arial" w:cs="Arial"/>
          <w:sz w:val="20"/>
          <w:szCs w:val="20"/>
        </w:rPr>
        <w:t xml:space="preserve">Note:  The Number of Responses Per Respondent </w:t>
      </w:r>
      <w:r w:rsidR="00392B66">
        <w:rPr>
          <w:rFonts w:ascii="Arial" w:hAnsi="Arial" w:cs="Arial"/>
          <w:sz w:val="20"/>
          <w:szCs w:val="20"/>
        </w:rPr>
        <w:t>is</w:t>
      </w:r>
      <w:r w:rsidRPr="000B3DCE">
        <w:rPr>
          <w:rFonts w:ascii="Arial" w:hAnsi="Arial" w:cs="Arial"/>
          <w:sz w:val="20"/>
          <w:szCs w:val="20"/>
        </w:rPr>
        <w:t xml:space="preserve"> slightly different from on the 30-day FRN.  This is because the Number of Responses Per Respondent was adjusted to be the Total Respondents/Number of Responses Per </w:t>
      </w:r>
      <w:r w:rsidRPr="000B3DCE" w:rsidR="00540B56">
        <w:rPr>
          <w:rFonts w:ascii="Arial" w:hAnsi="Arial" w:cs="Arial"/>
          <w:sz w:val="20"/>
          <w:szCs w:val="20"/>
        </w:rPr>
        <w:t>Respondent and</w:t>
      </w:r>
      <w:r w:rsidR="00392B66">
        <w:rPr>
          <w:rFonts w:ascii="Arial" w:hAnsi="Arial" w:cs="Arial"/>
          <w:sz w:val="20"/>
          <w:szCs w:val="20"/>
        </w:rPr>
        <w:t xml:space="preserve"> </w:t>
      </w:r>
      <w:r w:rsidRPr="000B3DCE">
        <w:rPr>
          <w:rFonts w:ascii="Arial" w:hAnsi="Arial" w:cs="Arial"/>
          <w:sz w:val="20"/>
          <w:szCs w:val="20"/>
        </w:rPr>
        <w:t>not rounded to the nearest 100</w:t>
      </w:r>
      <w:r w:rsidRPr="000B3DCE">
        <w:rPr>
          <w:rFonts w:ascii="Arial" w:hAnsi="Arial" w:cs="Arial"/>
          <w:sz w:val="20"/>
          <w:szCs w:val="20"/>
          <w:vertAlign w:val="superscript"/>
        </w:rPr>
        <w:t>th</w:t>
      </w:r>
      <w:r w:rsidR="00392B66">
        <w:rPr>
          <w:rFonts w:ascii="Arial" w:hAnsi="Arial" w:cs="Arial"/>
          <w:sz w:val="20"/>
          <w:szCs w:val="20"/>
          <w:vertAlign w:val="superscript"/>
        </w:rPr>
        <w:t xml:space="preserve"> </w:t>
      </w:r>
      <w:r w:rsidRPr="00392B66" w:rsidR="00392B66">
        <w:rPr>
          <w:rFonts w:ascii="Arial" w:hAnsi="Arial" w:cs="Arial"/>
          <w:sz w:val="20"/>
          <w:szCs w:val="20"/>
        </w:rPr>
        <w:t>as to match R</w:t>
      </w:r>
      <w:r w:rsidRPr="00392B66">
        <w:rPr>
          <w:rFonts w:ascii="Arial" w:hAnsi="Arial" w:cs="Arial"/>
          <w:sz w:val="20"/>
          <w:szCs w:val="20"/>
        </w:rPr>
        <w:t>OCIS rounding rules.</w:t>
      </w:r>
      <w:r w:rsidRPr="000B3DCE">
        <w:rPr>
          <w:rFonts w:ascii="Arial" w:hAnsi="Arial" w:cs="Arial"/>
          <w:sz w:val="20"/>
          <w:szCs w:val="20"/>
        </w:rPr>
        <w:t xml:space="preserve"> </w:t>
      </w:r>
    </w:p>
    <w:p w:rsidR="00A009BA" w:rsidRPr="00C45431" w:rsidP="00AD1DB1" w14:paraId="6185D3CE" w14:textId="77777777">
      <w:pPr>
        <w:spacing w:before="120"/>
        <w:rPr>
          <w:rFonts w:ascii="Arial" w:hAnsi="Arial" w:cs="Arial"/>
          <w:b/>
        </w:rPr>
      </w:pPr>
      <w:r w:rsidRPr="00C45431">
        <w:rPr>
          <w:rFonts w:ascii="Arial" w:hAnsi="Arial" w:cs="Arial"/>
          <w:b/>
        </w:rPr>
        <w:t>Estimated Annualized Burden Costs</w:t>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1713"/>
        <w:gridCol w:w="1530"/>
        <w:gridCol w:w="1980"/>
      </w:tblGrid>
      <w:tr w14:paraId="58370FB1" w14:textId="77777777" w:rsidTr="00951DFB">
        <w:tblPrEx>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trPr>
        <w:tc>
          <w:tcPr>
            <w:tcW w:w="314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C42C5" w:rsidRPr="00AD1DB1" w:rsidP="00EB1178" w14:paraId="478E1344" w14:textId="391B1FA7">
            <w:pPr>
              <w:keepNext/>
              <w:keepLines/>
              <w:rPr>
                <w:rFonts w:ascii="Arial" w:hAnsi="Arial" w:cs="Arial"/>
                <w:color w:val="000000"/>
                <w:sz w:val="22"/>
                <w:szCs w:val="22"/>
              </w:rPr>
            </w:pPr>
            <w:r w:rsidRPr="00AD1DB1">
              <w:rPr>
                <w:rFonts w:ascii="Arial" w:hAnsi="Arial" w:cs="Arial"/>
                <w:color w:val="000000"/>
                <w:sz w:val="22"/>
                <w:szCs w:val="22"/>
              </w:rPr>
              <w:t>Type of</w:t>
            </w:r>
            <w:r w:rsidRPr="00AD1DB1" w:rsidR="003176A6">
              <w:rPr>
                <w:rFonts w:ascii="Arial" w:hAnsi="Arial" w:cs="Arial"/>
                <w:color w:val="000000"/>
                <w:sz w:val="22"/>
                <w:szCs w:val="22"/>
              </w:rPr>
              <w:t xml:space="preserve"> </w:t>
            </w:r>
            <w:r w:rsidRPr="00AD1DB1">
              <w:rPr>
                <w:rFonts w:ascii="Arial" w:hAnsi="Arial" w:cs="Arial"/>
                <w:color w:val="000000"/>
                <w:sz w:val="22"/>
                <w:szCs w:val="22"/>
              </w:rPr>
              <w:t>Respondent</w:t>
            </w:r>
          </w:p>
        </w:tc>
        <w:tc>
          <w:tcPr>
            <w:tcW w:w="171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C42C5" w:rsidRPr="00AD1DB1" w:rsidP="00EB1178" w14:paraId="30860480" w14:textId="77777777">
            <w:pPr>
              <w:keepNext/>
              <w:keepLines/>
              <w:rPr>
                <w:rFonts w:ascii="Arial" w:hAnsi="Arial" w:cs="Arial"/>
                <w:color w:val="000000"/>
                <w:sz w:val="22"/>
                <w:szCs w:val="22"/>
              </w:rPr>
            </w:pPr>
            <w:r w:rsidRPr="00AD1DB1">
              <w:rPr>
                <w:rFonts w:ascii="Arial" w:hAnsi="Arial" w:cs="Arial"/>
                <w:color w:val="000000"/>
                <w:sz w:val="22"/>
                <w:szCs w:val="22"/>
              </w:rPr>
              <w:t>Total Burden</w:t>
            </w:r>
          </w:p>
          <w:p w:rsidR="000C42C5" w:rsidRPr="00AD1DB1" w:rsidP="00EB1178" w14:paraId="3B9E7859" w14:textId="3B5E7C4D">
            <w:pPr>
              <w:keepNext/>
              <w:keepLines/>
              <w:rPr>
                <w:rFonts w:ascii="Arial" w:hAnsi="Arial" w:cs="Arial"/>
                <w:color w:val="000000"/>
                <w:sz w:val="22"/>
                <w:szCs w:val="22"/>
              </w:rPr>
            </w:pPr>
            <w:r w:rsidRPr="00AD1DB1">
              <w:rPr>
                <w:rFonts w:ascii="Arial" w:hAnsi="Arial" w:cs="Arial"/>
                <w:color w:val="000000"/>
                <w:sz w:val="22"/>
                <w:szCs w:val="22"/>
              </w:rPr>
              <w:t>Hours</w:t>
            </w:r>
          </w:p>
        </w:tc>
        <w:tc>
          <w:tcPr>
            <w:tcW w:w="153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C42C5" w:rsidRPr="00AD1DB1" w:rsidP="00EB1178" w14:paraId="2B48C605" w14:textId="5FBD52C4">
            <w:pPr>
              <w:keepNext/>
              <w:keepLines/>
              <w:rPr>
                <w:rFonts w:ascii="Arial" w:hAnsi="Arial" w:cs="Arial"/>
                <w:color w:val="000000"/>
                <w:sz w:val="22"/>
                <w:szCs w:val="22"/>
              </w:rPr>
            </w:pPr>
            <w:r w:rsidRPr="00AD1DB1">
              <w:rPr>
                <w:rFonts w:ascii="Arial" w:hAnsi="Arial" w:cs="Arial"/>
                <w:color w:val="000000"/>
                <w:sz w:val="22"/>
                <w:szCs w:val="22"/>
              </w:rPr>
              <w:t>Hourly</w:t>
            </w:r>
            <w:r w:rsidRPr="00AD1DB1" w:rsidR="001A5986">
              <w:rPr>
                <w:rFonts w:ascii="Arial" w:hAnsi="Arial" w:cs="Arial"/>
                <w:color w:val="000000"/>
                <w:sz w:val="22"/>
                <w:szCs w:val="22"/>
              </w:rPr>
              <w:t xml:space="preserve"> </w:t>
            </w:r>
            <w:r w:rsidRPr="00AD1DB1">
              <w:rPr>
                <w:rFonts w:ascii="Arial" w:hAnsi="Arial" w:cs="Arial"/>
                <w:color w:val="000000"/>
                <w:sz w:val="22"/>
                <w:szCs w:val="22"/>
              </w:rPr>
              <w:t>Wage Rate</w:t>
            </w:r>
            <w:r w:rsidRPr="00AD1DB1" w:rsidR="001A5986">
              <w:rPr>
                <w:rFonts w:ascii="Arial" w:hAnsi="Arial" w:cs="Arial"/>
                <w:color w:val="000000"/>
                <w:sz w:val="22"/>
                <w:szCs w:val="22"/>
              </w:rPr>
              <w:t xml:space="preserve"> ($)</w:t>
            </w:r>
            <w:r>
              <w:rPr>
                <w:rStyle w:val="FootnoteReference"/>
                <w:rFonts w:ascii="Arial" w:hAnsi="Arial" w:cs="Arial"/>
                <w:color w:val="000000"/>
                <w:sz w:val="22"/>
                <w:szCs w:val="22"/>
                <w:vertAlign w:val="superscript"/>
              </w:rPr>
              <w:footnoteReference w:id="50"/>
            </w:r>
          </w:p>
        </w:tc>
        <w:tc>
          <w:tcPr>
            <w:tcW w:w="198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C42C5" w:rsidRPr="00AD1DB1" w:rsidP="00EB1178" w14:paraId="6174C85A" w14:textId="73764164">
            <w:pPr>
              <w:keepNext/>
              <w:keepLines/>
              <w:rPr>
                <w:rFonts w:ascii="Arial" w:hAnsi="Arial" w:cs="Arial"/>
                <w:color w:val="000000"/>
                <w:sz w:val="22"/>
                <w:szCs w:val="22"/>
              </w:rPr>
            </w:pPr>
            <w:r w:rsidRPr="00AD1DB1">
              <w:rPr>
                <w:rFonts w:ascii="Arial" w:hAnsi="Arial" w:cs="Arial"/>
                <w:color w:val="000000"/>
                <w:sz w:val="22"/>
                <w:szCs w:val="22"/>
              </w:rPr>
              <w:t>Total Respondent Costs</w:t>
            </w:r>
            <w:r w:rsidRPr="00AD1DB1" w:rsidR="001A5986">
              <w:rPr>
                <w:rFonts w:ascii="Arial" w:hAnsi="Arial" w:cs="Arial"/>
                <w:color w:val="000000"/>
                <w:sz w:val="22"/>
                <w:szCs w:val="22"/>
              </w:rPr>
              <w:t xml:space="preserve"> ($)</w:t>
            </w:r>
          </w:p>
        </w:tc>
      </w:tr>
      <w:tr w14:paraId="78CCEF47" w14:textId="77777777" w:rsidTr="00951DFB">
        <w:tblPrEx>
          <w:tblW w:w="8365" w:type="dxa"/>
          <w:tblLook w:val="01E0"/>
        </w:tblPrEx>
        <w:trPr>
          <w:trHeight w:val="224"/>
        </w:trPr>
        <w:tc>
          <w:tcPr>
            <w:tcW w:w="3142" w:type="dxa"/>
            <w:tcBorders>
              <w:top w:val="single" w:sz="4" w:space="0" w:color="auto"/>
              <w:left w:val="single" w:sz="4" w:space="0" w:color="auto"/>
              <w:bottom w:val="single" w:sz="4" w:space="0" w:color="auto"/>
              <w:right w:val="single" w:sz="4" w:space="0" w:color="auto"/>
            </w:tcBorders>
          </w:tcPr>
          <w:p w:rsidR="000C42C5" w:rsidRPr="00AD1DB1" w:rsidP="00EB1178" w14:paraId="5361E1D3" w14:textId="13556167">
            <w:pPr>
              <w:keepLines/>
              <w:ind w:hanging="14"/>
              <w:rPr>
                <w:rFonts w:ascii="Arial" w:hAnsi="Arial" w:cs="Arial"/>
                <w:sz w:val="22"/>
                <w:szCs w:val="22"/>
              </w:rPr>
            </w:pPr>
            <w:r w:rsidRPr="00AD1DB1">
              <w:rPr>
                <w:rFonts w:ascii="Arial" w:hAnsi="Arial" w:cs="Arial"/>
                <w:sz w:val="22"/>
                <w:szCs w:val="22"/>
              </w:rPr>
              <w:t>Data Manager</w:t>
            </w:r>
          </w:p>
        </w:tc>
        <w:tc>
          <w:tcPr>
            <w:tcW w:w="1713" w:type="dxa"/>
            <w:tcBorders>
              <w:top w:val="single" w:sz="4" w:space="0" w:color="auto"/>
              <w:left w:val="single" w:sz="4" w:space="0" w:color="auto"/>
              <w:bottom w:val="single" w:sz="4" w:space="0" w:color="auto"/>
              <w:right w:val="single" w:sz="4" w:space="0" w:color="auto"/>
            </w:tcBorders>
          </w:tcPr>
          <w:p w:rsidR="000C42C5" w:rsidRPr="00AD1DB1" w:rsidP="00EB1178" w14:paraId="6D214466" w14:textId="23953A7A">
            <w:pPr>
              <w:keepLines/>
              <w:ind w:hanging="14"/>
              <w:rPr>
                <w:rFonts w:ascii="Arial" w:hAnsi="Arial" w:cs="Arial"/>
                <w:sz w:val="22"/>
                <w:szCs w:val="22"/>
              </w:rPr>
            </w:pPr>
            <w:r w:rsidRPr="00AD1DB1">
              <w:rPr>
                <w:rFonts w:ascii="Arial" w:hAnsi="Arial" w:cs="Arial"/>
                <w:sz w:val="22"/>
                <w:szCs w:val="22"/>
              </w:rPr>
              <w:t>73,069.80</w:t>
            </w:r>
          </w:p>
        </w:tc>
        <w:tc>
          <w:tcPr>
            <w:tcW w:w="1530" w:type="dxa"/>
            <w:tcBorders>
              <w:top w:val="single" w:sz="4" w:space="0" w:color="auto"/>
              <w:left w:val="single" w:sz="4" w:space="0" w:color="auto"/>
              <w:bottom w:val="single" w:sz="4" w:space="0" w:color="auto"/>
              <w:right w:val="single" w:sz="4" w:space="0" w:color="auto"/>
            </w:tcBorders>
          </w:tcPr>
          <w:p w:rsidR="000C42C5" w:rsidRPr="00AD1DB1" w:rsidP="00EB1178" w14:paraId="3049FAB6" w14:textId="7468C501">
            <w:pPr>
              <w:keepLines/>
              <w:ind w:hanging="14"/>
              <w:rPr>
                <w:rFonts w:ascii="Arial" w:hAnsi="Arial" w:cs="Arial"/>
                <w:sz w:val="22"/>
                <w:szCs w:val="22"/>
              </w:rPr>
            </w:pPr>
            <w:r>
              <w:rPr>
                <w:rFonts w:ascii="Arial" w:hAnsi="Arial" w:cs="Arial"/>
                <w:sz w:val="22"/>
                <w:szCs w:val="22"/>
              </w:rPr>
              <w:t>48.32</w:t>
            </w:r>
          </w:p>
        </w:tc>
        <w:tc>
          <w:tcPr>
            <w:tcW w:w="1980" w:type="dxa"/>
            <w:tcBorders>
              <w:top w:val="single" w:sz="4" w:space="0" w:color="auto"/>
              <w:left w:val="single" w:sz="4" w:space="0" w:color="auto"/>
              <w:bottom w:val="single" w:sz="4" w:space="0" w:color="auto"/>
              <w:right w:val="single" w:sz="4" w:space="0" w:color="auto"/>
            </w:tcBorders>
          </w:tcPr>
          <w:p w:rsidR="000C42C5" w:rsidRPr="00AD1DB1" w:rsidP="00EB1178" w14:paraId="2123E31F" w14:textId="21F8631D">
            <w:pPr>
              <w:keepLines/>
              <w:ind w:hanging="14"/>
              <w:rPr>
                <w:rFonts w:ascii="Arial" w:hAnsi="Arial" w:cs="Arial"/>
                <w:sz w:val="22"/>
                <w:szCs w:val="22"/>
              </w:rPr>
            </w:pPr>
            <w:r>
              <w:rPr>
                <w:rFonts w:ascii="Arial" w:hAnsi="Arial" w:cs="Arial"/>
                <w:sz w:val="22"/>
                <w:szCs w:val="22"/>
              </w:rPr>
              <w:t>$3,530,732.74</w:t>
            </w:r>
          </w:p>
        </w:tc>
      </w:tr>
      <w:tr w14:paraId="5E7B2A88" w14:textId="77777777" w:rsidTr="00DB610C">
        <w:tblPrEx>
          <w:tblW w:w="8365" w:type="dxa"/>
          <w:tblLook w:val="01E0"/>
        </w:tblPrEx>
        <w:trPr>
          <w:trHeight w:val="70"/>
        </w:trPr>
        <w:tc>
          <w:tcPr>
            <w:tcW w:w="3142" w:type="dxa"/>
            <w:tcBorders>
              <w:top w:val="single" w:sz="4" w:space="0" w:color="auto"/>
              <w:left w:val="single" w:sz="4" w:space="0" w:color="auto"/>
              <w:bottom w:val="single" w:sz="4" w:space="0" w:color="auto"/>
              <w:right w:val="single" w:sz="4" w:space="0" w:color="auto"/>
            </w:tcBorders>
          </w:tcPr>
          <w:p w:rsidR="00282541" w:rsidRPr="00AD1DB1" w:rsidP="00EB1178" w14:paraId="690480E2" w14:textId="77777777">
            <w:pPr>
              <w:keepLines/>
              <w:ind w:hanging="14"/>
              <w:rPr>
                <w:rFonts w:ascii="Arial" w:hAnsi="Arial" w:cs="Arial"/>
                <w:b/>
                <w:bCs/>
                <w:sz w:val="22"/>
                <w:szCs w:val="22"/>
              </w:rPr>
            </w:pPr>
            <w:r w:rsidRPr="00AD1DB1">
              <w:rPr>
                <w:rFonts w:ascii="Arial" w:hAnsi="Arial" w:cs="Arial"/>
                <w:b/>
                <w:bCs/>
                <w:sz w:val="22"/>
                <w:szCs w:val="22"/>
              </w:rPr>
              <w:t>Total</w:t>
            </w:r>
          </w:p>
        </w:tc>
        <w:tc>
          <w:tcPr>
            <w:tcW w:w="1713" w:type="dxa"/>
            <w:tcBorders>
              <w:top w:val="single" w:sz="4" w:space="0" w:color="auto"/>
              <w:left w:val="single" w:sz="4" w:space="0" w:color="auto"/>
              <w:bottom w:val="single" w:sz="4" w:space="0" w:color="auto"/>
              <w:right w:val="single" w:sz="4" w:space="0" w:color="auto"/>
            </w:tcBorders>
          </w:tcPr>
          <w:p w:rsidR="00282541" w:rsidRPr="00AD1DB1" w:rsidP="00EB1178" w14:paraId="6CD1554F" w14:textId="24939BDD">
            <w:pPr>
              <w:keepLines/>
              <w:ind w:hanging="14"/>
              <w:rPr>
                <w:rFonts w:ascii="Arial" w:hAnsi="Arial" w:cs="Arial"/>
                <w:b/>
                <w:bCs/>
                <w:sz w:val="22"/>
                <w:szCs w:val="22"/>
              </w:rPr>
            </w:pPr>
            <w:r w:rsidRPr="00AD1DB1">
              <w:rPr>
                <w:rFonts w:ascii="Arial" w:hAnsi="Arial" w:cs="Arial"/>
                <w:b/>
                <w:bCs/>
                <w:sz w:val="22"/>
                <w:szCs w:val="22"/>
              </w:rPr>
              <w:t>73,069.80</w:t>
            </w:r>
          </w:p>
        </w:tc>
        <w:tc>
          <w:tcPr>
            <w:tcW w:w="1530" w:type="dxa"/>
            <w:tcBorders>
              <w:top w:val="single" w:sz="4" w:space="0" w:color="auto"/>
              <w:left w:val="single" w:sz="4" w:space="0" w:color="auto"/>
              <w:bottom w:val="single" w:sz="4" w:space="0" w:color="auto"/>
              <w:right w:val="single" w:sz="4" w:space="0" w:color="auto"/>
            </w:tcBorders>
          </w:tcPr>
          <w:p w:rsidR="00282541" w:rsidRPr="00AD1DB1" w:rsidP="00EB1178" w14:paraId="35C2B787" w14:textId="21C87BE7">
            <w:pPr>
              <w:keepLines/>
              <w:ind w:hanging="14"/>
              <w:rPr>
                <w:rFonts w:ascii="Arial" w:hAnsi="Arial" w:cs="Arial"/>
                <w:b/>
                <w:bCs/>
                <w:sz w:val="22"/>
                <w:szCs w:val="22"/>
              </w:rPr>
            </w:pPr>
            <w:r>
              <w:rPr>
                <w:rFonts w:ascii="Arial" w:hAnsi="Arial" w:cs="Arial"/>
                <w:b/>
                <w:bCs/>
                <w:sz w:val="22"/>
                <w:szCs w:val="22"/>
              </w:rPr>
              <w:t>48.32</w:t>
            </w:r>
          </w:p>
        </w:tc>
        <w:tc>
          <w:tcPr>
            <w:tcW w:w="1980" w:type="dxa"/>
            <w:tcBorders>
              <w:top w:val="single" w:sz="4" w:space="0" w:color="auto"/>
              <w:left w:val="single" w:sz="4" w:space="0" w:color="auto"/>
              <w:bottom w:val="single" w:sz="4" w:space="0" w:color="auto"/>
              <w:right w:val="single" w:sz="4" w:space="0" w:color="auto"/>
            </w:tcBorders>
          </w:tcPr>
          <w:p w:rsidR="00282541" w:rsidRPr="00AD1DB1" w:rsidP="00EB1178" w14:paraId="0A078B64" w14:textId="4DF7387F">
            <w:pPr>
              <w:keepLines/>
              <w:ind w:hanging="14"/>
              <w:rPr>
                <w:rFonts w:ascii="Arial" w:hAnsi="Arial" w:cs="Arial"/>
                <w:b/>
                <w:bCs/>
                <w:sz w:val="22"/>
                <w:szCs w:val="22"/>
              </w:rPr>
            </w:pPr>
            <w:r w:rsidRPr="00FA3472">
              <w:rPr>
                <w:rFonts w:ascii="Arial" w:hAnsi="Arial" w:cs="Arial"/>
                <w:b/>
                <w:bCs/>
                <w:sz w:val="22"/>
                <w:szCs w:val="22"/>
              </w:rPr>
              <w:t>$3,530,732.74</w:t>
            </w:r>
          </w:p>
        </w:tc>
      </w:tr>
    </w:tbl>
    <w:p w:rsidR="00F91242" w:rsidP="00DB610C" w14:paraId="1F360295" w14:textId="5102989E">
      <w:pPr>
        <w:ind w:left="446"/>
        <w:rPr>
          <w:rFonts w:ascii="Arial" w:hAnsi="Arial" w:cs="Arial"/>
          <w:b/>
          <w:u w:val="single"/>
        </w:rPr>
      </w:pPr>
    </w:p>
    <w:p w:rsidR="001214E5" w:rsidRPr="00AD1DB1" w:rsidP="00483EFC" w14:paraId="34E2AD9D" w14:textId="6898BE43">
      <w:pPr>
        <w:numPr>
          <w:ilvl w:val="0"/>
          <w:numId w:val="4"/>
        </w:numPr>
        <w:ind w:left="446" w:hanging="446"/>
        <w:rPr>
          <w:rFonts w:ascii="Arial" w:hAnsi="Arial" w:cs="Arial"/>
          <w:b/>
          <w:u w:val="single"/>
        </w:rPr>
      </w:pPr>
      <w:r w:rsidRPr="00AD1DB1">
        <w:rPr>
          <w:rFonts w:ascii="Arial" w:hAnsi="Arial" w:cs="Arial"/>
          <w:b/>
          <w:u w:val="single"/>
        </w:rPr>
        <w:t>Estimates of other Total Annual Cost Burden to Respondents or Recordkeepers/Capital Costs</w:t>
      </w:r>
      <w:r w:rsidR="00374081">
        <w:rPr>
          <w:rFonts w:ascii="Arial" w:hAnsi="Arial" w:cs="Arial"/>
          <w:b/>
          <w:u w:val="single"/>
        </w:rPr>
        <w:t xml:space="preserve"> </w:t>
      </w:r>
    </w:p>
    <w:p w:rsidR="00390F2D" w:rsidRPr="00AD1DB1" w:rsidP="00483EFC" w14:paraId="64A5DE0A" w14:textId="77777777">
      <w:pPr>
        <w:ind w:left="446"/>
        <w:rPr>
          <w:rFonts w:ascii="Arial" w:hAnsi="Arial" w:cs="Arial"/>
          <w:b/>
          <w:sz w:val="20"/>
          <w:szCs w:val="20"/>
        </w:rPr>
      </w:pPr>
    </w:p>
    <w:p w:rsidR="001214E5" w:rsidRPr="00AD1DB1" w:rsidP="00483EFC" w14:paraId="4D94F7DC" w14:textId="29B867A5">
      <w:pPr>
        <w:rPr>
          <w:rFonts w:ascii="Arial" w:hAnsi="Arial" w:cs="Arial"/>
        </w:rPr>
      </w:pPr>
      <w:r w:rsidRPr="00AD1DB1">
        <w:rPr>
          <w:rFonts w:ascii="Arial" w:hAnsi="Arial" w:cs="Arial"/>
        </w:rPr>
        <w:t>Other than their time, there is no cost to respondents.</w:t>
      </w:r>
      <w:r w:rsidRPr="00AD1DB1">
        <w:rPr>
          <w:rFonts w:ascii="Arial" w:hAnsi="Arial" w:cs="Arial"/>
        </w:rPr>
        <w:t xml:space="preserve"> </w:t>
      </w:r>
    </w:p>
    <w:p w:rsidR="00483EFC" w:rsidRPr="00AD1DB1" w:rsidP="00483EFC" w14:paraId="226CF019" w14:textId="77777777">
      <w:pPr>
        <w:rPr>
          <w:rFonts w:ascii="Arial" w:hAnsi="Arial" w:cs="Arial"/>
          <w:sz w:val="20"/>
          <w:szCs w:val="20"/>
        </w:rPr>
      </w:pPr>
    </w:p>
    <w:p w:rsidR="001214E5" w:rsidRPr="00AD1DB1" w:rsidP="00483EFC" w14:paraId="77874B17" w14:textId="678E6879">
      <w:pPr>
        <w:numPr>
          <w:ilvl w:val="0"/>
          <w:numId w:val="4"/>
        </w:numPr>
        <w:ind w:left="446" w:hanging="446"/>
        <w:rPr>
          <w:rFonts w:ascii="Arial" w:hAnsi="Arial" w:cs="Arial"/>
          <w:b/>
          <w:u w:val="single"/>
        </w:rPr>
      </w:pPr>
      <w:r w:rsidRPr="00AD1DB1">
        <w:rPr>
          <w:rFonts w:ascii="Arial" w:hAnsi="Arial" w:cs="Arial"/>
          <w:b/>
          <w:u w:val="single"/>
        </w:rPr>
        <w:t>Annualized Cost to the Federal Government</w:t>
      </w:r>
      <w:r w:rsidR="00374081">
        <w:rPr>
          <w:rFonts w:ascii="Arial" w:hAnsi="Arial" w:cs="Arial"/>
          <w:b/>
          <w:u w:val="single"/>
        </w:rPr>
        <w:t xml:space="preserve"> </w:t>
      </w:r>
    </w:p>
    <w:p w:rsidR="00483EFC" w:rsidRPr="00AD1DB1" w:rsidP="00483EFC" w14:paraId="197F6295" w14:textId="77777777">
      <w:pPr>
        <w:ind w:left="446"/>
        <w:rPr>
          <w:rFonts w:ascii="Arial" w:hAnsi="Arial" w:cs="Arial"/>
          <w:b/>
          <w:sz w:val="20"/>
          <w:szCs w:val="20"/>
        </w:rPr>
      </w:pPr>
    </w:p>
    <w:p w:rsidR="00394548" w:rsidP="00483EFC" w14:paraId="6B624E48" w14:textId="42E6A91B">
      <w:pPr>
        <w:ind w:left="-5"/>
        <w:rPr>
          <w:rFonts w:ascii="Arial" w:hAnsi="Arial" w:cs="Arial"/>
        </w:rPr>
      </w:pPr>
      <w:r w:rsidRPr="00AD1DB1">
        <w:rPr>
          <w:rFonts w:ascii="Arial" w:hAnsi="Arial" w:cs="Arial"/>
        </w:rPr>
        <w:t xml:space="preserve">The cost of the study for government personnel is estimated </w:t>
      </w:r>
      <w:r w:rsidR="00F41F6A">
        <w:rPr>
          <w:rFonts w:ascii="Arial" w:hAnsi="Arial" w:cs="Arial"/>
        </w:rPr>
        <w:t>for one person working on this</w:t>
      </w:r>
      <w:r w:rsidR="00A41760">
        <w:rPr>
          <w:rFonts w:ascii="Arial" w:hAnsi="Arial" w:cs="Arial"/>
        </w:rPr>
        <w:t xml:space="preserve"> ICR </w:t>
      </w:r>
      <w:r w:rsidR="00DC23D2">
        <w:rPr>
          <w:rFonts w:ascii="Arial" w:hAnsi="Arial" w:cs="Arial"/>
        </w:rPr>
        <w:t>for</w:t>
      </w:r>
      <w:r w:rsidRPr="00AD1DB1">
        <w:rPr>
          <w:rFonts w:ascii="Arial" w:hAnsi="Arial" w:cs="Arial"/>
        </w:rPr>
        <w:t xml:space="preserve"> two years for an estimated annualized cost per year of</w:t>
      </w:r>
      <w:r w:rsidR="002427A7">
        <w:rPr>
          <w:rFonts w:ascii="Arial" w:hAnsi="Arial" w:cs="Arial"/>
        </w:rPr>
        <w:t xml:space="preserve"> $</w:t>
      </w:r>
      <w:r w:rsidRPr="002427A7" w:rsidR="002427A7">
        <w:rPr>
          <w:rFonts w:ascii="Arial" w:hAnsi="Arial" w:cs="Arial"/>
        </w:rPr>
        <w:t>22,910.37</w:t>
      </w:r>
      <w:r w:rsidRPr="00AD1DB1">
        <w:rPr>
          <w:rFonts w:ascii="Arial" w:hAnsi="Arial" w:cs="Arial"/>
        </w:rPr>
        <w:t xml:space="preserve"> (10 percent full time equivalent; GS-</w:t>
      </w:r>
      <w:r w:rsidR="007C7A40">
        <w:rPr>
          <w:rFonts w:ascii="Arial" w:hAnsi="Arial" w:cs="Arial"/>
        </w:rPr>
        <w:t>13</w:t>
      </w:r>
      <w:r w:rsidRPr="007C7A40">
        <w:rPr>
          <w:rFonts w:ascii="Arial" w:hAnsi="Arial" w:cs="Arial"/>
        </w:rPr>
        <w:t>, Step</w:t>
      </w:r>
      <w:r w:rsidRPr="007C7A40" w:rsidR="00E65D5D">
        <w:rPr>
          <w:rFonts w:ascii="Arial" w:hAnsi="Arial" w:cs="Arial"/>
        </w:rPr>
        <w:t>-</w:t>
      </w:r>
      <w:r w:rsidR="00B81FBC">
        <w:rPr>
          <w:rFonts w:ascii="Arial" w:hAnsi="Arial" w:cs="Arial"/>
        </w:rPr>
        <w:t>09</w:t>
      </w:r>
      <w:r w:rsidRPr="007C7A40">
        <w:rPr>
          <w:rFonts w:ascii="Arial" w:hAnsi="Arial" w:cs="Arial"/>
        </w:rPr>
        <w:t xml:space="preserve"> salary</w:t>
      </w:r>
      <w:r w:rsidRPr="00AD1DB1">
        <w:rPr>
          <w:rFonts w:ascii="Arial" w:hAnsi="Arial" w:cs="Arial"/>
        </w:rPr>
        <w:t xml:space="preserve"> level with </w:t>
      </w:r>
      <w:r w:rsidRPr="00D06888" w:rsidR="00D06888">
        <w:rPr>
          <w:rFonts w:ascii="Arial" w:hAnsi="Arial" w:cs="Arial"/>
        </w:rPr>
        <w:t xml:space="preserve">33.94% </w:t>
      </w:r>
      <w:r w:rsidR="00C42D94">
        <w:rPr>
          <w:rFonts w:ascii="Arial" w:hAnsi="Arial" w:cs="Arial"/>
        </w:rPr>
        <w:t>locality payment</w:t>
      </w:r>
      <w:r w:rsidRPr="00AD1DB1">
        <w:rPr>
          <w:rFonts w:ascii="Arial" w:hAnsi="Arial" w:cs="Arial"/>
        </w:rPr>
        <w:t xml:space="preserve"> </w:t>
      </w:r>
      <w:r w:rsidRPr="00AD1DB1" w:rsidR="002427A7">
        <w:rPr>
          <w:rFonts w:ascii="Arial" w:hAnsi="Arial" w:cs="Arial"/>
        </w:rPr>
        <w:t>included</w:t>
      </w:r>
      <w:r w:rsidR="002427A7">
        <w:rPr>
          <w:rFonts w:ascii="Arial" w:hAnsi="Arial" w:cs="Arial"/>
        </w:rPr>
        <w:t>, t</w:t>
      </w:r>
      <w:r w:rsidR="0096753A">
        <w:rPr>
          <w:rFonts w:ascii="Arial" w:hAnsi="Arial" w:cs="Arial"/>
        </w:rPr>
        <w:t xml:space="preserve">otal </w:t>
      </w:r>
      <w:r w:rsidR="00455216">
        <w:rPr>
          <w:rFonts w:ascii="Arial" w:hAnsi="Arial" w:cs="Arial"/>
        </w:rPr>
        <w:t>costs</w:t>
      </w:r>
      <w:r w:rsidR="00681CEC">
        <w:rPr>
          <w:rFonts w:ascii="Arial" w:hAnsi="Arial" w:cs="Arial"/>
        </w:rPr>
        <w:t xml:space="preserve"> </w:t>
      </w:r>
      <w:r>
        <w:rPr>
          <w:rFonts w:ascii="Arial" w:hAnsi="Arial" w:cs="Arial"/>
        </w:rPr>
        <w:t>are</w:t>
      </w:r>
      <w:r w:rsidR="007B3C9D">
        <w:rPr>
          <w:rFonts w:ascii="Arial" w:hAnsi="Arial" w:cs="Arial"/>
        </w:rPr>
        <w:t xml:space="preserve"> multiplied by 1.5 percent to account for</w:t>
      </w:r>
      <w:r w:rsidR="00A81ED3">
        <w:rPr>
          <w:rFonts w:ascii="Arial" w:hAnsi="Arial" w:cs="Arial"/>
        </w:rPr>
        <w:t xml:space="preserve"> </w:t>
      </w:r>
      <w:r w:rsidR="007B3C9D">
        <w:rPr>
          <w:rFonts w:ascii="Arial" w:hAnsi="Arial" w:cs="Arial"/>
        </w:rPr>
        <w:t>overhead</w:t>
      </w:r>
      <w:r w:rsidR="0096753A">
        <w:rPr>
          <w:rFonts w:ascii="Arial" w:hAnsi="Arial" w:cs="Arial"/>
        </w:rPr>
        <w:t xml:space="preserve"> cost</w:t>
      </w:r>
      <w:r w:rsidR="00D24C97">
        <w:rPr>
          <w:rFonts w:ascii="Arial" w:hAnsi="Arial" w:cs="Arial"/>
        </w:rPr>
        <w:t>s</w:t>
      </w:r>
      <w:r w:rsidR="002427A7">
        <w:rPr>
          <w:rFonts w:ascii="Arial" w:hAnsi="Arial" w:cs="Arial"/>
        </w:rPr>
        <w:t>)</w:t>
      </w:r>
      <w:r w:rsidR="007B3C9D">
        <w:rPr>
          <w:rFonts w:ascii="Arial" w:hAnsi="Arial" w:cs="Arial"/>
        </w:rPr>
        <w:t>.</w:t>
      </w:r>
      <w:r w:rsidR="00D24C97">
        <w:rPr>
          <w:rFonts w:ascii="Arial" w:hAnsi="Arial" w:cs="Arial"/>
        </w:rPr>
        <w:t xml:space="preserve"> </w:t>
      </w:r>
    </w:p>
    <w:p w:rsidR="00394548" w:rsidP="00483EFC" w14:paraId="10779B7C" w14:textId="77777777">
      <w:pPr>
        <w:ind w:left="-5"/>
        <w:rPr>
          <w:rFonts w:ascii="Arial" w:hAnsi="Arial" w:cs="Arial"/>
        </w:rPr>
      </w:pPr>
    </w:p>
    <w:p w:rsidR="001214E5" w:rsidRPr="00AD1DB1" w:rsidP="00483EFC" w14:paraId="1C58B9CD" w14:textId="7A4D0D4F">
      <w:pPr>
        <w:ind w:left="-5"/>
        <w:rPr>
          <w:rFonts w:ascii="Arial" w:hAnsi="Arial" w:cs="Arial"/>
        </w:rPr>
      </w:pPr>
      <w:r w:rsidRPr="00AD1DB1">
        <w:rPr>
          <w:rFonts w:ascii="Arial" w:hAnsi="Arial" w:cs="Arial"/>
        </w:rPr>
        <w:t xml:space="preserve">The </w:t>
      </w:r>
      <w:r w:rsidRPr="00AD1DB1" w:rsidR="000C42C5">
        <w:rPr>
          <w:rFonts w:ascii="Arial" w:hAnsi="Arial" w:cs="Arial"/>
        </w:rPr>
        <w:t xml:space="preserve">annual </w:t>
      </w:r>
      <w:r w:rsidRPr="00AD1DB1">
        <w:rPr>
          <w:rFonts w:ascii="Arial" w:hAnsi="Arial" w:cs="Arial"/>
        </w:rPr>
        <w:t>estimated government cost for carry</w:t>
      </w:r>
      <w:r w:rsidR="00957A52">
        <w:rPr>
          <w:rFonts w:ascii="Arial" w:hAnsi="Arial" w:cs="Arial"/>
        </w:rPr>
        <w:t>ing</w:t>
      </w:r>
      <w:r w:rsidRPr="00AD1DB1">
        <w:rPr>
          <w:rFonts w:ascii="Arial" w:hAnsi="Arial" w:cs="Arial"/>
        </w:rPr>
        <w:t xml:space="preserve"> out this study is </w:t>
      </w:r>
      <w:r w:rsidRPr="00AD1DB1">
        <w:rPr>
          <w:rFonts w:ascii="Arial" w:hAnsi="Arial" w:cs="Arial"/>
        </w:rPr>
        <w:t>approximately $</w:t>
      </w:r>
      <w:r w:rsidR="009E3518">
        <w:rPr>
          <w:rFonts w:ascii="Arial" w:hAnsi="Arial" w:cs="Arial"/>
        </w:rPr>
        <w:t>5.9</w:t>
      </w:r>
      <w:r w:rsidRPr="00AD1DB1">
        <w:rPr>
          <w:rFonts w:ascii="Arial" w:hAnsi="Arial" w:cs="Arial"/>
        </w:rPr>
        <w:t xml:space="preserve"> million</w:t>
      </w:r>
      <w:r w:rsidR="0093213B">
        <w:rPr>
          <w:rFonts w:ascii="Arial" w:hAnsi="Arial" w:cs="Arial"/>
        </w:rPr>
        <w:t xml:space="preserve"> annually</w:t>
      </w:r>
      <w:r w:rsidRPr="00AD1DB1">
        <w:rPr>
          <w:rFonts w:ascii="Arial" w:hAnsi="Arial" w:cs="Arial"/>
        </w:rPr>
        <w:t xml:space="preserve"> to be spent on all</w:t>
      </w:r>
      <w:r w:rsidR="00E919D8">
        <w:rPr>
          <w:rFonts w:ascii="Arial" w:hAnsi="Arial" w:cs="Arial"/>
        </w:rPr>
        <w:t xml:space="preserve"> the activities</w:t>
      </w:r>
      <w:r w:rsidRPr="00AD1DB1">
        <w:rPr>
          <w:rFonts w:ascii="Arial" w:hAnsi="Arial" w:cs="Arial"/>
        </w:rPr>
        <w:t xml:space="preserve"> of the contract </w:t>
      </w:r>
      <w:r w:rsidR="00D25EC5">
        <w:rPr>
          <w:rFonts w:ascii="Arial" w:hAnsi="Arial" w:cs="Arial"/>
        </w:rPr>
        <w:t xml:space="preserve">and </w:t>
      </w:r>
      <w:r w:rsidRPr="00AD1DB1">
        <w:rPr>
          <w:rFonts w:ascii="Arial" w:hAnsi="Arial" w:cs="Arial"/>
        </w:rPr>
        <w:t xml:space="preserve">the operation of the </w:t>
      </w:r>
      <w:r w:rsidR="0093213B">
        <w:rPr>
          <w:rFonts w:ascii="Arial" w:hAnsi="Arial" w:cs="Arial"/>
        </w:rPr>
        <w:t>SCTOD</w:t>
      </w:r>
      <w:r w:rsidRPr="00AD1DB1">
        <w:rPr>
          <w:rFonts w:ascii="Arial" w:hAnsi="Arial" w:cs="Arial"/>
        </w:rPr>
        <w:t>.</w:t>
      </w:r>
      <w:r w:rsidR="00374081">
        <w:rPr>
          <w:rFonts w:ascii="Arial" w:hAnsi="Arial" w:cs="Arial"/>
        </w:rPr>
        <w:t xml:space="preserve"> </w:t>
      </w:r>
    </w:p>
    <w:p w:rsidR="001214E5" w:rsidRPr="00AD1DB1" w:rsidP="00483EFC" w14:paraId="31F6A83D" w14:textId="3BCFB29D">
      <w:pPr>
        <w:rPr>
          <w:rFonts w:ascii="Arial" w:hAnsi="Arial" w:cs="Arial"/>
          <w:sz w:val="20"/>
          <w:szCs w:val="20"/>
        </w:rPr>
      </w:pPr>
    </w:p>
    <w:p w:rsidR="001214E5" w:rsidRPr="00AD1DB1" w:rsidP="00483EFC" w14:paraId="5EA0F178" w14:textId="6ECDDF05">
      <w:pPr>
        <w:numPr>
          <w:ilvl w:val="0"/>
          <w:numId w:val="4"/>
        </w:numPr>
        <w:ind w:left="446" w:hanging="446"/>
        <w:rPr>
          <w:rFonts w:ascii="Arial" w:hAnsi="Arial" w:cs="Arial"/>
          <w:b/>
          <w:u w:val="single"/>
        </w:rPr>
      </w:pPr>
      <w:r w:rsidRPr="00AD1DB1">
        <w:rPr>
          <w:rFonts w:ascii="Arial" w:hAnsi="Arial" w:cs="Arial"/>
          <w:b/>
          <w:u w:val="single"/>
        </w:rPr>
        <w:t xml:space="preserve">Explanation of Program Changes or Adjustments </w:t>
      </w:r>
    </w:p>
    <w:p w:rsidR="001214E5" w:rsidRPr="00AD1DB1" w:rsidP="00483EFC" w14:paraId="5F5C631B" w14:textId="77777777">
      <w:pPr>
        <w:rPr>
          <w:rFonts w:ascii="Arial" w:hAnsi="Arial" w:cs="Arial"/>
          <w:sz w:val="20"/>
          <w:szCs w:val="20"/>
        </w:rPr>
      </w:pPr>
      <w:r w:rsidRPr="00AD1DB1">
        <w:rPr>
          <w:rFonts w:ascii="Arial" w:hAnsi="Arial" w:cs="Arial"/>
          <w:sz w:val="20"/>
          <w:szCs w:val="20"/>
        </w:rPr>
        <w:t xml:space="preserve"> </w:t>
      </w:r>
    </w:p>
    <w:p w:rsidR="001C33FA" w:rsidRPr="00AD1DB1" w:rsidP="001C33FA" w14:paraId="0BC78596" w14:textId="50529DD3">
      <w:pPr>
        <w:rPr>
          <w:rFonts w:ascii="Arial" w:hAnsi="Arial" w:cs="Arial"/>
        </w:rPr>
      </w:pPr>
      <w:r w:rsidRPr="00AD1DB1">
        <w:rPr>
          <w:rFonts w:ascii="Arial" w:hAnsi="Arial" w:cs="Arial"/>
        </w:rPr>
        <w:t xml:space="preserve">This is a revised collection of information with </w:t>
      </w:r>
      <w:r w:rsidRPr="00AD1DB1" w:rsidR="00B65876">
        <w:rPr>
          <w:rFonts w:ascii="Arial" w:hAnsi="Arial" w:cs="Arial"/>
        </w:rPr>
        <w:t>a</w:t>
      </w:r>
      <w:r w:rsidRPr="00AD1DB1" w:rsidR="007E628F">
        <w:rPr>
          <w:rFonts w:ascii="Arial" w:hAnsi="Arial" w:cs="Arial"/>
        </w:rPr>
        <w:t xml:space="preserve">n estimated </w:t>
      </w:r>
      <w:r w:rsidRPr="00AD1DB1">
        <w:rPr>
          <w:rFonts w:ascii="Arial" w:hAnsi="Arial" w:cs="Arial"/>
        </w:rPr>
        <w:t xml:space="preserve">increase </w:t>
      </w:r>
      <w:r w:rsidRPr="00AD1DB1" w:rsidR="00EB67F8">
        <w:rPr>
          <w:rFonts w:ascii="Arial" w:hAnsi="Arial" w:cs="Arial"/>
        </w:rPr>
        <w:t xml:space="preserve">to the </w:t>
      </w:r>
      <w:r w:rsidRPr="00AD1DB1" w:rsidR="003F7CCF">
        <w:rPr>
          <w:rFonts w:ascii="Arial" w:hAnsi="Arial" w:cs="Arial"/>
        </w:rPr>
        <w:t>overall</w:t>
      </w:r>
      <w:r w:rsidRPr="00AD1DB1">
        <w:rPr>
          <w:rFonts w:ascii="Arial" w:hAnsi="Arial" w:cs="Arial"/>
        </w:rPr>
        <w:t xml:space="preserve"> hour burden inventory</w:t>
      </w:r>
      <w:r w:rsidRPr="00AD1DB1" w:rsidR="003F7CCF">
        <w:rPr>
          <w:rFonts w:ascii="Arial" w:hAnsi="Arial" w:cs="Arial"/>
        </w:rPr>
        <w:t xml:space="preserve"> </w:t>
      </w:r>
      <w:r w:rsidRPr="00AD1DB1" w:rsidR="00B65876">
        <w:rPr>
          <w:rFonts w:ascii="Arial" w:hAnsi="Arial" w:cs="Arial"/>
        </w:rPr>
        <w:t>to</w:t>
      </w:r>
      <w:r w:rsidRPr="00AD1DB1" w:rsidR="003F7CCF">
        <w:rPr>
          <w:rFonts w:ascii="Arial" w:hAnsi="Arial" w:cs="Arial"/>
        </w:rPr>
        <w:t xml:space="preserve"> </w:t>
      </w:r>
      <w:r w:rsidRPr="00AD1DB1">
        <w:rPr>
          <w:rFonts w:ascii="Arial" w:hAnsi="Arial" w:cs="Arial"/>
        </w:rPr>
        <w:t>73,069.80.</w:t>
      </w:r>
      <w:r w:rsidRPr="00AD1DB1" w:rsidR="007E628F">
        <w:rPr>
          <w:rFonts w:ascii="Arial" w:hAnsi="Arial" w:cs="Arial"/>
        </w:rPr>
        <w:t xml:space="preserve"> </w:t>
      </w:r>
      <w:r w:rsidRPr="00AD1DB1" w:rsidR="00717C88">
        <w:rPr>
          <w:rFonts w:ascii="Arial" w:hAnsi="Arial" w:cs="Arial"/>
        </w:rPr>
        <w:t xml:space="preserve">The increase in average burden per response for the Pre-Transplant Information Collection reflects the effort required for assembling the information for the most complex indications for transplant, which are the most common. The overall burden increased due to </w:t>
      </w:r>
      <w:r w:rsidR="00210266">
        <w:rPr>
          <w:rFonts w:ascii="Arial" w:hAnsi="Arial" w:cs="Arial"/>
        </w:rPr>
        <w:t>the higher number of transplants being performed and improved survival rates, necessitating</w:t>
      </w:r>
      <w:r w:rsidRPr="00AD1DB1" w:rsidR="00717C88">
        <w:rPr>
          <w:rFonts w:ascii="Arial" w:hAnsi="Arial" w:cs="Arial"/>
        </w:rPr>
        <w:t xml:space="preserve"> more follow-up forms. The decrease in average burden per response for the Transplant Procedure and Product Information and Post-Transplant Information Collection reflects</w:t>
      </w:r>
      <w:r w:rsidRPr="00AD1DB1" w:rsidR="003010B8">
        <w:rPr>
          <w:rFonts w:ascii="Arial" w:hAnsi="Arial" w:cs="Arial"/>
        </w:rPr>
        <w:t xml:space="preserve"> </w:t>
      </w:r>
      <w:r w:rsidR="00210266">
        <w:rPr>
          <w:rFonts w:ascii="Arial" w:hAnsi="Arial" w:cs="Arial"/>
        </w:rPr>
        <w:t xml:space="preserve">the </w:t>
      </w:r>
      <w:r w:rsidRPr="00AD1DB1" w:rsidR="003010B8">
        <w:rPr>
          <w:rFonts w:ascii="Arial" w:hAnsi="Arial" w:cs="Arial"/>
        </w:rPr>
        <w:t>removal of questions that are no longer relevant</w:t>
      </w:r>
      <w:r w:rsidR="00210266">
        <w:rPr>
          <w:rFonts w:ascii="Arial" w:hAnsi="Arial" w:cs="Arial"/>
        </w:rPr>
        <w:t>, as well as improvements in</w:t>
      </w:r>
      <w:r w:rsidRPr="00AD1DB1" w:rsidR="003010B8">
        <w:rPr>
          <w:rFonts w:ascii="Arial" w:hAnsi="Arial" w:cs="Arial"/>
        </w:rPr>
        <w:t xml:space="preserve"> entry options</w:t>
      </w:r>
      <w:r w:rsidRPr="00AD1DB1" w:rsidR="00294CDF">
        <w:rPr>
          <w:rFonts w:ascii="Arial" w:hAnsi="Arial" w:cs="Arial"/>
        </w:rPr>
        <w:t xml:space="preserve"> and other efficiencies</w:t>
      </w:r>
      <w:r w:rsidRPr="00AD1DB1" w:rsidR="003010B8">
        <w:rPr>
          <w:rFonts w:ascii="Arial" w:hAnsi="Arial" w:cs="Arial"/>
        </w:rPr>
        <w:t>, such as checkboxes</w:t>
      </w:r>
      <w:r w:rsidR="00AD1DB1">
        <w:rPr>
          <w:rFonts w:ascii="Arial" w:hAnsi="Arial" w:cs="Arial"/>
        </w:rPr>
        <w:t xml:space="preserve"> and</w:t>
      </w:r>
      <w:r w:rsidRPr="00AD1DB1" w:rsidR="003010B8">
        <w:rPr>
          <w:rFonts w:ascii="Arial" w:hAnsi="Arial" w:cs="Arial"/>
        </w:rPr>
        <w:t xml:space="preserve"> auto-population from previously completed questions. </w:t>
      </w:r>
    </w:p>
    <w:p w:rsidR="001214E5" w:rsidRPr="00AD1DB1" w:rsidP="00483EFC" w14:paraId="6654820A" w14:textId="3DC88CEE">
      <w:pPr>
        <w:rPr>
          <w:rFonts w:ascii="Arial" w:hAnsi="Arial" w:cs="Arial"/>
          <w:sz w:val="20"/>
          <w:szCs w:val="20"/>
        </w:rPr>
      </w:pPr>
    </w:p>
    <w:p w:rsidR="001214E5" w:rsidRPr="00AD1DB1" w:rsidP="00483EFC" w14:paraId="530DB1BE" w14:textId="77777777">
      <w:pPr>
        <w:numPr>
          <w:ilvl w:val="0"/>
          <w:numId w:val="4"/>
        </w:numPr>
        <w:ind w:left="446" w:hanging="446"/>
        <w:rPr>
          <w:rFonts w:ascii="Arial" w:hAnsi="Arial" w:cs="Arial"/>
          <w:b/>
          <w:u w:val="single"/>
        </w:rPr>
      </w:pPr>
      <w:r w:rsidRPr="00AD1DB1">
        <w:rPr>
          <w:rFonts w:ascii="Arial" w:hAnsi="Arial" w:cs="Arial"/>
          <w:b/>
          <w:u w:val="single"/>
        </w:rPr>
        <w:t xml:space="preserve">Plans for Tabulation, Publication, and Project Time Schedule </w:t>
      </w:r>
    </w:p>
    <w:p w:rsidR="001214E5" w:rsidRPr="00AD1DB1" w:rsidP="00483EFC" w14:paraId="4F68A661" w14:textId="1664D3A6">
      <w:pPr>
        <w:rPr>
          <w:rFonts w:ascii="Arial" w:hAnsi="Arial" w:cs="Arial"/>
          <w:sz w:val="20"/>
          <w:szCs w:val="20"/>
        </w:rPr>
      </w:pPr>
      <w:r w:rsidRPr="00AD1DB1">
        <w:rPr>
          <w:rFonts w:ascii="Arial" w:hAnsi="Arial" w:cs="Arial"/>
          <w:sz w:val="20"/>
          <w:szCs w:val="20"/>
        </w:rPr>
        <w:t xml:space="preserve"> </w:t>
      </w:r>
    </w:p>
    <w:p w:rsidR="001214E5" w:rsidRPr="00AD1DB1" w:rsidP="00483EFC" w14:paraId="0B0FFC43" w14:textId="455E9D36">
      <w:pPr>
        <w:ind w:left="-5"/>
        <w:rPr>
          <w:rFonts w:ascii="Arial" w:hAnsi="Arial" w:cs="Arial"/>
        </w:rPr>
      </w:pPr>
      <w:r w:rsidRPr="00AD1DB1">
        <w:rPr>
          <w:rFonts w:ascii="Arial" w:hAnsi="Arial" w:cs="Arial"/>
        </w:rPr>
        <w:t xml:space="preserve">The data collected using the instruments outlined above </w:t>
      </w:r>
      <w:r w:rsidR="00210266">
        <w:rPr>
          <w:rFonts w:ascii="Arial" w:hAnsi="Arial" w:cs="Arial"/>
        </w:rPr>
        <w:t>are populated in</w:t>
      </w:r>
      <w:r w:rsidRPr="00AD1DB1" w:rsidR="00210266">
        <w:rPr>
          <w:rFonts w:ascii="Arial" w:hAnsi="Arial" w:cs="Arial"/>
        </w:rPr>
        <w:t xml:space="preserve"> </w:t>
      </w:r>
      <w:r w:rsidRPr="00AD1DB1">
        <w:rPr>
          <w:rFonts w:ascii="Arial" w:hAnsi="Arial" w:cs="Arial"/>
        </w:rPr>
        <w:t xml:space="preserve">a database for the SCTOD and are used for numerous analyses, reports, and publications. Data collected for the SCTOD are shared with other components of the </w:t>
      </w:r>
      <w:r w:rsidRPr="00AD1DB1" w:rsidR="00080EFB">
        <w:rPr>
          <w:rFonts w:ascii="Arial" w:hAnsi="Arial" w:cs="Arial"/>
        </w:rPr>
        <w:t xml:space="preserve">CWBYCTP </w:t>
      </w:r>
      <w:r w:rsidRPr="00AD1DB1">
        <w:rPr>
          <w:rFonts w:ascii="Arial" w:hAnsi="Arial" w:cs="Arial"/>
        </w:rPr>
        <w:t xml:space="preserve">in fulfillment of the goals and statutory charge of the </w:t>
      </w:r>
      <w:r w:rsidRPr="00AD1DB1" w:rsidR="00080EFB">
        <w:rPr>
          <w:rFonts w:ascii="Arial" w:hAnsi="Arial" w:cs="Arial"/>
        </w:rPr>
        <w:t>CWBYCTP</w:t>
      </w:r>
      <w:r w:rsidRPr="00AD1DB1">
        <w:rPr>
          <w:rFonts w:ascii="Arial" w:hAnsi="Arial" w:cs="Arial"/>
        </w:rPr>
        <w:t xml:space="preserve">. </w:t>
      </w:r>
      <w:r w:rsidRPr="00AD1DB1" w:rsidR="00080EFB">
        <w:rPr>
          <w:rFonts w:ascii="Arial" w:hAnsi="Arial" w:cs="Arial"/>
        </w:rPr>
        <w:t xml:space="preserve">The data collected is shared </w:t>
      </w:r>
      <w:r w:rsidR="00210266">
        <w:rPr>
          <w:rFonts w:ascii="Arial" w:hAnsi="Arial" w:cs="Arial"/>
        </w:rPr>
        <w:t>with HRSA, and reports from the data are shared with</w:t>
      </w:r>
      <w:r w:rsidRPr="00AD1DB1" w:rsidR="00080EFB">
        <w:rPr>
          <w:rFonts w:ascii="Arial" w:hAnsi="Arial" w:cs="Arial"/>
        </w:rPr>
        <w:t xml:space="preserve"> </w:t>
      </w:r>
      <w:r w:rsidRPr="00AD1DB1">
        <w:rPr>
          <w:rFonts w:ascii="Arial" w:hAnsi="Arial" w:cs="Arial"/>
        </w:rPr>
        <w:t xml:space="preserve">umbilical cord blood banks and the transplant programs themselves. The outcomes database is also used to prepare reports about the </w:t>
      </w:r>
      <w:r w:rsidRPr="00AD1DB1" w:rsidR="00080EFB">
        <w:rPr>
          <w:rFonts w:ascii="Arial" w:hAnsi="Arial" w:cs="Arial"/>
        </w:rPr>
        <w:t>CWBYCTP</w:t>
      </w:r>
      <w:r w:rsidRPr="00AD1DB1">
        <w:rPr>
          <w:rFonts w:ascii="Arial" w:hAnsi="Arial" w:cs="Arial"/>
        </w:rPr>
        <w:t xml:space="preserve"> for the Secretary, the Advisory Council on Blood Stem Cell Transplantation, HRSA, and the public.</w:t>
      </w:r>
      <w:r w:rsidR="00374081">
        <w:rPr>
          <w:rFonts w:ascii="Arial" w:hAnsi="Arial" w:cs="Arial"/>
        </w:rPr>
        <w:t xml:space="preserve"> </w:t>
      </w:r>
      <w:r w:rsidRPr="00AD1DB1" w:rsidR="00080EFB">
        <w:rPr>
          <w:rFonts w:ascii="Arial" w:hAnsi="Arial" w:cs="Arial"/>
        </w:rPr>
        <w:t>One of the main report</w:t>
      </w:r>
      <w:r w:rsidRPr="00AD1DB1" w:rsidR="008F1D3B">
        <w:rPr>
          <w:rFonts w:ascii="Arial" w:hAnsi="Arial" w:cs="Arial"/>
        </w:rPr>
        <w:t>s</w:t>
      </w:r>
      <w:r w:rsidRPr="00AD1DB1" w:rsidR="00080EFB">
        <w:rPr>
          <w:rFonts w:ascii="Arial" w:hAnsi="Arial" w:cs="Arial"/>
        </w:rPr>
        <w:t xml:space="preserve"> produced under SCTOD is the </w:t>
      </w:r>
      <w:r w:rsidRPr="00AD1DB1">
        <w:rPr>
          <w:rFonts w:ascii="Arial" w:hAnsi="Arial" w:cs="Arial"/>
        </w:rPr>
        <w:t>Transplant Center-Specific Survival Report</w:t>
      </w:r>
      <w:r w:rsidRPr="00AD1DB1" w:rsidR="00080EFB">
        <w:rPr>
          <w:rFonts w:ascii="Arial" w:hAnsi="Arial" w:cs="Arial"/>
        </w:rPr>
        <w:t>, which</w:t>
      </w:r>
      <w:r w:rsidRPr="00AD1DB1">
        <w:rPr>
          <w:rFonts w:ascii="Arial" w:hAnsi="Arial" w:cs="Arial"/>
        </w:rPr>
        <w:t xml:space="preserve"> </w:t>
      </w:r>
      <w:r w:rsidRPr="00AD1DB1" w:rsidR="00080EFB">
        <w:rPr>
          <w:rFonts w:ascii="Arial" w:hAnsi="Arial" w:cs="Arial"/>
        </w:rPr>
        <w:t>outlines</w:t>
      </w:r>
      <w:r w:rsidRPr="00AD1DB1">
        <w:rPr>
          <w:rFonts w:ascii="Arial" w:hAnsi="Arial" w:cs="Arial"/>
        </w:rPr>
        <w:t xml:space="preserve"> the specific survival rates for</w:t>
      </w:r>
      <w:r w:rsidRPr="00AD1DB1" w:rsidR="00BE2251">
        <w:rPr>
          <w:rFonts w:ascii="Arial" w:hAnsi="Arial" w:cs="Arial"/>
        </w:rPr>
        <w:t xml:space="preserve"> allogeneic recipients at</w:t>
      </w:r>
      <w:r w:rsidRPr="00AD1DB1">
        <w:rPr>
          <w:rFonts w:ascii="Arial" w:hAnsi="Arial" w:cs="Arial"/>
        </w:rPr>
        <w:t xml:space="preserve"> all transplant centers in the U.S.</w:t>
      </w:r>
      <w:r w:rsidR="00374081">
        <w:rPr>
          <w:rFonts w:ascii="Arial" w:hAnsi="Arial" w:cs="Arial"/>
        </w:rPr>
        <w:t xml:space="preserve"> </w:t>
      </w:r>
      <w:r w:rsidRPr="00AD1DB1">
        <w:rPr>
          <w:rFonts w:ascii="Arial" w:hAnsi="Arial" w:cs="Arial"/>
        </w:rPr>
        <w:t xml:space="preserve">This is </w:t>
      </w:r>
      <w:r w:rsidR="00210266">
        <w:rPr>
          <w:rFonts w:ascii="Arial" w:hAnsi="Arial" w:cs="Arial"/>
        </w:rPr>
        <w:t>a critical</w:t>
      </w:r>
      <w:r w:rsidRPr="00AD1DB1">
        <w:rPr>
          <w:rFonts w:ascii="Arial" w:hAnsi="Arial" w:cs="Arial"/>
        </w:rPr>
        <w:t xml:space="preserve"> report for patients and physicians, both for improving quality of care at transplant centers and for helping patients and their physicians make </w:t>
      </w:r>
      <w:r w:rsidRPr="00AD1DB1" w:rsidR="0005700F">
        <w:rPr>
          <w:rFonts w:ascii="Arial" w:hAnsi="Arial" w:cs="Arial"/>
        </w:rPr>
        <w:t>well-informed</w:t>
      </w:r>
      <w:r w:rsidRPr="00AD1DB1">
        <w:rPr>
          <w:rFonts w:ascii="Arial" w:hAnsi="Arial" w:cs="Arial"/>
        </w:rPr>
        <w:t xml:space="preserve"> choices about which transplant centers are most appropriate for each patient.</w:t>
      </w:r>
      <w:r w:rsidR="00374081">
        <w:rPr>
          <w:rFonts w:ascii="Arial" w:hAnsi="Arial" w:cs="Arial"/>
        </w:rPr>
        <w:t xml:space="preserve"> </w:t>
      </w:r>
    </w:p>
    <w:p w:rsidR="001214E5" w:rsidRPr="00AD1DB1" w:rsidP="00483EFC" w14:paraId="7F4D5FB1" w14:textId="77777777">
      <w:pPr>
        <w:ind w:left="360"/>
        <w:rPr>
          <w:rFonts w:ascii="Arial" w:hAnsi="Arial" w:cs="Arial"/>
          <w:sz w:val="20"/>
          <w:szCs w:val="20"/>
        </w:rPr>
      </w:pPr>
      <w:r w:rsidRPr="00AD1DB1">
        <w:rPr>
          <w:rFonts w:ascii="Arial" w:hAnsi="Arial" w:cs="Arial"/>
          <w:sz w:val="20"/>
          <w:szCs w:val="20"/>
        </w:rPr>
        <w:t xml:space="preserve"> </w:t>
      </w:r>
    </w:p>
    <w:p w:rsidR="001214E5" w:rsidRPr="00AD1DB1" w:rsidP="00483EFC" w14:paraId="565D02D5" w14:textId="647EFE07">
      <w:pPr>
        <w:ind w:left="-5"/>
        <w:rPr>
          <w:rFonts w:ascii="Arial" w:hAnsi="Arial" w:cs="Arial"/>
        </w:rPr>
      </w:pPr>
      <w:r w:rsidRPr="00AD1DB1">
        <w:rPr>
          <w:rFonts w:ascii="Arial" w:hAnsi="Arial" w:cs="Arial"/>
        </w:rPr>
        <w:t>In addition, as required in section 379A(d) of the Act, the outcomes database makes relevant scientific information that does not contain individually identifiable information available to the public.</w:t>
      </w:r>
      <w:r w:rsidR="00374081">
        <w:rPr>
          <w:rFonts w:ascii="Arial" w:hAnsi="Arial" w:cs="Arial"/>
        </w:rPr>
        <w:t xml:space="preserve"> </w:t>
      </w:r>
      <w:r w:rsidRPr="00AD1DB1">
        <w:rPr>
          <w:rFonts w:ascii="Arial" w:hAnsi="Arial" w:cs="Arial"/>
        </w:rPr>
        <w:t xml:space="preserve">This information is provided by CIBMTR in the form of summaries and data sets to encourage medical research and to provide information to transplant programs, physicians, patients, and cord blood banks. </w:t>
      </w:r>
      <w:r w:rsidRPr="00AD1DB1" w:rsidR="00080EFB">
        <w:rPr>
          <w:rFonts w:ascii="Arial" w:hAnsi="Arial" w:cs="Arial"/>
        </w:rPr>
        <w:t>The Transplant</w:t>
      </w:r>
      <w:r w:rsidRPr="00AD1DB1" w:rsidR="003010B8">
        <w:rPr>
          <w:rFonts w:ascii="Arial" w:hAnsi="Arial" w:cs="Arial"/>
        </w:rPr>
        <w:t xml:space="preserve"> </w:t>
      </w:r>
      <w:r w:rsidRPr="00AD1DB1" w:rsidR="00080EFB">
        <w:rPr>
          <w:rFonts w:ascii="Arial" w:hAnsi="Arial" w:cs="Arial"/>
        </w:rPr>
        <w:t>Center</w:t>
      </w:r>
      <w:r w:rsidRPr="00AD1DB1" w:rsidR="003010B8">
        <w:rPr>
          <w:rFonts w:ascii="Arial" w:hAnsi="Arial" w:cs="Arial"/>
        </w:rPr>
        <w:t>-</w:t>
      </w:r>
      <w:r w:rsidRPr="00AD1DB1" w:rsidR="00080EFB">
        <w:rPr>
          <w:rFonts w:ascii="Arial" w:hAnsi="Arial" w:cs="Arial"/>
        </w:rPr>
        <w:t xml:space="preserve">Specific Survival Report and the U.S. Transplant Activity Report are available </w:t>
      </w:r>
      <w:r w:rsidRPr="00AD1DB1" w:rsidR="00237E57">
        <w:rPr>
          <w:rFonts w:ascii="Arial" w:hAnsi="Arial" w:cs="Arial"/>
        </w:rPr>
        <w:t xml:space="preserve">through </w:t>
      </w:r>
      <w:r w:rsidRPr="00AD1DB1" w:rsidR="00080EFB">
        <w:rPr>
          <w:rFonts w:ascii="Arial" w:hAnsi="Arial" w:cs="Arial"/>
        </w:rPr>
        <w:t xml:space="preserve">the HRSA website. </w:t>
      </w:r>
    </w:p>
    <w:p w:rsidR="00080EFB" w:rsidRPr="00AD1DB1" w:rsidP="00483EFC" w14:paraId="77303458" w14:textId="3C215E2B">
      <w:pPr>
        <w:ind w:left="-5"/>
        <w:rPr>
          <w:rFonts w:ascii="Arial" w:hAnsi="Arial" w:cs="Arial"/>
          <w:sz w:val="20"/>
          <w:szCs w:val="20"/>
        </w:rPr>
      </w:pPr>
    </w:p>
    <w:p w:rsidR="00080EFB" w:rsidRPr="00AD1DB1" w:rsidP="00483EFC" w14:paraId="3C5DD606" w14:textId="36452A80">
      <w:pPr>
        <w:rPr>
          <w:rFonts w:ascii="Arial" w:hAnsi="Arial" w:cs="Arial"/>
        </w:rPr>
      </w:pPr>
      <w:r w:rsidRPr="00AD1DB1">
        <w:rPr>
          <w:rFonts w:ascii="Arial" w:hAnsi="Arial" w:cs="Arial"/>
        </w:rPr>
        <w:t xml:space="preserve">The center-specific survival analysis report is delivered to HRSA </w:t>
      </w:r>
      <w:r w:rsidRPr="00AD1DB1" w:rsidR="00B37F0C">
        <w:rPr>
          <w:rFonts w:ascii="Arial" w:hAnsi="Arial" w:cs="Arial"/>
        </w:rPr>
        <w:t xml:space="preserve">annually </w:t>
      </w:r>
      <w:r w:rsidRPr="00AD1DB1">
        <w:rPr>
          <w:rFonts w:ascii="Arial" w:hAnsi="Arial" w:cs="Arial"/>
        </w:rPr>
        <w:t xml:space="preserve">in the fall </w:t>
      </w:r>
      <w:r w:rsidRPr="00AD1DB1" w:rsidR="00B37F0C">
        <w:rPr>
          <w:rFonts w:ascii="Arial" w:hAnsi="Arial" w:cs="Arial"/>
        </w:rPr>
        <w:t>and made</w:t>
      </w:r>
      <w:r w:rsidRPr="00AD1DB1">
        <w:rPr>
          <w:rFonts w:ascii="Arial" w:hAnsi="Arial" w:cs="Arial"/>
        </w:rPr>
        <w:t xml:space="preserve"> available to the public </w:t>
      </w:r>
      <w:r w:rsidRPr="00AD1DB1" w:rsidR="00B37F0C">
        <w:rPr>
          <w:rFonts w:ascii="Arial" w:hAnsi="Arial" w:cs="Arial"/>
        </w:rPr>
        <w:t>each December</w:t>
      </w:r>
      <w:r w:rsidRPr="00AD1DB1">
        <w:rPr>
          <w:rFonts w:ascii="Arial" w:hAnsi="Arial" w:cs="Arial"/>
        </w:rPr>
        <w:t>. The data collection is ongoing</w:t>
      </w:r>
      <w:r w:rsidR="00210266">
        <w:rPr>
          <w:rFonts w:ascii="Arial" w:hAnsi="Arial" w:cs="Arial"/>
        </w:rPr>
        <w:t>,</w:t>
      </w:r>
      <w:r w:rsidRPr="00AD1DB1">
        <w:rPr>
          <w:rFonts w:ascii="Arial" w:hAnsi="Arial" w:cs="Arial"/>
        </w:rPr>
        <w:t xml:space="preserve"> and the maximum number of years for clearance (3 years) is requested.</w:t>
      </w:r>
      <w:r w:rsidR="00374081">
        <w:rPr>
          <w:rFonts w:ascii="Arial" w:hAnsi="Arial" w:cs="Arial"/>
        </w:rPr>
        <w:t xml:space="preserve"> </w:t>
      </w:r>
    </w:p>
    <w:p w:rsidR="001214E5" w:rsidRPr="00AD1DB1" w:rsidP="00483EFC" w14:paraId="49429732" w14:textId="77777777">
      <w:pPr>
        <w:rPr>
          <w:rFonts w:ascii="Arial" w:hAnsi="Arial" w:cs="Arial"/>
          <w:sz w:val="20"/>
          <w:szCs w:val="20"/>
        </w:rPr>
      </w:pPr>
      <w:r w:rsidRPr="00AD1DB1">
        <w:rPr>
          <w:rFonts w:ascii="Arial" w:hAnsi="Arial" w:cs="Arial"/>
          <w:sz w:val="20"/>
          <w:szCs w:val="20"/>
        </w:rPr>
        <w:t xml:space="preserve"> </w:t>
      </w:r>
    </w:p>
    <w:p w:rsidR="001214E5" w:rsidRPr="00AD1DB1" w:rsidP="00483EFC" w14:paraId="4DC324DB" w14:textId="5165F372">
      <w:pPr>
        <w:numPr>
          <w:ilvl w:val="0"/>
          <w:numId w:val="4"/>
        </w:numPr>
        <w:ind w:left="446" w:hanging="446"/>
        <w:rPr>
          <w:rFonts w:ascii="Arial" w:hAnsi="Arial" w:cs="Arial"/>
          <w:b/>
          <w:u w:val="single"/>
        </w:rPr>
      </w:pPr>
      <w:r w:rsidRPr="00AD1DB1">
        <w:rPr>
          <w:rFonts w:ascii="Arial" w:hAnsi="Arial" w:cs="Arial"/>
          <w:b/>
          <w:u w:val="single"/>
        </w:rPr>
        <w:t xml:space="preserve">Reason(s) Display of Expiration Date is Inappropriate </w:t>
      </w:r>
    </w:p>
    <w:p w:rsidR="00483EFC" w:rsidRPr="00AD1DB1" w:rsidP="00483EFC" w14:paraId="4F394DEE" w14:textId="77777777">
      <w:pPr>
        <w:ind w:left="446"/>
        <w:rPr>
          <w:rFonts w:ascii="Arial" w:hAnsi="Arial" w:cs="Arial"/>
          <w:b/>
          <w:sz w:val="20"/>
          <w:szCs w:val="20"/>
        </w:rPr>
      </w:pPr>
    </w:p>
    <w:p w:rsidR="001214E5" w:rsidRPr="00AD1DB1" w:rsidP="00483EFC" w14:paraId="3CDAE97F" w14:textId="05B5BD52">
      <w:pPr>
        <w:rPr>
          <w:rFonts w:ascii="Arial" w:hAnsi="Arial" w:cs="Arial"/>
          <w:b/>
        </w:rPr>
      </w:pPr>
      <w:r w:rsidRPr="00AD1DB1">
        <w:rPr>
          <w:rFonts w:ascii="Arial" w:hAnsi="Arial" w:cs="Arial"/>
        </w:rPr>
        <w:t>The OMB number and Expiration date will be displayed on every page of every form/instrument.</w:t>
      </w:r>
      <w:r w:rsidRPr="00AD1DB1">
        <w:rPr>
          <w:rFonts w:ascii="Arial" w:hAnsi="Arial" w:cs="Arial"/>
          <w:b/>
        </w:rPr>
        <w:t xml:space="preserve"> </w:t>
      </w:r>
    </w:p>
    <w:p w:rsidR="00080EFB" w:rsidRPr="00AD1DB1" w:rsidP="00483EFC" w14:paraId="0FE0E1C9" w14:textId="7C746942">
      <w:pPr>
        <w:rPr>
          <w:rFonts w:ascii="Arial" w:hAnsi="Arial" w:cs="Arial"/>
          <w:sz w:val="20"/>
          <w:szCs w:val="20"/>
        </w:rPr>
      </w:pPr>
    </w:p>
    <w:p w:rsidR="001214E5" w:rsidRPr="00AD1DB1" w:rsidP="00483EFC" w14:paraId="6CB72623" w14:textId="646F846B">
      <w:pPr>
        <w:numPr>
          <w:ilvl w:val="0"/>
          <w:numId w:val="4"/>
        </w:numPr>
        <w:ind w:left="446" w:hanging="446"/>
        <w:rPr>
          <w:rFonts w:ascii="Arial" w:hAnsi="Arial" w:cs="Arial"/>
          <w:b/>
          <w:u w:val="single"/>
        </w:rPr>
      </w:pPr>
      <w:r w:rsidRPr="00AD1DB1">
        <w:rPr>
          <w:rFonts w:ascii="Arial" w:hAnsi="Arial" w:cs="Arial"/>
          <w:b/>
          <w:u w:val="single"/>
        </w:rPr>
        <w:t xml:space="preserve">Exceptions to Certifications for Paperwork Reduction Act Submissions </w:t>
      </w:r>
    </w:p>
    <w:p w:rsidR="00483EFC" w:rsidRPr="00AD1DB1" w:rsidP="00483EFC" w14:paraId="2537D85C" w14:textId="77777777">
      <w:pPr>
        <w:ind w:left="446"/>
        <w:rPr>
          <w:rFonts w:ascii="Arial" w:hAnsi="Arial" w:cs="Arial"/>
          <w:b/>
          <w:sz w:val="20"/>
          <w:szCs w:val="20"/>
        </w:rPr>
      </w:pPr>
    </w:p>
    <w:p w:rsidR="001214E5" w:rsidRPr="00AD1DB1" w:rsidP="00483EFC" w14:paraId="493F0C64" w14:textId="4A571C96">
      <w:pPr>
        <w:ind w:left="-5"/>
        <w:rPr>
          <w:rFonts w:ascii="Arial" w:hAnsi="Arial" w:cs="Arial"/>
        </w:rPr>
      </w:pPr>
      <w:r w:rsidRPr="00AD1DB1">
        <w:rPr>
          <w:rFonts w:ascii="Arial" w:hAnsi="Arial" w:cs="Arial"/>
        </w:rPr>
        <w:t xml:space="preserve">There are no exceptions to the certification. </w:t>
      </w:r>
    </w:p>
    <w:p w:rsidR="00E07976" w:rsidRPr="00AD1DB1" w:rsidP="00726AE9" w14:paraId="12CB45F4" w14:textId="77777777">
      <w:pPr>
        <w:spacing w:line="480" w:lineRule="auto"/>
        <w:rPr>
          <w:rFonts w:ascii="Arial" w:hAnsi="Arial" w:cs="Arial"/>
        </w:rPr>
      </w:pPr>
    </w:p>
    <w:sectPr w:rsidSect="00E24FA1">
      <w:foot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iragino Sans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eastAsia="Arial" w:hAnsi="Arial" w:cs="Arial"/>
        <w:color w:val="000000"/>
        <w:sz w:val="21"/>
        <w:szCs w:val="22"/>
      </w:rPr>
      <w:id w:val="965477265"/>
      <w:docPartObj>
        <w:docPartGallery w:val="Page Numbers (Bottom of Page)"/>
        <w:docPartUnique/>
      </w:docPartObj>
    </w:sdtPr>
    <w:sdtEndPr>
      <w:rPr>
        <w:noProof/>
        <w:sz w:val="22"/>
      </w:rPr>
    </w:sdtEndPr>
    <w:sdtContent>
      <w:p w:rsidR="00693E5A" w:rsidP="00693E5A" w14:paraId="306E77BB" w14:textId="77777777">
        <w:pPr>
          <w:tabs>
            <w:tab w:val="right" w:pos="9360"/>
          </w:tabs>
          <w:ind w:right="-90"/>
          <w:rPr>
            <w:rFonts w:ascii="Arial" w:hAnsi="Arial" w:cs="Arial"/>
            <w:sz w:val="18"/>
            <w:szCs w:val="18"/>
          </w:rPr>
        </w:pPr>
      </w:p>
      <w:p w:rsidR="00693E5A" w:rsidRPr="00693E5A" w:rsidP="00EE0BEF" w14:paraId="18F3FB4E" w14:textId="525CBEE6">
        <w:pPr>
          <w:pBdr>
            <w:top w:val="single" w:sz="4" w:space="1" w:color="auto"/>
          </w:pBdr>
          <w:tabs>
            <w:tab w:val="right" w:pos="9360"/>
          </w:tabs>
          <w:rPr>
            <w:sz w:val="18"/>
            <w:szCs w:val="18"/>
          </w:rPr>
        </w:pPr>
        <w:r w:rsidRPr="00693E5A">
          <w:rPr>
            <w:sz w:val="18"/>
            <w:szCs w:val="18"/>
          </w:rPr>
          <w:t xml:space="preserve">Supporting Statement </w:t>
        </w:r>
        <w:r>
          <w:rPr>
            <w:sz w:val="18"/>
            <w:szCs w:val="18"/>
          </w:rPr>
          <w:t>A for Stem Cell Therapeutic Outcomes Database</w:t>
        </w:r>
        <w:r w:rsidR="00E24FA1">
          <w:rPr>
            <w:sz w:val="18"/>
            <w:szCs w:val="18"/>
          </w:rPr>
          <w:t xml:space="preserve"> (SCTOD)</w:t>
        </w:r>
        <w:r w:rsidRPr="00693E5A">
          <w:rPr>
            <w:sz w:val="18"/>
            <w:szCs w:val="18"/>
          </w:rPr>
          <w:tab/>
          <w:t xml:space="preserve">Page </w:t>
        </w:r>
        <w:r w:rsidRPr="00693E5A">
          <w:rPr>
            <w:sz w:val="18"/>
            <w:szCs w:val="18"/>
          </w:rPr>
          <w:fldChar w:fldCharType="begin"/>
        </w:r>
        <w:r w:rsidRPr="00693E5A">
          <w:rPr>
            <w:sz w:val="18"/>
            <w:szCs w:val="18"/>
          </w:rPr>
          <w:instrText xml:space="preserve"> PAGE   \* MERGEFORMAT </w:instrText>
        </w:r>
        <w:r w:rsidRPr="00693E5A">
          <w:rPr>
            <w:sz w:val="18"/>
            <w:szCs w:val="18"/>
          </w:rPr>
          <w:fldChar w:fldCharType="separate"/>
        </w:r>
        <w:r w:rsidRPr="00693E5A">
          <w:rPr>
            <w:sz w:val="18"/>
            <w:szCs w:val="18"/>
          </w:rPr>
          <w:t>3</w:t>
        </w:r>
        <w:r w:rsidRPr="00693E5A">
          <w:rPr>
            <w:noProof/>
            <w:sz w:val="18"/>
            <w:szCs w:val="18"/>
          </w:rPr>
          <w:fldChar w:fldCharType="end"/>
        </w:r>
      </w:p>
      <w:p w:rsidR="00693E5A" w:rsidRPr="00693E5A" w:rsidP="00693E5A" w14:paraId="62FCA5EB" w14:textId="0983C15B">
        <w:pPr>
          <w:tabs>
            <w:tab w:val="right" w:pos="9360"/>
          </w:tabs>
          <w:ind w:right="-90"/>
          <w:rPr>
            <w:sz w:val="18"/>
            <w:szCs w:val="18"/>
          </w:rPr>
        </w:pPr>
        <w:r>
          <w:rPr>
            <w:sz w:val="18"/>
            <w:szCs w:val="18"/>
          </w:rPr>
          <w:t>OMB Control Number 0915-0310 (SCTOD)</w:t>
        </w:r>
        <w:r w:rsidRPr="00693E5A">
          <w:rPr>
            <w:sz w:val="18"/>
            <w:szCs w:val="18"/>
          </w:rPr>
          <w:tab/>
        </w:r>
        <w:r w:rsidR="000F2E3E">
          <w:rPr>
            <w:sz w:val="18"/>
            <w:szCs w:val="18"/>
          </w:rPr>
          <w:fldChar w:fldCharType="begin"/>
        </w:r>
        <w:r w:rsidR="000F2E3E">
          <w:rPr>
            <w:sz w:val="18"/>
            <w:szCs w:val="18"/>
          </w:rPr>
          <w:instrText xml:space="preserve"> DATE \@ "M.d.yyyy" </w:instrText>
        </w:r>
        <w:r w:rsidR="000F2E3E">
          <w:rPr>
            <w:sz w:val="18"/>
            <w:szCs w:val="18"/>
          </w:rPr>
          <w:fldChar w:fldCharType="separate"/>
        </w:r>
        <w:r w:rsidR="00546484">
          <w:rPr>
            <w:noProof/>
            <w:sz w:val="18"/>
            <w:szCs w:val="18"/>
          </w:rPr>
          <w:t>7.30.2025</w:t>
        </w:r>
        <w:r w:rsidR="000F2E3E">
          <w:rPr>
            <w:sz w:val="18"/>
            <w:szCs w:val="18"/>
          </w:rPr>
          <w:fldChar w:fldCharType="end"/>
        </w:r>
      </w:p>
      <w:p w:rsidR="00F74ECC" w:rsidRPr="0055039D" w14:paraId="1FEC6CD7" w14:textId="11760642">
        <w:pPr>
          <w:pStyle w:val="Footer"/>
          <w:jc w:val="center"/>
          <w:rPr>
            <w:rFonts w:ascii="Times New Roman" w:hAnsi="Times New Roman" w:cs="Times New Roman"/>
            <w:sz w:val="22"/>
          </w:rPr>
        </w:pPr>
      </w:p>
    </w:sdtContent>
  </w:sdt>
  <w:p w:rsidR="00F74ECC" w:rsidRPr="003976C3" w:rsidP="003976C3" w14:paraId="3FB863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5BE7" w:rsidP="003976C3" w14:paraId="013EFC8B" w14:textId="77777777">
      <w:r>
        <w:separator/>
      </w:r>
    </w:p>
  </w:footnote>
  <w:footnote w:type="continuationSeparator" w:id="1">
    <w:p w:rsidR="00575BE7" w:rsidP="003976C3" w14:paraId="706857ED" w14:textId="77777777">
      <w:r>
        <w:continuationSeparator/>
      </w:r>
    </w:p>
  </w:footnote>
  <w:footnote w:type="continuationNotice" w:id="2">
    <w:p w:rsidR="00575BE7" w:rsidP="003976C3" w14:paraId="62779EB8" w14:textId="77777777"/>
  </w:footnote>
  <w:footnote w:id="3">
    <w:p w:rsidR="00F75AF3" w:rsidP="00E13343" w14:paraId="19B5CED2" w14:textId="034A5465">
      <w:pPr>
        <w:pStyle w:val="FootnoteText"/>
        <w:spacing w:line="216" w:lineRule="auto"/>
      </w:pPr>
      <w:r w:rsidRPr="00F75AF3">
        <w:rPr>
          <w:rStyle w:val="FootnoteReference"/>
          <w:vertAlign w:val="superscript"/>
        </w:rPr>
        <w:footnoteRef/>
      </w:r>
      <w:r>
        <w:t xml:space="preserve"> </w:t>
      </w:r>
      <w:r w:rsidRPr="005A0B87">
        <w:t xml:space="preserve">The Stem Cell Therapeutic and Research Act of 2005 (Public Law 109-129, December 20, 2005) as amended and codified in Section 379A of the Public Health Service Act (42 U.S.C. 247l) </w:t>
      </w:r>
      <w:r>
        <w:t xml:space="preserve">also </w:t>
      </w:r>
      <w:r w:rsidRPr="005A0B87">
        <w:t xml:space="preserve">requires that the Secretary, by contract, </w:t>
      </w:r>
      <w:r>
        <w:t>“</w:t>
      </w:r>
      <w:r w:rsidRPr="009409E2">
        <w:rPr>
          <w:color w:val="000000"/>
          <w:szCs w:val="22"/>
        </w:rPr>
        <w:t>establish and maintain a scientific database of information relating to patients who have been recipients of a stem cell therapeutics product (including bone marrow, cord blood, or other such product) from a donor.</w:t>
      </w:r>
      <w:r>
        <w:t>”</w:t>
      </w:r>
    </w:p>
  </w:footnote>
  <w:footnote w:id="4">
    <w:p w:rsidR="00F1283F" w:rsidP="00E13343" w14:paraId="3BD8A2B0" w14:textId="7CF18C1C">
      <w:pPr>
        <w:pStyle w:val="FootnoteText"/>
        <w:spacing w:line="216" w:lineRule="auto"/>
      </w:pPr>
      <w:r w:rsidRPr="00F1283F">
        <w:rPr>
          <w:rStyle w:val="FootnoteReference"/>
          <w:vertAlign w:val="superscript"/>
        </w:rPr>
        <w:footnoteRef/>
      </w:r>
      <w:r>
        <w:t xml:space="preserve"> </w:t>
      </w:r>
      <w:r w:rsidRPr="00E24FA1">
        <w:t>Health Resources and Services Administration (HRSA</w:t>
      </w:r>
      <w:r>
        <w:t xml:space="preserve">), </w:t>
      </w:r>
      <w:r w:rsidRPr="00E24FA1">
        <w:t>Healthcare Systems Bureau, Division of Transplantation</w:t>
      </w:r>
    </w:p>
  </w:footnote>
  <w:footnote w:id="5">
    <w:p w:rsidR="00567338" w:rsidP="00205855" w14:paraId="196D462E" w14:textId="7823B7F7">
      <w:pPr>
        <w:spacing w:line="216" w:lineRule="auto"/>
      </w:pPr>
      <w:r w:rsidRPr="002A0FA3">
        <w:rPr>
          <w:rStyle w:val="FootnoteReference"/>
          <w:sz w:val="20"/>
          <w:szCs w:val="20"/>
          <w:vertAlign w:val="superscript"/>
        </w:rPr>
        <w:footnoteRef/>
      </w:r>
      <w:r w:rsidRPr="002A0FA3">
        <w:rPr>
          <w:sz w:val="20"/>
          <w:szCs w:val="20"/>
        </w:rPr>
        <w:t xml:space="preserve"> </w:t>
      </w:r>
      <w:r w:rsidRPr="002A0FA3" w:rsidR="002A0FA3">
        <w:rPr>
          <w:sz w:val="20"/>
          <w:szCs w:val="20"/>
        </w:rPr>
        <w:t>Various acronyms refer to h</w:t>
      </w:r>
      <w:r w:rsidRPr="002A0FA3">
        <w:rPr>
          <w:sz w:val="20"/>
          <w:szCs w:val="20"/>
        </w:rPr>
        <w:t>ematopoietic stem cell transplantation</w:t>
      </w:r>
      <w:r w:rsidRPr="002A0FA3" w:rsidR="002A0FA3">
        <w:rPr>
          <w:sz w:val="20"/>
          <w:szCs w:val="20"/>
        </w:rPr>
        <w:t xml:space="preserve">, including </w:t>
      </w:r>
      <w:r w:rsidRPr="002A0FA3">
        <w:rPr>
          <w:sz w:val="20"/>
          <w:szCs w:val="20"/>
        </w:rPr>
        <w:t xml:space="preserve">HPSCT, HSCT, or the current </w:t>
      </w:r>
      <w:r w:rsidR="002A0FA3">
        <w:rPr>
          <w:sz w:val="20"/>
          <w:szCs w:val="20"/>
        </w:rPr>
        <w:t xml:space="preserve">usage of </w:t>
      </w:r>
      <w:r w:rsidRPr="002A0FA3">
        <w:rPr>
          <w:sz w:val="20"/>
          <w:szCs w:val="20"/>
        </w:rPr>
        <w:t>HCT.</w:t>
      </w:r>
      <w:r w:rsidR="002A0FA3">
        <w:rPr>
          <w:sz w:val="20"/>
          <w:szCs w:val="20"/>
        </w:rPr>
        <w:t xml:space="preserve"> Unless quoting statute, regulations, or other official documents, HCT is used </w:t>
      </w:r>
      <w:r w:rsidR="00691B18">
        <w:rPr>
          <w:sz w:val="20"/>
          <w:szCs w:val="20"/>
        </w:rPr>
        <w:t>throughout</w:t>
      </w:r>
      <w:r w:rsidR="002A0FA3">
        <w:rPr>
          <w:sz w:val="20"/>
          <w:szCs w:val="20"/>
        </w:rPr>
        <w:t xml:space="preserve"> this statement.</w:t>
      </w:r>
    </w:p>
  </w:footnote>
  <w:footnote w:id="6">
    <w:p w:rsidR="00D60325" w:rsidP="00E13343" w14:paraId="0258B037" w14:textId="18CF4778">
      <w:pPr>
        <w:pStyle w:val="FootnoteText"/>
        <w:spacing w:line="216" w:lineRule="auto"/>
      </w:pPr>
      <w:r w:rsidRPr="00236141">
        <w:rPr>
          <w:rStyle w:val="FootnoteReference"/>
          <w:vertAlign w:val="superscript"/>
        </w:rPr>
        <w:footnoteRef/>
      </w:r>
      <w:r>
        <w:t xml:space="preserve"> </w:t>
      </w:r>
      <w:hyperlink r:id="rId1" w:history="1">
        <w:r w:rsidRPr="005C1DE8">
          <w:rPr>
            <w:rStyle w:val="Hyperlink"/>
          </w:rPr>
          <w:t>https://bloodstemcell.hrsa.gov/about/legislation/reports-congress</w:t>
        </w:r>
      </w:hyperlink>
    </w:p>
  </w:footnote>
  <w:footnote w:id="7">
    <w:p w:rsidR="00CA0FDE" w:rsidP="00E13343" w14:paraId="1E66E7E9" w14:textId="64CF8ABD">
      <w:pPr>
        <w:pStyle w:val="FootnoteText"/>
        <w:spacing w:line="216" w:lineRule="auto"/>
      </w:pPr>
      <w:r w:rsidRPr="00CA0FDE">
        <w:rPr>
          <w:rStyle w:val="FootnoteReference"/>
          <w:vertAlign w:val="superscript"/>
        </w:rPr>
        <w:footnoteRef/>
      </w:r>
      <w:r>
        <w:t xml:space="preserve"> </w:t>
      </w:r>
      <w:hyperlink r:id="rId2" w:history="1">
        <w:r w:rsidRPr="00905D23">
          <w:rPr>
            <w:rStyle w:val="Hyperlink"/>
          </w:rPr>
          <w:t>https://bloodstemcell.hrsa.gov/about/advisory-council</w:t>
        </w:r>
      </w:hyperlink>
    </w:p>
  </w:footnote>
  <w:footnote w:id="8">
    <w:p w:rsidR="009141B1" w:rsidP="00690775" w14:paraId="4C78D947" w14:textId="0452E592">
      <w:pPr>
        <w:pStyle w:val="FootnoteText"/>
        <w:spacing w:line="216" w:lineRule="auto"/>
      </w:pPr>
      <w:r w:rsidRPr="00AD4B2D">
        <w:rPr>
          <w:rStyle w:val="FootnoteReference"/>
          <w:vertAlign w:val="superscript"/>
        </w:rPr>
        <w:footnoteRef/>
      </w:r>
      <w:r>
        <w:t xml:space="preserve"> </w:t>
      </w:r>
      <w:hyperlink r:id="rId3" w:history="1">
        <w:r w:rsidRPr="005C1DE8" w:rsidR="00EC57FF">
          <w:rPr>
            <w:rStyle w:val="Hyperlink"/>
          </w:rPr>
          <w:t>https://bloodstemcell.hrsa.gov/data</w:t>
        </w:r>
      </w:hyperlink>
      <w:r w:rsidR="00EC57FF">
        <w:t xml:space="preserve"> </w:t>
      </w:r>
    </w:p>
  </w:footnote>
  <w:footnote w:id="9">
    <w:p w:rsidR="009141B1" w:rsidP="00690775" w14:paraId="22A3AD88" w14:textId="3FC6FBD7">
      <w:pPr>
        <w:pStyle w:val="FootnoteText"/>
        <w:spacing w:line="216" w:lineRule="auto"/>
      </w:pPr>
      <w:r w:rsidRPr="006E35E0">
        <w:rPr>
          <w:rStyle w:val="FootnoteReference"/>
          <w:vertAlign w:val="superscript"/>
        </w:rPr>
        <w:footnoteRef/>
      </w:r>
      <w:r>
        <w:t xml:space="preserve"> </w:t>
      </w:r>
      <w:hyperlink r:id="rId4" w:anchor="summary" w:history="1">
        <w:r w:rsidRPr="005C1DE8" w:rsidR="00EC57FF">
          <w:rPr>
            <w:rStyle w:val="Hyperlink"/>
          </w:rPr>
          <w:t>https://bloodstemcell.hrsa.gov/data/donation-and-transplantation-statistics/transplant-activity-report#summary</w:t>
        </w:r>
      </w:hyperlink>
      <w:r w:rsidR="00EC57FF">
        <w:t xml:space="preserve"> </w:t>
      </w:r>
    </w:p>
  </w:footnote>
  <w:footnote w:id="10">
    <w:p w:rsidR="00C333F1" w:rsidP="00690775" w14:paraId="20EC1660" w14:textId="431FD034">
      <w:pPr>
        <w:pStyle w:val="FootnoteText"/>
        <w:spacing w:line="216" w:lineRule="auto"/>
      </w:pPr>
      <w:r w:rsidRPr="00C333F1">
        <w:rPr>
          <w:rStyle w:val="FootnoteReference"/>
          <w:vertAlign w:val="superscript"/>
        </w:rPr>
        <w:footnoteRef/>
      </w:r>
      <w:r>
        <w:t xml:space="preserve"> </w:t>
      </w:r>
      <w:hyperlink r:id="rId5" w:history="1">
        <w:r w:rsidRPr="00CB6C02">
          <w:rPr>
            <w:rStyle w:val="Hyperlink"/>
          </w:rPr>
          <w:t>https://www.medicare.gov/care-compare/</w:t>
        </w:r>
      </w:hyperlink>
      <w:r>
        <w:t xml:space="preserve"> </w:t>
      </w:r>
    </w:p>
  </w:footnote>
  <w:footnote w:id="11">
    <w:p w:rsidR="007C370E" w:rsidRPr="009338D1" w:rsidP="00690775" w14:paraId="7925C486" w14:textId="31A4E3A0">
      <w:pPr>
        <w:pStyle w:val="NormalWeb"/>
        <w:spacing w:before="0" w:beforeAutospacing="0" w:after="0" w:afterAutospacing="0" w:line="216" w:lineRule="auto"/>
        <w:ind w:right="-90"/>
        <w:rPr>
          <w:sz w:val="20"/>
          <w:szCs w:val="20"/>
        </w:rPr>
      </w:pPr>
      <w:r w:rsidRPr="009338D1">
        <w:rPr>
          <w:rStyle w:val="FootnoteReference"/>
          <w:sz w:val="20"/>
          <w:szCs w:val="20"/>
          <w:vertAlign w:val="superscript"/>
        </w:rPr>
        <w:footnoteRef/>
      </w:r>
      <w:r w:rsidRPr="009338D1">
        <w:rPr>
          <w:sz w:val="20"/>
          <w:szCs w:val="20"/>
        </w:rPr>
        <w:t xml:space="preserve"> </w:t>
      </w:r>
      <w:r w:rsidRPr="009338D1" w:rsidR="00EA5946">
        <w:rPr>
          <w:sz w:val="20"/>
          <w:szCs w:val="20"/>
        </w:rPr>
        <w:t>Transplant center-specific survival rates are based on one-year overall survival</w:t>
      </w:r>
      <w:r w:rsidRPr="009338D1" w:rsidR="0089450A">
        <w:rPr>
          <w:sz w:val="20"/>
          <w:szCs w:val="20"/>
        </w:rPr>
        <w:t xml:space="preserve"> and estimated using </w:t>
      </w:r>
      <w:r w:rsidRPr="009338D1" w:rsidR="00EA5946">
        <w:rPr>
          <w:sz w:val="20"/>
          <w:szCs w:val="20"/>
        </w:rPr>
        <w:t>a censored data logistic regression model that adjusts for several risk factors</w:t>
      </w:r>
      <w:r w:rsidRPr="009338D1" w:rsidR="00814552">
        <w:rPr>
          <w:sz w:val="20"/>
          <w:szCs w:val="20"/>
        </w:rPr>
        <w:t xml:space="preserve">: </w:t>
      </w:r>
      <w:hyperlink r:id="rId6" w:history="1">
        <w:r w:rsidR="00E35829">
          <w:rPr>
            <w:rStyle w:val="Hyperlink"/>
            <w:sz w:val="20"/>
            <w:szCs w:val="20"/>
          </w:rPr>
          <w:t>https://cibmtr.org/CIBMTR/Resources/Summary-Slides-Reports/Center-Specific-Survival-Analysis-Methodology</w:t>
        </w:r>
      </w:hyperlink>
      <w:r w:rsidRPr="009338D1" w:rsidR="00C02D63">
        <w:rPr>
          <w:sz w:val="20"/>
          <w:szCs w:val="20"/>
        </w:rPr>
        <w:t xml:space="preserve"> </w:t>
      </w:r>
    </w:p>
  </w:footnote>
  <w:footnote w:id="12">
    <w:p w:rsidR="00393A47" w:rsidRPr="00814552" w:rsidP="00690775" w14:paraId="3BBABE2B" w14:textId="564089A0">
      <w:pPr>
        <w:pStyle w:val="FootnoteText"/>
        <w:spacing w:line="216" w:lineRule="auto"/>
      </w:pPr>
      <w:r w:rsidRPr="00814552">
        <w:rPr>
          <w:rStyle w:val="FootnoteReference"/>
          <w:vertAlign w:val="superscript"/>
        </w:rPr>
        <w:footnoteRef/>
      </w:r>
      <w:r w:rsidRPr="00814552">
        <w:t xml:space="preserve"> </w:t>
      </w:r>
      <w:hyperlink r:id="rId7" w:history="1">
        <w:r w:rsidRPr="00814552">
          <w:rPr>
            <w:rStyle w:val="Hyperlink"/>
          </w:rPr>
          <w:t>https://www.cibmtr.org/ReferenceCenter/Patient/PatientSummaries/pages/index.aspx</w:t>
        </w:r>
      </w:hyperlink>
      <w:r w:rsidRPr="00814552">
        <w:t xml:space="preserve"> </w:t>
      </w:r>
    </w:p>
  </w:footnote>
  <w:footnote w:id="13">
    <w:p w:rsidR="00393A47" w:rsidRPr="00814552" w:rsidP="00690775" w14:paraId="5798CCDD" w14:textId="2EF24E27">
      <w:pPr>
        <w:pStyle w:val="FootnoteText"/>
        <w:spacing w:line="216" w:lineRule="auto"/>
      </w:pPr>
      <w:r w:rsidRPr="00814552">
        <w:rPr>
          <w:rStyle w:val="FootnoteReference"/>
          <w:vertAlign w:val="superscript"/>
        </w:rPr>
        <w:footnoteRef/>
      </w:r>
      <w:r w:rsidRPr="00814552">
        <w:t xml:space="preserve"> </w:t>
      </w:r>
      <w:hyperlink r:id="rId8" w:anchor="data_request" w:history="1">
        <w:r w:rsidRPr="00814552">
          <w:rPr>
            <w:rStyle w:val="Hyperlink"/>
          </w:rPr>
          <w:t>https://www.cibmtr.org/Data/Available/Pages/index.aspx#data_request</w:t>
        </w:r>
      </w:hyperlink>
      <w:r w:rsidRPr="00814552">
        <w:t xml:space="preserve"> </w:t>
      </w:r>
    </w:p>
  </w:footnote>
  <w:footnote w:id="14">
    <w:p w:rsidR="00393A47" w:rsidRPr="00814552" w:rsidP="00690775" w14:paraId="18BD436F" w14:textId="06E99624">
      <w:pPr>
        <w:pStyle w:val="FootnoteText"/>
        <w:spacing w:line="216" w:lineRule="auto"/>
      </w:pPr>
      <w:r w:rsidRPr="00814552">
        <w:rPr>
          <w:rStyle w:val="FootnoteReference"/>
          <w:vertAlign w:val="superscript"/>
        </w:rPr>
        <w:footnoteRef/>
      </w:r>
      <w:r w:rsidRPr="00814552">
        <w:t xml:space="preserve"> </w:t>
      </w:r>
      <w:hyperlink r:id="rId9" w:history="1">
        <w:r w:rsidR="00A32668">
          <w:rPr>
            <w:rStyle w:val="Hyperlink"/>
          </w:rPr>
          <w:t>https://cibmtr.org/CIBMTR/Resources/Publications</w:t>
        </w:r>
      </w:hyperlink>
      <w:r w:rsidRPr="00814552">
        <w:t xml:space="preserve"> </w:t>
      </w:r>
    </w:p>
  </w:footnote>
  <w:footnote w:id="15">
    <w:p w:rsidR="005E7259" w:rsidRPr="00814552" w:rsidP="00690775" w14:paraId="736F139F" w14:textId="33DC077C">
      <w:pPr>
        <w:pStyle w:val="FootnoteText"/>
        <w:spacing w:line="216" w:lineRule="auto"/>
      </w:pPr>
      <w:r w:rsidRPr="00814552">
        <w:rPr>
          <w:rStyle w:val="FootnoteReference"/>
          <w:vertAlign w:val="superscript"/>
        </w:rPr>
        <w:footnoteRef/>
      </w:r>
      <w:r w:rsidRPr="00814552">
        <w:t xml:space="preserve"> </w:t>
      </w:r>
      <w:hyperlink r:id="rId10" w:history="1">
        <w:r w:rsidRPr="00814552">
          <w:rPr>
            <w:rStyle w:val="Hyperlink"/>
          </w:rPr>
          <w:t>https://www.cibmtr.org/ReferenceCenter/SlidesReports/StatReport/Pages/index.aspx</w:t>
        </w:r>
      </w:hyperlink>
      <w:r w:rsidRPr="00814552">
        <w:t xml:space="preserve"> </w:t>
      </w:r>
    </w:p>
  </w:footnote>
  <w:footnote w:id="16">
    <w:p w:rsidR="00245F39" w:rsidRPr="00814552" w:rsidP="00690775" w14:paraId="63B86EE3" w14:textId="6528E72B">
      <w:pPr>
        <w:pStyle w:val="FootnoteText"/>
        <w:spacing w:line="216" w:lineRule="auto"/>
      </w:pPr>
      <w:r w:rsidRPr="00814552">
        <w:rPr>
          <w:rStyle w:val="FootnoteReference"/>
          <w:vertAlign w:val="superscript"/>
        </w:rPr>
        <w:footnoteRef/>
      </w:r>
      <w:r w:rsidRPr="00814552">
        <w:t xml:space="preserve"> </w:t>
      </w:r>
      <w:r w:rsidRPr="00814552" w:rsidR="00C85CF5">
        <w:t xml:space="preserve">Donor registries </w:t>
      </w:r>
      <w:r w:rsidRPr="00814552">
        <w:t>awarded a contract under section 379</w:t>
      </w:r>
      <w:r w:rsidRPr="00814552" w:rsidR="004F5612">
        <w:t xml:space="preserve"> of the Public Health Service Act (42 U.S.C. 274k</w:t>
      </w:r>
      <w:r w:rsidRPr="00814552">
        <w:t>)</w:t>
      </w:r>
      <w:r w:rsidRPr="00814552" w:rsidR="00F9516C">
        <w:t>.</w:t>
      </w:r>
    </w:p>
  </w:footnote>
  <w:footnote w:id="17">
    <w:p w:rsidR="0090610A" w:rsidRPr="00302438" w:rsidP="00690775" w14:paraId="79D4331E" w14:textId="2CA5902E">
      <w:pPr>
        <w:spacing w:line="216" w:lineRule="auto"/>
        <w:rPr>
          <w:rFonts w:eastAsia="Hiragino Sans W4"/>
          <w:sz w:val="20"/>
          <w:szCs w:val="20"/>
        </w:rPr>
      </w:pPr>
      <w:r w:rsidRPr="00814552">
        <w:rPr>
          <w:rStyle w:val="FootnoteReference"/>
          <w:rFonts w:eastAsia="Hiragino Sans W4"/>
          <w:sz w:val="20"/>
          <w:szCs w:val="20"/>
          <w:vertAlign w:val="superscript"/>
        </w:rPr>
        <w:footnoteRef/>
      </w:r>
      <w:r w:rsidRPr="00814552">
        <w:rPr>
          <w:rFonts w:eastAsia="Hiragino Sans W4"/>
          <w:sz w:val="20"/>
          <w:szCs w:val="20"/>
          <w:vertAlign w:val="superscript"/>
        </w:rPr>
        <w:t xml:space="preserve"> </w:t>
      </w:r>
      <w:r w:rsidRPr="00814552" w:rsidR="00B0018E">
        <w:rPr>
          <w:rFonts w:eastAsia="Hiragino Sans W4"/>
          <w:sz w:val="20"/>
          <w:szCs w:val="20"/>
        </w:rPr>
        <w:t xml:space="preserve">Study </w:t>
      </w:r>
      <w:r w:rsidRPr="00814552" w:rsidR="00EF5FD9">
        <w:rPr>
          <w:rFonts w:eastAsia="Hiragino Sans W4"/>
          <w:sz w:val="20"/>
          <w:szCs w:val="20"/>
        </w:rPr>
        <w:t>l</w:t>
      </w:r>
      <w:r w:rsidRPr="00814552">
        <w:rPr>
          <w:rFonts w:eastAsia="Hiragino Sans W4"/>
          <w:sz w:val="20"/>
          <w:szCs w:val="20"/>
        </w:rPr>
        <w:t xml:space="preserve">ists are available at: </w:t>
      </w:r>
      <w:hyperlink r:id="rId11" w:history="1">
        <w:r w:rsidRPr="00814552" w:rsidR="00EC57FF">
          <w:rPr>
            <w:rStyle w:val="Hyperlink"/>
            <w:rFonts w:eastAsia="Hiragino Sans W4"/>
            <w:sz w:val="20"/>
            <w:szCs w:val="20"/>
          </w:rPr>
          <w:t>https://www.cibmtr.org/Studies/Observational/StudyLists/Pages/index.aspx</w:t>
        </w:r>
      </w:hyperlink>
      <w:r w:rsidRPr="00302438" w:rsidR="00EC57FF">
        <w:rPr>
          <w:rFonts w:eastAsia="Hiragino Sans W4"/>
          <w:sz w:val="20"/>
          <w:szCs w:val="20"/>
        </w:rPr>
        <w:t xml:space="preserve"> </w:t>
      </w:r>
      <w:r w:rsidRPr="00302438">
        <w:rPr>
          <w:rFonts w:eastAsia="Hiragino Sans W4"/>
          <w:color w:val="333333"/>
          <w:sz w:val="20"/>
          <w:szCs w:val="20"/>
          <w:shd w:val="clear" w:color="auto" w:fill="FFFFFF"/>
        </w:rPr>
        <w:t> </w:t>
      </w:r>
    </w:p>
  </w:footnote>
  <w:footnote w:id="18">
    <w:p w:rsidR="00EF5FD9" w:rsidRPr="000849B7" w:rsidP="00690775" w14:paraId="5F638A60" w14:textId="20A1B25C">
      <w:pPr>
        <w:pStyle w:val="FootnoteText"/>
        <w:spacing w:line="216" w:lineRule="auto"/>
        <w:ind w:right="-90"/>
      </w:pPr>
      <w:r w:rsidRPr="000849B7">
        <w:rPr>
          <w:rStyle w:val="FootnoteReference"/>
          <w:vertAlign w:val="superscript"/>
        </w:rPr>
        <w:footnoteRef/>
      </w:r>
      <w:r w:rsidRPr="000849B7">
        <w:rPr>
          <w:vertAlign w:val="superscript"/>
        </w:rPr>
        <w:t xml:space="preserve"> </w:t>
      </w:r>
      <w:r w:rsidRPr="000849B7">
        <w:t xml:space="preserve">The publication list is available at: </w:t>
      </w:r>
      <w:hyperlink r:id="rId12" w:history="1">
        <w:r w:rsidRPr="000849B7" w:rsidR="00EC57FF">
          <w:rPr>
            <w:rStyle w:val="Hyperlink"/>
          </w:rPr>
          <w:t>https://www.cibmtr.org/ReferenceCenter/PubList/Pages/index.aspx</w:t>
        </w:r>
      </w:hyperlink>
      <w:r w:rsidRPr="000849B7" w:rsidR="00EC57FF">
        <w:t xml:space="preserve"> </w:t>
      </w:r>
    </w:p>
  </w:footnote>
  <w:footnote w:id="19">
    <w:p w:rsidR="007B1594" w:rsidRPr="000849B7" w:rsidP="00690775" w14:paraId="6A3BE9BA" w14:textId="27ABFB79">
      <w:pPr>
        <w:spacing w:line="216" w:lineRule="auto"/>
        <w:ind w:right="-90"/>
        <w:rPr>
          <w:sz w:val="20"/>
          <w:szCs w:val="20"/>
        </w:rPr>
      </w:pPr>
      <w:r w:rsidRPr="000849B7">
        <w:rPr>
          <w:rStyle w:val="FootnoteReference"/>
          <w:sz w:val="20"/>
          <w:szCs w:val="20"/>
          <w:vertAlign w:val="superscript"/>
        </w:rPr>
        <w:footnoteRef/>
      </w:r>
      <w:r w:rsidRPr="000849B7">
        <w:rPr>
          <w:sz w:val="20"/>
          <w:szCs w:val="20"/>
        </w:rPr>
        <w:t xml:space="preserve"> All disclosures by the SCTOD contractor are governed by Privacy Act System of Records Notice #09-15-0068 (notification of an altered system of records was published on February 14, 2018, at 83 FR 6591).  </w:t>
      </w:r>
    </w:p>
  </w:footnote>
  <w:footnote w:id="20">
    <w:p w:rsidR="002A2394" w:rsidRPr="000849B7" w:rsidP="00690775" w14:paraId="28637659" w14:textId="71B76F1B">
      <w:pPr>
        <w:spacing w:line="216" w:lineRule="auto"/>
        <w:rPr>
          <w:sz w:val="20"/>
          <w:szCs w:val="20"/>
        </w:rPr>
      </w:pPr>
      <w:r w:rsidRPr="000849B7">
        <w:rPr>
          <w:rStyle w:val="FootnoteReference"/>
          <w:sz w:val="20"/>
          <w:szCs w:val="20"/>
          <w:vertAlign w:val="superscript"/>
        </w:rPr>
        <w:footnoteRef/>
      </w:r>
      <w:r w:rsidRPr="000849B7">
        <w:rPr>
          <w:sz w:val="20"/>
          <w:szCs w:val="20"/>
        </w:rPr>
        <w:t xml:space="preserve"> </w:t>
      </w:r>
      <w:r w:rsidRPr="000849B7" w:rsidR="008834B4">
        <w:rPr>
          <w:sz w:val="20"/>
          <w:szCs w:val="20"/>
        </w:rPr>
        <w:t xml:space="preserve">Though the collection of data </w:t>
      </w:r>
      <w:r w:rsidRPr="000849B7" w:rsidR="00D53A24">
        <w:rPr>
          <w:sz w:val="20"/>
          <w:szCs w:val="20"/>
        </w:rPr>
        <w:t xml:space="preserve">for the SCTOD </w:t>
      </w:r>
      <w:r w:rsidRPr="000849B7">
        <w:rPr>
          <w:sz w:val="20"/>
          <w:szCs w:val="20"/>
        </w:rPr>
        <w:t xml:space="preserve">is not a research project, </w:t>
      </w:r>
      <w:r w:rsidRPr="000849B7" w:rsidR="00D53A24">
        <w:rPr>
          <w:sz w:val="20"/>
          <w:szCs w:val="20"/>
        </w:rPr>
        <w:t xml:space="preserve">the SCTOD contractor </w:t>
      </w:r>
      <w:r w:rsidRPr="000849B7">
        <w:rPr>
          <w:sz w:val="20"/>
          <w:szCs w:val="20"/>
        </w:rPr>
        <w:t xml:space="preserve">submitted for ethical review to the </w:t>
      </w:r>
      <w:r w:rsidRPr="000849B7" w:rsidR="00D53A24">
        <w:rPr>
          <w:sz w:val="20"/>
          <w:szCs w:val="20"/>
        </w:rPr>
        <w:t>NMDP</w:t>
      </w:r>
      <w:r w:rsidRPr="000849B7">
        <w:rPr>
          <w:sz w:val="20"/>
          <w:szCs w:val="20"/>
        </w:rPr>
        <w:t xml:space="preserve"> Institutional Review Board (IRB) and was approved</w:t>
      </w:r>
      <w:r w:rsidRPr="000849B7" w:rsidR="00DA5753">
        <w:rPr>
          <w:sz w:val="20"/>
          <w:szCs w:val="20"/>
        </w:rPr>
        <w:t xml:space="preserve">. The NMDP IRB is registered with the HHS Office of Human Research Protections (Registration IRB00001253) and has an approved </w:t>
      </w:r>
      <w:r w:rsidRPr="000849B7" w:rsidR="00F462EE">
        <w:rPr>
          <w:sz w:val="20"/>
          <w:szCs w:val="20"/>
        </w:rPr>
        <w:t>Federal wide</w:t>
      </w:r>
      <w:r w:rsidRPr="000849B7" w:rsidR="00DA5753">
        <w:rPr>
          <w:sz w:val="20"/>
          <w:szCs w:val="20"/>
        </w:rPr>
        <w:t xml:space="preserve"> Assurance (FWA00000441)</w:t>
      </w:r>
      <w:r w:rsidRPr="000849B7" w:rsidR="002863B1">
        <w:rPr>
          <w:sz w:val="20"/>
          <w:szCs w:val="20"/>
        </w:rPr>
        <w:t xml:space="preserve"> [</w:t>
      </w:r>
      <w:hyperlink r:id="rId13" w:history="1">
        <w:r w:rsidRPr="000849B7" w:rsidR="002863B1">
          <w:rPr>
            <w:rStyle w:val="Hyperlink"/>
            <w:sz w:val="20"/>
            <w:szCs w:val="20"/>
          </w:rPr>
          <w:t>https://ohrp.cit.nih.gov/search/IrbDtl.aspx</w:t>
        </w:r>
      </w:hyperlink>
      <w:r w:rsidRPr="000849B7" w:rsidR="002863B1">
        <w:rPr>
          <w:sz w:val="20"/>
          <w:szCs w:val="20"/>
        </w:rPr>
        <w:t>]</w:t>
      </w:r>
      <w:r w:rsidRPr="000849B7" w:rsidR="00DA5753">
        <w:rPr>
          <w:sz w:val="20"/>
          <w:szCs w:val="20"/>
        </w:rPr>
        <w:t xml:space="preserve">. All HCT facilities must obtain IRB-approved informed consent from recipients to allow </w:t>
      </w:r>
      <w:r w:rsidRPr="000849B7" w:rsidR="002863B1">
        <w:rPr>
          <w:sz w:val="20"/>
          <w:szCs w:val="20"/>
        </w:rPr>
        <w:t xml:space="preserve">SCTOD </w:t>
      </w:r>
      <w:r w:rsidRPr="000849B7" w:rsidR="00DA5753">
        <w:rPr>
          <w:sz w:val="20"/>
          <w:szCs w:val="20"/>
        </w:rPr>
        <w:t>data to be used for research studies</w:t>
      </w:r>
      <w:r w:rsidRPr="000849B7" w:rsidR="002863B1">
        <w:rPr>
          <w:sz w:val="20"/>
          <w:szCs w:val="20"/>
        </w:rPr>
        <w:t>.</w:t>
      </w:r>
    </w:p>
  </w:footnote>
  <w:footnote w:id="21">
    <w:p w:rsidR="003F43CA" w:rsidRPr="000849B7" w:rsidP="00690775" w14:paraId="5E5EB3A8" w14:textId="1A67DB17">
      <w:pPr>
        <w:pStyle w:val="FootnoteText"/>
        <w:spacing w:line="216" w:lineRule="auto"/>
      </w:pPr>
      <w:r w:rsidRPr="000849B7">
        <w:rPr>
          <w:rStyle w:val="FootnoteReference"/>
          <w:vertAlign w:val="superscript"/>
        </w:rPr>
        <w:footnoteRef/>
      </w:r>
      <w:r w:rsidRPr="000849B7">
        <w:rPr>
          <w:vertAlign w:val="superscript"/>
        </w:rPr>
        <w:t xml:space="preserve"> </w:t>
      </w:r>
      <w:hyperlink r:id="rId14" w:history="1">
        <w:r w:rsidRPr="000849B7" w:rsidR="00EC57FF">
          <w:rPr>
            <w:rStyle w:val="Hyperlink"/>
          </w:rPr>
          <w:t>https://www.cms.gov/medicare-coverage-database/view/ncd.aspx?NCDId=366&amp;DocID=110.23</w:t>
        </w:r>
      </w:hyperlink>
      <w:r w:rsidRPr="000849B7" w:rsidR="00EC57FF">
        <w:t xml:space="preserve"> </w:t>
      </w:r>
    </w:p>
  </w:footnote>
  <w:footnote w:id="22">
    <w:p w:rsidR="00B50518" w:rsidRPr="000849B7" w:rsidP="00690775" w14:paraId="56542A75" w14:textId="2AA909A3">
      <w:pPr>
        <w:pStyle w:val="FootnoteText"/>
        <w:spacing w:line="216" w:lineRule="auto"/>
      </w:pPr>
      <w:r w:rsidRPr="000849B7">
        <w:rPr>
          <w:rStyle w:val="FootnoteReference"/>
          <w:vertAlign w:val="superscript"/>
        </w:rPr>
        <w:footnoteRef/>
      </w:r>
      <w:r w:rsidRPr="000849B7">
        <w:t xml:space="preserve"> </w:t>
      </w:r>
      <w:hyperlink r:id="rId15" w:history="1">
        <w:r w:rsidRPr="000849B7" w:rsidR="00EC57FF">
          <w:rPr>
            <w:rStyle w:val="Hyperlink"/>
          </w:rPr>
          <w:t>https://clinicaltrials.gov/ct2/show/NCT01166009</w:t>
        </w:r>
      </w:hyperlink>
      <w:r w:rsidRPr="000849B7" w:rsidR="00EC57FF">
        <w:t xml:space="preserve"> </w:t>
      </w:r>
    </w:p>
  </w:footnote>
  <w:footnote w:id="23">
    <w:p w:rsidR="00B50518" w:rsidRPr="000849B7" w:rsidP="00690775" w14:paraId="2FABA5E3" w14:textId="1E290A60">
      <w:pPr>
        <w:pStyle w:val="FootnoteText"/>
        <w:spacing w:line="216" w:lineRule="auto"/>
      </w:pPr>
      <w:r w:rsidRPr="000849B7">
        <w:rPr>
          <w:rStyle w:val="FootnoteReference"/>
          <w:vertAlign w:val="superscript"/>
        </w:rPr>
        <w:footnoteRef/>
      </w:r>
      <w:r w:rsidRPr="000849B7">
        <w:t xml:space="preserve"> </w:t>
      </w:r>
      <w:hyperlink r:id="rId16" w:history="1">
        <w:r w:rsidRPr="000849B7" w:rsidR="00EC57FF">
          <w:rPr>
            <w:rStyle w:val="Hyperlink"/>
          </w:rPr>
          <w:t>https://clinicaltrials.gov/ct2/show/NCT02766465</w:t>
        </w:r>
      </w:hyperlink>
      <w:r w:rsidRPr="000849B7" w:rsidR="00EC57FF">
        <w:t xml:space="preserve"> </w:t>
      </w:r>
    </w:p>
  </w:footnote>
  <w:footnote w:id="24">
    <w:p w:rsidR="00B50518" w:rsidRPr="000849B7" w:rsidP="00690775" w14:paraId="4CC9FD02" w14:textId="1EB626AE">
      <w:pPr>
        <w:pStyle w:val="FootnoteText"/>
        <w:spacing w:line="216" w:lineRule="auto"/>
      </w:pPr>
      <w:r w:rsidRPr="000849B7">
        <w:rPr>
          <w:rStyle w:val="FootnoteReference"/>
          <w:vertAlign w:val="superscript"/>
        </w:rPr>
        <w:footnoteRef/>
      </w:r>
      <w:r w:rsidRPr="000849B7">
        <w:t xml:space="preserve"> </w:t>
      </w:r>
      <w:hyperlink r:id="rId17" w:history="1">
        <w:r w:rsidRPr="000849B7" w:rsidR="00EC57FF">
          <w:rPr>
            <w:rStyle w:val="Hyperlink"/>
          </w:rPr>
          <w:t>https://clinicaltrials.gov/ct2/show/NCT02934477</w:t>
        </w:r>
      </w:hyperlink>
      <w:r w:rsidRPr="000849B7" w:rsidR="00EC57FF">
        <w:t xml:space="preserve"> </w:t>
      </w:r>
    </w:p>
  </w:footnote>
  <w:footnote w:id="25">
    <w:p w:rsidR="00B50518" w:rsidRPr="000849B7" w:rsidP="00690775" w14:paraId="6EC33B7A" w14:textId="28DB0A8A">
      <w:pPr>
        <w:pStyle w:val="FootnoteText"/>
        <w:spacing w:line="216" w:lineRule="auto"/>
      </w:pPr>
      <w:r w:rsidRPr="000849B7">
        <w:rPr>
          <w:rStyle w:val="FootnoteReference"/>
          <w:vertAlign w:val="superscript"/>
        </w:rPr>
        <w:footnoteRef/>
      </w:r>
      <w:r w:rsidRPr="000849B7">
        <w:t xml:space="preserve"> </w:t>
      </w:r>
      <w:hyperlink r:id="rId15" w:history="1">
        <w:r w:rsidRPr="00405F42" w:rsidR="00EC57FF">
          <w:rPr>
            <w:rStyle w:val="Hyperlink"/>
          </w:rPr>
          <w:t>https://clinicaltrials.gov/ct2/show/NCT01166009</w:t>
        </w:r>
      </w:hyperlink>
      <w:r w:rsidRPr="000849B7" w:rsidR="00EC57FF">
        <w:t xml:space="preserve"> </w:t>
      </w:r>
    </w:p>
  </w:footnote>
  <w:footnote w:id="26">
    <w:p w:rsidR="00B50518" w:rsidRPr="000849B7" w:rsidP="00690775" w14:paraId="25385A84" w14:textId="1FF735F4">
      <w:pPr>
        <w:pStyle w:val="FootnoteText"/>
        <w:spacing w:line="216" w:lineRule="auto"/>
      </w:pPr>
      <w:r w:rsidRPr="000849B7">
        <w:rPr>
          <w:rStyle w:val="FootnoteReference"/>
          <w:vertAlign w:val="superscript"/>
        </w:rPr>
        <w:footnoteRef/>
      </w:r>
      <w:r w:rsidRPr="000849B7">
        <w:t xml:space="preserve"> </w:t>
      </w:r>
      <w:hyperlink r:id="rId18" w:history="1">
        <w:r w:rsidRPr="000849B7" w:rsidR="00EC57FF">
          <w:rPr>
            <w:rStyle w:val="Hyperlink"/>
          </w:rPr>
          <w:t>https://clinicaltrials.gov/ct2/show/NCT03127761</w:t>
        </w:r>
      </w:hyperlink>
      <w:r w:rsidRPr="000849B7" w:rsidR="00EC57FF">
        <w:t xml:space="preserve"> </w:t>
      </w:r>
    </w:p>
  </w:footnote>
  <w:footnote w:id="27">
    <w:p w:rsidR="0000407F" w:rsidRPr="000849B7" w:rsidP="00690775" w14:paraId="658F1AE2" w14:textId="361AC118">
      <w:pPr>
        <w:pStyle w:val="FootnoteText"/>
        <w:spacing w:line="216" w:lineRule="auto"/>
        <w:ind w:right="-90"/>
      </w:pPr>
      <w:r w:rsidRPr="000849B7">
        <w:rPr>
          <w:rStyle w:val="FootnoteReference"/>
          <w:vertAlign w:val="superscript"/>
        </w:rPr>
        <w:footnoteRef/>
      </w:r>
      <w:r w:rsidRPr="000849B7">
        <w:rPr>
          <w:vertAlign w:val="superscript"/>
        </w:rPr>
        <w:t xml:space="preserve"> </w:t>
      </w:r>
      <w:hyperlink r:id="rId19" w:history="1">
        <w:r w:rsidRPr="000849B7" w:rsidR="002A2394">
          <w:rPr>
            <w:rStyle w:val="Hyperlink"/>
          </w:rPr>
          <w:t>https://fhir.nmdp.org/ig/cibmtr-reporting/</w:t>
        </w:r>
      </w:hyperlink>
      <w:r w:rsidRPr="000849B7" w:rsidR="002A2394">
        <w:t xml:space="preserve"> </w:t>
      </w:r>
      <w:r w:rsidRPr="000849B7">
        <w:t xml:space="preserve"> </w:t>
      </w:r>
    </w:p>
  </w:footnote>
  <w:footnote w:id="28">
    <w:p w:rsidR="00A956BC" w:rsidRPr="000849B7" w:rsidP="00690775" w14:paraId="00A4B76E" w14:textId="77777777">
      <w:pPr>
        <w:pStyle w:val="NormalWeb"/>
        <w:spacing w:before="0" w:beforeAutospacing="0" w:after="0" w:afterAutospacing="0" w:line="216" w:lineRule="auto"/>
        <w:ind w:right="-90"/>
        <w:rPr>
          <w:sz w:val="20"/>
          <w:szCs w:val="20"/>
        </w:rPr>
      </w:pPr>
      <w:r w:rsidRPr="000849B7">
        <w:rPr>
          <w:rStyle w:val="FootnoteReference"/>
          <w:sz w:val="20"/>
          <w:szCs w:val="20"/>
          <w:vertAlign w:val="superscript"/>
        </w:rPr>
        <w:footnoteRef/>
      </w:r>
      <w:r w:rsidRPr="000849B7">
        <w:rPr>
          <w:sz w:val="20"/>
          <w:szCs w:val="20"/>
        </w:rPr>
        <w:t xml:space="preserve"> The Office of the National Coordinator for Health Information Technology adopted a new standardized Application Programming Interface (API) certification criterion for patient and population services that requires the use of the FHIR® standard and references several standards and implementation specifications adopted in 45 CFR </w:t>
      </w:r>
      <w:r w:rsidRPr="000849B7">
        <w:rPr>
          <w:rFonts w:hint="eastAsia"/>
          <w:sz w:val="20"/>
          <w:szCs w:val="20"/>
        </w:rPr>
        <w:t>§</w:t>
      </w:r>
      <w:r w:rsidRPr="000849B7">
        <w:rPr>
          <w:sz w:val="20"/>
          <w:szCs w:val="20"/>
        </w:rPr>
        <w:t xml:space="preserve">170.213 and 45 CFR </w:t>
      </w:r>
      <w:r w:rsidRPr="000849B7">
        <w:rPr>
          <w:rFonts w:hint="eastAsia"/>
          <w:sz w:val="20"/>
          <w:szCs w:val="20"/>
        </w:rPr>
        <w:t>§</w:t>
      </w:r>
      <w:r w:rsidRPr="000849B7">
        <w:rPr>
          <w:sz w:val="20"/>
          <w:szCs w:val="20"/>
        </w:rPr>
        <w:t>170.215 to support interoperability (85 FR 25642)</w:t>
      </w:r>
    </w:p>
  </w:footnote>
  <w:footnote w:id="29">
    <w:p w:rsidR="00A671E5" w:rsidRPr="000849B7" w:rsidP="00690775" w14:paraId="538FA744" w14:textId="7FE818A2">
      <w:pPr>
        <w:pStyle w:val="FootnoteText"/>
        <w:spacing w:line="216" w:lineRule="auto"/>
      </w:pPr>
      <w:r w:rsidRPr="000849B7">
        <w:rPr>
          <w:rStyle w:val="FootnoteReference"/>
          <w:vertAlign w:val="superscript"/>
        </w:rPr>
        <w:footnoteRef/>
      </w:r>
      <w:r w:rsidRPr="000849B7">
        <w:t xml:space="preserve"> </w:t>
      </w:r>
      <w:hyperlink r:id="rId20" w:history="1">
        <w:r w:rsidR="00A32668">
          <w:rPr>
            <w:rStyle w:val="Hyperlink"/>
          </w:rPr>
          <w:t>https://cibmtr.org/CIBMTR/Data-Operations/Support-Resources/CIBMTR-System-Applications</w:t>
        </w:r>
      </w:hyperlink>
    </w:p>
  </w:footnote>
  <w:footnote w:id="30">
    <w:p w:rsidR="0046101A" w:rsidP="003F079A" w14:paraId="5B550D06" w14:textId="121262CC">
      <w:pPr>
        <w:pStyle w:val="FootnoteText"/>
        <w:spacing w:line="216" w:lineRule="auto"/>
      </w:pPr>
      <w:r w:rsidRPr="0046101A">
        <w:rPr>
          <w:rStyle w:val="FootnoteReference"/>
          <w:vertAlign w:val="superscript"/>
        </w:rPr>
        <w:footnoteRef/>
      </w:r>
      <w:r w:rsidRPr="0046101A">
        <w:rPr>
          <w:vertAlign w:val="superscript"/>
        </w:rPr>
        <w:t xml:space="preserve"> </w:t>
      </w:r>
      <w:hyperlink r:id="rId20" w:history="1">
        <w:r w:rsidR="00A32668">
          <w:rPr>
            <w:rStyle w:val="Hyperlink"/>
          </w:rPr>
          <w:t>https://cibmtr.org/CIBMTR/Data-Operations/Support-Resources/CIBMTR-System-Applications</w:t>
        </w:r>
      </w:hyperlink>
      <w:r w:rsidR="00D7384A">
        <w:t xml:space="preserve"> </w:t>
      </w:r>
    </w:p>
  </w:footnote>
  <w:footnote w:id="31">
    <w:p w:rsidR="007E3338" w:rsidP="003F079A" w14:paraId="67165155" w14:textId="77777777">
      <w:pPr>
        <w:pStyle w:val="FootnoteText"/>
        <w:spacing w:line="216" w:lineRule="auto"/>
      </w:pPr>
      <w:r w:rsidRPr="00FD6791">
        <w:rPr>
          <w:rStyle w:val="FootnoteReference"/>
          <w:vertAlign w:val="superscript"/>
        </w:rPr>
        <w:footnoteRef/>
      </w:r>
      <w:r w:rsidRPr="00FD6791">
        <w:rPr>
          <w:vertAlign w:val="superscript"/>
        </w:rPr>
        <w:t xml:space="preserve"> </w:t>
      </w:r>
      <w:hyperlink r:id="rId21" w:history="1">
        <w:r w:rsidRPr="00CB6C02">
          <w:rPr>
            <w:rStyle w:val="Hyperlink"/>
          </w:rPr>
          <w:t>https://apporchard.epic.com/Gallery?id=754</w:t>
        </w:r>
      </w:hyperlink>
      <w:r>
        <w:t xml:space="preserve"> </w:t>
      </w:r>
    </w:p>
  </w:footnote>
  <w:footnote w:id="32">
    <w:p w:rsidR="007E3338" w:rsidRPr="000026E3" w:rsidP="003F079A" w14:paraId="5E3B274F" w14:textId="7E31981A">
      <w:pPr>
        <w:pStyle w:val="FootnoteText"/>
        <w:spacing w:line="216" w:lineRule="auto"/>
      </w:pPr>
      <w:r w:rsidRPr="000026E3">
        <w:rPr>
          <w:rStyle w:val="FootnoteReference"/>
          <w:vertAlign w:val="superscript"/>
        </w:rPr>
        <w:footnoteRef/>
      </w:r>
      <w:r w:rsidRPr="000026E3">
        <w:rPr>
          <w:vertAlign w:val="superscript"/>
        </w:rPr>
        <w:t xml:space="preserve"> </w:t>
      </w:r>
      <w:hyperlink r:id="rId20" w:history="1">
        <w:r w:rsidR="00A23B22">
          <w:rPr>
            <w:rStyle w:val="Hyperlink"/>
          </w:rPr>
          <w:t>https://cibmtr.org/CIBMTR/Data-Operations/Support-Resources/CIBMTR-System-Applications</w:t>
        </w:r>
      </w:hyperlink>
      <w:r w:rsidRPr="000026E3">
        <w:t xml:space="preserve"> </w:t>
      </w:r>
    </w:p>
  </w:footnote>
  <w:footnote w:id="33">
    <w:p w:rsidR="00317DAD" w:rsidRPr="006E3B09" w:rsidP="003F079A" w14:paraId="5F37267F" w14:textId="1DB56A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16" w:lineRule="auto"/>
        <w:rPr>
          <w:sz w:val="20"/>
          <w:szCs w:val="20"/>
          <w:vertAlign w:val="superscript"/>
        </w:rPr>
      </w:pPr>
      <w:r w:rsidRPr="00F95238">
        <w:rPr>
          <w:rStyle w:val="FootnoteReference"/>
          <w:color w:val="000000" w:themeColor="text1"/>
          <w:sz w:val="20"/>
          <w:szCs w:val="20"/>
          <w:vertAlign w:val="superscript"/>
        </w:rPr>
        <w:footnoteRef/>
      </w:r>
      <w:r w:rsidRPr="00F95238">
        <w:rPr>
          <w:color w:val="000000" w:themeColor="text1"/>
          <w:sz w:val="20"/>
          <w:szCs w:val="20"/>
          <w:vertAlign w:val="superscript"/>
        </w:rPr>
        <w:t xml:space="preserve"> </w:t>
      </w:r>
      <w:r w:rsidRPr="00F95238">
        <w:rPr>
          <w:color w:val="000000" w:themeColor="text1"/>
          <w:sz w:val="20"/>
          <w:szCs w:val="20"/>
        </w:rPr>
        <w:t xml:space="preserve">In October 2020, the SCTOD contractor </w:t>
      </w:r>
      <w:r w:rsidRPr="00F95238" w:rsidR="000026E3">
        <w:rPr>
          <w:rFonts w:eastAsiaTheme="minorHAnsi"/>
          <w:color w:val="000000" w:themeColor="text1"/>
          <w:sz w:val="20"/>
          <w:szCs w:val="20"/>
        </w:rPr>
        <w:t>began testing a</w:t>
      </w:r>
      <w:r w:rsidRPr="00F95238">
        <w:rPr>
          <w:rFonts w:eastAsiaTheme="minorHAnsi"/>
          <w:color w:val="000000" w:themeColor="text1"/>
          <w:sz w:val="20"/>
          <w:szCs w:val="20"/>
        </w:rPr>
        <w:t xml:space="preserve"> </w:t>
      </w:r>
      <w:r w:rsidRPr="00F95238" w:rsidR="007C2464">
        <w:rPr>
          <w:rFonts w:eastAsiaTheme="minorHAnsi"/>
          <w:color w:val="000000" w:themeColor="text1"/>
          <w:sz w:val="20"/>
          <w:szCs w:val="20"/>
        </w:rPr>
        <w:t xml:space="preserve">proof-of-concept </w:t>
      </w:r>
      <w:r w:rsidRPr="00F95238">
        <w:rPr>
          <w:rFonts w:eastAsiaTheme="minorHAnsi"/>
          <w:color w:val="000000" w:themeColor="text1"/>
          <w:sz w:val="20"/>
          <w:szCs w:val="20"/>
        </w:rPr>
        <w:t>pilot</w:t>
      </w:r>
      <w:r w:rsidRPr="00F95238" w:rsidR="000026E3">
        <w:rPr>
          <w:rFonts w:eastAsiaTheme="minorHAnsi"/>
          <w:color w:val="000000" w:themeColor="text1"/>
          <w:sz w:val="20"/>
          <w:szCs w:val="20"/>
        </w:rPr>
        <w:t xml:space="preserve"> </w:t>
      </w:r>
      <w:r w:rsidRPr="00F95238" w:rsidR="007C2464">
        <w:rPr>
          <w:rFonts w:eastAsiaTheme="minorHAnsi"/>
          <w:color w:val="000000" w:themeColor="text1"/>
          <w:sz w:val="20"/>
          <w:szCs w:val="20"/>
        </w:rPr>
        <w:t xml:space="preserve">for use of the </w:t>
      </w:r>
      <w:r w:rsidRPr="00F95238" w:rsidR="007C2464">
        <w:rPr>
          <w:rStyle w:val="markedcontent"/>
          <w:rFonts w:eastAsia="Arial"/>
          <w:color w:val="000000" w:themeColor="text1"/>
          <w:sz w:val="20"/>
          <w:szCs w:val="20"/>
        </w:rPr>
        <w:t xml:space="preserve">HL7® </w:t>
      </w:r>
      <w:r w:rsidRPr="00F95238" w:rsidR="007C2464">
        <w:rPr>
          <w:color w:val="000000" w:themeColor="text1"/>
          <w:sz w:val="20"/>
          <w:szCs w:val="20"/>
        </w:rPr>
        <w:t>FHIR® standard</w:t>
      </w:r>
      <w:r w:rsidRPr="00F95238">
        <w:rPr>
          <w:rFonts w:eastAsiaTheme="minorHAnsi"/>
          <w:color w:val="000000" w:themeColor="text1"/>
          <w:sz w:val="20"/>
          <w:szCs w:val="20"/>
        </w:rPr>
        <w:t>. In six months, four di</w:t>
      </w:r>
      <w:r w:rsidR="000452A0">
        <w:rPr>
          <w:rFonts w:eastAsiaTheme="minorHAnsi"/>
          <w:color w:val="000000" w:themeColor="text1"/>
          <w:sz w:val="20"/>
          <w:szCs w:val="20"/>
        </w:rPr>
        <w:t>fferent</w:t>
      </w:r>
      <w:r w:rsidRPr="00F95238">
        <w:rPr>
          <w:rFonts w:eastAsiaTheme="minorHAnsi"/>
          <w:color w:val="000000" w:themeColor="text1"/>
          <w:sz w:val="20"/>
          <w:szCs w:val="20"/>
        </w:rPr>
        <w:t xml:space="preserve"> transplant centers </w:t>
      </w:r>
      <w:r w:rsidRPr="00F95238" w:rsidR="000026E3">
        <w:rPr>
          <w:rFonts w:eastAsiaTheme="minorHAnsi"/>
          <w:color w:val="000000" w:themeColor="text1"/>
          <w:sz w:val="20"/>
          <w:szCs w:val="20"/>
        </w:rPr>
        <w:t xml:space="preserve">successfully </w:t>
      </w:r>
      <w:r w:rsidRPr="00F95238">
        <w:rPr>
          <w:rFonts w:eastAsiaTheme="minorHAnsi"/>
          <w:color w:val="000000" w:themeColor="text1"/>
          <w:sz w:val="20"/>
          <w:szCs w:val="20"/>
        </w:rPr>
        <w:t xml:space="preserve">completed the pilot. </w:t>
      </w:r>
      <w:r w:rsidRPr="00F95238" w:rsidR="000026E3">
        <w:rPr>
          <w:rFonts w:eastAsiaTheme="minorHAnsi"/>
          <w:color w:val="000000" w:themeColor="text1"/>
          <w:sz w:val="20"/>
          <w:szCs w:val="20"/>
        </w:rPr>
        <w:t xml:space="preserve">As of </w:t>
      </w:r>
      <w:r w:rsidRPr="00F95238" w:rsidR="00F95238">
        <w:rPr>
          <w:rFonts w:eastAsiaTheme="minorHAnsi"/>
          <w:color w:val="000000" w:themeColor="text1"/>
          <w:sz w:val="20"/>
          <w:szCs w:val="20"/>
        </w:rPr>
        <w:t xml:space="preserve">March </w:t>
      </w:r>
      <w:r w:rsidRPr="00F95238" w:rsidR="000026E3">
        <w:rPr>
          <w:rFonts w:eastAsiaTheme="minorHAnsi"/>
          <w:color w:val="000000" w:themeColor="text1"/>
          <w:sz w:val="20"/>
          <w:szCs w:val="20"/>
        </w:rPr>
        <w:t>202</w:t>
      </w:r>
      <w:r w:rsidRPr="00F95238" w:rsidR="00F95238">
        <w:rPr>
          <w:rFonts w:eastAsiaTheme="minorHAnsi"/>
          <w:color w:val="000000" w:themeColor="text1"/>
          <w:sz w:val="20"/>
          <w:szCs w:val="20"/>
        </w:rPr>
        <w:t>2</w:t>
      </w:r>
      <w:r w:rsidRPr="00F95238" w:rsidR="000026E3">
        <w:rPr>
          <w:rFonts w:eastAsiaTheme="minorHAnsi"/>
          <w:color w:val="000000" w:themeColor="text1"/>
          <w:sz w:val="20"/>
          <w:szCs w:val="20"/>
        </w:rPr>
        <w:t xml:space="preserve">, </w:t>
      </w:r>
      <w:r w:rsidRPr="00F95238" w:rsidR="00F95238">
        <w:rPr>
          <w:rFonts w:eastAsiaTheme="minorHAnsi"/>
          <w:color w:val="000000" w:themeColor="text1"/>
          <w:sz w:val="20"/>
          <w:szCs w:val="20"/>
        </w:rPr>
        <w:t xml:space="preserve">eighteen </w:t>
      </w:r>
      <w:r w:rsidRPr="00F95238" w:rsidR="000026E3">
        <w:rPr>
          <w:rFonts w:eastAsiaTheme="minorHAnsi"/>
          <w:color w:val="000000" w:themeColor="text1"/>
          <w:sz w:val="20"/>
          <w:szCs w:val="20"/>
        </w:rPr>
        <w:t xml:space="preserve">HCT facilities are submitting data via the </w:t>
      </w:r>
      <w:r w:rsidRPr="00F95238" w:rsidR="006E3B09">
        <w:rPr>
          <w:rStyle w:val="markedcontent"/>
          <w:rFonts w:eastAsia="Arial"/>
          <w:color w:val="000000" w:themeColor="text1"/>
          <w:sz w:val="20"/>
          <w:szCs w:val="20"/>
        </w:rPr>
        <w:t xml:space="preserve">HL7® </w:t>
      </w:r>
      <w:r w:rsidRPr="00F95238" w:rsidR="000026E3">
        <w:rPr>
          <w:color w:val="000000" w:themeColor="text1"/>
          <w:sz w:val="20"/>
          <w:szCs w:val="20"/>
        </w:rPr>
        <w:t>FHIR® standard</w:t>
      </w:r>
      <w:r w:rsidRPr="00F95238" w:rsidR="00F95238">
        <w:rPr>
          <w:color w:val="000000" w:themeColor="text1"/>
          <w:sz w:val="20"/>
          <w:szCs w:val="20"/>
        </w:rPr>
        <w:t>, ten are in the implementation process</w:t>
      </w:r>
      <w:r w:rsidRPr="00F95238" w:rsidR="000026E3">
        <w:rPr>
          <w:rFonts w:eastAsiaTheme="minorHAnsi"/>
          <w:color w:val="000000" w:themeColor="text1"/>
          <w:sz w:val="20"/>
          <w:szCs w:val="20"/>
        </w:rPr>
        <w:t xml:space="preserve"> and another sixty have expressed interest.</w:t>
      </w:r>
    </w:p>
  </w:footnote>
  <w:footnote w:id="34">
    <w:p w:rsidR="006E3B09" w:rsidP="003F079A" w14:paraId="121951AA" w14:textId="4E3834EF">
      <w:pPr>
        <w:pStyle w:val="FootnoteText"/>
        <w:spacing w:line="216" w:lineRule="auto"/>
      </w:pPr>
      <w:r w:rsidRPr="006E3B09">
        <w:rPr>
          <w:rStyle w:val="FootnoteReference"/>
          <w:vertAlign w:val="superscript"/>
        </w:rPr>
        <w:footnoteRef/>
      </w:r>
      <w:r w:rsidRPr="006E3B09">
        <w:rPr>
          <w:color w:val="000000" w:themeColor="text1"/>
        </w:rPr>
        <w:t>As described by the Office of the National Coordinator for Health Information Technology, “</w:t>
      </w:r>
      <w:r w:rsidRPr="006E3B09">
        <w:rPr>
          <w:rStyle w:val="markedcontent"/>
          <w:rFonts w:eastAsia="Arial"/>
          <w:color w:val="000000" w:themeColor="text1"/>
        </w:rPr>
        <w:t>The HL7® FHIR® standard defines how healthcare information can be exchanged between different computer systems regardless of how it is stored in those systems. It allows healthcare information, including clinical and administrative data, to be available securely to those who have a need to access it, and to those who have the right to do so for the benefit of a patient receiving care.”</w:t>
      </w:r>
      <w:r w:rsidR="007C2464">
        <w:rPr>
          <w:rStyle w:val="markedcontent"/>
          <w:rFonts w:eastAsia="Arial"/>
          <w:color w:val="000000" w:themeColor="text1"/>
        </w:rPr>
        <w:t xml:space="preserve"> See: </w:t>
      </w:r>
      <w:hyperlink r:id="rId22" w:history="1">
        <w:r w:rsidRPr="00CB6C02" w:rsidR="007C2464">
          <w:rPr>
            <w:rStyle w:val="Hyperlink"/>
          </w:rPr>
          <w:t>https://www.healthit.gov/sites/default/files/2019-08/ONCFHIRFSWhatIsFHIR.pdf</w:t>
        </w:r>
      </w:hyperlink>
    </w:p>
  </w:footnote>
  <w:footnote w:id="35">
    <w:p w:rsidR="00946693" w:rsidP="00FC15B1" w14:paraId="6A9B96CC" w14:textId="392B0EAE">
      <w:pPr>
        <w:pStyle w:val="FootnoteText"/>
        <w:spacing w:line="216" w:lineRule="auto"/>
      </w:pPr>
      <w:r w:rsidRPr="00946693">
        <w:rPr>
          <w:rStyle w:val="FootnoteReference"/>
          <w:vertAlign w:val="superscript"/>
        </w:rPr>
        <w:footnoteRef/>
      </w:r>
      <w:r>
        <w:t xml:space="preserve"> </w:t>
      </w:r>
      <w:hyperlink r:id="rId23" w:history="1">
        <w:r w:rsidRPr="00CB6C02">
          <w:rPr>
            <w:rStyle w:val="Hyperlink"/>
          </w:rPr>
          <w:t>https://www.cibmtr.org/Meetings/Materials/Pages/index.aspx</w:t>
        </w:r>
      </w:hyperlink>
    </w:p>
  </w:footnote>
  <w:footnote w:id="36">
    <w:p w:rsidR="00D62D67" w:rsidRPr="0093328A" w:rsidP="00FC15B1" w14:paraId="1BF93753" w14:textId="77777777">
      <w:pPr>
        <w:pStyle w:val="FootnoteText"/>
        <w:spacing w:line="216" w:lineRule="auto"/>
        <w:rPr>
          <w:color w:val="000000" w:themeColor="text1"/>
        </w:rPr>
      </w:pPr>
      <w:r w:rsidRPr="0093328A">
        <w:rPr>
          <w:rStyle w:val="FootnoteReference"/>
          <w:color w:val="000000" w:themeColor="text1"/>
          <w:vertAlign w:val="superscript"/>
        </w:rPr>
        <w:footnoteRef/>
      </w:r>
      <w:r w:rsidRPr="0093328A">
        <w:rPr>
          <w:color w:val="000000" w:themeColor="text1"/>
        </w:rPr>
        <w:t xml:space="preserve"> In the circumstance that a patient dies, cause of death data will be collected as soon as possible after death.</w:t>
      </w:r>
    </w:p>
  </w:footnote>
  <w:footnote w:id="37">
    <w:p w:rsidR="00D62D67" w:rsidRPr="0093328A" w:rsidP="00FC15B1" w14:paraId="42CC3123" w14:textId="488F731E">
      <w:pPr>
        <w:pStyle w:val="footnotedescription"/>
        <w:spacing w:line="216" w:lineRule="auto"/>
        <w:ind w:right="-180"/>
        <w:rPr>
          <w:rFonts w:ascii="Times New Roman" w:hAnsi="Times New Roman" w:cs="Times New Roman"/>
          <w:color w:val="000000" w:themeColor="text1"/>
          <w:sz w:val="20"/>
          <w:szCs w:val="20"/>
        </w:rPr>
      </w:pPr>
      <w:r w:rsidRPr="0093328A">
        <w:rPr>
          <w:rStyle w:val="footnotemark"/>
          <w:rFonts w:ascii="Times New Roman" w:hAnsi="Times New Roman" w:cs="Times New Roman"/>
          <w:color w:val="000000" w:themeColor="text1"/>
          <w:sz w:val="20"/>
          <w:szCs w:val="20"/>
        </w:rPr>
        <w:footnoteRef/>
      </w:r>
      <w:r w:rsidRPr="0093328A">
        <w:rPr>
          <w:rFonts w:ascii="Times New Roman" w:eastAsia="Times New Roman" w:hAnsi="Times New Roman" w:cs="Times New Roman"/>
          <w:color w:val="000000" w:themeColor="text1"/>
          <w:sz w:val="20"/>
          <w:szCs w:val="20"/>
        </w:rPr>
        <w:t xml:space="preserve"> The process in which transplanted hematopoietic cells begin to grow in the bone marrow of the host and to produce new white blood cells, red blood cells and platelets.</w:t>
      </w:r>
    </w:p>
  </w:footnote>
  <w:footnote w:id="38">
    <w:p w:rsidR="00AB57B2" w:rsidP="003F079A" w14:paraId="5625BFE9" w14:textId="0EC687DF">
      <w:pPr>
        <w:pStyle w:val="FootnoteText"/>
        <w:spacing w:line="216" w:lineRule="auto"/>
        <w:ind w:right="-187"/>
      </w:pPr>
      <w:r w:rsidRPr="009409E2">
        <w:rPr>
          <w:rStyle w:val="FootnoteReference"/>
          <w:vertAlign w:val="superscript"/>
        </w:rPr>
        <w:footnoteRef/>
      </w:r>
      <w:r>
        <w:t xml:space="preserve"> For example, the Foundation for Accreditation of Cellular Therapy (FACT), which accredits HCT facilities, coordinates with the SCTOD contractor on data quality and a</w:t>
      </w:r>
      <w:r w:rsidRPr="007537A3">
        <w:t xml:space="preserve">nnounced on </w:t>
      </w:r>
      <w:r>
        <w:t xml:space="preserve">March 1, 2017, that it </w:t>
      </w:r>
      <w:r w:rsidRPr="009409E2">
        <w:t>will no longer include verification of clinical data against source data</w:t>
      </w:r>
      <w:r>
        <w:t xml:space="preserve"> as </w:t>
      </w:r>
      <w:r w:rsidRPr="009409E2">
        <w:t>FACT clinical inspectors have access to CIBMTR data audit results</w:t>
      </w:r>
      <w:r>
        <w:t>.</w:t>
      </w:r>
    </w:p>
  </w:footnote>
  <w:footnote w:id="39">
    <w:p w:rsidR="001A2FAA" w:rsidP="003F079A" w14:paraId="2E948D11" w14:textId="77777777">
      <w:pPr>
        <w:pStyle w:val="FootnoteText"/>
        <w:spacing w:line="216" w:lineRule="auto"/>
      </w:pPr>
      <w:r w:rsidRPr="00946693">
        <w:rPr>
          <w:rStyle w:val="FootnoteReference"/>
          <w:vertAlign w:val="superscript"/>
        </w:rPr>
        <w:footnoteRef/>
      </w:r>
      <w:r>
        <w:t xml:space="preserve"> </w:t>
      </w:r>
      <w:hyperlink r:id="rId23" w:history="1">
        <w:r w:rsidRPr="00CB6C02">
          <w:rPr>
            <w:rStyle w:val="Hyperlink"/>
          </w:rPr>
          <w:t>https://www.cibmtr.org/Meetings/Materials/Pages/index.aspx</w:t>
        </w:r>
      </w:hyperlink>
      <w:r>
        <w:t xml:space="preserve"> </w:t>
      </w:r>
    </w:p>
  </w:footnote>
  <w:footnote w:id="40">
    <w:p w:rsidR="00F61CBF" w:rsidRPr="00A76956" w:rsidP="00F61CBF" w14:paraId="0431E42A" w14:textId="77777777">
      <w:pPr>
        <w:pStyle w:val="FootnoteText"/>
        <w:spacing w:line="216" w:lineRule="auto"/>
        <w:ind w:right="-360"/>
      </w:pPr>
      <w:r w:rsidRPr="00A76956">
        <w:rPr>
          <w:rStyle w:val="FootnoteReference"/>
          <w:rFonts w:eastAsia="Arial"/>
          <w:color w:val="000000" w:themeColor="text1"/>
          <w:vertAlign w:val="superscript"/>
        </w:rPr>
        <w:footnoteRef/>
      </w:r>
      <w:r w:rsidRPr="00A76956">
        <w:rPr>
          <w:color w:val="000000" w:themeColor="text1"/>
        </w:rPr>
        <w:t xml:space="preserve"> This burden estimate table refers to data collections at different time periods consistent with approved practice. </w:t>
      </w:r>
      <w:r>
        <w:rPr>
          <w:color w:val="000000" w:themeColor="text1"/>
        </w:rPr>
        <w:t xml:space="preserve"> </w:t>
      </w:r>
      <w:r w:rsidRPr="00A76956">
        <w:rPr>
          <w:color w:val="000000" w:themeColor="text1"/>
        </w:rPr>
        <w:t>The SCTOD contractor is working with respondents to reduce burden by submitting data using interoperability standards. These data collections may include OMB-approved forms.</w:t>
      </w:r>
    </w:p>
  </w:footnote>
  <w:footnote w:id="41">
    <w:p w:rsidR="00F61CBF" w:rsidRPr="00A76956" w:rsidP="00F61CBF" w14:paraId="090AD2BD" w14:textId="77777777">
      <w:pPr>
        <w:pStyle w:val="FootnoteText"/>
        <w:spacing w:line="216" w:lineRule="auto"/>
        <w:ind w:right="-360"/>
      </w:pPr>
      <w:r w:rsidRPr="00A76956">
        <w:rPr>
          <w:rStyle w:val="FootnoteReference"/>
          <w:rFonts w:eastAsia="Arial"/>
          <w:color w:val="000000" w:themeColor="text1"/>
          <w:vertAlign w:val="superscript"/>
        </w:rPr>
        <w:footnoteRef/>
      </w:r>
      <w:r w:rsidRPr="00A76956">
        <w:rPr>
          <w:color w:val="000000" w:themeColor="text1"/>
        </w:rPr>
        <w:t xml:space="preserve"> The total number of </w:t>
      </w:r>
      <w:r>
        <w:rPr>
          <w:color w:val="000000" w:themeColor="text1"/>
        </w:rPr>
        <w:t xml:space="preserve">U.S. </w:t>
      </w:r>
      <w:r w:rsidRPr="00A76956">
        <w:rPr>
          <w:color w:val="000000" w:themeColor="text1"/>
        </w:rPr>
        <w:t>transplant centers that submit data to the SCTOD is 1</w:t>
      </w:r>
      <w:r>
        <w:rPr>
          <w:color w:val="000000" w:themeColor="text1"/>
        </w:rPr>
        <w:t>82 as of 4/14/2025</w:t>
      </w:r>
      <w:r w:rsidRPr="00AA4A64">
        <w:rPr>
          <w:color w:val="000000" w:themeColor="text1"/>
        </w:rPr>
        <w:t>.</w:t>
      </w:r>
      <w:r>
        <w:rPr>
          <w:color w:val="000000" w:themeColor="text1"/>
        </w:rPr>
        <w:t xml:space="preserve">  The number of centers providing data may change intermittently based on opening or closure of centers.</w:t>
      </w:r>
    </w:p>
  </w:footnote>
  <w:footnote w:id="42">
    <w:p w:rsidR="00F61CBF" w:rsidRPr="00A76956" w:rsidP="00F61CBF" w14:paraId="7F4347F7" w14:textId="4E2E2216">
      <w:pPr>
        <w:pStyle w:val="FootnoteText"/>
        <w:spacing w:line="216" w:lineRule="auto"/>
        <w:ind w:right="-360"/>
        <w:rPr>
          <w:color w:val="000000" w:themeColor="text1"/>
        </w:rPr>
      </w:pPr>
      <w:r w:rsidRPr="00A76956">
        <w:rPr>
          <w:rStyle w:val="FootnoteReference"/>
          <w:rFonts w:eastAsia="Arial"/>
          <w:color w:val="000000" w:themeColor="text1"/>
          <w:vertAlign w:val="superscript"/>
        </w:rPr>
        <w:footnoteRef/>
      </w:r>
      <w:r w:rsidRPr="00A76956">
        <w:rPr>
          <w:color w:val="000000" w:themeColor="text1"/>
        </w:rPr>
        <w:t xml:space="preserve"> The Number of Responses per Respondent was calculated by dividing the Total Responses by the Number of Respondents</w:t>
      </w:r>
      <w:r>
        <w:rPr>
          <w:color w:val="000000" w:themeColor="text1"/>
        </w:rPr>
        <w:t xml:space="preserve">. </w:t>
      </w:r>
    </w:p>
  </w:footnote>
  <w:footnote w:id="43">
    <w:p w:rsidR="00D000FA" w:rsidRPr="00D000FA" w14:paraId="1E7BF668" w14:textId="55E255D7">
      <w:pPr>
        <w:pStyle w:val="FootnoteText"/>
      </w:pPr>
      <w:r w:rsidRPr="00D000FA">
        <w:rPr>
          <w:rStyle w:val="FootnoteReference"/>
          <w:vertAlign w:val="superscript"/>
        </w:rPr>
        <w:footnoteRef/>
      </w:r>
      <w:r w:rsidRPr="00D000FA">
        <w:rPr>
          <w:vertAlign w:val="superscript"/>
        </w:rPr>
        <w:t xml:space="preserve"> </w:t>
      </w:r>
      <w:r w:rsidRPr="00D000FA">
        <w:t>The</w:t>
      </w:r>
      <w:r>
        <w:rPr>
          <w:vertAlign w:val="superscript"/>
        </w:rPr>
        <w:t xml:space="preserve"> </w:t>
      </w:r>
      <w:r>
        <w:t xml:space="preserve">total in ROCIS is 73070, which is </w:t>
      </w:r>
      <w:r w:rsidRPr="00D000FA">
        <w:t>73,069.80</w:t>
      </w:r>
      <w:r>
        <w:t xml:space="preserve"> rounded up.</w:t>
      </w:r>
    </w:p>
  </w:footnote>
  <w:footnote w:id="44">
    <w:p w:rsidR="00F61CBF" w:rsidRPr="00A76956" w:rsidP="00F61CBF" w14:paraId="78FA3958" w14:textId="77777777">
      <w:pPr>
        <w:pStyle w:val="FootnoteText"/>
      </w:pPr>
      <w:r w:rsidRPr="00A76956">
        <w:rPr>
          <w:rStyle w:val="FootnoteReference"/>
          <w:vertAlign w:val="superscript"/>
        </w:rPr>
        <w:footnoteRef/>
      </w:r>
      <w:r w:rsidRPr="00A76956">
        <w:rPr>
          <w:vertAlign w:val="superscript"/>
        </w:rPr>
        <w:t xml:space="preserve"> </w:t>
      </w:r>
      <w:r w:rsidRPr="00A76956">
        <w:t xml:space="preserve">Total responses for </w:t>
      </w:r>
      <w:r w:rsidRPr="00A76956">
        <w:rPr>
          <w:color w:val="000000"/>
        </w:rPr>
        <w:t>Pre-Transplant Information Collection</w:t>
      </w:r>
      <w:r w:rsidRPr="00A76956">
        <w:t xml:space="preserve"> equals estimated number of new transplant patients in 202</w:t>
      </w:r>
      <w:r>
        <w:t>4</w:t>
      </w:r>
      <w:r w:rsidRPr="00A76956">
        <w:t xml:space="preserve">. </w:t>
      </w:r>
    </w:p>
  </w:footnote>
  <w:footnote w:id="45">
    <w:p w:rsidR="00F61CBF" w:rsidRPr="005F2500" w:rsidP="00F61CBF" w14:paraId="3276DE0E" w14:textId="77777777">
      <w:pPr>
        <w:rPr>
          <w:color w:val="000000" w:themeColor="text1"/>
          <w:szCs w:val="20"/>
        </w:rPr>
      </w:pPr>
      <w:r w:rsidRPr="005F2500">
        <w:rPr>
          <w:rStyle w:val="FootnoteReference"/>
          <w:color w:val="000000" w:themeColor="text1"/>
          <w:szCs w:val="20"/>
          <w:vertAlign w:val="superscript"/>
        </w:rPr>
        <w:footnoteRef/>
      </w:r>
      <w:r w:rsidRPr="005F2500">
        <w:rPr>
          <w:color w:val="000000" w:themeColor="text1"/>
          <w:szCs w:val="20"/>
        </w:rPr>
        <w:t xml:space="preserve"> </w:t>
      </w:r>
      <w:r w:rsidRPr="00352690">
        <w:rPr>
          <w:sz w:val="20"/>
          <w:szCs w:val="16"/>
        </w:rPr>
        <w:t>Pre-transplant Data includes</w:t>
      </w:r>
      <w:r>
        <w:rPr>
          <w:sz w:val="20"/>
          <w:szCs w:val="16"/>
        </w:rPr>
        <w:t xml:space="preserve"> </w:t>
      </w:r>
      <w:r w:rsidRPr="00352690">
        <w:rPr>
          <w:sz w:val="20"/>
          <w:szCs w:val="16"/>
        </w:rPr>
        <w:t xml:space="preserve">baseline recipient data including patient demographics, pertinent medical history, disease characteristics and status, and co-morbidities, </w:t>
      </w:r>
      <w:r w:rsidRPr="00352690">
        <w:rPr>
          <w:color w:val="000000" w:themeColor="text1"/>
          <w:sz w:val="20"/>
          <w:szCs w:val="16"/>
        </w:rPr>
        <w:t>t</w:t>
      </w:r>
      <w:r w:rsidRPr="00352690">
        <w:rPr>
          <w:sz w:val="20"/>
          <w:szCs w:val="16"/>
        </w:rPr>
        <w:t xml:space="preserve">ransplant data procedure characteristics, including preparative regimen, and donor data.  </w:t>
      </w:r>
      <w:r w:rsidRPr="00352690">
        <w:rPr>
          <w:color w:val="000000" w:themeColor="text1"/>
          <w:sz w:val="20"/>
          <w:szCs w:val="16"/>
        </w:rPr>
        <w:t xml:space="preserve">This number is rounded to the nearest hundredth. The actual burden estimate for these data is </w:t>
      </w:r>
      <w:r w:rsidRPr="00FD13A2">
        <w:rPr>
          <w:color w:val="000000" w:themeColor="text1"/>
          <w:sz w:val="20"/>
          <w:szCs w:val="16"/>
        </w:rPr>
        <w:t>2.2377</w:t>
      </w:r>
      <w:r w:rsidRPr="00352690">
        <w:rPr>
          <w:color w:val="000000" w:themeColor="text1"/>
          <w:sz w:val="20"/>
          <w:szCs w:val="16"/>
        </w:rPr>
        <w:t xml:space="preserve">.  </w:t>
      </w:r>
    </w:p>
  </w:footnote>
  <w:footnote w:id="46">
    <w:p w:rsidR="00546484" w:rsidRPr="00A76956" w:rsidP="00F61CBF" w14:paraId="153186F2" w14:textId="77777777">
      <w:pPr>
        <w:pStyle w:val="FootnoteText"/>
      </w:pPr>
      <w:r w:rsidRPr="00A76956">
        <w:rPr>
          <w:rStyle w:val="FootnoteReference"/>
          <w:vertAlign w:val="superscript"/>
        </w:rPr>
        <w:footnoteRef/>
      </w:r>
      <w:r w:rsidRPr="00A76956">
        <w:rPr>
          <w:vertAlign w:val="superscript"/>
        </w:rPr>
        <w:t xml:space="preserve"> </w:t>
      </w:r>
      <w:r w:rsidRPr="00A76956">
        <w:rPr>
          <w:color w:val="000000"/>
        </w:rPr>
        <w:t>Transplant Procedure and Product Information</w:t>
      </w:r>
      <w:r w:rsidRPr="00A76956">
        <w:t xml:space="preserve"> equals estimated number of new transplant patients in 202</w:t>
      </w:r>
      <w:r>
        <w:t>4</w:t>
      </w:r>
      <w:r w:rsidRPr="00A76956">
        <w:t>.</w:t>
      </w:r>
    </w:p>
  </w:footnote>
  <w:footnote w:id="47">
    <w:p w:rsidR="00546484" w:rsidRPr="00A76956" w:rsidP="00F61CBF" w14:paraId="2812ACCF" w14:textId="77777777">
      <w:pPr>
        <w:pStyle w:val="FootnoteText"/>
        <w:spacing w:line="216" w:lineRule="auto"/>
        <w:ind w:right="-360"/>
        <w:rPr>
          <w:color w:val="000000" w:themeColor="text1"/>
        </w:rPr>
      </w:pPr>
      <w:r w:rsidRPr="00A76956">
        <w:rPr>
          <w:rStyle w:val="FootnoteReference"/>
          <w:color w:val="000000" w:themeColor="text1"/>
          <w:vertAlign w:val="superscript"/>
        </w:rPr>
        <w:footnoteRef/>
      </w:r>
      <w:r w:rsidRPr="00A76956">
        <w:rPr>
          <w:color w:val="000000" w:themeColor="text1"/>
        </w:rPr>
        <w:t xml:space="preserve"> Transplant Procedure and Product Information includes </w:t>
      </w:r>
      <w:r w:rsidRPr="00A76956">
        <w:t xml:space="preserve"> Graft-vs-Host Disease</w:t>
      </w:r>
      <w:r>
        <w:t xml:space="preserve"> </w:t>
      </w:r>
      <w:r w:rsidRPr="00A76956">
        <w:t xml:space="preserve">prophylaxis, graft source, donor type and degree of HLA matching and graft manipulation; graft characteristic data for cord blood units, including infused cell dose; and product information. </w:t>
      </w:r>
      <w:r>
        <w:rPr>
          <w:color w:val="000000" w:themeColor="text1"/>
        </w:rPr>
        <w:t>This number is rounded to the nearest hundredth.</w:t>
      </w:r>
      <w:r>
        <w:t xml:space="preserve"> The actual burden estimate for these data is 0.7516.</w:t>
      </w:r>
    </w:p>
  </w:footnote>
  <w:footnote w:id="48">
    <w:p w:rsidR="00F61CBF" w:rsidRPr="00A76956" w:rsidP="00F61CBF" w14:paraId="6F7C5232" w14:textId="77777777">
      <w:pPr>
        <w:pStyle w:val="FootnoteText"/>
      </w:pPr>
      <w:r w:rsidRPr="00A76956">
        <w:rPr>
          <w:rStyle w:val="FootnoteReference"/>
          <w:vertAlign w:val="superscript"/>
        </w:rPr>
        <w:footnoteRef/>
      </w:r>
      <w:r w:rsidRPr="00A76956">
        <w:rPr>
          <w:vertAlign w:val="superscript"/>
        </w:rPr>
        <w:t xml:space="preserve"> </w:t>
      </w:r>
      <w:r w:rsidRPr="00A76956">
        <w:rPr>
          <w:color w:val="000000" w:themeColor="text1"/>
        </w:rPr>
        <w:t xml:space="preserve">The number of responses for </w:t>
      </w:r>
      <w:r w:rsidRPr="00A76956">
        <w:rPr>
          <w:color w:val="000000"/>
        </w:rPr>
        <w:t>Post-Transplant Periodic Information Collection is based on a predetermined schedule:</w:t>
      </w:r>
      <w:r>
        <w:rPr>
          <w:color w:val="000000"/>
        </w:rPr>
        <w:t xml:space="preserve"> </w:t>
      </w:r>
      <w:r w:rsidRPr="00A76956">
        <w:rPr>
          <w:color w:val="000000"/>
        </w:rPr>
        <w:t xml:space="preserve"> </w:t>
      </w:r>
      <w:r w:rsidRPr="00A76956">
        <w:rPr>
          <w:color w:val="000000" w:themeColor="text1"/>
        </w:rPr>
        <w:t>100 days after transplant, 6 months after transplant, 1 year after transplant, annually for 6 years after transplant and then biennially thereafter.</w:t>
      </w:r>
      <w:r>
        <w:rPr>
          <w:color w:val="000000" w:themeColor="text1"/>
        </w:rPr>
        <w:t xml:space="preserve"> </w:t>
      </w:r>
      <w:r w:rsidRPr="00A76956">
        <w:rPr>
          <w:color w:val="000000" w:themeColor="text1"/>
        </w:rPr>
        <w:t xml:space="preserve"> In any given year the number of responses is a function of the number of transplants in that year, the number of transplants in previous years, and expected patient survival between the time of transplant and any follow-up activity.</w:t>
      </w:r>
    </w:p>
  </w:footnote>
  <w:footnote w:id="49">
    <w:p w:rsidR="00F61CBF" w:rsidRPr="00A76956" w:rsidP="00F61CBF" w14:paraId="0F6A2F92" w14:textId="77777777">
      <w:pPr>
        <w:pStyle w:val="FootnoteText"/>
        <w:spacing w:line="216" w:lineRule="auto"/>
        <w:ind w:right="-360"/>
      </w:pPr>
      <w:r w:rsidRPr="00A76956">
        <w:rPr>
          <w:rStyle w:val="FootnoteReference"/>
          <w:color w:val="000000" w:themeColor="text1"/>
          <w:vertAlign w:val="superscript"/>
        </w:rPr>
        <w:footnoteRef/>
      </w:r>
      <w:r w:rsidRPr="00A76956">
        <w:rPr>
          <w:color w:val="000000" w:themeColor="text1"/>
          <w:vertAlign w:val="superscript"/>
        </w:rPr>
        <w:t xml:space="preserve"> </w:t>
      </w:r>
      <w:r w:rsidRPr="00A76956">
        <w:rPr>
          <w:color w:val="000000" w:themeColor="text1"/>
        </w:rPr>
        <w:t xml:space="preserve">Post-Transplant Data Collection includes hematopoietic recovery and engraftment, serious complications including </w:t>
      </w:r>
      <w:r w:rsidRPr="00A76956">
        <w:t>Graft-vs-Host Disease</w:t>
      </w:r>
      <w:r w:rsidRPr="00A76956">
        <w:rPr>
          <w:color w:val="000000" w:themeColor="text1"/>
        </w:rPr>
        <w:t xml:space="preserve"> </w:t>
      </w:r>
      <w:r w:rsidRPr="00A76956">
        <w:rPr>
          <w:color w:val="000000" w:themeColor="text1"/>
        </w:rPr>
        <w:t xml:space="preserve">and second cancers, disease status, survival status, and cause of death; and subsequent procedures. </w:t>
      </w:r>
      <w:r>
        <w:rPr>
          <w:color w:val="000000" w:themeColor="text1"/>
        </w:rPr>
        <w:t>This number is rounded to the nearest hundredth.</w:t>
      </w:r>
      <w:r w:rsidRPr="00A76956">
        <w:rPr>
          <w:color w:val="000000" w:themeColor="text1"/>
        </w:rPr>
        <w:t xml:space="preserve"> </w:t>
      </w:r>
      <w:r>
        <w:rPr>
          <w:color w:val="000000" w:themeColor="text1"/>
        </w:rPr>
        <w:t>The actual burden estimate is 0.5747.</w:t>
      </w:r>
    </w:p>
  </w:footnote>
  <w:footnote w:id="50">
    <w:p w:rsidR="00FD7C9F" w:rsidRPr="00FD7C9F" w:rsidP="007870A0" w14:paraId="1D18F343" w14:textId="20244EC1">
      <w:pPr>
        <w:pStyle w:val="FootnoteText"/>
        <w:spacing w:line="216" w:lineRule="auto"/>
        <w:ind w:right="-360"/>
      </w:pPr>
      <w:r w:rsidRPr="00B82CE9">
        <w:rPr>
          <w:rStyle w:val="FootnoteReference"/>
          <w:color w:val="000000" w:themeColor="text1"/>
          <w:vertAlign w:val="superscript"/>
        </w:rPr>
        <w:footnoteRef/>
      </w:r>
      <w:r w:rsidRPr="00B82CE9">
        <w:rPr>
          <w:rStyle w:val="FootnoteReference"/>
          <w:color w:val="000000" w:themeColor="text1"/>
          <w:vertAlign w:val="superscript"/>
        </w:rPr>
        <w:t xml:space="preserve"> </w:t>
      </w:r>
      <w:r w:rsidRPr="00B82CE9">
        <w:rPr>
          <w:rStyle w:val="FootnoteReference"/>
          <w:color w:val="000000" w:themeColor="text1"/>
        </w:rPr>
        <w:t xml:space="preserve">Source: Hourly </w:t>
      </w:r>
      <w:r w:rsidR="00FA3472">
        <w:rPr>
          <w:rStyle w:val="FootnoteReference"/>
          <w:color w:val="000000" w:themeColor="text1"/>
        </w:rPr>
        <w:t>M</w:t>
      </w:r>
      <w:r w:rsidR="00FA3472">
        <w:rPr>
          <w:color w:val="000000" w:themeColor="text1"/>
        </w:rPr>
        <w:t>edian Wage for Medical Records Specialists,</w:t>
      </w:r>
      <w:r w:rsidRPr="00B82CE9">
        <w:rPr>
          <w:rStyle w:val="FootnoteReference"/>
          <w:color w:val="000000" w:themeColor="text1"/>
        </w:rPr>
        <w:t xml:space="preserve"> United States Department of Labor, Bureau of Labor Statistics</w:t>
      </w:r>
      <w:r w:rsidR="00FA3472">
        <w:rPr>
          <w:rStyle w:val="FootnoteReference"/>
          <w:color w:val="000000" w:themeColor="text1"/>
        </w:rPr>
        <w:t>, May 2024.</w:t>
      </w:r>
      <w:r w:rsidR="00FA3472">
        <w:t xml:space="preserve"> </w:t>
      </w:r>
      <w:hyperlink r:id="rId24" w:history="1">
        <w:r w:rsidRPr="001C4BD5" w:rsidR="00FA3472">
          <w:rPr>
            <w:rStyle w:val="Hyperlink"/>
          </w:rPr>
          <w:t>https://data.bls.gov/oesprofile/</w:t>
        </w:r>
      </w:hyperlink>
      <w:r w:rsidR="00415FDB">
        <w:rPr>
          <w:color w:val="000000" w:themeColor="text1"/>
        </w:rPr>
        <w:t>.</w:t>
      </w:r>
      <w:r w:rsidR="00FA3472">
        <w:rPr>
          <w:color w:val="000000" w:themeColor="text1"/>
        </w:rPr>
        <w:t xml:space="preserve"> Median wage of $24.16 has been multiplied by 2 to account for overhead costs.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A64E7"/>
    <w:multiLevelType w:val="hybridMultilevel"/>
    <w:tmpl w:val="656EC79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3562E09"/>
    <w:multiLevelType w:val="hybridMultilevel"/>
    <w:tmpl w:val="8A8EDEA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88E4F0C"/>
    <w:multiLevelType w:val="hybridMultilevel"/>
    <w:tmpl w:val="B0C60F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2030D2"/>
    <w:multiLevelType w:val="multilevel"/>
    <w:tmpl w:val="BEE2893E"/>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09CD2BA1"/>
    <w:multiLevelType w:val="hybridMultilevel"/>
    <w:tmpl w:val="DC10DF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AFD315D"/>
    <w:multiLevelType w:val="hybridMultilevel"/>
    <w:tmpl w:val="19AAE3C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0B9751BE"/>
    <w:multiLevelType w:val="hybridMultilevel"/>
    <w:tmpl w:val="5046E50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0DFE0B6A"/>
    <w:multiLevelType w:val="hybridMultilevel"/>
    <w:tmpl w:val="BDF05792"/>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2."/>
      <w:lvlJc w:val="left"/>
      <w:pPr>
        <w:ind w:left="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0FDF2292"/>
    <w:multiLevelType w:val="multilevel"/>
    <w:tmpl w:val="CB3C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484C9B"/>
    <w:multiLevelType w:val="multilevel"/>
    <w:tmpl w:val="5212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1CF5BD2"/>
    <w:multiLevelType w:val="hybridMultilevel"/>
    <w:tmpl w:val="0D4EDC0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7FD09F7"/>
    <w:multiLevelType w:val="hybridMultilevel"/>
    <w:tmpl w:val="E99A4302"/>
    <w:lvl w:ilvl="0">
      <w:start w:val="17"/>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18911794"/>
    <w:multiLevelType w:val="hybridMultilevel"/>
    <w:tmpl w:val="A07AF6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1C1A407B"/>
    <w:multiLevelType w:val="hybridMultilevel"/>
    <w:tmpl w:val="ECF401E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4">
    <w:nsid w:val="1C3859F0"/>
    <w:multiLevelType w:val="hybridMultilevel"/>
    <w:tmpl w:val="398E86A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1DD6600E"/>
    <w:multiLevelType w:val="hybridMultilevel"/>
    <w:tmpl w:val="8FA065E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6">
    <w:nsid w:val="206D395E"/>
    <w:multiLevelType w:val="hybridMultilevel"/>
    <w:tmpl w:val="307A1B68"/>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17">
    <w:nsid w:val="23331490"/>
    <w:multiLevelType w:val="hybridMultilevel"/>
    <w:tmpl w:val="F4E49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4B579D9"/>
    <w:multiLevelType w:val="hybridMultilevel"/>
    <w:tmpl w:val="AE882E1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26E976B0"/>
    <w:multiLevelType w:val="hybridMultilevel"/>
    <w:tmpl w:val="F9C20CC0"/>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0">
    <w:nsid w:val="2716403A"/>
    <w:multiLevelType w:val="hybridMultilevel"/>
    <w:tmpl w:val="4CC21D4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1">
    <w:nsid w:val="2F7F5407"/>
    <w:multiLevelType w:val="hybridMultilevel"/>
    <w:tmpl w:val="D7A2ECC2"/>
    <w:lvl w:ilvl="0">
      <w:start w:val="1"/>
      <w:numFmt w:val="decimal"/>
      <w:lvlText w:val="%1."/>
      <w:lvlJc w:val="left"/>
      <w:pPr>
        <w:ind w:left="705"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341827C1"/>
    <w:multiLevelType w:val="hybridMultilevel"/>
    <w:tmpl w:val="8230FB2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3">
    <w:nsid w:val="344B6B71"/>
    <w:multiLevelType w:val="hybridMultilevel"/>
    <w:tmpl w:val="480EA15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393F528B"/>
    <w:multiLevelType w:val="hybridMultilevel"/>
    <w:tmpl w:val="ED8A60C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39AB06F4"/>
    <w:multiLevelType w:val="hybridMultilevel"/>
    <w:tmpl w:val="220ECE46"/>
    <w:lvl w:ilvl="0">
      <w:start w:val="0"/>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A9A69E6"/>
    <w:multiLevelType w:val="hybridMultilevel"/>
    <w:tmpl w:val="C6125DC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3B0E5874"/>
    <w:multiLevelType w:val="hybridMultilevel"/>
    <w:tmpl w:val="5262128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8">
    <w:nsid w:val="4060589E"/>
    <w:multiLevelType w:val="hybridMultilevel"/>
    <w:tmpl w:val="E8E64F9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9">
    <w:nsid w:val="425572E5"/>
    <w:multiLevelType w:val="hybridMultilevel"/>
    <w:tmpl w:val="19343232"/>
    <w:lvl w:ilvl="0">
      <w:start w:val="1"/>
      <w:numFmt w:val="bullet"/>
      <w:lvlText w:val=""/>
      <w:lvlJc w:val="left"/>
      <w:pPr>
        <w:ind w:left="715" w:hanging="360"/>
      </w:pPr>
      <w:rPr>
        <w:rFonts w:ascii="Symbol" w:hAnsi="Symbol" w:hint="default"/>
      </w:rPr>
    </w:lvl>
    <w:lvl w:ilvl="1" w:tentative="1">
      <w:start w:val="1"/>
      <w:numFmt w:val="bullet"/>
      <w:lvlText w:val="o"/>
      <w:lvlJc w:val="left"/>
      <w:pPr>
        <w:ind w:left="1435" w:hanging="360"/>
      </w:pPr>
      <w:rPr>
        <w:rFonts w:ascii="Courier New" w:hAnsi="Courier New" w:cs="Courier New" w:hint="default"/>
      </w:rPr>
    </w:lvl>
    <w:lvl w:ilvl="2" w:tentative="1">
      <w:start w:val="1"/>
      <w:numFmt w:val="bullet"/>
      <w:lvlText w:val=""/>
      <w:lvlJc w:val="left"/>
      <w:pPr>
        <w:ind w:left="2155" w:hanging="360"/>
      </w:pPr>
      <w:rPr>
        <w:rFonts w:ascii="Wingdings" w:hAnsi="Wingdings" w:hint="default"/>
      </w:rPr>
    </w:lvl>
    <w:lvl w:ilvl="3" w:tentative="1">
      <w:start w:val="1"/>
      <w:numFmt w:val="bullet"/>
      <w:lvlText w:val=""/>
      <w:lvlJc w:val="left"/>
      <w:pPr>
        <w:ind w:left="2875" w:hanging="360"/>
      </w:pPr>
      <w:rPr>
        <w:rFonts w:ascii="Symbol" w:hAnsi="Symbol" w:hint="default"/>
      </w:rPr>
    </w:lvl>
    <w:lvl w:ilvl="4" w:tentative="1">
      <w:start w:val="1"/>
      <w:numFmt w:val="bullet"/>
      <w:lvlText w:val="o"/>
      <w:lvlJc w:val="left"/>
      <w:pPr>
        <w:ind w:left="3595" w:hanging="360"/>
      </w:pPr>
      <w:rPr>
        <w:rFonts w:ascii="Courier New" w:hAnsi="Courier New" w:cs="Courier New" w:hint="default"/>
      </w:rPr>
    </w:lvl>
    <w:lvl w:ilvl="5" w:tentative="1">
      <w:start w:val="1"/>
      <w:numFmt w:val="bullet"/>
      <w:lvlText w:val=""/>
      <w:lvlJc w:val="left"/>
      <w:pPr>
        <w:ind w:left="4315" w:hanging="360"/>
      </w:pPr>
      <w:rPr>
        <w:rFonts w:ascii="Wingdings" w:hAnsi="Wingdings" w:hint="default"/>
      </w:rPr>
    </w:lvl>
    <w:lvl w:ilvl="6" w:tentative="1">
      <w:start w:val="1"/>
      <w:numFmt w:val="bullet"/>
      <w:lvlText w:val=""/>
      <w:lvlJc w:val="left"/>
      <w:pPr>
        <w:ind w:left="5035" w:hanging="360"/>
      </w:pPr>
      <w:rPr>
        <w:rFonts w:ascii="Symbol" w:hAnsi="Symbol" w:hint="default"/>
      </w:rPr>
    </w:lvl>
    <w:lvl w:ilvl="7" w:tentative="1">
      <w:start w:val="1"/>
      <w:numFmt w:val="bullet"/>
      <w:lvlText w:val="o"/>
      <w:lvlJc w:val="left"/>
      <w:pPr>
        <w:ind w:left="5755" w:hanging="360"/>
      </w:pPr>
      <w:rPr>
        <w:rFonts w:ascii="Courier New" w:hAnsi="Courier New" w:cs="Courier New" w:hint="default"/>
      </w:rPr>
    </w:lvl>
    <w:lvl w:ilvl="8" w:tentative="1">
      <w:start w:val="1"/>
      <w:numFmt w:val="bullet"/>
      <w:lvlText w:val=""/>
      <w:lvlJc w:val="left"/>
      <w:pPr>
        <w:ind w:left="6475" w:hanging="360"/>
      </w:pPr>
      <w:rPr>
        <w:rFonts w:ascii="Wingdings" w:hAnsi="Wingdings" w:hint="default"/>
      </w:rPr>
    </w:lvl>
  </w:abstractNum>
  <w:abstractNum w:abstractNumId="30">
    <w:nsid w:val="441D47C7"/>
    <w:multiLevelType w:val="hybridMultilevel"/>
    <w:tmpl w:val="AEE06BEE"/>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A1D7109"/>
    <w:multiLevelType w:val="hybridMultilevel"/>
    <w:tmpl w:val="76AE4E00"/>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BC2266B"/>
    <w:multiLevelType w:val="hybridMultilevel"/>
    <w:tmpl w:val="31BC416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4BCC2393"/>
    <w:multiLevelType w:val="hybridMultilevel"/>
    <w:tmpl w:val="EBE0722C"/>
    <w:lvl w:ilvl="0">
      <w:start w:val="1"/>
      <w:numFmt w:val="bullet"/>
      <w:lvlText w:val=""/>
      <w:lvlJc w:val="left"/>
      <w:pPr>
        <w:ind w:left="1740" w:hanging="360"/>
      </w:pPr>
      <w:rPr>
        <w:rFonts w:ascii="Symbol" w:hAnsi="Symbol"/>
      </w:rPr>
    </w:lvl>
    <w:lvl w:ilvl="1">
      <w:start w:val="1"/>
      <w:numFmt w:val="bullet"/>
      <w:lvlText w:val=""/>
      <w:lvlJc w:val="left"/>
      <w:pPr>
        <w:ind w:left="1740" w:hanging="360"/>
      </w:pPr>
      <w:rPr>
        <w:rFonts w:ascii="Symbol" w:hAnsi="Symbol"/>
      </w:rPr>
    </w:lvl>
    <w:lvl w:ilvl="2">
      <w:start w:val="1"/>
      <w:numFmt w:val="bullet"/>
      <w:lvlText w:val=""/>
      <w:lvlJc w:val="left"/>
      <w:pPr>
        <w:ind w:left="1740" w:hanging="360"/>
      </w:pPr>
      <w:rPr>
        <w:rFonts w:ascii="Symbol" w:hAnsi="Symbol"/>
      </w:rPr>
    </w:lvl>
    <w:lvl w:ilvl="3">
      <w:start w:val="1"/>
      <w:numFmt w:val="bullet"/>
      <w:lvlText w:val=""/>
      <w:lvlJc w:val="left"/>
      <w:pPr>
        <w:ind w:left="1740" w:hanging="360"/>
      </w:pPr>
      <w:rPr>
        <w:rFonts w:ascii="Symbol" w:hAnsi="Symbol"/>
      </w:rPr>
    </w:lvl>
    <w:lvl w:ilvl="4">
      <w:start w:val="1"/>
      <w:numFmt w:val="bullet"/>
      <w:lvlText w:val=""/>
      <w:lvlJc w:val="left"/>
      <w:pPr>
        <w:ind w:left="1740" w:hanging="360"/>
      </w:pPr>
      <w:rPr>
        <w:rFonts w:ascii="Symbol" w:hAnsi="Symbol"/>
      </w:rPr>
    </w:lvl>
    <w:lvl w:ilvl="5">
      <w:start w:val="1"/>
      <w:numFmt w:val="bullet"/>
      <w:lvlText w:val=""/>
      <w:lvlJc w:val="left"/>
      <w:pPr>
        <w:ind w:left="1740" w:hanging="360"/>
      </w:pPr>
      <w:rPr>
        <w:rFonts w:ascii="Symbol" w:hAnsi="Symbol"/>
      </w:rPr>
    </w:lvl>
    <w:lvl w:ilvl="6">
      <w:start w:val="1"/>
      <w:numFmt w:val="bullet"/>
      <w:lvlText w:val=""/>
      <w:lvlJc w:val="left"/>
      <w:pPr>
        <w:ind w:left="1740" w:hanging="360"/>
      </w:pPr>
      <w:rPr>
        <w:rFonts w:ascii="Symbol" w:hAnsi="Symbol"/>
      </w:rPr>
    </w:lvl>
    <w:lvl w:ilvl="7">
      <w:start w:val="1"/>
      <w:numFmt w:val="bullet"/>
      <w:lvlText w:val=""/>
      <w:lvlJc w:val="left"/>
      <w:pPr>
        <w:ind w:left="1740" w:hanging="360"/>
      </w:pPr>
      <w:rPr>
        <w:rFonts w:ascii="Symbol" w:hAnsi="Symbol"/>
      </w:rPr>
    </w:lvl>
    <w:lvl w:ilvl="8">
      <w:start w:val="1"/>
      <w:numFmt w:val="bullet"/>
      <w:lvlText w:val=""/>
      <w:lvlJc w:val="left"/>
      <w:pPr>
        <w:ind w:left="1740" w:hanging="360"/>
      </w:pPr>
      <w:rPr>
        <w:rFonts w:ascii="Symbol" w:hAnsi="Symbol"/>
      </w:rPr>
    </w:lvl>
  </w:abstractNum>
  <w:abstractNum w:abstractNumId="34">
    <w:nsid w:val="4E264B89"/>
    <w:multiLevelType w:val="hybridMultilevel"/>
    <w:tmpl w:val="305ED1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F1C3781"/>
    <w:multiLevelType w:val="hybridMultilevel"/>
    <w:tmpl w:val="FF761900"/>
    <w:lvl w:ilvl="0">
      <w:start w:val="1"/>
      <w:numFmt w:val="bullet"/>
      <w:lvlText w:val=""/>
      <w:lvlJc w:val="left"/>
      <w:pPr>
        <w:ind w:left="1740" w:hanging="360"/>
      </w:pPr>
      <w:rPr>
        <w:rFonts w:ascii="Symbol" w:hAnsi="Symbol"/>
      </w:rPr>
    </w:lvl>
    <w:lvl w:ilvl="1">
      <w:start w:val="1"/>
      <w:numFmt w:val="bullet"/>
      <w:lvlText w:val=""/>
      <w:lvlJc w:val="left"/>
      <w:pPr>
        <w:ind w:left="1740" w:hanging="360"/>
      </w:pPr>
      <w:rPr>
        <w:rFonts w:ascii="Symbol" w:hAnsi="Symbol"/>
      </w:rPr>
    </w:lvl>
    <w:lvl w:ilvl="2">
      <w:start w:val="1"/>
      <w:numFmt w:val="bullet"/>
      <w:lvlText w:val=""/>
      <w:lvlJc w:val="left"/>
      <w:pPr>
        <w:ind w:left="1740" w:hanging="360"/>
      </w:pPr>
      <w:rPr>
        <w:rFonts w:ascii="Symbol" w:hAnsi="Symbol"/>
      </w:rPr>
    </w:lvl>
    <w:lvl w:ilvl="3">
      <w:start w:val="1"/>
      <w:numFmt w:val="bullet"/>
      <w:lvlText w:val=""/>
      <w:lvlJc w:val="left"/>
      <w:pPr>
        <w:ind w:left="1740" w:hanging="360"/>
      </w:pPr>
      <w:rPr>
        <w:rFonts w:ascii="Symbol" w:hAnsi="Symbol"/>
      </w:rPr>
    </w:lvl>
    <w:lvl w:ilvl="4">
      <w:start w:val="1"/>
      <w:numFmt w:val="bullet"/>
      <w:lvlText w:val=""/>
      <w:lvlJc w:val="left"/>
      <w:pPr>
        <w:ind w:left="1740" w:hanging="360"/>
      </w:pPr>
      <w:rPr>
        <w:rFonts w:ascii="Symbol" w:hAnsi="Symbol"/>
      </w:rPr>
    </w:lvl>
    <w:lvl w:ilvl="5">
      <w:start w:val="1"/>
      <w:numFmt w:val="bullet"/>
      <w:lvlText w:val=""/>
      <w:lvlJc w:val="left"/>
      <w:pPr>
        <w:ind w:left="1740" w:hanging="360"/>
      </w:pPr>
      <w:rPr>
        <w:rFonts w:ascii="Symbol" w:hAnsi="Symbol"/>
      </w:rPr>
    </w:lvl>
    <w:lvl w:ilvl="6">
      <w:start w:val="1"/>
      <w:numFmt w:val="bullet"/>
      <w:lvlText w:val=""/>
      <w:lvlJc w:val="left"/>
      <w:pPr>
        <w:ind w:left="1740" w:hanging="360"/>
      </w:pPr>
      <w:rPr>
        <w:rFonts w:ascii="Symbol" w:hAnsi="Symbol"/>
      </w:rPr>
    </w:lvl>
    <w:lvl w:ilvl="7">
      <w:start w:val="1"/>
      <w:numFmt w:val="bullet"/>
      <w:lvlText w:val=""/>
      <w:lvlJc w:val="left"/>
      <w:pPr>
        <w:ind w:left="1740" w:hanging="360"/>
      </w:pPr>
      <w:rPr>
        <w:rFonts w:ascii="Symbol" w:hAnsi="Symbol"/>
      </w:rPr>
    </w:lvl>
    <w:lvl w:ilvl="8">
      <w:start w:val="1"/>
      <w:numFmt w:val="bullet"/>
      <w:lvlText w:val=""/>
      <w:lvlJc w:val="left"/>
      <w:pPr>
        <w:ind w:left="1740" w:hanging="360"/>
      </w:pPr>
      <w:rPr>
        <w:rFonts w:ascii="Symbol" w:hAnsi="Symbol"/>
      </w:rPr>
    </w:lvl>
  </w:abstractNum>
  <w:abstractNum w:abstractNumId="36">
    <w:nsid w:val="51434073"/>
    <w:multiLevelType w:val="hybridMultilevel"/>
    <w:tmpl w:val="447214EE"/>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37">
    <w:nsid w:val="52932174"/>
    <w:multiLevelType w:val="hybridMultilevel"/>
    <w:tmpl w:val="1A104E06"/>
    <w:lvl w:ilvl="0">
      <w:start w:val="1"/>
      <w:numFmt w:val="bullet"/>
      <w:lvlText w:val=""/>
      <w:lvlJc w:val="left"/>
      <w:pPr>
        <w:ind w:left="1795" w:hanging="360"/>
      </w:pPr>
      <w:rPr>
        <w:rFonts w:ascii="Symbol" w:hAnsi="Symbol" w:hint="default"/>
      </w:rPr>
    </w:lvl>
    <w:lvl w:ilvl="1">
      <w:start w:val="1"/>
      <w:numFmt w:val="bullet"/>
      <w:lvlText w:val="o"/>
      <w:lvlJc w:val="left"/>
      <w:pPr>
        <w:ind w:left="2515" w:hanging="360"/>
      </w:pPr>
      <w:rPr>
        <w:rFonts w:ascii="Courier New" w:hAnsi="Courier New" w:cs="Courier New" w:hint="default"/>
      </w:rPr>
    </w:lvl>
    <w:lvl w:ilvl="2" w:tentative="1">
      <w:start w:val="1"/>
      <w:numFmt w:val="bullet"/>
      <w:lvlText w:val=""/>
      <w:lvlJc w:val="left"/>
      <w:pPr>
        <w:ind w:left="3235" w:hanging="360"/>
      </w:pPr>
      <w:rPr>
        <w:rFonts w:ascii="Wingdings" w:hAnsi="Wingdings" w:hint="default"/>
      </w:rPr>
    </w:lvl>
    <w:lvl w:ilvl="3" w:tentative="1">
      <w:start w:val="1"/>
      <w:numFmt w:val="bullet"/>
      <w:lvlText w:val=""/>
      <w:lvlJc w:val="left"/>
      <w:pPr>
        <w:ind w:left="3955" w:hanging="360"/>
      </w:pPr>
      <w:rPr>
        <w:rFonts w:ascii="Symbol" w:hAnsi="Symbol" w:hint="default"/>
      </w:rPr>
    </w:lvl>
    <w:lvl w:ilvl="4" w:tentative="1">
      <w:start w:val="1"/>
      <w:numFmt w:val="bullet"/>
      <w:lvlText w:val="o"/>
      <w:lvlJc w:val="left"/>
      <w:pPr>
        <w:ind w:left="4675" w:hanging="360"/>
      </w:pPr>
      <w:rPr>
        <w:rFonts w:ascii="Courier New" w:hAnsi="Courier New" w:cs="Courier New" w:hint="default"/>
      </w:rPr>
    </w:lvl>
    <w:lvl w:ilvl="5" w:tentative="1">
      <w:start w:val="1"/>
      <w:numFmt w:val="bullet"/>
      <w:lvlText w:val=""/>
      <w:lvlJc w:val="left"/>
      <w:pPr>
        <w:ind w:left="5395" w:hanging="360"/>
      </w:pPr>
      <w:rPr>
        <w:rFonts w:ascii="Wingdings" w:hAnsi="Wingdings" w:hint="default"/>
      </w:rPr>
    </w:lvl>
    <w:lvl w:ilvl="6" w:tentative="1">
      <w:start w:val="1"/>
      <w:numFmt w:val="bullet"/>
      <w:lvlText w:val=""/>
      <w:lvlJc w:val="left"/>
      <w:pPr>
        <w:ind w:left="6115" w:hanging="360"/>
      </w:pPr>
      <w:rPr>
        <w:rFonts w:ascii="Symbol" w:hAnsi="Symbol" w:hint="default"/>
      </w:rPr>
    </w:lvl>
    <w:lvl w:ilvl="7" w:tentative="1">
      <w:start w:val="1"/>
      <w:numFmt w:val="bullet"/>
      <w:lvlText w:val="o"/>
      <w:lvlJc w:val="left"/>
      <w:pPr>
        <w:ind w:left="6835" w:hanging="360"/>
      </w:pPr>
      <w:rPr>
        <w:rFonts w:ascii="Courier New" w:hAnsi="Courier New" w:cs="Courier New" w:hint="default"/>
      </w:rPr>
    </w:lvl>
    <w:lvl w:ilvl="8" w:tentative="1">
      <w:start w:val="1"/>
      <w:numFmt w:val="bullet"/>
      <w:lvlText w:val=""/>
      <w:lvlJc w:val="left"/>
      <w:pPr>
        <w:ind w:left="7555" w:hanging="360"/>
      </w:pPr>
      <w:rPr>
        <w:rFonts w:ascii="Wingdings" w:hAnsi="Wingdings" w:hint="default"/>
      </w:rPr>
    </w:lvl>
  </w:abstractNum>
  <w:abstractNum w:abstractNumId="38">
    <w:nsid w:val="5973489C"/>
    <w:multiLevelType w:val="hybridMultilevel"/>
    <w:tmpl w:val="2F2C16EC"/>
    <w:lvl w:ilvl="0">
      <w:start w:val="11"/>
      <w:numFmt w:val="decimal"/>
      <w:lvlText w:val="%1."/>
      <w:lvlJc w:val="left"/>
      <w:pPr>
        <w:ind w:left="1125"/>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5C795531"/>
    <w:multiLevelType w:val="hybridMultilevel"/>
    <w:tmpl w:val="10CCE61E"/>
    <w:lvl w:ilvl="0">
      <w:start w:val="13"/>
      <w:numFmt w:val="decimal"/>
      <w:lvlText w:val="%1."/>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nsid w:val="5E1D38D1"/>
    <w:multiLevelType w:val="hybridMultilevel"/>
    <w:tmpl w:val="D39A3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4B962D3"/>
    <w:multiLevelType w:val="hybridMultilevel"/>
    <w:tmpl w:val="F698C3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69890BC9"/>
    <w:multiLevelType w:val="hybridMultilevel"/>
    <w:tmpl w:val="857AFC5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3">
    <w:nsid w:val="69CF6906"/>
    <w:multiLevelType w:val="hybridMultilevel"/>
    <w:tmpl w:val="C840CE9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44">
    <w:nsid w:val="69E961BB"/>
    <w:multiLevelType w:val="hybridMultilevel"/>
    <w:tmpl w:val="E3A4C52E"/>
    <w:lvl w:ilvl="0">
      <w:start w:val="1"/>
      <w:numFmt w:val="upperLetter"/>
      <w:pStyle w:val="Heading1"/>
      <w:lvlText w:val="%1."/>
      <w:lvlJc w:val="left"/>
      <w:pPr>
        <w:ind w:left="600" w:hanging="60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AFE6B13"/>
    <w:multiLevelType w:val="multilevel"/>
    <w:tmpl w:val="355C6C46"/>
    <w:lvl w:ilvl="0">
      <w:start w:val="1"/>
      <w:numFmt w:val="lowerLetter"/>
      <w:lvlText w:val="%1."/>
      <w:lvlJc w:val="left"/>
      <w:pPr>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nsid w:val="6C6F23BA"/>
    <w:multiLevelType w:val="hybridMultilevel"/>
    <w:tmpl w:val="BF92CA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7">
    <w:nsid w:val="6D91276C"/>
    <w:multiLevelType w:val="hybridMultilevel"/>
    <w:tmpl w:val="4D842A2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8">
    <w:nsid w:val="6EA86F57"/>
    <w:multiLevelType w:val="hybridMultilevel"/>
    <w:tmpl w:val="3766C2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6FFE3393"/>
    <w:multiLevelType w:val="hybridMultilevel"/>
    <w:tmpl w:val="E932E73C"/>
    <w:lvl w:ilvl="0">
      <w:start w:val="9"/>
      <w:numFmt w:val="decimal"/>
      <w:lvlText w:val="%1."/>
      <w:lvlJc w:val="left"/>
      <w:pPr>
        <w:ind w:left="1065"/>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nsid w:val="70511408"/>
    <w:multiLevelType w:val="hybridMultilevel"/>
    <w:tmpl w:val="61D8019E"/>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nsid w:val="735E36EA"/>
    <w:multiLevelType w:val="hybridMultilevel"/>
    <w:tmpl w:val="C7FCAB8E"/>
    <w:lvl w:ilvl="0">
      <w:start w:val="1"/>
      <w:numFmt w:val="bullet"/>
      <w:lvlText w:val=""/>
      <w:lvlJc w:val="left"/>
      <w:pPr>
        <w:ind w:left="70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nsid w:val="77595896"/>
    <w:multiLevelType w:val="hybridMultilevel"/>
    <w:tmpl w:val="FD2AD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81F7D78"/>
    <w:multiLevelType w:val="hybridMultilevel"/>
    <w:tmpl w:val="68804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AC5196E"/>
    <w:multiLevelType w:val="hybridMultilevel"/>
    <w:tmpl w:val="6218C600"/>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8063869">
    <w:abstractNumId w:val="7"/>
  </w:num>
  <w:num w:numId="2" w16cid:durableId="571282847">
    <w:abstractNumId w:val="50"/>
  </w:num>
  <w:num w:numId="3" w16cid:durableId="716778734">
    <w:abstractNumId w:val="49"/>
  </w:num>
  <w:num w:numId="4" w16cid:durableId="1573082833">
    <w:abstractNumId w:val="38"/>
  </w:num>
  <w:num w:numId="5" w16cid:durableId="299774036">
    <w:abstractNumId w:val="39"/>
  </w:num>
  <w:num w:numId="6" w16cid:durableId="277689035">
    <w:abstractNumId w:val="11"/>
  </w:num>
  <w:num w:numId="7" w16cid:durableId="2096049801">
    <w:abstractNumId w:val="31"/>
  </w:num>
  <w:num w:numId="8" w16cid:durableId="1809012388">
    <w:abstractNumId w:val="36"/>
  </w:num>
  <w:num w:numId="9" w16cid:durableId="158077978">
    <w:abstractNumId w:val="21"/>
  </w:num>
  <w:num w:numId="10" w16cid:durableId="1073746299">
    <w:abstractNumId w:val="51"/>
  </w:num>
  <w:num w:numId="11" w16cid:durableId="1458379598">
    <w:abstractNumId w:val="48"/>
  </w:num>
  <w:num w:numId="12" w16cid:durableId="1711149338">
    <w:abstractNumId w:val="8"/>
  </w:num>
  <w:num w:numId="13" w16cid:durableId="305939712">
    <w:abstractNumId w:val="40"/>
  </w:num>
  <w:num w:numId="14" w16cid:durableId="198471325">
    <w:abstractNumId w:val="52"/>
  </w:num>
  <w:num w:numId="15" w16cid:durableId="1316372950">
    <w:abstractNumId w:val="19"/>
  </w:num>
  <w:num w:numId="16" w16cid:durableId="1122114017">
    <w:abstractNumId w:val="53"/>
  </w:num>
  <w:num w:numId="17" w16cid:durableId="508449512">
    <w:abstractNumId w:val="41"/>
  </w:num>
  <w:num w:numId="18" w16cid:durableId="333076747">
    <w:abstractNumId w:val="34"/>
  </w:num>
  <w:num w:numId="19" w16cid:durableId="512495333">
    <w:abstractNumId w:val="29"/>
  </w:num>
  <w:num w:numId="20" w16cid:durableId="1397239575">
    <w:abstractNumId w:val="44"/>
  </w:num>
  <w:num w:numId="21" w16cid:durableId="1165782245">
    <w:abstractNumId w:val="3"/>
  </w:num>
  <w:num w:numId="22" w16cid:durableId="1546065446">
    <w:abstractNumId w:val="45"/>
  </w:num>
  <w:num w:numId="23" w16cid:durableId="1932926486">
    <w:abstractNumId w:val="9"/>
  </w:num>
  <w:num w:numId="24" w16cid:durableId="1386636998">
    <w:abstractNumId w:val="10"/>
  </w:num>
  <w:num w:numId="25" w16cid:durableId="2129858400">
    <w:abstractNumId w:val="17"/>
  </w:num>
  <w:num w:numId="26" w16cid:durableId="1599286455">
    <w:abstractNumId w:val="16"/>
  </w:num>
  <w:num w:numId="27" w16cid:durableId="1294484582">
    <w:abstractNumId w:val="37"/>
  </w:num>
  <w:num w:numId="28" w16cid:durableId="533150305">
    <w:abstractNumId w:val="2"/>
  </w:num>
  <w:num w:numId="29" w16cid:durableId="356543215">
    <w:abstractNumId w:val="25"/>
  </w:num>
  <w:num w:numId="30" w16cid:durableId="1200430416">
    <w:abstractNumId w:val="30"/>
  </w:num>
  <w:num w:numId="31" w16cid:durableId="1970502872">
    <w:abstractNumId w:val="54"/>
  </w:num>
  <w:num w:numId="32" w16cid:durableId="1313868692">
    <w:abstractNumId w:val="12"/>
  </w:num>
  <w:num w:numId="33" w16cid:durableId="92358740">
    <w:abstractNumId w:val="6"/>
  </w:num>
  <w:num w:numId="34" w16cid:durableId="1324238153">
    <w:abstractNumId w:val="43"/>
  </w:num>
  <w:num w:numId="35" w16cid:durableId="2026973682">
    <w:abstractNumId w:val="35"/>
  </w:num>
  <w:num w:numId="36" w16cid:durableId="1575503667">
    <w:abstractNumId w:val="13"/>
  </w:num>
  <w:num w:numId="37" w16cid:durableId="1080374079">
    <w:abstractNumId w:val="42"/>
  </w:num>
  <w:num w:numId="38" w16cid:durableId="2101677655">
    <w:abstractNumId w:val="20"/>
  </w:num>
  <w:num w:numId="39" w16cid:durableId="1367172328">
    <w:abstractNumId w:val="33"/>
  </w:num>
  <w:num w:numId="40" w16cid:durableId="1673265396">
    <w:abstractNumId w:val="15"/>
  </w:num>
  <w:num w:numId="41" w16cid:durableId="580649005">
    <w:abstractNumId w:val="14"/>
  </w:num>
  <w:num w:numId="42" w16cid:durableId="1605456105">
    <w:abstractNumId w:val="5"/>
  </w:num>
  <w:num w:numId="43" w16cid:durableId="1393000171">
    <w:abstractNumId w:val="0"/>
  </w:num>
  <w:num w:numId="44" w16cid:durableId="728378796">
    <w:abstractNumId w:val="24"/>
  </w:num>
  <w:num w:numId="45" w16cid:durableId="2015985249">
    <w:abstractNumId w:val="47"/>
  </w:num>
  <w:num w:numId="46" w16cid:durableId="1492987582">
    <w:abstractNumId w:val="22"/>
  </w:num>
  <w:num w:numId="47" w16cid:durableId="1444956985">
    <w:abstractNumId w:val="28"/>
  </w:num>
  <w:num w:numId="48" w16cid:durableId="1756706000">
    <w:abstractNumId w:val="18"/>
  </w:num>
  <w:num w:numId="49" w16cid:durableId="125318080">
    <w:abstractNumId w:val="27"/>
  </w:num>
  <w:num w:numId="50" w16cid:durableId="1286041388">
    <w:abstractNumId w:val="23"/>
  </w:num>
  <w:num w:numId="51" w16cid:durableId="2019961507">
    <w:abstractNumId w:val="32"/>
  </w:num>
  <w:num w:numId="52" w16cid:durableId="289239518">
    <w:abstractNumId w:val="4"/>
  </w:num>
  <w:num w:numId="53" w16cid:durableId="935599930">
    <w:abstractNumId w:val="46"/>
  </w:num>
  <w:num w:numId="54" w16cid:durableId="127626639">
    <w:abstractNumId w:val="26"/>
  </w:num>
  <w:num w:numId="55" w16cid:durableId="87622925">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E5"/>
    <w:rsid w:val="000026E3"/>
    <w:rsid w:val="0000407F"/>
    <w:rsid w:val="00004498"/>
    <w:rsid w:val="0000485D"/>
    <w:rsid w:val="00005846"/>
    <w:rsid w:val="00006986"/>
    <w:rsid w:val="00006D88"/>
    <w:rsid w:val="000071BF"/>
    <w:rsid w:val="000113AF"/>
    <w:rsid w:val="0001209D"/>
    <w:rsid w:val="00013B0C"/>
    <w:rsid w:val="00015505"/>
    <w:rsid w:val="00021469"/>
    <w:rsid w:val="00023009"/>
    <w:rsid w:val="0002636F"/>
    <w:rsid w:val="000340AB"/>
    <w:rsid w:val="000341DB"/>
    <w:rsid w:val="00034738"/>
    <w:rsid w:val="00034DED"/>
    <w:rsid w:val="000366B4"/>
    <w:rsid w:val="00040251"/>
    <w:rsid w:val="00040BC6"/>
    <w:rsid w:val="00040C19"/>
    <w:rsid w:val="000452A0"/>
    <w:rsid w:val="00045577"/>
    <w:rsid w:val="00051252"/>
    <w:rsid w:val="000551DF"/>
    <w:rsid w:val="0005700F"/>
    <w:rsid w:val="000657E2"/>
    <w:rsid w:val="00066E1D"/>
    <w:rsid w:val="00067D64"/>
    <w:rsid w:val="00073800"/>
    <w:rsid w:val="00076A6D"/>
    <w:rsid w:val="000779F9"/>
    <w:rsid w:val="00080EFB"/>
    <w:rsid w:val="00082D6D"/>
    <w:rsid w:val="00083825"/>
    <w:rsid w:val="000849B7"/>
    <w:rsid w:val="00084F2C"/>
    <w:rsid w:val="00087934"/>
    <w:rsid w:val="00090CCA"/>
    <w:rsid w:val="000920E8"/>
    <w:rsid w:val="00092B6B"/>
    <w:rsid w:val="00093A19"/>
    <w:rsid w:val="000A1788"/>
    <w:rsid w:val="000A32B0"/>
    <w:rsid w:val="000A3F3F"/>
    <w:rsid w:val="000A5726"/>
    <w:rsid w:val="000A5961"/>
    <w:rsid w:val="000A64F6"/>
    <w:rsid w:val="000A6BF7"/>
    <w:rsid w:val="000B0882"/>
    <w:rsid w:val="000B11DA"/>
    <w:rsid w:val="000B1664"/>
    <w:rsid w:val="000B1EDE"/>
    <w:rsid w:val="000B30F6"/>
    <w:rsid w:val="000B3DCE"/>
    <w:rsid w:val="000B6512"/>
    <w:rsid w:val="000B77BE"/>
    <w:rsid w:val="000C1956"/>
    <w:rsid w:val="000C2110"/>
    <w:rsid w:val="000C42C5"/>
    <w:rsid w:val="000C4690"/>
    <w:rsid w:val="000C48F4"/>
    <w:rsid w:val="000D4434"/>
    <w:rsid w:val="000D4BCD"/>
    <w:rsid w:val="000D6C3E"/>
    <w:rsid w:val="000D72AB"/>
    <w:rsid w:val="000E0286"/>
    <w:rsid w:val="000E4709"/>
    <w:rsid w:val="000E498C"/>
    <w:rsid w:val="000E600C"/>
    <w:rsid w:val="000E6B06"/>
    <w:rsid w:val="000F098B"/>
    <w:rsid w:val="000F1274"/>
    <w:rsid w:val="000F2459"/>
    <w:rsid w:val="000F2E3E"/>
    <w:rsid w:val="000F32E3"/>
    <w:rsid w:val="000F457A"/>
    <w:rsid w:val="000F6459"/>
    <w:rsid w:val="000F7A46"/>
    <w:rsid w:val="000F7CC7"/>
    <w:rsid w:val="001005A9"/>
    <w:rsid w:val="00100670"/>
    <w:rsid w:val="00101100"/>
    <w:rsid w:val="00101AC6"/>
    <w:rsid w:val="00102AA3"/>
    <w:rsid w:val="00103340"/>
    <w:rsid w:val="0010335E"/>
    <w:rsid w:val="00103C56"/>
    <w:rsid w:val="001044FF"/>
    <w:rsid w:val="00105F16"/>
    <w:rsid w:val="00105F43"/>
    <w:rsid w:val="00110388"/>
    <w:rsid w:val="001125F3"/>
    <w:rsid w:val="00120413"/>
    <w:rsid w:val="001214E5"/>
    <w:rsid w:val="001260C0"/>
    <w:rsid w:val="001325B2"/>
    <w:rsid w:val="00132712"/>
    <w:rsid w:val="00133109"/>
    <w:rsid w:val="00136AE2"/>
    <w:rsid w:val="00141C9B"/>
    <w:rsid w:val="001439E1"/>
    <w:rsid w:val="00145C2C"/>
    <w:rsid w:val="0014760C"/>
    <w:rsid w:val="0015242E"/>
    <w:rsid w:val="00153740"/>
    <w:rsid w:val="00155CB7"/>
    <w:rsid w:val="00155E20"/>
    <w:rsid w:val="00156C4F"/>
    <w:rsid w:val="00160168"/>
    <w:rsid w:val="001619D1"/>
    <w:rsid w:val="00161CE8"/>
    <w:rsid w:val="00161F7E"/>
    <w:rsid w:val="0017127C"/>
    <w:rsid w:val="00176998"/>
    <w:rsid w:val="00180C1B"/>
    <w:rsid w:val="00183277"/>
    <w:rsid w:val="001833BA"/>
    <w:rsid w:val="001839FF"/>
    <w:rsid w:val="00190C40"/>
    <w:rsid w:val="00191E06"/>
    <w:rsid w:val="001920C3"/>
    <w:rsid w:val="00197E30"/>
    <w:rsid w:val="001A07F3"/>
    <w:rsid w:val="001A2FAA"/>
    <w:rsid w:val="001A5150"/>
    <w:rsid w:val="001A5986"/>
    <w:rsid w:val="001A5BE1"/>
    <w:rsid w:val="001B21F4"/>
    <w:rsid w:val="001B234E"/>
    <w:rsid w:val="001B3750"/>
    <w:rsid w:val="001B573B"/>
    <w:rsid w:val="001B644B"/>
    <w:rsid w:val="001B7002"/>
    <w:rsid w:val="001B7218"/>
    <w:rsid w:val="001C0AB4"/>
    <w:rsid w:val="001C0BDB"/>
    <w:rsid w:val="001C0E61"/>
    <w:rsid w:val="001C33FA"/>
    <w:rsid w:val="001C4BD5"/>
    <w:rsid w:val="001C5682"/>
    <w:rsid w:val="001D3E7D"/>
    <w:rsid w:val="001D41FC"/>
    <w:rsid w:val="001D4856"/>
    <w:rsid w:val="001D66DB"/>
    <w:rsid w:val="001E1DC6"/>
    <w:rsid w:val="001E323E"/>
    <w:rsid w:val="001E337F"/>
    <w:rsid w:val="001E4B87"/>
    <w:rsid w:val="001E4CF8"/>
    <w:rsid w:val="001F4F97"/>
    <w:rsid w:val="00201153"/>
    <w:rsid w:val="00205855"/>
    <w:rsid w:val="002066B4"/>
    <w:rsid w:val="00210266"/>
    <w:rsid w:val="00210AB9"/>
    <w:rsid w:val="002118B4"/>
    <w:rsid w:val="0021508D"/>
    <w:rsid w:val="002171D5"/>
    <w:rsid w:val="00217F08"/>
    <w:rsid w:val="00220D8E"/>
    <w:rsid w:val="002215B5"/>
    <w:rsid w:val="00221670"/>
    <w:rsid w:val="00222F26"/>
    <w:rsid w:val="002259B7"/>
    <w:rsid w:val="00227681"/>
    <w:rsid w:val="00231321"/>
    <w:rsid w:val="0023253E"/>
    <w:rsid w:val="0023443F"/>
    <w:rsid w:val="00236141"/>
    <w:rsid w:val="00236AF0"/>
    <w:rsid w:val="00237E57"/>
    <w:rsid w:val="002427A7"/>
    <w:rsid w:val="00244033"/>
    <w:rsid w:val="00244594"/>
    <w:rsid w:val="00245F39"/>
    <w:rsid w:val="002528ED"/>
    <w:rsid w:val="00252A71"/>
    <w:rsid w:val="00253CBC"/>
    <w:rsid w:val="002557F8"/>
    <w:rsid w:val="00255C4E"/>
    <w:rsid w:val="00260A4B"/>
    <w:rsid w:val="00261AF2"/>
    <w:rsid w:val="00262300"/>
    <w:rsid w:val="002640E7"/>
    <w:rsid w:val="00264D1A"/>
    <w:rsid w:val="0027046D"/>
    <w:rsid w:val="00270511"/>
    <w:rsid w:val="00275C0E"/>
    <w:rsid w:val="00276465"/>
    <w:rsid w:val="00281924"/>
    <w:rsid w:val="00282541"/>
    <w:rsid w:val="00283DC7"/>
    <w:rsid w:val="002863B1"/>
    <w:rsid w:val="00286F21"/>
    <w:rsid w:val="00287CED"/>
    <w:rsid w:val="00292763"/>
    <w:rsid w:val="00294CDF"/>
    <w:rsid w:val="002977E9"/>
    <w:rsid w:val="002A073C"/>
    <w:rsid w:val="002A0FA3"/>
    <w:rsid w:val="002A2394"/>
    <w:rsid w:val="002A2DAB"/>
    <w:rsid w:val="002A6733"/>
    <w:rsid w:val="002A7A0D"/>
    <w:rsid w:val="002B2437"/>
    <w:rsid w:val="002B2AF9"/>
    <w:rsid w:val="002B516E"/>
    <w:rsid w:val="002B5C52"/>
    <w:rsid w:val="002C04F5"/>
    <w:rsid w:val="002C0BE1"/>
    <w:rsid w:val="002C46A0"/>
    <w:rsid w:val="002C50CD"/>
    <w:rsid w:val="002C57AA"/>
    <w:rsid w:val="002C7D50"/>
    <w:rsid w:val="002C7E89"/>
    <w:rsid w:val="002D026D"/>
    <w:rsid w:val="002D2D37"/>
    <w:rsid w:val="002D2F83"/>
    <w:rsid w:val="002D41B2"/>
    <w:rsid w:val="002D5F4E"/>
    <w:rsid w:val="002D61A8"/>
    <w:rsid w:val="002D6B6B"/>
    <w:rsid w:val="002D6C25"/>
    <w:rsid w:val="002D73B7"/>
    <w:rsid w:val="002E031E"/>
    <w:rsid w:val="002E2249"/>
    <w:rsid w:val="002E24DC"/>
    <w:rsid w:val="002E7BFE"/>
    <w:rsid w:val="002F0071"/>
    <w:rsid w:val="002F0AB0"/>
    <w:rsid w:val="002F11D4"/>
    <w:rsid w:val="002F1B73"/>
    <w:rsid w:val="002F1F86"/>
    <w:rsid w:val="002F1F9E"/>
    <w:rsid w:val="002F20EE"/>
    <w:rsid w:val="002F281D"/>
    <w:rsid w:val="002F5685"/>
    <w:rsid w:val="002F5F93"/>
    <w:rsid w:val="002F66D4"/>
    <w:rsid w:val="002F6762"/>
    <w:rsid w:val="002F7346"/>
    <w:rsid w:val="003010B8"/>
    <w:rsid w:val="00301F65"/>
    <w:rsid w:val="00302438"/>
    <w:rsid w:val="003030F0"/>
    <w:rsid w:val="00305D57"/>
    <w:rsid w:val="00306966"/>
    <w:rsid w:val="0031095D"/>
    <w:rsid w:val="00311818"/>
    <w:rsid w:val="00312822"/>
    <w:rsid w:val="00314F21"/>
    <w:rsid w:val="003151B5"/>
    <w:rsid w:val="00316DAA"/>
    <w:rsid w:val="003176A6"/>
    <w:rsid w:val="003176D9"/>
    <w:rsid w:val="00317DAD"/>
    <w:rsid w:val="0032107A"/>
    <w:rsid w:val="00321382"/>
    <w:rsid w:val="00322313"/>
    <w:rsid w:val="00322EC9"/>
    <w:rsid w:val="003236B6"/>
    <w:rsid w:val="003240F9"/>
    <w:rsid w:val="0032463F"/>
    <w:rsid w:val="0032562B"/>
    <w:rsid w:val="0033009B"/>
    <w:rsid w:val="00332B4F"/>
    <w:rsid w:val="00333492"/>
    <w:rsid w:val="003336E7"/>
    <w:rsid w:val="00336E80"/>
    <w:rsid w:val="0034046C"/>
    <w:rsid w:val="00342099"/>
    <w:rsid w:val="00345DA6"/>
    <w:rsid w:val="0035022F"/>
    <w:rsid w:val="003519B0"/>
    <w:rsid w:val="00352690"/>
    <w:rsid w:val="00353646"/>
    <w:rsid w:val="00354368"/>
    <w:rsid w:val="00354FC1"/>
    <w:rsid w:val="0035677D"/>
    <w:rsid w:val="00356B25"/>
    <w:rsid w:val="00360936"/>
    <w:rsid w:val="00374081"/>
    <w:rsid w:val="00374666"/>
    <w:rsid w:val="00377478"/>
    <w:rsid w:val="00381118"/>
    <w:rsid w:val="00381927"/>
    <w:rsid w:val="00382E40"/>
    <w:rsid w:val="00384A9D"/>
    <w:rsid w:val="00385EF1"/>
    <w:rsid w:val="00390F2D"/>
    <w:rsid w:val="00391E16"/>
    <w:rsid w:val="00392B66"/>
    <w:rsid w:val="00393A47"/>
    <w:rsid w:val="00394548"/>
    <w:rsid w:val="003976C3"/>
    <w:rsid w:val="003A06BA"/>
    <w:rsid w:val="003A1EE6"/>
    <w:rsid w:val="003A262A"/>
    <w:rsid w:val="003A539E"/>
    <w:rsid w:val="003B152A"/>
    <w:rsid w:val="003B2E86"/>
    <w:rsid w:val="003B4416"/>
    <w:rsid w:val="003B453F"/>
    <w:rsid w:val="003B4CEA"/>
    <w:rsid w:val="003B58BE"/>
    <w:rsid w:val="003B6437"/>
    <w:rsid w:val="003B686C"/>
    <w:rsid w:val="003B6BC3"/>
    <w:rsid w:val="003C0595"/>
    <w:rsid w:val="003C2BCF"/>
    <w:rsid w:val="003C5A14"/>
    <w:rsid w:val="003C64C3"/>
    <w:rsid w:val="003C6AEA"/>
    <w:rsid w:val="003C6F8D"/>
    <w:rsid w:val="003D015B"/>
    <w:rsid w:val="003D23B1"/>
    <w:rsid w:val="003D4907"/>
    <w:rsid w:val="003E0109"/>
    <w:rsid w:val="003E3DE6"/>
    <w:rsid w:val="003E5DCC"/>
    <w:rsid w:val="003F079A"/>
    <w:rsid w:val="003F3016"/>
    <w:rsid w:val="003F4269"/>
    <w:rsid w:val="003F43CA"/>
    <w:rsid w:val="003F5F89"/>
    <w:rsid w:val="003F6C87"/>
    <w:rsid w:val="003F774A"/>
    <w:rsid w:val="003F7CCF"/>
    <w:rsid w:val="004005C3"/>
    <w:rsid w:val="00401B9F"/>
    <w:rsid w:val="004037F5"/>
    <w:rsid w:val="004043C9"/>
    <w:rsid w:val="00405264"/>
    <w:rsid w:val="00405F42"/>
    <w:rsid w:val="0041115D"/>
    <w:rsid w:val="00411FA1"/>
    <w:rsid w:val="00413B83"/>
    <w:rsid w:val="004145EE"/>
    <w:rsid w:val="00415FDB"/>
    <w:rsid w:val="004176A3"/>
    <w:rsid w:val="00421DA6"/>
    <w:rsid w:val="00421F0D"/>
    <w:rsid w:val="00425DEC"/>
    <w:rsid w:val="00427269"/>
    <w:rsid w:val="00431F3E"/>
    <w:rsid w:val="00432B07"/>
    <w:rsid w:val="004340FD"/>
    <w:rsid w:val="00434485"/>
    <w:rsid w:val="00434D5F"/>
    <w:rsid w:val="00441347"/>
    <w:rsid w:val="004428A8"/>
    <w:rsid w:val="00445F5A"/>
    <w:rsid w:val="00446A07"/>
    <w:rsid w:val="00446C7C"/>
    <w:rsid w:val="00452AFE"/>
    <w:rsid w:val="00453428"/>
    <w:rsid w:val="004536EC"/>
    <w:rsid w:val="00455216"/>
    <w:rsid w:val="00456E45"/>
    <w:rsid w:val="00456EE1"/>
    <w:rsid w:val="00457CEA"/>
    <w:rsid w:val="0046044C"/>
    <w:rsid w:val="0046101A"/>
    <w:rsid w:val="00461AED"/>
    <w:rsid w:val="004636AF"/>
    <w:rsid w:val="004657C2"/>
    <w:rsid w:val="00466494"/>
    <w:rsid w:val="00467BD0"/>
    <w:rsid w:val="00467D69"/>
    <w:rsid w:val="00471878"/>
    <w:rsid w:val="00471FCC"/>
    <w:rsid w:val="004720D6"/>
    <w:rsid w:val="00472847"/>
    <w:rsid w:val="004746CA"/>
    <w:rsid w:val="00477CF3"/>
    <w:rsid w:val="00483EFC"/>
    <w:rsid w:val="00485D0F"/>
    <w:rsid w:val="00486C73"/>
    <w:rsid w:val="00486D70"/>
    <w:rsid w:val="00490720"/>
    <w:rsid w:val="0049088C"/>
    <w:rsid w:val="00492C2E"/>
    <w:rsid w:val="00492EE0"/>
    <w:rsid w:val="00493DC3"/>
    <w:rsid w:val="00494783"/>
    <w:rsid w:val="00494D95"/>
    <w:rsid w:val="004A204E"/>
    <w:rsid w:val="004A7201"/>
    <w:rsid w:val="004B096C"/>
    <w:rsid w:val="004B3349"/>
    <w:rsid w:val="004B37A1"/>
    <w:rsid w:val="004B3B4B"/>
    <w:rsid w:val="004B5872"/>
    <w:rsid w:val="004B7F30"/>
    <w:rsid w:val="004C5DB8"/>
    <w:rsid w:val="004D1BFC"/>
    <w:rsid w:val="004D48CC"/>
    <w:rsid w:val="004E37F8"/>
    <w:rsid w:val="004E48E5"/>
    <w:rsid w:val="004E687D"/>
    <w:rsid w:val="004E7CC0"/>
    <w:rsid w:val="004F43AD"/>
    <w:rsid w:val="004F4B25"/>
    <w:rsid w:val="004F4C93"/>
    <w:rsid w:val="004F5612"/>
    <w:rsid w:val="004F58A9"/>
    <w:rsid w:val="004F5970"/>
    <w:rsid w:val="004F5EDC"/>
    <w:rsid w:val="004F6455"/>
    <w:rsid w:val="004F6713"/>
    <w:rsid w:val="00500ACE"/>
    <w:rsid w:val="005027DF"/>
    <w:rsid w:val="00503BAB"/>
    <w:rsid w:val="00504C48"/>
    <w:rsid w:val="00505D74"/>
    <w:rsid w:val="0050616C"/>
    <w:rsid w:val="005063A5"/>
    <w:rsid w:val="005063F1"/>
    <w:rsid w:val="00510E00"/>
    <w:rsid w:val="00511244"/>
    <w:rsid w:val="00514475"/>
    <w:rsid w:val="0051565D"/>
    <w:rsid w:val="00515C46"/>
    <w:rsid w:val="005174FE"/>
    <w:rsid w:val="00523C71"/>
    <w:rsid w:val="005242F7"/>
    <w:rsid w:val="00527F45"/>
    <w:rsid w:val="00533367"/>
    <w:rsid w:val="00536C9A"/>
    <w:rsid w:val="0054021F"/>
    <w:rsid w:val="00540B56"/>
    <w:rsid w:val="00546484"/>
    <w:rsid w:val="0054708D"/>
    <w:rsid w:val="0055039D"/>
    <w:rsid w:val="00551DDA"/>
    <w:rsid w:val="00552469"/>
    <w:rsid w:val="00553F9A"/>
    <w:rsid w:val="005556C4"/>
    <w:rsid w:val="00556A27"/>
    <w:rsid w:val="00561F58"/>
    <w:rsid w:val="00567338"/>
    <w:rsid w:val="0056748D"/>
    <w:rsid w:val="00572540"/>
    <w:rsid w:val="0057458D"/>
    <w:rsid w:val="00575BE7"/>
    <w:rsid w:val="00582148"/>
    <w:rsid w:val="00582EE2"/>
    <w:rsid w:val="00584E26"/>
    <w:rsid w:val="00587EFE"/>
    <w:rsid w:val="005918B8"/>
    <w:rsid w:val="005939A9"/>
    <w:rsid w:val="0059494A"/>
    <w:rsid w:val="005A0B87"/>
    <w:rsid w:val="005A1379"/>
    <w:rsid w:val="005A5FAC"/>
    <w:rsid w:val="005A76A9"/>
    <w:rsid w:val="005A76C7"/>
    <w:rsid w:val="005A7F3F"/>
    <w:rsid w:val="005B4BF3"/>
    <w:rsid w:val="005B6C33"/>
    <w:rsid w:val="005C12AC"/>
    <w:rsid w:val="005C1DE8"/>
    <w:rsid w:val="005C2A69"/>
    <w:rsid w:val="005C3B86"/>
    <w:rsid w:val="005D1883"/>
    <w:rsid w:val="005D4824"/>
    <w:rsid w:val="005D6346"/>
    <w:rsid w:val="005D6639"/>
    <w:rsid w:val="005D7625"/>
    <w:rsid w:val="005E1765"/>
    <w:rsid w:val="005E1D92"/>
    <w:rsid w:val="005E613E"/>
    <w:rsid w:val="005E6DFA"/>
    <w:rsid w:val="005E7259"/>
    <w:rsid w:val="005E7358"/>
    <w:rsid w:val="005F0854"/>
    <w:rsid w:val="005F2500"/>
    <w:rsid w:val="005F26A2"/>
    <w:rsid w:val="005F383C"/>
    <w:rsid w:val="005F4C95"/>
    <w:rsid w:val="005F4F43"/>
    <w:rsid w:val="005F575B"/>
    <w:rsid w:val="00601DB3"/>
    <w:rsid w:val="00603483"/>
    <w:rsid w:val="00605829"/>
    <w:rsid w:val="0061010A"/>
    <w:rsid w:val="00613272"/>
    <w:rsid w:val="0061343A"/>
    <w:rsid w:val="00621890"/>
    <w:rsid w:val="00624019"/>
    <w:rsid w:val="00624EF4"/>
    <w:rsid w:val="00626E51"/>
    <w:rsid w:val="006274D2"/>
    <w:rsid w:val="00627FFD"/>
    <w:rsid w:val="006318EF"/>
    <w:rsid w:val="00632A9A"/>
    <w:rsid w:val="006333E8"/>
    <w:rsid w:val="0063411F"/>
    <w:rsid w:val="006344F5"/>
    <w:rsid w:val="00636BC1"/>
    <w:rsid w:val="00640B99"/>
    <w:rsid w:val="00645355"/>
    <w:rsid w:val="006512D9"/>
    <w:rsid w:val="006548EE"/>
    <w:rsid w:val="00654CFD"/>
    <w:rsid w:val="00657FD2"/>
    <w:rsid w:val="0066003C"/>
    <w:rsid w:val="00660A92"/>
    <w:rsid w:val="00661AF2"/>
    <w:rsid w:val="00675C65"/>
    <w:rsid w:val="00676440"/>
    <w:rsid w:val="00680B73"/>
    <w:rsid w:val="00680D76"/>
    <w:rsid w:val="00681CEC"/>
    <w:rsid w:val="006842FC"/>
    <w:rsid w:val="00690775"/>
    <w:rsid w:val="00691AA9"/>
    <w:rsid w:val="00691B18"/>
    <w:rsid w:val="00692337"/>
    <w:rsid w:val="00693E5A"/>
    <w:rsid w:val="0069651F"/>
    <w:rsid w:val="006979B9"/>
    <w:rsid w:val="006A0ECA"/>
    <w:rsid w:val="006A121D"/>
    <w:rsid w:val="006A14FA"/>
    <w:rsid w:val="006A1706"/>
    <w:rsid w:val="006A2D52"/>
    <w:rsid w:val="006A3BB3"/>
    <w:rsid w:val="006A5502"/>
    <w:rsid w:val="006A6D9E"/>
    <w:rsid w:val="006A7918"/>
    <w:rsid w:val="006A7D86"/>
    <w:rsid w:val="006B0427"/>
    <w:rsid w:val="006B1BFC"/>
    <w:rsid w:val="006B5181"/>
    <w:rsid w:val="006B626D"/>
    <w:rsid w:val="006B6C86"/>
    <w:rsid w:val="006C0D45"/>
    <w:rsid w:val="006C17A3"/>
    <w:rsid w:val="006C368F"/>
    <w:rsid w:val="006C513D"/>
    <w:rsid w:val="006C7702"/>
    <w:rsid w:val="006D29F0"/>
    <w:rsid w:val="006D48EA"/>
    <w:rsid w:val="006D4EAE"/>
    <w:rsid w:val="006D676C"/>
    <w:rsid w:val="006E351B"/>
    <w:rsid w:val="006E35E0"/>
    <w:rsid w:val="006E3B09"/>
    <w:rsid w:val="006E665F"/>
    <w:rsid w:val="006E6974"/>
    <w:rsid w:val="006E6C2F"/>
    <w:rsid w:val="006E797A"/>
    <w:rsid w:val="006F16FE"/>
    <w:rsid w:val="006F4FA7"/>
    <w:rsid w:val="006F7A9C"/>
    <w:rsid w:val="00700757"/>
    <w:rsid w:val="00700CD6"/>
    <w:rsid w:val="00717C88"/>
    <w:rsid w:val="00724190"/>
    <w:rsid w:val="00726121"/>
    <w:rsid w:val="00726274"/>
    <w:rsid w:val="00726AE9"/>
    <w:rsid w:val="007302CE"/>
    <w:rsid w:val="0073114C"/>
    <w:rsid w:val="00731D41"/>
    <w:rsid w:val="00734EED"/>
    <w:rsid w:val="0073772F"/>
    <w:rsid w:val="00741B89"/>
    <w:rsid w:val="007420E9"/>
    <w:rsid w:val="00742F95"/>
    <w:rsid w:val="00743F01"/>
    <w:rsid w:val="007446D2"/>
    <w:rsid w:val="007472E3"/>
    <w:rsid w:val="007515AD"/>
    <w:rsid w:val="00751765"/>
    <w:rsid w:val="00751DB0"/>
    <w:rsid w:val="0075209B"/>
    <w:rsid w:val="007537A3"/>
    <w:rsid w:val="007543CD"/>
    <w:rsid w:val="00754494"/>
    <w:rsid w:val="007551A6"/>
    <w:rsid w:val="00760C83"/>
    <w:rsid w:val="00770DB6"/>
    <w:rsid w:val="00771A02"/>
    <w:rsid w:val="0078167A"/>
    <w:rsid w:val="007824E7"/>
    <w:rsid w:val="007826B4"/>
    <w:rsid w:val="00784169"/>
    <w:rsid w:val="007846BF"/>
    <w:rsid w:val="00785DB2"/>
    <w:rsid w:val="007869F5"/>
    <w:rsid w:val="007870A0"/>
    <w:rsid w:val="0079355A"/>
    <w:rsid w:val="007A1073"/>
    <w:rsid w:val="007A4B65"/>
    <w:rsid w:val="007A5913"/>
    <w:rsid w:val="007A749F"/>
    <w:rsid w:val="007B1594"/>
    <w:rsid w:val="007B3C9D"/>
    <w:rsid w:val="007B6C34"/>
    <w:rsid w:val="007C16DD"/>
    <w:rsid w:val="007C22E4"/>
    <w:rsid w:val="007C23C9"/>
    <w:rsid w:val="007C2464"/>
    <w:rsid w:val="007C2979"/>
    <w:rsid w:val="007C2CE4"/>
    <w:rsid w:val="007C3074"/>
    <w:rsid w:val="007C370E"/>
    <w:rsid w:val="007C7A40"/>
    <w:rsid w:val="007D05DF"/>
    <w:rsid w:val="007D05F1"/>
    <w:rsid w:val="007D1077"/>
    <w:rsid w:val="007D1F2E"/>
    <w:rsid w:val="007D221A"/>
    <w:rsid w:val="007D2984"/>
    <w:rsid w:val="007D5EC0"/>
    <w:rsid w:val="007E3338"/>
    <w:rsid w:val="007E3480"/>
    <w:rsid w:val="007E628F"/>
    <w:rsid w:val="007F047A"/>
    <w:rsid w:val="007F2D50"/>
    <w:rsid w:val="007F62F0"/>
    <w:rsid w:val="007F7109"/>
    <w:rsid w:val="007F7C5E"/>
    <w:rsid w:val="008002AB"/>
    <w:rsid w:val="00800378"/>
    <w:rsid w:val="008033FD"/>
    <w:rsid w:val="008036C1"/>
    <w:rsid w:val="00804D99"/>
    <w:rsid w:val="0080555E"/>
    <w:rsid w:val="00805664"/>
    <w:rsid w:val="0080679A"/>
    <w:rsid w:val="00813020"/>
    <w:rsid w:val="00814552"/>
    <w:rsid w:val="008169C5"/>
    <w:rsid w:val="0081731A"/>
    <w:rsid w:val="008219BB"/>
    <w:rsid w:val="0082237D"/>
    <w:rsid w:val="0082282E"/>
    <w:rsid w:val="00822982"/>
    <w:rsid w:val="008244B0"/>
    <w:rsid w:val="0082515A"/>
    <w:rsid w:val="00826CD4"/>
    <w:rsid w:val="00837D7A"/>
    <w:rsid w:val="00840B59"/>
    <w:rsid w:val="008442EA"/>
    <w:rsid w:val="00844790"/>
    <w:rsid w:val="00844F71"/>
    <w:rsid w:val="008477BF"/>
    <w:rsid w:val="00850293"/>
    <w:rsid w:val="008519B7"/>
    <w:rsid w:val="0086282D"/>
    <w:rsid w:val="0086427F"/>
    <w:rsid w:val="00865C14"/>
    <w:rsid w:val="00866DEE"/>
    <w:rsid w:val="00867932"/>
    <w:rsid w:val="008712FE"/>
    <w:rsid w:val="00881DB0"/>
    <w:rsid w:val="008834B4"/>
    <w:rsid w:val="00886C2B"/>
    <w:rsid w:val="00887326"/>
    <w:rsid w:val="008878C5"/>
    <w:rsid w:val="008917B1"/>
    <w:rsid w:val="00891D5A"/>
    <w:rsid w:val="008921A6"/>
    <w:rsid w:val="008925B4"/>
    <w:rsid w:val="0089450A"/>
    <w:rsid w:val="008959B7"/>
    <w:rsid w:val="00895CF7"/>
    <w:rsid w:val="008A05CB"/>
    <w:rsid w:val="008A2706"/>
    <w:rsid w:val="008A71C7"/>
    <w:rsid w:val="008B04CA"/>
    <w:rsid w:val="008B0C63"/>
    <w:rsid w:val="008B11AA"/>
    <w:rsid w:val="008B23EF"/>
    <w:rsid w:val="008B2E2E"/>
    <w:rsid w:val="008B4334"/>
    <w:rsid w:val="008B655E"/>
    <w:rsid w:val="008B69B6"/>
    <w:rsid w:val="008B6D02"/>
    <w:rsid w:val="008B7142"/>
    <w:rsid w:val="008B7CD9"/>
    <w:rsid w:val="008C10C0"/>
    <w:rsid w:val="008C2B2E"/>
    <w:rsid w:val="008C2DED"/>
    <w:rsid w:val="008D2189"/>
    <w:rsid w:val="008D285A"/>
    <w:rsid w:val="008D2D67"/>
    <w:rsid w:val="008D4E26"/>
    <w:rsid w:val="008D7C3F"/>
    <w:rsid w:val="008E00AA"/>
    <w:rsid w:val="008E0F2E"/>
    <w:rsid w:val="008E42FF"/>
    <w:rsid w:val="008E5BCC"/>
    <w:rsid w:val="008E7471"/>
    <w:rsid w:val="008F1B3C"/>
    <w:rsid w:val="008F1D3B"/>
    <w:rsid w:val="008F3FC3"/>
    <w:rsid w:val="008F46EA"/>
    <w:rsid w:val="008F4A20"/>
    <w:rsid w:val="008F61BB"/>
    <w:rsid w:val="008F64B2"/>
    <w:rsid w:val="00901271"/>
    <w:rsid w:val="00901E5A"/>
    <w:rsid w:val="009026AD"/>
    <w:rsid w:val="00905D23"/>
    <w:rsid w:val="0090610A"/>
    <w:rsid w:val="009070A6"/>
    <w:rsid w:val="00910610"/>
    <w:rsid w:val="009141B1"/>
    <w:rsid w:val="00916159"/>
    <w:rsid w:val="00917839"/>
    <w:rsid w:val="0092085C"/>
    <w:rsid w:val="009208D7"/>
    <w:rsid w:val="00921394"/>
    <w:rsid w:val="00922413"/>
    <w:rsid w:val="00922D35"/>
    <w:rsid w:val="009240E6"/>
    <w:rsid w:val="009307F1"/>
    <w:rsid w:val="0093213B"/>
    <w:rsid w:val="0093328A"/>
    <w:rsid w:val="009335D1"/>
    <w:rsid w:val="009338D1"/>
    <w:rsid w:val="00935E77"/>
    <w:rsid w:val="00936FC6"/>
    <w:rsid w:val="009409E2"/>
    <w:rsid w:val="00941F4F"/>
    <w:rsid w:val="009443F1"/>
    <w:rsid w:val="00945DE9"/>
    <w:rsid w:val="00946693"/>
    <w:rsid w:val="00951DFB"/>
    <w:rsid w:val="0095328C"/>
    <w:rsid w:val="009544F2"/>
    <w:rsid w:val="009570BD"/>
    <w:rsid w:val="00957A52"/>
    <w:rsid w:val="009631EF"/>
    <w:rsid w:val="00963F31"/>
    <w:rsid w:val="00966203"/>
    <w:rsid w:val="00966A77"/>
    <w:rsid w:val="0096753A"/>
    <w:rsid w:val="009703B2"/>
    <w:rsid w:val="009703E2"/>
    <w:rsid w:val="009725BB"/>
    <w:rsid w:val="009743D7"/>
    <w:rsid w:val="00975DCF"/>
    <w:rsid w:val="00976219"/>
    <w:rsid w:val="00980841"/>
    <w:rsid w:val="009849DB"/>
    <w:rsid w:val="00985FAF"/>
    <w:rsid w:val="00990400"/>
    <w:rsid w:val="009905F5"/>
    <w:rsid w:val="00991BFB"/>
    <w:rsid w:val="0099659A"/>
    <w:rsid w:val="00997E44"/>
    <w:rsid w:val="009A21DD"/>
    <w:rsid w:val="009A4720"/>
    <w:rsid w:val="009A7C2B"/>
    <w:rsid w:val="009B06E3"/>
    <w:rsid w:val="009B3794"/>
    <w:rsid w:val="009B7230"/>
    <w:rsid w:val="009B7E4D"/>
    <w:rsid w:val="009C0177"/>
    <w:rsid w:val="009C5B5E"/>
    <w:rsid w:val="009C73FF"/>
    <w:rsid w:val="009D1C5E"/>
    <w:rsid w:val="009D4331"/>
    <w:rsid w:val="009D7F03"/>
    <w:rsid w:val="009E2252"/>
    <w:rsid w:val="009E251F"/>
    <w:rsid w:val="009E2F79"/>
    <w:rsid w:val="009E3518"/>
    <w:rsid w:val="009E4DFE"/>
    <w:rsid w:val="009F1578"/>
    <w:rsid w:val="009F6530"/>
    <w:rsid w:val="00A009BA"/>
    <w:rsid w:val="00A01B1C"/>
    <w:rsid w:val="00A03611"/>
    <w:rsid w:val="00A06733"/>
    <w:rsid w:val="00A07844"/>
    <w:rsid w:val="00A11C0A"/>
    <w:rsid w:val="00A11C56"/>
    <w:rsid w:val="00A12720"/>
    <w:rsid w:val="00A12B14"/>
    <w:rsid w:val="00A1630D"/>
    <w:rsid w:val="00A1688A"/>
    <w:rsid w:val="00A17875"/>
    <w:rsid w:val="00A20E2E"/>
    <w:rsid w:val="00A21082"/>
    <w:rsid w:val="00A23968"/>
    <w:rsid w:val="00A23B22"/>
    <w:rsid w:val="00A26D54"/>
    <w:rsid w:val="00A27BA1"/>
    <w:rsid w:val="00A30AEB"/>
    <w:rsid w:val="00A317AC"/>
    <w:rsid w:val="00A32668"/>
    <w:rsid w:val="00A330D9"/>
    <w:rsid w:val="00A3619B"/>
    <w:rsid w:val="00A37F12"/>
    <w:rsid w:val="00A41004"/>
    <w:rsid w:val="00A41760"/>
    <w:rsid w:val="00A43EC4"/>
    <w:rsid w:val="00A448CE"/>
    <w:rsid w:val="00A55851"/>
    <w:rsid w:val="00A569B1"/>
    <w:rsid w:val="00A57E11"/>
    <w:rsid w:val="00A607E0"/>
    <w:rsid w:val="00A60976"/>
    <w:rsid w:val="00A62549"/>
    <w:rsid w:val="00A671E5"/>
    <w:rsid w:val="00A677D5"/>
    <w:rsid w:val="00A67B90"/>
    <w:rsid w:val="00A7068F"/>
    <w:rsid w:val="00A70CAC"/>
    <w:rsid w:val="00A73617"/>
    <w:rsid w:val="00A74FE2"/>
    <w:rsid w:val="00A76178"/>
    <w:rsid w:val="00A7694A"/>
    <w:rsid w:val="00A76956"/>
    <w:rsid w:val="00A806E1"/>
    <w:rsid w:val="00A81ED3"/>
    <w:rsid w:val="00A83A8D"/>
    <w:rsid w:val="00A854A0"/>
    <w:rsid w:val="00A92CAB"/>
    <w:rsid w:val="00A934F8"/>
    <w:rsid w:val="00A956BC"/>
    <w:rsid w:val="00A95CCB"/>
    <w:rsid w:val="00A96136"/>
    <w:rsid w:val="00A961CE"/>
    <w:rsid w:val="00A97DD4"/>
    <w:rsid w:val="00AA24DA"/>
    <w:rsid w:val="00AA3BA8"/>
    <w:rsid w:val="00AA4A64"/>
    <w:rsid w:val="00AA5170"/>
    <w:rsid w:val="00AB57B2"/>
    <w:rsid w:val="00AC0028"/>
    <w:rsid w:val="00AC2BE1"/>
    <w:rsid w:val="00AC5D47"/>
    <w:rsid w:val="00AC70EC"/>
    <w:rsid w:val="00AD1DB1"/>
    <w:rsid w:val="00AD3831"/>
    <w:rsid w:val="00AD46CB"/>
    <w:rsid w:val="00AD4B2D"/>
    <w:rsid w:val="00AD6F73"/>
    <w:rsid w:val="00AD7FE8"/>
    <w:rsid w:val="00AE01AC"/>
    <w:rsid w:val="00AE4469"/>
    <w:rsid w:val="00AE7154"/>
    <w:rsid w:val="00AF1B69"/>
    <w:rsid w:val="00AF2934"/>
    <w:rsid w:val="00AF4A16"/>
    <w:rsid w:val="00AF61FD"/>
    <w:rsid w:val="00B0018E"/>
    <w:rsid w:val="00B01736"/>
    <w:rsid w:val="00B02250"/>
    <w:rsid w:val="00B0463F"/>
    <w:rsid w:val="00B04E46"/>
    <w:rsid w:val="00B06630"/>
    <w:rsid w:val="00B12D47"/>
    <w:rsid w:val="00B132A2"/>
    <w:rsid w:val="00B138D4"/>
    <w:rsid w:val="00B1505F"/>
    <w:rsid w:val="00B1722F"/>
    <w:rsid w:val="00B21F66"/>
    <w:rsid w:val="00B2367D"/>
    <w:rsid w:val="00B267BD"/>
    <w:rsid w:val="00B279FD"/>
    <w:rsid w:val="00B319BF"/>
    <w:rsid w:val="00B323D0"/>
    <w:rsid w:val="00B37F0C"/>
    <w:rsid w:val="00B41B8E"/>
    <w:rsid w:val="00B43338"/>
    <w:rsid w:val="00B47609"/>
    <w:rsid w:val="00B50518"/>
    <w:rsid w:val="00B50AFA"/>
    <w:rsid w:val="00B51CAF"/>
    <w:rsid w:val="00B54B75"/>
    <w:rsid w:val="00B57B6A"/>
    <w:rsid w:val="00B60206"/>
    <w:rsid w:val="00B602DB"/>
    <w:rsid w:val="00B61EA9"/>
    <w:rsid w:val="00B6290F"/>
    <w:rsid w:val="00B653A9"/>
    <w:rsid w:val="00B655C6"/>
    <w:rsid w:val="00B65876"/>
    <w:rsid w:val="00B7207A"/>
    <w:rsid w:val="00B75FEC"/>
    <w:rsid w:val="00B7691E"/>
    <w:rsid w:val="00B76B8B"/>
    <w:rsid w:val="00B778CD"/>
    <w:rsid w:val="00B80242"/>
    <w:rsid w:val="00B80424"/>
    <w:rsid w:val="00B81751"/>
    <w:rsid w:val="00B81FBC"/>
    <w:rsid w:val="00B825C3"/>
    <w:rsid w:val="00B82CE9"/>
    <w:rsid w:val="00B84BB8"/>
    <w:rsid w:val="00B84E44"/>
    <w:rsid w:val="00B869AB"/>
    <w:rsid w:val="00B919BA"/>
    <w:rsid w:val="00B94CE7"/>
    <w:rsid w:val="00BA0BE2"/>
    <w:rsid w:val="00BA1A0C"/>
    <w:rsid w:val="00BA4E83"/>
    <w:rsid w:val="00BA6057"/>
    <w:rsid w:val="00BA7855"/>
    <w:rsid w:val="00BA78B2"/>
    <w:rsid w:val="00BA7EB3"/>
    <w:rsid w:val="00BB0D0F"/>
    <w:rsid w:val="00BB1248"/>
    <w:rsid w:val="00BB242F"/>
    <w:rsid w:val="00BB2FCE"/>
    <w:rsid w:val="00BB3137"/>
    <w:rsid w:val="00BB4AE9"/>
    <w:rsid w:val="00BB5FB9"/>
    <w:rsid w:val="00BC60AC"/>
    <w:rsid w:val="00BD00F6"/>
    <w:rsid w:val="00BD18FF"/>
    <w:rsid w:val="00BD273F"/>
    <w:rsid w:val="00BD2F27"/>
    <w:rsid w:val="00BD48B0"/>
    <w:rsid w:val="00BD581A"/>
    <w:rsid w:val="00BE05A4"/>
    <w:rsid w:val="00BE0F67"/>
    <w:rsid w:val="00BE1F8C"/>
    <w:rsid w:val="00BE2251"/>
    <w:rsid w:val="00BE255E"/>
    <w:rsid w:val="00BE279B"/>
    <w:rsid w:val="00BE28F5"/>
    <w:rsid w:val="00BE69F7"/>
    <w:rsid w:val="00BE7206"/>
    <w:rsid w:val="00BF0531"/>
    <w:rsid w:val="00BF0809"/>
    <w:rsid w:val="00BF2162"/>
    <w:rsid w:val="00BF2F34"/>
    <w:rsid w:val="00BF3EAA"/>
    <w:rsid w:val="00BF773B"/>
    <w:rsid w:val="00BF77AA"/>
    <w:rsid w:val="00C019E0"/>
    <w:rsid w:val="00C01CA4"/>
    <w:rsid w:val="00C02D63"/>
    <w:rsid w:val="00C033DE"/>
    <w:rsid w:val="00C0354C"/>
    <w:rsid w:val="00C0396C"/>
    <w:rsid w:val="00C0422B"/>
    <w:rsid w:val="00C07AEF"/>
    <w:rsid w:val="00C140FB"/>
    <w:rsid w:val="00C15AD1"/>
    <w:rsid w:val="00C179EF"/>
    <w:rsid w:val="00C21411"/>
    <w:rsid w:val="00C2206C"/>
    <w:rsid w:val="00C24858"/>
    <w:rsid w:val="00C26E5C"/>
    <w:rsid w:val="00C333F1"/>
    <w:rsid w:val="00C3596D"/>
    <w:rsid w:val="00C373C9"/>
    <w:rsid w:val="00C42D94"/>
    <w:rsid w:val="00C43986"/>
    <w:rsid w:val="00C4446D"/>
    <w:rsid w:val="00C44AC7"/>
    <w:rsid w:val="00C45431"/>
    <w:rsid w:val="00C45B7F"/>
    <w:rsid w:val="00C50EF0"/>
    <w:rsid w:val="00C520EE"/>
    <w:rsid w:val="00C53161"/>
    <w:rsid w:val="00C53E99"/>
    <w:rsid w:val="00C542FF"/>
    <w:rsid w:val="00C566BC"/>
    <w:rsid w:val="00C60350"/>
    <w:rsid w:val="00C7079A"/>
    <w:rsid w:val="00C732D0"/>
    <w:rsid w:val="00C74B86"/>
    <w:rsid w:val="00C76262"/>
    <w:rsid w:val="00C84A27"/>
    <w:rsid w:val="00C85CF5"/>
    <w:rsid w:val="00C8696E"/>
    <w:rsid w:val="00C90AC4"/>
    <w:rsid w:val="00C91F0C"/>
    <w:rsid w:val="00CA0FDE"/>
    <w:rsid w:val="00CA3DA6"/>
    <w:rsid w:val="00CA5402"/>
    <w:rsid w:val="00CA6094"/>
    <w:rsid w:val="00CA6DA6"/>
    <w:rsid w:val="00CB15C2"/>
    <w:rsid w:val="00CB4A56"/>
    <w:rsid w:val="00CB5433"/>
    <w:rsid w:val="00CB68D2"/>
    <w:rsid w:val="00CB6C02"/>
    <w:rsid w:val="00CB769F"/>
    <w:rsid w:val="00CB7CB7"/>
    <w:rsid w:val="00CC2E00"/>
    <w:rsid w:val="00CC4BC4"/>
    <w:rsid w:val="00CC61F1"/>
    <w:rsid w:val="00CC6B9E"/>
    <w:rsid w:val="00CD298E"/>
    <w:rsid w:val="00CD36E7"/>
    <w:rsid w:val="00CD40D5"/>
    <w:rsid w:val="00CD52EA"/>
    <w:rsid w:val="00CE5AA9"/>
    <w:rsid w:val="00CE6E2A"/>
    <w:rsid w:val="00CF141B"/>
    <w:rsid w:val="00CF19A2"/>
    <w:rsid w:val="00CF2B45"/>
    <w:rsid w:val="00D000FA"/>
    <w:rsid w:val="00D01621"/>
    <w:rsid w:val="00D0199C"/>
    <w:rsid w:val="00D031E3"/>
    <w:rsid w:val="00D06888"/>
    <w:rsid w:val="00D07F4C"/>
    <w:rsid w:val="00D11572"/>
    <w:rsid w:val="00D11CA3"/>
    <w:rsid w:val="00D134E9"/>
    <w:rsid w:val="00D13B54"/>
    <w:rsid w:val="00D1430A"/>
    <w:rsid w:val="00D14456"/>
    <w:rsid w:val="00D163A1"/>
    <w:rsid w:val="00D22D37"/>
    <w:rsid w:val="00D24C97"/>
    <w:rsid w:val="00D25EC5"/>
    <w:rsid w:val="00D2601B"/>
    <w:rsid w:val="00D30BA0"/>
    <w:rsid w:val="00D3192D"/>
    <w:rsid w:val="00D334AE"/>
    <w:rsid w:val="00D363F0"/>
    <w:rsid w:val="00D37719"/>
    <w:rsid w:val="00D40162"/>
    <w:rsid w:val="00D42B72"/>
    <w:rsid w:val="00D43A2C"/>
    <w:rsid w:val="00D44FB1"/>
    <w:rsid w:val="00D46313"/>
    <w:rsid w:val="00D46E63"/>
    <w:rsid w:val="00D53A24"/>
    <w:rsid w:val="00D567F2"/>
    <w:rsid w:val="00D56CC2"/>
    <w:rsid w:val="00D602ED"/>
    <w:rsid w:val="00D60325"/>
    <w:rsid w:val="00D60E70"/>
    <w:rsid w:val="00D616FF"/>
    <w:rsid w:val="00D617D4"/>
    <w:rsid w:val="00D61CAD"/>
    <w:rsid w:val="00D61EF2"/>
    <w:rsid w:val="00D623BD"/>
    <w:rsid w:val="00D62D67"/>
    <w:rsid w:val="00D6301A"/>
    <w:rsid w:val="00D64294"/>
    <w:rsid w:val="00D67B52"/>
    <w:rsid w:val="00D71E12"/>
    <w:rsid w:val="00D7384A"/>
    <w:rsid w:val="00D7413F"/>
    <w:rsid w:val="00D74B86"/>
    <w:rsid w:val="00D7586C"/>
    <w:rsid w:val="00D81FCB"/>
    <w:rsid w:val="00D83F26"/>
    <w:rsid w:val="00D85CCD"/>
    <w:rsid w:val="00D87661"/>
    <w:rsid w:val="00D90CDE"/>
    <w:rsid w:val="00D91741"/>
    <w:rsid w:val="00D91A43"/>
    <w:rsid w:val="00D92292"/>
    <w:rsid w:val="00D92E1D"/>
    <w:rsid w:val="00D93BE1"/>
    <w:rsid w:val="00D94B29"/>
    <w:rsid w:val="00DA1E88"/>
    <w:rsid w:val="00DA5753"/>
    <w:rsid w:val="00DA6E71"/>
    <w:rsid w:val="00DB16F1"/>
    <w:rsid w:val="00DB2FE1"/>
    <w:rsid w:val="00DB46E6"/>
    <w:rsid w:val="00DB610C"/>
    <w:rsid w:val="00DC23D2"/>
    <w:rsid w:val="00DC2DBF"/>
    <w:rsid w:val="00DD195F"/>
    <w:rsid w:val="00DD2619"/>
    <w:rsid w:val="00DD4035"/>
    <w:rsid w:val="00DD50D3"/>
    <w:rsid w:val="00DD6776"/>
    <w:rsid w:val="00DE1EA6"/>
    <w:rsid w:val="00DE3A45"/>
    <w:rsid w:val="00DE45B5"/>
    <w:rsid w:val="00DE4DC2"/>
    <w:rsid w:val="00DE5287"/>
    <w:rsid w:val="00DE58C1"/>
    <w:rsid w:val="00DE5DD0"/>
    <w:rsid w:val="00DE6813"/>
    <w:rsid w:val="00DE70F5"/>
    <w:rsid w:val="00DE7F27"/>
    <w:rsid w:val="00DF1068"/>
    <w:rsid w:val="00DF2BFF"/>
    <w:rsid w:val="00DF3761"/>
    <w:rsid w:val="00DF63FA"/>
    <w:rsid w:val="00DF6B08"/>
    <w:rsid w:val="00E00CEE"/>
    <w:rsid w:val="00E00FDB"/>
    <w:rsid w:val="00E01AE7"/>
    <w:rsid w:val="00E06CE0"/>
    <w:rsid w:val="00E07314"/>
    <w:rsid w:val="00E07976"/>
    <w:rsid w:val="00E1332E"/>
    <w:rsid w:val="00E13343"/>
    <w:rsid w:val="00E14D63"/>
    <w:rsid w:val="00E157DC"/>
    <w:rsid w:val="00E16E1D"/>
    <w:rsid w:val="00E203FA"/>
    <w:rsid w:val="00E2112A"/>
    <w:rsid w:val="00E22E02"/>
    <w:rsid w:val="00E24FA1"/>
    <w:rsid w:val="00E268DB"/>
    <w:rsid w:val="00E33896"/>
    <w:rsid w:val="00E34586"/>
    <w:rsid w:val="00E34A1F"/>
    <w:rsid w:val="00E34BEC"/>
    <w:rsid w:val="00E34FC9"/>
    <w:rsid w:val="00E35829"/>
    <w:rsid w:val="00E36237"/>
    <w:rsid w:val="00E414B1"/>
    <w:rsid w:val="00E42E3A"/>
    <w:rsid w:val="00E434BB"/>
    <w:rsid w:val="00E4388F"/>
    <w:rsid w:val="00E45A8B"/>
    <w:rsid w:val="00E45B5A"/>
    <w:rsid w:val="00E5099D"/>
    <w:rsid w:val="00E52816"/>
    <w:rsid w:val="00E5377E"/>
    <w:rsid w:val="00E53E76"/>
    <w:rsid w:val="00E55322"/>
    <w:rsid w:val="00E5704B"/>
    <w:rsid w:val="00E634C4"/>
    <w:rsid w:val="00E63CE1"/>
    <w:rsid w:val="00E65D5D"/>
    <w:rsid w:val="00E67295"/>
    <w:rsid w:val="00E71239"/>
    <w:rsid w:val="00E73D54"/>
    <w:rsid w:val="00E7422C"/>
    <w:rsid w:val="00E76568"/>
    <w:rsid w:val="00E8098D"/>
    <w:rsid w:val="00E83C4E"/>
    <w:rsid w:val="00E8574E"/>
    <w:rsid w:val="00E85EC7"/>
    <w:rsid w:val="00E86719"/>
    <w:rsid w:val="00E87554"/>
    <w:rsid w:val="00E91044"/>
    <w:rsid w:val="00E919D8"/>
    <w:rsid w:val="00E92322"/>
    <w:rsid w:val="00E962DB"/>
    <w:rsid w:val="00EA1EE4"/>
    <w:rsid w:val="00EA2092"/>
    <w:rsid w:val="00EA2E46"/>
    <w:rsid w:val="00EA4930"/>
    <w:rsid w:val="00EA5946"/>
    <w:rsid w:val="00EA717B"/>
    <w:rsid w:val="00EA7717"/>
    <w:rsid w:val="00EB1178"/>
    <w:rsid w:val="00EB122D"/>
    <w:rsid w:val="00EB1B3D"/>
    <w:rsid w:val="00EB55B7"/>
    <w:rsid w:val="00EB6741"/>
    <w:rsid w:val="00EB67F8"/>
    <w:rsid w:val="00EC008F"/>
    <w:rsid w:val="00EC11CE"/>
    <w:rsid w:val="00EC1EC9"/>
    <w:rsid w:val="00EC38CD"/>
    <w:rsid w:val="00EC4BF4"/>
    <w:rsid w:val="00EC57FF"/>
    <w:rsid w:val="00ED18EA"/>
    <w:rsid w:val="00ED18F1"/>
    <w:rsid w:val="00ED2E60"/>
    <w:rsid w:val="00EE0BEF"/>
    <w:rsid w:val="00EE3FE7"/>
    <w:rsid w:val="00EE529C"/>
    <w:rsid w:val="00EF119F"/>
    <w:rsid w:val="00EF5FD9"/>
    <w:rsid w:val="00EF7898"/>
    <w:rsid w:val="00EF7BDA"/>
    <w:rsid w:val="00F03B9E"/>
    <w:rsid w:val="00F04469"/>
    <w:rsid w:val="00F06118"/>
    <w:rsid w:val="00F1283F"/>
    <w:rsid w:val="00F15E96"/>
    <w:rsid w:val="00F16C46"/>
    <w:rsid w:val="00F21BA2"/>
    <w:rsid w:val="00F225E6"/>
    <w:rsid w:val="00F235E7"/>
    <w:rsid w:val="00F23C1E"/>
    <w:rsid w:val="00F23F22"/>
    <w:rsid w:val="00F258C1"/>
    <w:rsid w:val="00F26253"/>
    <w:rsid w:val="00F279F2"/>
    <w:rsid w:val="00F33E2D"/>
    <w:rsid w:val="00F35174"/>
    <w:rsid w:val="00F3578B"/>
    <w:rsid w:val="00F37A67"/>
    <w:rsid w:val="00F41F6A"/>
    <w:rsid w:val="00F4221E"/>
    <w:rsid w:val="00F42F8E"/>
    <w:rsid w:val="00F43494"/>
    <w:rsid w:val="00F43EDE"/>
    <w:rsid w:val="00F43EE3"/>
    <w:rsid w:val="00F45F00"/>
    <w:rsid w:val="00F462EE"/>
    <w:rsid w:val="00F5188F"/>
    <w:rsid w:val="00F54033"/>
    <w:rsid w:val="00F61CBF"/>
    <w:rsid w:val="00F709D5"/>
    <w:rsid w:val="00F74ECC"/>
    <w:rsid w:val="00F75A7D"/>
    <w:rsid w:val="00F75AF3"/>
    <w:rsid w:val="00F812AE"/>
    <w:rsid w:val="00F81C9A"/>
    <w:rsid w:val="00F836D5"/>
    <w:rsid w:val="00F84CE8"/>
    <w:rsid w:val="00F87104"/>
    <w:rsid w:val="00F90EA2"/>
    <w:rsid w:val="00F91242"/>
    <w:rsid w:val="00F91BFC"/>
    <w:rsid w:val="00F92793"/>
    <w:rsid w:val="00F9516C"/>
    <w:rsid w:val="00F95238"/>
    <w:rsid w:val="00F973E2"/>
    <w:rsid w:val="00F9748F"/>
    <w:rsid w:val="00F9796E"/>
    <w:rsid w:val="00FA2837"/>
    <w:rsid w:val="00FA3472"/>
    <w:rsid w:val="00FA4A12"/>
    <w:rsid w:val="00FA7D79"/>
    <w:rsid w:val="00FB05F4"/>
    <w:rsid w:val="00FB0F4C"/>
    <w:rsid w:val="00FB32C8"/>
    <w:rsid w:val="00FB3DB0"/>
    <w:rsid w:val="00FB6576"/>
    <w:rsid w:val="00FC15B1"/>
    <w:rsid w:val="00FC26AC"/>
    <w:rsid w:val="00FC5216"/>
    <w:rsid w:val="00FC57D9"/>
    <w:rsid w:val="00FC5F6E"/>
    <w:rsid w:val="00FC7B17"/>
    <w:rsid w:val="00FC7F37"/>
    <w:rsid w:val="00FD077D"/>
    <w:rsid w:val="00FD101F"/>
    <w:rsid w:val="00FD13A2"/>
    <w:rsid w:val="00FD13D1"/>
    <w:rsid w:val="00FD33FC"/>
    <w:rsid w:val="00FD3B17"/>
    <w:rsid w:val="00FD4C6E"/>
    <w:rsid w:val="00FD564C"/>
    <w:rsid w:val="00FD5713"/>
    <w:rsid w:val="00FD678D"/>
    <w:rsid w:val="00FD6791"/>
    <w:rsid w:val="00FD6EFE"/>
    <w:rsid w:val="00FD7C9F"/>
    <w:rsid w:val="00FE4A6C"/>
    <w:rsid w:val="00FE5E6D"/>
    <w:rsid w:val="00FE6C30"/>
    <w:rsid w:val="00FE7303"/>
    <w:rsid w:val="00FE7CA4"/>
    <w:rsid w:val="00FF0197"/>
    <w:rsid w:val="00FF2D68"/>
    <w:rsid w:val="00FF318C"/>
    <w:rsid w:val="00FF4A71"/>
    <w:rsid w:val="00FF7FC5"/>
    <w:rsid w:val="16A4883F"/>
    <w:rsid w:val="35875B8A"/>
    <w:rsid w:val="619F09A6"/>
    <w:rsid w:val="66EA024A"/>
    <w:rsid w:val="6EB1C1D6"/>
    <w:rsid w:val="7F1021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E791A7"/>
  <w15:chartTrackingRefBased/>
  <w15:docId w15:val="{5A0DE55B-A7C2-4133-8330-603FEB54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338"/>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qFormat/>
    <w:rsid w:val="009725BB"/>
    <w:pPr>
      <w:numPr>
        <w:numId w:val="20"/>
      </w:numPr>
      <w:tabs>
        <w:tab w:val="center" w:pos="1476"/>
      </w:tabs>
      <w:spacing w:after="0" w:line="240" w:lineRule="auto"/>
      <w:ind w:left="360" w:hanging="360"/>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A5B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1214E5"/>
    <w:pPr>
      <w:spacing w:after="0" w:line="278" w:lineRule="auto"/>
    </w:pPr>
    <w:rPr>
      <w:rFonts w:ascii="Arial" w:eastAsia="Arial" w:hAnsi="Arial" w:cs="Arial"/>
      <w:color w:val="999999"/>
      <w:sz w:val="21"/>
    </w:rPr>
  </w:style>
  <w:style w:type="character" w:customStyle="1" w:styleId="footnotedescriptionChar">
    <w:name w:val="footnote description Char"/>
    <w:link w:val="footnotedescription"/>
    <w:rsid w:val="001214E5"/>
    <w:rPr>
      <w:rFonts w:ascii="Arial" w:eastAsia="Arial" w:hAnsi="Arial" w:cs="Arial"/>
      <w:color w:val="999999"/>
      <w:sz w:val="21"/>
    </w:rPr>
  </w:style>
  <w:style w:type="character" w:customStyle="1" w:styleId="footnotemark">
    <w:name w:val="footnote mark"/>
    <w:hidden/>
    <w:rsid w:val="001214E5"/>
    <w:rPr>
      <w:rFonts w:ascii="Arial" w:eastAsia="Arial" w:hAnsi="Arial" w:cs="Arial"/>
      <w:color w:val="999999"/>
      <w:sz w:val="27"/>
      <w:vertAlign w:val="superscript"/>
    </w:rPr>
  </w:style>
  <w:style w:type="table" w:customStyle="1" w:styleId="TableGrid1">
    <w:name w:val="Table Grid1"/>
    <w:rsid w:val="001214E5"/>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645355"/>
    <w:rPr>
      <w:sz w:val="16"/>
      <w:szCs w:val="16"/>
    </w:rPr>
  </w:style>
  <w:style w:type="paragraph" w:styleId="CommentText">
    <w:name w:val="annotation text"/>
    <w:basedOn w:val="Normal"/>
    <w:link w:val="CommentTextChar"/>
    <w:uiPriority w:val="99"/>
    <w:unhideWhenUsed/>
    <w:rsid w:val="003976C3"/>
    <w:pPr>
      <w:spacing w:after="296"/>
      <w:ind w:left="10" w:hanging="10"/>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rsid w:val="00645355"/>
    <w:rPr>
      <w:rFonts w:ascii="Arial" w:eastAsia="Arial" w:hAnsi="Arial" w:cs="Arial"/>
      <w:color w:val="000000"/>
      <w:sz w:val="20"/>
      <w:szCs w:val="20"/>
    </w:rPr>
  </w:style>
  <w:style w:type="paragraph" w:styleId="CommentSubject">
    <w:name w:val="annotation subject"/>
    <w:basedOn w:val="CommentText"/>
    <w:next w:val="CommentText"/>
    <w:link w:val="CommentSubjectChar"/>
    <w:semiHidden/>
    <w:unhideWhenUsed/>
    <w:rsid w:val="00645355"/>
    <w:rPr>
      <w:b/>
      <w:bCs/>
    </w:rPr>
  </w:style>
  <w:style w:type="character" w:customStyle="1" w:styleId="CommentSubjectChar">
    <w:name w:val="Comment Subject Char"/>
    <w:basedOn w:val="CommentTextChar"/>
    <w:link w:val="CommentSubject"/>
    <w:semiHidden/>
    <w:rsid w:val="00645355"/>
    <w:rPr>
      <w:rFonts w:ascii="Arial" w:eastAsia="Arial" w:hAnsi="Arial" w:cs="Arial"/>
      <w:b/>
      <w:bCs/>
      <w:color w:val="000000"/>
      <w:sz w:val="20"/>
      <w:szCs w:val="20"/>
    </w:rPr>
  </w:style>
  <w:style w:type="paragraph" w:styleId="BalloonText">
    <w:name w:val="Balloon Text"/>
    <w:basedOn w:val="Normal"/>
    <w:link w:val="BalloonTextChar"/>
    <w:semiHidden/>
    <w:unhideWhenUsed/>
    <w:rsid w:val="003976C3"/>
    <w:pPr>
      <w:ind w:left="10" w:hanging="10"/>
    </w:pPr>
    <w:rPr>
      <w:rFonts w:ascii="Segoe UI" w:eastAsia="Arial" w:hAnsi="Segoe UI" w:cs="Segoe UI"/>
      <w:color w:val="000000"/>
      <w:sz w:val="18"/>
      <w:szCs w:val="18"/>
    </w:rPr>
  </w:style>
  <w:style w:type="character" w:customStyle="1" w:styleId="BalloonTextChar">
    <w:name w:val="Balloon Text Char"/>
    <w:basedOn w:val="DefaultParagraphFont"/>
    <w:link w:val="BalloonText"/>
    <w:semiHidden/>
    <w:rsid w:val="00645355"/>
    <w:rPr>
      <w:rFonts w:ascii="Segoe UI" w:eastAsia="Arial" w:hAnsi="Segoe UI" w:cs="Segoe UI"/>
      <w:color w:val="000000"/>
      <w:sz w:val="18"/>
      <w:szCs w:val="18"/>
    </w:rPr>
  </w:style>
  <w:style w:type="paragraph" w:styleId="ListParagraph">
    <w:name w:val="List Paragraph"/>
    <w:basedOn w:val="Normal"/>
    <w:uiPriority w:val="34"/>
    <w:qFormat/>
    <w:rsid w:val="003976C3"/>
    <w:pPr>
      <w:spacing w:after="296" w:line="330" w:lineRule="auto"/>
      <w:ind w:left="720" w:hanging="10"/>
      <w:contextualSpacing/>
    </w:pPr>
    <w:rPr>
      <w:rFonts w:ascii="Arial" w:eastAsia="Arial" w:hAnsi="Arial" w:cs="Arial"/>
      <w:color w:val="000000"/>
      <w:sz w:val="21"/>
      <w:szCs w:val="22"/>
    </w:rPr>
  </w:style>
  <w:style w:type="character" w:styleId="Hyperlink">
    <w:name w:val="Hyperlink"/>
    <w:basedOn w:val="DefaultParagraphFont"/>
    <w:uiPriority w:val="99"/>
    <w:rsid w:val="007824E7"/>
    <w:rPr>
      <w:color w:val="0000FF"/>
      <w:u w:val="single"/>
    </w:rPr>
  </w:style>
  <w:style w:type="paragraph" w:styleId="Revision">
    <w:name w:val="Revision"/>
    <w:hidden/>
    <w:uiPriority w:val="99"/>
    <w:semiHidden/>
    <w:rsid w:val="003976C3"/>
    <w:pPr>
      <w:spacing w:after="0" w:line="240" w:lineRule="auto"/>
    </w:pPr>
    <w:rPr>
      <w:rFonts w:ascii="Arial" w:eastAsia="Arial" w:hAnsi="Arial" w:cs="Arial"/>
      <w:color w:val="000000"/>
      <w:sz w:val="21"/>
    </w:rPr>
  </w:style>
  <w:style w:type="paragraph" w:styleId="Header">
    <w:name w:val="header"/>
    <w:basedOn w:val="Normal"/>
    <w:link w:val="HeaderChar"/>
    <w:unhideWhenUsed/>
    <w:rsid w:val="003976C3"/>
    <w:pPr>
      <w:tabs>
        <w:tab w:val="center" w:pos="4680"/>
        <w:tab w:val="right" w:pos="9360"/>
      </w:tabs>
      <w:ind w:left="10" w:hanging="10"/>
    </w:pPr>
    <w:rPr>
      <w:rFonts w:ascii="Arial" w:eastAsia="Arial" w:hAnsi="Arial" w:cs="Arial"/>
      <w:color w:val="000000"/>
      <w:sz w:val="21"/>
      <w:szCs w:val="22"/>
    </w:rPr>
  </w:style>
  <w:style w:type="character" w:customStyle="1" w:styleId="HeaderChar">
    <w:name w:val="Header Char"/>
    <w:basedOn w:val="DefaultParagraphFont"/>
    <w:link w:val="Header"/>
    <w:rsid w:val="00080EFB"/>
    <w:rPr>
      <w:rFonts w:ascii="Arial" w:eastAsia="Arial" w:hAnsi="Arial" w:cs="Arial"/>
      <w:color w:val="000000"/>
      <w:sz w:val="21"/>
    </w:rPr>
  </w:style>
  <w:style w:type="paragraph" w:styleId="Footer">
    <w:name w:val="footer"/>
    <w:basedOn w:val="Normal"/>
    <w:link w:val="FooterChar"/>
    <w:unhideWhenUsed/>
    <w:rsid w:val="003976C3"/>
    <w:pPr>
      <w:tabs>
        <w:tab w:val="center" w:pos="4680"/>
        <w:tab w:val="right" w:pos="9360"/>
      </w:tabs>
      <w:ind w:left="10" w:hanging="10"/>
    </w:pPr>
    <w:rPr>
      <w:rFonts w:ascii="Arial" w:eastAsia="Arial" w:hAnsi="Arial" w:cs="Arial"/>
      <w:color w:val="000000"/>
      <w:sz w:val="21"/>
      <w:szCs w:val="22"/>
    </w:rPr>
  </w:style>
  <w:style w:type="character" w:customStyle="1" w:styleId="FooterChar">
    <w:name w:val="Footer Char"/>
    <w:basedOn w:val="DefaultParagraphFont"/>
    <w:link w:val="Footer"/>
    <w:rsid w:val="00080EFB"/>
    <w:rPr>
      <w:rFonts w:ascii="Arial" w:eastAsia="Arial" w:hAnsi="Arial" w:cs="Arial"/>
      <w:color w:val="000000"/>
      <w:sz w:val="21"/>
    </w:rPr>
  </w:style>
  <w:style w:type="paragraph" w:styleId="BodyTextIndent">
    <w:name w:val="Body Text Indent"/>
    <w:basedOn w:val="Normal"/>
    <w:link w:val="BodyTextIndentChar"/>
    <w:rsid w:val="003976C3"/>
    <w:pPr>
      <w:widowControl w:val="0"/>
      <w:autoSpaceDE w:val="0"/>
      <w:autoSpaceDN w:val="0"/>
      <w:adjustRightInd w:val="0"/>
      <w:ind w:left="-90"/>
    </w:pPr>
    <w:rPr>
      <w:rFonts w:eastAsia="SimSun"/>
    </w:rPr>
  </w:style>
  <w:style w:type="character" w:customStyle="1" w:styleId="BodyTextIndentChar">
    <w:name w:val="Body Text Indent Char"/>
    <w:basedOn w:val="DefaultParagraphFont"/>
    <w:link w:val="BodyTextIndent"/>
    <w:rsid w:val="000C42C5"/>
    <w:rPr>
      <w:rFonts w:ascii="Times New Roman" w:eastAsia="SimSun" w:hAnsi="Times New Roman" w:cs="Times New Roman"/>
      <w:sz w:val="24"/>
      <w:szCs w:val="24"/>
    </w:rPr>
  </w:style>
  <w:style w:type="character" w:customStyle="1" w:styleId="Heading1Char">
    <w:name w:val="Heading 1 Char"/>
    <w:basedOn w:val="DefaultParagraphFont"/>
    <w:link w:val="Heading1"/>
    <w:rsid w:val="009725BB"/>
    <w:rPr>
      <w:rFonts w:ascii="Times New Roman" w:eastAsia="Arial" w:hAnsi="Times New Roman" w:cs="Times New Roman"/>
      <w:b/>
      <w:color w:val="000000"/>
      <w:sz w:val="24"/>
      <w:szCs w:val="24"/>
    </w:rPr>
  </w:style>
  <w:style w:type="character" w:styleId="FootnoteReference">
    <w:name w:val="footnote reference"/>
    <w:semiHidden/>
    <w:rsid w:val="003976C3"/>
  </w:style>
  <w:style w:type="table" w:customStyle="1" w:styleId="TableGrid0">
    <w:name w:val="Table Grid0"/>
    <w:basedOn w:val="TableNormal"/>
    <w:rsid w:val="003976C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76C3"/>
    <w:rPr>
      <w:i/>
      <w:iCs/>
    </w:rPr>
  </w:style>
  <w:style w:type="paragraph" w:styleId="NormalWeb">
    <w:name w:val="Normal (Web)"/>
    <w:basedOn w:val="Normal"/>
    <w:uiPriority w:val="99"/>
    <w:unhideWhenUsed/>
    <w:rsid w:val="00F23C1E"/>
    <w:pPr>
      <w:spacing w:before="100" w:beforeAutospacing="1" w:after="100" w:afterAutospacing="1"/>
    </w:pPr>
  </w:style>
  <w:style w:type="paragraph" w:styleId="FootnoteText">
    <w:name w:val="footnote text"/>
    <w:basedOn w:val="Normal"/>
    <w:link w:val="FootnoteTextChar"/>
    <w:uiPriority w:val="99"/>
    <w:unhideWhenUsed/>
    <w:rsid w:val="00572540"/>
    <w:rPr>
      <w:sz w:val="20"/>
      <w:szCs w:val="20"/>
    </w:rPr>
  </w:style>
  <w:style w:type="character" w:customStyle="1" w:styleId="FootnoteTextChar">
    <w:name w:val="Footnote Text Char"/>
    <w:basedOn w:val="DefaultParagraphFont"/>
    <w:link w:val="FootnoteText"/>
    <w:uiPriority w:val="99"/>
    <w:rsid w:val="0057254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C46A0"/>
    <w:rPr>
      <w:color w:val="605E5C"/>
      <w:shd w:val="clear" w:color="auto" w:fill="E1DFDD"/>
    </w:rPr>
  </w:style>
  <w:style w:type="paragraph" w:customStyle="1" w:styleId="MediumGrid1-Accent21">
    <w:name w:val="Medium Grid 1 - Accent 21"/>
    <w:basedOn w:val="Normal"/>
    <w:link w:val="MediumGrid1-Accent2Char"/>
    <w:uiPriority w:val="99"/>
    <w:qFormat/>
    <w:rsid w:val="00C91F0C"/>
    <w:pPr>
      <w:widowControl w:val="0"/>
      <w:autoSpaceDE w:val="0"/>
      <w:autoSpaceDN w:val="0"/>
      <w:adjustRightInd w:val="0"/>
      <w:ind w:left="720"/>
      <w:contextualSpacing/>
    </w:pPr>
    <w:rPr>
      <w:sz w:val="20"/>
    </w:rPr>
  </w:style>
  <w:style w:type="character" w:customStyle="1" w:styleId="MediumGrid1-Accent2Char">
    <w:name w:val="Medium Grid 1 - Accent 2 Char"/>
    <w:link w:val="MediumGrid1-Accent21"/>
    <w:uiPriority w:val="99"/>
    <w:rsid w:val="00C91F0C"/>
    <w:rPr>
      <w:rFonts w:ascii="Times New Roman" w:eastAsia="Times New Roman" w:hAnsi="Times New Roman" w:cs="Times New Roman"/>
      <w:sz w:val="20"/>
      <w:szCs w:val="24"/>
    </w:rPr>
  </w:style>
  <w:style w:type="character" w:customStyle="1" w:styleId="Heading2Char">
    <w:name w:val="Heading 2 Char"/>
    <w:basedOn w:val="DefaultParagraphFont"/>
    <w:link w:val="Heading2"/>
    <w:uiPriority w:val="9"/>
    <w:rsid w:val="001A5BE1"/>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5F26A2"/>
  </w:style>
  <w:style w:type="character" w:styleId="FollowedHyperlink">
    <w:name w:val="FollowedHyperlink"/>
    <w:basedOn w:val="DefaultParagraphFont"/>
    <w:uiPriority w:val="99"/>
    <w:semiHidden/>
    <w:unhideWhenUsed/>
    <w:rsid w:val="00724190"/>
    <w:rPr>
      <w:color w:val="954F72" w:themeColor="followedHyperlink"/>
      <w:u w:val="single"/>
    </w:rPr>
  </w:style>
  <w:style w:type="character" w:customStyle="1" w:styleId="markedcontent">
    <w:name w:val="markedcontent"/>
    <w:basedOn w:val="DefaultParagraphFont"/>
    <w:rsid w:val="00467D69"/>
  </w:style>
  <w:style w:type="character" w:customStyle="1" w:styleId="BulletChar">
    <w:name w:val="Bullet Char"/>
    <w:basedOn w:val="DefaultParagraphFont"/>
    <w:link w:val="Bullet"/>
    <w:locked/>
    <w:rsid w:val="005B4BF3"/>
    <w:rPr>
      <w:rFonts w:ascii="Calibri" w:hAnsi="Calibri" w:cs="Calibri"/>
      <w:b/>
      <w:bCs/>
    </w:rPr>
  </w:style>
  <w:style w:type="paragraph" w:customStyle="1" w:styleId="Bullet">
    <w:name w:val="Bullet"/>
    <w:basedOn w:val="Normal"/>
    <w:link w:val="BulletChar"/>
    <w:rsid w:val="005B4BF3"/>
    <w:pPr>
      <w:numPr>
        <w:numId w:val="31"/>
      </w:numPr>
    </w:pPr>
    <w:rPr>
      <w:rFonts w:ascii="Calibri" w:hAnsi="Calibri" w:eastAsiaTheme="minorHAnsi" w:cs="Calibri"/>
      <w:b/>
      <w:bCs/>
      <w:sz w:val="22"/>
      <w:szCs w:val="22"/>
    </w:rPr>
  </w:style>
  <w:style w:type="paragraph" w:styleId="BodyText">
    <w:name w:val="Body Text"/>
    <w:basedOn w:val="Normal"/>
    <w:link w:val="BodyTextChar"/>
    <w:uiPriority w:val="99"/>
    <w:semiHidden/>
    <w:unhideWhenUsed/>
    <w:rsid w:val="00F61CBF"/>
    <w:pPr>
      <w:spacing w:after="120"/>
    </w:pPr>
  </w:style>
  <w:style w:type="character" w:customStyle="1" w:styleId="BodyTextChar">
    <w:name w:val="Body Text Char"/>
    <w:basedOn w:val="DefaultParagraphFont"/>
    <w:link w:val="BodyText"/>
    <w:uiPriority w:val="99"/>
    <w:semiHidden/>
    <w:rsid w:val="00F61CBF"/>
    <w:rPr>
      <w:rFonts w:ascii="Times New Roman" w:eastAsia="Times New Roman" w:hAnsi="Times New Roman" w:cs="Times New Roman"/>
      <w:sz w:val="24"/>
      <w:szCs w:val="24"/>
    </w:rPr>
  </w:style>
  <w:style w:type="character" w:customStyle="1" w:styleId="normaltextrun">
    <w:name w:val="normaltextrun"/>
    <w:basedOn w:val="DefaultParagraphFont"/>
    <w:rsid w:val="002D5F4E"/>
  </w:style>
  <w:style w:type="character" w:customStyle="1" w:styleId="eop">
    <w:name w:val="eop"/>
    <w:basedOn w:val="DefaultParagraphFont"/>
    <w:rsid w:val="002D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bloodstemcell.hrsa.gov/about/legislation/reports-congress" TargetMode="External" /><Relationship Id="rId10" Type="http://schemas.openxmlformats.org/officeDocument/2006/relationships/hyperlink" Target="https://www.cibmtr.org/ReferenceCenter/SlidesReports/StatReport/Pages/index.aspx" TargetMode="External" /><Relationship Id="rId11" Type="http://schemas.openxmlformats.org/officeDocument/2006/relationships/hyperlink" Target="https://www.cibmtr.org/Studies/Observational/StudyLists/Pages/index.aspx" TargetMode="External" /><Relationship Id="rId12" Type="http://schemas.openxmlformats.org/officeDocument/2006/relationships/hyperlink" Target="https://www.cibmtr.org/ReferenceCenter/PubList/Pages/index.aspx" TargetMode="External" /><Relationship Id="rId13" Type="http://schemas.openxmlformats.org/officeDocument/2006/relationships/hyperlink" Target="https://ohrp.cit.nih.gov/search/IrbDtl.aspx" TargetMode="External" /><Relationship Id="rId14" Type="http://schemas.openxmlformats.org/officeDocument/2006/relationships/hyperlink" Target="https://www.cms.gov/medicare-coverage-database/view/ncd.aspx?NCDId=366&amp;DocID=110.23" TargetMode="External" /><Relationship Id="rId15" Type="http://schemas.openxmlformats.org/officeDocument/2006/relationships/hyperlink" Target="https://clinicaltrials.gov/ct2/show/NCT01166009" TargetMode="External" /><Relationship Id="rId16" Type="http://schemas.openxmlformats.org/officeDocument/2006/relationships/hyperlink" Target="https://clinicaltrials.gov/ct2/show/NCT02766465" TargetMode="External" /><Relationship Id="rId17" Type="http://schemas.openxmlformats.org/officeDocument/2006/relationships/hyperlink" Target="https://clinicaltrials.gov/ct2/show/NCT02934477" TargetMode="External" /><Relationship Id="rId18" Type="http://schemas.openxmlformats.org/officeDocument/2006/relationships/hyperlink" Target="https://clinicaltrials.gov/ct2/show/NCT03127761" TargetMode="External" /><Relationship Id="rId19" Type="http://schemas.openxmlformats.org/officeDocument/2006/relationships/hyperlink" Target="https://fhir.nmdp.org/ig/cibmtr-reporting/" TargetMode="External" /><Relationship Id="rId2" Type="http://schemas.openxmlformats.org/officeDocument/2006/relationships/hyperlink" Target="https://bloodstemcell.hrsa.gov/about/advisory-council" TargetMode="External" /><Relationship Id="rId20" Type="http://schemas.openxmlformats.org/officeDocument/2006/relationships/hyperlink" Target="https://cibmtr.org/CIBMTR/Data-Operations/Support-Resources/CIBMTR-System-Applications" TargetMode="External" /><Relationship Id="rId21" Type="http://schemas.openxmlformats.org/officeDocument/2006/relationships/hyperlink" Target="https://apporchard.epic.com/Gallery?id=754" TargetMode="External" /><Relationship Id="rId22" Type="http://schemas.openxmlformats.org/officeDocument/2006/relationships/hyperlink" Target="https://www.healthit.gov/sites/default/files/2019-08/ONCFHIRFSWhatIsFHIR.pdf" TargetMode="External" /><Relationship Id="rId23" Type="http://schemas.openxmlformats.org/officeDocument/2006/relationships/hyperlink" Target="https://www.cibmtr.org/Meetings/Materials/Pages/index.aspx" TargetMode="External" /><Relationship Id="rId24" Type="http://schemas.openxmlformats.org/officeDocument/2006/relationships/hyperlink" Target="https://data.bls.gov/oesprofile/" TargetMode="External" /><Relationship Id="rId3" Type="http://schemas.openxmlformats.org/officeDocument/2006/relationships/hyperlink" Target="https://bloodstemcell.hrsa.gov/data" TargetMode="External" /><Relationship Id="rId4" Type="http://schemas.openxmlformats.org/officeDocument/2006/relationships/hyperlink" Target="https://bloodstemcell.hrsa.gov/data/donation-and-transplantation-statistics/transplant-activity-report" TargetMode="External" /><Relationship Id="rId5" Type="http://schemas.openxmlformats.org/officeDocument/2006/relationships/hyperlink" Target="https://www.medicare.gov/care-compare/" TargetMode="External" /><Relationship Id="rId6" Type="http://schemas.openxmlformats.org/officeDocument/2006/relationships/hyperlink" Target="https://cibmtr.org/CIBMTR/Resources/Summary-Slides-Reports/Center-Specific-Survival-Analysis-Methodology" TargetMode="External" /><Relationship Id="rId7" Type="http://schemas.openxmlformats.org/officeDocument/2006/relationships/hyperlink" Target="https://www.cibmtr.org/ReferenceCenter/Patient/PatientSummaries/pages/index.aspx" TargetMode="External" /><Relationship Id="rId8" Type="http://schemas.openxmlformats.org/officeDocument/2006/relationships/hyperlink" Target="https://www.cibmtr.org/Data/Available/Pages/index.aspx" TargetMode="External" /><Relationship Id="rId9" Type="http://schemas.openxmlformats.org/officeDocument/2006/relationships/hyperlink" Target="https://cibmtr.org/CIBMTR/Resources/Publ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QPVJESM53SK4-1767020924-74228</_dlc_DocId>
    <_dlc_DocIdUrl xmlns="dae0f925-a78b-4f93-b0e5-451dcac5f217">
      <Url>https://nih.sharepoint.com/sites/HRSA-HSB/Team/dot/_layouts/15/DocIdRedir.aspx?ID=QPVJESM53SK4-1767020924-74228</Url>
      <Description>QPVJESM53SK4-1767020924-74228</Description>
    </_dlc_DocIdUrl>
  </documentManagement>
</p:properties>
</file>

<file path=customXml/itemProps1.xml><?xml version="1.0" encoding="utf-8"?>
<ds:datastoreItem xmlns:ds="http://schemas.openxmlformats.org/officeDocument/2006/customXml" ds:itemID="{08469C2B-9D8C-4880-8701-C132C2CB789B}">
  <ds:schemaRefs>
    <ds:schemaRef ds:uri="http://schemas.microsoft.com/sharepoint/v3/contenttype/forms"/>
  </ds:schemaRefs>
</ds:datastoreItem>
</file>

<file path=customXml/itemProps2.xml><?xml version="1.0" encoding="utf-8"?>
<ds:datastoreItem xmlns:ds="http://schemas.openxmlformats.org/officeDocument/2006/customXml" ds:itemID="{92675B74-C4F5-479F-8BF9-2EA047939BC2}">
  <ds:schemaRefs>
    <ds:schemaRef ds:uri="http://schemas.microsoft.com/sharepoint/events"/>
  </ds:schemaRefs>
</ds:datastoreItem>
</file>

<file path=customXml/itemProps3.xml><?xml version="1.0" encoding="utf-8"?>
<ds:datastoreItem xmlns:ds="http://schemas.openxmlformats.org/officeDocument/2006/customXml" ds:itemID="{1D5C8FF3-E8FB-421A-86D3-7B316CB41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5.xml><?xml version="1.0" encoding="utf-8"?>
<ds:datastoreItem xmlns:ds="http://schemas.openxmlformats.org/officeDocument/2006/customXml" ds:itemID="{486046AC-3CA1-4877-93E5-CA58CC5C264D}">
  <ds:schemaRefs>
    <ds:schemaRef ds:uri="http://schemas.openxmlformats.org/officeDocument/2006/bibliography"/>
  </ds:schemaRefs>
</ds:datastoreItem>
</file>

<file path=customXml/itemProps6.xml><?xml version="1.0" encoding="utf-8"?>
<ds:datastoreItem xmlns:ds="http://schemas.openxmlformats.org/officeDocument/2006/customXml" ds:itemID="{B6409447-424B-46F1-97B6-0598EFE31B15}">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sharepoint/v4"/>
    <ds:schemaRef ds:uri="dae0f925-a78b-4f93-b0e5-451dcac5f217"/>
    <ds:schemaRef ds:uri="6fecf0f2-feef-4eb2-bbd5-7e9975a06720"/>
    <ds:schemaRef ds:uri="http://www.w3.org/XML/1998/namespace"/>
    <ds:schemaRef ds:uri="http://purl.org/dc/elements/1.1/"/>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57</TotalTime>
  <Pages>16</Pages>
  <Words>5096</Words>
  <Characters>30401</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Supporting Statement-SCTOD draft to HRSA 2018-11-29_HRSA</vt:lpstr>
    </vt:vector>
  </TitlesOfParts>
  <Company>Be The Match - NMDP</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Statement-SCTOD draft to HRSA 2018-11-29_HRSA</dc:title>
  <dc:creator>Rachael Latchana</dc:creator>
  <cp:lastModifiedBy>HRSA</cp:lastModifiedBy>
  <cp:revision>34</cp:revision>
  <cp:lastPrinted>2021-10-15T12:23:00Z</cp:lastPrinted>
  <dcterms:created xsi:type="dcterms:W3CDTF">2025-07-10T18:37:00Z</dcterms:created>
  <dcterms:modified xsi:type="dcterms:W3CDTF">2025-07-30T12:50:00Z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26a5e6e3-d4c4-4549-a8b9-3247cad5b19f</vt:lpwstr>
  </property>
  <property fmtid="{D5CDD505-2E9C-101B-9397-08002B2CF9AE}" pid="4" name="MediaServiceImageTags">
    <vt:lpwstr/>
  </property>
  <property fmtid="{D5CDD505-2E9C-101B-9397-08002B2CF9AE}" pid="5" name="Order">
    <vt:r8>394500</vt:r8>
  </property>
  <property fmtid="{D5CDD505-2E9C-101B-9397-08002B2CF9AE}" pid="6" name="_dlc_DocIdItemGuid">
    <vt:lpwstr>e8963e3d-599e-4898-bca8-cf898702bd62</vt:lpwstr>
  </property>
</Properties>
</file>