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EEA" w14:paraId="3C4E4D2E" w14:textId="77777777">
      <w:pPr>
        <w:tabs>
          <w:tab w:val="center" w:pos="4680"/>
          <w:tab w:val="right" w:pos="9360"/>
        </w:tabs>
        <w:spacing w:line="240" w:lineRule="auto"/>
        <w:jc w:val="right"/>
        <w:rPr>
          <w:rFonts w:ascii="Times New Roman" w:eastAsia="Times New Roman" w:hAnsi="Times New Roman" w:cs="Times New Roman"/>
          <w:color w:val="000000"/>
          <w:sz w:val="18"/>
          <w:szCs w:val="18"/>
        </w:rPr>
      </w:pPr>
    </w:p>
    <w:p w:rsidR="00FE2EEA" w14:paraId="22F3B142" w14:textId="5A7B31F8">
      <w:pPr>
        <w:tabs>
          <w:tab w:val="center" w:pos="4680"/>
          <w:tab w:val="right" w:pos="9360"/>
        </w:tabs>
        <w:spacing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OMB Control N</w:t>
      </w:r>
      <w:r w:rsidR="009F7356">
        <w:rPr>
          <w:rFonts w:ascii="Times New Roman" w:eastAsia="Times New Roman" w:hAnsi="Times New Roman" w:cs="Times New Roman"/>
          <w:color w:val="000000"/>
          <w:sz w:val="18"/>
          <w:szCs w:val="18"/>
        </w:rPr>
        <w:t>o:0920-1154</w:t>
      </w:r>
    </w:p>
    <w:p w:rsidR="00FE2EEA" w14:paraId="39CB04C4" w14:textId="5EA98E29">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Exp. Date </w:t>
      </w:r>
      <w:r w:rsidR="009F7356">
        <w:rPr>
          <w:rFonts w:ascii="Times New Roman" w:eastAsia="Times New Roman" w:hAnsi="Times New Roman" w:cs="Times New Roman"/>
          <w:color w:val="000000"/>
          <w:sz w:val="18"/>
          <w:szCs w:val="18"/>
        </w:rPr>
        <w:t>:03/31/2026</w:t>
      </w:r>
    </w:p>
    <w:p w:rsidR="00FE2EEA" w14:paraId="3C82A866" w14:textId="47B646CB">
      <w:pPr>
        <w:pBdr>
          <w:bottom w:val="single" w:sz="12" w:space="1" w:color="000000"/>
        </w:pBdr>
        <w:spacing w:after="16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public reporting burden of this collection of information is estimated to average </w:t>
      </w:r>
      <w:r w:rsidR="009F7356">
        <w:rPr>
          <w:rFonts w:ascii="Times New Roman" w:eastAsia="Times New Roman" w:hAnsi="Times New Roman" w:cs="Times New Roman"/>
          <w:color w:val="000000"/>
          <w:sz w:val="18"/>
          <w:szCs w:val="18"/>
        </w:rPr>
        <w:t xml:space="preserve">3 </w:t>
      </w:r>
      <w:r>
        <w:rPr>
          <w:rFonts w:ascii="Times New Roman" w:eastAsia="Times New Roman" w:hAnsi="Times New Roman" w:cs="Times New Roman"/>
          <w:color w:val="000000"/>
          <w:sz w:val="18"/>
          <w:szCs w:val="18"/>
        </w:rPr>
        <w:t>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FE2EEA" w14:paraId="7B8318AF"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FE2EEA" w14:paraId="6F56E449" w14:textId="77777777">
      <w:pPr>
        <w:pStyle w:val="Title"/>
      </w:pPr>
      <w:bookmarkStart w:id="0" w:name="_heading=h.gjdgxs" w:colFirst="0" w:colLast="0"/>
      <w:bookmarkEnd w:id="0"/>
      <w:r>
        <w:t>Recruitment Materials - Interviews</w:t>
      </w:r>
    </w:p>
    <w:p w:rsidR="00FE2EEA" w14:paraId="7380C851" w14:textId="77777777">
      <w:pPr>
        <w:pStyle w:val="Heading2"/>
      </w:pPr>
      <w:bookmarkStart w:id="1" w:name="_heading=h.30j0zll" w:colFirst="0" w:colLast="0"/>
      <w:bookmarkEnd w:id="1"/>
      <w:r>
        <w:t>Tribal Health Care Providers</w:t>
      </w:r>
    </w:p>
    <w:tbl>
      <w:tblPr>
        <w:tblStyle w:val="a"/>
        <w:tblW w:w="9360" w:type="dxa"/>
        <w:tblLayout w:type="fixed"/>
        <w:tblLook w:val="0600"/>
      </w:tblPr>
      <w:tblGrid>
        <w:gridCol w:w="1605"/>
        <w:gridCol w:w="7755"/>
      </w:tblGrid>
      <w:tr w14:paraId="0E74EEB6"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FE2EEA" w14:paraId="2E91B8BF"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FE2EEA" w14:paraId="276951D4" w14:textId="1E38FAAD">
            <w:pPr>
              <w:spacing w:line="240" w:lineRule="auto"/>
            </w:pPr>
            <w:r>
              <w:t>January 9, 2024</w:t>
            </w:r>
          </w:p>
        </w:tc>
      </w:tr>
    </w:tbl>
    <w:p w:rsidR="00FE2EEA" w14:paraId="36F6748A" w14:textId="77777777">
      <w:pPr>
        <w:pStyle w:val="Heading1"/>
      </w:pPr>
      <w:bookmarkStart w:id="2" w:name="_heading=h.1fob9te" w:colFirst="0" w:colLast="0"/>
      <w:bookmarkEnd w:id="2"/>
      <w:r>
        <w:t xml:space="preserve">Project Summary </w:t>
      </w:r>
    </w:p>
    <w:p w:rsidR="00FE2EEA" w14:paraId="27E1A35B" w14:textId="77777777">
      <w:r>
        <w:t>The goal of this in depth interview is to collaborate and learn from you about your experience with administering the current concussion and mild Traumatic Brain Injury (TBI) medical discharge instructions among your Tribal-affiliated adult patients. This information will help us develop appropriate concussion discharge instructions for Alaska Natives, American Indians, Native people, and Tribal members. This project is being conducted for the Centers for Disease Control and Prevention, also known as the CDC.</w:t>
      </w:r>
    </w:p>
    <w:p w:rsidR="00FE2EEA" w14:paraId="620B88BE" w14:textId="77777777">
      <w:pPr>
        <w:pStyle w:val="Heading1"/>
      </w:pPr>
      <w:bookmarkStart w:id="3" w:name="_heading=h.3znysh7" w:colFirst="0" w:colLast="0"/>
      <w:bookmarkStart w:id="4" w:name="_heading=h.2et92p0" w:colFirst="0" w:colLast="0"/>
      <w:bookmarkEnd w:id="3"/>
      <w:bookmarkEnd w:id="4"/>
      <w:r>
        <w:t xml:space="preserve">Email Text </w:t>
      </w:r>
    </w:p>
    <w:p w:rsidR="00FE2EEA" w14:paraId="6F89D2B0" w14:textId="77777777">
      <w:pPr>
        <w:rPr>
          <w:b/>
        </w:rPr>
      </w:pPr>
      <w:r>
        <w:rPr>
          <w:b/>
        </w:rPr>
        <w:t>Subject: CDC Individual Interview on Concussion Discharge Instructions</w:t>
      </w:r>
    </w:p>
    <w:p w:rsidR="00FE2EEA" w14:paraId="156498D6" w14:textId="77777777">
      <w:pPr>
        <w:rPr>
          <w:b/>
        </w:rPr>
      </w:pPr>
    </w:p>
    <w:p w:rsidR="00FE2EEA" w14:paraId="4F47F6A0" w14:textId="77777777">
      <w:r>
        <w:t>Hello!</w:t>
      </w:r>
    </w:p>
    <w:p w:rsidR="00FE2EEA" w14:paraId="16CD2A66" w14:textId="77777777">
      <w:r>
        <w:t xml:space="preserve">The Centers for Disease Control and Prevention and Banyan Communications are updating the current medical discharge instructions for traumatic brain injuries and concussions. </w:t>
      </w:r>
    </w:p>
    <w:p w:rsidR="00FE2EEA" w14:paraId="57E04F77" w14:textId="77777777"/>
    <w:p w:rsidR="00FE2EEA" w14:paraId="53555BD9" w14:textId="77777777">
      <w:pPr>
        <w:rPr>
          <w:b/>
        </w:rPr>
      </w:pPr>
      <w:r>
        <w:t xml:space="preserve">We are asking Tribal Health Care Providers to share their thoughts and opinions about the concussion discharge instructions in a 1-hour, individual interview via Zoom. Information you provide will help us develop appropriate materials before they are released to medical providers and shared with the community. Participants will receive $50, and all data and information received will be kept private and destroyed after the study. </w:t>
      </w:r>
      <w:r>
        <w:rPr>
          <w:b/>
        </w:rPr>
        <w:t xml:space="preserve">If you are interested in participating, please follow this link. </w:t>
      </w:r>
    </w:p>
    <w:p w:rsidR="00FE2EEA" w14:paraId="0CB188F3" w14:textId="77777777">
      <w:pPr>
        <w:rPr>
          <w:b/>
        </w:rPr>
      </w:pPr>
    </w:p>
    <w:p w:rsidR="00FE2EEA" w14:paraId="11DF8216" w14:textId="77777777">
      <w:r>
        <w:t>We appreciate you considering sharing your opinions and perspectives, and we look forward to hearing from you!</w:t>
      </w:r>
    </w:p>
    <w:p w:rsidR="00FE2EEA" w14:paraId="6934406A" w14:textId="77777777">
      <w:pPr>
        <w:pBdr>
          <w:top w:val="nil"/>
          <w:left w:val="nil"/>
          <w:bottom w:val="nil"/>
          <w:right w:val="nil"/>
          <w:between w:val="nil"/>
        </w:pBdr>
        <w:tabs>
          <w:tab w:val="center" w:pos="4680"/>
          <w:tab w:val="right" w:pos="9360"/>
        </w:tabs>
        <w:spacing w:line="240" w:lineRule="auto"/>
      </w:pPr>
      <w:bookmarkStart w:id="5" w:name="_heading=h.tyjcwt" w:colFirst="0" w:colLast="0"/>
      <w:bookmarkEnd w:id="5"/>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
    <w:sectPr>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EEA" w14:paraId="23257D21" w14:textId="77777777">
    <w:pPr>
      <w:rPr>
        <w:color w:val="D34526"/>
        <w:sz w:val="22"/>
        <w:szCs w:val="22"/>
      </w:rPr>
    </w:pPr>
  </w:p>
  <w:tbl>
    <w:tblPr>
      <w:tblStyle w:val="a0"/>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55321156"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FE2EEA" w14:paraId="703E113C"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FE2EEA" w14:paraId="1828181F" w14:textId="77777777">
          <w:pPr>
            <w:jc w:val="right"/>
            <w:rPr>
              <w:color w:val="D34526"/>
              <w:sz w:val="4"/>
              <w:szCs w:val="4"/>
            </w:rPr>
          </w:pPr>
        </w:p>
      </w:tc>
    </w:tr>
    <w:tr w14:paraId="5F64B8FD"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FE2EEA" w14:paraId="7CCFF34B"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FE2EEA" w14:paraId="50B58965"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C856A8">
            <w:rPr>
              <w:noProof/>
              <w:color w:val="D34526"/>
              <w:sz w:val="14"/>
              <w:szCs w:val="14"/>
            </w:rPr>
            <w:t>1</w:t>
          </w:r>
          <w:r>
            <w:rPr>
              <w:color w:val="D34526"/>
              <w:sz w:val="14"/>
              <w:szCs w:val="14"/>
            </w:rPr>
            <w:fldChar w:fldCharType="end"/>
          </w:r>
        </w:p>
      </w:tc>
    </w:tr>
  </w:tbl>
  <w:p w:rsidR="00FE2EEA" w14:paraId="36199ED2"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EEA" w14:paraId="5DEB31F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EEA" w14:paraId="4B83AF2F"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FE2EEA" w14:paraId="15E469D4" w14:textId="77777777">
    <w:pPr>
      <w:spacing w:line="240" w:lineRule="auto"/>
      <w:rPr>
        <w:b/>
        <w:sz w:val="18"/>
        <w:szCs w:val="18"/>
      </w:rPr>
    </w:pPr>
    <w:r>
      <w:rPr>
        <w:sz w:val="18"/>
        <w:szCs w:val="18"/>
      </w:rPr>
      <w:t>HEADS UP! Outreach to At-Risk Groups (13553)</w:t>
    </w:r>
  </w:p>
  <w:p w:rsidR="00FE2EEA" w14:paraId="76BCB5FD"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EEA" w14:paraId="55738C24"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FE2EEA" w14:paraId="4CD41EAA" w14:textId="77777777">
    <w:pPr>
      <w:spacing w:line="240" w:lineRule="auto"/>
      <w:rPr>
        <w:sz w:val="18"/>
        <w:szCs w:val="18"/>
      </w:rPr>
    </w:pPr>
    <w:r>
      <w:rPr>
        <w:sz w:val="18"/>
        <w:szCs w:val="18"/>
      </w:rPr>
      <w:t>Interactive Educational Experience</w:t>
    </w:r>
  </w:p>
  <w:p w:rsidR="00FE2EEA" w14:paraId="00A93495" w14:textId="77777777">
    <w:pPr>
      <w:spacing w:line="240" w:lineRule="auto"/>
      <w:rPr>
        <w:sz w:val="18"/>
        <w:szCs w:val="18"/>
      </w:rPr>
    </w:pPr>
    <w:r>
      <w:rPr>
        <w:sz w:val="18"/>
        <w:szCs w:val="18"/>
      </w:rPr>
      <w:t>Job #XXXX</w:t>
    </w:r>
  </w:p>
  <w:p w:rsidR="00FE2EEA" w14:paraId="7652DCEA" w14:textId="77777777">
    <w:pPr>
      <w:spacing w:line="240" w:lineRule="auto"/>
    </w:pPr>
  </w:p>
  <w:p w:rsidR="00FE2EEA" w14:paraId="63F20454" w14:textId="77777777">
    <w:pPr>
      <w:pStyle w:val="Title"/>
      <w:spacing w:line="240" w:lineRule="auto"/>
    </w:pPr>
    <w:bookmarkStart w:id="6" w:name="_heading=h.3dy6vkm" w:colFirst="0" w:colLast="0"/>
    <w:bookmarkEnd w:id="6"/>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382FBA"/>
    <w:multiLevelType w:val="multilevel"/>
    <w:tmpl w:val="70025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1C0DB5"/>
    <w:multiLevelType w:val="multilevel"/>
    <w:tmpl w:val="122ED1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5AF710A6"/>
    <w:multiLevelType w:val="multilevel"/>
    <w:tmpl w:val="DD76A44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68067DE6"/>
    <w:multiLevelType w:val="multilevel"/>
    <w:tmpl w:val="489E3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9530007">
    <w:abstractNumId w:val="0"/>
  </w:num>
  <w:num w:numId="2" w16cid:durableId="482432627">
    <w:abstractNumId w:val="1"/>
  </w:num>
  <w:num w:numId="3" w16cid:durableId="1474448536">
    <w:abstractNumId w:val="3"/>
  </w:num>
  <w:num w:numId="4" w16cid:durableId="939944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EA"/>
    <w:rsid w:val="00003A27"/>
    <w:rsid w:val="0015023F"/>
    <w:rsid w:val="00320413"/>
    <w:rsid w:val="009F7356"/>
    <w:rsid w:val="00A050E8"/>
    <w:rsid w:val="00B03290"/>
    <w:rsid w:val="00C856A8"/>
    <w:rsid w:val="00FE2E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9570C9"/>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azeQ5EpkySDvoFrpU8/0YaTA==">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Vedavyas, Archana (CDC/NCIPC/OD) (CTR)</cp:lastModifiedBy>
  <cp:revision>5</cp:revision>
  <dcterms:created xsi:type="dcterms:W3CDTF">2024-01-09T21:58:00Z</dcterms:created>
  <dcterms:modified xsi:type="dcterms:W3CDTF">2024-01-16T05:57:00Z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97936ca2-67c3-4cb2-b94a-7157acabf16c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2024-01-09T21:33:32Z</vt:lpwstr>
  </property>
  <property fmtid="{D5CDD505-2E9C-101B-9397-08002B2CF9AE}" pid="8" name="MSIP_Label_7b94a7b8-f06c-4dfe-bdcc-9b548fd58c31_SiteId">
    <vt:lpwstr>9ce70869-60db-44fd-abe8-d2767077fc8f</vt:lpwstr>
  </property>
</Properties>
</file>