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2B" w14:paraId="00000001" w14:textId="77777777">
      <w:pPr>
        <w:pStyle w:val="Normal2"/>
      </w:pPr>
      <w:bookmarkStart w:id="0" w:name="_heading=h.gjdgxs" w:colFirst="0" w:colLast="0"/>
      <w:bookmarkEnd w:id="0"/>
    </w:p>
    <w:p w:rsidR="003D5C2B" w14:paraId="00000002" w14:textId="77777777">
      <w:pPr>
        <w:pStyle w:val="Normal2"/>
        <w:jc w:val="center"/>
        <w:rPr>
          <w:b/>
        </w:rPr>
      </w:pPr>
    </w:p>
    <w:p w:rsidR="003D5C2B" w14:paraId="00000003" w14:textId="77777777">
      <w:pPr>
        <w:pStyle w:val="Normal2"/>
        <w:spacing w:after="0"/>
        <w:jc w:val="center"/>
        <w:rPr>
          <w:b/>
          <w:sz w:val="32"/>
          <w:szCs w:val="32"/>
        </w:rPr>
      </w:pPr>
      <w:r>
        <w:rPr>
          <w:b/>
          <w:sz w:val="32"/>
          <w:szCs w:val="32"/>
        </w:rPr>
        <w:t>GenIC</w:t>
      </w:r>
      <w:r>
        <w:rPr>
          <w:b/>
          <w:sz w:val="32"/>
          <w:szCs w:val="32"/>
        </w:rPr>
        <w:t xml:space="preserve"> Clearance for CDC/ATSDR</w:t>
      </w:r>
    </w:p>
    <w:p w:rsidR="003D5C2B" w14:paraId="00000004" w14:textId="77777777">
      <w:pPr>
        <w:pStyle w:val="Normal2"/>
        <w:jc w:val="center"/>
        <w:rPr>
          <w:b/>
          <w:sz w:val="32"/>
          <w:szCs w:val="32"/>
        </w:rPr>
      </w:pPr>
      <w:r>
        <w:rPr>
          <w:b/>
          <w:sz w:val="32"/>
          <w:szCs w:val="32"/>
        </w:rPr>
        <w:t>Formative Research and Tool Development</w:t>
      </w:r>
    </w:p>
    <w:p w:rsidR="003D5C2B" w14:paraId="00000005" w14:textId="77777777">
      <w:pPr>
        <w:pStyle w:val="Normal2"/>
      </w:pPr>
    </w:p>
    <w:p w:rsidR="003D5C2B" w14:paraId="00000008" w14:textId="4BA404AE">
      <w:pPr>
        <w:pStyle w:val="Normal2"/>
        <w:spacing w:after="0" w:line="240" w:lineRule="auto"/>
        <w:jc w:val="center"/>
        <w:rPr>
          <w:b/>
          <w:color w:val="222222"/>
          <w:sz w:val="48"/>
          <w:szCs w:val="48"/>
        </w:rPr>
      </w:pPr>
      <w:r>
        <w:rPr>
          <w:b/>
          <w:color w:val="222222"/>
          <w:sz w:val="48"/>
          <w:szCs w:val="48"/>
          <w:highlight w:val="white"/>
        </w:rPr>
        <w:t xml:space="preserve">Youth Audience Message Testing of </w:t>
      </w:r>
      <w:r w:rsidR="004F4D23">
        <w:rPr>
          <w:b/>
          <w:color w:val="222222"/>
          <w:sz w:val="48"/>
          <w:szCs w:val="48"/>
          <w:highlight w:val="white"/>
        </w:rPr>
        <w:t>Substance Use</w:t>
      </w:r>
      <w:r>
        <w:rPr>
          <w:b/>
          <w:color w:val="222222"/>
          <w:sz w:val="48"/>
          <w:szCs w:val="48"/>
          <w:highlight w:val="white"/>
        </w:rPr>
        <w:t xml:space="preserve"> Prevention Messages</w:t>
      </w:r>
    </w:p>
    <w:p w:rsidR="005A4FFA" w14:paraId="6AA16EB5" w14:textId="77777777">
      <w:pPr>
        <w:pStyle w:val="Normal2"/>
        <w:spacing w:after="0" w:line="240" w:lineRule="auto"/>
        <w:jc w:val="center"/>
        <w:rPr>
          <w:b/>
          <w:sz w:val="48"/>
          <w:szCs w:val="48"/>
        </w:rPr>
      </w:pPr>
    </w:p>
    <w:p w:rsidR="003D5C2B" w14:paraId="00000009" w14:textId="77777777">
      <w:pPr>
        <w:pStyle w:val="Normal2"/>
        <w:spacing w:after="0" w:line="240" w:lineRule="auto"/>
        <w:jc w:val="center"/>
        <w:rPr>
          <w:b/>
          <w:sz w:val="48"/>
          <w:szCs w:val="48"/>
        </w:rPr>
      </w:pPr>
    </w:p>
    <w:p w:rsidR="003D5C2B" w14:paraId="0000000A" w14:textId="77777777">
      <w:pPr>
        <w:pStyle w:val="Normal2"/>
        <w:spacing w:after="0" w:line="240" w:lineRule="auto"/>
        <w:jc w:val="center"/>
        <w:rPr>
          <w:b/>
        </w:rPr>
      </w:pPr>
    </w:p>
    <w:p w:rsidR="003D5C2B" w14:paraId="0000000B" w14:textId="77777777">
      <w:pPr>
        <w:pStyle w:val="Normal2"/>
        <w:spacing w:after="0" w:line="240" w:lineRule="auto"/>
        <w:jc w:val="center"/>
        <w:rPr>
          <w:b/>
        </w:rPr>
      </w:pPr>
    </w:p>
    <w:p w:rsidR="003D5C2B" w14:paraId="0000000C" w14:textId="77777777">
      <w:pPr>
        <w:pStyle w:val="Normal2"/>
      </w:pPr>
    </w:p>
    <w:p w:rsidR="003D5C2B" w14:paraId="0000000D" w14:textId="77777777">
      <w:pPr>
        <w:pStyle w:val="Normal2"/>
      </w:pPr>
    </w:p>
    <w:p w:rsidR="003D5C2B" w14:paraId="0000000E" w14:textId="77777777">
      <w:pPr>
        <w:pStyle w:val="Normal2"/>
      </w:pPr>
    </w:p>
    <w:p w:rsidR="003D5C2B" w14:paraId="0000000F" w14:textId="77777777">
      <w:pPr>
        <w:pStyle w:val="Normal2"/>
        <w:spacing w:after="0" w:line="240" w:lineRule="auto"/>
        <w:jc w:val="center"/>
        <w:rPr>
          <w:b/>
        </w:rPr>
      </w:pPr>
    </w:p>
    <w:p w:rsidR="003D5C2B" w14:paraId="00000010" w14:textId="38C2E360">
      <w:pPr>
        <w:pStyle w:val="heading42"/>
      </w:pPr>
      <w:bookmarkStart w:id="1" w:name="_Toc160702590"/>
      <w:r>
        <w:t>Supporting Statement B</w:t>
      </w:r>
      <w:bookmarkEnd w:id="1"/>
    </w:p>
    <w:p w:rsidR="003D5C2B" w14:paraId="00000011" w14:textId="77777777">
      <w:pPr>
        <w:pStyle w:val="Normal2"/>
        <w:spacing w:after="0" w:line="240" w:lineRule="auto"/>
        <w:rPr>
          <w:b/>
        </w:rPr>
      </w:pPr>
    </w:p>
    <w:p w:rsidR="003D5C2B" w14:paraId="00000012" w14:textId="77777777">
      <w:pPr>
        <w:pStyle w:val="Normal2"/>
        <w:spacing w:after="0" w:line="240" w:lineRule="auto"/>
        <w:rPr>
          <w:b/>
        </w:rPr>
      </w:pPr>
    </w:p>
    <w:p w:rsidR="003D5C2B" w14:paraId="00000013" w14:textId="77777777">
      <w:pPr>
        <w:pStyle w:val="Normal2"/>
        <w:spacing w:after="0" w:line="240" w:lineRule="auto"/>
        <w:rPr>
          <w:b/>
        </w:rPr>
      </w:pPr>
    </w:p>
    <w:p w:rsidR="003D5C2B" w14:paraId="00000014" w14:textId="77777777">
      <w:pPr>
        <w:pStyle w:val="Normal2"/>
        <w:spacing w:after="0" w:line="240" w:lineRule="auto"/>
        <w:rPr>
          <w:b/>
        </w:rPr>
      </w:pPr>
    </w:p>
    <w:p w:rsidR="003D5C2B" w14:paraId="00000015" w14:textId="77777777">
      <w:pPr>
        <w:pStyle w:val="Normal2"/>
        <w:spacing w:after="0" w:line="240" w:lineRule="auto"/>
        <w:rPr>
          <w:b/>
        </w:rPr>
      </w:pPr>
    </w:p>
    <w:p w:rsidR="003D5C2B" w14:paraId="00000016" w14:textId="77777777">
      <w:pPr>
        <w:pStyle w:val="Normal2"/>
        <w:spacing w:after="0" w:line="240" w:lineRule="auto"/>
        <w:rPr>
          <w:b/>
        </w:rPr>
      </w:pPr>
    </w:p>
    <w:p w:rsidR="003D5C2B" w14:paraId="00000017" w14:textId="77777777">
      <w:pPr>
        <w:pStyle w:val="Normal2"/>
        <w:spacing w:after="0" w:line="240" w:lineRule="auto"/>
        <w:rPr>
          <w:b/>
        </w:rPr>
      </w:pPr>
    </w:p>
    <w:p w:rsidR="003D5C2B" w14:paraId="00000018" w14:textId="77777777">
      <w:pPr>
        <w:pStyle w:val="Normal2"/>
        <w:spacing w:after="0" w:line="240" w:lineRule="auto"/>
        <w:rPr>
          <w:b/>
        </w:rPr>
      </w:pPr>
    </w:p>
    <w:p w:rsidR="003D5C2B" w14:paraId="00000019" w14:textId="77777777">
      <w:pPr>
        <w:pStyle w:val="Normal2"/>
        <w:pBdr>
          <w:top w:val="nil"/>
          <w:left w:val="nil"/>
          <w:bottom w:val="nil"/>
          <w:right w:val="nil"/>
          <w:between w:val="nil"/>
        </w:pBdr>
        <w:spacing w:after="0" w:line="240" w:lineRule="auto"/>
        <w:rPr>
          <w:b/>
        </w:rPr>
      </w:pPr>
    </w:p>
    <w:p w:rsidR="003D5C2B" w14:paraId="0000001A" w14:textId="77777777">
      <w:pPr>
        <w:pStyle w:val="Normal2"/>
        <w:pBdr>
          <w:top w:val="nil"/>
          <w:left w:val="nil"/>
          <w:bottom w:val="nil"/>
          <w:right w:val="nil"/>
          <w:between w:val="nil"/>
        </w:pBdr>
        <w:spacing w:after="0" w:line="240" w:lineRule="auto"/>
        <w:rPr>
          <w:b/>
        </w:rPr>
      </w:pPr>
    </w:p>
    <w:p w:rsidR="003D5C2B" w14:paraId="0000001B" w14:textId="77777777">
      <w:pPr>
        <w:pStyle w:val="Normal2"/>
        <w:pBdr>
          <w:top w:val="nil"/>
          <w:left w:val="nil"/>
          <w:bottom w:val="nil"/>
          <w:right w:val="nil"/>
          <w:between w:val="nil"/>
        </w:pBdr>
        <w:spacing w:after="0" w:line="240" w:lineRule="auto"/>
        <w:rPr>
          <w:b/>
        </w:rPr>
      </w:pPr>
    </w:p>
    <w:p w:rsidR="003D5C2B" w14:paraId="0000001C" w14:textId="77777777">
      <w:pPr>
        <w:pStyle w:val="Normal2"/>
        <w:pBdr>
          <w:top w:val="nil"/>
          <w:left w:val="nil"/>
          <w:bottom w:val="nil"/>
          <w:right w:val="nil"/>
          <w:between w:val="nil"/>
        </w:pBdr>
        <w:spacing w:after="0" w:line="240" w:lineRule="auto"/>
        <w:rPr>
          <w:b/>
        </w:rPr>
      </w:pPr>
    </w:p>
    <w:p w:rsidR="003D5C2B" w14:paraId="0000001D" w14:textId="3EC2F34A">
      <w:pPr>
        <w:pStyle w:val="Normal2"/>
        <w:spacing w:after="0" w:line="240" w:lineRule="auto"/>
        <w:rPr>
          <w:b/>
        </w:rPr>
      </w:pPr>
      <w:r>
        <w:rPr>
          <w:b/>
        </w:rPr>
        <w:t xml:space="preserve">Contact: </w:t>
      </w:r>
      <w:r w:rsidR="003229D3">
        <w:rPr>
          <w:b/>
        </w:rPr>
        <w:t>Jasmine Kenn</w:t>
      </w:r>
      <w:r w:rsidR="00996F2B">
        <w:rPr>
          <w:b/>
        </w:rPr>
        <w:t>e</w:t>
      </w:r>
      <w:r w:rsidR="003229D3">
        <w:rPr>
          <w:b/>
        </w:rPr>
        <w:t>y</w:t>
      </w:r>
      <w:r w:rsidR="00777629">
        <w:rPr>
          <w:b/>
        </w:rPr>
        <w:t>, MPH</w:t>
      </w:r>
    </w:p>
    <w:p w:rsidR="003D5C2B" w14:paraId="0000001E" w14:textId="77777777">
      <w:pPr>
        <w:pStyle w:val="Normal2"/>
        <w:spacing w:after="0" w:line="240" w:lineRule="auto"/>
      </w:pPr>
      <w:r>
        <w:t>Communication Branch</w:t>
      </w:r>
    </w:p>
    <w:p w:rsidR="003D5C2B" w14:paraId="0000001F" w14:textId="77777777">
      <w:pPr>
        <w:pStyle w:val="Normal2"/>
        <w:spacing w:after="0" w:line="240" w:lineRule="auto"/>
      </w:pPr>
      <w:r>
        <w:t>Division of Overdose Prevention (DOP)</w:t>
      </w:r>
    </w:p>
    <w:p w:rsidR="003D5C2B" w14:paraId="00000020" w14:textId="77777777">
      <w:pPr>
        <w:pStyle w:val="Normal2"/>
        <w:spacing w:after="0" w:line="240" w:lineRule="auto"/>
      </w:pPr>
      <w:r>
        <w:t>National Center for Injury Prevention and Control (NCIPC)</w:t>
      </w:r>
    </w:p>
    <w:p w:rsidR="003D5C2B" w14:paraId="00000021" w14:textId="77777777">
      <w:pPr>
        <w:pStyle w:val="Normal2"/>
        <w:spacing w:after="0" w:line="240" w:lineRule="auto"/>
      </w:pPr>
      <w:r>
        <w:t>Centers for Disease Control and Prevention (CDC)</w:t>
      </w:r>
    </w:p>
    <w:p w:rsidR="003D5C2B" w14:paraId="00000022" w14:textId="77777777">
      <w:pPr>
        <w:pStyle w:val="Normal2"/>
        <w:spacing w:after="0" w:line="240" w:lineRule="auto"/>
      </w:pPr>
      <w:r>
        <w:t>4770 Buford Hwy NE, MS S106</w:t>
      </w:r>
    </w:p>
    <w:p w:rsidR="003D5C2B" w14:paraId="00000023" w14:textId="77777777">
      <w:pPr>
        <w:pStyle w:val="Normal2"/>
        <w:spacing w:after="0" w:line="240" w:lineRule="auto"/>
      </w:pPr>
      <w:r>
        <w:t>Atlanta, Georgia 30341</w:t>
      </w:r>
    </w:p>
    <w:p w:rsidR="003D5C2B" w14:paraId="00000024" w14:textId="77777777">
      <w:pPr>
        <w:pStyle w:val="Normal2"/>
        <w:spacing w:after="0" w:line="240" w:lineRule="auto"/>
      </w:pPr>
      <w:r>
        <w:t>Phone: 770-488-5423</w:t>
      </w:r>
    </w:p>
    <w:p w:rsidR="003D5C2B" w14:paraId="00000025" w14:textId="77777777">
      <w:pPr>
        <w:pStyle w:val="Normal2"/>
        <w:spacing w:after="0" w:line="240" w:lineRule="auto"/>
        <w:rPr>
          <w:b/>
        </w:rPr>
      </w:pPr>
      <w:r>
        <w:t>Email: gnk2@cdc.gov</w:t>
      </w:r>
    </w:p>
    <w:p w:rsidR="003D5C2B" w14:paraId="00000026" w14:textId="77777777">
      <w:pPr>
        <w:pStyle w:val="Normal2"/>
        <w:pBdr>
          <w:top w:val="nil"/>
          <w:left w:val="nil"/>
          <w:bottom w:val="nil"/>
          <w:right w:val="nil"/>
          <w:between w:val="nil"/>
        </w:pBdr>
        <w:spacing w:after="0" w:line="240" w:lineRule="auto"/>
        <w:rPr>
          <w:color w:val="000000"/>
        </w:rPr>
      </w:pPr>
    </w:p>
    <w:p w:rsidR="003D5C2B" w14:paraId="00000027" w14:textId="177B72BB">
      <w:pPr>
        <w:pStyle w:val="heading42"/>
        <w:rPr>
          <w:sz w:val="22"/>
          <w:szCs w:val="22"/>
        </w:rPr>
      </w:pPr>
      <w:bookmarkStart w:id="2" w:name="_Toc160702591"/>
      <w:r>
        <w:rPr>
          <w:sz w:val="22"/>
          <w:szCs w:val="22"/>
        </w:rPr>
        <w:t>Table of Contents</w:t>
      </w:r>
      <w:bookmarkStart w:id="3" w:name="_Hlt160702428"/>
      <w:bookmarkStart w:id="4" w:name="_Hlt160702429"/>
      <w:bookmarkStart w:id="5" w:name="_Hlt160702432"/>
      <w:bookmarkStart w:id="6" w:name="_Hlt160702436"/>
      <w:bookmarkStart w:id="7" w:name="_Hlt160702470"/>
      <w:bookmarkStart w:id="8" w:name="_Hlt160702440"/>
      <w:bookmarkStart w:id="9" w:name="_Hlt160702450"/>
      <w:bookmarkEnd w:id="2"/>
    </w:p>
    <w:sdt>
      <w:sdtPr>
        <w:id w:val="1587437852"/>
        <w:docPartObj>
          <w:docPartGallery w:val="Table of Contents"/>
          <w:docPartUnique/>
        </w:docPartObj>
      </w:sdtPr>
      <w:sdtContent>
        <w:p w:rsidR="007D247D" w:rsidP="007D247D" w14:paraId="22958B01" w14:textId="3C941B5C">
          <w:pPr>
            <w:pStyle w:val="TOC4"/>
            <w:tabs>
              <w:tab w:val="right" w:pos="10070"/>
            </w:tabs>
            <w:rPr>
              <w:rFonts w:asciiTheme="minorHAnsi" w:eastAsiaTheme="minorEastAsia" w:hAnsiTheme="minorHAnsi" w:cstheme="minorBidi"/>
              <w:noProof/>
              <w:kern w:val="2"/>
              <w14:ligatures w14:val="standardContextual"/>
            </w:rPr>
          </w:pPr>
          <w:r>
            <w:fldChar w:fldCharType="begin"/>
          </w:r>
          <w:bookmarkEnd w:id="3"/>
          <w:bookmarkEnd w:id="4"/>
          <w:bookmarkEnd w:id="5"/>
          <w:bookmarkEnd w:id="6"/>
          <w:bookmarkEnd w:id="7"/>
          <w:bookmarkEnd w:id="8"/>
          <w:bookmarkEnd w:id="9"/>
          <w:r>
            <w:instrText xml:space="preserve"> TOC \h \u \z </w:instrText>
          </w:r>
          <w:r>
            <w:fldChar w:fldCharType="separate"/>
          </w:r>
        </w:p>
        <w:p w:rsidR="007D247D" w14:paraId="5E026EF1" w14:textId="262490C6">
          <w:pPr>
            <w:pStyle w:val="TOC1"/>
            <w:tabs>
              <w:tab w:val="left" w:pos="480"/>
              <w:tab w:val="right" w:pos="10070"/>
            </w:tabs>
            <w:rPr>
              <w:rFonts w:asciiTheme="minorHAnsi" w:eastAsiaTheme="minorEastAsia" w:hAnsiTheme="minorHAnsi" w:cstheme="minorBidi"/>
              <w:noProof/>
              <w:kern w:val="2"/>
              <w14:ligatures w14:val="standardContextual"/>
            </w:rPr>
          </w:pPr>
          <w:hyperlink w:anchor="_Toc160702592" w:history="1">
            <w:r w:rsidRPr="00D940BC">
              <w:rPr>
                <w:rStyle w:val="Hyperlink"/>
                <w:noProof/>
              </w:rPr>
              <w:t>1.</w:t>
            </w:r>
            <w:r>
              <w:rPr>
                <w:rFonts w:asciiTheme="minorHAnsi" w:eastAsiaTheme="minorEastAsia" w:hAnsiTheme="minorHAnsi" w:cstheme="minorBidi"/>
                <w:noProof/>
                <w:kern w:val="2"/>
                <w14:ligatures w14:val="standardContextual"/>
              </w:rPr>
              <w:tab/>
            </w:r>
            <w:r w:rsidRPr="00D940BC">
              <w:rPr>
                <w:rStyle w:val="Hyperlink"/>
                <w:noProof/>
              </w:rPr>
              <w:t>Respondent Universe and Sampling Methods</w:t>
            </w:r>
            <w:r>
              <w:rPr>
                <w:noProof/>
                <w:webHidden/>
              </w:rPr>
              <w:tab/>
            </w:r>
            <w:r>
              <w:rPr>
                <w:noProof/>
                <w:webHidden/>
              </w:rPr>
              <w:fldChar w:fldCharType="begin"/>
            </w:r>
            <w:r>
              <w:rPr>
                <w:noProof/>
                <w:webHidden/>
              </w:rPr>
              <w:instrText xml:space="preserve"> PAGEREF _Toc160702592 \h </w:instrText>
            </w:r>
            <w:r>
              <w:rPr>
                <w:noProof/>
                <w:webHidden/>
              </w:rPr>
              <w:fldChar w:fldCharType="separate"/>
            </w:r>
            <w:r>
              <w:rPr>
                <w:noProof/>
                <w:webHidden/>
              </w:rPr>
              <w:t>3</w:t>
            </w:r>
            <w:r>
              <w:rPr>
                <w:noProof/>
                <w:webHidden/>
              </w:rPr>
              <w:fldChar w:fldCharType="end"/>
            </w:r>
          </w:hyperlink>
        </w:p>
        <w:p w:rsidR="007D247D" w14:paraId="1E66FBA1" w14:textId="13BEAA81">
          <w:pPr>
            <w:pStyle w:val="TOC1"/>
            <w:tabs>
              <w:tab w:val="left" w:pos="480"/>
              <w:tab w:val="right" w:pos="10070"/>
            </w:tabs>
            <w:rPr>
              <w:rFonts w:asciiTheme="minorHAnsi" w:eastAsiaTheme="minorEastAsia" w:hAnsiTheme="minorHAnsi" w:cstheme="minorBidi"/>
              <w:noProof/>
              <w:kern w:val="2"/>
              <w14:ligatures w14:val="standardContextual"/>
            </w:rPr>
          </w:pPr>
          <w:hyperlink w:anchor="_Toc160702593" w:history="1">
            <w:r w:rsidRPr="00D940BC">
              <w:rPr>
                <w:rStyle w:val="Hyperlink"/>
                <w:noProof/>
              </w:rPr>
              <w:t>2.</w:t>
            </w:r>
            <w:r>
              <w:rPr>
                <w:rFonts w:asciiTheme="minorHAnsi" w:eastAsiaTheme="minorEastAsia" w:hAnsiTheme="minorHAnsi" w:cstheme="minorBidi"/>
                <w:noProof/>
                <w:kern w:val="2"/>
                <w14:ligatures w14:val="standardContextual"/>
              </w:rPr>
              <w:tab/>
            </w:r>
            <w:r w:rsidRPr="00D940BC">
              <w:rPr>
                <w:rStyle w:val="Hyperlink"/>
                <w:noProof/>
              </w:rPr>
              <w:t>Procedures for the Collection of Information</w:t>
            </w:r>
            <w:r>
              <w:rPr>
                <w:noProof/>
                <w:webHidden/>
              </w:rPr>
              <w:tab/>
            </w:r>
            <w:r>
              <w:rPr>
                <w:noProof/>
                <w:webHidden/>
              </w:rPr>
              <w:fldChar w:fldCharType="begin"/>
            </w:r>
            <w:r>
              <w:rPr>
                <w:noProof/>
                <w:webHidden/>
              </w:rPr>
              <w:instrText xml:space="preserve"> PAGEREF _Toc160702593 \h </w:instrText>
            </w:r>
            <w:r>
              <w:rPr>
                <w:noProof/>
                <w:webHidden/>
              </w:rPr>
              <w:fldChar w:fldCharType="separate"/>
            </w:r>
            <w:r>
              <w:rPr>
                <w:noProof/>
                <w:webHidden/>
              </w:rPr>
              <w:t>3</w:t>
            </w:r>
            <w:r>
              <w:rPr>
                <w:noProof/>
                <w:webHidden/>
              </w:rPr>
              <w:fldChar w:fldCharType="end"/>
            </w:r>
          </w:hyperlink>
        </w:p>
        <w:p w:rsidR="007D247D" w14:paraId="6FD00E6D" w14:textId="4AA579E9">
          <w:pPr>
            <w:pStyle w:val="TOC1"/>
            <w:tabs>
              <w:tab w:val="left" w:pos="480"/>
              <w:tab w:val="right" w:pos="10070"/>
            </w:tabs>
            <w:rPr>
              <w:rFonts w:asciiTheme="minorHAnsi" w:eastAsiaTheme="minorEastAsia" w:hAnsiTheme="minorHAnsi" w:cstheme="minorBidi"/>
              <w:noProof/>
              <w:kern w:val="2"/>
              <w14:ligatures w14:val="standardContextual"/>
            </w:rPr>
          </w:pPr>
          <w:hyperlink w:anchor="_Toc160702594" w:history="1">
            <w:r w:rsidRPr="00D940BC">
              <w:rPr>
                <w:rStyle w:val="Hyperlink"/>
                <w:noProof/>
              </w:rPr>
              <w:t>3.</w:t>
            </w:r>
            <w:r>
              <w:rPr>
                <w:rFonts w:asciiTheme="minorHAnsi" w:eastAsiaTheme="minorEastAsia" w:hAnsiTheme="minorHAnsi" w:cstheme="minorBidi"/>
                <w:noProof/>
                <w:kern w:val="2"/>
                <w14:ligatures w14:val="standardContextual"/>
              </w:rPr>
              <w:tab/>
            </w:r>
            <w:r w:rsidRPr="00D940BC">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_Toc160702594 \h </w:instrText>
            </w:r>
            <w:r>
              <w:rPr>
                <w:noProof/>
                <w:webHidden/>
              </w:rPr>
              <w:fldChar w:fldCharType="separate"/>
            </w:r>
            <w:r>
              <w:rPr>
                <w:noProof/>
                <w:webHidden/>
              </w:rPr>
              <w:t>4</w:t>
            </w:r>
            <w:r>
              <w:rPr>
                <w:noProof/>
                <w:webHidden/>
              </w:rPr>
              <w:fldChar w:fldCharType="end"/>
            </w:r>
          </w:hyperlink>
        </w:p>
        <w:p w:rsidR="007D247D" w14:paraId="1BC65B9E" w14:textId="34B230C7">
          <w:pPr>
            <w:pStyle w:val="TOC1"/>
            <w:tabs>
              <w:tab w:val="left" w:pos="480"/>
              <w:tab w:val="right" w:pos="10070"/>
            </w:tabs>
            <w:rPr>
              <w:rFonts w:asciiTheme="minorHAnsi" w:eastAsiaTheme="minorEastAsia" w:hAnsiTheme="minorHAnsi" w:cstheme="minorBidi"/>
              <w:noProof/>
              <w:kern w:val="2"/>
              <w14:ligatures w14:val="standardContextual"/>
            </w:rPr>
          </w:pPr>
          <w:hyperlink w:anchor="_Toc160702595" w:history="1">
            <w:r w:rsidRPr="00D940BC">
              <w:rPr>
                <w:rStyle w:val="Hyperlink"/>
                <w:noProof/>
              </w:rPr>
              <w:t>4.</w:t>
            </w:r>
            <w:r>
              <w:rPr>
                <w:rFonts w:asciiTheme="minorHAnsi" w:eastAsiaTheme="minorEastAsia" w:hAnsiTheme="minorHAnsi" w:cstheme="minorBidi"/>
                <w:noProof/>
                <w:kern w:val="2"/>
                <w14:ligatures w14:val="standardContextual"/>
              </w:rPr>
              <w:tab/>
            </w:r>
            <w:r w:rsidRPr="00D940BC">
              <w:rPr>
                <w:rStyle w:val="Hyperlink"/>
                <w:noProof/>
              </w:rPr>
              <w:t>Tests of Procedures or Methods to be Undertaken</w:t>
            </w:r>
            <w:r>
              <w:rPr>
                <w:noProof/>
                <w:webHidden/>
              </w:rPr>
              <w:tab/>
            </w:r>
            <w:r>
              <w:rPr>
                <w:noProof/>
                <w:webHidden/>
              </w:rPr>
              <w:fldChar w:fldCharType="begin"/>
            </w:r>
            <w:r>
              <w:rPr>
                <w:noProof/>
                <w:webHidden/>
              </w:rPr>
              <w:instrText xml:space="preserve"> PAGEREF _Toc160702595 \h </w:instrText>
            </w:r>
            <w:r>
              <w:rPr>
                <w:noProof/>
                <w:webHidden/>
              </w:rPr>
              <w:fldChar w:fldCharType="separate"/>
            </w:r>
            <w:r>
              <w:rPr>
                <w:noProof/>
                <w:webHidden/>
              </w:rPr>
              <w:t>5</w:t>
            </w:r>
            <w:r>
              <w:rPr>
                <w:noProof/>
                <w:webHidden/>
              </w:rPr>
              <w:fldChar w:fldCharType="end"/>
            </w:r>
          </w:hyperlink>
        </w:p>
        <w:p w:rsidR="007D247D" w14:paraId="23B58528" w14:textId="3B10B442">
          <w:pPr>
            <w:pStyle w:val="TOC1"/>
            <w:tabs>
              <w:tab w:val="left" w:pos="480"/>
              <w:tab w:val="right" w:pos="10070"/>
            </w:tabs>
            <w:rPr>
              <w:rFonts w:asciiTheme="minorHAnsi" w:eastAsiaTheme="minorEastAsia" w:hAnsiTheme="minorHAnsi" w:cstheme="minorBidi"/>
              <w:noProof/>
              <w:kern w:val="2"/>
              <w14:ligatures w14:val="standardContextual"/>
            </w:rPr>
          </w:pPr>
          <w:hyperlink w:anchor="_Toc160702596" w:history="1">
            <w:r w:rsidRPr="00D940BC">
              <w:rPr>
                <w:rStyle w:val="Hyperlink"/>
                <w:noProof/>
              </w:rPr>
              <w:t>5.</w:t>
            </w:r>
            <w:r>
              <w:rPr>
                <w:rFonts w:asciiTheme="minorHAnsi" w:eastAsiaTheme="minorEastAsia" w:hAnsiTheme="minorHAnsi" w:cstheme="minorBidi"/>
                <w:noProof/>
                <w:kern w:val="2"/>
                <w14:ligatures w14:val="standardContextual"/>
              </w:rPr>
              <w:tab/>
            </w:r>
            <w:r w:rsidRPr="00D940BC">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_Toc160702596 \h </w:instrText>
            </w:r>
            <w:r>
              <w:rPr>
                <w:noProof/>
                <w:webHidden/>
              </w:rPr>
              <w:fldChar w:fldCharType="separate"/>
            </w:r>
            <w:r>
              <w:rPr>
                <w:noProof/>
                <w:webHidden/>
              </w:rPr>
              <w:t>5</w:t>
            </w:r>
            <w:r>
              <w:rPr>
                <w:noProof/>
                <w:webHidden/>
              </w:rPr>
              <w:fldChar w:fldCharType="end"/>
            </w:r>
          </w:hyperlink>
        </w:p>
        <w:p w:rsidR="003D5C2B" w14:paraId="0000002D" w14:textId="05C21152">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fldChar w:fldCharType="end"/>
          </w:r>
        </w:p>
      </w:sdtContent>
    </w:sdt>
    <w:p w:rsidR="003D5C2B" w14:paraId="0000002E" w14:textId="77777777">
      <w:pPr>
        <w:pStyle w:val="Normal2"/>
        <w:rPr>
          <w:sz w:val="22"/>
          <w:szCs w:val="22"/>
        </w:rPr>
      </w:pPr>
    </w:p>
    <w:p w:rsidR="003D5C2B" w14:paraId="0000002F" w14:textId="77777777">
      <w:pPr>
        <w:pStyle w:val="Normal2"/>
      </w:pPr>
      <w:bookmarkStart w:id="10" w:name="_heading=h.30j0zll" w:colFirst="0" w:colLast="0"/>
      <w:bookmarkEnd w:id="10"/>
    </w:p>
    <w:p w:rsidR="003D5C2B" w14:paraId="00000030" w14:textId="77777777">
      <w:pPr>
        <w:pStyle w:val="Normal2"/>
      </w:pPr>
      <w:bookmarkStart w:id="11" w:name="_heading=h.lap1jrqt6als" w:colFirst="0" w:colLast="0"/>
      <w:bookmarkEnd w:id="11"/>
    </w:p>
    <w:p w:rsidR="003D5C2B" w14:paraId="00000031" w14:textId="77777777">
      <w:pPr>
        <w:pStyle w:val="Normal2"/>
      </w:pPr>
      <w:bookmarkStart w:id="12" w:name="_heading=h.jpgfq7y5umng" w:colFirst="0" w:colLast="0"/>
      <w:bookmarkEnd w:id="12"/>
    </w:p>
    <w:p w:rsidR="003D5C2B" w14:paraId="00000032" w14:textId="77777777">
      <w:pPr>
        <w:pStyle w:val="Normal2"/>
      </w:pPr>
      <w:bookmarkStart w:id="13" w:name="_heading=h.r56d4g8zidj1" w:colFirst="0" w:colLast="0"/>
      <w:bookmarkEnd w:id="13"/>
    </w:p>
    <w:p w:rsidR="003D5C2B" w14:paraId="00000033" w14:textId="77777777">
      <w:pPr>
        <w:pStyle w:val="Normal2"/>
      </w:pPr>
      <w:bookmarkStart w:id="14" w:name="_heading=h.8b5af7eqwpqa" w:colFirst="0" w:colLast="0"/>
      <w:bookmarkEnd w:id="14"/>
    </w:p>
    <w:p w:rsidR="003D5C2B" w14:paraId="00000034" w14:textId="77777777">
      <w:pPr>
        <w:pStyle w:val="Normal2"/>
      </w:pPr>
      <w:bookmarkStart w:id="15" w:name="_heading=h.nnu4xqee762d" w:colFirst="0" w:colLast="0"/>
      <w:bookmarkEnd w:id="15"/>
    </w:p>
    <w:p w:rsidR="003D5C2B" w14:paraId="00000035" w14:textId="77777777">
      <w:pPr>
        <w:pStyle w:val="Normal2"/>
      </w:pPr>
      <w:bookmarkStart w:id="16" w:name="_heading=h.wm38pzrhvusx" w:colFirst="0" w:colLast="0"/>
      <w:bookmarkEnd w:id="16"/>
    </w:p>
    <w:p w:rsidR="003D5C2B" w14:paraId="00000036" w14:textId="77777777">
      <w:pPr>
        <w:pStyle w:val="Normal2"/>
      </w:pPr>
      <w:bookmarkStart w:id="17" w:name="_heading=h.s20enp5xmulv" w:colFirst="0" w:colLast="0"/>
      <w:bookmarkEnd w:id="17"/>
    </w:p>
    <w:p w:rsidR="003D5C2B" w14:paraId="00000037" w14:textId="77777777">
      <w:pPr>
        <w:pStyle w:val="Normal2"/>
      </w:pPr>
      <w:bookmarkStart w:id="18" w:name="_heading=h.789g5zj2xa9x" w:colFirst="0" w:colLast="0"/>
      <w:bookmarkEnd w:id="18"/>
    </w:p>
    <w:p w:rsidR="003D5C2B" w14:paraId="00000038" w14:textId="77777777">
      <w:pPr>
        <w:pStyle w:val="Normal2"/>
      </w:pPr>
      <w:bookmarkStart w:id="19" w:name="_heading=h.a2n6z089llmm" w:colFirst="0" w:colLast="0"/>
      <w:bookmarkEnd w:id="19"/>
    </w:p>
    <w:p w:rsidR="003D5C2B" w14:paraId="00000039" w14:textId="77777777">
      <w:pPr>
        <w:pStyle w:val="Normal2"/>
      </w:pPr>
      <w:bookmarkStart w:id="20" w:name="_heading=h.3rgy0p3po583" w:colFirst="0" w:colLast="0"/>
      <w:bookmarkEnd w:id="20"/>
    </w:p>
    <w:p w:rsidR="003D5C2B" w14:paraId="0000003A" w14:textId="77777777">
      <w:pPr>
        <w:pStyle w:val="Normal2"/>
      </w:pPr>
      <w:bookmarkStart w:id="21" w:name="_heading=h.jjraa31bdvoa" w:colFirst="0" w:colLast="0"/>
      <w:bookmarkEnd w:id="21"/>
    </w:p>
    <w:p w:rsidR="003D5C2B" w14:paraId="0000003B" w14:textId="77777777">
      <w:pPr>
        <w:pStyle w:val="Normal2"/>
      </w:pPr>
      <w:bookmarkStart w:id="22" w:name="_heading=h.ea14i4v6314l" w:colFirst="0" w:colLast="0"/>
      <w:bookmarkEnd w:id="22"/>
    </w:p>
    <w:p w:rsidR="003D5C2B" w14:paraId="0000003C" w14:textId="77777777">
      <w:pPr>
        <w:pStyle w:val="Normal2"/>
      </w:pPr>
      <w:bookmarkStart w:id="23" w:name="_heading=h.ptn1eimqehd5" w:colFirst="0" w:colLast="0"/>
      <w:bookmarkEnd w:id="23"/>
    </w:p>
    <w:p w:rsidR="003D5C2B" w14:paraId="0000003D" w14:textId="77777777">
      <w:pPr>
        <w:pStyle w:val="Normal2"/>
      </w:pPr>
      <w:bookmarkStart w:id="24" w:name="_heading=h.1ww6zw3mqxlz" w:colFirst="0" w:colLast="0"/>
      <w:bookmarkEnd w:id="24"/>
    </w:p>
    <w:p w:rsidR="003D5C2B" w14:paraId="0000003E" w14:textId="77777777">
      <w:pPr>
        <w:pStyle w:val="Normal2"/>
      </w:pPr>
    </w:p>
    <w:p w:rsidR="003D5C2B" w14:paraId="0000003F" w14:textId="77777777">
      <w:pPr>
        <w:pStyle w:val="Normal2"/>
      </w:pPr>
      <w:bookmarkStart w:id="25" w:name="_heading=h.ncwnyvl33lgt" w:colFirst="0" w:colLast="0"/>
      <w:bookmarkEnd w:id="25"/>
    </w:p>
    <w:p w:rsidR="003D5C2B" w14:paraId="00000040" w14:textId="77777777">
      <w:pPr>
        <w:pStyle w:val="Normal2"/>
      </w:pPr>
      <w:bookmarkStart w:id="26" w:name="_heading=h.f04bx7hvz8gd" w:colFirst="0" w:colLast="0"/>
      <w:bookmarkEnd w:id="26"/>
    </w:p>
    <w:p w:rsidR="003D5C2B" w14:paraId="00000041" w14:textId="77777777">
      <w:pPr>
        <w:pStyle w:val="Normal2"/>
        <w:spacing w:after="0" w:line="240" w:lineRule="auto"/>
        <w:rPr>
          <w:sz w:val="20"/>
          <w:szCs w:val="20"/>
        </w:rPr>
      </w:pPr>
      <w:r>
        <w:rPr>
          <w:sz w:val="20"/>
          <w:szCs w:val="20"/>
        </w:rPr>
        <w:br/>
      </w:r>
    </w:p>
    <w:p w:rsidR="003D5C2B" w14:paraId="00000042" w14:textId="77777777">
      <w:pPr>
        <w:pStyle w:val="heading12"/>
        <w:ind w:left="720"/>
        <w:rPr>
          <w:sz w:val="22"/>
        </w:rPr>
      </w:pPr>
      <w:bookmarkStart w:id="27" w:name="_Toc160702592"/>
      <w:r>
        <w:rPr>
          <w:sz w:val="22"/>
        </w:rPr>
        <w:t>Respondent Universe and Sampling Methods</w:t>
      </w:r>
      <w:bookmarkEnd w:id="27"/>
    </w:p>
    <w:p w:rsidR="00A355B0" w:rsidRPr="00C567E2" w:rsidP="31D8F34F" w14:paraId="1FCCBF58" w14:textId="50A8D2A7">
      <w:pPr>
        <w:pStyle w:val="Normal2"/>
        <w:pBdr>
          <w:top w:val="nil"/>
          <w:left w:val="nil"/>
          <w:bottom w:val="nil"/>
          <w:right w:val="nil"/>
          <w:between w:val="nil"/>
        </w:pBdr>
        <w:rPr>
          <w:color w:val="000000"/>
        </w:rPr>
      </w:pPr>
      <w:r w:rsidRPr="31D8F34F">
        <w:rPr>
          <w:sz w:val="22"/>
          <w:szCs w:val="22"/>
        </w:rPr>
        <w:t xml:space="preserve">The primary audience for this effort is </w:t>
      </w:r>
      <w:r w:rsidRPr="31D8F34F" w:rsidR="00695F79">
        <w:rPr>
          <w:sz w:val="22"/>
          <w:szCs w:val="22"/>
        </w:rPr>
        <w:t>youth</w:t>
      </w:r>
      <w:r w:rsidRPr="31D8F34F">
        <w:rPr>
          <w:sz w:val="22"/>
          <w:szCs w:val="22"/>
        </w:rPr>
        <w:t xml:space="preserve"> ages 1</w:t>
      </w:r>
      <w:r w:rsidRPr="31D8F34F" w:rsidR="00695F79">
        <w:rPr>
          <w:sz w:val="22"/>
          <w:szCs w:val="22"/>
        </w:rPr>
        <w:t>3</w:t>
      </w:r>
      <w:r w:rsidRPr="31D8F34F">
        <w:rPr>
          <w:sz w:val="22"/>
          <w:szCs w:val="22"/>
        </w:rPr>
        <w:t>–</w:t>
      </w:r>
      <w:r w:rsidRPr="31D8F34F" w:rsidR="00695F79">
        <w:rPr>
          <w:sz w:val="22"/>
          <w:szCs w:val="22"/>
        </w:rPr>
        <w:t>17</w:t>
      </w:r>
      <w:r w:rsidRPr="31D8F34F">
        <w:rPr>
          <w:sz w:val="22"/>
          <w:szCs w:val="22"/>
        </w:rPr>
        <w:t xml:space="preserve">. </w:t>
      </w:r>
      <w:r w:rsidRPr="31D8F34F" w:rsidR="008445CD">
        <w:rPr>
          <w:sz w:val="22"/>
          <w:szCs w:val="22"/>
        </w:rPr>
        <w:t>Respondent</w:t>
      </w:r>
      <w:r w:rsidRPr="31D8F34F">
        <w:rPr>
          <w:sz w:val="22"/>
          <w:szCs w:val="22"/>
        </w:rPr>
        <w:t xml:space="preserve">s should </w:t>
      </w:r>
      <w:r w:rsidRPr="31D8F34F" w:rsidR="00BF6791">
        <w:rPr>
          <w:sz w:val="22"/>
          <w:szCs w:val="22"/>
        </w:rPr>
        <w:t xml:space="preserve">read and write </w:t>
      </w:r>
      <w:r w:rsidRPr="31D8F34F">
        <w:rPr>
          <w:sz w:val="22"/>
          <w:szCs w:val="22"/>
        </w:rPr>
        <w:t xml:space="preserve">English. We will identify and recruit approximately </w:t>
      </w:r>
      <w:r w:rsidRPr="31D8F34F" w:rsidR="000D3798">
        <w:rPr>
          <w:sz w:val="22"/>
          <w:szCs w:val="22"/>
        </w:rPr>
        <w:t>30</w:t>
      </w:r>
      <w:r w:rsidRPr="31D8F34F">
        <w:rPr>
          <w:sz w:val="22"/>
          <w:szCs w:val="22"/>
        </w:rPr>
        <w:t xml:space="preserve"> </w:t>
      </w:r>
      <w:r w:rsidRPr="31D8F34F" w:rsidR="008445CD">
        <w:rPr>
          <w:sz w:val="22"/>
          <w:szCs w:val="22"/>
        </w:rPr>
        <w:t>respondent</w:t>
      </w:r>
      <w:r w:rsidRPr="31D8F34F">
        <w:rPr>
          <w:sz w:val="22"/>
          <w:szCs w:val="22"/>
        </w:rPr>
        <w:t>s</w:t>
      </w:r>
      <w:r w:rsidRPr="31D8F34F" w:rsidR="00D15B20">
        <w:rPr>
          <w:sz w:val="22"/>
          <w:szCs w:val="22"/>
        </w:rPr>
        <w:t xml:space="preserve"> </w:t>
      </w:r>
      <w:r w:rsidRPr="31D8F34F">
        <w:rPr>
          <w:sz w:val="22"/>
          <w:szCs w:val="22"/>
        </w:rPr>
        <w:t xml:space="preserve">through a </w:t>
      </w:r>
      <w:r w:rsidRPr="31D8F34F" w:rsidR="003229D3">
        <w:rPr>
          <w:sz w:val="22"/>
          <w:szCs w:val="22"/>
        </w:rPr>
        <w:t xml:space="preserve">recruitment and market research </w:t>
      </w:r>
      <w:r w:rsidRPr="31D8F34F">
        <w:rPr>
          <w:sz w:val="22"/>
          <w:szCs w:val="22"/>
        </w:rPr>
        <w:t>vendor</w:t>
      </w:r>
      <w:r w:rsidRPr="31D8F34F" w:rsidR="000F7DCC">
        <w:rPr>
          <w:sz w:val="22"/>
          <w:szCs w:val="22"/>
        </w:rPr>
        <w:t xml:space="preserve"> that</w:t>
      </w:r>
      <w:r w:rsidRPr="31D8F34F">
        <w:rPr>
          <w:sz w:val="22"/>
          <w:szCs w:val="22"/>
        </w:rPr>
        <w:t xml:space="preserve"> </w:t>
      </w:r>
      <w:r w:rsidRPr="31D8F34F" w:rsidR="00863085">
        <w:rPr>
          <w:sz w:val="22"/>
          <w:szCs w:val="22"/>
        </w:rPr>
        <w:t xml:space="preserve">uses national panels of youth </w:t>
      </w:r>
      <w:r w:rsidRPr="31D8F34F" w:rsidR="008445CD">
        <w:rPr>
          <w:sz w:val="22"/>
          <w:szCs w:val="22"/>
        </w:rPr>
        <w:t>respondent</w:t>
      </w:r>
      <w:r w:rsidRPr="31D8F34F" w:rsidR="00863085">
        <w:rPr>
          <w:sz w:val="22"/>
          <w:szCs w:val="22"/>
        </w:rPr>
        <w:t>s</w:t>
      </w:r>
      <w:r w:rsidRPr="31D8F34F" w:rsidR="008961D3">
        <w:rPr>
          <w:sz w:val="22"/>
          <w:szCs w:val="22"/>
        </w:rPr>
        <w:t xml:space="preserve"> </w:t>
      </w:r>
      <w:r w:rsidRPr="31D8F34F" w:rsidR="00863085">
        <w:rPr>
          <w:sz w:val="22"/>
          <w:szCs w:val="22"/>
        </w:rPr>
        <w:t>to recruit a non-probability sample from relevant markets.</w:t>
      </w:r>
      <w:r w:rsidRPr="31D8F34F">
        <w:rPr>
          <w:sz w:val="22"/>
          <w:szCs w:val="22"/>
        </w:rPr>
        <w:t xml:space="preserve"> </w:t>
      </w:r>
      <w:r w:rsidRPr="31D8F34F">
        <w:rPr>
          <w:color w:val="222222"/>
        </w:rPr>
        <w:t xml:space="preserve"> </w:t>
      </w:r>
    </w:p>
    <w:p w:rsidR="00C1094E" w:rsidP="00C1094E" w14:paraId="48C9FC28" w14:textId="3F3A9C5D">
      <w:pPr>
        <w:rPr>
          <w:color w:val="222222"/>
        </w:rPr>
      </w:pPr>
      <w:bookmarkStart w:id="28" w:name="_heading=h.3whwml4" w:colFirst="0" w:colLast="0"/>
      <w:bookmarkEnd w:id="28"/>
      <w:r>
        <w:rPr>
          <w:sz w:val="22"/>
          <w:szCs w:val="22"/>
        </w:rPr>
        <w:t xml:space="preserve">The sampling method </w:t>
      </w:r>
      <w:r w:rsidR="007E4E77">
        <w:rPr>
          <w:sz w:val="22"/>
          <w:szCs w:val="22"/>
        </w:rPr>
        <w:t>is based on</w:t>
      </w:r>
      <w:r w:rsidRPr="00A95F82" w:rsidR="00A95F82">
        <w:rPr>
          <w:color w:val="222222"/>
          <w:sz w:val="22"/>
          <w:szCs w:val="22"/>
        </w:rPr>
        <w:t xml:space="preserve"> the most recent YRBSS data</w:t>
      </w:r>
      <w:r w:rsidR="006343E2">
        <w:rPr>
          <w:color w:val="222222"/>
          <w:sz w:val="22"/>
          <w:szCs w:val="22"/>
        </w:rPr>
        <w:t>,</w:t>
      </w:r>
      <w:r w:rsidRPr="00A95F82" w:rsidR="00A95F82">
        <w:rPr>
          <w:color w:val="222222"/>
          <w:sz w:val="22"/>
          <w:szCs w:val="22"/>
        </w:rPr>
        <w:t xml:space="preserve"> which show that American Indian</w:t>
      </w:r>
      <w:r w:rsidR="006343E2">
        <w:rPr>
          <w:color w:val="222222"/>
          <w:sz w:val="22"/>
          <w:szCs w:val="22"/>
        </w:rPr>
        <w:t>/</w:t>
      </w:r>
      <w:r w:rsidRPr="00A95F82" w:rsidR="00A95F82">
        <w:rPr>
          <w:color w:val="222222"/>
          <w:sz w:val="22"/>
          <w:szCs w:val="22"/>
        </w:rPr>
        <w:t>Alaska Native, then multiracial school aged youth are most likely to have ever used drugs, followed by Hispanic and White yout</w:t>
      </w:r>
      <w:r w:rsidR="00A95F82">
        <w:rPr>
          <w:color w:val="222222"/>
          <w:sz w:val="22"/>
          <w:szCs w:val="22"/>
        </w:rPr>
        <w:t>h, as show</w:t>
      </w:r>
      <w:r w:rsidR="00A35F43">
        <w:rPr>
          <w:color w:val="222222"/>
          <w:sz w:val="22"/>
          <w:szCs w:val="22"/>
        </w:rPr>
        <w:t>n</w:t>
      </w:r>
      <w:r w:rsidR="00A95F82">
        <w:rPr>
          <w:color w:val="222222"/>
          <w:sz w:val="22"/>
          <w:szCs w:val="22"/>
        </w:rPr>
        <w:t xml:space="preserve"> in the table below.</w:t>
      </w:r>
      <w:r w:rsidR="00465B44">
        <w:rPr>
          <w:color w:val="222222"/>
          <w:sz w:val="22"/>
          <w:szCs w:val="22"/>
        </w:rPr>
        <w:t xml:space="preserve"> </w:t>
      </w:r>
      <w:r w:rsidRPr="00DD04A6">
        <w:rPr>
          <w:color w:val="222222"/>
          <w:sz w:val="22"/>
          <w:szCs w:val="22"/>
        </w:rPr>
        <w:t xml:space="preserve">Additionally, we will </w:t>
      </w:r>
      <w:r w:rsidR="007E4E77">
        <w:rPr>
          <w:color w:val="222222"/>
          <w:sz w:val="22"/>
          <w:szCs w:val="22"/>
        </w:rPr>
        <w:t>sample</w:t>
      </w:r>
      <w:r w:rsidRPr="00DD04A6" w:rsidR="007E4E77">
        <w:rPr>
          <w:color w:val="222222"/>
          <w:sz w:val="22"/>
          <w:szCs w:val="22"/>
        </w:rPr>
        <w:t xml:space="preserve"> </w:t>
      </w:r>
      <w:r w:rsidRPr="00DD04A6">
        <w:rPr>
          <w:color w:val="222222"/>
          <w:sz w:val="22"/>
          <w:szCs w:val="22"/>
        </w:rPr>
        <w:t xml:space="preserve">by the psychographic characteristics of “novice” and “experienced” youth (based on exposure to people who use drugs). To </w:t>
      </w:r>
      <w:r w:rsidR="00A865E6">
        <w:rPr>
          <w:color w:val="222222"/>
          <w:sz w:val="22"/>
          <w:szCs w:val="22"/>
        </w:rPr>
        <w:t>segment</w:t>
      </w:r>
      <w:r w:rsidRPr="00DD04A6" w:rsidR="00A865E6">
        <w:rPr>
          <w:color w:val="222222"/>
          <w:sz w:val="22"/>
          <w:szCs w:val="22"/>
        </w:rPr>
        <w:t xml:space="preserve"> </w:t>
      </w:r>
      <w:r w:rsidRPr="00DD04A6">
        <w:rPr>
          <w:color w:val="222222"/>
          <w:sz w:val="22"/>
          <w:szCs w:val="22"/>
        </w:rPr>
        <w:t xml:space="preserve">novice </w:t>
      </w:r>
      <w:r w:rsidR="00A865E6">
        <w:rPr>
          <w:color w:val="222222"/>
          <w:sz w:val="22"/>
          <w:szCs w:val="22"/>
        </w:rPr>
        <w:t>and</w:t>
      </w:r>
      <w:r w:rsidRPr="00DD04A6" w:rsidR="00A865E6">
        <w:rPr>
          <w:color w:val="222222"/>
          <w:sz w:val="22"/>
          <w:szCs w:val="22"/>
        </w:rPr>
        <w:t xml:space="preserve"> </w:t>
      </w:r>
      <w:r w:rsidRPr="00DD04A6">
        <w:rPr>
          <w:color w:val="222222"/>
          <w:sz w:val="22"/>
          <w:szCs w:val="22"/>
        </w:rPr>
        <w:t xml:space="preserve">experienced, </w:t>
      </w:r>
      <w:r w:rsidR="00A865E6">
        <w:rPr>
          <w:color w:val="222222"/>
          <w:sz w:val="22"/>
          <w:szCs w:val="22"/>
        </w:rPr>
        <w:t xml:space="preserve">participants will respond to a question </w:t>
      </w:r>
      <w:r w:rsidR="0064282C">
        <w:rPr>
          <w:color w:val="222222"/>
          <w:sz w:val="22"/>
          <w:szCs w:val="22"/>
        </w:rPr>
        <w:t xml:space="preserve">as to </w:t>
      </w:r>
      <w:r w:rsidR="00FB01F6">
        <w:rPr>
          <w:color w:val="222222"/>
          <w:sz w:val="22"/>
          <w:szCs w:val="22"/>
        </w:rPr>
        <w:t>whether</w:t>
      </w:r>
      <w:r w:rsidR="0064282C">
        <w:rPr>
          <w:color w:val="222222"/>
          <w:sz w:val="22"/>
          <w:szCs w:val="22"/>
        </w:rPr>
        <w:t xml:space="preserve"> their friends use substances.</w:t>
      </w:r>
      <w:r w:rsidRPr="00DD04A6" w:rsidR="0064282C">
        <w:rPr>
          <w:color w:val="222222"/>
          <w:sz w:val="22"/>
          <w:szCs w:val="22"/>
        </w:rPr>
        <w:t xml:space="preserve"> </w:t>
      </w:r>
    </w:p>
    <w:p w:rsidR="00465B44" w:rsidRPr="00275C21" w:rsidP="00275C21" w14:paraId="4F057DD0" w14:textId="63A43D9A">
      <w:pPr>
        <w:pStyle w:val="Normal2"/>
        <w:pBdr>
          <w:top w:val="nil"/>
          <w:left w:val="nil"/>
          <w:bottom w:val="nil"/>
          <w:right w:val="nil"/>
          <w:between w:val="nil"/>
        </w:pBdr>
        <w:rPr>
          <w:color w:val="000000"/>
          <w:sz w:val="22"/>
          <w:szCs w:val="22"/>
        </w:rPr>
      </w:pPr>
      <w:r>
        <w:rPr>
          <w:sz w:val="22"/>
          <w:szCs w:val="22"/>
        </w:rPr>
        <w:t>Respondent</w:t>
      </w:r>
      <w:r w:rsidRPr="00275C21">
        <w:rPr>
          <w:sz w:val="22"/>
          <w:szCs w:val="22"/>
        </w:rPr>
        <w:t xml:space="preserve">s will first be screened by age to ensure they are 13–17 and can read and write English. </w:t>
      </w:r>
      <w:r w:rsidRPr="00275C21" w:rsidR="00275C21">
        <w:rPr>
          <w:color w:val="222222"/>
          <w:sz w:val="22"/>
          <w:szCs w:val="22"/>
        </w:rPr>
        <w:t xml:space="preserve">To meet the target of 30 </w:t>
      </w:r>
      <w:r>
        <w:rPr>
          <w:color w:val="222222"/>
          <w:sz w:val="22"/>
          <w:szCs w:val="22"/>
        </w:rPr>
        <w:t>respondent</w:t>
      </w:r>
      <w:r w:rsidRPr="00275C21" w:rsidR="00275C21">
        <w:rPr>
          <w:color w:val="222222"/>
          <w:sz w:val="22"/>
          <w:szCs w:val="22"/>
        </w:rPr>
        <w:t xml:space="preserve">s, we will recruit 54 </w:t>
      </w:r>
      <w:r>
        <w:rPr>
          <w:color w:val="222222"/>
          <w:sz w:val="22"/>
          <w:szCs w:val="22"/>
        </w:rPr>
        <w:t>respondent</w:t>
      </w:r>
      <w:r w:rsidRPr="00275C21" w:rsidR="00275C21">
        <w:rPr>
          <w:color w:val="222222"/>
          <w:sz w:val="22"/>
          <w:szCs w:val="22"/>
        </w:rPr>
        <w:t xml:space="preserve">s to account for potential drop-offs and to improve </w:t>
      </w:r>
      <w:r w:rsidR="00570493">
        <w:rPr>
          <w:color w:val="222222"/>
          <w:sz w:val="22"/>
          <w:szCs w:val="22"/>
        </w:rPr>
        <w:t xml:space="preserve">the likelihood of </w:t>
      </w:r>
      <w:r w:rsidRPr="00275C21" w:rsidR="00275C21">
        <w:rPr>
          <w:color w:val="222222"/>
          <w:sz w:val="22"/>
          <w:szCs w:val="22"/>
        </w:rPr>
        <w:t xml:space="preserve">meeting the identified targets by racial and ethnic groups and psychosocial characteristics </w:t>
      </w:r>
      <w:r w:rsidR="00A20645">
        <w:rPr>
          <w:color w:val="222222"/>
          <w:sz w:val="22"/>
          <w:szCs w:val="22"/>
        </w:rPr>
        <w:t xml:space="preserve">of </w:t>
      </w:r>
      <w:r w:rsidRPr="00275C21" w:rsidR="00275C21">
        <w:rPr>
          <w:color w:val="222222"/>
          <w:sz w:val="22"/>
          <w:szCs w:val="22"/>
        </w:rPr>
        <w:t>novice and experienced.</w:t>
      </w:r>
    </w:p>
    <w:p w:rsidR="009E782C" w:rsidP="00465B44" w14:paraId="02CABC0A" w14:textId="2EDC277F">
      <w:pPr>
        <w:pStyle w:val="Normal2"/>
        <w:rPr>
          <w:sz w:val="22"/>
          <w:szCs w:val="22"/>
        </w:rPr>
      </w:pPr>
      <w:r>
        <w:rPr>
          <w:b/>
          <w:bCs/>
          <w:color w:val="000000" w:themeColor="text1"/>
          <w:sz w:val="22"/>
          <w:szCs w:val="22"/>
        </w:rPr>
        <w:t>Respondent</w:t>
      </w:r>
      <w:r>
        <w:rPr>
          <w:b/>
          <w:bCs/>
          <w:color w:val="000000" w:themeColor="text1"/>
          <w:sz w:val="22"/>
          <w:szCs w:val="22"/>
        </w:rPr>
        <w:t xml:space="preserve"> recruitment targets by racial/ethnic groups based on substance use </w:t>
      </w:r>
      <w:r w:rsidR="00476353">
        <w:rPr>
          <w:b/>
          <w:bCs/>
          <w:color w:val="000000" w:themeColor="text1"/>
          <w:sz w:val="22"/>
          <w:szCs w:val="22"/>
        </w:rPr>
        <w:t>disparities among youth.</w:t>
      </w:r>
    </w:p>
    <w:tbl>
      <w:tblPr>
        <w:tblW w:w="0" w:type="auto"/>
        <w:tblLayout w:type="fixed"/>
        <w:tblLook w:val="04A0"/>
      </w:tblPr>
      <w:tblGrid>
        <w:gridCol w:w="2870"/>
        <w:gridCol w:w="1350"/>
        <w:gridCol w:w="1530"/>
        <w:gridCol w:w="2070"/>
      </w:tblGrid>
      <w:tr w14:paraId="21F16FAF"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DD04A6" w:rsidP="00DD04A6" w14:paraId="45455B6A" w14:textId="3A64AFDD">
            <w:pPr>
              <w:spacing w:after="0" w:line="240" w:lineRule="auto"/>
              <w:jc w:val="center"/>
              <w:rPr>
                <w:b/>
                <w:bCs/>
                <w:color w:val="000000" w:themeColor="text1"/>
                <w:sz w:val="22"/>
                <w:szCs w:val="22"/>
              </w:rPr>
            </w:pPr>
            <w:r w:rsidRPr="00DD04A6">
              <w:rPr>
                <w:b/>
                <w:bCs/>
                <w:color w:val="000000" w:themeColor="text1"/>
                <w:sz w:val="22"/>
                <w:szCs w:val="22"/>
              </w:rPr>
              <w:t>Race/Ethnicity Group</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DD04A6" w:rsidP="00DD04A6" w14:paraId="10D0B8EB" w14:textId="77777777">
            <w:pPr>
              <w:spacing w:after="0" w:line="240" w:lineRule="auto"/>
              <w:jc w:val="center"/>
              <w:rPr>
                <w:b/>
                <w:bCs/>
                <w:color w:val="000000" w:themeColor="text1"/>
                <w:sz w:val="22"/>
                <w:szCs w:val="22"/>
              </w:rPr>
            </w:pPr>
            <w:r w:rsidRPr="00DD04A6">
              <w:rPr>
                <w:b/>
                <w:bCs/>
                <w:color w:val="000000" w:themeColor="text1"/>
                <w:sz w:val="22"/>
                <w:szCs w:val="22"/>
              </w:rPr>
              <w:t xml:space="preserve">Total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DD04A6" w:rsidP="00DD04A6" w14:paraId="3252C6D2" w14:textId="77777777">
            <w:pPr>
              <w:spacing w:after="0" w:line="240" w:lineRule="auto"/>
              <w:jc w:val="center"/>
              <w:rPr>
                <w:b/>
                <w:bCs/>
                <w:color w:val="000000" w:themeColor="text1"/>
                <w:sz w:val="22"/>
                <w:szCs w:val="22"/>
              </w:rPr>
            </w:pPr>
          </w:p>
          <w:p w:rsidR="00F15652" w:rsidRPr="00DD04A6" w:rsidP="00DD04A6" w14:paraId="2CA229A7" w14:textId="77777777">
            <w:pPr>
              <w:spacing w:after="0" w:line="240" w:lineRule="auto"/>
              <w:jc w:val="center"/>
              <w:rPr>
                <w:b/>
                <w:bCs/>
                <w:color w:val="000000" w:themeColor="text1"/>
                <w:sz w:val="22"/>
                <w:szCs w:val="22"/>
              </w:rPr>
            </w:pPr>
            <w:r w:rsidRPr="00DD04A6">
              <w:rPr>
                <w:b/>
                <w:bCs/>
                <w:color w:val="000000" w:themeColor="text1"/>
                <w:sz w:val="22"/>
                <w:szCs w:val="22"/>
              </w:rPr>
              <w:t>Novice</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DD04A6" w:rsidP="00DD04A6" w14:paraId="6424AA75" w14:textId="77777777">
            <w:pPr>
              <w:spacing w:after="0" w:line="240" w:lineRule="auto"/>
              <w:jc w:val="center"/>
              <w:rPr>
                <w:b/>
                <w:bCs/>
                <w:color w:val="000000" w:themeColor="text1"/>
                <w:sz w:val="22"/>
                <w:szCs w:val="22"/>
              </w:rPr>
            </w:pPr>
          </w:p>
          <w:p w:rsidR="00F15652" w:rsidRPr="00DD04A6" w:rsidP="00DD04A6" w14:paraId="6DAC2C95" w14:textId="77777777">
            <w:pPr>
              <w:spacing w:after="0" w:line="240" w:lineRule="auto"/>
              <w:jc w:val="center"/>
              <w:rPr>
                <w:b/>
                <w:bCs/>
                <w:color w:val="000000" w:themeColor="text1"/>
                <w:sz w:val="22"/>
                <w:szCs w:val="22"/>
              </w:rPr>
            </w:pPr>
            <w:r w:rsidRPr="00DD04A6">
              <w:rPr>
                <w:b/>
                <w:bCs/>
                <w:color w:val="000000" w:themeColor="text1"/>
                <w:sz w:val="22"/>
                <w:szCs w:val="22"/>
              </w:rPr>
              <w:t>Experienced</w:t>
            </w:r>
          </w:p>
        </w:tc>
      </w:tr>
      <w:tr w14:paraId="5553808A" w14:textId="77777777" w:rsidTr="00A35F43">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40BB8DF1" w14:textId="7D07EFB5">
            <w:pPr>
              <w:spacing w:after="0" w:line="240" w:lineRule="auto"/>
              <w:rPr>
                <w:color w:val="000000" w:themeColor="text1"/>
                <w:sz w:val="22"/>
                <w:szCs w:val="22"/>
              </w:rPr>
            </w:pPr>
            <w:r w:rsidRPr="007E4E77">
              <w:rPr>
                <w:color w:val="000000" w:themeColor="text1"/>
                <w:sz w:val="22"/>
                <w:szCs w:val="22"/>
              </w:rPr>
              <w:t>Alaska Native/American Indian</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7641279F" w14:textId="77777777">
            <w:pPr>
              <w:spacing w:after="0" w:line="240" w:lineRule="auto"/>
              <w:jc w:val="center"/>
              <w:rPr>
                <w:color w:val="000000" w:themeColor="text1"/>
                <w:sz w:val="22"/>
                <w:szCs w:val="22"/>
              </w:rPr>
            </w:pPr>
            <w:r w:rsidRPr="007E4E77">
              <w:rPr>
                <w:color w:val="000000" w:themeColor="text1"/>
                <w:sz w:val="22"/>
                <w:szCs w:val="22"/>
              </w:rPr>
              <w:t>3</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3C99F898" w14:textId="77777777">
            <w:pPr>
              <w:spacing w:after="0" w:line="240" w:lineRule="auto"/>
              <w:jc w:val="center"/>
              <w:rPr>
                <w:color w:val="000000" w:themeColor="text1"/>
                <w:sz w:val="22"/>
                <w:szCs w:val="22"/>
              </w:rPr>
            </w:pPr>
            <w:r w:rsidRPr="007E4E77">
              <w:rPr>
                <w:color w:val="000000" w:themeColor="text1"/>
                <w:sz w:val="22"/>
                <w:szCs w:val="22"/>
              </w:rPr>
              <w:t>1</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79E2C68B" w14:textId="77777777">
            <w:pPr>
              <w:spacing w:after="0" w:line="240" w:lineRule="auto"/>
              <w:jc w:val="center"/>
              <w:rPr>
                <w:color w:val="000000" w:themeColor="text1"/>
                <w:sz w:val="22"/>
                <w:szCs w:val="22"/>
              </w:rPr>
            </w:pPr>
            <w:r w:rsidRPr="007E4E77">
              <w:rPr>
                <w:color w:val="000000" w:themeColor="text1"/>
                <w:sz w:val="22"/>
                <w:szCs w:val="22"/>
              </w:rPr>
              <w:t>2</w:t>
            </w:r>
          </w:p>
        </w:tc>
      </w:tr>
      <w:tr w14:paraId="4F2604B6"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522B611F" w14:textId="77777777">
            <w:pPr>
              <w:spacing w:after="0" w:line="240" w:lineRule="auto"/>
              <w:rPr>
                <w:color w:val="000000" w:themeColor="text1"/>
                <w:sz w:val="22"/>
                <w:szCs w:val="22"/>
              </w:rPr>
            </w:pPr>
            <w:r w:rsidRPr="007E4E77">
              <w:rPr>
                <w:color w:val="000000" w:themeColor="text1"/>
                <w:sz w:val="22"/>
                <w:szCs w:val="22"/>
              </w:rPr>
              <w:t>Asian</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6539B521" w14:textId="77777777">
            <w:pPr>
              <w:spacing w:after="0" w:line="240" w:lineRule="auto"/>
              <w:jc w:val="center"/>
              <w:rPr>
                <w:color w:val="000000" w:themeColor="text1"/>
                <w:sz w:val="22"/>
                <w:szCs w:val="22"/>
              </w:rPr>
            </w:pPr>
            <w:r w:rsidRPr="007E4E77">
              <w:rPr>
                <w:color w:val="000000" w:themeColor="text1"/>
                <w:sz w:val="22"/>
                <w:szCs w:val="22"/>
              </w:rPr>
              <w:t>2</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71E6AF24" w14:textId="77777777">
            <w:pPr>
              <w:spacing w:after="0" w:line="240" w:lineRule="auto"/>
              <w:jc w:val="center"/>
              <w:rPr>
                <w:color w:val="000000" w:themeColor="text1"/>
                <w:sz w:val="22"/>
                <w:szCs w:val="22"/>
              </w:rPr>
            </w:pPr>
            <w:r w:rsidRPr="007E4E77">
              <w:rPr>
                <w:color w:val="000000" w:themeColor="text1"/>
                <w:sz w:val="22"/>
                <w:szCs w:val="22"/>
              </w:rPr>
              <w:t>1</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39D9F775" w14:textId="77777777">
            <w:pPr>
              <w:spacing w:after="0" w:line="240" w:lineRule="auto"/>
              <w:jc w:val="center"/>
              <w:rPr>
                <w:color w:val="000000" w:themeColor="text1"/>
                <w:sz w:val="22"/>
                <w:szCs w:val="22"/>
              </w:rPr>
            </w:pPr>
            <w:r w:rsidRPr="007E4E77">
              <w:rPr>
                <w:color w:val="000000" w:themeColor="text1"/>
                <w:sz w:val="22"/>
                <w:szCs w:val="22"/>
              </w:rPr>
              <w:t>1</w:t>
            </w:r>
          </w:p>
        </w:tc>
      </w:tr>
      <w:tr w14:paraId="2D1B1644"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16F7189C" w14:textId="77777777">
            <w:pPr>
              <w:spacing w:after="0" w:line="240" w:lineRule="auto"/>
              <w:rPr>
                <w:color w:val="000000" w:themeColor="text1"/>
                <w:sz w:val="22"/>
                <w:szCs w:val="22"/>
              </w:rPr>
            </w:pPr>
            <w:r w:rsidRPr="007E4E77">
              <w:rPr>
                <w:color w:val="000000" w:themeColor="text1"/>
                <w:sz w:val="22"/>
                <w:szCs w:val="22"/>
              </w:rPr>
              <w:t>Black</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2077E2EE" w14:textId="77777777">
            <w:pPr>
              <w:spacing w:after="0" w:line="240" w:lineRule="auto"/>
              <w:jc w:val="center"/>
              <w:rPr>
                <w:color w:val="000000" w:themeColor="text1"/>
                <w:sz w:val="22"/>
                <w:szCs w:val="22"/>
              </w:rPr>
            </w:pPr>
            <w:r w:rsidRPr="007E4E77">
              <w:rPr>
                <w:color w:val="000000" w:themeColor="text1"/>
                <w:sz w:val="22"/>
                <w:szCs w:val="22"/>
              </w:rPr>
              <w:t>4</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3249782A" w14:textId="77777777">
            <w:pPr>
              <w:spacing w:after="0" w:line="240" w:lineRule="auto"/>
              <w:jc w:val="center"/>
              <w:rPr>
                <w:color w:val="000000" w:themeColor="text1"/>
                <w:sz w:val="22"/>
                <w:szCs w:val="22"/>
              </w:rPr>
            </w:pPr>
            <w:r w:rsidRPr="007E4E77">
              <w:rPr>
                <w:color w:val="000000" w:themeColor="text1"/>
                <w:sz w:val="22"/>
                <w:szCs w:val="22"/>
              </w:rPr>
              <w:t>2</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4793A379" w14:textId="77777777">
            <w:pPr>
              <w:spacing w:after="0" w:line="240" w:lineRule="auto"/>
              <w:jc w:val="center"/>
              <w:rPr>
                <w:color w:val="000000" w:themeColor="text1"/>
                <w:sz w:val="22"/>
                <w:szCs w:val="22"/>
              </w:rPr>
            </w:pPr>
            <w:r w:rsidRPr="007E4E77">
              <w:rPr>
                <w:color w:val="000000" w:themeColor="text1"/>
                <w:sz w:val="22"/>
                <w:szCs w:val="22"/>
              </w:rPr>
              <w:t>2</w:t>
            </w:r>
          </w:p>
        </w:tc>
      </w:tr>
      <w:tr w14:paraId="350AD91C"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5C0503E5" w14:textId="77777777">
            <w:pPr>
              <w:spacing w:after="0" w:line="240" w:lineRule="auto"/>
              <w:rPr>
                <w:color w:val="000000" w:themeColor="text1"/>
                <w:sz w:val="22"/>
                <w:szCs w:val="22"/>
              </w:rPr>
            </w:pPr>
            <w:r w:rsidRPr="007E4E77">
              <w:rPr>
                <w:color w:val="000000" w:themeColor="text1"/>
                <w:sz w:val="22"/>
                <w:szCs w:val="22"/>
              </w:rPr>
              <w:t>Hispanic</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47734FBE" w14:textId="77777777">
            <w:pPr>
              <w:spacing w:after="0" w:line="240" w:lineRule="auto"/>
              <w:jc w:val="center"/>
              <w:rPr>
                <w:color w:val="000000" w:themeColor="text1"/>
                <w:sz w:val="22"/>
                <w:szCs w:val="22"/>
              </w:rPr>
            </w:pPr>
            <w:r w:rsidRPr="007E4E77">
              <w:rPr>
                <w:color w:val="000000" w:themeColor="text1"/>
                <w:sz w:val="22"/>
                <w:szCs w:val="22"/>
              </w:rPr>
              <w:t>8</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2DC706EA" w14:textId="77777777">
            <w:pPr>
              <w:spacing w:after="0" w:line="240" w:lineRule="auto"/>
              <w:jc w:val="center"/>
              <w:rPr>
                <w:color w:val="000000" w:themeColor="text1"/>
                <w:sz w:val="22"/>
                <w:szCs w:val="22"/>
              </w:rPr>
            </w:pPr>
            <w:r w:rsidRPr="007E4E77">
              <w:rPr>
                <w:color w:val="000000" w:themeColor="text1"/>
                <w:sz w:val="22"/>
                <w:szCs w:val="22"/>
              </w:rPr>
              <w:t>4</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4760FF25" w14:textId="77777777">
            <w:pPr>
              <w:spacing w:after="0" w:line="240" w:lineRule="auto"/>
              <w:jc w:val="center"/>
              <w:rPr>
                <w:color w:val="000000" w:themeColor="text1"/>
                <w:sz w:val="22"/>
                <w:szCs w:val="22"/>
              </w:rPr>
            </w:pPr>
            <w:r w:rsidRPr="007E4E77">
              <w:rPr>
                <w:color w:val="000000" w:themeColor="text1"/>
                <w:sz w:val="22"/>
                <w:szCs w:val="22"/>
              </w:rPr>
              <w:t>4</w:t>
            </w:r>
          </w:p>
        </w:tc>
      </w:tr>
      <w:tr w14:paraId="2C3136A8"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16F863C2" w14:textId="77777777">
            <w:pPr>
              <w:spacing w:after="0" w:line="240" w:lineRule="auto"/>
              <w:rPr>
                <w:color w:val="000000" w:themeColor="text1"/>
                <w:sz w:val="22"/>
                <w:szCs w:val="22"/>
              </w:rPr>
            </w:pPr>
            <w:r w:rsidRPr="007E4E77">
              <w:rPr>
                <w:color w:val="000000" w:themeColor="text1"/>
                <w:sz w:val="22"/>
                <w:szCs w:val="22"/>
              </w:rPr>
              <w:t>White</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5217CA70" w14:textId="77777777">
            <w:pPr>
              <w:spacing w:after="0" w:line="240" w:lineRule="auto"/>
              <w:jc w:val="center"/>
              <w:rPr>
                <w:color w:val="000000" w:themeColor="text1"/>
                <w:sz w:val="22"/>
                <w:szCs w:val="22"/>
              </w:rPr>
            </w:pPr>
            <w:r w:rsidRPr="007E4E77">
              <w:rPr>
                <w:color w:val="000000" w:themeColor="text1"/>
                <w:sz w:val="22"/>
                <w:szCs w:val="22"/>
              </w:rPr>
              <w:t>9</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75BE1708" w14:textId="77777777">
            <w:pPr>
              <w:spacing w:after="0" w:line="240" w:lineRule="auto"/>
              <w:jc w:val="center"/>
              <w:rPr>
                <w:color w:val="000000" w:themeColor="text1"/>
                <w:sz w:val="22"/>
                <w:szCs w:val="22"/>
              </w:rPr>
            </w:pPr>
            <w:r w:rsidRPr="007E4E77">
              <w:rPr>
                <w:color w:val="000000" w:themeColor="text1"/>
                <w:sz w:val="22"/>
                <w:szCs w:val="22"/>
              </w:rPr>
              <w:t>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188680C6" w14:textId="77777777">
            <w:pPr>
              <w:spacing w:after="0" w:line="240" w:lineRule="auto"/>
              <w:jc w:val="center"/>
              <w:rPr>
                <w:color w:val="000000" w:themeColor="text1"/>
                <w:sz w:val="22"/>
                <w:szCs w:val="22"/>
              </w:rPr>
            </w:pPr>
            <w:r w:rsidRPr="007E4E77">
              <w:rPr>
                <w:color w:val="000000" w:themeColor="text1"/>
                <w:sz w:val="22"/>
                <w:szCs w:val="22"/>
              </w:rPr>
              <w:t>4</w:t>
            </w:r>
          </w:p>
        </w:tc>
      </w:tr>
      <w:tr w14:paraId="6379C121" w14:textId="77777777" w:rsidTr="00C43964">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54560C31" w14:textId="0C61907C">
            <w:pPr>
              <w:spacing w:after="0" w:line="240" w:lineRule="auto"/>
              <w:rPr>
                <w:color w:val="000000" w:themeColor="text1"/>
                <w:sz w:val="22"/>
                <w:szCs w:val="22"/>
              </w:rPr>
            </w:pPr>
            <w:r w:rsidRPr="007E4E77">
              <w:rPr>
                <w:color w:val="000000" w:themeColor="text1"/>
                <w:sz w:val="22"/>
                <w:szCs w:val="22"/>
              </w:rPr>
              <w:t>Multiracial</w:t>
            </w:r>
            <w:r w:rsidR="008D0D2A">
              <w:rPr>
                <w:color w:val="000000" w:themeColor="text1"/>
                <w:sz w:val="22"/>
                <w:szCs w:val="22"/>
              </w:rPr>
              <w:t xml:space="preserve"> or </w:t>
            </w:r>
            <w:r w:rsidR="00AC3B94">
              <w:rPr>
                <w:color w:val="000000" w:themeColor="text1"/>
                <w:sz w:val="22"/>
                <w:szCs w:val="22"/>
              </w:rPr>
              <w:t>Middle Eastern/North African</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9A6DD8" w14:paraId="041E87F3" w14:textId="77777777">
            <w:pPr>
              <w:spacing w:after="0" w:line="240" w:lineRule="auto"/>
              <w:jc w:val="center"/>
              <w:rPr>
                <w:color w:val="000000" w:themeColor="text1"/>
                <w:sz w:val="22"/>
                <w:szCs w:val="22"/>
              </w:rPr>
            </w:pPr>
            <w:r w:rsidRPr="007E4E77">
              <w:rPr>
                <w:color w:val="000000" w:themeColor="text1"/>
                <w:sz w:val="22"/>
                <w:szCs w:val="22"/>
              </w:rPr>
              <w:t>4</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22522815" w14:textId="77777777">
            <w:pPr>
              <w:spacing w:after="0" w:line="240" w:lineRule="auto"/>
              <w:jc w:val="center"/>
              <w:rPr>
                <w:color w:val="000000" w:themeColor="text1"/>
                <w:sz w:val="22"/>
                <w:szCs w:val="22"/>
              </w:rPr>
            </w:pPr>
            <w:r w:rsidRPr="007E4E77">
              <w:rPr>
                <w:color w:val="000000" w:themeColor="text1"/>
                <w:sz w:val="22"/>
                <w:szCs w:val="22"/>
              </w:rPr>
              <w:t>2</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44D866F3" w14:textId="77777777">
            <w:pPr>
              <w:spacing w:after="0" w:line="240" w:lineRule="auto"/>
              <w:jc w:val="center"/>
              <w:rPr>
                <w:color w:val="000000" w:themeColor="text1"/>
                <w:sz w:val="22"/>
                <w:szCs w:val="22"/>
              </w:rPr>
            </w:pPr>
            <w:r w:rsidRPr="007E4E77">
              <w:rPr>
                <w:color w:val="000000" w:themeColor="text1"/>
                <w:sz w:val="22"/>
                <w:szCs w:val="22"/>
              </w:rPr>
              <w:t>2</w:t>
            </w:r>
          </w:p>
        </w:tc>
      </w:tr>
      <w:tr w14:paraId="24BC8FB2" w14:textId="77777777" w:rsidTr="00275C21">
        <w:tblPrEx>
          <w:tblW w:w="0" w:type="auto"/>
          <w:tblLayout w:type="fixed"/>
          <w:tblLook w:val="04A0"/>
        </w:tblPrEx>
        <w:trPr>
          <w:trHeight w:val="285"/>
        </w:trPr>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3702FD8C" w14:textId="77777777">
            <w:pPr>
              <w:spacing w:after="0" w:line="240" w:lineRule="auto"/>
              <w:rPr>
                <w:color w:val="000000" w:themeColor="text1"/>
                <w:sz w:val="22"/>
                <w:szCs w:val="22"/>
              </w:rPr>
            </w:pPr>
            <w:r w:rsidRPr="007E4E77">
              <w:rPr>
                <w:color w:val="000000" w:themeColor="text1"/>
                <w:sz w:val="22"/>
                <w:szCs w:val="22"/>
              </w:rPr>
              <w:t xml:space="preserve">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F15652" w:rsidRPr="007E4E77" w:rsidP="007E4E77" w14:paraId="08C5A8F2" w14:textId="77777777">
            <w:pPr>
              <w:spacing w:after="0" w:line="240" w:lineRule="auto"/>
              <w:jc w:val="center"/>
              <w:rPr>
                <w:color w:val="000000" w:themeColor="text1"/>
                <w:sz w:val="22"/>
                <w:szCs w:val="22"/>
              </w:rPr>
            </w:pPr>
            <w:r w:rsidRPr="007E4E77">
              <w:rPr>
                <w:color w:val="000000" w:themeColor="text1"/>
                <w:sz w:val="22"/>
                <w:szCs w:val="22"/>
              </w:rPr>
              <w:t>30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21EF1186" w14:textId="77777777">
            <w:pPr>
              <w:spacing w:after="0" w:line="240" w:lineRule="auto"/>
              <w:jc w:val="center"/>
              <w:rPr>
                <w:color w:val="000000" w:themeColor="text1"/>
                <w:sz w:val="22"/>
                <w:szCs w:val="22"/>
              </w:rPr>
            </w:pPr>
            <w:r w:rsidRPr="007E4E77">
              <w:rPr>
                <w:color w:val="000000" w:themeColor="text1"/>
                <w:sz w:val="22"/>
                <w:szCs w:val="22"/>
              </w:rPr>
              <w:t>15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rsidR="00F15652" w:rsidRPr="007E4E77" w:rsidP="007E4E77" w14:paraId="6B8011B3" w14:textId="77777777">
            <w:pPr>
              <w:spacing w:after="0" w:line="240" w:lineRule="auto"/>
              <w:jc w:val="center"/>
              <w:rPr>
                <w:color w:val="000000" w:themeColor="text1"/>
                <w:sz w:val="22"/>
                <w:szCs w:val="22"/>
              </w:rPr>
            </w:pPr>
            <w:r w:rsidRPr="007E4E77">
              <w:rPr>
                <w:color w:val="000000" w:themeColor="text1"/>
                <w:sz w:val="22"/>
                <w:szCs w:val="22"/>
              </w:rPr>
              <w:t>15</w:t>
            </w:r>
          </w:p>
        </w:tc>
      </w:tr>
    </w:tbl>
    <w:p w:rsidR="008B3DE1" w:rsidRPr="00A95F82" w14:paraId="76872EF5" w14:textId="20B8694F">
      <w:pPr>
        <w:pStyle w:val="Normal2"/>
        <w:rPr>
          <w:sz w:val="22"/>
          <w:szCs w:val="22"/>
        </w:rPr>
      </w:pPr>
    </w:p>
    <w:p w:rsidR="007131A4" w:rsidP="007131A4" w14:paraId="0B6E6B0B" w14:textId="77777777">
      <w:pPr>
        <w:pStyle w:val="Normal2"/>
        <w:rPr>
          <w:sz w:val="22"/>
          <w:szCs w:val="22"/>
        </w:rPr>
      </w:pPr>
      <w:r w:rsidRPr="007131A4">
        <w:rPr>
          <w:sz w:val="22"/>
          <w:szCs w:val="22"/>
        </w:rPr>
        <w:t>The purpose of this data collection effort is to:</w:t>
      </w:r>
    </w:p>
    <w:p w:rsidR="007131A4" w:rsidP="007131A4" w14:paraId="041EC967" w14:textId="77777777">
      <w:pPr>
        <w:pStyle w:val="Normal2"/>
        <w:numPr>
          <w:ilvl w:val="0"/>
          <w:numId w:val="3"/>
        </w:numPr>
        <w:rPr>
          <w:sz w:val="22"/>
          <w:szCs w:val="22"/>
        </w:rPr>
      </w:pPr>
      <w:r w:rsidRPr="007131A4">
        <w:rPr>
          <w:sz w:val="22"/>
          <w:szCs w:val="22"/>
        </w:rPr>
        <w:t xml:space="preserve">Develop research protocols and implement data collection in a manner that is consistent with best research practices for individuals ages 13 to 17, including ethics and data </w:t>
      </w:r>
      <w:r w:rsidRPr="007131A4">
        <w:rPr>
          <w:sz w:val="22"/>
          <w:szCs w:val="22"/>
        </w:rPr>
        <w:t>privacy;</w:t>
      </w:r>
      <w:r w:rsidRPr="007131A4">
        <w:rPr>
          <w:sz w:val="22"/>
          <w:szCs w:val="22"/>
        </w:rPr>
        <w:t xml:space="preserve"> </w:t>
      </w:r>
    </w:p>
    <w:p w:rsidR="007131A4" w:rsidP="007131A4" w14:paraId="0EE86982" w14:textId="77777777">
      <w:pPr>
        <w:pStyle w:val="Normal2"/>
        <w:numPr>
          <w:ilvl w:val="0"/>
          <w:numId w:val="3"/>
        </w:numPr>
        <w:rPr>
          <w:sz w:val="22"/>
          <w:szCs w:val="22"/>
        </w:rPr>
      </w:pPr>
      <w:r w:rsidRPr="007131A4">
        <w:rPr>
          <w:sz w:val="22"/>
          <w:szCs w:val="22"/>
        </w:rPr>
        <w:t>Collect rich feedback from youth ages 13 to 17 on the draft messages and campaign concepts; and</w:t>
      </w:r>
    </w:p>
    <w:p w:rsidR="003D5C2B" w:rsidRPr="00457512" w:rsidP="00457512" w14:paraId="0000004B" w14:textId="40F71FF5">
      <w:pPr>
        <w:pStyle w:val="Normal2"/>
        <w:numPr>
          <w:ilvl w:val="0"/>
          <w:numId w:val="3"/>
        </w:numPr>
        <w:rPr>
          <w:sz w:val="22"/>
          <w:szCs w:val="22"/>
        </w:rPr>
      </w:pPr>
      <w:r w:rsidRPr="007131A4">
        <w:rPr>
          <w:sz w:val="22"/>
          <w:szCs w:val="22"/>
        </w:rPr>
        <w:t>Identify and analyze trends and themes in the feedback about the messages and concepts to develop insights and recommendations that will inform the development of a youth-focused campaign.</w:t>
      </w:r>
    </w:p>
    <w:p w:rsidR="00751238" w:rsidRPr="006155DF" w:rsidP="006155DF" w14:paraId="681D17A8" w14:textId="41A5748C">
      <w:pPr>
        <w:pStyle w:val="heading12"/>
        <w:rPr>
          <w:sz w:val="22"/>
        </w:rPr>
      </w:pPr>
      <w:bookmarkStart w:id="29" w:name="_heading=h.8lt1iawfns6x" w:colFirst="0" w:colLast="0"/>
      <w:bookmarkStart w:id="30" w:name="_Toc160702593"/>
      <w:bookmarkEnd w:id="29"/>
      <w:r>
        <w:rPr>
          <w:sz w:val="22"/>
        </w:rPr>
        <w:t>Procedures for the Collection of Information</w:t>
      </w:r>
      <w:bookmarkEnd w:id="30"/>
    </w:p>
    <w:p w:rsidR="00933711" w:rsidP="00130FA7" w14:paraId="675F34C7" w14:textId="77777777">
      <w:pPr>
        <w:pStyle w:val="Normal2"/>
        <w:rPr>
          <w:bCs/>
          <w:sz w:val="22"/>
          <w:szCs w:val="22"/>
        </w:rPr>
      </w:pPr>
      <w:r w:rsidRPr="0EDECAEF">
        <w:rPr>
          <w:sz w:val="22"/>
          <w:szCs w:val="22"/>
        </w:rPr>
        <w:t xml:space="preserve">The screening process will take place over </w:t>
      </w:r>
      <w:r w:rsidRPr="0EDECAEF" w:rsidR="00275D2E">
        <w:rPr>
          <w:sz w:val="22"/>
          <w:szCs w:val="22"/>
        </w:rPr>
        <w:t xml:space="preserve">the </w:t>
      </w:r>
      <w:r w:rsidRPr="0EDECAEF">
        <w:rPr>
          <w:sz w:val="22"/>
          <w:szCs w:val="22"/>
        </w:rPr>
        <w:t xml:space="preserve">phone. First, parents/guardians will be contacted and asked </w:t>
      </w:r>
      <w:r w:rsidRPr="0EDECAEF" w:rsidR="002A461E">
        <w:rPr>
          <w:sz w:val="22"/>
          <w:szCs w:val="22"/>
        </w:rPr>
        <w:t xml:space="preserve">about their </w:t>
      </w:r>
      <w:r w:rsidRPr="0EDECAEF" w:rsidR="00F87D17">
        <w:rPr>
          <w:sz w:val="22"/>
          <w:szCs w:val="22"/>
        </w:rPr>
        <w:t>and their teen’s interest in participating</w:t>
      </w:r>
      <w:r w:rsidRPr="0EDECAEF" w:rsidR="00275D2E">
        <w:rPr>
          <w:sz w:val="22"/>
          <w:szCs w:val="22"/>
        </w:rPr>
        <w:t xml:space="preserve"> in the study</w:t>
      </w:r>
      <w:r w:rsidRPr="0EDECAEF" w:rsidR="00F87D17">
        <w:rPr>
          <w:sz w:val="22"/>
          <w:szCs w:val="22"/>
        </w:rPr>
        <w:t xml:space="preserve">. They will also provide demographic information. </w:t>
      </w:r>
      <w:r w:rsidRPr="0EDECAEF" w:rsidR="00275D2E">
        <w:rPr>
          <w:sz w:val="22"/>
          <w:szCs w:val="22"/>
        </w:rPr>
        <w:t xml:space="preserve">Recruiters will then </w:t>
      </w:r>
      <w:r w:rsidRPr="0EDECAEF">
        <w:rPr>
          <w:sz w:val="22"/>
          <w:szCs w:val="22"/>
        </w:rPr>
        <w:t>speak</w:t>
      </w:r>
      <w:r w:rsidRPr="0EDECAEF" w:rsidR="00275D2E">
        <w:rPr>
          <w:sz w:val="22"/>
          <w:szCs w:val="22"/>
        </w:rPr>
        <w:t xml:space="preserve"> with the youth and ask questions to determine their eligibility for the study. </w:t>
      </w:r>
    </w:p>
    <w:p w:rsidR="0042099B" w:rsidP="0EDECAEF" w14:paraId="2D91C3CA" w14:textId="76DA9908">
      <w:pPr>
        <w:pStyle w:val="Normal2"/>
        <w:rPr>
          <w:sz w:val="22"/>
          <w:szCs w:val="22"/>
        </w:rPr>
      </w:pPr>
      <w:r w:rsidRPr="31D8F34F">
        <w:rPr>
          <w:sz w:val="22"/>
          <w:szCs w:val="22"/>
        </w:rPr>
        <w:t xml:space="preserve">Parents/guardians will review and sign a digital consent form to provide permission and consent to participate in the study on the youth’s behalf. </w:t>
      </w:r>
      <w:r w:rsidRPr="31D8F34F" w:rsidR="009F3885">
        <w:rPr>
          <w:sz w:val="22"/>
          <w:szCs w:val="22"/>
        </w:rPr>
        <w:t xml:space="preserve">Youth </w:t>
      </w:r>
      <w:r w:rsidRPr="31D8F34F" w:rsidR="00FD7FC6">
        <w:rPr>
          <w:sz w:val="22"/>
          <w:szCs w:val="22"/>
        </w:rPr>
        <w:t>respondents</w:t>
      </w:r>
      <w:r w:rsidRPr="31D8F34F" w:rsidR="009F3885">
        <w:rPr>
          <w:sz w:val="22"/>
          <w:szCs w:val="22"/>
        </w:rPr>
        <w:t xml:space="preserve"> will receive a digital copy of an informed assent form. Youth participants will complete the assent form as documentation. </w:t>
      </w:r>
      <w:r w:rsidRPr="31D8F34F" w:rsidR="000D0799">
        <w:rPr>
          <w:sz w:val="22"/>
          <w:szCs w:val="22"/>
        </w:rPr>
        <w:t xml:space="preserve">Respondents will receive information regarding privacy and confidentiality along with a valid OMB number and contact information in case </w:t>
      </w:r>
      <w:r w:rsidRPr="31D8F34F" w:rsidR="00D41E60">
        <w:rPr>
          <w:sz w:val="22"/>
          <w:szCs w:val="22"/>
        </w:rPr>
        <w:t>they</w:t>
      </w:r>
      <w:r w:rsidRPr="31D8F34F" w:rsidR="000D0799">
        <w:rPr>
          <w:sz w:val="22"/>
          <w:szCs w:val="22"/>
        </w:rPr>
        <w:t xml:space="preserve"> have questions about their rights as a respondent. </w:t>
      </w:r>
      <w:r w:rsidRPr="31D8F34F" w:rsidR="00933711">
        <w:rPr>
          <w:sz w:val="22"/>
          <w:szCs w:val="22"/>
        </w:rPr>
        <w:t xml:space="preserve">For those who </w:t>
      </w:r>
      <w:r w:rsidRPr="31D8F34F" w:rsidR="00CB3C8B">
        <w:rPr>
          <w:sz w:val="22"/>
          <w:szCs w:val="22"/>
        </w:rPr>
        <w:t xml:space="preserve">qualify and agree to participate, data </w:t>
      </w:r>
      <w:r w:rsidRPr="31D8F34F" w:rsidR="00751238">
        <w:rPr>
          <w:sz w:val="22"/>
          <w:szCs w:val="22"/>
        </w:rPr>
        <w:t xml:space="preserve">will be collected </w:t>
      </w:r>
      <w:r w:rsidRPr="31D8F34F" w:rsidR="001503DD">
        <w:rPr>
          <w:sz w:val="22"/>
          <w:szCs w:val="22"/>
        </w:rPr>
        <w:t xml:space="preserve">using a </w:t>
      </w:r>
      <w:r w:rsidRPr="31D8F34F" w:rsidR="00751238">
        <w:rPr>
          <w:sz w:val="22"/>
          <w:szCs w:val="22"/>
        </w:rPr>
        <w:t xml:space="preserve">private, secure online platform provided by </w:t>
      </w:r>
      <w:r w:rsidRPr="31D8F34F" w:rsidR="007F7809">
        <w:rPr>
          <w:sz w:val="22"/>
          <w:szCs w:val="22"/>
        </w:rPr>
        <w:t xml:space="preserve">the </w:t>
      </w:r>
      <w:r w:rsidRPr="31D8F34F" w:rsidR="00A95F82">
        <w:rPr>
          <w:sz w:val="22"/>
          <w:szCs w:val="22"/>
        </w:rPr>
        <w:t>recruitment and market research vendor</w:t>
      </w:r>
      <w:r w:rsidRPr="31D8F34F" w:rsidR="001503DD">
        <w:rPr>
          <w:sz w:val="22"/>
          <w:szCs w:val="22"/>
        </w:rPr>
        <w:t xml:space="preserve"> where </w:t>
      </w:r>
      <w:r w:rsidRPr="31D8F34F" w:rsidR="008445CD">
        <w:rPr>
          <w:sz w:val="22"/>
          <w:szCs w:val="22"/>
        </w:rPr>
        <w:t>respondent</w:t>
      </w:r>
      <w:r w:rsidRPr="31D8F34F" w:rsidR="001503DD">
        <w:rPr>
          <w:sz w:val="22"/>
          <w:szCs w:val="22"/>
        </w:rPr>
        <w:t xml:space="preserve">s will </w:t>
      </w:r>
      <w:r w:rsidRPr="31D8F34F">
        <w:rPr>
          <w:sz w:val="22"/>
          <w:szCs w:val="22"/>
        </w:rPr>
        <w:t>complete four data collection activities</w:t>
      </w:r>
      <w:r w:rsidRPr="31D8F34F" w:rsidR="00751238">
        <w:rPr>
          <w:sz w:val="22"/>
          <w:szCs w:val="22"/>
        </w:rPr>
        <w:t xml:space="preserve">. </w:t>
      </w:r>
      <w:r w:rsidRPr="31D8F34F" w:rsidR="00A561C2">
        <w:rPr>
          <w:sz w:val="22"/>
          <w:szCs w:val="22"/>
        </w:rPr>
        <w:t>Each activity will last 45 minutes</w:t>
      </w:r>
      <w:r w:rsidR="00917105">
        <w:rPr>
          <w:sz w:val="22"/>
          <w:szCs w:val="22"/>
        </w:rPr>
        <w:t>, for a total of 180 minutes (3 hours)</w:t>
      </w:r>
      <w:r w:rsidRPr="31D8F34F" w:rsidR="00A561C2">
        <w:rPr>
          <w:sz w:val="22"/>
          <w:szCs w:val="22"/>
        </w:rPr>
        <w:t xml:space="preserve">. </w:t>
      </w:r>
      <w:r w:rsidRPr="31D8F34F" w:rsidR="008445CD">
        <w:rPr>
          <w:sz w:val="22"/>
          <w:szCs w:val="22"/>
        </w:rPr>
        <w:t>Respondent</w:t>
      </w:r>
      <w:r w:rsidRPr="31D8F34F" w:rsidR="00A561C2">
        <w:rPr>
          <w:sz w:val="22"/>
          <w:szCs w:val="22"/>
        </w:rPr>
        <w:t>s will have up to 2 weeks to complete the activities and submit their answers.</w:t>
      </w:r>
    </w:p>
    <w:p w:rsidR="00E87BFE" w:rsidRPr="00E87BFE" w:rsidP="31D8F34F" w14:paraId="1EC33D7B" w14:textId="1CE2341E">
      <w:pPr>
        <w:pStyle w:val="Normal2"/>
        <w:rPr>
          <w:sz w:val="22"/>
          <w:szCs w:val="22"/>
        </w:rPr>
      </w:pPr>
      <w:r w:rsidRPr="31D8F34F">
        <w:rPr>
          <w:sz w:val="22"/>
          <w:szCs w:val="22"/>
        </w:rPr>
        <w:t>For each activity, respondents will be given a series of questions (i.e., tasks) to read and respond to</w:t>
      </w:r>
      <w:r w:rsidRPr="31D8F34F" w:rsidR="007A7499">
        <w:rPr>
          <w:sz w:val="22"/>
          <w:szCs w:val="22"/>
        </w:rPr>
        <w:t xml:space="preserve">, which will </w:t>
      </w:r>
      <w:r w:rsidRPr="31D8F34F" w:rsidR="00A95FDA">
        <w:rPr>
          <w:sz w:val="22"/>
          <w:szCs w:val="22"/>
        </w:rPr>
        <w:t>ask them to provide in-depth</w:t>
      </w:r>
      <w:r w:rsidRPr="31D8F34F" w:rsidR="007A7499">
        <w:rPr>
          <w:sz w:val="22"/>
          <w:szCs w:val="22"/>
        </w:rPr>
        <w:t xml:space="preserve"> open-ended </w:t>
      </w:r>
      <w:r w:rsidRPr="31D8F34F" w:rsidR="00A95FDA">
        <w:rPr>
          <w:sz w:val="22"/>
          <w:szCs w:val="22"/>
        </w:rPr>
        <w:t>response</w:t>
      </w:r>
      <w:r w:rsidRPr="31D8F34F" w:rsidR="007A7499">
        <w:rPr>
          <w:sz w:val="22"/>
          <w:szCs w:val="22"/>
        </w:rPr>
        <w:t>s</w:t>
      </w:r>
      <w:r w:rsidRPr="31D8F34F">
        <w:rPr>
          <w:sz w:val="22"/>
          <w:szCs w:val="22"/>
        </w:rPr>
        <w:t>.</w:t>
      </w:r>
      <w:r w:rsidRPr="31D8F34F" w:rsidR="00746D82">
        <w:rPr>
          <w:sz w:val="22"/>
          <w:szCs w:val="22"/>
        </w:rPr>
        <w:t xml:space="preserve"> Each online activity will contain approximately 20 to 2</w:t>
      </w:r>
      <w:r w:rsidR="00917105">
        <w:rPr>
          <w:sz w:val="22"/>
          <w:szCs w:val="22"/>
        </w:rPr>
        <w:t>4</w:t>
      </w:r>
      <w:r w:rsidRPr="31D8F34F" w:rsidR="00746D82">
        <w:rPr>
          <w:sz w:val="22"/>
          <w:szCs w:val="22"/>
        </w:rPr>
        <w:t xml:space="preserve"> tasks. The tasks will gather audience knowledge, attitudes, and beliefs (KABs), and perceptions of campaign messages and campaign concepts. </w:t>
      </w:r>
      <w:r w:rsidRPr="31D8F34F" w:rsidR="008445CD">
        <w:rPr>
          <w:sz w:val="22"/>
          <w:szCs w:val="22"/>
        </w:rPr>
        <w:t>Respondent</w:t>
      </w:r>
      <w:r w:rsidRPr="31D8F34F" w:rsidR="00851DD3">
        <w:rPr>
          <w:sz w:val="22"/>
          <w:szCs w:val="22"/>
        </w:rPr>
        <w:t xml:space="preserve">s will be notified of a deadline date and time for when an activity closes. The activities will be asynchronous, meaning that </w:t>
      </w:r>
      <w:r w:rsidRPr="31D8F34F" w:rsidR="008445CD">
        <w:rPr>
          <w:sz w:val="22"/>
          <w:szCs w:val="22"/>
        </w:rPr>
        <w:t>respondent</w:t>
      </w:r>
      <w:r w:rsidRPr="31D8F34F" w:rsidR="00851DD3">
        <w:rPr>
          <w:sz w:val="22"/>
          <w:szCs w:val="22"/>
        </w:rPr>
        <w:t xml:space="preserve">s can complete them at their own pace whenever it is most convenient for them (e.g., evenings, weekends), and they can take as much time as needed in the established 2-week timeframe. </w:t>
      </w:r>
      <w:r w:rsidRPr="31D8F34F" w:rsidR="008445CD">
        <w:rPr>
          <w:sz w:val="22"/>
          <w:szCs w:val="22"/>
        </w:rPr>
        <w:t>Respondent</w:t>
      </w:r>
      <w:r w:rsidRPr="31D8F34F" w:rsidR="00851DD3">
        <w:rPr>
          <w:sz w:val="22"/>
          <w:szCs w:val="22"/>
        </w:rPr>
        <w:t>s will receive multiple reminders about deadlines and tasks to complete on a regular basis (a few times a week and more frequently, including generally daily, within the last week of the final deadline).</w:t>
      </w:r>
      <w:r w:rsidRPr="31D8F34F" w:rsidR="00780FAB">
        <w:rPr>
          <w:sz w:val="22"/>
          <w:szCs w:val="22"/>
        </w:rPr>
        <w:t xml:space="preserve"> </w:t>
      </w:r>
      <w:r w:rsidRPr="31D8F34F">
        <w:rPr>
          <w:sz w:val="22"/>
          <w:szCs w:val="22"/>
        </w:rPr>
        <w:t xml:space="preserve">Data collection activities will include opportunities for </w:t>
      </w:r>
      <w:r w:rsidRPr="31D8F34F" w:rsidR="008445CD">
        <w:rPr>
          <w:sz w:val="22"/>
          <w:szCs w:val="22"/>
        </w:rPr>
        <w:t>respondent</w:t>
      </w:r>
      <w:r w:rsidRPr="31D8F34F">
        <w:rPr>
          <w:sz w:val="22"/>
          <w:szCs w:val="22"/>
        </w:rPr>
        <w:t xml:space="preserve">s to submit their answers privately. </w:t>
      </w:r>
    </w:p>
    <w:p w:rsidR="003D5C2B" w14:paraId="00000054" w14:textId="4ACBF3A0">
      <w:pPr>
        <w:pStyle w:val="Normal2"/>
        <w:rPr>
          <w:sz w:val="22"/>
          <w:szCs w:val="22"/>
        </w:rPr>
      </w:pPr>
      <w:r w:rsidRPr="007E2AFA">
        <w:rPr>
          <w:color w:val="000000"/>
          <w:sz w:val="22"/>
          <w:szCs w:val="22"/>
        </w:rPr>
        <w:t xml:space="preserve">To protect the privacy of </w:t>
      </w:r>
      <w:r w:rsidR="008445CD">
        <w:rPr>
          <w:color w:val="000000"/>
          <w:sz w:val="22"/>
          <w:szCs w:val="22"/>
        </w:rPr>
        <w:t>respondent</w:t>
      </w:r>
      <w:r w:rsidRPr="007E2AFA">
        <w:rPr>
          <w:color w:val="000000"/>
          <w:sz w:val="22"/>
          <w:szCs w:val="22"/>
        </w:rPr>
        <w:t xml:space="preserve">s, </w:t>
      </w:r>
      <w:r w:rsidRPr="007E2AFA">
        <w:rPr>
          <w:sz w:val="22"/>
          <w:szCs w:val="22"/>
        </w:rPr>
        <w:t xml:space="preserve">the vendor will retain only aggregate data and any other project-related documents on secure servers. Only project staff members will have access to the servers via password-protected computers. Findings will be reported in summary form and no </w:t>
      </w:r>
      <w:r w:rsidR="008445CD">
        <w:rPr>
          <w:sz w:val="22"/>
          <w:szCs w:val="22"/>
        </w:rPr>
        <w:t>respondent</w:t>
      </w:r>
      <w:r w:rsidRPr="007E2AFA">
        <w:rPr>
          <w:sz w:val="22"/>
          <w:szCs w:val="22"/>
        </w:rPr>
        <w:t>s’ personally identifiable information will be collected.</w:t>
      </w:r>
    </w:p>
    <w:p w:rsidR="003D5C2B" w14:paraId="00000056" w14:textId="77777777">
      <w:pPr>
        <w:pStyle w:val="heading12"/>
        <w:ind w:left="720"/>
        <w:rPr>
          <w:sz w:val="22"/>
        </w:rPr>
      </w:pPr>
      <w:bookmarkStart w:id="31" w:name="_heading=h.3znysh7" w:colFirst="0" w:colLast="0"/>
      <w:bookmarkStart w:id="32" w:name="_Toc160702594"/>
      <w:bookmarkEnd w:id="31"/>
      <w:r>
        <w:rPr>
          <w:sz w:val="22"/>
        </w:rPr>
        <w:t>Methods to Maximize Response Rates and Deal with No Response</w:t>
      </w:r>
      <w:bookmarkEnd w:id="32"/>
    </w:p>
    <w:p w:rsidR="001E767A" w:rsidRPr="001E767A" w:rsidP="001E767A" w14:paraId="4BC663D5" w14:textId="08F74133">
      <w:pPr>
        <w:pStyle w:val="Normal2"/>
        <w:rPr>
          <w:sz w:val="22"/>
          <w:szCs w:val="22"/>
        </w:rPr>
      </w:pPr>
      <w:r>
        <w:rPr>
          <w:sz w:val="22"/>
          <w:szCs w:val="22"/>
        </w:rPr>
        <w:t>To maximize response rates</w:t>
      </w:r>
      <w:r w:rsidR="003F3434">
        <w:rPr>
          <w:sz w:val="22"/>
          <w:szCs w:val="22"/>
        </w:rPr>
        <w:t xml:space="preserve">, </w:t>
      </w:r>
      <w:r w:rsidR="008445CD">
        <w:rPr>
          <w:sz w:val="22"/>
          <w:szCs w:val="22"/>
        </w:rPr>
        <w:t>respondent</w:t>
      </w:r>
      <w:r w:rsidRPr="001E767A">
        <w:rPr>
          <w:sz w:val="22"/>
          <w:szCs w:val="22"/>
        </w:rPr>
        <w:t xml:space="preserve">s </w:t>
      </w:r>
      <w:r w:rsidR="00FB12EA">
        <w:rPr>
          <w:sz w:val="22"/>
          <w:szCs w:val="22"/>
        </w:rPr>
        <w:t>will be</w:t>
      </w:r>
      <w:r w:rsidRPr="001E767A">
        <w:rPr>
          <w:sz w:val="22"/>
          <w:szCs w:val="22"/>
        </w:rPr>
        <w:t xml:space="preserve"> required to leave a response for all tasks before they can move onto the next task. In our experience, this means that barring any technical issues, it is very rare for respondents to complete an activity or a project while leaving a significant number of tasks incomplete. If a response is lacking detail or otherwise insufficient (e.g., “IDK,” “I don't like it,” “It's fine,” “Dumb”), then the moderator will leave a follow-up and ask for more information or encourage them to say more.</w:t>
      </w:r>
    </w:p>
    <w:p w:rsidR="001E767A" w:rsidRPr="001E767A" w:rsidP="001E767A" w14:paraId="71DEE89C" w14:textId="2886DB2F">
      <w:pPr>
        <w:pStyle w:val="Normal2"/>
        <w:rPr>
          <w:sz w:val="22"/>
          <w:szCs w:val="22"/>
        </w:rPr>
      </w:pPr>
      <w:r w:rsidRPr="001E767A">
        <w:rPr>
          <w:sz w:val="22"/>
          <w:szCs w:val="22"/>
        </w:rPr>
        <w:t xml:space="preserve">If respondents leave activities or the project incomplete, then the moderator will attempt to message </w:t>
      </w:r>
      <w:r w:rsidR="008445CD">
        <w:rPr>
          <w:sz w:val="22"/>
          <w:szCs w:val="22"/>
        </w:rPr>
        <w:t>respondent</w:t>
      </w:r>
      <w:r w:rsidRPr="001E767A">
        <w:rPr>
          <w:sz w:val="22"/>
          <w:szCs w:val="22"/>
        </w:rPr>
        <w:t xml:space="preserve">s via the online community to encourage them to continue the project or to see whether there are any technical issues to help them resolve to encourage completion. </w:t>
      </w:r>
      <w:r w:rsidR="008445CD">
        <w:rPr>
          <w:sz w:val="22"/>
          <w:szCs w:val="22"/>
        </w:rPr>
        <w:t>Respondent</w:t>
      </w:r>
      <w:r w:rsidRPr="001E767A">
        <w:rPr>
          <w:sz w:val="22"/>
          <w:szCs w:val="22"/>
        </w:rPr>
        <w:t xml:space="preserve">s will receive reminders of any upcoming deadlines and may even extend deadlines for them if needed. In rare cases, the moderator will email </w:t>
      </w:r>
      <w:r w:rsidR="008445CD">
        <w:rPr>
          <w:sz w:val="22"/>
          <w:szCs w:val="22"/>
        </w:rPr>
        <w:t>respondent</w:t>
      </w:r>
      <w:r w:rsidRPr="001E767A">
        <w:rPr>
          <w:sz w:val="22"/>
          <w:szCs w:val="22"/>
        </w:rPr>
        <w:t xml:space="preserve">s directly or ask our recruitment partners to reach out to them to encourage their renewed engagement or see whether there are any issues. We consider the </w:t>
      </w:r>
      <w:r w:rsidR="008445CD">
        <w:rPr>
          <w:sz w:val="22"/>
          <w:szCs w:val="22"/>
        </w:rPr>
        <w:t>respondent</w:t>
      </w:r>
      <w:r w:rsidRPr="001E767A">
        <w:rPr>
          <w:sz w:val="22"/>
          <w:szCs w:val="22"/>
        </w:rPr>
        <w:t xml:space="preserve"> an “incomplete respondent” if we receive no response. </w:t>
      </w:r>
    </w:p>
    <w:p w:rsidR="0014112C" w14:paraId="1C4B666B" w14:textId="589361C8">
      <w:pPr>
        <w:pStyle w:val="Normal2"/>
        <w:rPr>
          <w:sz w:val="22"/>
          <w:szCs w:val="22"/>
        </w:rPr>
      </w:pPr>
      <w:r w:rsidRPr="001E767A">
        <w:rPr>
          <w:sz w:val="22"/>
          <w:szCs w:val="22"/>
        </w:rPr>
        <w:t xml:space="preserve">The moderator can leave follow-up responses as “comments” directly to respondents' responses in the </w:t>
      </w:r>
      <w:r w:rsidR="00CF7863">
        <w:rPr>
          <w:sz w:val="22"/>
          <w:szCs w:val="22"/>
        </w:rPr>
        <w:t>online platform</w:t>
      </w:r>
      <w:r w:rsidRPr="001E767A">
        <w:rPr>
          <w:sz w:val="22"/>
          <w:szCs w:val="22"/>
        </w:rPr>
        <w:t xml:space="preserve">. When a respondent leaves their response to a task, the moderator can leave a follow-up response (e.g., </w:t>
      </w:r>
      <w:r w:rsidRPr="001E767A">
        <w:rPr>
          <w:sz w:val="22"/>
          <w:szCs w:val="22"/>
        </w:rPr>
        <w:t>“thank you,” asking for more information or clarification). This response will be private, so only the respondent who left the original comment (and any moderators/observers) can see it and respond. Respondents will also receive a notification that a follow-up comment has been left on one of their responses, and we will send reminders to respondents to check their comments for follow-ups. Reminders will remain visible in a task, along with activity, and there will be instructions asking respondents to review their work and ensure they are responding to any follow-ups a moderator might have asked.</w:t>
      </w:r>
    </w:p>
    <w:p w:rsidR="003D5C2B" w14:paraId="00000059" w14:textId="77777777">
      <w:pPr>
        <w:pStyle w:val="heading12"/>
        <w:ind w:left="720"/>
        <w:rPr>
          <w:sz w:val="22"/>
        </w:rPr>
      </w:pPr>
      <w:bookmarkStart w:id="33" w:name="_heading=h.2et92p0" w:colFirst="0" w:colLast="0"/>
      <w:bookmarkStart w:id="34" w:name="_Toc160702595"/>
      <w:bookmarkEnd w:id="33"/>
      <w:r>
        <w:rPr>
          <w:sz w:val="22"/>
        </w:rPr>
        <w:t>Tests of Procedures or Methods to be Undertaken</w:t>
      </w:r>
      <w:bookmarkEnd w:id="34"/>
    </w:p>
    <w:p w:rsidR="003D5C2B" w14:paraId="0000005A" w14:textId="6F70F57A">
      <w:pPr>
        <w:pStyle w:val="Normal2"/>
        <w:rPr>
          <w:sz w:val="22"/>
          <w:szCs w:val="22"/>
        </w:rPr>
      </w:pPr>
      <w:r>
        <w:rPr>
          <w:sz w:val="22"/>
          <w:szCs w:val="22"/>
        </w:rPr>
        <w:t xml:space="preserve">CDC and contractor project staff will work with </w:t>
      </w:r>
      <w:r w:rsidR="00780FAB">
        <w:rPr>
          <w:sz w:val="22"/>
          <w:szCs w:val="22"/>
        </w:rPr>
        <w:t>YPulse</w:t>
      </w:r>
      <w:r>
        <w:rPr>
          <w:sz w:val="22"/>
          <w:szCs w:val="22"/>
        </w:rPr>
        <w:t xml:space="preserve"> to test the </w:t>
      </w:r>
      <w:r w:rsidR="00780FAB">
        <w:rPr>
          <w:sz w:val="22"/>
          <w:szCs w:val="22"/>
        </w:rPr>
        <w:t>online activities</w:t>
      </w:r>
      <w:r>
        <w:rPr>
          <w:sz w:val="22"/>
          <w:szCs w:val="22"/>
        </w:rPr>
        <w:t xml:space="preserve"> prior to launch to ensure proper logic and functionality. </w:t>
      </w:r>
    </w:p>
    <w:p w:rsidR="003D5C2B" w14:paraId="0000005B" w14:textId="77777777">
      <w:pPr>
        <w:pStyle w:val="heading12"/>
        <w:ind w:left="720"/>
        <w:rPr>
          <w:sz w:val="22"/>
        </w:rPr>
      </w:pPr>
      <w:bookmarkStart w:id="35" w:name="_heading=h.tyjcwt" w:colFirst="0" w:colLast="0"/>
      <w:bookmarkStart w:id="36" w:name="_Toc160702596"/>
      <w:bookmarkEnd w:id="35"/>
      <w:r>
        <w:rPr>
          <w:sz w:val="22"/>
        </w:rPr>
        <w:t>Individuals Consulted on Statistical Aspects and Individuals Collecting and/or Analyzing Data</w:t>
      </w:r>
      <w:bookmarkEnd w:id="36"/>
    </w:p>
    <w:p w:rsidR="003D5C2B" w14:paraId="0000005E" w14:textId="047D4624">
      <w:pPr>
        <w:pStyle w:val="Normal2"/>
        <w:rPr>
          <w:sz w:val="22"/>
          <w:szCs w:val="22"/>
        </w:rPr>
      </w:pPr>
      <w:r>
        <w:rPr>
          <w:sz w:val="22"/>
          <w:szCs w:val="22"/>
        </w:rPr>
        <w:t xml:space="preserve">The individuals collecting and/or analyzing data include: </w:t>
      </w:r>
    </w:p>
    <w:p w:rsidR="003D5C2B" w14:paraId="0000005F" w14:textId="395D4EC7">
      <w:pPr>
        <w:pStyle w:val="Normal2"/>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w:t>
      </w:r>
      <w:r>
        <w:rPr>
          <w:sz w:val="22"/>
          <w:szCs w:val="22"/>
        </w:rPr>
        <w:t xml:space="preserve"> </w:t>
      </w:r>
      <w:r w:rsidR="009257FC">
        <w:rPr>
          <w:sz w:val="22"/>
          <w:szCs w:val="22"/>
        </w:rPr>
        <w:t>Jasmine</w:t>
      </w:r>
      <w:r w:rsidR="0074768D">
        <w:rPr>
          <w:sz w:val="22"/>
          <w:szCs w:val="22"/>
        </w:rPr>
        <w:t xml:space="preserve"> </w:t>
      </w:r>
      <w:r w:rsidR="00D90261">
        <w:rPr>
          <w:sz w:val="22"/>
          <w:szCs w:val="22"/>
        </w:rPr>
        <w:t>Kenney</w:t>
      </w:r>
      <w:r>
        <w:rPr>
          <w:sz w:val="22"/>
          <w:szCs w:val="22"/>
        </w:rPr>
        <w:t xml:space="preserve">, </w:t>
      </w:r>
      <w:r w:rsidR="00DB4A1A">
        <w:rPr>
          <w:sz w:val="22"/>
          <w:szCs w:val="22"/>
        </w:rPr>
        <w:t xml:space="preserve">MPH, </w:t>
      </w:r>
      <w:r>
        <w:rPr>
          <w:sz w:val="22"/>
          <w:szCs w:val="22"/>
        </w:rPr>
        <w:t>Health Communication Specialist, CDC, NCPIC, DOP</w:t>
      </w:r>
    </w:p>
    <w:p w:rsidR="003D5C2B" w14:paraId="00000060" w14:textId="77777777">
      <w:pPr>
        <w:pStyle w:val="Normal2"/>
        <w:pBdr>
          <w:top w:val="nil"/>
          <w:left w:val="nil"/>
          <w:bottom w:val="nil"/>
          <w:right w:val="nil"/>
          <w:between w:val="nil"/>
        </w:pBdr>
        <w:spacing w:after="0" w:line="240" w:lineRule="auto"/>
        <w:rPr>
          <w:b/>
          <w:color w:val="000000"/>
          <w:sz w:val="22"/>
          <w:szCs w:val="22"/>
        </w:rPr>
      </w:pPr>
    </w:p>
    <w:p w:rsidR="00037C9D" w:rsidP="00037C9D" w14:paraId="410DD613" w14:textId="11404B74">
      <w:pPr>
        <w:pStyle w:val="Normal2"/>
        <w:pBdr>
          <w:top w:val="nil"/>
          <w:left w:val="nil"/>
          <w:bottom w:val="nil"/>
          <w:right w:val="nil"/>
          <w:between w:val="nil"/>
        </w:pBdr>
        <w:spacing w:after="0" w:line="240" w:lineRule="auto"/>
        <w:rPr>
          <w:color w:val="000000"/>
          <w:sz w:val="22"/>
          <w:szCs w:val="22"/>
        </w:rPr>
      </w:pPr>
      <w:r>
        <w:rPr>
          <w:b/>
          <w:color w:val="000000"/>
          <w:sz w:val="22"/>
          <w:szCs w:val="22"/>
        </w:rPr>
        <w:t xml:space="preserve">Co-Investigators: </w:t>
      </w:r>
      <w:r w:rsidRPr="00037C9D">
        <w:rPr>
          <w:color w:val="000000" w:themeColor="text1"/>
          <w:sz w:val="22"/>
          <w:szCs w:val="22"/>
        </w:rPr>
        <w:t>Diakima Thomas Davis, PhD, Health Communication Specialist, CDC, NCPIC, DOP</w:t>
      </w:r>
    </w:p>
    <w:p w:rsidR="003D5C2B" w14:paraId="00000061" w14:textId="4ADA78C2">
      <w:pPr>
        <w:pStyle w:val="Normal2"/>
        <w:pBdr>
          <w:top w:val="nil"/>
          <w:left w:val="nil"/>
          <w:bottom w:val="nil"/>
          <w:right w:val="nil"/>
          <w:between w:val="nil"/>
        </w:pBdr>
        <w:spacing w:after="0" w:line="240" w:lineRule="auto"/>
        <w:rPr>
          <w:color w:val="000000"/>
          <w:sz w:val="22"/>
          <w:szCs w:val="22"/>
        </w:rPr>
      </w:pPr>
    </w:p>
    <w:p w:rsidR="003D5C2B" w14:paraId="00000062" w14:textId="77777777">
      <w:pPr>
        <w:pStyle w:val="Normal2"/>
        <w:pBdr>
          <w:top w:val="nil"/>
          <w:left w:val="nil"/>
          <w:bottom w:val="nil"/>
          <w:right w:val="nil"/>
          <w:between w:val="nil"/>
        </w:pBdr>
        <w:spacing w:after="0" w:line="240" w:lineRule="auto"/>
        <w:rPr>
          <w:color w:val="000000"/>
          <w:sz w:val="22"/>
          <w:szCs w:val="22"/>
        </w:rPr>
      </w:pPr>
    </w:p>
    <w:p w:rsidR="003D5C2B" w14:paraId="00000063" w14:textId="77777777">
      <w:pPr>
        <w:pStyle w:val="Normal2"/>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0823321C" w14:textId="77777777">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5B0023" w:rsidRPr="008445CD" w14:paraId="206D1318" w14:textId="77777777">
            <w:pPr>
              <w:pStyle w:val="Normal2"/>
              <w:pBdr>
                <w:top w:val="nil"/>
                <w:left w:val="nil"/>
                <w:bottom w:val="nil"/>
                <w:right w:val="nil"/>
                <w:between w:val="nil"/>
              </w:pBdr>
              <w:tabs>
                <w:tab w:val="left" w:pos="360"/>
              </w:tabs>
              <w:rPr>
                <w:b/>
                <w:bCs/>
                <w:color w:val="000000"/>
              </w:rPr>
            </w:pPr>
            <w:r w:rsidRPr="008445CD">
              <w:rPr>
                <w:b/>
                <w:bCs/>
                <w:color w:val="000000" w:themeColor="text1"/>
              </w:rPr>
              <w:t>Name</w:t>
            </w:r>
          </w:p>
        </w:tc>
        <w:tc>
          <w:tcPr>
            <w:tcW w:w="3289" w:type="dxa"/>
          </w:tcPr>
          <w:p w:rsidR="005B0023" w:rsidRPr="008445CD" w14:paraId="1382487A" w14:textId="77777777">
            <w:pPr>
              <w:pStyle w:val="Normal2"/>
              <w:pBdr>
                <w:top w:val="nil"/>
                <w:left w:val="nil"/>
                <w:bottom w:val="nil"/>
                <w:right w:val="nil"/>
                <w:between w:val="nil"/>
              </w:pBdr>
              <w:tabs>
                <w:tab w:val="left" w:pos="360"/>
              </w:tabs>
              <w:rPr>
                <w:b/>
                <w:bCs/>
                <w:color w:val="000000"/>
              </w:rPr>
            </w:pPr>
            <w:r w:rsidRPr="008445CD">
              <w:rPr>
                <w:b/>
                <w:bCs/>
                <w:color w:val="000000" w:themeColor="text1"/>
              </w:rPr>
              <w:t>Organizational Unit</w:t>
            </w:r>
          </w:p>
        </w:tc>
      </w:tr>
      <w:tr w14:paraId="79E8254F" w14:textId="77777777">
        <w:tblPrEx>
          <w:tblW w:w="10075" w:type="dxa"/>
          <w:tblInd w:w="-5" w:type="dxa"/>
          <w:tblLayout w:type="fixed"/>
          <w:tblLook w:val="0400"/>
        </w:tblPrEx>
        <w:tc>
          <w:tcPr>
            <w:tcW w:w="6786" w:type="dxa"/>
          </w:tcPr>
          <w:p w:rsidR="005B0023" w:rsidRPr="008445CD" w14:paraId="49462214" w14:textId="77777777">
            <w:pPr>
              <w:pStyle w:val="Normal2"/>
              <w:pBdr>
                <w:top w:val="nil"/>
                <w:left w:val="nil"/>
                <w:bottom w:val="nil"/>
                <w:right w:val="nil"/>
                <w:between w:val="nil"/>
              </w:pBdr>
              <w:tabs>
                <w:tab w:val="left" w:pos="360"/>
              </w:tabs>
              <w:rPr>
                <w:color w:val="000000"/>
              </w:rPr>
            </w:pPr>
            <w:r w:rsidRPr="008445CD">
              <w:rPr>
                <w:color w:val="000000"/>
              </w:rPr>
              <w:t>Everett Long, PhD, Principal Researcher</w:t>
            </w:r>
          </w:p>
        </w:tc>
        <w:tc>
          <w:tcPr>
            <w:tcW w:w="3289" w:type="dxa"/>
          </w:tcPr>
          <w:p w:rsidR="005B0023" w:rsidRPr="008445CD" w14:paraId="2296452A" w14:textId="75B1151B">
            <w:pPr>
              <w:pStyle w:val="Normal2"/>
              <w:pBdr>
                <w:top w:val="nil"/>
                <w:left w:val="nil"/>
                <w:bottom w:val="nil"/>
                <w:right w:val="nil"/>
                <w:between w:val="nil"/>
              </w:pBdr>
              <w:tabs>
                <w:tab w:val="left" w:pos="360"/>
              </w:tabs>
              <w:rPr>
                <w:color w:val="000000"/>
              </w:rPr>
            </w:pPr>
            <w:r w:rsidRPr="008445CD">
              <w:t xml:space="preserve">Fors Marsh </w:t>
            </w:r>
            <w:r w:rsidRPr="008445CD">
              <w:rPr>
                <w:color w:val="000000"/>
              </w:rPr>
              <w:t>(contractor)</w:t>
            </w:r>
          </w:p>
        </w:tc>
      </w:tr>
      <w:tr w14:paraId="01D4646A" w14:textId="77777777">
        <w:tblPrEx>
          <w:tblW w:w="10075" w:type="dxa"/>
          <w:tblInd w:w="-5" w:type="dxa"/>
          <w:tblLayout w:type="fixed"/>
          <w:tblLook w:val="0400"/>
        </w:tblPrEx>
        <w:tc>
          <w:tcPr>
            <w:tcW w:w="6786" w:type="dxa"/>
          </w:tcPr>
          <w:p w:rsidR="005B0023" w:rsidRPr="008445CD" w14:paraId="59EC4BB9" w14:textId="77777777">
            <w:pPr>
              <w:pStyle w:val="Normal2"/>
              <w:pBdr>
                <w:top w:val="nil"/>
                <w:left w:val="nil"/>
                <w:bottom w:val="nil"/>
                <w:right w:val="nil"/>
                <w:between w:val="nil"/>
              </w:pBdr>
              <w:tabs>
                <w:tab w:val="left" w:pos="360"/>
              </w:tabs>
              <w:rPr>
                <w:color w:val="000000"/>
              </w:rPr>
            </w:pPr>
            <w:r w:rsidRPr="008445CD">
              <w:rPr>
                <w:color w:val="000000"/>
              </w:rPr>
              <w:t xml:space="preserve"> LeShaundra Cordier, Sr. Advisor</w:t>
            </w:r>
          </w:p>
        </w:tc>
        <w:tc>
          <w:tcPr>
            <w:tcW w:w="3289" w:type="dxa"/>
          </w:tcPr>
          <w:p w:rsidR="005B0023" w:rsidRPr="008445CD" w14:paraId="5921D425" w14:textId="1787C735">
            <w:pPr>
              <w:pStyle w:val="Normal2"/>
              <w:pBdr>
                <w:top w:val="nil"/>
                <w:left w:val="nil"/>
                <w:bottom w:val="nil"/>
                <w:right w:val="nil"/>
                <w:between w:val="nil"/>
              </w:pBdr>
              <w:tabs>
                <w:tab w:val="left" w:pos="360"/>
              </w:tabs>
              <w:rPr>
                <w:color w:val="000000"/>
              </w:rPr>
            </w:pPr>
            <w:r w:rsidRPr="008445CD">
              <w:t xml:space="preserve">Fors Marsh </w:t>
            </w:r>
            <w:r w:rsidRPr="008445CD">
              <w:rPr>
                <w:color w:val="000000"/>
              </w:rPr>
              <w:t>(contractor)</w:t>
            </w:r>
          </w:p>
        </w:tc>
      </w:tr>
      <w:tr w14:paraId="218B43D5" w14:textId="77777777">
        <w:tblPrEx>
          <w:tblW w:w="10075" w:type="dxa"/>
          <w:tblInd w:w="-5" w:type="dxa"/>
          <w:tblLayout w:type="fixed"/>
          <w:tblLook w:val="0400"/>
        </w:tblPrEx>
        <w:tc>
          <w:tcPr>
            <w:tcW w:w="6786" w:type="dxa"/>
          </w:tcPr>
          <w:p w:rsidR="005B0023" w:rsidRPr="008445CD" w14:paraId="4C1CE93C" w14:textId="4F38A5A7">
            <w:pPr>
              <w:pStyle w:val="Normal2"/>
              <w:pBdr>
                <w:top w:val="nil"/>
                <w:left w:val="nil"/>
                <w:bottom w:val="nil"/>
                <w:right w:val="nil"/>
                <w:between w:val="nil"/>
              </w:pBdr>
              <w:tabs>
                <w:tab w:val="left" w:pos="360"/>
              </w:tabs>
              <w:rPr>
                <w:color w:val="000000"/>
              </w:rPr>
            </w:pPr>
            <w:r w:rsidRPr="008445CD">
              <w:rPr>
                <w:color w:val="000000"/>
              </w:rPr>
              <w:t xml:space="preserve"> Elise Bui, </w:t>
            </w:r>
            <w:r w:rsidRPr="008445CD" w:rsidR="00257045">
              <w:rPr>
                <w:color w:val="000000"/>
              </w:rPr>
              <w:t xml:space="preserve">PhD, </w:t>
            </w:r>
            <w:r w:rsidRPr="008445CD">
              <w:rPr>
                <w:color w:val="000000"/>
              </w:rPr>
              <w:t>Sr. Analyst</w:t>
            </w:r>
          </w:p>
        </w:tc>
        <w:tc>
          <w:tcPr>
            <w:tcW w:w="3289" w:type="dxa"/>
          </w:tcPr>
          <w:p w:rsidR="005B0023" w:rsidRPr="008445CD" w14:paraId="0C2C7B85" w14:textId="14D81DDB">
            <w:pPr>
              <w:pStyle w:val="Normal2"/>
              <w:pBdr>
                <w:top w:val="nil"/>
                <w:left w:val="nil"/>
                <w:bottom w:val="nil"/>
                <w:right w:val="nil"/>
                <w:between w:val="nil"/>
              </w:pBdr>
              <w:tabs>
                <w:tab w:val="left" w:pos="360"/>
              </w:tabs>
            </w:pPr>
            <w:r w:rsidRPr="008445CD">
              <w:t xml:space="preserve">Fors Marsh </w:t>
            </w:r>
            <w:r w:rsidRPr="008445CD">
              <w:rPr>
                <w:color w:val="000000"/>
              </w:rPr>
              <w:t>(contractor)</w:t>
            </w:r>
          </w:p>
        </w:tc>
      </w:tr>
    </w:tbl>
    <w:p w:rsidR="003D5C2B" w14:paraId="0000006C" w14:textId="77777777">
      <w:pPr>
        <w:pStyle w:val="Normal2"/>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5" w14:textId="77777777">
    <w:pPr>
      <w:pStyle w:val="Normal2"/>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1" w14:textId="77777777">
    <w:pPr>
      <w:pStyle w:val="Normal2"/>
      <w:pBdr>
        <w:top w:val="nil"/>
        <w:left w:val="nil"/>
        <w:bottom w:val="nil"/>
        <w:right w:val="nil"/>
        <w:between w:val="nil"/>
      </w:pBdr>
      <w:tabs>
        <w:tab w:val="center" w:pos="4680"/>
        <w:tab w:val="right" w:pos="9360"/>
      </w:tabs>
      <w:spacing w:after="0" w:line="240" w:lineRule="auto"/>
      <w:jc w:val="center"/>
      <w:rPr>
        <w:color w:val="000000"/>
      </w:rPr>
    </w:pPr>
  </w:p>
  <w:p w:rsidR="003D5C2B" w14:paraId="00000072" w14:textId="77777777">
    <w:pPr>
      <w:pStyle w:val="Normal2"/>
      <w:pBdr>
        <w:top w:val="nil"/>
        <w:left w:val="nil"/>
        <w:bottom w:val="nil"/>
        <w:right w:val="nil"/>
        <w:between w:val="nil"/>
      </w:pBdr>
      <w:tabs>
        <w:tab w:val="center" w:pos="4680"/>
        <w:tab w:val="right" w:pos="9360"/>
      </w:tabs>
      <w:spacing w:after="0" w:line="240" w:lineRule="auto"/>
    </w:pPr>
  </w:p>
  <w:p w:rsidR="003D5C2B" w14:paraId="00000073" w14:textId="06D8143E">
    <w:pPr>
      <w:pStyle w:val="Normal2"/>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661EB3">
      <w:rPr>
        <w:noProof/>
        <w:sz w:val="22"/>
        <w:szCs w:val="22"/>
      </w:rPr>
      <w:t>2</w:t>
    </w:r>
    <w:r>
      <w:rPr>
        <w:sz w:val="22"/>
        <w:szCs w:val="22"/>
      </w:rPr>
      <w:fldChar w:fldCharType="end"/>
    </w:r>
  </w:p>
  <w:p w:rsidR="003D5C2B" w14:paraId="00000074" w14:textId="77777777">
    <w:pPr>
      <w:pStyle w:val="Normal2"/>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6" w14:textId="77777777">
    <w:pPr>
      <w:pStyle w:val="Normal2"/>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0"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6F"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6D" w14:textId="77777777">
    <w:pPr>
      <w:pStyle w:val="Normal2"/>
      <w:spacing w:after="0" w:line="240" w:lineRule="auto"/>
      <w:jc w:val="right"/>
    </w:pPr>
    <w:r>
      <w:t>OMB No. 0920-1154</w:t>
    </w:r>
  </w:p>
  <w:p w:rsidR="003D5C2B" w14:paraId="0000006E"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C4BE3"/>
    <w:multiLevelType w:val="hybridMultilevel"/>
    <w:tmpl w:val="FE802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65FD92"/>
    <w:multiLevelType w:val="hybridMultilevel"/>
    <w:tmpl w:val="FDC62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6ED596"/>
    <w:multiLevelType w:val="multilevel"/>
    <w:tmpl w:val="9D1A9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8315DC"/>
    <w:multiLevelType w:val="multilevel"/>
    <w:tmpl w:val="0EF63AF8"/>
    <w:lvl w:ilvl="0">
      <w:start w:val="1"/>
      <w:numFmt w:val="decimal"/>
      <w:pStyle w:val="heading1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52883">
    <w:abstractNumId w:val="3"/>
  </w:num>
  <w:num w:numId="2" w16cid:durableId="648242091">
    <w:abstractNumId w:val="2"/>
  </w:num>
  <w:num w:numId="3" w16cid:durableId="1623998054">
    <w:abstractNumId w:val="0"/>
  </w:num>
  <w:num w:numId="4" w16cid:durableId="1247837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A3240"/>
    <w:rsid w:val="0000468F"/>
    <w:rsid w:val="00034481"/>
    <w:rsid w:val="00037C9D"/>
    <w:rsid w:val="00051E2D"/>
    <w:rsid w:val="0009468D"/>
    <w:rsid w:val="000B12AD"/>
    <w:rsid w:val="000D0799"/>
    <w:rsid w:val="000D3798"/>
    <w:rsid w:val="000E0E80"/>
    <w:rsid w:val="000F7DCC"/>
    <w:rsid w:val="00127DF9"/>
    <w:rsid w:val="00130FA7"/>
    <w:rsid w:val="0014112C"/>
    <w:rsid w:val="00142114"/>
    <w:rsid w:val="001503DD"/>
    <w:rsid w:val="00162E8F"/>
    <w:rsid w:val="00173CA0"/>
    <w:rsid w:val="001B46AF"/>
    <w:rsid w:val="001D4381"/>
    <w:rsid w:val="001D6CF9"/>
    <w:rsid w:val="001E767A"/>
    <w:rsid w:val="001E7D1F"/>
    <w:rsid w:val="001F30D6"/>
    <w:rsid w:val="0021607C"/>
    <w:rsid w:val="002220BF"/>
    <w:rsid w:val="00251DA3"/>
    <w:rsid w:val="00257045"/>
    <w:rsid w:val="002753F8"/>
    <w:rsid w:val="00275C21"/>
    <w:rsid w:val="00275D2E"/>
    <w:rsid w:val="00282FB7"/>
    <w:rsid w:val="002A461E"/>
    <w:rsid w:val="002B6E6F"/>
    <w:rsid w:val="002E2803"/>
    <w:rsid w:val="00303D9C"/>
    <w:rsid w:val="003229D3"/>
    <w:rsid w:val="00357207"/>
    <w:rsid w:val="003A4FC9"/>
    <w:rsid w:val="003A5899"/>
    <w:rsid w:val="003A6BB8"/>
    <w:rsid w:val="003D5C2B"/>
    <w:rsid w:val="003F3434"/>
    <w:rsid w:val="00401463"/>
    <w:rsid w:val="00412AEE"/>
    <w:rsid w:val="0042099B"/>
    <w:rsid w:val="00457512"/>
    <w:rsid w:val="00465B44"/>
    <w:rsid w:val="004720C9"/>
    <w:rsid w:val="00476353"/>
    <w:rsid w:val="00485C3F"/>
    <w:rsid w:val="004A5D30"/>
    <w:rsid w:val="004A6845"/>
    <w:rsid w:val="004C3E1B"/>
    <w:rsid w:val="004D663D"/>
    <w:rsid w:val="004F007D"/>
    <w:rsid w:val="004F2861"/>
    <w:rsid w:val="004F4D23"/>
    <w:rsid w:val="005020F6"/>
    <w:rsid w:val="0053618E"/>
    <w:rsid w:val="0055591A"/>
    <w:rsid w:val="00570493"/>
    <w:rsid w:val="00570806"/>
    <w:rsid w:val="00587B0A"/>
    <w:rsid w:val="005933F3"/>
    <w:rsid w:val="00594436"/>
    <w:rsid w:val="005A4FFA"/>
    <w:rsid w:val="005A6309"/>
    <w:rsid w:val="005B0023"/>
    <w:rsid w:val="005B6948"/>
    <w:rsid w:val="005B697A"/>
    <w:rsid w:val="006155DF"/>
    <w:rsid w:val="00616010"/>
    <w:rsid w:val="00621339"/>
    <w:rsid w:val="00626553"/>
    <w:rsid w:val="006275C6"/>
    <w:rsid w:val="006343E2"/>
    <w:rsid w:val="00634959"/>
    <w:rsid w:val="0064282C"/>
    <w:rsid w:val="00647B83"/>
    <w:rsid w:val="00661EB3"/>
    <w:rsid w:val="00663651"/>
    <w:rsid w:val="00663AA8"/>
    <w:rsid w:val="00666130"/>
    <w:rsid w:val="00684BFD"/>
    <w:rsid w:val="006954AE"/>
    <w:rsid w:val="00695F79"/>
    <w:rsid w:val="006A38C2"/>
    <w:rsid w:val="006B7B7C"/>
    <w:rsid w:val="006E1E8E"/>
    <w:rsid w:val="006E4ACC"/>
    <w:rsid w:val="007025B5"/>
    <w:rsid w:val="007031DE"/>
    <w:rsid w:val="00710F87"/>
    <w:rsid w:val="007131A4"/>
    <w:rsid w:val="00746D82"/>
    <w:rsid w:val="0074768D"/>
    <w:rsid w:val="00751238"/>
    <w:rsid w:val="00777629"/>
    <w:rsid w:val="00780FAB"/>
    <w:rsid w:val="00783608"/>
    <w:rsid w:val="00791768"/>
    <w:rsid w:val="007A7499"/>
    <w:rsid w:val="007D247D"/>
    <w:rsid w:val="007E2AFA"/>
    <w:rsid w:val="007E4E77"/>
    <w:rsid w:val="007F7809"/>
    <w:rsid w:val="00816E81"/>
    <w:rsid w:val="008445CD"/>
    <w:rsid w:val="00851DD3"/>
    <w:rsid w:val="00863085"/>
    <w:rsid w:val="008657F7"/>
    <w:rsid w:val="008817AD"/>
    <w:rsid w:val="00882338"/>
    <w:rsid w:val="0088495E"/>
    <w:rsid w:val="008959E3"/>
    <w:rsid w:val="008961D3"/>
    <w:rsid w:val="008A6DB5"/>
    <w:rsid w:val="008B0BAE"/>
    <w:rsid w:val="008B3DE1"/>
    <w:rsid w:val="008B5E9E"/>
    <w:rsid w:val="008D0D2A"/>
    <w:rsid w:val="008F1CC1"/>
    <w:rsid w:val="00906325"/>
    <w:rsid w:val="00917105"/>
    <w:rsid w:val="00921F02"/>
    <w:rsid w:val="00922305"/>
    <w:rsid w:val="0092358E"/>
    <w:rsid w:val="009257FC"/>
    <w:rsid w:val="00933711"/>
    <w:rsid w:val="00937345"/>
    <w:rsid w:val="00967AF7"/>
    <w:rsid w:val="00990769"/>
    <w:rsid w:val="00996F2B"/>
    <w:rsid w:val="009A2425"/>
    <w:rsid w:val="009A4008"/>
    <w:rsid w:val="009A6DD8"/>
    <w:rsid w:val="009D212C"/>
    <w:rsid w:val="009E782C"/>
    <w:rsid w:val="009F3885"/>
    <w:rsid w:val="00A166CD"/>
    <w:rsid w:val="00A20645"/>
    <w:rsid w:val="00A355B0"/>
    <w:rsid w:val="00A35F43"/>
    <w:rsid w:val="00A54C9D"/>
    <w:rsid w:val="00A561C2"/>
    <w:rsid w:val="00A66886"/>
    <w:rsid w:val="00A865E6"/>
    <w:rsid w:val="00A95F82"/>
    <w:rsid w:val="00A95FDA"/>
    <w:rsid w:val="00AB213C"/>
    <w:rsid w:val="00AC0294"/>
    <w:rsid w:val="00AC3B94"/>
    <w:rsid w:val="00AD60A1"/>
    <w:rsid w:val="00AE0791"/>
    <w:rsid w:val="00AE51D9"/>
    <w:rsid w:val="00B31572"/>
    <w:rsid w:val="00B36A95"/>
    <w:rsid w:val="00B552E5"/>
    <w:rsid w:val="00B5546A"/>
    <w:rsid w:val="00B629B9"/>
    <w:rsid w:val="00B75822"/>
    <w:rsid w:val="00B8246E"/>
    <w:rsid w:val="00B91C9F"/>
    <w:rsid w:val="00B972AC"/>
    <w:rsid w:val="00B972E0"/>
    <w:rsid w:val="00BB4FD4"/>
    <w:rsid w:val="00BC36CE"/>
    <w:rsid w:val="00BD2D8F"/>
    <w:rsid w:val="00BE30CB"/>
    <w:rsid w:val="00BE7E16"/>
    <w:rsid w:val="00BF6791"/>
    <w:rsid w:val="00C1094E"/>
    <w:rsid w:val="00C14EAA"/>
    <w:rsid w:val="00C262C2"/>
    <w:rsid w:val="00C43964"/>
    <w:rsid w:val="00C52F6F"/>
    <w:rsid w:val="00C567E2"/>
    <w:rsid w:val="00C57711"/>
    <w:rsid w:val="00C7071D"/>
    <w:rsid w:val="00CB091B"/>
    <w:rsid w:val="00CB370B"/>
    <w:rsid w:val="00CB3C8B"/>
    <w:rsid w:val="00CC0FCF"/>
    <w:rsid w:val="00CF223A"/>
    <w:rsid w:val="00CF7863"/>
    <w:rsid w:val="00D047C1"/>
    <w:rsid w:val="00D1505C"/>
    <w:rsid w:val="00D15B20"/>
    <w:rsid w:val="00D25FC7"/>
    <w:rsid w:val="00D41E60"/>
    <w:rsid w:val="00D56F8B"/>
    <w:rsid w:val="00D649C6"/>
    <w:rsid w:val="00D663F8"/>
    <w:rsid w:val="00D814D7"/>
    <w:rsid w:val="00D90261"/>
    <w:rsid w:val="00D940BC"/>
    <w:rsid w:val="00DA36CB"/>
    <w:rsid w:val="00DB1A04"/>
    <w:rsid w:val="00DB4A1A"/>
    <w:rsid w:val="00DB5345"/>
    <w:rsid w:val="00DB7F62"/>
    <w:rsid w:val="00DD04A6"/>
    <w:rsid w:val="00DD596F"/>
    <w:rsid w:val="00DE2BFD"/>
    <w:rsid w:val="00DE6522"/>
    <w:rsid w:val="00DF29AA"/>
    <w:rsid w:val="00E308DA"/>
    <w:rsid w:val="00E345D7"/>
    <w:rsid w:val="00E87BFE"/>
    <w:rsid w:val="00E9241F"/>
    <w:rsid w:val="00EA3F56"/>
    <w:rsid w:val="00EA5264"/>
    <w:rsid w:val="00ED1AB8"/>
    <w:rsid w:val="00EF52C0"/>
    <w:rsid w:val="00EF6236"/>
    <w:rsid w:val="00F15652"/>
    <w:rsid w:val="00F2559A"/>
    <w:rsid w:val="00F35869"/>
    <w:rsid w:val="00F41D6A"/>
    <w:rsid w:val="00F53A5C"/>
    <w:rsid w:val="00F74F50"/>
    <w:rsid w:val="00F801AE"/>
    <w:rsid w:val="00F87D17"/>
    <w:rsid w:val="00FB01F6"/>
    <w:rsid w:val="00FB0AC8"/>
    <w:rsid w:val="00FB12EA"/>
    <w:rsid w:val="00FB7487"/>
    <w:rsid w:val="00FC4F79"/>
    <w:rsid w:val="00FC677C"/>
    <w:rsid w:val="00FD0AB6"/>
    <w:rsid w:val="00FD272D"/>
    <w:rsid w:val="00FD6F9D"/>
    <w:rsid w:val="00FD7FC6"/>
    <w:rsid w:val="024FD036"/>
    <w:rsid w:val="0EDECAEF"/>
    <w:rsid w:val="2D2328F1"/>
    <w:rsid w:val="2EA99845"/>
    <w:rsid w:val="31D8F34F"/>
    <w:rsid w:val="4D8AA64D"/>
    <w:rsid w:val="4EBC5F4A"/>
    <w:rsid w:val="71AA3240"/>
    <w:rsid w:val="795F44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9A3161"/>
  <w15:docId w15:val="{19AC2BDC-BE11-439B-9865-23E505F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jc w:val="center"/>
      <w:outlineLvl w:val="2"/>
    </w:pPr>
    <w:rPr>
      <w:sz w:val="32"/>
      <w:szCs w:val="32"/>
    </w:rPr>
  </w:style>
  <w:style w:type="paragraph" w:styleId="Heading4">
    <w:name w:val="heading 4"/>
    <w:basedOn w:val="Normal"/>
    <w:next w:val="Normal"/>
    <w:uiPriority w:val="9"/>
    <w:semiHidden/>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line="240" w:lineRule="auto"/>
      <w:ind w:left="360" w:hanging="36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spacing w:after="0" w:line="240" w:lineRule="auto"/>
      <w:jc w:val="center"/>
    </w:pPr>
    <w:rPr>
      <w:sz w:val="32"/>
      <w:szCs w:val="32"/>
    </w:rPr>
  </w:style>
  <w:style w:type="paragraph" w:customStyle="1" w:styleId="heading40">
    <w:name w:val="heading 40"/>
    <w:basedOn w:val="Normal0"/>
    <w:next w:val="Normal0"/>
    <w:pPr>
      <w:spacing w:after="0" w:line="240" w:lineRule="auto"/>
      <w:jc w:val="center"/>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line="240" w:lineRule="auto"/>
      <w:ind w:left="360" w:hanging="36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spacing w:after="0" w:line="240" w:lineRule="auto"/>
      <w:jc w:val="center"/>
    </w:pPr>
    <w:rPr>
      <w:sz w:val="32"/>
      <w:szCs w:val="32"/>
    </w:rPr>
  </w:style>
  <w:style w:type="paragraph" w:customStyle="1" w:styleId="heading41">
    <w:name w:val="heading 41"/>
    <w:basedOn w:val="Normal1"/>
    <w:next w:val="Normal1"/>
    <w:pPr>
      <w:spacing w:after="0" w:line="240" w:lineRule="auto"/>
      <w:jc w:val="center"/>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rsid w:val="001E3765"/>
  </w:style>
  <w:style w:type="paragraph" w:customStyle="1" w:styleId="heading12">
    <w:name w:val="heading 12"/>
    <w:basedOn w:val="Subtitle2"/>
    <w:next w:val="Normal2"/>
    <w:link w:val="Heading1Char"/>
    <w:uiPriority w:val="9"/>
    <w:qFormat/>
    <w:rsid w:val="001E3765"/>
    <w:pPr>
      <w:numPr>
        <w:numId w:val="1"/>
      </w:numPr>
      <w:spacing w:after="240" w:line="240" w:lineRule="auto"/>
      <w:ind w:left="360"/>
      <w:outlineLvl w:val="0"/>
    </w:pPr>
    <w:rPr>
      <w:rFonts w:ascii="Times New Roman" w:hAnsi="Times New Roman" w:eastAsiaTheme="minorHAnsi"/>
      <w:b/>
      <w:color w:val="auto"/>
      <w:sz w:val="24"/>
    </w:rPr>
  </w:style>
  <w:style w:type="paragraph" w:customStyle="1" w:styleId="heading22">
    <w:name w:val="heading 22"/>
    <w:basedOn w:val="Normal2"/>
    <w:next w:val="Normal2"/>
    <w:uiPriority w:val="9"/>
    <w:unhideWhenUsed/>
    <w:qFormat/>
    <w:pPr>
      <w:keepNext/>
      <w:keepLines/>
      <w:spacing w:before="360" w:after="80"/>
      <w:outlineLvl w:val="1"/>
    </w:pPr>
    <w:rPr>
      <w:b/>
      <w:sz w:val="36"/>
      <w:szCs w:val="36"/>
    </w:rPr>
  </w:style>
  <w:style w:type="paragraph" w:customStyle="1" w:styleId="heading32">
    <w:name w:val="heading 32"/>
    <w:basedOn w:val="Normal2"/>
    <w:next w:val="Normal2"/>
    <w:link w:val="Heading3Char"/>
    <w:uiPriority w:val="9"/>
    <w:unhideWhenUsed/>
    <w:qFormat/>
    <w:rsid w:val="001E3765"/>
    <w:pPr>
      <w:spacing w:after="0" w:line="240" w:lineRule="auto"/>
      <w:jc w:val="center"/>
      <w:outlineLvl w:val="2"/>
    </w:pPr>
    <w:rPr>
      <w:sz w:val="32"/>
      <w:szCs w:val="32"/>
    </w:rPr>
  </w:style>
  <w:style w:type="paragraph" w:customStyle="1" w:styleId="heading42">
    <w:name w:val="heading 42"/>
    <w:basedOn w:val="Normal2"/>
    <w:next w:val="Normal2"/>
    <w:link w:val="Heading4Char"/>
    <w:uiPriority w:val="9"/>
    <w:unhideWhenUsed/>
    <w:qFormat/>
    <w:rsid w:val="001E3765"/>
    <w:pPr>
      <w:spacing w:after="0" w:line="240" w:lineRule="auto"/>
      <w:jc w:val="center"/>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keepNext/>
      <w:keepLines/>
      <w:spacing w:before="480" w:after="120"/>
    </w:pPr>
    <w:rPr>
      <w:b/>
      <w:sz w:val="72"/>
      <w:szCs w:val="72"/>
    </w:rPr>
  </w:style>
  <w:style w:type="character" w:customStyle="1" w:styleId="Heading1Char">
    <w:name w:val="Heading 1 Char"/>
    <w:basedOn w:val="DefaultParagraphFont"/>
    <w:link w:val="heading12"/>
    <w:uiPriority w:val="9"/>
    <w:rsid w:val="001E3765"/>
    <w:rPr>
      <w:rFonts w:ascii="Times New Roman" w:hAnsi="Times New Roman"/>
      <w:b/>
      <w:sz w:val="24"/>
    </w:rPr>
  </w:style>
  <w:style w:type="character" w:customStyle="1" w:styleId="Heading3Char">
    <w:name w:val="Heading 3 Char"/>
    <w:basedOn w:val="DefaultParagraphFont"/>
    <w:link w:val="heading32"/>
    <w:uiPriority w:val="9"/>
    <w:rsid w:val="001E3765"/>
    <w:rPr>
      <w:rFonts w:ascii="Times New Roman" w:hAnsi="Times New Roman"/>
      <w:sz w:val="32"/>
      <w:szCs w:val="32"/>
    </w:rPr>
  </w:style>
  <w:style w:type="character" w:customStyle="1" w:styleId="Heading4Char">
    <w:name w:val="Heading 4 Char"/>
    <w:basedOn w:val="DefaultParagraphFont"/>
    <w:link w:val="heading42"/>
    <w:uiPriority w:val="9"/>
    <w:rsid w:val="001E3765"/>
    <w:rPr>
      <w:rFonts w:ascii="Times New Roman" w:hAnsi="Times New Roman"/>
      <w:b/>
      <w:sz w:val="24"/>
    </w:rPr>
  </w:style>
  <w:style w:type="paragraph" w:styleId="Header">
    <w:name w:val="header"/>
    <w:basedOn w:val="Normal2"/>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2"/>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2"/>
    <w:next w:val="Normal2"/>
    <w:autoRedefine/>
    <w:uiPriority w:val="39"/>
    <w:unhideWhenUsed/>
    <w:rsid w:val="001E3765"/>
    <w:pPr>
      <w:spacing w:after="100"/>
      <w:ind w:left="240"/>
    </w:pPr>
  </w:style>
  <w:style w:type="paragraph" w:styleId="TOC1">
    <w:name w:val="toc 1"/>
    <w:basedOn w:val="Normal2"/>
    <w:next w:val="Normal2"/>
    <w:autoRedefine/>
    <w:uiPriority w:val="39"/>
    <w:unhideWhenUsed/>
    <w:rsid w:val="001E3765"/>
    <w:pPr>
      <w:spacing w:after="100"/>
    </w:pPr>
  </w:style>
  <w:style w:type="table" w:styleId="TableGrid">
    <w:name w:val="Table Grid"/>
    <w:basedOn w:val="NormalTable2"/>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2"/>
    <w:next w:val="Normal2"/>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2"/>
    <w:link w:val="CommentTextChar"/>
    <w:uiPriority w:val="99"/>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2"/>
    <w:uiPriority w:val="34"/>
    <w:qFormat/>
    <w:rsid w:val="0073731B"/>
    <w:pPr>
      <w:ind w:left="720"/>
      <w:contextualSpacing/>
    </w:pPr>
  </w:style>
  <w:style w:type="table" w:customStyle="1" w:styleId="a">
    <w:name w:val="a"/>
    <w:basedOn w:val="NormalTable2"/>
    <w:tblPr>
      <w:tblStyleRowBandSize w:val="1"/>
      <w:tblStyleColBandSize w:val="1"/>
      <w:tblCellMar>
        <w:top w:w="100" w:type="dxa"/>
        <w:left w:w="100" w:type="dxa"/>
        <w:bottom w:w="100" w:type="dxa"/>
        <w:right w:w="100" w:type="dxa"/>
      </w:tblCellMar>
    </w:tbl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pPr>
      <w:spacing w:after="0" w:line="240" w:lineRule="auto"/>
    </w:pPr>
    <w:tblPr>
      <w:tblStyleRowBandSize w:val="1"/>
      <w:tblStyleColBandSize w:val="1"/>
    </w:tblPr>
  </w:style>
  <w:style w:type="table" w:customStyle="1" w:styleId="a2">
    <w:name w:val="a2"/>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name w:val="a5"/>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name w:val="a6"/>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name w:val="a7"/>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name w:val="a8"/>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name w:val="a9"/>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name w:val="aa"/>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name w:val="ab"/>
    <w:basedOn w:val="NormalTable2"/>
    <w:tblPr>
      <w:tblStyleRowBandSize w:val="1"/>
      <w:tblStyleColBandSize w:val="1"/>
      <w:tblCellMar>
        <w:top w:w="100" w:type="dxa"/>
        <w:left w:w="100" w:type="dxa"/>
        <w:bottom w:w="100" w:type="dxa"/>
        <w:right w:w="100" w:type="dxa"/>
      </w:tblCellMar>
    </w:tblPr>
  </w:style>
  <w:style w:type="table" w:customStyle="1" w:styleId="ac">
    <w:name w:val="ac"/>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D71EF2"/>
    <w:pPr>
      <w:spacing w:after="0" w:line="240" w:lineRule="auto"/>
    </w:pPr>
  </w:style>
  <w:style w:type="table" w:customStyle="1" w:styleId="ad">
    <w:name w:val="ad"/>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name w:val="ae"/>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0">
    <w:name w:val="Subtitle0"/>
    <w:basedOn w:val="Normal2"/>
    <w:next w:val="Normal2"/>
    <w:pPr>
      <w:spacing w:after="160"/>
    </w:pPr>
    <w:rPr>
      <w:rFonts w:ascii="Calibri" w:eastAsia="Calibri" w:hAnsi="Calibri" w:cs="Calibri"/>
      <w:color w:val="5A5A5A"/>
      <w:sz w:val="22"/>
      <w:szCs w:val="22"/>
    </w:rPr>
  </w:style>
  <w:style w:type="table" w:customStyle="1" w:styleId="af">
    <w:name w:val="af"/>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0">
    <w:name w:val="af0"/>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160"/>
    </w:pPr>
    <w:rPr>
      <w:rFonts w:ascii="Calibri" w:eastAsia="Calibri" w:hAnsi="Calibri" w:cs="Calibri"/>
      <w:color w:val="5A5A5A"/>
      <w:sz w:val="22"/>
      <w:szCs w:val="22"/>
    </w:rPr>
  </w:style>
  <w:style w:type="table" w:customStyle="1" w:styleId="af1">
    <w:name w:val="af1"/>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name w:val="af2"/>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160"/>
    </w:pPr>
    <w:rPr>
      <w:rFonts w:ascii="Calibri" w:eastAsia="Calibri" w:hAnsi="Calibri" w:cs="Calibri"/>
      <w:color w:val="5A5A5A"/>
      <w:sz w:val="22"/>
      <w:szCs w:val="22"/>
    </w:rPr>
  </w:style>
  <w:style w:type="table" w:customStyle="1" w:styleId="af3">
    <w:name w:val="af3"/>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styleId="FootnoteText">
    <w:name w:val="footnote text"/>
    <w:basedOn w:val="Normal"/>
    <w:link w:val="FootnoteTextChar"/>
    <w:uiPriority w:val="99"/>
    <w:semiHidden/>
    <w:unhideWhenUsed/>
    <w:rsid w:val="00A95F8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A95F8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A95F82"/>
    <w:rPr>
      <w:vertAlign w:val="superscript"/>
    </w:rPr>
  </w:style>
  <w:style w:type="character" w:styleId="Mention">
    <w:name w:val="Mention"/>
    <w:basedOn w:val="DefaultParagraphFont"/>
    <w:uiPriority w:val="99"/>
    <w:unhideWhenUsed/>
    <w:rsid w:val="0092358E"/>
    <w:rPr>
      <w:color w:val="2B579A"/>
      <w:shd w:val="clear" w:color="auto" w:fill="E1DFDD"/>
    </w:rPr>
  </w:style>
  <w:style w:type="paragraph" w:styleId="TOC4">
    <w:name w:val="toc 4"/>
    <w:basedOn w:val="Normal"/>
    <w:next w:val="Normal"/>
    <w:autoRedefine/>
    <w:uiPriority w:val="39"/>
    <w:unhideWhenUsed/>
    <w:rsid w:val="00587B0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k0ZZeAJDOW43zCfuOkrMMExF9A==">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E0BAD-F871-448D-BA47-C2A433CF03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2cb6dfe-256c-468f-a249-517e8848b42c"/>
    <ds:schemaRef ds:uri="17273376-4701-4e40-9c6c-cca19f7dc1c8"/>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8ECBE42-1B59-49BE-AD58-205E19C6B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23D67-F8A2-4CDD-B711-BC14158F6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Kenney, Jasmine R. (CDC/NCIPC/DOP)</cp:lastModifiedBy>
  <cp:revision>2</cp:revision>
  <dcterms:created xsi:type="dcterms:W3CDTF">2024-05-13T17:17:00Z</dcterms:created>
  <dcterms:modified xsi:type="dcterms:W3CDTF">2024-05-13T17:17:00Z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