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56203" w:rsidP="0091179F" w14:paraId="600F4476" w14:textId="77777777">
      <w:pPr>
        <w:rPr>
          <w:rFonts w:cstheme="minorHAnsi"/>
          <w:szCs w:val="24"/>
        </w:rPr>
      </w:pPr>
    </w:p>
    <w:p w:rsidR="00856203" w:rsidP="00856203" w14:paraId="44C24732" w14:textId="77777777">
      <w:pPr>
        <w:jc w:val="center"/>
        <w:rPr>
          <w:rFonts w:cstheme="minorHAnsi"/>
          <w:szCs w:val="24"/>
        </w:rPr>
      </w:pPr>
    </w:p>
    <w:p w:rsidR="00856203" w:rsidRPr="006533E2" w:rsidP="00856203" w14:paraId="6C322B51" w14:textId="1AD5628E">
      <w:pPr>
        <w:jc w:val="center"/>
        <w:rPr>
          <w:rFonts w:cstheme="minorHAnsi"/>
          <w:b/>
          <w:bCs/>
          <w:sz w:val="28"/>
          <w:szCs w:val="32"/>
        </w:rPr>
      </w:pPr>
      <w:r w:rsidRPr="006533E2">
        <w:rPr>
          <w:rFonts w:cstheme="minorHAnsi"/>
          <w:b/>
          <w:bCs/>
          <w:sz w:val="28"/>
          <w:szCs w:val="32"/>
        </w:rPr>
        <w:t>Increasing the Impact of NIOSH Heat Stress Products in Outdoor Worker Populations</w:t>
      </w:r>
    </w:p>
    <w:p w:rsidR="006533E2" w:rsidRPr="006533E2" w:rsidP="00856203" w14:paraId="3F2223B8" w14:textId="77777777">
      <w:pPr>
        <w:jc w:val="center"/>
        <w:rPr>
          <w:rFonts w:cstheme="minorHAnsi"/>
          <w:sz w:val="24"/>
          <w:szCs w:val="28"/>
        </w:rPr>
      </w:pPr>
    </w:p>
    <w:p w:rsidR="00077725" w:rsidRPr="00077725" w:rsidP="00077725" w14:paraId="15ECEC4F" w14:textId="77777777">
      <w:pPr>
        <w:jc w:val="center"/>
        <w:rPr>
          <w:rFonts w:cstheme="minorHAnsi"/>
          <w:sz w:val="24"/>
          <w:szCs w:val="28"/>
        </w:rPr>
      </w:pPr>
      <w:r w:rsidRPr="00077725">
        <w:rPr>
          <w:rFonts w:cstheme="minorHAnsi"/>
          <w:sz w:val="24"/>
          <w:szCs w:val="28"/>
        </w:rPr>
        <w:t xml:space="preserve">CDC/ATSDR Formative Research and Tool Development </w:t>
      </w:r>
    </w:p>
    <w:p w:rsidR="00077725" w:rsidP="00077725" w14:paraId="761D6B26" w14:textId="77777777">
      <w:pPr>
        <w:jc w:val="center"/>
        <w:rPr>
          <w:rFonts w:cstheme="minorHAnsi"/>
          <w:sz w:val="24"/>
          <w:szCs w:val="28"/>
        </w:rPr>
      </w:pPr>
      <w:r w:rsidRPr="00077725">
        <w:rPr>
          <w:rFonts w:cstheme="minorHAnsi"/>
          <w:sz w:val="24"/>
          <w:szCs w:val="28"/>
        </w:rPr>
        <w:t>0920-1154</w:t>
      </w:r>
    </w:p>
    <w:p w:rsidR="00077725" w:rsidP="00077725" w14:paraId="01366D3C" w14:textId="77777777">
      <w:pPr>
        <w:jc w:val="center"/>
        <w:rPr>
          <w:rFonts w:cstheme="minorHAnsi"/>
          <w:sz w:val="24"/>
          <w:szCs w:val="28"/>
        </w:rPr>
      </w:pPr>
    </w:p>
    <w:p w:rsidR="00856203" w:rsidRPr="006533E2" w:rsidP="00077725" w14:paraId="726D58FF" w14:textId="61A49008">
      <w:pPr>
        <w:jc w:val="center"/>
        <w:rPr>
          <w:rFonts w:cstheme="minorHAnsi"/>
          <w:sz w:val="24"/>
          <w:szCs w:val="28"/>
        </w:rPr>
      </w:pPr>
      <w:r w:rsidRPr="006533E2">
        <w:rPr>
          <w:rFonts w:cstheme="minorHAnsi"/>
          <w:sz w:val="24"/>
          <w:szCs w:val="28"/>
        </w:rPr>
        <w:t>Part</w:t>
      </w:r>
      <w:r w:rsidRPr="006533E2">
        <w:rPr>
          <w:rFonts w:cstheme="minorHAnsi"/>
          <w:sz w:val="24"/>
          <w:szCs w:val="28"/>
        </w:rPr>
        <w:t xml:space="preserve"> </w:t>
      </w:r>
      <w:r w:rsidR="00053E65">
        <w:rPr>
          <w:rFonts w:cstheme="minorHAnsi"/>
          <w:sz w:val="24"/>
          <w:szCs w:val="28"/>
        </w:rPr>
        <w:t>B</w:t>
      </w:r>
    </w:p>
    <w:p w:rsidR="00856203" w:rsidRPr="000C497B" w:rsidP="00856203" w14:paraId="67FC155C" w14:textId="77777777">
      <w:pPr>
        <w:jc w:val="center"/>
        <w:rPr>
          <w:rFonts w:cstheme="minorHAnsi"/>
          <w:szCs w:val="24"/>
          <w:highlight w:val="yellow"/>
        </w:rPr>
      </w:pPr>
    </w:p>
    <w:p w:rsidR="00856203" w:rsidRPr="000C497B" w:rsidP="00856203" w14:paraId="4CCC6BD3" w14:textId="77777777">
      <w:pPr>
        <w:jc w:val="center"/>
        <w:rPr>
          <w:rFonts w:cstheme="minorHAnsi"/>
          <w:szCs w:val="24"/>
          <w:highlight w:val="yellow"/>
        </w:rPr>
      </w:pPr>
    </w:p>
    <w:p w:rsidR="00856203" w:rsidRPr="000C497B" w14:paraId="1ED302C0" w14:textId="77777777">
      <w:pPr>
        <w:rPr>
          <w:highlight w:val="yellow"/>
        </w:rPr>
      </w:pPr>
    </w:p>
    <w:p w:rsidR="00856203" w:rsidRPr="000C497B" w14:paraId="201D53F9" w14:textId="77777777">
      <w:pPr>
        <w:rPr>
          <w:highlight w:val="yellow"/>
        </w:rPr>
      </w:pPr>
    </w:p>
    <w:p w:rsidR="00856203" w:rsidRPr="000C497B" w14:paraId="202B313B" w14:textId="77777777">
      <w:pPr>
        <w:rPr>
          <w:highlight w:val="yellow"/>
        </w:rPr>
      </w:pPr>
    </w:p>
    <w:p w:rsidR="00DE50E9" w:rsidP="00DE50E9" w14:paraId="51CDF7BF" w14:textId="77777777">
      <w:pPr>
        <w:spacing w:line="240" w:lineRule="auto"/>
      </w:pPr>
    </w:p>
    <w:p w:rsidR="00DE50E9" w:rsidP="00DE50E9" w14:paraId="3270DACA" w14:textId="77777777">
      <w:pPr>
        <w:spacing w:line="240" w:lineRule="auto"/>
      </w:pPr>
    </w:p>
    <w:p w:rsidR="00DE50E9" w:rsidP="00DE50E9" w14:paraId="6FD3014D" w14:textId="77777777">
      <w:pPr>
        <w:spacing w:line="240" w:lineRule="auto"/>
      </w:pPr>
    </w:p>
    <w:p w:rsidR="00DE50E9" w:rsidP="00DE50E9" w14:paraId="46DCCBA6" w14:textId="77777777">
      <w:pPr>
        <w:spacing w:line="240" w:lineRule="auto"/>
      </w:pPr>
    </w:p>
    <w:p w:rsidR="00DE50E9" w:rsidP="00DE50E9" w14:paraId="2E66320B" w14:textId="77777777">
      <w:pPr>
        <w:spacing w:line="240" w:lineRule="auto"/>
      </w:pPr>
    </w:p>
    <w:p w:rsidR="00DE50E9" w:rsidP="00DE50E9" w14:paraId="41B2339C" w14:textId="77777777">
      <w:pPr>
        <w:spacing w:line="240" w:lineRule="auto"/>
      </w:pPr>
    </w:p>
    <w:p w:rsidR="00DE50E9" w:rsidP="00DE50E9" w14:paraId="5E52CD1C" w14:textId="77777777">
      <w:pPr>
        <w:spacing w:line="240" w:lineRule="auto"/>
      </w:pPr>
    </w:p>
    <w:p w:rsidR="00DE50E9" w:rsidP="00DE50E9" w14:paraId="1F2E2A0D" w14:textId="77777777">
      <w:pPr>
        <w:spacing w:line="240" w:lineRule="auto"/>
      </w:pPr>
    </w:p>
    <w:p w:rsidR="00DE50E9" w:rsidP="00DE50E9" w14:paraId="06341133" w14:textId="77777777">
      <w:pPr>
        <w:spacing w:line="240" w:lineRule="auto"/>
      </w:pPr>
    </w:p>
    <w:p w:rsidR="00DE50E9" w:rsidP="00DE50E9" w14:paraId="72AAA328" w14:textId="77777777">
      <w:pPr>
        <w:spacing w:line="240" w:lineRule="auto"/>
      </w:pPr>
    </w:p>
    <w:p w:rsidR="00DE50E9" w:rsidP="00DE50E9" w14:paraId="604853BC" w14:textId="77777777">
      <w:pPr>
        <w:spacing w:line="240" w:lineRule="auto"/>
      </w:pPr>
    </w:p>
    <w:p w:rsidR="00DE50E9" w:rsidRPr="006533E2" w:rsidP="00DE50E9" w14:paraId="1250EE9B" w14:textId="55468658">
      <w:pPr>
        <w:spacing w:line="240" w:lineRule="auto"/>
        <w:rPr>
          <w:sz w:val="24"/>
          <w:szCs w:val="24"/>
        </w:rPr>
      </w:pPr>
      <w:r w:rsidRPr="006533E2">
        <w:rPr>
          <w:sz w:val="24"/>
          <w:szCs w:val="24"/>
        </w:rPr>
        <w:t>Brenda Jacklitsch, PhD, MS</w:t>
      </w:r>
      <w:r w:rsidRPr="006533E2">
        <w:rPr>
          <w:sz w:val="24"/>
          <w:szCs w:val="24"/>
        </w:rPr>
        <w:br/>
      </w:r>
      <w:r w:rsidRPr="006533E2">
        <w:rPr>
          <w:sz w:val="24"/>
          <w:szCs w:val="24"/>
        </w:rPr>
        <w:t>Research Health Scientist</w:t>
      </w:r>
      <w:r w:rsidRPr="006533E2">
        <w:rPr>
          <w:sz w:val="24"/>
          <w:szCs w:val="24"/>
        </w:rPr>
        <w:br/>
      </w:r>
      <w:r w:rsidRPr="006533E2">
        <w:rPr>
          <w:sz w:val="24"/>
          <w:szCs w:val="24"/>
        </w:rPr>
        <w:t>CDC/NIOSH</w:t>
      </w:r>
      <w:r w:rsidRPr="006533E2">
        <w:rPr>
          <w:sz w:val="24"/>
          <w:szCs w:val="24"/>
        </w:rPr>
        <w:br/>
        <w:t>1090 Tusculum Avenue, MS C-10</w:t>
      </w:r>
      <w:r w:rsidRPr="006533E2">
        <w:rPr>
          <w:sz w:val="24"/>
          <w:szCs w:val="24"/>
        </w:rPr>
        <w:br/>
        <w:t>Cincinnati, OH 45226</w:t>
      </w:r>
      <w:r w:rsidRPr="006533E2">
        <w:rPr>
          <w:sz w:val="24"/>
          <w:szCs w:val="24"/>
        </w:rPr>
        <w:br/>
        <w:t>(513)533-8369</w:t>
      </w:r>
      <w:r w:rsidRPr="006533E2">
        <w:rPr>
          <w:sz w:val="24"/>
          <w:szCs w:val="24"/>
        </w:rPr>
        <w:br/>
        <w:t xml:space="preserve">gwe6@cdc.gov </w:t>
      </w:r>
    </w:p>
    <w:p w:rsidR="00800050" w:rsidRPr="000C497B" w14:paraId="7B961BEB" w14:textId="48B9F078">
      <w:pPr>
        <w:rPr>
          <w:highlight w:val="yellow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Cs w:val="22"/>
          <w:highlight w:val="yellow"/>
        </w:rPr>
        <w:id w:val="203314717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C8057D" w:rsidRPr="0055596C" w14:paraId="36017E66" w14:textId="77777777">
          <w:pPr>
            <w:pStyle w:val="TOCHeading"/>
          </w:pPr>
          <w:r w:rsidRPr="00D038F1">
            <w:t>Contents</w:t>
          </w:r>
        </w:p>
        <w:p w:rsidR="00D038F1" w14:paraId="1093808B" w14:textId="76E00CB9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r w:rsidRPr="00646452">
            <w:fldChar w:fldCharType="begin"/>
          </w:r>
          <w:r w:rsidRPr="00646452">
            <w:instrText xml:space="preserve"> TOC \o "1-3" \h \z \u </w:instrText>
          </w:r>
          <w:r w:rsidRPr="00646452">
            <w:fldChar w:fldCharType="separate"/>
          </w:r>
          <w:hyperlink w:anchor="_Toc77941524" w:history="1">
            <w:r w:rsidRPr="00062016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062016">
              <w:rPr>
                <w:rStyle w:val="Hyperlink"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_Toc77941524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8F1" w14:paraId="05B70128" w14:textId="3DA21E4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77941525" w:history="1">
            <w:r w:rsidRPr="00062016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062016">
              <w:rPr>
                <w:rStyle w:val="Hyperlink"/>
                <w:noProof/>
              </w:rPr>
              <w:t>Procedures for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_Toc77941525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8F1" w14:paraId="58B418E5" w14:textId="2F7949B2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77941526" w:history="1">
            <w:r w:rsidRPr="00062016">
              <w:rPr>
                <w:rStyle w:val="Hyperlink"/>
                <w:bCs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062016">
              <w:rPr>
                <w:rStyle w:val="Hyperlink"/>
                <w:noProof/>
              </w:rPr>
              <w:t>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_Toc77941526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8F1" w14:paraId="102C0055" w14:textId="2F6F235F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</w:rPr>
          </w:pPr>
          <w:hyperlink w:anchor="_Toc77941527" w:history="1">
            <w:r w:rsidRPr="00062016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062016">
              <w:rPr>
                <w:rStyle w:val="Hyperlink"/>
                <w:noProof/>
              </w:rPr>
              <w:t>Individuals Consulted on Statistical Aspects and Individuals Collecting and/or Analyzing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_Toc77941527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057D" w:rsidRPr="000C497B" w14:paraId="70B8FE99" w14:textId="03156904">
          <w:pPr>
            <w:rPr>
              <w:highlight w:val="yellow"/>
            </w:rPr>
          </w:pPr>
          <w:r w:rsidRPr="00646452">
            <w:rPr>
              <w:b/>
              <w:bCs/>
              <w:noProof/>
            </w:rPr>
            <w:fldChar w:fldCharType="end"/>
          </w:r>
        </w:p>
      </w:sdtContent>
    </w:sdt>
    <w:p w:rsidR="00C8057D" w:rsidRPr="000C497B" w14:paraId="040C39EF" w14:textId="77777777">
      <w:pPr>
        <w:rPr>
          <w:b/>
          <w:highlight w:val="yellow"/>
        </w:rPr>
      </w:pPr>
    </w:p>
    <w:p w:rsidR="0054270B" w:rsidRPr="000C497B" w:rsidP="0054270B" w14:paraId="43903672" w14:textId="77777777">
      <w:pPr>
        <w:pStyle w:val="ListParagraph"/>
        <w:numPr>
          <w:ilvl w:val="0"/>
          <w:numId w:val="16"/>
        </w:numPr>
        <w:rPr>
          <w:highlight w:val="yellow"/>
        </w:rPr>
      </w:pPr>
      <w:r w:rsidRPr="000C497B">
        <w:rPr>
          <w:highlight w:val="yellow"/>
        </w:rPr>
        <w:br w:type="page"/>
      </w:r>
    </w:p>
    <w:p w:rsidR="00FC70C6" w:rsidRPr="00441E9C" w:rsidP="002968D1" w14:paraId="458C6645" w14:textId="62640CE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441E9C">
        <w:rPr>
          <w:b/>
          <w:sz w:val="24"/>
          <w:szCs w:val="24"/>
        </w:rPr>
        <w:t>Collection of Information Employing Statistical Methods</w:t>
      </w:r>
    </w:p>
    <w:p w:rsidR="008B06EF" w:rsidRPr="00441E9C" w:rsidP="0055596C" w14:paraId="4EE0CB0B" w14:textId="1E1DE432">
      <w:pPr>
        <w:pStyle w:val="Heading1"/>
        <w:numPr>
          <w:ilvl w:val="0"/>
          <w:numId w:val="26"/>
        </w:numPr>
      </w:pPr>
      <w:bookmarkStart w:id="0" w:name="_Toc11227080"/>
      <w:bookmarkStart w:id="1" w:name="_Toc77941524"/>
      <w:r w:rsidRPr="00441E9C">
        <w:t>Respondent Universe and Sampling Methods</w:t>
      </w:r>
      <w:bookmarkEnd w:id="0"/>
      <w:bookmarkEnd w:id="1"/>
      <w:r w:rsidRPr="00441E9C">
        <w:t xml:space="preserve">  </w:t>
      </w:r>
    </w:p>
    <w:p w:rsidR="008B06EF" w:rsidRPr="008B06EF" w:rsidP="008B06EF" w14:paraId="20DA50AC" w14:textId="12B0CF54">
      <w:pPr>
        <w:spacing w:line="240" w:lineRule="auto"/>
        <w:ind w:left="360"/>
        <w:rPr>
          <w:highlight w:val="yellow"/>
        </w:rPr>
      </w:pPr>
      <w:r w:rsidRPr="008B06EF">
        <w:rPr>
          <w:rFonts w:cstheme="minorHAnsi"/>
          <w:u w:val="single"/>
        </w:rPr>
        <w:t>Convenience Sampling</w:t>
      </w:r>
      <w:r w:rsidRPr="008B06EF">
        <w:rPr>
          <w:rFonts w:cstheme="minorHAnsi"/>
        </w:rPr>
        <w:t>: Contractor will facilitate focus group sessions with outdoor workers</w:t>
      </w:r>
      <w:r w:rsidR="00BE4BEF">
        <w:rPr>
          <w:rFonts w:cstheme="minorHAnsi"/>
        </w:rPr>
        <w:t xml:space="preserve"> and their employers</w:t>
      </w:r>
      <w:r w:rsidRPr="008B06EF">
        <w:rPr>
          <w:rFonts w:cstheme="minorHAnsi"/>
        </w:rPr>
        <w:t xml:space="preserve"> about </w:t>
      </w:r>
      <w:r w:rsidRPr="00441E9C" w:rsidR="00441E9C">
        <w:rPr>
          <w:rFonts w:cstheme="minorHAnsi"/>
        </w:rPr>
        <w:t xml:space="preserve">heat stress </w:t>
      </w:r>
      <w:r w:rsidRPr="00441E9C" w:rsidR="007A0103">
        <w:rPr>
          <w:rFonts w:cstheme="minorHAnsi"/>
        </w:rPr>
        <w:t>prevention</w:t>
      </w:r>
      <w:r w:rsidRPr="008B06EF">
        <w:rPr>
          <w:rFonts w:cstheme="minorHAnsi"/>
        </w:rPr>
        <w:t xml:space="preserve">. </w:t>
      </w:r>
      <w:r w:rsidR="00B32EFD">
        <w:rPr>
          <w:rFonts w:cstheme="minorHAnsi"/>
        </w:rPr>
        <w:t xml:space="preserve">Contractor will conduct pre/post-test with employers of outdoor workers </w:t>
      </w:r>
      <w:r w:rsidR="007007D3">
        <w:rPr>
          <w:rFonts w:cstheme="minorHAnsi"/>
        </w:rPr>
        <w:t xml:space="preserve">before/after </w:t>
      </w:r>
      <w:r w:rsidR="00B32EFD">
        <w:rPr>
          <w:rFonts w:cstheme="minorHAnsi"/>
        </w:rPr>
        <w:t xml:space="preserve">they </w:t>
      </w:r>
      <w:r w:rsidR="000205C4">
        <w:rPr>
          <w:rFonts w:cstheme="minorHAnsi"/>
        </w:rPr>
        <w:t xml:space="preserve">review a draft online training. </w:t>
      </w:r>
      <w:r w:rsidRPr="008B06EF">
        <w:t xml:space="preserve">The contractor will recruit potential participants from pre-existing lists of eligible individuals </w:t>
      </w:r>
      <w:r w:rsidRPr="008B06EF">
        <w:t>whom</w:t>
      </w:r>
      <w:r w:rsidRPr="008B06EF">
        <w:t xml:space="preserve"> are affiliates of the organization. No new personally identifiable information (PII) will be collected. </w:t>
      </w:r>
    </w:p>
    <w:p w:rsidR="00135ABA" w:rsidP="00135ABA" w14:paraId="520A24E8" w14:textId="240E9306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For the worker/employee focus groups, t</w:t>
      </w:r>
      <w:r w:rsidRPr="008B06EF" w:rsidR="008B06EF">
        <w:rPr>
          <w:rFonts w:cstheme="minorHAnsi"/>
        </w:rPr>
        <w:t xml:space="preserve">he number of respondents who participate in each focus group session will not exceed </w:t>
      </w:r>
      <w:r w:rsidRPr="0058016E" w:rsidR="0058016E">
        <w:rPr>
          <w:rFonts w:cstheme="minorHAnsi"/>
        </w:rPr>
        <w:t>nine</w:t>
      </w:r>
      <w:r w:rsidRPr="008B06EF" w:rsidR="008B06EF">
        <w:rPr>
          <w:rFonts w:cstheme="minorHAnsi"/>
        </w:rPr>
        <w:t xml:space="preserve"> (</w:t>
      </w:r>
      <w:r w:rsidRPr="0058016E" w:rsidR="0058016E">
        <w:rPr>
          <w:rFonts w:cstheme="minorHAnsi"/>
        </w:rPr>
        <w:t>9</w:t>
      </w:r>
      <w:r w:rsidRPr="008B06EF" w:rsidR="008B06EF">
        <w:rPr>
          <w:rFonts w:cstheme="minorHAnsi"/>
        </w:rPr>
        <w:t xml:space="preserve">) individuals. The contractor will make every effort to ensure that at least </w:t>
      </w:r>
      <w:r w:rsidRPr="00352F2B" w:rsidR="00352F2B">
        <w:rPr>
          <w:rFonts w:cstheme="minorHAnsi"/>
        </w:rPr>
        <w:t>6</w:t>
      </w:r>
      <w:r w:rsidRPr="008B06EF" w:rsidR="008B06EF">
        <w:rPr>
          <w:rFonts w:cstheme="minorHAnsi"/>
        </w:rPr>
        <w:t>-</w:t>
      </w:r>
      <w:r w:rsidRPr="00352F2B" w:rsidR="0058016E">
        <w:rPr>
          <w:rFonts w:cstheme="minorHAnsi"/>
        </w:rPr>
        <w:t>9</w:t>
      </w:r>
      <w:r w:rsidRPr="008B06EF" w:rsidR="008B06EF">
        <w:rPr>
          <w:rFonts w:cstheme="minorHAnsi"/>
        </w:rPr>
        <w:t xml:space="preserve"> individuals are available for each group. The contractor will determine whether the respondents meet the qualifications specified in the approved recruitment plan. </w:t>
      </w:r>
    </w:p>
    <w:p w:rsidR="00135ABA" w:rsidRPr="00135ABA" w:rsidP="00135ABA" w14:paraId="60CF07F5" w14:textId="33DBD229">
      <w:pPr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For the employer </w:t>
      </w:r>
      <w:r w:rsidR="00621D54">
        <w:rPr>
          <w:rFonts w:cstheme="minorHAnsi"/>
        </w:rPr>
        <w:t>pre/post-test</w:t>
      </w:r>
      <w:r w:rsidR="00C42303">
        <w:rPr>
          <w:rFonts w:cstheme="minorHAnsi"/>
        </w:rPr>
        <w:t xml:space="preserve"> surveys</w:t>
      </w:r>
      <w:r w:rsidR="00621D54">
        <w:rPr>
          <w:rFonts w:cstheme="minorHAnsi"/>
        </w:rPr>
        <w:t>, there will be 45 participants</w:t>
      </w:r>
      <w:r w:rsidR="003F785E">
        <w:rPr>
          <w:rFonts w:cstheme="minorHAnsi"/>
        </w:rPr>
        <w:t xml:space="preserve"> that will </w:t>
      </w:r>
      <w:r w:rsidRPr="003F785E" w:rsidR="003F785E">
        <w:rPr>
          <w:rFonts w:cstheme="minorHAnsi"/>
        </w:rPr>
        <w:t>need to be able to access the training on their own computer with internet access</w:t>
      </w:r>
      <w:r w:rsidR="003F785E">
        <w:rPr>
          <w:rFonts w:cstheme="minorHAnsi"/>
        </w:rPr>
        <w:t xml:space="preserve"> to be eligible to participate</w:t>
      </w:r>
      <w:r w:rsidRPr="003F785E" w:rsidR="003F785E">
        <w:rPr>
          <w:rFonts w:cstheme="minorHAnsi"/>
        </w:rPr>
        <w:t>.</w:t>
      </w:r>
      <w:r w:rsidRPr="003F785E" w:rsidR="003F785E">
        <w:t xml:space="preserve"> </w:t>
      </w:r>
      <w:r w:rsidRPr="003F785E" w:rsidR="003F785E">
        <w:rPr>
          <w:rFonts w:cstheme="minorHAnsi"/>
        </w:rPr>
        <w:t>To minimize risks to participants completing questionnaires, no personally identifiable information (PII) will be collected. Previously existing member lists will be accessed by contractor for recruitment; and the contractor will be responsible assigning unique identifiers and matching pre- and post-tests.</w:t>
      </w:r>
    </w:p>
    <w:p w:rsidR="008B06EF" w:rsidRPr="008B06EF" w:rsidP="0055596C" w14:paraId="56B452E0" w14:textId="5946ABF3">
      <w:pPr>
        <w:pStyle w:val="Heading1"/>
        <w:numPr>
          <w:ilvl w:val="0"/>
          <w:numId w:val="26"/>
        </w:numPr>
      </w:pPr>
      <w:bookmarkStart w:id="2" w:name="_Toc11227081"/>
      <w:bookmarkStart w:id="3" w:name="_Toc77941525"/>
      <w:r w:rsidRPr="008B06EF">
        <w:t>Procedures for Collection of Information</w:t>
      </w:r>
      <w:bookmarkEnd w:id="2"/>
      <w:bookmarkEnd w:id="3"/>
      <w:r w:rsidRPr="008B06EF">
        <w:t xml:space="preserve"> </w:t>
      </w:r>
    </w:p>
    <w:p w:rsidR="00EC7C12" w:rsidP="008B06EF" w14:paraId="6A63CD76" w14:textId="29A4CB40">
      <w:pPr>
        <w:ind w:left="360"/>
        <w:contextualSpacing/>
        <w:rPr>
          <w:rFonts w:cstheme="minorHAnsi"/>
        </w:rPr>
      </w:pPr>
      <w:r>
        <w:rPr>
          <w:rFonts w:cstheme="minorHAnsi"/>
        </w:rPr>
        <w:t xml:space="preserve">For two phases of the study, </w:t>
      </w:r>
      <w:r w:rsidR="0055024C">
        <w:rPr>
          <w:rFonts w:cstheme="minorHAnsi"/>
        </w:rPr>
        <w:t>a</w:t>
      </w:r>
      <w:r w:rsidR="0091113B">
        <w:rPr>
          <w:rFonts w:cstheme="minorHAnsi"/>
        </w:rPr>
        <w:t xml:space="preserve">t each </w:t>
      </w:r>
      <w:r w:rsidR="00DE642A">
        <w:rPr>
          <w:rFonts w:cstheme="minorHAnsi"/>
        </w:rPr>
        <w:t xml:space="preserve">geographic </w:t>
      </w:r>
      <w:r w:rsidR="0091113B">
        <w:rPr>
          <w:rFonts w:cstheme="minorHAnsi"/>
        </w:rPr>
        <w:t xml:space="preserve">location </w:t>
      </w:r>
      <w:r w:rsidR="005C236B">
        <w:rPr>
          <w:rFonts w:cstheme="minorHAnsi"/>
        </w:rPr>
        <w:t xml:space="preserve">of study interest </w:t>
      </w:r>
      <w:r w:rsidR="0091113B">
        <w:rPr>
          <w:rFonts w:cstheme="minorHAnsi"/>
        </w:rPr>
        <w:t>(</w:t>
      </w:r>
      <w:r w:rsidR="005C236B">
        <w:rPr>
          <w:rFonts w:cstheme="minorHAnsi"/>
        </w:rPr>
        <w:t xml:space="preserve">i.e., </w:t>
      </w:r>
      <w:r w:rsidR="00EF6E1C">
        <w:rPr>
          <w:rFonts w:cstheme="minorHAnsi"/>
        </w:rPr>
        <w:t xml:space="preserve">Houston, Chicago, San </w:t>
      </w:r>
      <w:r w:rsidR="00DE642A">
        <w:rPr>
          <w:rFonts w:cstheme="minorHAnsi"/>
        </w:rPr>
        <w:t>Francisco</w:t>
      </w:r>
      <w:r w:rsidR="00EF6E1C">
        <w:rPr>
          <w:rFonts w:cstheme="minorHAnsi"/>
        </w:rPr>
        <w:t>/Sacramento)</w:t>
      </w:r>
      <w:r>
        <w:rPr>
          <w:rFonts w:cstheme="minorHAnsi"/>
        </w:rPr>
        <w:t>, focus groups will be held for:</w:t>
      </w:r>
      <w:r w:rsidR="002D73A8">
        <w:rPr>
          <w:rFonts w:cstheme="minorHAnsi"/>
        </w:rPr>
        <w:t xml:space="preserve"> (1) employers</w:t>
      </w:r>
      <w:r w:rsidR="00F70852">
        <w:rPr>
          <w:rFonts w:cstheme="minorHAnsi"/>
        </w:rPr>
        <w:t xml:space="preserve"> in construction, (2) employers in landscaping, </w:t>
      </w:r>
      <w:r w:rsidR="009E56E9">
        <w:rPr>
          <w:rFonts w:cstheme="minorHAnsi"/>
        </w:rPr>
        <w:t>(3) workers in construction</w:t>
      </w:r>
      <w:r w:rsidR="00551642">
        <w:rPr>
          <w:rFonts w:cstheme="minorHAnsi"/>
        </w:rPr>
        <w:t xml:space="preserve"> (English)</w:t>
      </w:r>
      <w:r w:rsidR="009E56E9">
        <w:rPr>
          <w:rFonts w:cstheme="minorHAnsi"/>
        </w:rPr>
        <w:t xml:space="preserve">, </w:t>
      </w:r>
      <w:r w:rsidR="00551642">
        <w:rPr>
          <w:rFonts w:cstheme="minorHAnsi"/>
        </w:rPr>
        <w:t xml:space="preserve">(4) </w:t>
      </w:r>
      <w:r w:rsidR="009E56E9">
        <w:rPr>
          <w:rFonts w:cstheme="minorHAnsi"/>
        </w:rPr>
        <w:t>workers in landscaping</w:t>
      </w:r>
      <w:r w:rsidR="00551642">
        <w:rPr>
          <w:rFonts w:cstheme="minorHAnsi"/>
        </w:rPr>
        <w:t xml:space="preserve"> (English), (5) workers in construction (Spanish), and (6) workers in landscaping (Spanish).</w:t>
      </w:r>
    </w:p>
    <w:p w:rsidR="00551642" w:rsidP="008B06EF" w14:paraId="3361EAC0" w14:textId="77777777">
      <w:pPr>
        <w:ind w:left="360"/>
        <w:contextualSpacing/>
        <w:rPr>
          <w:rFonts w:cstheme="minorHAnsi"/>
        </w:rPr>
      </w:pPr>
    </w:p>
    <w:p w:rsidR="00F822D5" w:rsidP="008B06EF" w14:paraId="617E4A73" w14:textId="6265971E">
      <w:pPr>
        <w:ind w:left="360"/>
        <w:contextualSpacing/>
        <w:rPr>
          <w:rFonts w:cstheme="minorHAnsi"/>
        </w:rPr>
      </w:pPr>
      <w:r>
        <w:rPr>
          <w:rFonts w:cstheme="minorHAnsi"/>
        </w:rPr>
        <w:t xml:space="preserve">For the focus groups, </w:t>
      </w:r>
      <w:r w:rsidR="00844CA0">
        <w:rPr>
          <w:rFonts w:cstheme="minorHAnsi"/>
        </w:rPr>
        <w:t>virtual (or in-person)</w:t>
      </w:r>
      <w:r>
        <w:rPr>
          <w:rStyle w:val="FootnoteReference"/>
          <w:rFonts w:cstheme="minorHAnsi"/>
        </w:rPr>
        <w:footnoteReference w:id="2"/>
      </w:r>
      <w:r w:rsidR="00844CA0">
        <w:rPr>
          <w:rFonts w:cstheme="minorHAnsi"/>
        </w:rPr>
        <w:t xml:space="preserve"> </w:t>
      </w:r>
      <w:r w:rsidRPr="008B06EF" w:rsidR="008B06EF">
        <w:t xml:space="preserve">focus groups will be conducted by the contractor at their own facility or office. Each focus group will consist up to </w:t>
      </w:r>
      <w:r w:rsidRPr="0058016E" w:rsidR="0058016E">
        <w:t>9</w:t>
      </w:r>
      <w:r w:rsidRPr="008B06EF" w:rsidR="008B06EF">
        <w:t xml:space="preserve"> participants. All participants will be informed that participation in the focus group is completely voluntary and informed consent will be obtained from </w:t>
      </w:r>
      <w:r w:rsidRPr="008B06EF" w:rsidR="008B06EF">
        <w:t>each individual</w:t>
      </w:r>
      <w:r w:rsidRPr="008B06EF" w:rsidR="008B06EF">
        <w:t xml:space="preserve"> prior to participation. </w:t>
      </w:r>
      <w:r w:rsidRPr="008B06EF" w:rsidR="008B06EF">
        <w:rPr>
          <w:rFonts w:cstheme="minorHAnsi"/>
        </w:rPr>
        <w:t xml:space="preserve">Questions in the focus group guide ask participants to provide feedback on the following: </w:t>
      </w:r>
    </w:p>
    <w:p w:rsidR="00F822D5" w:rsidP="00F822D5" w14:paraId="1DA769A9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r w:rsidRPr="00F822D5">
        <w:rPr>
          <w:rFonts w:cstheme="minorHAnsi"/>
        </w:rPr>
        <w:t>barriers/facilitators</w:t>
      </w:r>
      <w:r w:rsidRPr="00F822D5" w:rsidR="00F64397">
        <w:rPr>
          <w:rFonts w:cstheme="minorHAnsi"/>
        </w:rPr>
        <w:t xml:space="preserve"> to providing heat stress information</w:t>
      </w:r>
      <w:r w:rsidRPr="00F822D5" w:rsidR="00DF2678">
        <w:rPr>
          <w:rFonts w:cstheme="minorHAnsi"/>
        </w:rPr>
        <w:t xml:space="preserve">, </w:t>
      </w:r>
    </w:p>
    <w:p w:rsidR="00D038F1" w:rsidP="00F822D5" w14:paraId="4D1EE560" w14:textId="77777777">
      <w:pPr>
        <w:pStyle w:val="ListParagraph"/>
        <w:numPr>
          <w:ilvl w:val="0"/>
          <w:numId w:val="27"/>
        </w:numPr>
        <w:rPr>
          <w:rFonts w:cstheme="minorHAnsi"/>
        </w:rPr>
      </w:pPr>
      <w:r w:rsidRPr="00F822D5">
        <w:rPr>
          <w:rFonts w:cstheme="minorHAnsi"/>
        </w:rPr>
        <w:t xml:space="preserve">comprehension </w:t>
      </w:r>
      <w:r w:rsidRPr="00F822D5" w:rsidR="00994691">
        <w:rPr>
          <w:rFonts w:cstheme="minorHAnsi"/>
        </w:rPr>
        <w:t xml:space="preserve">and efficacy </w:t>
      </w:r>
      <w:r w:rsidRPr="00F822D5">
        <w:rPr>
          <w:rFonts w:cstheme="minorHAnsi"/>
        </w:rPr>
        <w:t>regarding acclimatization</w:t>
      </w:r>
      <w:r w:rsidRPr="00F822D5" w:rsidR="00736AB4">
        <w:rPr>
          <w:rFonts w:cstheme="minorHAnsi"/>
        </w:rPr>
        <w:t xml:space="preserve">, and </w:t>
      </w:r>
    </w:p>
    <w:p w:rsidR="00DF2678" w:rsidRPr="00F822D5" w:rsidP="00F822D5" w14:paraId="52DE9ECC" w14:textId="3D28B5CD">
      <w:pPr>
        <w:pStyle w:val="ListParagraph"/>
        <w:numPr>
          <w:ilvl w:val="0"/>
          <w:numId w:val="27"/>
        </w:numPr>
        <w:rPr>
          <w:rFonts w:cstheme="minorHAnsi"/>
        </w:rPr>
      </w:pPr>
      <w:r w:rsidRPr="00F822D5">
        <w:rPr>
          <w:rFonts w:cstheme="minorHAnsi"/>
        </w:rPr>
        <w:t>participant impressions regarding various heat stress educational products</w:t>
      </w:r>
      <w:r w:rsidRPr="00F822D5" w:rsidR="00F822D5">
        <w:rPr>
          <w:rFonts w:cstheme="minorHAnsi"/>
        </w:rPr>
        <w:t>, including the content and wording</w:t>
      </w:r>
      <w:r w:rsidR="00D038F1">
        <w:rPr>
          <w:rFonts w:cstheme="minorHAnsi"/>
        </w:rPr>
        <w:t>,</w:t>
      </w:r>
      <w:r w:rsidRPr="00F822D5" w:rsidR="00F822D5">
        <w:rPr>
          <w:rFonts w:cstheme="minorHAnsi"/>
        </w:rPr>
        <w:t xml:space="preserve"> and visuals.</w:t>
      </w:r>
    </w:p>
    <w:p w:rsidR="00676660" w:rsidP="008B06EF" w14:paraId="70FEAC8A" w14:textId="7365CEF4">
      <w:pPr>
        <w:ind w:left="360"/>
        <w:contextualSpacing/>
      </w:pPr>
      <w:r>
        <w:rPr>
          <w:rFonts w:cstheme="minorHAnsi"/>
        </w:rPr>
        <w:t>For the employer</w:t>
      </w:r>
      <w:r>
        <w:t xml:space="preserve"> </w:t>
      </w:r>
      <w:r w:rsidR="00C42303">
        <w:t>p</w:t>
      </w:r>
      <w:r w:rsidR="00A11237">
        <w:t>re/post-test</w:t>
      </w:r>
      <w:r w:rsidR="00C42303">
        <w:t xml:space="preserve"> survey</w:t>
      </w:r>
      <w:r w:rsidR="00A11237">
        <w:t>s will be conducted by the contractor</w:t>
      </w:r>
      <w:r w:rsidR="00722B7E">
        <w:t xml:space="preserve"> and consist of 45 </w:t>
      </w:r>
      <w:r w:rsidR="0025206C">
        <w:t>participants</w:t>
      </w:r>
      <w:r w:rsidR="00E57A9A">
        <w:t xml:space="preserve"> who had not previously participated in focus groups</w:t>
      </w:r>
      <w:r w:rsidR="00722B7E">
        <w:t xml:space="preserve">. </w:t>
      </w:r>
      <w:r w:rsidRPr="008B06EF" w:rsidR="00722B7E">
        <w:t xml:space="preserve">All participants will be informed that participation in the </w:t>
      </w:r>
      <w:r w:rsidR="0025206C">
        <w:t>pre/post-tests</w:t>
      </w:r>
      <w:r w:rsidRPr="008B06EF" w:rsidR="00722B7E">
        <w:t xml:space="preserve"> is completely voluntary and informed consent will be obtained from </w:t>
      </w:r>
      <w:r w:rsidRPr="008B06EF" w:rsidR="00722B7E">
        <w:t>each individual</w:t>
      </w:r>
      <w:r w:rsidRPr="008B06EF" w:rsidR="00722B7E">
        <w:t xml:space="preserve"> prior to participation.</w:t>
      </w:r>
      <w:r w:rsidR="0025206C">
        <w:t xml:space="preserve"> </w:t>
      </w:r>
      <w:r w:rsidRPr="00676660">
        <w:t>Outcomes include heat stress knowledge, behavioral intentions, self-efficacy, and attitudes. Open‐ended questions will be analyzed by themes</w:t>
      </w:r>
      <w:r>
        <w:t>.</w:t>
      </w:r>
    </w:p>
    <w:p w:rsidR="008A72D8" w:rsidRPr="00507BDC" w:rsidP="0055596C" w14:paraId="7AAC0F45" w14:textId="499EEDC2">
      <w:pPr>
        <w:pStyle w:val="Heading1"/>
        <w:numPr>
          <w:ilvl w:val="0"/>
          <w:numId w:val="26"/>
        </w:numPr>
        <w:rPr>
          <w:rFonts w:eastAsiaTheme="minorHAnsi" w:cstheme="minorBidi"/>
          <w:bCs/>
          <w:color w:val="auto"/>
        </w:rPr>
      </w:pPr>
      <w:bookmarkStart w:id="4" w:name="_Toc77941526"/>
      <w:r w:rsidRPr="008A72D8">
        <w:t xml:space="preserve">Tests of </w:t>
      </w:r>
      <w:r w:rsidRPr="00507BDC">
        <w:t>Procedures or Methods to be Undertaken</w:t>
      </w:r>
      <w:bookmarkEnd w:id="4"/>
    </w:p>
    <w:p w:rsidR="008B06EF" w:rsidRPr="00507BDC" w:rsidP="008B06EF" w14:paraId="656EFA07" w14:textId="1DA513E9">
      <w:pPr>
        <w:spacing w:line="240" w:lineRule="auto"/>
        <w:ind w:left="360"/>
        <w:contextualSpacing/>
      </w:pPr>
      <w:r w:rsidRPr="00507BDC">
        <w:t xml:space="preserve">The guide for the focus groups </w:t>
      </w:r>
      <w:r w:rsidRPr="00507BDC" w:rsidR="00913CE1">
        <w:t>and pre/post-test</w:t>
      </w:r>
      <w:r w:rsidRPr="00507BDC" w:rsidR="005D6C29">
        <w:t xml:space="preserve"> questions were</w:t>
      </w:r>
      <w:r w:rsidRPr="00507BDC">
        <w:t xml:space="preserve"> developed through extensive discussion with experts at CDC/NIOSH who have experience with focus groups</w:t>
      </w:r>
      <w:r w:rsidRPr="00507BDC" w:rsidR="005D6C29">
        <w:t xml:space="preserve"> or pre/post-testing,</w:t>
      </w:r>
      <w:r w:rsidRPr="00507BDC">
        <w:t xml:space="preserve"> and/or expertise in the subject matter. NIOSH experts were asked to review the </w:t>
      </w:r>
      <w:r w:rsidRPr="00507BDC" w:rsidR="001F4ED1">
        <w:t>questions</w:t>
      </w:r>
      <w:r w:rsidRPr="00507BDC">
        <w:t xml:space="preserve"> and were asked which questions should be deleted and what potential questions might be added. Reviewer comments were gathered and addressed by the research team and </w:t>
      </w:r>
      <w:r w:rsidRPr="00507BDC">
        <w:t>a number of</w:t>
      </w:r>
      <w:r w:rsidRPr="00507BDC">
        <w:t xml:space="preserve"> changes were incorporated into the final version. The final </w:t>
      </w:r>
      <w:r w:rsidRPr="00507BDC" w:rsidR="00507BDC">
        <w:t>questions were</w:t>
      </w:r>
      <w:r w:rsidRPr="00507BDC">
        <w:t xml:space="preserve"> reviewed and approved by NIOSH experts and research staff prior to submission to OMB.</w:t>
      </w:r>
      <w:r w:rsidRPr="00507BDC" w:rsidR="00913CE1">
        <w:t xml:space="preserve"> </w:t>
      </w:r>
    </w:p>
    <w:p w:rsidR="008B06EF" w:rsidRPr="001C0D3B" w:rsidP="008B06EF" w14:paraId="6D7ABFCC" w14:textId="77777777">
      <w:pPr>
        <w:spacing w:line="240" w:lineRule="auto"/>
        <w:ind w:left="360"/>
        <w:contextualSpacing/>
        <w:rPr>
          <w:rFonts w:cstheme="minorHAnsi"/>
        </w:rPr>
      </w:pPr>
    </w:p>
    <w:p w:rsidR="008B06EF" w:rsidRPr="001C0D3B" w:rsidP="008B06EF" w14:paraId="191CEC79" w14:textId="4C2B017F">
      <w:pPr>
        <w:spacing w:line="240" w:lineRule="auto"/>
        <w:ind w:left="360"/>
        <w:contextualSpacing/>
        <w:rPr>
          <w:rFonts w:cstheme="minorHAnsi"/>
        </w:rPr>
      </w:pPr>
      <w:r w:rsidRPr="001C0D3B">
        <w:rPr>
          <w:rFonts w:cstheme="minorHAnsi"/>
        </w:rPr>
        <w:t xml:space="preserve">The contractor will conduct a qualitative analysis of the data from the focus group sessions and develop a summary of key findings for internal NIOSH use. The internal report will extract common themes that reflect the topics that </w:t>
      </w:r>
      <w:r w:rsidRPr="001C0D3B" w:rsidR="00136FD1">
        <w:rPr>
          <w:rFonts w:cstheme="minorHAnsi"/>
        </w:rPr>
        <w:t>will be relevant to updating</w:t>
      </w:r>
      <w:r w:rsidRPr="001C0D3B" w:rsidR="00027412">
        <w:rPr>
          <w:rFonts w:cstheme="minorHAnsi"/>
        </w:rPr>
        <w:t xml:space="preserve"> heat stress products and educational materials</w:t>
      </w:r>
      <w:r w:rsidRPr="001C0D3B">
        <w:rPr>
          <w:rFonts w:cstheme="minorHAnsi"/>
        </w:rPr>
        <w:t>. No statistical analysis of the focus group data will be conducted.</w:t>
      </w:r>
    </w:p>
    <w:p w:rsidR="00027412" w:rsidRPr="001C0D3B" w:rsidP="008B06EF" w14:paraId="28E53F5A" w14:textId="7DBC2DD8">
      <w:pPr>
        <w:spacing w:line="240" w:lineRule="auto"/>
        <w:ind w:left="360"/>
        <w:contextualSpacing/>
        <w:rPr>
          <w:rFonts w:cstheme="minorHAnsi"/>
        </w:rPr>
      </w:pPr>
    </w:p>
    <w:p w:rsidR="00027412" w:rsidRPr="001C0D3B" w:rsidP="008B06EF" w14:paraId="3737A29E" w14:textId="1A4F73B8">
      <w:pPr>
        <w:spacing w:line="240" w:lineRule="auto"/>
        <w:ind w:left="360"/>
        <w:contextualSpacing/>
        <w:rPr>
          <w:rFonts w:cstheme="minorHAnsi"/>
          <w:highlight w:val="yellow"/>
        </w:rPr>
      </w:pPr>
      <w:r w:rsidRPr="001C0D3B">
        <w:rPr>
          <w:rFonts w:cstheme="minorHAnsi"/>
        </w:rPr>
        <w:t>The contract</w:t>
      </w:r>
      <w:r w:rsidRPr="001C0D3B" w:rsidR="00C06DA0">
        <w:rPr>
          <w:rFonts w:cstheme="minorHAnsi"/>
        </w:rPr>
        <w:t>or</w:t>
      </w:r>
      <w:r w:rsidRPr="001C0D3B">
        <w:rPr>
          <w:rFonts w:cstheme="minorHAnsi"/>
        </w:rPr>
        <w:t xml:space="preserve"> will </w:t>
      </w:r>
      <w:r w:rsidRPr="001C0D3B" w:rsidR="00E930BD">
        <w:rPr>
          <w:rFonts w:cstheme="minorHAnsi"/>
        </w:rPr>
        <w:t>rep</w:t>
      </w:r>
      <w:r w:rsidRPr="001C0D3B" w:rsidR="001E7155">
        <w:rPr>
          <w:rFonts w:cstheme="minorHAnsi"/>
        </w:rPr>
        <w:t xml:space="preserve">ort results used for </w:t>
      </w:r>
      <w:r w:rsidRPr="001C0D3B">
        <w:rPr>
          <w:rFonts w:cstheme="minorHAnsi"/>
        </w:rPr>
        <w:t xml:space="preserve">a </w:t>
      </w:r>
      <w:r w:rsidRPr="001C0D3B" w:rsidR="00E930BD">
        <w:rPr>
          <w:rFonts w:cstheme="minorHAnsi"/>
        </w:rPr>
        <w:t xml:space="preserve">one-way repeated measures ANOVA </w:t>
      </w:r>
      <w:r w:rsidRPr="001C0D3B" w:rsidR="00BC2028">
        <w:rPr>
          <w:rFonts w:cstheme="minorHAnsi"/>
        </w:rPr>
        <w:t>of the data from the pre/post-tests</w:t>
      </w:r>
      <w:r w:rsidRPr="001C0D3B" w:rsidR="001E7155">
        <w:rPr>
          <w:rFonts w:cstheme="minorHAnsi"/>
        </w:rPr>
        <w:t xml:space="preserve">. </w:t>
      </w:r>
      <w:r w:rsidRPr="001C0D3B" w:rsidR="00C06DA0">
        <w:rPr>
          <w:rFonts w:cstheme="minorHAnsi"/>
        </w:rPr>
        <w:t xml:space="preserve">The pre/post-tests will be used to assess changes in outcomes across </w:t>
      </w:r>
      <w:r w:rsidRPr="001C0D3B" w:rsidR="00C06DA0">
        <w:rPr>
          <w:rFonts w:cstheme="minorHAnsi"/>
        </w:rPr>
        <w:t>three time</w:t>
      </w:r>
      <w:r w:rsidRPr="001C0D3B" w:rsidR="00C06DA0">
        <w:rPr>
          <w:rFonts w:cstheme="minorHAnsi"/>
        </w:rPr>
        <w:t xml:space="preserve"> intervals: pre-test, post-test #1, and post-test #2 at 6 weeks. SPSS will be used to conduct quantitative analyses.</w:t>
      </w:r>
    </w:p>
    <w:p w:rsidR="008B06EF" w:rsidRPr="008B06EF" w:rsidP="0055596C" w14:paraId="05A89F13" w14:textId="3BD5081E">
      <w:pPr>
        <w:pStyle w:val="Heading1"/>
        <w:numPr>
          <w:ilvl w:val="0"/>
          <w:numId w:val="26"/>
        </w:numPr>
      </w:pPr>
      <w:bookmarkStart w:id="5" w:name="_Toc11227084"/>
      <w:bookmarkStart w:id="6" w:name="_Toc77941527"/>
      <w:r w:rsidRPr="008B06EF">
        <w:t>Individuals Consulted on Statistical Aspects and Individuals Collecting and/or Analyzing Data</w:t>
      </w:r>
      <w:bookmarkEnd w:id="5"/>
      <w:bookmarkEnd w:id="6"/>
    </w:p>
    <w:p w:rsidR="008B06EF" w:rsidRPr="008B06EF" w:rsidP="008B06EF" w14:paraId="30EB4976" w14:textId="69EC5323">
      <w:pPr>
        <w:spacing w:line="240" w:lineRule="auto"/>
        <w:ind w:left="360"/>
      </w:pPr>
      <w:r w:rsidRPr="008B06EF">
        <w:t xml:space="preserve">The project team will consult with the contractor on the qualitative analysis, which will examine themes or major topics mentioned by focus group participants. </w:t>
      </w:r>
      <w:r w:rsidR="00BD7CB9">
        <w:t>The project team will consult with the</w:t>
      </w:r>
      <w:r w:rsidR="00C11E75">
        <w:t xml:space="preserve"> contractor and NIOSH colleagues on the quantitative analysis</w:t>
      </w:r>
      <w:r w:rsidR="001C0D3B">
        <w:t xml:space="preserve"> used for the pre/post-tests.</w:t>
      </w:r>
    </w:p>
    <w:p w:rsidR="008B06EF" w:rsidRPr="008B06EF" w:rsidP="008B06EF" w14:paraId="4D6DF820" w14:textId="77777777">
      <w:pPr>
        <w:spacing w:line="240" w:lineRule="auto"/>
        <w:ind w:left="360"/>
      </w:pPr>
      <w:r w:rsidRPr="008B06EF">
        <w:t>Consultation will be provided by the following individuals currently employed at CDC/NIOSH:</w:t>
      </w:r>
    </w:p>
    <w:p w:rsidR="008B06EF" w:rsidRPr="00F21C1F" w:rsidP="008B06EF" w14:paraId="152FD07B" w14:textId="3781AEE3">
      <w:pPr>
        <w:numPr>
          <w:ilvl w:val="0"/>
          <w:numId w:val="25"/>
        </w:numPr>
        <w:spacing w:line="240" w:lineRule="auto"/>
        <w:contextualSpacing/>
      </w:pPr>
      <w:r w:rsidRPr="008B06EF">
        <w:t xml:space="preserve">Brenda Jacklitsch, PhD, MS; Health Scientist: 513-533-8369; </w:t>
      </w:r>
      <w:hyperlink r:id="rId6" w:history="1">
        <w:r w:rsidRPr="008B06EF">
          <w:rPr>
            <w:color w:val="0563C1" w:themeColor="hyperlink"/>
            <w:u w:val="single"/>
          </w:rPr>
          <w:t>gwe6@cdc.gov</w:t>
        </w:r>
      </w:hyperlink>
    </w:p>
    <w:p w:rsidR="001E48A0" w:rsidRPr="00F21C1F" w:rsidP="008B06EF" w14:paraId="051F1E0C" w14:textId="0AE8C522">
      <w:pPr>
        <w:numPr>
          <w:ilvl w:val="0"/>
          <w:numId w:val="25"/>
        </w:numPr>
        <w:spacing w:line="240" w:lineRule="auto"/>
        <w:contextualSpacing/>
      </w:pPr>
      <w:r w:rsidRPr="00F21C1F">
        <w:t>Ted Hitchcock</w:t>
      </w:r>
      <w:r w:rsidRPr="00F21C1F" w:rsidR="00F85398">
        <w:t>, PhD; Health Scientist</w:t>
      </w:r>
      <w:r w:rsidRPr="00F21C1F" w:rsidR="00B35C4A">
        <w:t>: 513-533-</w:t>
      </w:r>
      <w:r w:rsidRPr="00F21C1F" w:rsidR="00F21C1F">
        <w:t xml:space="preserve">8169; </w:t>
      </w:r>
      <w:hyperlink r:id="rId7" w:history="1">
        <w:r w:rsidRPr="00F21C1F" w:rsidR="00F21C1F">
          <w:rPr>
            <w:rStyle w:val="Hyperlink"/>
          </w:rPr>
          <w:t>ekh2@cdc.gov</w:t>
        </w:r>
      </w:hyperlink>
      <w:r w:rsidRPr="00F21C1F" w:rsidR="00F21C1F">
        <w:t xml:space="preserve"> </w:t>
      </w:r>
    </w:p>
    <w:p w:rsidR="0079034F" w:rsidRPr="00F21C1F" w:rsidP="00B35C4A" w14:paraId="334ED91F" w14:textId="768343C8">
      <w:pPr>
        <w:numPr>
          <w:ilvl w:val="0"/>
          <w:numId w:val="25"/>
        </w:numPr>
        <w:spacing w:line="240" w:lineRule="auto"/>
        <w:contextualSpacing/>
        <w:rPr>
          <w:b/>
          <w:sz w:val="24"/>
          <w:szCs w:val="24"/>
        </w:rPr>
      </w:pPr>
      <w:r w:rsidRPr="008B06EF">
        <w:t xml:space="preserve">Michael Flynn, MA; Social Scientist: 513-533-8568; </w:t>
      </w:r>
      <w:hyperlink r:id="rId8" w:history="1">
        <w:r w:rsidRPr="008B06EF">
          <w:rPr>
            <w:color w:val="0563C1" w:themeColor="hyperlink"/>
            <w:u w:val="single"/>
          </w:rPr>
          <w:t>dse4@cdc.gov</w:t>
        </w:r>
      </w:hyperlink>
    </w:p>
    <w:sectPr w:rsidSect="0085620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16175" w:rsidP="00513385" w14:paraId="0A76F1BC" w14:textId="77777777">
      <w:pPr>
        <w:spacing w:after="0" w:line="240" w:lineRule="auto"/>
      </w:pPr>
      <w:r>
        <w:separator/>
      </w:r>
    </w:p>
  </w:footnote>
  <w:footnote w:type="continuationSeparator" w:id="1">
    <w:p w:rsidR="00316175" w:rsidP="00513385" w14:paraId="63843609" w14:textId="77777777">
      <w:pPr>
        <w:spacing w:after="0" w:line="240" w:lineRule="auto"/>
      </w:pPr>
      <w:r>
        <w:continuationSeparator/>
      </w:r>
    </w:p>
  </w:footnote>
  <w:footnote w:id="2">
    <w:p w:rsidR="007E611C" w14:paraId="6E634E69" w14:textId="2CF4327D">
      <w:pPr>
        <w:pStyle w:val="FootnoteText"/>
      </w:pPr>
      <w:r>
        <w:rPr>
          <w:rStyle w:val="FootnoteReference"/>
        </w:rPr>
        <w:footnoteRef/>
      </w:r>
      <w:r>
        <w:t xml:space="preserve"> NOTE: Depending on the pandemic situation at the time of data collection, changes to the protocol may be necessary per CDC, NIOSH, and IRB guidelines. Tentative changes may include conducting in-person, individual interviews in place of focus groups. Appropriate </w:t>
      </w:r>
      <w:r w:rsidR="00283C8A">
        <w:t xml:space="preserve">CDC </w:t>
      </w:r>
      <w:r>
        <w:t xml:space="preserve">recommendations for social distancing, cleaning, and wearing of cloth face coverings will be followed. When possible, interviews will take place outdoors. Most interviews would need to occur in-person, as these worker populations may not have access to available technology (computers, internet, printers) and need to view multiple products related to the questions being asked. </w:t>
      </w:r>
      <w:r w:rsidRPr="00415BDA">
        <w:t xml:space="preserve">When possible (i.e., with those participants who </w:t>
      </w:r>
      <w:r w:rsidRPr="00415BDA">
        <w:t>are able to</w:t>
      </w:r>
      <w:r w:rsidRPr="00415BDA">
        <w:t xml:space="preserve"> access and print the documents to be reviewed for the interview), the interview will be conducted over the phone. </w:t>
      </w:r>
      <w:r>
        <w:t>For individual interviews, numbers of participants will likely be cut in half, to accommodate the increased cost and time involved.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31BA0"/>
    <w:multiLevelType w:val="hybridMultilevel"/>
    <w:tmpl w:val="1AB296C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36A2A"/>
    <w:multiLevelType w:val="hybridMultilevel"/>
    <w:tmpl w:val="2B943B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CA6502"/>
    <w:multiLevelType w:val="hybridMultilevel"/>
    <w:tmpl w:val="04FEC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D03E6"/>
    <w:multiLevelType w:val="hybridMultilevel"/>
    <w:tmpl w:val="77DA7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C06B9"/>
    <w:multiLevelType w:val="hybridMultilevel"/>
    <w:tmpl w:val="C37CFED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A7AB6"/>
    <w:multiLevelType w:val="hybridMultilevel"/>
    <w:tmpl w:val="46800C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51B4"/>
    <w:multiLevelType w:val="hybridMultilevel"/>
    <w:tmpl w:val="E50821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C032E7"/>
    <w:multiLevelType w:val="hybridMultilevel"/>
    <w:tmpl w:val="3C2E35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25D"/>
    <w:multiLevelType w:val="hybridMultilevel"/>
    <w:tmpl w:val="F6C2FD6E"/>
    <w:lvl w:ilvl="0">
      <w:start w:val="1"/>
      <w:numFmt w:val="bullet"/>
      <w:lvlText w:val="-"/>
      <w:lvlJc w:val="left"/>
      <w:pPr>
        <w:ind w:left="420" w:hanging="360"/>
      </w:pPr>
      <w:rPr>
        <w:rFonts w:ascii="Arial" w:hAnsi="Arial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49B027C"/>
    <w:multiLevelType w:val="hybridMultilevel"/>
    <w:tmpl w:val="055C15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50D1"/>
    <w:multiLevelType w:val="hybridMultilevel"/>
    <w:tmpl w:val="CE729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F0FA1"/>
    <w:multiLevelType w:val="hybridMultilevel"/>
    <w:tmpl w:val="EB6298B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E6EDD"/>
    <w:multiLevelType w:val="hybridMultilevel"/>
    <w:tmpl w:val="74149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9259E"/>
    <w:multiLevelType w:val="hybridMultilevel"/>
    <w:tmpl w:val="76D2E3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A6CBF"/>
    <w:multiLevelType w:val="hybridMultilevel"/>
    <w:tmpl w:val="580E91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8D6F5E"/>
    <w:multiLevelType w:val="hybridMultilevel"/>
    <w:tmpl w:val="AAF89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B4451D"/>
    <w:multiLevelType w:val="hybridMultilevel"/>
    <w:tmpl w:val="3F503E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8468E"/>
    <w:multiLevelType w:val="hybridMultilevel"/>
    <w:tmpl w:val="3440F20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829BC"/>
    <w:multiLevelType w:val="hybridMultilevel"/>
    <w:tmpl w:val="83942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40B67"/>
    <w:multiLevelType w:val="hybridMultilevel"/>
    <w:tmpl w:val="3CD042B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C384B"/>
    <w:multiLevelType w:val="hybridMultilevel"/>
    <w:tmpl w:val="00226E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34CFA"/>
    <w:multiLevelType w:val="hybridMultilevel"/>
    <w:tmpl w:val="94C836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7D2430"/>
    <w:multiLevelType w:val="hybridMultilevel"/>
    <w:tmpl w:val="4080F8D2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0C461A"/>
    <w:multiLevelType w:val="hybridMultilevel"/>
    <w:tmpl w:val="36BC3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66986"/>
    <w:multiLevelType w:val="hybridMultilevel"/>
    <w:tmpl w:val="C8AAAA9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7329CE"/>
    <w:multiLevelType w:val="hybridMultilevel"/>
    <w:tmpl w:val="55B8FAC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C746FF"/>
    <w:multiLevelType w:val="hybridMultilevel"/>
    <w:tmpl w:val="E11A5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23"/>
  </w:num>
  <w:num w:numId="5">
    <w:abstractNumId w:val="11"/>
  </w:num>
  <w:num w:numId="6">
    <w:abstractNumId w:val="18"/>
  </w:num>
  <w:num w:numId="7">
    <w:abstractNumId w:val="4"/>
  </w:num>
  <w:num w:numId="8">
    <w:abstractNumId w:val="6"/>
  </w:num>
  <w:num w:numId="9">
    <w:abstractNumId w:val="19"/>
  </w:num>
  <w:num w:numId="10">
    <w:abstractNumId w:val="0"/>
  </w:num>
  <w:num w:numId="11">
    <w:abstractNumId w:val="16"/>
  </w:num>
  <w:num w:numId="12">
    <w:abstractNumId w:val="25"/>
  </w:num>
  <w:num w:numId="13">
    <w:abstractNumId w:val="20"/>
  </w:num>
  <w:num w:numId="14">
    <w:abstractNumId w:val="7"/>
  </w:num>
  <w:num w:numId="15">
    <w:abstractNumId w:val="9"/>
  </w:num>
  <w:num w:numId="16">
    <w:abstractNumId w:val="17"/>
  </w:num>
  <w:num w:numId="17">
    <w:abstractNumId w:val="21"/>
  </w:num>
  <w:num w:numId="18">
    <w:abstractNumId w:val="15"/>
  </w:num>
  <w:num w:numId="19">
    <w:abstractNumId w:val="13"/>
  </w:num>
  <w:num w:numId="20">
    <w:abstractNumId w:val="24"/>
  </w:num>
  <w:num w:numId="21">
    <w:abstractNumId w:val="5"/>
  </w:num>
  <w:num w:numId="22">
    <w:abstractNumId w:val="8"/>
  </w:num>
  <w:num w:numId="23">
    <w:abstractNumId w:val="22"/>
  </w:num>
  <w:num w:numId="24">
    <w:abstractNumId w:val="10"/>
  </w:num>
  <w:num w:numId="25">
    <w:abstractNumId w:val="1"/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03"/>
    <w:rsid w:val="00000160"/>
    <w:rsid w:val="00002A87"/>
    <w:rsid w:val="00004A9F"/>
    <w:rsid w:val="00012DF4"/>
    <w:rsid w:val="000205C4"/>
    <w:rsid w:val="00027412"/>
    <w:rsid w:val="00043B5A"/>
    <w:rsid w:val="000472C4"/>
    <w:rsid w:val="00053E65"/>
    <w:rsid w:val="000559A6"/>
    <w:rsid w:val="00062016"/>
    <w:rsid w:val="00077725"/>
    <w:rsid w:val="0009132A"/>
    <w:rsid w:val="000A519A"/>
    <w:rsid w:val="000B377D"/>
    <w:rsid w:val="000C497B"/>
    <w:rsid w:val="000E1F3A"/>
    <w:rsid w:val="000F355C"/>
    <w:rsid w:val="000F69D5"/>
    <w:rsid w:val="000F7CCB"/>
    <w:rsid w:val="001059F9"/>
    <w:rsid w:val="00114AF4"/>
    <w:rsid w:val="00123B3F"/>
    <w:rsid w:val="00124C3C"/>
    <w:rsid w:val="00126005"/>
    <w:rsid w:val="00135ABA"/>
    <w:rsid w:val="00136FD1"/>
    <w:rsid w:val="001411AF"/>
    <w:rsid w:val="0015089E"/>
    <w:rsid w:val="00176D1D"/>
    <w:rsid w:val="00180810"/>
    <w:rsid w:val="001A2B0F"/>
    <w:rsid w:val="001A5121"/>
    <w:rsid w:val="001A6DB3"/>
    <w:rsid w:val="001B3428"/>
    <w:rsid w:val="001B5E18"/>
    <w:rsid w:val="001B7738"/>
    <w:rsid w:val="001C0D3B"/>
    <w:rsid w:val="001D35DF"/>
    <w:rsid w:val="001E48A0"/>
    <w:rsid w:val="001E7155"/>
    <w:rsid w:val="001F164D"/>
    <w:rsid w:val="001F4ED1"/>
    <w:rsid w:val="0020050C"/>
    <w:rsid w:val="0021067B"/>
    <w:rsid w:val="00224879"/>
    <w:rsid w:val="0025206C"/>
    <w:rsid w:val="00263CFE"/>
    <w:rsid w:val="00265519"/>
    <w:rsid w:val="002735EE"/>
    <w:rsid w:val="00283C8A"/>
    <w:rsid w:val="002968D1"/>
    <w:rsid w:val="002B68FD"/>
    <w:rsid w:val="002B6D42"/>
    <w:rsid w:val="002D5272"/>
    <w:rsid w:val="002D73A8"/>
    <w:rsid w:val="002E37F8"/>
    <w:rsid w:val="002E431E"/>
    <w:rsid w:val="002E52E5"/>
    <w:rsid w:val="002E7AB8"/>
    <w:rsid w:val="002F7419"/>
    <w:rsid w:val="002F7B37"/>
    <w:rsid w:val="0030699A"/>
    <w:rsid w:val="0031246F"/>
    <w:rsid w:val="0031580A"/>
    <w:rsid w:val="00316175"/>
    <w:rsid w:val="00321213"/>
    <w:rsid w:val="003506D3"/>
    <w:rsid w:val="003507DC"/>
    <w:rsid w:val="00350C77"/>
    <w:rsid w:val="00352F2B"/>
    <w:rsid w:val="00361A0C"/>
    <w:rsid w:val="00362AFA"/>
    <w:rsid w:val="003717F7"/>
    <w:rsid w:val="003745ED"/>
    <w:rsid w:val="0037541A"/>
    <w:rsid w:val="00382A80"/>
    <w:rsid w:val="00383497"/>
    <w:rsid w:val="0038737D"/>
    <w:rsid w:val="003B193D"/>
    <w:rsid w:val="003B28BC"/>
    <w:rsid w:val="003B6857"/>
    <w:rsid w:val="003E64DB"/>
    <w:rsid w:val="003F5143"/>
    <w:rsid w:val="003F785E"/>
    <w:rsid w:val="00414F84"/>
    <w:rsid w:val="00415BDA"/>
    <w:rsid w:val="0041689A"/>
    <w:rsid w:val="00421C17"/>
    <w:rsid w:val="0042372B"/>
    <w:rsid w:val="0042680C"/>
    <w:rsid w:val="00441E9C"/>
    <w:rsid w:val="00451EB1"/>
    <w:rsid w:val="00460A9D"/>
    <w:rsid w:val="00462C9B"/>
    <w:rsid w:val="00465C81"/>
    <w:rsid w:val="00472EF1"/>
    <w:rsid w:val="00475333"/>
    <w:rsid w:val="00487206"/>
    <w:rsid w:val="00491758"/>
    <w:rsid w:val="004B4CCD"/>
    <w:rsid w:val="004C44FE"/>
    <w:rsid w:val="004C6496"/>
    <w:rsid w:val="004D375B"/>
    <w:rsid w:val="004D39C6"/>
    <w:rsid w:val="004E7F74"/>
    <w:rsid w:val="00503220"/>
    <w:rsid w:val="00507BDC"/>
    <w:rsid w:val="00513385"/>
    <w:rsid w:val="00523593"/>
    <w:rsid w:val="005252D4"/>
    <w:rsid w:val="005347F3"/>
    <w:rsid w:val="0053580E"/>
    <w:rsid w:val="00540C4E"/>
    <w:rsid w:val="0054270B"/>
    <w:rsid w:val="00542C7E"/>
    <w:rsid w:val="0055024C"/>
    <w:rsid w:val="00551642"/>
    <w:rsid w:val="0055596C"/>
    <w:rsid w:val="0058016E"/>
    <w:rsid w:val="00584092"/>
    <w:rsid w:val="00596015"/>
    <w:rsid w:val="005A534F"/>
    <w:rsid w:val="005B179F"/>
    <w:rsid w:val="005C236B"/>
    <w:rsid w:val="005D6B63"/>
    <w:rsid w:val="005D6C29"/>
    <w:rsid w:val="005E00BA"/>
    <w:rsid w:val="005E1E70"/>
    <w:rsid w:val="005F2FE3"/>
    <w:rsid w:val="006107B7"/>
    <w:rsid w:val="00610EE4"/>
    <w:rsid w:val="00621CC8"/>
    <w:rsid w:val="00621D54"/>
    <w:rsid w:val="00622552"/>
    <w:rsid w:val="00627171"/>
    <w:rsid w:val="00634DED"/>
    <w:rsid w:val="00635469"/>
    <w:rsid w:val="00646452"/>
    <w:rsid w:val="006533E2"/>
    <w:rsid w:val="00656729"/>
    <w:rsid w:val="00656C03"/>
    <w:rsid w:val="00674227"/>
    <w:rsid w:val="00676660"/>
    <w:rsid w:val="006926C0"/>
    <w:rsid w:val="006B3D2F"/>
    <w:rsid w:val="006C501B"/>
    <w:rsid w:val="006D62F6"/>
    <w:rsid w:val="006E614F"/>
    <w:rsid w:val="006F357A"/>
    <w:rsid w:val="007007D3"/>
    <w:rsid w:val="00712BB0"/>
    <w:rsid w:val="00713C3F"/>
    <w:rsid w:val="00720BE0"/>
    <w:rsid w:val="00722B7E"/>
    <w:rsid w:val="00734D52"/>
    <w:rsid w:val="00735222"/>
    <w:rsid w:val="00736AB4"/>
    <w:rsid w:val="007466D1"/>
    <w:rsid w:val="00746C0B"/>
    <w:rsid w:val="00767944"/>
    <w:rsid w:val="007729E7"/>
    <w:rsid w:val="00775346"/>
    <w:rsid w:val="0079034F"/>
    <w:rsid w:val="0079682D"/>
    <w:rsid w:val="00796E03"/>
    <w:rsid w:val="007A0103"/>
    <w:rsid w:val="007A13E0"/>
    <w:rsid w:val="007A75C9"/>
    <w:rsid w:val="007A7E21"/>
    <w:rsid w:val="007B1809"/>
    <w:rsid w:val="007B6B75"/>
    <w:rsid w:val="007B7C23"/>
    <w:rsid w:val="007D096E"/>
    <w:rsid w:val="007E5494"/>
    <w:rsid w:val="007E611C"/>
    <w:rsid w:val="007F60D5"/>
    <w:rsid w:val="00800050"/>
    <w:rsid w:val="00823756"/>
    <w:rsid w:val="00832957"/>
    <w:rsid w:val="008432B6"/>
    <w:rsid w:val="00844CA0"/>
    <w:rsid w:val="00846150"/>
    <w:rsid w:val="00856203"/>
    <w:rsid w:val="00893C2F"/>
    <w:rsid w:val="008A72D8"/>
    <w:rsid w:val="008B06EF"/>
    <w:rsid w:val="008B6DD9"/>
    <w:rsid w:val="008C0F03"/>
    <w:rsid w:val="008C1951"/>
    <w:rsid w:val="008D5CEE"/>
    <w:rsid w:val="009033E1"/>
    <w:rsid w:val="00904233"/>
    <w:rsid w:val="0091113B"/>
    <w:rsid w:val="0091179F"/>
    <w:rsid w:val="00913CE1"/>
    <w:rsid w:val="00944434"/>
    <w:rsid w:val="00961EA7"/>
    <w:rsid w:val="009652A8"/>
    <w:rsid w:val="009678A4"/>
    <w:rsid w:val="00972E71"/>
    <w:rsid w:val="00976DA0"/>
    <w:rsid w:val="00987C49"/>
    <w:rsid w:val="00990D99"/>
    <w:rsid w:val="00994691"/>
    <w:rsid w:val="009971ED"/>
    <w:rsid w:val="00997DE2"/>
    <w:rsid w:val="009B1C39"/>
    <w:rsid w:val="009B5293"/>
    <w:rsid w:val="009C169E"/>
    <w:rsid w:val="009C3E48"/>
    <w:rsid w:val="009C469D"/>
    <w:rsid w:val="009D6550"/>
    <w:rsid w:val="009E56E9"/>
    <w:rsid w:val="009F611F"/>
    <w:rsid w:val="00A11237"/>
    <w:rsid w:val="00A314CB"/>
    <w:rsid w:val="00A33D11"/>
    <w:rsid w:val="00A551FD"/>
    <w:rsid w:val="00A60CA0"/>
    <w:rsid w:val="00A65BD7"/>
    <w:rsid w:val="00A65C9D"/>
    <w:rsid w:val="00A718AE"/>
    <w:rsid w:val="00A86C9C"/>
    <w:rsid w:val="00A902BC"/>
    <w:rsid w:val="00A959E6"/>
    <w:rsid w:val="00AA6F76"/>
    <w:rsid w:val="00AA73F6"/>
    <w:rsid w:val="00AB019A"/>
    <w:rsid w:val="00AC4236"/>
    <w:rsid w:val="00AC5E89"/>
    <w:rsid w:val="00AD5B09"/>
    <w:rsid w:val="00AF0506"/>
    <w:rsid w:val="00AF31A3"/>
    <w:rsid w:val="00AF6E8C"/>
    <w:rsid w:val="00B02086"/>
    <w:rsid w:val="00B12B44"/>
    <w:rsid w:val="00B32EFD"/>
    <w:rsid w:val="00B33AA2"/>
    <w:rsid w:val="00B35C4A"/>
    <w:rsid w:val="00B4027E"/>
    <w:rsid w:val="00B4217E"/>
    <w:rsid w:val="00B45FD4"/>
    <w:rsid w:val="00B5118F"/>
    <w:rsid w:val="00B64A15"/>
    <w:rsid w:val="00B67968"/>
    <w:rsid w:val="00B9596D"/>
    <w:rsid w:val="00BB189E"/>
    <w:rsid w:val="00BB1B9D"/>
    <w:rsid w:val="00BB24A3"/>
    <w:rsid w:val="00BB6648"/>
    <w:rsid w:val="00BC2028"/>
    <w:rsid w:val="00BC34D0"/>
    <w:rsid w:val="00BC3B1E"/>
    <w:rsid w:val="00BD7CB9"/>
    <w:rsid w:val="00BE28ED"/>
    <w:rsid w:val="00BE4BEF"/>
    <w:rsid w:val="00C0455A"/>
    <w:rsid w:val="00C06DA0"/>
    <w:rsid w:val="00C11E75"/>
    <w:rsid w:val="00C17693"/>
    <w:rsid w:val="00C30652"/>
    <w:rsid w:val="00C343B2"/>
    <w:rsid w:val="00C35E15"/>
    <w:rsid w:val="00C42303"/>
    <w:rsid w:val="00C461CB"/>
    <w:rsid w:val="00C54D77"/>
    <w:rsid w:val="00C702D4"/>
    <w:rsid w:val="00C704FD"/>
    <w:rsid w:val="00C804E7"/>
    <w:rsid w:val="00C8057D"/>
    <w:rsid w:val="00C83842"/>
    <w:rsid w:val="00C879B5"/>
    <w:rsid w:val="00C959B2"/>
    <w:rsid w:val="00CA0ED8"/>
    <w:rsid w:val="00CF1833"/>
    <w:rsid w:val="00D038F1"/>
    <w:rsid w:val="00D06652"/>
    <w:rsid w:val="00D140CA"/>
    <w:rsid w:val="00D16687"/>
    <w:rsid w:val="00D25471"/>
    <w:rsid w:val="00D26908"/>
    <w:rsid w:val="00D4612A"/>
    <w:rsid w:val="00D510E0"/>
    <w:rsid w:val="00D548A7"/>
    <w:rsid w:val="00D57A32"/>
    <w:rsid w:val="00D665AB"/>
    <w:rsid w:val="00D750DA"/>
    <w:rsid w:val="00D91C36"/>
    <w:rsid w:val="00D95590"/>
    <w:rsid w:val="00DB172C"/>
    <w:rsid w:val="00DB251C"/>
    <w:rsid w:val="00DB71FF"/>
    <w:rsid w:val="00DC2A83"/>
    <w:rsid w:val="00DC7D43"/>
    <w:rsid w:val="00DE50E9"/>
    <w:rsid w:val="00DE642A"/>
    <w:rsid w:val="00DF23EB"/>
    <w:rsid w:val="00DF2678"/>
    <w:rsid w:val="00E04F83"/>
    <w:rsid w:val="00E117D2"/>
    <w:rsid w:val="00E24416"/>
    <w:rsid w:val="00E57A9A"/>
    <w:rsid w:val="00E70F23"/>
    <w:rsid w:val="00E87E19"/>
    <w:rsid w:val="00E92C65"/>
    <w:rsid w:val="00E930BD"/>
    <w:rsid w:val="00EA095F"/>
    <w:rsid w:val="00EA37FB"/>
    <w:rsid w:val="00EB04EB"/>
    <w:rsid w:val="00EB1DC5"/>
    <w:rsid w:val="00EB64F6"/>
    <w:rsid w:val="00EC4117"/>
    <w:rsid w:val="00EC5101"/>
    <w:rsid w:val="00EC7C12"/>
    <w:rsid w:val="00ED0CEC"/>
    <w:rsid w:val="00ED7985"/>
    <w:rsid w:val="00ED7D65"/>
    <w:rsid w:val="00EE4102"/>
    <w:rsid w:val="00EF6744"/>
    <w:rsid w:val="00EF677F"/>
    <w:rsid w:val="00EF6E1C"/>
    <w:rsid w:val="00F05E91"/>
    <w:rsid w:val="00F13020"/>
    <w:rsid w:val="00F14F36"/>
    <w:rsid w:val="00F15A28"/>
    <w:rsid w:val="00F2141A"/>
    <w:rsid w:val="00F21C1F"/>
    <w:rsid w:val="00F64397"/>
    <w:rsid w:val="00F70852"/>
    <w:rsid w:val="00F822D5"/>
    <w:rsid w:val="00F85398"/>
    <w:rsid w:val="00F9118A"/>
    <w:rsid w:val="00F91267"/>
    <w:rsid w:val="00F9430E"/>
    <w:rsid w:val="00F95DC9"/>
    <w:rsid w:val="00FC19F2"/>
    <w:rsid w:val="00FC427E"/>
    <w:rsid w:val="00FC5A0C"/>
    <w:rsid w:val="00FC70C6"/>
    <w:rsid w:val="00FD3587"/>
    <w:rsid w:val="00FE2FA5"/>
    <w:rsid w:val="00FE7244"/>
  </w:rsids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rpdtx02zt9fr1eze5cp5p9nrexptdr20pet&quot;&gt;My EndNote Library&lt;record-ids&gt;&lt;item&gt;1485&lt;/item&gt;&lt;item&gt;1489&lt;/item&gt;&lt;item&gt;1512&lt;/item&gt;&lt;item&gt;1520&lt;/item&gt;&lt;item&gt;1522&lt;/item&gt;&lt;item&gt;1523&lt;/item&gt;&lt;item&gt;1524&lt;/item&gt;&lt;item&gt;1525&lt;/item&gt;&lt;item&gt;1526&lt;/item&gt;&lt;item&gt;1635&lt;/item&gt;&lt;/record-ids&gt;&lt;/item&gt;&lt;/Libraries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1F5091"/>
  <w15:chartTrackingRefBased/>
  <w15:docId w15:val="{EE092332-3463-4C7B-9DF5-F0327116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856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3C"/>
  </w:style>
  <w:style w:type="character" w:styleId="CommentReference">
    <w:name w:val="annotation reference"/>
    <w:basedOn w:val="DefaultParagraphFont"/>
    <w:uiPriority w:val="99"/>
    <w:semiHidden/>
    <w:unhideWhenUsed/>
    <w:rsid w:val="00D16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31E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542C7E"/>
    <w:pPr>
      <w:spacing w:beforeAutospacing="1" w:after="0" w:afterAutospacing="1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A512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A512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A512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A5121"/>
    <w:rPr>
      <w:rFonts w:ascii="Calibri" w:hAnsi="Calibri" w:cs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55596C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057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096E"/>
    <w:pPr>
      <w:spacing w:after="100"/>
    </w:pPr>
  </w:style>
  <w:style w:type="paragraph" w:styleId="Revision">
    <w:name w:val="Revision"/>
    <w:hidden/>
    <w:uiPriority w:val="99"/>
    <w:semiHidden/>
    <w:rsid w:val="0037541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13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85"/>
  </w:style>
  <w:style w:type="table" w:customStyle="1" w:styleId="TableGrid1">
    <w:name w:val="Table Grid1"/>
    <w:basedOn w:val="TableNormal"/>
    <w:next w:val="TableGrid"/>
    <w:uiPriority w:val="59"/>
    <w:rsid w:val="00C35E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79B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3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31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AF31A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99"/>
    <w:rsid w:val="00E70F23"/>
    <w:pPr>
      <w:spacing w:line="30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aliases w:val="body tx,bt,flush,indent,memo body text"/>
    <w:basedOn w:val="Normal"/>
    <w:link w:val="bodytextChar"/>
    <w:rsid w:val="00B45FD4"/>
    <w:pPr>
      <w:spacing w:after="240" w:line="360" w:lineRule="atLeast"/>
      <w:ind w:left="360" w:firstLine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link w:val="BodyText1"/>
    <w:rsid w:val="00B45FD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rsid w:val="00A551FD"/>
  </w:style>
  <w:style w:type="character" w:customStyle="1" w:styleId="msoins">
    <w:name w:val="msoins"/>
    <w:basedOn w:val="DefaultParagraphFont"/>
    <w:rsid w:val="00B5118F"/>
  </w:style>
  <w:style w:type="paragraph" w:customStyle="1" w:styleId="xmsolistparagraph">
    <w:name w:val="x_msolistparagraph"/>
    <w:basedOn w:val="Normal"/>
    <w:rsid w:val="00B5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gwe6@cdc.gov" TargetMode="External" /><Relationship Id="rId7" Type="http://schemas.openxmlformats.org/officeDocument/2006/relationships/hyperlink" Target="mailto:ekh2@cdc.gov" TargetMode="External" /><Relationship Id="rId8" Type="http://schemas.openxmlformats.org/officeDocument/2006/relationships/hyperlink" Target="mailto:dse4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E1D1-CF7D-4A33-BF96-3E2289D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Kaur, Harpriya (CDC/NIOSH/DART/OSHFB)</dc:creator>
  <cp:lastModifiedBy>Jacklitsch, Brenda (CDC/NIOSH/DSI/SSTRB)</cp:lastModifiedBy>
  <cp:revision>26</cp:revision>
  <dcterms:created xsi:type="dcterms:W3CDTF">2021-09-15T14:45:00Z</dcterms:created>
  <dcterms:modified xsi:type="dcterms:W3CDTF">2021-09-15T17:41:00Z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343db333-dfcb-4240-927c-3d7cb737fdcc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2021-03-01T20:39:03Z</vt:lpwstr>
  </property>
  <property fmtid="{D5CDD505-2E9C-101B-9397-08002B2CF9AE}" pid="8" name="MSIP_Label_7b94a7b8-f06c-4dfe-bdcc-9b548fd58c31_SiteId">
    <vt:lpwstr>9ce70869-60db-44fd-abe8-d2767077fc8f</vt:lpwstr>
  </property>
</Properties>
</file>