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23603" w14:paraId="0D24DFDC" w14:textId="77777777">
      <w:pPr>
        <w:pBdr>
          <w:bottom w:val="single" w:sz="12" w:space="1" w:color="898D8D"/>
        </w:pBdr>
        <w:tabs>
          <w:tab w:val="center" w:pos="4507"/>
          <w:tab w:val="right" w:pos="9000"/>
        </w:tabs>
        <w:spacing w:after="180" w:line="264" w:lineRule="auto"/>
        <w:jc w:val="center"/>
        <w:rPr>
          <w:rFonts w:ascii="Times New Roman" w:eastAsia="Times New Roman" w:hAnsi="Times New Roman" w:cs="Times New Roman"/>
          <w:b/>
          <w:color w:val="595959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595959"/>
          <w:sz w:val="24"/>
          <w:szCs w:val="24"/>
        </w:rPr>
        <w:t xml:space="preserve">Attachment 4: FA I&amp;D Messages for Testing                                          </w:t>
      </w:r>
    </w:p>
    <w:p w:rsidR="00123603" w14:paraId="5AACA1E2" w14:textId="77777777">
      <w:pPr>
        <w:pBdr>
          <w:bottom w:val="single" w:sz="12" w:space="1" w:color="898D8D"/>
        </w:pBdr>
        <w:tabs>
          <w:tab w:val="center" w:pos="4507"/>
          <w:tab w:val="right" w:pos="9000"/>
        </w:tabs>
        <w:spacing w:after="180" w:line="264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95959"/>
          <w:sz w:val="24"/>
          <w:szCs w:val="24"/>
        </w:rPr>
        <w:t>OMB Control No. 0920-1154</w:t>
      </w:r>
    </w:p>
    <w:p w:rsidR="00123603" w14:paraId="2BCB4653" w14:textId="77777777">
      <w:pPr>
        <w:pBdr>
          <w:bottom w:val="single" w:sz="12" w:space="1" w:color="898D8D"/>
        </w:pBdr>
        <w:tabs>
          <w:tab w:val="center" w:pos="4507"/>
          <w:tab w:val="right" w:pos="9000"/>
        </w:tabs>
        <w:spacing w:after="18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95959"/>
          <w:sz w:val="24"/>
          <w:szCs w:val="24"/>
        </w:rPr>
        <w:t>Exp. Date 3/31/2026</w:t>
      </w:r>
    </w:p>
    <w:p w:rsidR="00123603" w14:paraId="3055B538" w14:textId="77777777">
      <w:pPr>
        <w:pStyle w:val="Title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Firearm Injury and Death (FA I&amp;D) Messages for Testing</w:t>
      </w:r>
    </w:p>
    <w:p w:rsidR="00123603" w14:paraId="3B557941" w14:textId="77777777">
      <w:pPr>
        <w:pStyle w:val="Heading1"/>
        <w:rPr>
          <w:rFonts w:ascii="Times New Roman" w:eastAsia="Times New Roman" w:hAnsi="Times New Roman" w:cs="Times New Roman"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>FA I&amp;D Messages</w:t>
      </w:r>
    </w:p>
    <w:p w:rsidR="00123603" w14:paraId="59198ABA" w14:textId="77777777">
      <w:pPr>
        <w:pStyle w:val="Heading2"/>
        <w:rPr>
          <w:rFonts w:ascii="Times New Roman" w:eastAsia="Times New Roman" w:hAnsi="Times New Roman" w:cs="Times New Roman"/>
          <w:color w:val="000000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  <w:b/>
          <w:i w:val="0"/>
          <w:color w:val="000000"/>
        </w:rPr>
        <w:t xml:space="preserve">Big idea 1: </w:t>
      </w:r>
      <w:r>
        <w:rPr>
          <w:rFonts w:ascii="Times New Roman" w:eastAsia="Times New Roman" w:hAnsi="Times New Roman" w:cs="Times New Roman"/>
          <w:color w:val="000000"/>
        </w:rPr>
        <w:t>We all want and deserve healthy and safe communities, but firearm violence threatens our health and safety, and it harms some groups (those with risk factors) more than others.</w:t>
      </w:r>
    </w:p>
    <w:p w:rsidR="00123603" w:rsidRPr="00EC7B81" w:rsidP="00EC7B81" w14:paraId="43EBF2C9" w14:textId="77777777">
      <w:pPr>
        <w:spacing w:after="200"/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These are some messages we’ll test for big idea 1:</w:t>
      </w:r>
    </w:p>
    <w:p w:rsidR="00123603" w:rsidP="00EC7B81" w14:paraId="4DCDF477" w14:textId="77777777">
      <w:pPr>
        <w:numPr>
          <w:ilvl w:val="0"/>
          <w:numId w:val="2"/>
        </w:num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Main message: You see yourself in a community with safe schools, parks, and streets, but firearm violence threatens that vision. </w:t>
      </w:r>
    </w:p>
    <w:p w:rsidR="00123603" w14:paraId="71286533" w14:textId="77777777">
      <w:pPr>
        <w:numPr>
          <w:ilvl w:val="2"/>
          <w:numId w:val="2"/>
        </w:num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 want to lead a healthy and safe life, but for many of us, gun violence gets in the way.</w:t>
      </w:r>
    </w:p>
    <w:p w:rsidR="00123603" w14:paraId="35BF4BEA" w14:textId="77777777">
      <w:pPr>
        <w:numPr>
          <w:ilvl w:val="2"/>
          <w:numId w:val="2"/>
        </w:num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Firearm-related deaths—both accidental and intentional—put your vision for a safe and healthy community at risk.</w:t>
      </w:r>
    </w:p>
    <w:p w:rsidR="00123603" w14:paraId="06D0298D" w14:textId="77777777">
      <w:pPr>
        <w:numPr>
          <w:ilvl w:val="2"/>
          <w:numId w:val="2"/>
        </w:numPr>
        <w:spacing w:after="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 and your neighbors have a right to lead a safe and healthy life, but if someone gets shot in your community, we’re all less safe.</w:t>
      </w:r>
    </w:p>
    <w:p w:rsidR="00123603" w14:paraId="7AD6BC05" w14:textId="77777777">
      <w:pPr>
        <w:numPr>
          <w:ilvl w:val="2"/>
          <w:numId w:val="2"/>
        </w:numPr>
        <w:spacing w:after="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Alt. You and your neighbors have a right to lead a safe and healthy life, but if someone gets shot in your neighborhood, you’re all less safe.</w:t>
      </w:r>
    </w:p>
    <w:p w:rsidR="00123603" w14:paraId="1AF7F5B1" w14:textId="77777777">
      <w:pPr>
        <w:numPr>
          <w:ilvl w:val="1"/>
          <w:numId w:val="2"/>
        </w:num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Supporting message: And our young people overwhelmingly bear the brunt of this threat.</w:t>
      </w:r>
    </w:p>
    <w:p w:rsidR="00123603" w14:paraId="3599541A" w14:textId="77777777">
      <w:pPr>
        <w:numPr>
          <w:ilvl w:val="2"/>
          <w:numId w:val="2"/>
        </w:num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 young people suffer more than any other group.</w:t>
      </w:r>
    </w:p>
    <w:p w:rsidR="00123603" w14:paraId="563C4A40" w14:textId="77777777">
      <w:pPr>
        <w:numPr>
          <w:ilvl w:val="2"/>
          <w:numId w:val="2"/>
        </w:num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 young people suffer more often than most anyone else.</w:t>
      </w:r>
    </w:p>
    <w:p w:rsidR="00123603" w14:paraId="61F96D2A" w14:textId="77777777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noProof/>
        </w:rPr>
        <w:pict>
          <v:rect id="_x0000_i1025" style="width:468pt;height:0.05pt;mso-height-percent:0;mso-width-percent:0" o:hralign="center" o:hrstd="t" o:hr="t" fillcolor="#a0a0a0" stroked="f"/>
        </w:pict>
      </w:r>
    </w:p>
    <w:p w:rsidR="00123603" w14:paraId="38DDBE06" w14:textId="77777777">
      <w:pPr>
        <w:pStyle w:val="Heading2"/>
        <w:rPr>
          <w:rFonts w:ascii="Times New Roman" w:eastAsia="Times New Roman" w:hAnsi="Times New Roman" w:cs="Times New Roman"/>
          <w:color w:val="000000"/>
        </w:rPr>
      </w:pPr>
      <w:bookmarkStart w:id="4" w:name="_tyjcwt" w:colFirst="0" w:colLast="0"/>
      <w:bookmarkEnd w:id="4"/>
      <w:r>
        <w:rPr>
          <w:rFonts w:ascii="Times New Roman" w:eastAsia="Times New Roman" w:hAnsi="Times New Roman" w:cs="Times New Roman"/>
          <w:b/>
          <w:i w:val="0"/>
          <w:color w:val="000000"/>
        </w:rPr>
        <w:t xml:space="preserve">Big idea 2:  </w:t>
      </w:r>
      <w:hyperlink w:anchor="_tyjcwt">
        <w:r>
          <w:rPr>
            <w:rFonts w:ascii="Times New Roman" w:eastAsia="Times New Roman" w:hAnsi="Times New Roman" w:cs="Times New Roman"/>
            <w:color w:val="000000"/>
          </w:rPr>
          <w:t>Firearm injury and death is a preventable public health problem; it’s not inevitable.</w:t>
        </w:r>
      </w:hyperlink>
    </w:p>
    <w:p w:rsidR="00123603" w:rsidRPr="00EC7B81" w:rsidP="00EC7B81" w14:paraId="2DCFB6E2" w14:textId="77777777">
      <w:pPr>
        <w:spacing w:after="200"/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These are some messages we’ll test for big idea 2:</w:t>
      </w:r>
    </w:p>
    <w:p w:rsidR="00123603" w:rsidP="00EC7B81" w14:paraId="14A7D99D" w14:textId="77777777">
      <w:pPr>
        <w:numPr>
          <w:ilvl w:val="0"/>
          <w:numId w:val="2"/>
        </w:num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Main message: We can prevent firearm injury and death. It’s not inevitable.</w:t>
      </w:r>
    </w:p>
    <w:p w:rsidR="00123603" w14:paraId="065429E4" w14:textId="77777777">
      <w:pPr>
        <w:numPr>
          <w:ilvl w:val="2"/>
          <w:numId w:val="2"/>
        </w:numPr>
        <w:spacing w:after="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 can help prevent gun-related injury and death instead of just feeling overwhelmed and hopeless.</w:t>
      </w:r>
    </w:p>
    <w:p w:rsidR="00123603" w14:paraId="65D7B8BD" w14:textId="77777777">
      <w:pPr>
        <w:numPr>
          <w:ilvl w:val="2"/>
          <w:numId w:val="2"/>
        </w:num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 don’t have to sit back and wait for gun injuries and deaths to happen—together, we can actually prevent them.</w:t>
      </w:r>
    </w:p>
    <w:p w:rsidR="00123603" w14:paraId="1FD70B3F" w14:textId="77777777">
      <w:pPr>
        <w:numPr>
          <w:ilvl w:val="2"/>
          <w:numId w:val="2"/>
        </w:numPr>
        <w:spacing w:after="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Solutions do exist! There are proven ways to make shootings, suicides, and unintentional gun injuries less likely to happen in our neighborhoods.</w:t>
      </w:r>
    </w:p>
    <w:p w:rsidR="00123603" w14:paraId="17D72889" w14:textId="77777777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noProof/>
        </w:rPr>
        <w:pict>
          <v:rect id="_x0000_i1026" style="width:468pt;height:0.05pt;mso-height-percent:0;mso-width-percent:0" o:hralign="center" o:hrstd="t" o:hr="t" fillcolor="#a0a0a0" stroked="f"/>
        </w:pict>
      </w:r>
    </w:p>
    <w:p w:rsidR="00123603" w14:paraId="343ACF89" w14:textId="77777777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23603" w14:paraId="4F388459" w14:textId="77777777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Big idea 3: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can take concrete, evidence-based actions (ameliorate risk factors and strengthen protective factors) to prevent firearm I&amp;D and mitigate the degree to which it threatens our health.</w:t>
      </w:r>
    </w:p>
    <w:p w:rsidR="00123603" w:rsidRPr="00EC7B81" w:rsidP="00EC7B81" w14:paraId="463A3268" w14:textId="77777777">
      <w:pPr>
        <w:spacing w:after="200"/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These are some messages we’ll test for big idea 3:</w:t>
      </w:r>
    </w:p>
    <w:p w:rsidR="00123603" w:rsidP="00EC7B81" w14:paraId="41ACA516" w14:textId="77777777">
      <w:pPr>
        <w:numPr>
          <w:ilvl w:val="0"/>
          <w:numId w:val="2"/>
        </w:num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Main message: Let’s be proactive. Prevent firearm injury and death by taking simple actions that are proven to work.</w:t>
      </w:r>
    </w:p>
    <w:p w:rsidR="00123603" w14:paraId="174606A6" w14:textId="77777777">
      <w:pPr>
        <w:numPr>
          <w:ilvl w:val="2"/>
          <w:numId w:val="2"/>
        </w:num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 doesn’t have to be this way—let’s take actions that are proven to prevent shootings, suicides, and gun-related accidents.</w:t>
      </w:r>
    </w:p>
    <w:p w:rsidR="00123603" w14:paraId="7479D6FB" w14:textId="77777777">
      <w:pPr>
        <w:numPr>
          <w:ilvl w:val="2"/>
          <w:numId w:val="2"/>
        </w:num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 know what works to prevent gun-related injuries and accidents from happening, and we can do it.</w:t>
      </w:r>
    </w:p>
    <w:p w:rsidR="00123603" w14:paraId="013962BC" w14:textId="77777777">
      <w:pPr>
        <w:numPr>
          <w:ilvl w:val="2"/>
          <w:numId w:val="2"/>
        </w:numPr>
        <w:spacing w:after="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 know what works to prevent people from getting injured with a gun, and we can do it.</w:t>
      </w:r>
    </w:p>
    <w:p w:rsidR="00123603" w14:paraId="118D6A0A" w14:textId="77777777">
      <w:pPr>
        <w:numPr>
          <w:ilvl w:val="1"/>
          <w:numId w:val="2"/>
        </w:num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Sample calls to action (CTAs):</w:t>
      </w:r>
    </w:p>
    <w:tbl>
      <w:tblPr>
        <w:tblStyle w:val="a"/>
        <w:tblW w:w="8625" w:type="dxa"/>
        <w:tblInd w:w="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95"/>
        <w:gridCol w:w="2070"/>
        <w:gridCol w:w="4860"/>
      </w:tblGrid>
      <w:tr w14:paraId="3BD9C624" w14:textId="77777777">
        <w:tblPrEx>
          <w:tblW w:w="8625" w:type="dxa"/>
          <w:tblInd w:w="75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blHeader/>
        </w:trPr>
        <w:tc>
          <w:tcPr>
            <w:tcW w:w="16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603" w14:paraId="7929CD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Audience</w:t>
            </w:r>
          </w:p>
        </w:tc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603" w14:paraId="53C785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Desired action</w:t>
            </w:r>
          </w:p>
        </w:tc>
        <w:tc>
          <w:tcPr>
            <w:tcW w:w="48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603" w14:paraId="2864BE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CTAs to test (not an exhaustive list of all CTAs possible within final messages)</w:t>
            </w:r>
          </w:p>
        </w:tc>
      </w:tr>
      <w:tr w14:paraId="3FDE1F43" w14:textId="77777777">
        <w:tblPrEx>
          <w:tblW w:w="8625" w:type="dxa"/>
          <w:tblInd w:w="750" w:type="dxa"/>
          <w:tblLayout w:type="fixed"/>
          <w:tblLook w:val="0600"/>
        </w:tblPrEx>
        <w:tc>
          <w:tcPr>
            <w:tcW w:w="16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603" w14:paraId="2C9319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General public</w:t>
            </w:r>
          </w:p>
        </w:tc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603" w14:paraId="223827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Learn more about prevention and how it is linked to SDOH     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603" w14:paraId="5F441D40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1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Visit [website] to learn more about preventing gun violence.</w:t>
            </w:r>
          </w:p>
          <w:p w:rsidR="00123603" w14:paraId="5322FEA9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1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Learn about how to prevent gun violence at [website].</w:t>
            </w:r>
          </w:p>
          <w:p w:rsidR="00123603" w14:paraId="00906E25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1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You might be surprised to learn that “greening” initiatives such as building parks and other outdoor spaces can help prevent gun violence.</w:t>
            </w:r>
          </w:p>
        </w:tc>
      </w:tr>
      <w:tr w14:paraId="4A6ACF97" w14:textId="77777777">
        <w:tblPrEx>
          <w:tblW w:w="8625" w:type="dxa"/>
          <w:tblInd w:w="750" w:type="dxa"/>
          <w:tblLayout w:type="fixed"/>
          <w:tblLook w:val="0600"/>
        </w:tblPrEx>
        <w:tc>
          <w:tcPr>
            <w:tcW w:w="16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603" w14:paraId="476232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Policymakers or policy influencers</w:t>
            </w:r>
          </w:p>
        </w:tc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603" w14:paraId="1D3519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Support greening, economic, and youth-based interventions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603" w14:paraId="191E1DCE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Clean up vacant lots or buildings to create fewer places and opportunities for gun violence.</w:t>
            </w:r>
          </w:p>
          <w:p w:rsidR="00123603" w14:paraId="336A3730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Consider policies that enhance individual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and family financial security that can help reduce gun violence.</w:t>
            </w:r>
          </w:p>
          <w:p w:rsidR="00123603" w14:paraId="0CD3EDA1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Connect young people to mentors to help communities cope with and prevent gun violence.</w:t>
            </w:r>
          </w:p>
          <w:p w:rsidR="00123603" w14:paraId="394FEE04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Connect young people who are most at risk with outreach workers and services to reduce trauma and avoid future violence.</w:t>
            </w:r>
          </w:p>
        </w:tc>
      </w:tr>
      <w:tr w14:paraId="78027C4A" w14:textId="77777777">
        <w:tblPrEx>
          <w:tblW w:w="8625" w:type="dxa"/>
          <w:tblInd w:w="750" w:type="dxa"/>
          <w:tblLayout w:type="fixed"/>
          <w:tblLook w:val="0600"/>
        </w:tblPrEx>
        <w:tc>
          <w:tcPr>
            <w:tcW w:w="16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603" w14:paraId="7EAAC0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Partner orgs with niche reach, e.g., shooting clubs</w:t>
            </w:r>
          </w:p>
        </w:tc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603" w14:paraId="779F37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Promoting and practicing safe storage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603" w14:paraId="3217EC84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You are careful enough to secure your firearms, and making sure your neighbors are doing the same will help make your whole community safer.</w:t>
            </w:r>
          </w:p>
          <w:p w:rsidR="00123603" w14:paraId="5AD96270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Secure all your guns to help prevent one of the most common types of firearm death among young people—suicide.</w:t>
            </w:r>
          </w:p>
          <w:p w:rsidR="00123603" w14:paraId="60A23E66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Secure your guns to help prevent one of the most common types of firearm death among young people—suicide.</w:t>
            </w:r>
          </w:p>
          <w:p w:rsidR="00123603" w14:paraId="4B40B57B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Keep all your guns stored securely to prevent young people and others from using your gun without your knowledge.</w:t>
            </w:r>
          </w:p>
          <w:p w:rsidR="00123603" w14:paraId="0C7F1524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Keep your guns stored safely to prevent young people and others from using your gun without your knowledge.</w:t>
            </w:r>
          </w:p>
          <w:p w:rsidR="00123603" w14:paraId="025AB74F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Store guns safely to prevent young people and others from using your gun without your knowledge.</w:t>
            </w:r>
          </w:p>
          <w:p w:rsidR="00123603" w14:paraId="6D371223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Discuss secure gun storage with other parents before your kids play together for the first time.</w:t>
            </w:r>
          </w:p>
          <w:p w:rsidR="00123603" w14:paraId="74BFAAA5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Discuss safe gun storage with other parents before your kids play together for the first time.</w:t>
            </w:r>
          </w:p>
        </w:tc>
      </w:tr>
    </w:tbl>
    <w:p w:rsidR="00123603" w14:paraId="126728EF" w14:textId="77777777">
      <w:pPr>
        <w:spacing w:after="20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sectPr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3603" w14:paraId="77236D7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3603" w14:paraId="321B4CBF" w14:textId="77777777">
    <w:pPr>
      <w:rPr>
        <w:color w:val="D34526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3603" w14:paraId="4D68D61F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3603" w14:paraId="78749780" w14:textId="77777777">
    <w:pPr>
      <w:spacing w:line="240" w:lineRule="auto"/>
      <w:jc w:val="right"/>
      <w:rPr>
        <w:b/>
        <w:sz w:val="18"/>
        <w:szCs w:val="18"/>
      </w:rPr>
    </w:pPr>
    <w:r>
      <w:rPr>
        <w:sz w:val="18"/>
        <w:szCs w:val="18"/>
      </w:rPr>
      <w:t>Firearms Messaging &amp; Asset Development</w:t>
    </w:r>
  </w:p>
  <w:p w:rsidR="00123603" w14:paraId="2BE4FE8A" w14:textId="7777777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3603" w14:paraId="52C9CDB3" w14:textId="77777777">
    <w:pPr>
      <w:spacing w:line="240" w:lineRule="auto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E93934"/>
    <w:multiLevelType w:val="multilevel"/>
    <w:tmpl w:val="73CE136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Arial" w:hAnsi="Times New Roman" w:cs="Times New Roman" w:hint="default"/>
        <w:b w:val="0"/>
        <w:bCs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15B619F3"/>
    <w:multiLevelType w:val="multilevel"/>
    <w:tmpl w:val="8668D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76C21E9"/>
    <w:multiLevelType w:val="multilevel"/>
    <w:tmpl w:val="4E7C8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2963255">
    <w:abstractNumId w:val="1"/>
  </w:num>
  <w:num w:numId="2" w16cid:durableId="1627276476">
    <w:abstractNumId w:val="0"/>
  </w:num>
  <w:num w:numId="3" w16cid:durableId="1215585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03"/>
    <w:rsid w:val="00123603"/>
    <w:rsid w:val="001C2441"/>
    <w:rsid w:val="003410A9"/>
    <w:rsid w:val="00846DFD"/>
    <w:rsid w:val="009661CC"/>
    <w:rsid w:val="00D928B9"/>
    <w:rsid w:val="00EC7B8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53CE16"/>
  <w15:docId w15:val="{5AF2EEC1-68AF-3041-8B61-B2AFD183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color w:val="434343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200" w:line="240" w:lineRule="auto"/>
      <w:outlineLvl w:val="1"/>
    </w:pPr>
    <w:rPr>
      <w:i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720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720"/>
      <w:outlineLvl w:val="3"/>
    </w:pPr>
    <w:rPr>
      <w:i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300" w:after="60"/>
    </w:pPr>
    <w:rPr>
      <w:b/>
      <w:color w:val="D34526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00" w:after="60"/>
    </w:pPr>
    <w:rPr>
      <w:color w:val="D34526"/>
      <w:sz w:val="32"/>
      <w:szCs w:val="32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Dills, Jennifer (CDC/NCIPC/DVP)</dc:creator>
  <cp:lastModifiedBy>Dills, Jennifer (CDC/NCIPC/DVP)</cp:lastModifiedBy>
  <cp:revision>2</cp:revision>
  <dcterms:created xsi:type="dcterms:W3CDTF">2023-11-01T12:09:00Z</dcterms:created>
  <dcterms:modified xsi:type="dcterms:W3CDTF">2023-11-01T12:09:00Z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fae3f859-946f-4b4c-bde4-884ce50a3cbb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2023-11-01T12:08:36Z</vt:lpwstr>
  </property>
  <property fmtid="{D5CDD505-2E9C-101B-9397-08002B2CF9AE}" pid="8" name="MSIP_Label_7b94a7b8-f06c-4dfe-bdcc-9b548fd58c31_SiteId">
    <vt:lpwstr>9ce70869-60db-44fd-abe8-d2767077fc8f</vt:lpwstr>
  </property>
</Properties>
</file>