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AB5DAFC"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2D9EE185"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B372FB">
        <w:rPr>
          <w:rFonts w:ascii="Arial" w:hAnsi="Arial" w:cs="Arial"/>
          <w:b/>
          <w:sz w:val="24"/>
          <w:szCs w:val="24"/>
        </w:rPr>
        <w:t>0920-</w:t>
      </w:r>
      <w:r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A73DA9" w:rsidP="00CA05DF" w14:paraId="0610D448" w14:textId="40C9EA88">
      <w:pPr>
        <w:rPr>
          <w:rFonts w:ascii="Arial" w:eastAsia="Calibri" w:hAnsi="Arial" w:cs="Arial"/>
        </w:rPr>
      </w:pPr>
      <w:r w:rsidRPr="00A73DA9">
        <w:rPr>
          <w:rFonts w:ascii="Arial" w:hAnsi="Arial"/>
          <w:b/>
        </w:rPr>
        <w:t xml:space="preserve">CIO: </w:t>
      </w:r>
      <w:r w:rsidRPr="00A73DA9">
        <w:rPr>
          <w:rFonts w:ascii="Arial" w:eastAsia="Calibri" w:hAnsi="Arial" w:cs="Arial"/>
        </w:rPr>
        <w:t>National Center for Emerging and Zoonotic Infectious Diseases</w:t>
      </w:r>
    </w:p>
    <w:p w:rsidR="00CA05DF" w:rsidP="00840FCA" w14:paraId="63002443" w14:textId="7D7928E2">
      <w:pPr>
        <w:rPr>
          <w:rFonts w:ascii="Arial" w:hAnsi="Arial"/>
        </w:rPr>
      </w:pPr>
      <w:r>
        <w:rPr>
          <w:rFonts w:ascii="Arial" w:hAnsi="Arial"/>
          <w:b/>
        </w:rPr>
        <w:t>PROJECT TITLE:</w:t>
      </w:r>
      <w:r w:rsidRPr="00B372FB" w:rsidR="00B46F2C">
        <w:rPr>
          <w:rFonts w:ascii="Arial" w:hAnsi="Arial"/>
        </w:rPr>
        <w:t xml:space="preserve"> </w:t>
      </w:r>
      <w:r w:rsidRPr="00236666" w:rsidR="00236666">
        <w:rPr>
          <w:rFonts w:ascii="Arial" w:hAnsi="Arial"/>
        </w:rPr>
        <w:t>Formative Research on Antimicrobial Resistance Among Human Health Providers, Consumers, and Policy Influencers</w:t>
      </w:r>
    </w:p>
    <w:p w:rsidR="00916F8C" w:rsidRPr="00916F8C" w:rsidP="00840FCA" w14:paraId="37C4003C" w14:textId="15E6C4D4">
      <w:pPr>
        <w:rPr>
          <w:rFonts w:ascii="Arial" w:hAnsi="Arial" w:cs="Arial"/>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5927D6" w:rsidR="005927D6">
        <w:rPr>
          <w:rFonts w:ascii="Arial" w:hAnsi="Arial" w:cs="Arial"/>
        </w:rPr>
        <w:t xml:space="preserve"> </w:t>
      </w:r>
      <w:r w:rsidR="005927D6">
        <w:rPr>
          <w:rFonts w:ascii="Arial" w:hAnsi="Arial" w:cs="Arial"/>
        </w:rPr>
        <w:t xml:space="preserve">The Centers for Disease Control and Prevention (CDC) is requesting approval for a new generic information collection (gen-IC). The goal of this evaluation </w:t>
      </w:r>
      <w:r>
        <w:rPr>
          <w:rFonts w:ascii="Arial" w:hAnsi="Arial" w:cs="Arial"/>
        </w:rPr>
        <w:t xml:space="preserve">is </w:t>
      </w:r>
      <w:r w:rsidR="005927D6">
        <w:rPr>
          <w:rFonts w:ascii="Arial" w:hAnsi="Arial" w:cs="Arial"/>
        </w:rPr>
        <w:t xml:space="preserve">to </w:t>
      </w:r>
      <w:r w:rsidRPr="00916F8C">
        <w:rPr>
          <w:rFonts w:ascii="Arial" w:hAnsi="Arial" w:cs="Arial"/>
        </w:rPr>
        <w:t>explore the mindsets—including knowledge, attitudes, and behaviors—among select priority audiences about AR and associated actions to combat it. This research builds on existing formative research</w:t>
      </w:r>
      <w:r>
        <w:rPr>
          <w:rFonts w:ascii="Arial" w:hAnsi="Arial" w:cs="Arial"/>
        </w:rPr>
        <w:t xml:space="preserve"> </w:t>
      </w:r>
      <w:r w:rsidRPr="00916F8C">
        <w:rPr>
          <w:rFonts w:ascii="Arial" w:hAnsi="Arial" w:cs="Arial"/>
        </w:rPr>
        <w:t xml:space="preserve">to fill gaps and to explore potential messages and approaches to impacting relevant behaviors. This research </w:t>
      </w:r>
      <w:r w:rsidRPr="0001791A" w:rsidR="0001791A">
        <w:rPr>
          <w:rFonts w:ascii="Arial" w:hAnsi="Arial" w:cs="Arial"/>
        </w:rPr>
        <w:t>will be used to inform both CDC’s current AR communications as well as potential future communications efforts to increase awareness of AR and drive action to combat AR.</w:t>
      </w:r>
    </w:p>
    <w:p w:rsidR="00B46F2C" w:rsidP="002B378C" w14:paraId="7C11AC20" w14:textId="269EA7E6">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Pr="002B378C" w:rsidR="002B378C">
        <w:t xml:space="preserve"> </w:t>
      </w:r>
      <w:r w:rsidRPr="00916F8C" w:rsidR="00916F8C">
        <w:rPr>
          <w:rFonts w:ascii="Arial" w:hAnsi="Arial"/>
        </w:rPr>
        <w:t>There are three core audiences: human health providers</w:t>
      </w:r>
      <w:r w:rsidR="00473E60">
        <w:rPr>
          <w:rFonts w:ascii="Arial" w:hAnsi="Arial"/>
        </w:rPr>
        <w:t xml:space="preserve"> and experts</w:t>
      </w:r>
      <w:r w:rsidRPr="00916F8C" w:rsidR="00916F8C">
        <w:rPr>
          <w:rFonts w:ascii="Arial" w:hAnsi="Arial"/>
        </w:rPr>
        <w:t xml:space="preserve">, consumers, and </w:t>
      </w:r>
      <w:r w:rsidR="0001791A">
        <w:rPr>
          <w:rFonts w:ascii="Arial" w:hAnsi="Arial"/>
        </w:rPr>
        <w:t>i</w:t>
      </w:r>
      <w:r w:rsidRPr="0001791A" w:rsidR="0001791A">
        <w:rPr>
          <w:rFonts w:ascii="Arial" w:hAnsi="Arial"/>
        </w:rPr>
        <w:t>ndividuals working with and around those who shape federal health policy.</w:t>
      </w:r>
    </w:p>
    <w:p w:rsidR="002F2EF9" w:rsidP="008101A5" w14:paraId="4D054F9F"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Yes  [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is the information that will be collected included in records that are subject to the Privacy Act of 1974?   [  ]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If Applicable, has a System or Records Notice been published?  [  ]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Yes [  ] No</w:t>
      </w:r>
    </w:p>
    <w:p w:rsidR="005B0447" w:rsidP="00C86E91" w14:paraId="3CBD98EF" w14:textId="69F5D47D">
      <w:pPr>
        <w:rPr>
          <w:rFonts w:ascii="Arial" w:eastAsia="Times New Roman" w:hAnsi="Arial" w:cs="Arial"/>
        </w:rPr>
      </w:pPr>
      <w:r>
        <w:rPr>
          <w:rFonts w:ascii="Arial" w:eastAsia="Times New Roman" w:hAnsi="Arial" w:cs="Arial"/>
        </w:rPr>
        <w:t>Focus group</w:t>
      </w:r>
      <w:r w:rsidRPr="00630352">
        <w:rPr>
          <w:rFonts w:ascii="Arial" w:eastAsia="Times New Roman" w:hAnsi="Arial" w:cs="Arial"/>
        </w:rPr>
        <w:t xml:space="preserve"> </w:t>
      </w:r>
      <w:r w:rsidR="001D4B2B">
        <w:rPr>
          <w:rFonts w:ascii="Arial" w:eastAsia="Times New Roman" w:hAnsi="Arial" w:cs="Arial"/>
        </w:rPr>
        <w:t xml:space="preserve">and interview </w:t>
      </w:r>
      <w:r w:rsidRPr="00630352">
        <w:rPr>
          <w:rFonts w:ascii="Arial" w:eastAsia="Times New Roman" w:hAnsi="Arial" w:cs="Arial"/>
        </w:rPr>
        <w:t xml:space="preserve">participants will receive a monetary incentive </w:t>
      </w:r>
      <w:r w:rsidRPr="002B378C">
        <w:rPr>
          <w:rFonts w:ascii="Arial" w:eastAsia="Times New Roman" w:hAnsi="Arial" w:cs="Arial"/>
        </w:rPr>
        <w:t xml:space="preserve">of </w:t>
      </w:r>
      <w:r w:rsidRPr="001D4B2B">
        <w:rPr>
          <w:rFonts w:ascii="Arial" w:eastAsia="Times New Roman" w:hAnsi="Arial" w:cs="Arial"/>
        </w:rPr>
        <w:t>$75</w:t>
      </w:r>
      <w:r w:rsidRPr="002B378C">
        <w:rPr>
          <w:rFonts w:ascii="Arial" w:eastAsia="Times New Roman" w:hAnsi="Arial" w:cs="Arial"/>
        </w:rPr>
        <w:t xml:space="preserve"> for their participation. </w:t>
      </w:r>
      <w:r w:rsidRPr="001D4B2B" w:rsidR="001D4B2B">
        <w:rPr>
          <w:rFonts w:ascii="Arial" w:eastAsia="Times New Roman" w:hAnsi="Arial" w:cs="Arial"/>
        </w:rPr>
        <w:t xml:space="preserve">Survey respondents will </w:t>
      </w:r>
      <w:r w:rsidR="001D4B2B">
        <w:rPr>
          <w:rFonts w:ascii="Arial" w:eastAsia="Times New Roman" w:hAnsi="Arial" w:cs="Arial"/>
        </w:rPr>
        <w:t>also</w:t>
      </w:r>
      <w:r w:rsidRPr="001D4B2B" w:rsidR="001D4B2B">
        <w:rPr>
          <w:rFonts w:ascii="Arial" w:eastAsia="Times New Roman" w:hAnsi="Arial" w:cs="Arial"/>
        </w:rPr>
        <w:t xml:space="preserve"> be compensated for their willingness to participate in the data collection. Incentive amounts are determined based on a variety of factors including the time that a respondent will dedicate to the response, the difficulty of reaching a given profile of respondent, and the urgency of the response.</w:t>
      </w:r>
      <w:r w:rsidR="001D4B2B">
        <w:rPr>
          <w:rFonts w:ascii="Arial" w:eastAsia="Times New Roman" w:hAnsi="Arial" w:cs="Arial"/>
        </w:rPr>
        <w:t xml:space="preserve"> </w:t>
      </w:r>
      <w:r w:rsidRPr="002B378C">
        <w:rPr>
          <w:rFonts w:ascii="Arial" w:eastAsia="Times New Roman" w:hAnsi="Arial" w:cs="Arial"/>
        </w:rPr>
        <w:t>Such an incentive is a standard practice in the market research industry and helps to ensure efficient recruitment and ultimate participation among the qualified and scheduled</w:t>
      </w:r>
      <w:r w:rsidRPr="00630352">
        <w:rPr>
          <w:rFonts w:ascii="Arial" w:eastAsia="Times New Roman" w:hAnsi="Arial" w:cs="Arial"/>
        </w:rPr>
        <w:t xml:space="preserve"> participants.</w:t>
      </w:r>
      <w:r w:rsidR="001D4B2B">
        <w:rPr>
          <w:rFonts w:ascii="Arial" w:eastAsia="Times New Roman" w:hAnsi="Arial" w:cs="Arial"/>
        </w:rPr>
        <w:t xml:space="preserve"> </w:t>
      </w:r>
      <w:r w:rsidRPr="00630352">
        <w:rPr>
          <w:rFonts w:ascii="Arial" w:eastAsia="Times New Roman" w:hAnsi="Arial" w:cs="Arial"/>
        </w:rPr>
        <w:t>The incentive is also intended to offset the cost of personal or professional time taken to participate</w:t>
      </w:r>
      <w:r>
        <w:rPr>
          <w:rFonts w:ascii="Arial" w:eastAsia="Times New Roman" w:hAnsi="Arial" w:cs="Arial"/>
        </w:rPr>
        <w:t>.</w:t>
      </w:r>
    </w:p>
    <w:p w:rsidR="00A87422" w:rsidP="00C86E91" w14:paraId="4098B02F" w14:textId="77777777">
      <w:pPr>
        <w:rPr>
          <w:rFonts w:ascii="Arial" w:eastAsia="Times New Roman" w:hAnsi="Arial" w:cs="Arial"/>
        </w:rPr>
      </w:pPr>
    </w:p>
    <w:p w:rsidR="00571D12" w:rsidP="0001791A" w14:paraId="776D4D2C" w14:textId="5A624D38">
      <w:pPr>
        <w:rPr>
          <w:rFonts w:ascii="Arial" w:hAnsi="Arial"/>
        </w:rPr>
      </w:pPr>
      <w:r w:rsidRPr="00B372FB">
        <w:rPr>
          <w:rFonts w:ascii="Arial" w:hAnsi="Arial"/>
          <w:b/>
        </w:rPr>
        <w:t>BURDEN HOURS</w:t>
      </w:r>
      <w:r w:rsidRPr="00B372FB">
        <w:rPr>
          <w:rFonts w:ascii="Arial" w:hAnsi="Arial"/>
        </w:rPr>
        <w:t xml:space="preserve"> </w:t>
      </w:r>
    </w:p>
    <w:tbl>
      <w:tblPr>
        <w:tblStyle w:val="TableGrid1"/>
        <w:tblW w:w="10177" w:type="dxa"/>
        <w:tblLook w:val="04A0"/>
      </w:tblPr>
      <w:tblGrid>
        <w:gridCol w:w="2160"/>
        <w:gridCol w:w="2160"/>
        <w:gridCol w:w="1443"/>
        <w:gridCol w:w="1678"/>
        <w:gridCol w:w="1584"/>
        <w:gridCol w:w="1152"/>
      </w:tblGrid>
      <w:tr w14:paraId="32E3A259" w14:textId="77777777" w:rsidTr="006A6DA1">
        <w:tblPrEx>
          <w:tblW w:w="10177" w:type="dxa"/>
          <w:tblLook w:val="04A0"/>
        </w:tblPrEx>
        <w:tc>
          <w:tcPr>
            <w:tcW w:w="2160" w:type="dxa"/>
          </w:tcPr>
          <w:p w:rsidR="00B72480" w:rsidRPr="005C05D6" w:rsidP="006A6DA1" w14:paraId="0572082F" w14:textId="77777777">
            <w:pPr>
              <w:spacing w:after="160" w:line="259" w:lineRule="auto"/>
              <w:rPr>
                <w:sz w:val="21"/>
                <w:szCs w:val="21"/>
              </w:rPr>
            </w:pPr>
            <w:r w:rsidRPr="005C05D6">
              <w:rPr>
                <w:sz w:val="21"/>
                <w:szCs w:val="21"/>
              </w:rPr>
              <w:t>Form Name</w:t>
            </w:r>
          </w:p>
        </w:tc>
        <w:tc>
          <w:tcPr>
            <w:tcW w:w="2160" w:type="dxa"/>
          </w:tcPr>
          <w:p w:rsidR="00B72480" w:rsidRPr="005C05D6" w:rsidP="006A6DA1" w14:paraId="02B0A641" w14:textId="77777777">
            <w:pPr>
              <w:spacing w:after="160" w:line="259" w:lineRule="auto"/>
              <w:rPr>
                <w:sz w:val="21"/>
                <w:szCs w:val="21"/>
              </w:rPr>
            </w:pPr>
            <w:r w:rsidRPr="005C05D6">
              <w:rPr>
                <w:sz w:val="21"/>
                <w:szCs w:val="21"/>
              </w:rPr>
              <w:t xml:space="preserve">Type of Respondent </w:t>
            </w:r>
          </w:p>
        </w:tc>
        <w:tc>
          <w:tcPr>
            <w:tcW w:w="1443" w:type="dxa"/>
          </w:tcPr>
          <w:p w:rsidR="00B72480" w:rsidRPr="005C05D6" w:rsidP="006A6DA1" w14:paraId="4DE6C169" w14:textId="77777777">
            <w:pPr>
              <w:spacing w:after="160" w:line="259" w:lineRule="auto"/>
              <w:rPr>
                <w:sz w:val="21"/>
                <w:szCs w:val="21"/>
              </w:rPr>
            </w:pPr>
            <w:r w:rsidRPr="005C05D6">
              <w:rPr>
                <w:sz w:val="21"/>
                <w:szCs w:val="21"/>
              </w:rPr>
              <w:t>No. of Respondents</w:t>
            </w:r>
          </w:p>
        </w:tc>
        <w:tc>
          <w:tcPr>
            <w:tcW w:w="1678" w:type="dxa"/>
          </w:tcPr>
          <w:p w:rsidR="00B72480" w:rsidRPr="005C05D6" w:rsidP="006A6DA1" w14:paraId="2896C306" w14:textId="77777777">
            <w:pPr>
              <w:spacing w:after="160" w:line="259" w:lineRule="auto"/>
              <w:rPr>
                <w:sz w:val="21"/>
                <w:szCs w:val="21"/>
              </w:rPr>
            </w:pPr>
            <w:r w:rsidRPr="005C05D6">
              <w:rPr>
                <w:sz w:val="21"/>
                <w:szCs w:val="21"/>
              </w:rPr>
              <w:t>No. Responses per Respondent</w:t>
            </w:r>
          </w:p>
        </w:tc>
        <w:tc>
          <w:tcPr>
            <w:tcW w:w="1584" w:type="dxa"/>
          </w:tcPr>
          <w:p w:rsidR="00B72480" w:rsidRPr="005C05D6" w:rsidP="006A6DA1" w14:paraId="3AC47A8C" w14:textId="77777777">
            <w:pPr>
              <w:spacing w:after="160" w:line="259" w:lineRule="auto"/>
              <w:rPr>
                <w:sz w:val="21"/>
                <w:szCs w:val="21"/>
              </w:rPr>
            </w:pPr>
            <w:r w:rsidRPr="005C05D6">
              <w:rPr>
                <w:sz w:val="21"/>
                <w:szCs w:val="21"/>
              </w:rPr>
              <w:t>Avg. Burden per response (in hrs.)</w:t>
            </w:r>
          </w:p>
        </w:tc>
        <w:tc>
          <w:tcPr>
            <w:tcW w:w="1152" w:type="dxa"/>
          </w:tcPr>
          <w:p w:rsidR="00B72480" w:rsidRPr="005C05D6" w:rsidP="006A6DA1" w14:paraId="1E9E1DA2" w14:textId="77777777">
            <w:pPr>
              <w:spacing w:after="160" w:line="259" w:lineRule="auto"/>
              <w:rPr>
                <w:sz w:val="21"/>
                <w:szCs w:val="21"/>
              </w:rPr>
            </w:pPr>
            <w:r w:rsidRPr="005C05D6">
              <w:rPr>
                <w:sz w:val="21"/>
                <w:szCs w:val="21"/>
              </w:rPr>
              <w:t>Total Burden (in hrs.)</w:t>
            </w:r>
          </w:p>
        </w:tc>
      </w:tr>
      <w:tr w14:paraId="1C86D4D6" w14:textId="77777777" w:rsidTr="006A6DA1">
        <w:tblPrEx>
          <w:tblW w:w="10177" w:type="dxa"/>
          <w:tblLook w:val="04A0"/>
        </w:tblPrEx>
        <w:tc>
          <w:tcPr>
            <w:tcW w:w="2160" w:type="dxa"/>
            <w:vMerge w:val="restart"/>
          </w:tcPr>
          <w:p w:rsidR="00B72480" w:rsidRPr="005C05D6" w:rsidP="006A6DA1" w14:paraId="61D809A5" w14:textId="77777777">
            <w:pPr>
              <w:spacing w:line="276" w:lineRule="auto"/>
              <w:rPr>
                <w:rFonts w:eastAsia="Calibri"/>
                <w:sz w:val="21"/>
                <w:szCs w:val="21"/>
              </w:rPr>
            </w:pPr>
            <w:r w:rsidRPr="005C05D6">
              <w:rPr>
                <w:rFonts w:eastAsia="Calibri"/>
                <w:sz w:val="21"/>
                <w:szCs w:val="21"/>
              </w:rPr>
              <w:t xml:space="preserve">Focus Group Screener for Healthcare Providers </w:t>
            </w:r>
          </w:p>
          <w:p w:rsidR="00B72480" w:rsidRPr="005C05D6" w:rsidP="006A6DA1" w14:paraId="37F6EC90" w14:textId="77777777">
            <w:pPr>
              <w:spacing w:after="160" w:line="259" w:lineRule="auto"/>
              <w:rPr>
                <w:i/>
                <w:iCs/>
                <w:sz w:val="21"/>
                <w:szCs w:val="21"/>
              </w:rPr>
            </w:pPr>
          </w:p>
          <w:p w:rsidR="00B72480" w:rsidRPr="005C05D6" w:rsidP="006A6DA1" w14:paraId="16DE2030" w14:textId="77777777">
            <w:pPr>
              <w:spacing w:after="160" w:line="259" w:lineRule="auto"/>
              <w:rPr>
                <w:i/>
                <w:iCs/>
                <w:sz w:val="21"/>
                <w:szCs w:val="21"/>
              </w:rPr>
            </w:pPr>
            <w:r w:rsidRPr="005C05D6">
              <w:rPr>
                <w:i/>
                <w:iCs/>
                <w:sz w:val="21"/>
                <w:szCs w:val="21"/>
              </w:rPr>
              <w:t>Attachment 1</w:t>
            </w:r>
          </w:p>
        </w:tc>
        <w:tc>
          <w:tcPr>
            <w:tcW w:w="2160" w:type="dxa"/>
          </w:tcPr>
          <w:p w:rsidR="00B72480" w:rsidRPr="005C05D6" w:rsidP="006A6DA1" w14:paraId="62859D0A" w14:textId="77777777">
            <w:pPr>
              <w:spacing w:line="276" w:lineRule="auto"/>
              <w:rPr>
                <w:rFonts w:eastAsia="Calibri"/>
                <w:sz w:val="21"/>
                <w:szCs w:val="21"/>
              </w:rPr>
            </w:pPr>
            <w:r w:rsidRPr="005C05D6">
              <w:rPr>
                <w:rFonts w:eastAsia="Calibri"/>
                <w:sz w:val="21"/>
                <w:szCs w:val="21"/>
              </w:rPr>
              <w:t>Physicians</w:t>
            </w:r>
          </w:p>
          <w:p w:rsidR="00B72480" w:rsidRPr="005C05D6" w:rsidP="006A6DA1" w14:paraId="3AE66D0A" w14:textId="77777777">
            <w:pPr>
              <w:spacing w:after="160" w:line="259" w:lineRule="auto"/>
              <w:rPr>
                <w:sz w:val="21"/>
                <w:szCs w:val="21"/>
              </w:rPr>
            </w:pPr>
          </w:p>
        </w:tc>
        <w:tc>
          <w:tcPr>
            <w:tcW w:w="1443" w:type="dxa"/>
          </w:tcPr>
          <w:p w:rsidR="00B72480" w:rsidRPr="005C05D6" w:rsidP="006A6DA1" w14:paraId="34F1DB65" w14:textId="77777777">
            <w:pPr>
              <w:spacing w:after="160" w:line="259" w:lineRule="auto"/>
              <w:rPr>
                <w:sz w:val="21"/>
                <w:szCs w:val="21"/>
              </w:rPr>
            </w:pPr>
            <w:r w:rsidRPr="005C05D6">
              <w:rPr>
                <w:sz w:val="21"/>
                <w:szCs w:val="21"/>
              </w:rPr>
              <w:t>160</w:t>
            </w:r>
          </w:p>
        </w:tc>
        <w:tc>
          <w:tcPr>
            <w:tcW w:w="1678" w:type="dxa"/>
          </w:tcPr>
          <w:p w:rsidR="00B72480" w:rsidRPr="005C05D6" w:rsidP="006A6DA1" w14:paraId="3D7A8576" w14:textId="77777777">
            <w:pPr>
              <w:spacing w:after="160" w:line="259" w:lineRule="auto"/>
              <w:rPr>
                <w:sz w:val="21"/>
                <w:szCs w:val="21"/>
              </w:rPr>
            </w:pPr>
            <w:r w:rsidRPr="005C05D6">
              <w:rPr>
                <w:sz w:val="21"/>
                <w:szCs w:val="21"/>
              </w:rPr>
              <w:t>1</w:t>
            </w:r>
          </w:p>
        </w:tc>
        <w:tc>
          <w:tcPr>
            <w:tcW w:w="1584" w:type="dxa"/>
          </w:tcPr>
          <w:p w:rsidR="00B72480" w:rsidRPr="005C05D6" w:rsidP="006A6DA1" w14:paraId="205EDC8E" w14:textId="77777777">
            <w:pPr>
              <w:spacing w:after="160" w:line="259" w:lineRule="auto"/>
              <w:rPr>
                <w:sz w:val="21"/>
                <w:szCs w:val="21"/>
              </w:rPr>
            </w:pPr>
            <w:r w:rsidRPr="005C05D6">
              <w:rPr>
                <w:sz w:val="21"/>
                <w:szCs w:val="21"/>
              </w:rPr>
              <w:t>5/60</w:t>
            </w:r>
          </w:p>
        </w:tc>
        <w:tc>
          <w:tcPr>
            <w:tcW w:w="1152" w:type="dxa"/>
          </w:tcPr>
          <w:p w:rsidR="00B72480" w:rsidRPr="005C05D6" w:rsidP="006A6DA1" w14:paraId="72400182" w14:textId="77777777">
            <w:pPr>
              <w:spacing w:after="160" w:line="259" w:lineRule="auto"/>
              <w:rPr>
                <w:sz w:val="21"/>
                <w:szCs w:val="21"/>
              </w:rPr>
            </w:pPr>
            <w:r w:rsidRPr="005C05D6">
              <w:rPr>
                <w:sz w:val="21"/>
                <w:szCs w:val="21"/>
              </w:rPr>
              <w:t>13</w:t>
            </w:r>
          </w:p>
        </w:tc>
      </w:tr>
      <w:tr w14:paraId="0024CE0C" w14:textId="77777777" w:rsidTr="006A6DA1">
        <w:tblPrEx>
          <w:tblW w:w="10177" w:type="dxa"/>
          <w:tblLook w:val="04A0"/>
        </w:tblPrEx>
        <w:tc>
          <w:tcPr>
            <w:tcW w:w="2160" w:type="dxa"/>
            <w:vMerge/>
          </w:tcPr>
          <w:p w:rsidR="00B72480" w:rsidRPr="005C05D6" w:rsidP="006A6DA1" w14:paraId="7B9FCBE9" w14:textId="77777777">
            <w:pPr>
              <w:spacing w:after="160" w:line="259" w:lineRule="auto"/>
              <w:rPr>
                <w:sz w:val="21"/>
                <w:szCs w:val="21"/>
              </w:rPr>
            </w:pPr>
          </w:p>
        </w:tc>
        <w:tc>
          <w:tcPr>
            <w:tcW w:w="2160" w:type="dxa"/>
          </w:tcPr>
          <w:p w:rsidR="00B72480" w:rsidRPr="005C05D6" w:rsidP="006A6DA1" w14:paraId="3C5EB65C" w14:textId="77777777">
            <w:pPr>
              <w:spacing w:line="276" w:lineRule="auto"/>
              <w:rPr>
                <w:rFonts w:eastAsia="Calibri"/>
                <w:sz w:val="21"/>
                <w:szCs w:val="21"/>
              </w:rPr>
            </w:pPr>
            <w:r w:rsidRPr="005C05D6">
              <w:rPr>
                <w:rFonts w:eastAsia="Calibri"/>
                <w:sz w:val="21"/>
                <w:szCs w:val="21"/>
              </w:rPr>
              <w:t xml:space="preserve">PAs and NPs </w:t>
            </w:r>
          </w:p>
          <w:p w:rsidR="00B72480" w:rsidRPr="005C05D6" w:rsidP="006A6DA1" w14:paraId="1886C60F" w14:textId="77777777">
            <w:pPr>
              <w:spacing w:after="160" w:line="259" w:lineRule="auto"/>
              <w:rPr>
                <w:sz w:val="21"/>
                <w:szCs w:val="21"/>
              </w:rPr>
            </w:pPr>
          </w:p>
        </w:tc>
        <w:tc>
          <w:tcPr>
            <w:tcW w:w="1443" w:type="dxa"/>
          </w:tcPr>
          <w:p w:rsidR="00B72480" w:rsidRPr="005C05D6" w:rsidP="006A6DA1" w14:paraId="0568F0BD" w14:textId="77777777">
            <w:pPr>
              <w:spacing w:after="160" w:line="259" w:lineRule="auto"/>
              <w:rPr>
                <w:sz w:val="21"/>
                <w:szCs w:val="21"/>
              </w:rPr>
            </w:pPr>
            <w:r w:rsidRPr="005C05D6">
              <w:rPr>
                <w:sz w:val="21"/>
                <w:szCs w:val="21"/>
              </w:rPr>
              <w:t>160</w:t>
            </w:r>
          </w:p>
        </w:tc>
        <w:tc>
          <w:tcPr>
            <w:tcW w:w="1678" w:type="dxa"/>
          </w:tcPr>
          <w:p w:rsidR="00B72480" w:rsidRPr="005C05D6" w:rsidP="006A6DA1" w14:paraId="25E83A7C" w14:textId="77777777">
            <w:pPr>
              <w:spacing w:after="160" w:line="259" w:lineRule="auto"/>
              <w:rPr>
                <w:sz w:val="21"/>
                <w:szCs w:val="21"/>
              </w:rPr>
            </w:pPr>
            <w:r w:rsidRPr="005C05D6">
              <w:rPr>
                <w:sz w:val="21"/>
                <w:szCs w:val="21"/>
              </w:rPr>
              <w:t>1</w:t>
            </w:r>
          </w:p>
        </w:tc>
        <w:tc>
          <w:tcPr>
            <w:tcW w:w="1584" w:type="dxa"/>
          </w:tcPr>
          <w:p w:rsidR="00B72480" w:rsidRPr="005C05D6" w:rsidP="006A6DA1" w14:paraId="591866E2" w14:textId="77777777">
            <w:pPr>
              <w:spacing w:after="160" w:line="259" w:lineRule="auto"/>
              <w:rPr>
                <w:sz w:val="21"/>
                <w:szCs w:val="21"/>
              </w:rPr>
            </w:pPr>
            <w:r w:rsidRPr="005C05D6">
              <w:rPr>
                <w:sz w:val="21"/>
                <w:szCs w:val="21"/>
              </w:rPr>
              <w:t>5/60</w:t>
            </w:r>
          </w:p>
        </w:tc>
        <w:tc>
          <w:tcPr>
            <w:tcW w:w="1152" w:type="dxa"/>
          </w:tcPr>
          <w:p w:rsidR="00B72480" w:rsidRPr="005C05D6" w:rsidP="006A6DA1" w14:paraId="182FE304" w14:textId="77777777">
            <w:pPr>
              <w:spacing w:after="160" w:line="259" w:lineRule="auto"/>
              <w:rPr>
                <w:sz w:val="21"/>
                <w:szCs w:val="21"/>
              </w:rPr>
            </w:pPr>
            <w:r w:rsidRPr="005C05D6">
              <w:rPr>
                <w:sz w:val="21"/>
                <w:szCs w:val="21"/>
              </w:rPr>
              <w:t>13</w:t>
            </w:r>
          </w:p>
        </w:tc>
      </w:tr>
      <w:tr w14:paraId="1268C43F" w14:textId="77777777" w:rsidTr="006A6DA1">
        <w:tblPrEx>
          <w:tblW w:w="10177" w:type="dxa"/>
          <w:tblLook w:val="04A0"/>
        </w:tblPrEx>
        <w:tc>
          <w:tcPr>
            <w:tcW w:w="2160" w:type="dxa"/>
            <w:vMerge w:val="restart"/>
          </w:tcPr>
          <w:p w:rsidR="00B72480" w:rsidRPr="005C05D6" w:rsidP="006A6DA1" w14:paraId="1F0161AD" w14:textId="77777777">
            <w:pPr>
              <w:rPr>
                <w:rFonts w:eastAsia="Calibri"/>
                <w:sz w:val="21"/>
                <w:szCs w:val="21"/>
              </w:rPr>
            </w:pPr>
            <w:r w:rsidRPr="005C05D6">
              <w:rPr>
                <w:rFonts w:eastAsia="Calibri"/>
                <w:sz w:val="21"/>
                <w:szCs w:val="21"/>
              </w:rPr>
              <w:t>Focus Group Guide for HCPs about Antimicrobial Resistance</w:t>
            </w:r>
          </w:p>
          <w:p w:rsidR="00B72480" w:rsidRPr="005C05D6" w:rsidP="006A6DA1" w14:paraId="130CEFFC" w14:textId="77777777">
            <w:pPr>
              <w:rPr>
                <w:rFonts w:eastAsia="Calibri"/>
                <w:sz w:val="21"/>
                <w:szCs w:val="21"/>
              </w:rPr>
            </w:pPr>
          </w:p>
          <w:p w:rsidR="00B72480" w:rsidRPr="005C05D6" w:rsidP="006A6DA1" w14:paraId="725F5901" w14:textId="77777777">
            <w:pPr>
              <w:spacing w:after="160" w:line="259" w:lineRule="auto"/>
              <w:rPr>
                <w:sz w:val="21"/>
                <w:szCs w:val="21"/>
              </w:rPr>
            </w:pPr>
            <w:r w:rsidRPr="005C05D6">
              <w:rPr>
                <w:i/>
                <w:iCs/>
                <w:sz w:val="21"/>
                <w:szCs w:val="21"/>
              </w:rPr>
              <w:t>Attachment 6</w:t>
            </w:r>
          </w:p>
        </w:tc>
        <w:tc>
          <w:tcPr>
            <w:tcW w:w="2160" w:type="dxa"/>
          </w:tcPr>
          <w:p w:rsidR="00B72480" w:rsidRPr="005C05D6" w:rsidP="006A6DA1" w14:paraId="4EE67FFC" w14:textId="77777777">
            <w:pPr>
              <w:spacing w:after="160" w:line="259" w:lineRule="auto"/>
              <w:rPr>
                <w:sz w:val="21"/>
                <w:szCs w:val="21"/>
              </w:rPr>
            </w:pPr>
            <w:r w:rsidRPr="005C05D6">
              <w:rPr>
                <w:sz w:val="21"/>
                <w:szCs w:val="21"/>
              </w:rPr>
              <w:t>Physicians</w:t>
            </w:r>
          </w:p>
        </w:tc>
        <w:tc>
          <w:tcPr>
            <w:tcW w:w="1443" w:type="dxa"/>
          </w:tcPr>
          <w:p w:rsidR="00B72480" w:rsidRPr="005C05D6" w:rsidP="006A6DA1" w14:paraId="7BC8D3DD" w14:textId="77777777">
            <w:pPr>
              <w:spacing w:after="160" w:line="259" w:lineRule="auto"/>
              <w:rPr>
                <w:sz w:val="21"/>
                <w:szCs w:val="21"/>
              </w:rPr>
            </w:pPr>
            <w:r w:rsidRPr="005C05D6">
              <w:rPr>
                <w:sz w:val="21"/>
                <w:szCs w:val="21"/>
              </w:rPr>
              <w:t>16</w:t>
            </w:r>
          </w:p>
        </w:tc>
        <w:tc>
          <w:tcPr>
            <w:tcW w:w="1678" w:type="dxa"/>
          </w:tcPr>
          <w:p w:rsidR="00B72480" w:rsidRPr="005C05D6" w:rsidP="006A6DA1" w14:paraId="6274C603" w14:textId="77777777">
            <w:pPr>
              <w:spacing w:after="160" w:line="259" w:lineRule="auto"/>
              <w:rPr>
                <w:sz w:val="21"/>
                <w:szCs w:val="21"/>
              </w:rPr>
            </w:pPr>
            <w:r w:rsidRPr="005C05D6">
              <w:rPr>
                <w:sz w:val="21"/>
                <w:szCs w:val="21"/>
              </w:rPr>
              <w:t>1</w:t>
            </w:r>
          </w:p>
        </w:tc>
        <w:tc>
          <w:tcPr>
            <w:tcW w:w="1584" w:type="dxa"/>
          </w:tcPr>
          <w:p w:rsidR="00B72480" w:rsidRPr="005C05D6" w:rsidP="006A6DA1" w14:paraId="34DD3D54" w14:textId="77777777">
            <w:pPr>
              <w:spacing w:after="160" w:line="259" w:lineRule="auto"/>
              <w:rPr>
                <w:sz w:val="21"/>
                <w:szCs w:val="21"/>
              </w:rPr>
            </w:pPr>
            <w:r w:rsidRPr="005C05D6">
              <w:rPr>
                <w:sz w:val="21"/>
                <w:szCs w:val="21"/>
              </w:rPr>
              <w:t>1.5</w:t>
            </w:r>
          </w:p>
        </w:tc>
        <w:tc>
          <w:tcPr>
            <w:tcW w:w="1152" w:type="dxa"/>
          </w:tcPr>
          <w:p w:rsidR="00B72480" w:rsidRPr="005C05D6" w:rsidP="006A6DA1" w14:paraId="268689FF" w14:textId="77777777">
            <w:pPr>
              <w:spacing w:after="160" w:line="259" w:lineRule="auto"/>
              <w:rPr>
                <w:sz w:val="21"/>
                <w:szCs w:val="21"/>
              </w:rPr>
            </w:pPr>
            <w:r w:rsidRPr="005C05D6">
              <w:rPr>
                <w:sz w:val="21"/>
                <w:szCs w:val="21"/>
              </w:rPr>
              <w:t>24</w:t>
            </w:r>
          </w:p>
        </w:tc>
      </w:tr>
      <w:tr w14:paraId="0D54FA2E" w14:textId="77777777" w:rsidTr="006A6DA1">
        <w:tblPrEx>
          <w:tblW w:w="10177" w:type="dxa"/>
          <w:tblLook w:val="04A0"/>
        </w:tblPrEx>
        <w:tc>
          <w:tcPr>
            <w:tcW w:w="2160" w:type="dxa"/>
            <w:vMerge/>
          </w:tcPr>
          <w:p w:rsidR="00B72480" w:rsidRPr="005C05D6" w:rsidP="006A6DA1" w14:paraId="583D58BC" w14:textId="77777777">
            <w:pPr>
              <w:spacing w:after="160" w:line="259" w:lineRule="auto"/>
              <w:rPr>
                <w:sz w:val="21"/>
                <w:szCs w:val="21"/>
              </w:rPr>
            </w:pPr>
          </w:p>
        </w:tc>
        <w:tc>
          <w:tcPr>
            <w:tcW w:w="2160" w:type="dxa"/>
          </w:tcPr>
          <w:p w:rsidR="00B72480" w:rsidRPr="005C05D6" w:rsidP="006A6DA1" w14:paraId="448218CF" w14:textId="77777777">
            <w:pPr>
              <w:spacing w:after="160" w:line="259" w:lineRule="auto"/>
              <w:rPr>
                <w:sz w:val="21"/>
                <w:szCs w:val="21"/>
              </w:rPr>
            </w:pPr>
            <w:r w:rsidRPr="005C05D6">
              <w:rPr>
                <w:sz w:val="21"/>
                <w:szCs w:val="21"/>
              </w:rPr>
              <w:t>PAs and NPs</w:t>
            </w:r>
          </w:p>
        </w:tc>
        <w:tc>
          <w:tcPr>
            <w:tcW w:w="1443" w:type="dxa"/>
          </w:tcPr>
          <w:p w:rsidR="00B72480" w:rsidRPr="005C05D6" w:rsidP="006A6DA1" w14:paraId="4DFEA859" w14:textId="77777777">
            <w:pPr>
              <w:spacing w:after="160" w:line="259" w:lineRule="auto"/>
              <w:rPr>
                <w:sz w:val="21"/>
                <w:szCs w:val="21"/>
              </w:rPr>
            </w:pPr>
            <w:r w:rsidRPr="005C05D6">
              <w:rPr>
                <w:sz w:val="21"/>
                <w:szCs w:val="21"/>
              </w:rPr>
              <w:t>16</w:t>
            </w:r>
          </w:p>
        </w:tc>
        <w:tc>
          <w:tcPr>
            <w:tcW w:w="1678" w:type="dxa"/>
          </w:tcPr>
          <w:p w:rsidR="00B72480" w:rsidRPr="005C05D6" w:rsidP="006A6DA1" w14:paraId="3D8D2E6E" w14:textId="77777777">
            <w:pPr>
              <w:spacing w:after="160" w:line="259" w:lineRule="auto"/>
              <w:rPr>
                <w:sz w:val="21"/>
                <w:szCs w:val="21"/>
              </w:rPr>
            </w:pPr>
            <w:r w:rsidRPr="005C05D6">
              <w:rPr>
                <w:sz w:val="21"/>
                <w:szCs w:val="21"/>
              </w:rPr>
              <w:t>1</w:t>
            </w:r>
          </w:p>
        </w:tc>
        <w:tc>
          <w:tcPr>
            <w:tcW w:w="1584" w:type="dxa"/>
          </w:tcPr>
          <w:p w:rsidR="00B72480" w:rsidRPr="005C05D6" w:rsidP="006A6DA1" w14:paraId="6C3B1277" w14:textId="77777777">
            <w:pPr>
              <w:spacing w:after="160" w:line="259" w:lineRule="auto"/>
              <w:rPr>
                <w:sz w:val="21"/>
                <w:szCs w:val="21"/>
              </w:rPr>
            </w:pPr>
            <w:r w:rsidRPr="005C05D6">
              <w:rPr>
                <w:sz w:val="21"/>
                <w:szCs w:val="21"/>
              </w:rPr>
              <w:t>1.5</w:t>
            </w:r>
          </w:p>
        </w:tc>
        <w:tc>
          <w:tcPr>
            <w:tcW w:w="1152" w:type="dxa"/>
          </w:tcPr>
          <w:p w:rsidR="00B72480" w:rsidRPr="005C05D6" w:rsidP="006A6DA1" w14:paraId="31405DA3" w14:textId="77777777">
            <w:pPr>
              <w:spacing w:after="160" w:line="259" w:lineRule="auto"/>
              <w:rPr>
                <w:sz w:val="21"/>
                <w:szCs w:val="21"/>
              </w:rPr>
            </w:pPr>
            <w:r w:rsidRPr="005C05D6">
              <w:rPr>
                <w:sz w:val="21"/>
                <w:szCs w:val="21"/>
              </w:rPr>
              <w:t>24</w:t>
            </w:r>
          </w:p>
        </w:tc>
      </w:tr>
      <w:tr w14:paraId="249440B2" w14:textId="77777777" w:rsidTr="006A6DA1">
        <w:tblPrEx>
          <w:tblW w:w="10177" w:type="dxa"/>
          <w:tblLook w:val="04A0"/>
        </w:tblPrEx>
        <w:trPr>
          <w:trHeight w:val="432"/>
        </w:trPr>
        <w:tc>
          <w:tcPr>
            <w:tcW w:w="2160" w:type="dxa"/>
          </w:tcPr>
          <w:p w:rsidR="00B72480" w:rsidRPr="005C05D6" w:rsidP="006A6DA1" w14:paraId="100E6086" w14:textId="77777777">
            <w:pPr>
              <w:rPr>
                <w:rFonts w:eastAsia="Calibri"/>
                <w:sz w:val="21"/>
                <w:szCs w:val="21"/>
              </w:rPr>
            </w:pPr>
            <w:r w:rsidRPr="005C05D6">
              <w:rPr>
                <w:rFonts w:eastAsia="Calibri"/>
                <w:sz w:val="21"/>
                <w:szCs w:val="21"/>
              </w:rPr>
              <w:t>Interview Guide for Medical Association about Antimicrobial Resistance</w:t>
            </w:r>
          </w:p>
          <w:p w:rsidR="00B72480" w:rsidRPr="005C05D6" w:rsidP="006A6DA1" w14:paraId="1299B5CC" w14:textId="77777777">
            <w:pPr>
              <w:rPr>
                <w:rFonts w:eastAsia="Calibri"/>
                <w:sz w:val="21"/>
                <w:szCs w:val="21"/>
              </w:rPr>
            </w:pPr>
          </w:p>
          <w:p w:rsidR="00B72480" w:rsidRPr="005C05D6" w:rsidP="006A6DA1" w14:paraId="2DE000AB" w14:textId="77777777">
            <w:pPr>
              <w:spacing w:after="160" w:line="259" w:lineRule="auto"/>
              <w:rPr>
                <w:rFonts w:eastAsia="Calibri"/>
                <w:i/>
                <w:iCs/>
                <w:sz w:val="21"/>
                <w:szCs w:val="21"/>
              </w:rPr>
            </w:pPr>
            <w:r w:rsidRPr="005C05D6">
              <w:rPr>
                <w:rFonts w:eastAsia="Calibri"/>
                <w:i/>
                <w:iCs/>
                <w:sz w:val="21"/>
                <w:szCs w:val="21"/>
              </w:rPr>
              <w:t>Attachment 9</w:t>
            </w:r>
          </w:p>
        </w:tc>
        <w:tc>
          <w:tcPr>
            <w:tcW w:w="2160" w:type="dxa"/>
          </w:tcPr>
          <w:p w:rsidR="00B72480" w:rsidRPr="005C05D6" w:rsidP="006A6DA1" w14:paraId="05866462" w14:textId="77777777">
            <w:pPr>
              <w:spacing w:after="160" w:line="259" w:lineRule="auto"/>
              <w:rPr>
                <w:sz w:val="21"/>
                <w:szCs w:val="21"/>
              </w:rPr>
            </w:pPr>
            <w:r w:rsidRPr="005C05D6">
              <w:rPr>
                <w:i/>
                <w:iCs/>
                <w:sz w:val="21"/>
                <w:szCs w:val="21"/>
              </w:rPr>
              <w:t xml:space="preserve"> </w:t>
            </w:r>
            <w:r w:rsidRPr="005C05D6">
              <w:rPr>
                <w:rFonts w:eastAsia="Calibri"/>
                <w:sz w:val="21"/>
                <w:szCs w:val="21"/>
              </w:rPr>
              <w:t>Medical Association Experts</w:t>
            </w:r>
          </w:p>
        </w:tc>
        <w:tc>
          <w:tcPr>
            <w:tcW w:w="1443" w:type="dxa"/>
          </w:tcPr>
          <w:p w:rsidR="00B72480" w:rsidRPr="005C05D6" w:rsidP="006A6DA1" w14:paraId="0FC5C94A" w14:textId="77777777">
            <w:pPr>
              <w:spacing w:after="160" w:line="259" w:lineRule="auto"/>
              <w:rPr>
                <w:sz w:val="21"/>
                <w:szCs w:val="21"/>
              </w:rPr>
            </w:pPr>
            <w:r w:rsidRPr="005C05D6">
              <w:rPr>
                <w:sz w:val="21"/>
                <w:szCs w:val="21"/>
              </w:rPr>
              <w:t>3</w:t>
            </w:r>
          </w:p>
        </w:tc>
        <w:tc>
          <w:tcPr>
            <w:tcW w:w="1678" w:type="dxa"/>
          </w:tcPr>
          <w:p w:rsidR="00B72480" w:rsidRPr="005C05D6" w:rsidP="006A6DA1" w14:paraId="31C7CC83" w14:textId="77777777">
            <w:pPr>
              <w:spacing w:after="160" w:line="259" w:lineRule="auto"/>
              <w:rPr>
                <w:sz w:val="21"/>
                <w:szCs w:val="21"/>
              </w:rPr>
            </w:pPr>
            <w:r w:rsidRPr="005C05D6">
              <w:rPr>
                <w:sz w:val="21"/>
                <w:szCs w:val="21"/>
              </w:rPr>
              <w:t>1</w:t>
            </w:r>
          </w:p>
        </w:tc>
        <w:tc>
          <w:tcPr>
            <w:tcW w:w="1584" w:type="dxa"/>
          </w:tcPr>
          <w:p w:rsidR="00B72480" w:rsidRPr="005C05D6" w:rsidP="006A6DA1" w14:paraId="58FD9302" w14:textId="77777777">
            <w:pPr>
              <w:spacing w:after="160" w:line="259" w:lineRule="auto"/>
              <w:rPr>
                <w:sz w:val="21"/>
                <w:szCs w:val="21"/>
              </w:rPr>
            </w:pPr>
            <w:r w:rsidRPr="005C05D6">
              <w:rPr>
                <w:sz w:val="21"/>
                <w:szCs w:val="21"/>
              </w:rPr>
              <w:t>1</w:t>
            </w:r>
          </w:p>
        </w:tc>
        <w:tc>
          <w:tcPr>
            <w:tcW w:w="1152" w:type="dxa"/>
          </w:tcPr>
          <w:p w:rsidR="00B72480" w:rsidRPr="005C05D6" w:rsidP="006A6DA1" w14:paraId="12FD9044" w14:textId="77777777">
            <w:pPr>
              <w:spacing w:after="160" w:line="259" w:lineRule="auto"/>
              <w:rPr>
                <w:sz w:val="21"/>
                <w:szCs w:val="21"/>
              </w:rPr>
            </w:pPr>
            <w:r w:rsidRPr="005C05D6">
              <w:rPr>
                <w:sz w:val="21"/>
                <w:szCs w:val="21"/>
              </w:rPr>
              <w:t>3</w:t>
            </w:r>
          </w:p>
        </w:tc>
      </w:tr>
      <w:tr w14:paraId="0C538289" w14:textId="77777777" w:rsidTr="006A6DA1">
        <w:tblPrEx>
          <w:tblW w:w="10177" w:type="dxa"/>
          <w:tblLook w:val="04A0"/>
        </w:tblPrEx>
        <w:tc>
          <w:tcPr>
            <w:tcW w:w="2160" w:type="dxa"/>
          </w:tcPr>
          <w:p w:rsidR="00B72480" w:rsidRPr="005C05D6" w:rsidP="006A6DA1" w14:paraId="6682A4C9" w14:textId="77777777">
            <w:pPr>
              <w:rPr>
                <w:rFonts w:eastAsia="Calibri"/>
                <w:sz w:val="21"/>
                <w:szCs w:val="21"/>
              </w:rPr>
            </w:pPr>
            <w:r w:rsidRPr="005C05D6">
              <w:rPr>
                <w:rFonts w:eastAsia="Calibri"/>
                <w:sz w:val="21"/>
                <w:szCs w:val="21"/>
              </w:rPr>
              <w:t>Focus Group Screener for Consumers, Including Parents, and Caregivers</w:t>
            </w:r>
          </w:p>
          <w:p w:rsidR="00B72480" w:rsidRPr="005C05D6" w:rsidP="006A6DA1" w14:paraId="3CF88EBB" w14:textId="77777777">
            <w:pPr>
              <w:rPr>
                <w:rFonts w:eastAsia="Calibri"/>
                <w:i/>
                <w:iCs/>
                <w:sz w:val="21"/>
                <w:szCs w:val="21"/>
              </w:rPr>
            </w:pPr>
          </w:p>
          <w:p w:rsidR="00B72480" w:rsidRPr="005C05D6" w:rsidP="006A6DA1" w14:paraId="2688825D" w14:textId="77777777">
            <w:pPr>
              <w:rPr>
                <w:rFonts w:eastAsia="Calibri"/>
                <w:sz w:val="21"/>
                <w:szCs w:val="21"/>
              </w:rPr>
            </w:pPr>
            <w:r w:rsidRPr="005C05D6">
              <w:rPr>
                <w:rFonts w:eastAsia="Calibri"/>
                <w:i/>
                <w:iCs/>
                <w:sz w:val="21"/>
                <w:szCs w:val="21"/>
              </w:rPr>
              <w:t>Attachment 2</w:t>
            </w:r>
          </w:p>
        </w:tc>
        <w:tc>
          <w:tcPr>
            <w:tcW w:w="2160" w:type="dxa"/>
          </w:tcPr>
          <w:p w:rsidR="00B72480" w:rsidRPr="005C05D6" w:rsidP="006A6DA1" w14:paraId="5DFDE8E0" w14:textId="77777777">
            <w:pPr>
              <w:rPr>
                <w:sz w:val="21"/>
                <w:szCs w:val="21"/>
              </w:rPr>
            </w:pPr>
            <w:r w:rsidRPr="005C05D6">
              <w:rPr>
                <w:sz w:val="21"/>
                <w:szCs w:val="21"/>
              </w:rPr>
              <w:t>Consumers</w:t>
            </w:r>
          </w:p>
        </w:tc>
        <w:tc>
          <w:tcPr>
            <w:tcW w:w="1443" w:type="dxa"/>
          </w:tcPr>
          <w:p w:rsidR="00B72480" w:rsidRPr="005C05D6" w:rsidP="006A6DA1" w14:paraId="70DBB0F7" w14:textId="77777777">
            <w:pPr>
              <w:rPr>
                <w:sz w:val="21"/>
                <w:szCs w:val="21"/>
              </w:rPr>
            </w:pPr>
            <w:r w:rsidRPr="005C05D6">
              <w:rPr>
                <w:sz w:val="21"/>
                <w:szCs w:val="21"/>
              </w:rPr>
              <w:t>320</w:t>
            </w:r>
          </w:p>
        </w:tc>
        <w:tc>
          <w:tcPr>
            <w:tcW w:w="1678" w:type="dxa"/>
          </w:tcPr>
          <w:p w:rsidR="00B72480" w:rsidRPr="005C05D6" w:rsidP="006A6DA1" w14:paraId="3720DA88" w14:textId="77777777">
            <w:pPr>
              <w:rPr>
                <w:sz w:val="21"/>
                <w:szCs w:val="21"/>
              </w:rPr>
            </w:pPr>
            <w:r w:rsidRPr="005C05D6">
              <w:rPr>
                <w:sz w:val="21"/>
                <w:szCs w:val="21"/>
              </w:rPr>
              <w:t>1</w:t>
            </w:r>
          </w:p>
        </w:tc>
        <w:tc>
          <w:tcPr>
            <w:tcW w:w="1584" w:type="dxa"/>
          </w:tcPr>
          <w:p w:rsidR="00B72480" w:rsidRPr="005C05D6" w:rsidP="006A6DA1" w14:paraId="026C7557" w14:textId="77777777">
            <w:pPr>
              <w:rPr>
                <w:sz w:val="21"/>
                <w:szCs w:val="21"/>
              </w:rPr>
            </w:pPr>
            <w:r w:rsidRPr="005C05D6">
              <w:rPr>
                <w:sz w:val="21"/>
                <w:szCs w:val="21"/>
              </w:rPr>
              <w:t>5/60</w:t>
            </w:r>
          </w:p>
        </w:tc>
        <w:tc>
          <w:tcPr>
            <w:tcW w:w="1152" w:type="dxa"/>
          </w:tcPr>
          <w:p w:rsidR="00B72480" w:rsidRPr="005C05D6" w:rsidP="006A6DA1" w14:paraId="15DE4D98" w14:textId="77777777">
            <w:pPr>
              <w:rPr>
                <w:sz w:val="21"/>
                <w:szCs w:val="21"/>
              </w:rPr>
            </w:pPr>
            <w:r w:rsidRPr="005C05D6">
              <w:rPr>
                <w:sz w:val="21"/>
                <w:szCs w:val="21"/>
              </w:rPr>
              <w:t>27</w:t>
            </w:r>
          </w:p>
        </w:tc>
      </w:tr>
      <w:tr w14:paraId="0946BCF8" w14:textId="77777777" w:rsidTr="006A6DA1">
        <w:tblPrEx>
          <w:tblW w:w="10177" w:type="dxa"/>
          <w:tblLook w:val="04A0"/>
        </w:tblPrEx>
        <w:tc>
          <w:tcPr>
            <w:tcW w:w="2160" w:type="dxa"/>
          </w:tcPr>
          <w:p w:rsidR="00B72480" w:rsidRPr="005C05D6" w:rsidP="006A6DA1" w14:paraId="7AC382BB" w14:textId="77777777">
            <w:pPr>
              <w:rPr>
                <w:rFonts w:eastAsia="Calibri"/>
                <w:sz w:val="21"/>
                <w:szCs w:val="21"/>
              </w:rPr>
            </w:pPr>
            <w:r w:rsidRPr="005C05D6">
              <w:rPr>
                <w:rFonts w:eastAsia="Calibri"/>
                <w:sz w:val="21"/>
                <w:szCs w:val="21"/>
              </w:rPr>
              <w:t>Focus Group Guide for General Consumers about Antimicrobial Resistance</w:t>
            </w:r>
          </w:p>
          <w:p w:rsidR="00B72480" w:rsidRPr="005C05D6" w:rsidP="006A6DA1" w14:paraId="397B2C48" w14:textId="77777777">
            <w:pPr>
              <w:rPr>
                <w:sz w:val="21"/>
                <w:szCs w:val="21"/>
              </w:rPr>
            </w:pPr>
          </w:p>
          <w:p w:rsidR="00B72480" w:rsidRPr="005C05D6" w:rsidP="006A6DA1" w14:paraId="455E92CF" w14:textId="77777777">
            <w:pPr>
              <w:rPr>
                <w:sz w:val="21"/>
                <w:szCs w:val="21"/>
              </w:rPr>
            </w:pPr>
            <w:r w:rsidRPr="005C05D6">
              <w:rPr>
                <w:i/>
                <w:iCs/>
                <w:sz w:val="21"/>
                <w:szCs w:val="21"/>
              </w:rPr>
              <w:t>Attachment 7</w:t>
            </w:r>
          </w:p>
        </w:tc>
        <w:tc>
          <w:tcPr>
            <w:tcW w:w="2160" w:type="dxa"/>
          </w:tcPr>
          <w:p w:rsidR="00B72480" w:rsidRPr="005C05D6" w:rsidP="006A6DA1" w14:paraId="5832E212" w14:textId="77777777">
            <w:pPr>
              <w:rPr>
                <w:sz w:val="21"/>
                <w:szCs w:val="21"/>
              </w:rPr>
            </w:pPr>
            <w:r w:rsidRPr="005C05D6">
              <w:rPr>
                <w:sz w:val="21"/>
                <w:szCs w:val="21"/>
              </w:rPr>
              <w:t>Consumers</w:t>
            </w:r>
          </w:p>
        </w:tc>
        <w:tc>
          <w:tcPr>
            <w:tcW w:w="1443" w:type="dxa"/>
          </w:tcPr>
          <w:p w:rsidR="00B72480" w:rsidRPr="005C05D6" w:rsidP="006A6DA1" w14:paraId="3317A255" w14:textId="77777777">
            <w:pPr>
              <w:rPr>
                <w:sz w:val="21"/>
                <w:szCs w:val="21"/>
              </w:rPr>
            </w:pPr>
            <w:r w:rsidRPr="005C05D6">
              <w:rPr>
                <w:sz w:val="21"/>
                <w:szCs w:val="21"/>
              </w:rPr>
              <w:t>24</w:t>
            </w:r>
          </w:p>
        </w:tc>
        <w:tc>
          <w:tcPr>
            <w:tcW w:w="1678" w:type="dxa"/>
          </w:tcPr>
          <w:p w:rsidR="00B72480" w:rsidRPr="005C05D6" w:rsidP="006A6DA1" w14:paraId="2CBB6FE5" w14:textId="77777777">
            <w:pPr>
              <w:rPr>
                <w:sz w:val="21"/>
                <w:szCs w:val="21"/>
              </w:rPr>
            </w:pPr>
            <w:r w:rsidRPr="005C05D6">
              <w:rPr>
                <w:sz w:val="21"/>
                <w:szCs w:val="21"/>
              </w:rPr>
              <w:t>1</w:t>
            </w:r>
          </w:p>
        </w:tc>
        <w:tc>
          <w:tcPr>
            <w:tcW w:w="1584" w:type="dxa"/>
          </w:tcPr>
          <w:p w:rsidR="00B72480" w:rsidRPr="005C05D6" w:rsidP="006A6DA1" w14:paraId="2DC075F1" w14:textId="77777777">
            <w:pPr>
              <w:rPr>
                <w:sz w:val="21"/>
                <w:szCs w:val="21"/>
              </w:rPr>
            </w:pPr>
            <w:r w:rsidRPr="005C05D6">
              <w:rPr>
                <w:sz w:val="21"/>
                <w:szCs w:val="21"/>
              </w:rPr>
              <w:t>1.5</w:t>
            </w:r>
          </w:p>
        </w:tc>
        <w:tc>
          <w:tcPr>
            <w:tcW w:w="1152" w:type="dxa"/>
          </w:tcPr>
          <w:p w:rsidR="00B72480" w:rsidRPr="005C05D6" w:rsidP="006A6DA1" w14:paraId="4B79588B" w14:textId="77777777">
            <w:pPr>
              <w:rPr>
                <w:sz w:val="21"/>
                <w:szCs w:val="21"/>
              </w:rPr>
            </w:pPr>
            <w:r w:rsidRPr="005C05D6">
              <w:rPr>
                <w:sz w:val="21"/>
                <w:szCs w:val="21"/>
              </w:rPr>
              <w:t>36</w:t>
            </w:r>
          </w:p>
        </w:tc>
      </w:tr>
      <w:tr w14:paraId="003EE4AE" w14:textId="77777777" w:rsidTr="006A6DA1">
        <w:tblPrEx>
          <w:tblW w:w="10177" w:type="dxa"/>
          <w:tblLook w:val="04A0"/>
        </w:tblPrEx>
        <w:tc>
          <w:tcPr>
            <w:tcW w:w="2160" w:type="dxa"/>
          </w:tcPr>
          <w:p w:rsidR="00B72480" w:rsidRPr="005C05D6" w:rsidP="006A6DA1" w14:paraId="79CC1BDB" w14:textId="77777777">
            <w:pPr>
              <w:rPr>
                <w:rFonts w:eastAsia="Calibri"/>
                <w:sz w:val="21"/>
                <w:szCs w:val="21"/>
              </w:rPr>
            </w:pPr>
            <w:r w:rsidRPr="005C05D6">
              <w:rPr>
                <w:rFonts w:eastAsia="Calibri"/>
                <w:sz w:val="21"/>
                <w:szCs w:val="21"/>
              </w:rPr>
              <w:t xml:space="preserve">Focus Group Guide for Caregivers about Antimicrobial Resistance </w:t>
            </w:r>
          </w:p>
          <w:p w:rsidR="00B72480" w:rsidRPr="005C05D6" w:rsidP="006A6DA1" w14:paraId="26558F61" w14:textId="77777777">
            <w:pPr>
              <w:rPr>
                <w:rFonts w:eastAsia="Calibri"/>
                <w:sz w:val="21"/>
                <w:szCs w:val="21"/>
              </w:rPr>
            </w:pPr>
          </w:p>
          <w:p w:rsidR="00B72480" w:rsidRPr="005C05D6" w:rsidP="006A6DA1" w14:paraId="3B6A4897" w14:textId="77777777">
            <w:pPr>
              <w:rPr>
                <w:sz w:val="21"/>
                <w:szCs w:val="21"/>
              </w:rPr>
            </w:pPr>
            <w:r w:rsidRPr="005C05D6">
              <w:rPr>
                <w:i/>
                <w:iCs/>
                <w:sz w:val="21"/>
                <w:szCs w:val="21"/>
              </w:rPr>
              <w:t>Attachment 8</w:t>
            </w:r>
          </w:p>
        </w:tc>
        <w:tc>
          <w:tcPr>
            <w:tcW w:w="2160" w:type="dxa"/>
          </w:tcPr>
          <w:p w:rsidR="00B72480" w:rsidRPr="005C05D6" w:rsidP="006A6DA1" w14:paraId="776FA637" w14:textId="77777777">
            <w:pPr>
              <w:rPr>
                <w:sz w:val="21"/>
                <w:szCs w:val="21"/>
              </w:rPr>
            </w:pPr>
            <w:r w:rsidRPr="005C05D6">
              <w:rPr>
                <w:sz w:val="21"/>
                <w:szCs w:val="21"/>
              </w:rPr>
              <w:t>Consumers</w:t>
            </w:r>
          </w:p>
        </w:tc>
        <w:tc>
          <w:tcPr>
            <w:tcW w:w="1443" w:type="dxa"/>
          </w:tcPr>
          <w:p w:rsidR="00B72480" w:rsidRPr="005C05D6" w:rsidP="006A6DA1" w14:paraId="11487243" w14:textId="77777777">
            <w:pPr>
              <w:rPr>
                <w:sz w:val="21"/>
                <w:szCs w:val="21"/>
              </w:rPr>
            </w:pPr>
            <w:r w:rsidRPr="005C05D6">
              <w:rPr>
                <w:sz w:val="21"/>
                <w:szCs w:val="21"/>
              </w:rPr>
              <w:t>8</w:t>
            </w:r>
          </w:p>
        </w:tc>
        <w:tc>
          <w:tcPr>
            <w:tcW w:w="1678" w:type="dxa"/>
          </w:tcPr>
          <w:p w:rsidR="00B72480" w:rsidRPr="005C05D6" w:rsidP="006A6DA1" w14:paraId="23542592" w14:textId="77777777">
            <w:pPr>
              <w:rPr>
                <w:sz w:val="21"/>
                <w:szCs w:val="21"/>
              </w:rPr>
            </w:pPr>
            <w:r w:rsidRPr="005C05D6">
              <w:rPr>
                <w:sz w:val="21"/>
                <w:szCs w:val="21"/>
              </w:rPr>
              <w:t>1</w:t>
            </w:r>
          </w:p>
        </w:tc>
        <w:tc>
          <w:tcPr>
            <w:tcW w:w="1584" w:type="dxa"/>
          </w:tcPr>
          <w:p w:rsidR="00B72480" w:rsidRPr="005C05D6" w:rsidP="006A6DA1" w14:paraId="6E32127A" w14:textId="77777777">
            <w:pPr>
              <w:rPr>
                <w:sz w:val="21"/>
                <w:szCs w:val="21"/>
              </w:rPr>
            </w:pPr>
            <w:r w:rsidRPr="005C05D6">
              <w:rPr>
                <w:sz w:val="21"/>
                <w:szCs w:val="21"/>
              </w:rPr>
              <w:t>1.5</w:t>
            </w:r>
          </w:p>
        </w:tc>
        <w:tc>
          <w:tcPr>
            <w:tcW w:w="1152" w:type="dxa"/>
          </w:tcPr>
          <w:p w:rsidR="00B72480" w:rsidRPr="005C05D6" w:rsidP="006A6DA1" w14:paraId="11FBB441" w14:textId="77777777">
            <w:pPr>
              <w:rPr>
                <w:sz w:val="21"/>
                <w:szCs w:val="21"/>
              </w:rPr>
            </w:pPr>
            <w:r w:rsidRPr="005C05D6">
              <w:rPr>
                <w:sz w:val="21"/>
                <w:szCs w:val="21"/>
              </w:rPr>
              <w:t>12</w:t>
            </w:r>
          </w:p>
        </w:tc>
      </w:tr>
      <w:tr w14:paraId="6BF8DE26" w14:textId="77777777" w:rsidTr="006A6DA1">
        <w:tblPrEx>
          <w:tblW w:w="10177" w:type="dxa"/>
          <w:tblLook w:val="04A0"/>
        </w:tblPrEx>
        <w:tc>
          <w:tcPr>
            <w:tcW w:w="2160" w:type="dxa"/>
          </w:tcPr>
          <w:p w:rsidR="00B72480" w:rsidRPr="005C05D6" w:rsidP="006A6DA1" w14:paraId="07D78A22" w14:textId="77777777">
            <w:pPr>
              <w:rPr>
                <w:rFonts w:eastAsia="Calibri"/>
                <w:sz w:val="21"/>
                <w:szCs w:val="21"/>
              </w:rPr>
            </w:pPr>
            <w:r w:rsidRPr="005C05D6">
              <w:rPr>
                <w:rFonts w:eastAsia="Calibri"/>
                <w:sz w:val="21"/>
                <w:szCs w:val="21"/>
              </w:rPr>
              <w:t xml:space="preserve">In-Depth Interview Screener for Consumers with Previous Antimicrobial-Resistant Infections </w:t>
            </w:r>
          </w:p>
          <w:p w:rsidR="00B72480" w:rsidRPr="005C05D6" w:rsidP="006A6DA1" w14:paraId="72DAE030" w14:textId="77777777">
            <w:pPr>
              <w:rPr>
                <w:rFonts w:eastAsia="Calibri"/>
                <w:sz w:val="21"/>
                <w:szCs w:val="21"/>
              </w:rPr>
            </w:pPr>
          </w:p>
          <w:p w:rsidR="00B72480" w:rsidRPr="005C05D6" w:rsidP="006A6DA1" w14:paraId="51D7959A" w14:textId="77777777">
            <w:pPr>
              <w:rPr>
                <w:sz w:val="21"/>
                <w:szCs w:val="21"/>
              </w:rPr>
            </w:pPr>
            <w:r w:rsidRPr="005C05D6">
              <w:rPr>
                <w:i/>
                <w:iCs/>
                <w:sz w:val="21"/>
                <w:szCs w:val="21"/>
              </w:rPr>
              <w:t>Attachment 3</w:t>
            </w:r>
          </w:p>
        </w:tc>
        <w:tc>
          <w:tcPr>
            <w:tcW w:w="2160" w:type="dxa"/>
          </w:tcPr>
          <w:p w:rsidR="00B72480" w:rsidRPr="005C05D6" w:rsidP="006A6DA1" w14:paraId="56930F88" w14:textId="77777777">
            <w:pPr>
              <w:rPr>
                <w:sz w:val="21"/>
                <w:szCs w:val="21"/>
              </w:rPr>
            </w:pPr>
            <w:r w:rsidRPr="005C05D6">
              <w:rPr>
                <w:sz w:val="21"/>
                <w:szCs w:val="21"/>
              </w:rPr>
              <w:t>Consumers</w:t>
            </w:r>
          </w:p>
        </w:tc>
        <w:tc>
          <w:tcPr>
            <w:tcW w:w="1443" w:type="dxa"/>
          </w:tcPr>
          <w:p w:rsidR="00B72480" w:rsidRPr="005C05D6" w:rsidP="006A6DA1" w14:paraId="62C7C565" w14:textId="77777777">
            <w:pPr>
              <w:rPr>
                <w:sz w:val="21"/>
                <w:szCs w:val="21"/>
              </w:rPr>
            </w:pPr>
            <w:r w:rsidRPr="005C05D6">
              <w:rPr>
                <w:sz w:val="21"/>
                <w:szCs w:val="21"/>
              </w:rPr>
              <w:t>30</w:t>
            </w:r>
          </w:p>
        </w:tc>
        <w:tc>
          <w:tcPr>
            <w:tcW w:w="1678" w:type="dxa"/>
          </w:tcPr>
          <w:p w:rsidR="00B72480" w:rsidRPr="005C05D6" w:rsidP="006A6DA1" w14:paraId="24ECB099" w14:textId="77777777">
            <w:pPr>
              <w:rPr>
                <w:sz w:val="21"/>
                <w:szCs w:val="21"/>
              </w:rPr>
            </w:pPr>
            <w:r w:rsidRPr="005C05D6">
              <w:rPr>
                <w:sz w:val="21"/>
                <w:szCs w:val="21"/>
              </w:rPr>
              <w:t>1</w:t>
            </w:r>
          </w:p>
        </w:tc>
        <w:tc>
          <w:tcPr>
            <w:tcW w:w="1584" w:type="dxa"/>
          </w:tcPr>
          <w:p w:rsidR="00B72480" w:rsidRPr="005C05D6" w:rsidP="006A6DA1" w14:paraId="273FAF8E" w14:textId="77777777">
            <w:pPr>
              <w:rPr>
                <w:sz w:val="21"/>
                <w:szCs w:val="21"/>
              </w:rPr>
            </w:pPr>
            <w:r w:rsidRPr="005C05D6">
              <w:rPr>
                <w:sz w:val="21"/>
                <w:szCs w:val="21"/>
              </w:rPr>
              <w:t>5/60</w:t>
            </w:r>
          </w:p>
        </w:tc>
        <w:tc>
          <w:tcPr>
            <w:tcW w:w="1152" w:type="dxa"/>
          </w:tcPr>
          <w:p w:rsidR="00B72480" w:rsidRPr="005C05D6" w:rsidP="006A6DA1" w14:paraId="513EA97C" w14:textId="77777777">
            <w:pPr>
              <w:rPr>
                <w:sz w:val="21"/>
                <w:szCs w:val="21"/>
              </w:rPr>
            </w:pPr>
            <w:r w:rsidRPr="005C05D6">
              <w:rPr>
                <w:sz w:val="21"/>
                <w:szCs w:val="21"/>
              </w:rPr>
              <w:t>3</w:t>
            </w:r>
          </w:p>
        </w:tc>
      </w:tr>
      <w:tr w14:paraId="1E641677" w14:textId="77777777" w:rsidTr="006A6DA1">
        <w:tblPrEx>
          <w:tblW w:w="10177" w:type="dxa"/>
          <w:tblLook w:val="04A0"/>
        </w:tblPrEx>
        <w:tc>
          <w:tcPr>
            <w:tcW w:w="2160" w:type="dxa"/>
          </w:tcPr>
          <w:p w:rsidR="00B72480" w:rsidRPr="005C05D6" w:rsidP="006A6DA1" w14:paraId="456F4B6B" w14:textId="77777777">
            <w:pPr>
              <w:rPr>
                <w:rFonts w:eastAsia="Calibri"/>
                <w:sz w:val="21"/>
                <w:szCs w:val="21"/>
              </w:rPr>
            </w:pPr>
            <w:r w:rsidRPr="005C05D6">
              <w:rPr>
                <w:rFonts w:eastAsia="Calibri"/>
                <w:sz w:val="21"/>
                <w:szCs w:val="21"/>
              </w:rPr>
              <w:t>Interview Guide for Consumers with Past Antimicrobial Resistant Infections on Antimicrobial Resistance</w:t>
            </w:r>
          </w:p>
          <w:p w:rsidR="00B72480" w:rsidRPr="005C05D6" w:rsidP="006A6DA1" w14:paraId="59AD2C33" w14:textId="77777777">
            <w:pPr>
              <w:rPr>
                <w:sz w:val="21"/>
                <w:szCs w:val="21"/>
              </w:rPr>
            </w:pPr>
          </w:p>
          <w:p w:rsidR="00B72480" w:rsidRPr="005C05D6" w:rsidP="006A6DA1" w14:paraId="638582AE" w14:textId="77777777">
            <w:pPr>
              <w:rPr>
                <w:sz w:val="21"/>
                <w:szCs w:val="21"/>
              </w:rPr>
            </w:pPr>
            <w:r w:rsidRPr="005C05D6">
              <w:rPr>
                <w:i/>
                <w:iCs/>
                <w:sz w:val="21"/>
                <w:szCs w:val="21"/>
              </w:rPr>
              <w:t>Attachment 10</w:t>
            </w:r>
          </w:p>
        </w:tc>
        <w:tc>
          <w:tcPr>
            <w:tcW w:w="2160" w:type="dxa"/>
          </w:tcPr>
          <w:p w:rsidR="00B72480" w:rsidRPr="005C05D6" w:rsidP="006A6DA1" w14:paraId="13F34B78" w14:textId="77777777">
            <w:pPr>
              <w:rPr>
                <w:sz w:val="21"/>
                <w:szCs w:val="21"/>
              </w:rPr>
            </w:pPr>
            <w:r w:rsidRPr="005C05D6">
              <w:rPr>
                <w:sz w:val="21"/>
                <w:szCs w:val="21"/>
              </w:rPr>
              <w:t>Consumers</w:t>
            </w:r>
          </w:p>
        </w:tc>
        <w:tc>
          <w:tcPr>
            <w:tcW w:w="1443" w:type="dxa"/>
          </w:tcPr>
          <w:p w:rsidR="00B72480" w:rsidRPr="005C05D6" w:rsidP="006A6DA1" w14:paraId="77A2F08A" w14:textId="77777777">
            <w:pPr>
              <w:rPr>
                <w:sz w:val="21"/>
                <w:szCs w:val="21"/>
              </w:rPr>
            </w:pPr>
            <w:r w:rsidRPr="005C05D6">
              <w:rPr>
                <w:sz w:val="21"/>
                <w:szCs w:val="21"/>
              </w:rPr>
              <w:t>3</w:t>
            </w:r>
          </w:p>
        </w:tc>
        <w:tc>
          <w:tcPr>
            <w:tcW w:w="1678" w:type="dxa"/>
          </w:tcPr>
          <w:p w:rsidR="00B72480" w:rsidRPr="005C05D6" w:rsidP="006A6DA1" w14:paraId="40F2D5F2" w14:textId="77777777">
            <w:pPr>
              <w:rPr>
                <w:sz w:val="21"/>
                <w:szCs w:val="21"/>
              </w:rPr>
            </w:pPr>
            <w:r w:rsidRPr="005C05D6">
              <w:rPr>
                <w:sz w:val="21"/>
                <w:szCs w:val="21"/>
              </w:rPr>
              <w:t>1</w:t>
            </w:r>
          </w:p>
        </w:tc>
        <w:tc>
          <w:tcPr>
            <w:tcW w:w="1584" w:type="dxa"/>
          </w:tcPr>
          <w:p w:rsidR="00B72480" w:rsidRPr="005C05D6" w:rsidP="006A6DA1" w14:paraId="3F066979" w14:textId="77777777">
            <w:pPr>
              <w:rPr>
                <w:sz w:val="21"/>
                <w:szCs w:val="21"/>
              </w:rPr>
            </w:pPr>
            <w:r w:rsidRPr="005C05D6">
              <w:rPr>
                <w:sz w:val="21"/>
                <w:szCs w:val="21"/>
              </w:rPr>
              <w:t>1</w:t>
            </w:r>
          </w:p>
        </w:tc>
        <w:tc>
          <w:tcPr>
            <w:tcW w:w="1152" w:type="dxa"/>
          </w:tcPr>
          <w:p w:rsidR="00B72480" w:rsidRPr="005C05D6" w:rsidP="006A6DA1" w14:paraId="74092883" w14:textId="77777777">
            <w:pPr>
              <w:rPr>
                <w:sz w:val="21"/>
                <w:szCs w:val="21"/>
              </w:rPr>
            </w:pPr>
            <w:r w:rsidRPr="005C05D6">
              <w:rPr>
                <w:sz w:val="21"/>
                <w:szCs w:val="21"/>
              </w:rPr>
              <w:t>3</w:t>
            </w:r>
          </w:p>
        </w:tc>
      </w:tr>
      <w:tr w14:paraId="2FA9CA66" w14:textId="77777777" w:rsidTr="006A6DA1">
        <w:tblPrEx>
          <w:tblW w:w="10177" w:type="dxa"/>
          <w:tblLook w:val="04A0"/>
        </w:tblPrEx>
        <w:trPr>
          <w:trHeight w:val="503"/>
        </w:trPr>
        <w:tc>
          <w:tcPr>
            <w:tcW w:w="2160" w:type="dxa"/>
          </w:tcPr>
          <w:p w:rsidR="00B72480" w:rsidRPr="005C05D6" w:rsidP="006A6DA1" w14:paraId="00BE83DD" w14:textId="77777777">
            <w:pPr>
              <w:rPr>
                <w:i/>
                <w:iCs/>
                <w:sz w:val="21"/>
                <w:szCs w:val="21"/>
              </w:rPr>
            </w:pPr>
            <w:r w:rsidRPr="005C05D6">
              <w:rPr>
                <w:rFonts w:eastAsia="Calibri"/>
                <w:sz w:val="21"/>
                <w:szCs w:val="21"/>
              </w:rPr>
              <w:t>Survey on Antimicrobial Resistance Among National Policy Audiences</w:t>
            </w:r>
            <w:r w:rsidRPr="005C05D6">
              <w:rPr>
                <w:i/>
                <w:iCs/>
                <w:sz w:val="21"/>
                <w:szCs w:val="21"/>
              </w:rPr>
              <w:t xml:space="preserve"> </w:t>
            </w:r>
          </w:p>
          <w:p w:rsidR="00B72480" w:rsidRPr="005C05D6" w:rsidP="006A6DA1" w14:paraId="27D56458" w14:textId="77777777">
            <w:pPr>
              <w:rPr>
                <w:i/>
                <w:iCs/>
                <w:sz w:val="21"/>
                <w:szCs w:val="21"/>
              </w:rPr>
            </w:pPr>
          </w:p>
          <w:p w:rsidR="00B72480" w:rsidRPr="005C05D6" w:rsidP="006A6DA1" w14:paraId="40773A25" w14:textId="77777777">
            <w:pPr>
              <w:rPr>
                <w:sz w:val="21"/>
                <w:szCs w:val="21"/>
              </w:rPr>
            </w:pPr>
            <w:r w:rsidRPr="005C05D6">
              <w:rPr>
                <w:i/>
                <w:iCs/>
                <w:sz w:val="21"/>
                <w:szCs w:val="21"/>
              </w:rPr>
              <w:t>Attachment 11</w:t>
            </w:r>
          </w:p>
        </w:tc>
        <w:tc>
          <w:tcPr>
            <w:tcW w:w="2160" w:type="dxa"/>
          </w:tcPr>
          <w:p w:rsidR="00B72480" w:rsidRPr="005C05D6" w:rsidP="006A6DA1" w14:paraId="38FE68EF" w14:textId="77777777">
            <w:pPr>
              <w:rPr>
                <w:sz w:val="21"/>
                <w:szCs w:val="21"/>
              </w:rPr>
            </w:pPr>
            <w:r w:rsidRPr="005C05D6">
              <w:rPr>
                <w:sz w:val="21"/>
                <w:szCs w:val="21"/>
              </w:rPr>
              <w:t>Policy Audiences</w:t>
            </w:r>
          </w:p>
        </w:tc>
        <w:tc>
          <w:tcPr>
            <w:tcW w:w="1443" w:type="dxa"/>
          </w:tcPr>
          <w:p w:rsidR="00B72480" w:rsidRPr="005C05D6" w:rsidP="006A6DA1" w14:paraId="130C5F8F" w14:textId="77777777">
            <w:pPr>
              <w:rPr>
                <w:sz w:val="21"/>
                <w:szCs w:val="21"/>
              </w:rPr>
            </w:pPr>
            <w:r w:rsidRPr="005C05D6">
              <w:rPr>
                <w:sz w:val="21"/>
                <w:szCs w:val="21"/>
              </w:rPr>
              <w:t>300</w:t>
            </w:r>
          </w:p>
        </w:tc>
        <w:tc>
          <w:tcPr>
            <w:tcW w:w="1678" w:type="dxa"/>
          </w:tcPr>
          <w:p w:rsidR="00B72480" w:rsidRPr="005C05D6" w:rsidP="006A6DA1" w14:paraId="5CBAB668" w14:textId="77777777">
            <w:pPr>
              <w:rPr>
                <w:sz w:val="21"/>
                <w:szCs w:val="21"/>
              </w:rPr>
            </w:pPr>
            <w:r w:rsidRPr="005C05D6">
              <w:rPr>
                <w:sz w:val="21"/>
                <w:szCs w:val="21"/>
              </w:rPr>
              <w:t>1</w:t>
            </w:r>
          </w:p>
        </w:tc>
        <w:tc>
          <w:tcPr>
            <w:tcW w:w="1584" w:type="dxa"/>
          </w:tcPr>
          <w:p w:rsidR="00B72480" w:rsidRPr="005C05D6" w:rsidP="006A6DA1" w14:paraId="01F49C3C" w14:textId="77777777">
            <w:pPr>
              <w:rPr>
                <w:sz w:val="21"/>
                <w:szCs w:val="21"/>
              </w:rPr>
            </w:pPr>
            <w:r w:rsidRPr="005C05D6">
              <w:rPr>
                <w:sz w:val="21"/>
                <w:szCs w:val="21"/>
              </w:rPr>
              <w:t>13/60</w:t>
            </w:r>
          </w:p>
        </w:tc>
        <w:tc>
          <w:tcPr>
            <w:tcW w:w="1152" w:type="dxa"/>
          </w:tcPr>
          <w:p w:rsidR="00B72480" w:rsidRPr="005C05D6" w:rsidP="006A6DA1" w14:paraId="201A6538" w14:textId="77777777">
            <w:pPr>
              <w:rPr>
                <w:sz w:val="21"/>
                <w:szCs w:val="21"/>
              </w:rPr>
            </w:pPr>
            <w:r w:rsidRPr="005C05D6">
              <w:rPr>
                <w:sz w:val="21"/>
                <w:szCs w:val="21"/>
              </w:rPr>
              <w:t>43</w:t>
            </w:r>
          </w:p>
        </w:tc>
      </w:tr>
      <w:tr w14:paraId="0CB39925" w14:textId="77777777" w:rsidTr="006A6DA1">
        <w:tblPrEx>
          <w:tblW w:w="10177" w:type="dxa"/>
          <w:tblLook w:val="04A0"/>
        </w:tblPrEx>
        <w:tc>
          <w:tcPr>
            <w:tcW w:w="2160" w:type="dxa"/>
          </w:tcPr>
          <w:p w:rsidR="00B72480" w:rsidRPr="005C05D6" w:rsidP="006A6DA1" w14:paraId="1FC66640" w14:textId="77777777">
            <w:pPr>
              <w:spacing w:after="160" w:line="259" w:lineRule="auto"/>
              <w:rPr>
                <w:sz w:val="21"/>
                <w:szCs w:val="21"/>
              </w:rPr>
            </w:pPr>
            <w:r w:rsidRPr="005C05D6">
              <w:rPr>
                <w:b/>
                <w:sz w:val="21"/>
                <w:szCs w:val="21"/>
              </w:rPr>
              <w:t>Total</w:t>
            </w:r>
          </w:p>
        </w:tc>
        <w:tc>
          <w:tcPr>
            <w:tcW w:w="6865" w:type="dxa"/>
            <w:gridSpan w:val="4"/>
          </w:tcPr>
          <w:p w:rsidR="00B72480" w:rsidRPr="005C05D6" w:rsidP="006A6DA1" w14:paraId="194D6BC3" w14:textId="77777777">
            <w:pPr>
              <w:spacing w:after="160" w:line="259" w:lineRule="auto"/>
              <w:rPr>
                <w:sz w:val="21"/>
                <w:szCs w:val="21"/>
              </w:rPr>
            </w:pPr>
          </w:p>
        </w:tc>
        <w:tc>
          <w:tcPr>
            <w:tcW w:w="1152" w:type="dxa"/>
          </w:tcPr>
          <w:p w:rsidR="00B72480" w:rsidRPr="005C05D6" w:rsidP="006A6DA1" w14:paraId="4A2BC865" w14:textId="77777777">
            <w:pPr>
              <w:spacing w:after="160" w:line="259" w:lineRule="auto"/>
              <w:rPr>
                <w:b/>
                <w:bCs/>
                <w:sz w:val="21"/>
                <w:szCs w:val="21"/>
              </w:rPr>
            </w:pPr>
            <w:r w:rsidRPr="005C05D6">
              <w:rPr>
                <w:b/>
                <w:bCs/>
                <w:sz w:val="21"/>
                <w:szCs w:val="21"/>
              </w:rPr>
              <w:t>201</w:t>
            </w:r>
          </w:p>
        </w:tc>
      </w:tr>
    </w:tbl>
    <w:p w:rsidR="004A0641" w:rsidRPr="0001791A" w:rsidP="0001791A" w14:paraId="6BFA4C04" w14:textId="77777777">
      <w:pPr>
        <w:rPr>
          <w:rFonts w:ascii="Arial" w:hAnsi="Arial"/>
        </w:rPr>
      </w:pPr>
    </w:p>
    <w:p w:rsidR="0001791A" w:rsidP="00571D12" w14:paraId="52833F93" w14:textId="77777777">
      <w:pPr>
        <w:spacing w:after="0"/>
        <w:rPr>
          <w:rFonts w:ascii="Arial" w:hAnsi="Arial"/>
          <w:b/>
        </w:rPr>
      </w:pPr>
    </w:p>
    <w:p w:rsidR="00B46F2C" w:rsidRPr="00B372FB" w14:paraId="2713BA0E" w14:textId="354212E7">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01791A" w:rsidR="0001791A">
        <w:rPr>
          <w:rFonts w:ascii="Arial" w:hAnsi="Arial"/>
        </w:rPr>
        <w:t>$257,232.74</w:t>
      </w:r>
      <w:r w:rsidR="00661673">
        <w:rPr>
          <w:rFonts w:ascii="Arial" w:hAnsi="Arial"/>
        </w:rPr>
        <w:t>.</w:t>
      </w:r>
    </w:p>
    <w:p w:rsidR="00B46F2C" w:rsidRPr="00846B36" w:rsidP="00F06866" w14:paraId="2AA45D6E" w14:textId="05969D05">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t>[ ]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427C11" w:rsidRPr="00427C11" w:rsidP="005B0447" w14:paraId="09517617" w14:textId="02E761B9">
      <w:pPr>
        <w:rPr>
          <w:rFonts w:ascii="Arial" w:hAnsi="Arial"/>
        </w:rPr>
      </w:pPr>
      <w:r w:rsidRPr="00427C11">
        <w:rPr>
          <w:rFonts w:ascii="Arial" w:hAnsi="Arial"/>
        </w:rPr>
        <w:t xml:space="preserve">See Section 1 in Supporting Statement B for a full description of the sampling plan. </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41707174" w14:textId="430AD846">
      <w:pPr>
        <w:ind w:left="720"/>
        <w:rPr>
          <w:rFonts w:ascii="Arial" w:hAnsi="Arial"/>
        </w:rPr>
      </w:pPr>
      <w:r w:rsidRPr="00B372FB">
        <w:rPr>
          <w:rFonts w:ascii="Arial" w:hAnsi="Arial"/>
        </w:rPr>
        <w:t>[</w:t>
      </w:r>
      <w:r w:rsidR="004372BC">
        <w:rPr>
          <w:rFonts w:ascii="Arial" w:hAnsi="Arial"/>
        </w:rPr>
        <w:t xml:space="preserve">  </w:t>
      </w:r>
      <w:r w:rsidRPr="00B372FB">
        <w:rPr>
          <w:rFonts w:ascii="Arial" w:hAnsi="Arial"/>
        </w:rPr>
        <w:t>]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xml:space="preserve">[  ] Mail </w:t>
      </w:r>
    </w:p>
    <w:p w:rsidR="00B46F2C" w:rsidRPr="00B372FB" w:rsidP="001B0AAA" w14:paraId="19617B89" w14:textId="77777777">
      <w:pPr>
        <w:ind w:left="720"/>
        <w:rPr>
          <w:rFonts w:ascii="Arial" w:hAnsi="Arial"/>
        </w:rPr>
      </w:pPr>
      <w:r w:rsidRPr="00B372FB">
        <w:rPr>
          <w:rFonts w:ascii="Arial" w:hAnsi="Arial"/>
        </w:rPr>
        <w:t>[  ]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Yes [  ]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86E676F"/>
    <w:multiLevelType w:val="hybridMultilevel"/>
    <w:tmpl w:val="9446E4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BDA49D8"/>
    <w:multiLevelType w:val="hybridMultilevel"/>
    <w:tmpl w:val="6C7C61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A9F6895"/>
    <w:multiLevelType w:val="hybridMultilevel"/>
    <w:tmpl w:val="D8ACDD2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3"/>
  </w:num>
  <w:num w:numId="2" w16cid:durableId="782192017">
    <w:abstractNumId w:val="20"/>
  </w:num>
  <w:num w:numId="3" w16cid:durableId="1230575320">
    <w:abstractNumId w:val="18"/>
  </w:num>
  <w:num w:numId="4" w16cid:durableId="422532433">
    <w:abstractNumId w:val="21"/>
  </w:num>
  <w:num w:numId="5" w16cid:durableId="597061613">
    <w:abstractNumId w:val="3"/>
  </w:num>
  <w:num w:numId="6" w16cid:durableId="1510564662">
    <w:abstractNumId w:val="1"/>
  </w:num>
  <w:num w:numId="7" w16cid:durableId="393821088">
    <w:abstractNumId w:val="10"/>
  </w:num>
  <w:num w:numId="8" w16cid:durableId="1910457845">
    <w:abstractNumId w:val="16"/>
  </w:num>
  <w:num w:numId="9" w16cid:durableId="671376927">
    <w:abstractNumId w:val="12"/>
  </w:num>
  <w:num w:numId="10" w16cid:durableId="1949853155">
    <w:abstractNumId w:val="2"/>
  </w:num>
  <w:num w:numId="11" w16cid:durableId="1447312126">
    <w:abstractNumId w:val="7"/>
  </w:num>
  <w:num w:numId="12" w16cid:durableId="532571746">
    <w:abstractNumId w:val="8"/>
  </w:num>
  <w:num w:numId="13" w16cid:durableId="863246590">
    <w:abstractNumId w:val="0"/>
  </w:num>
  <w:num w:numId="14" w16cid:durableId="786045784">
    <w:abstractNumId w:val="17"/>
  </w:num>
  <w:num w:numId="15" w16cid:durableId="1762724449">
    <w:abstractNumId w:val="15"/>
  </w:num>
  <w:num w:numId="16" w16cid:durableId="1415544777">
    <w:abstractNumId w:val="14"/>
  </w:num>
  <w:num w:numId="17" w16cid:durableId="807406368">
    <w:abstractNumId w:val="4"/>
  </w:num>
  <w:num w:numId="18" w16cid:durableId="1958826791">
    <w:abstractNumId w:val="5"/>
  </w:num>
  <w:num w:numId="19" w16cid:durableId="605043257">
    <w:abstractNumId w:val="9"/>
  </w:num>
  <w:num w:numId="20" w16cid:durableId="1078088583">
    <w:abstractNumId w:val="6"/>
  </w:num>
  <w:num w:numId="21" w16cid:durableId="663239779">
    <w:abstractNumId w:val="11"/>
  </w:num>
  <w:num w:numId="22" w16cid:durableId="15316447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791A"/>
    <w:rsid w:val="00023A57"/>
    <w:rsid w:val="00047A64"/>
    <w:rsid w:val="00067329"/>
    <w:rsid w:val="000B2838"/>
    <w:rsid w:val="000D44CA"/>
    <w:rsid w:val="000E200B"/>
    <w:rsid w:val="000F68BE"/>
    <w:rsid w:val="0015167C"/>
    <w:rsid w:val="001927A4"/>
    <w:rsid w:val="00194AC6"/>
    <w:rsid w:val="001A1D54"/>
    <w:rsid w:val="001A23B0"/>
    <w:rsid w:val="001A25CC"/>
    <w:rsid w:val="001B0AAA"/>
    <w:rsid w:val="001C39F7"/>
    <w:rsid w:val="001D0776"/>
    <w:rsid w:val="001D4B2B"/>
    <w:rsid w:val="001E5F40"/>
    <w:rsid w:val="001F135F"/>
    <w:rsid w:val="00236666"/>
    <w:rsid w:val="00237B48"/>
    <w:rsid w:val="0024521E"/>
    <w:rsid w:val="00263C3D"/>
    <w:rsid w:val="0026753A"/>
    <w:rsid w:val="00274D0B"/>
    <w:rsid w:val="002821FF"/>
    <w:rsid w:val="002B378C"/>
    <w:rsid w:val="002B3C95"/>
    <w:rsid w:val="002D0B92"/>
    <w:rsid w:val="002F2EF9"/>
    <w:rsid w:val="002F5D2B"/>
    <w:rsid w:val="00303F23"/>
    <w:rsid w:val="003675DB"/>
    <w:rsid w:val="0039134D"/>
    <w:rsid w:val="003C0B83"/>
    <w:rsid w:val="003D5BBE"/>
    <w:rsid w:val="003E3C61"/>
    <w:rsid w:val="003F1522"/>
    <w:rsid w:val="003F1C5B"/>
    <w:rsid w:val="0041337D"/>
    <w:rsid w:val="00427C11"/>
    <w:rsid w:val="00434E33"/>
    <w:rsid w:val="004372BC"/>
    <w:rsid w:val="00441434"/>
    <w:rsid w:val="0045264C"/>
    <w:rsid w:val="00473E60"/>
    <w:rsid w:val="004876EC"/>
    <w:rsid w:val="004A0641"/>
    <w:rsid w:val="004D6E14"/>
    <w:rsid w:val="005009B0"/>
    <w:rsid w:val="00512CA7"/>
    <w:rsid w:val="005665EF"/>
    <w:rsid w:val="00571D12"/>
    <w:rsid w:val="005927D6"/>
    <w:rsid w:val="005A1006"/>
    <w:rsid w:val="005B0447"/>
    <w:rsid w:val="005C05D6"/>
    <w:rsid w:val="005D46C6"/>
    <w:rsid w:val="005E714A"/>
    <w:rsid w:val="005F73E0"/>
    <w:rsid w:val="006140A0"/>
    <w:rsid w:val="00630352"/>
    <w:rsid w:val="00636621"/>
    <w:rsid w:val="00642B49"/>
    <w:rsid w:val="00661673"/>
    <w:rsid w:val="006832D9"/>
    <w:rsid w:val="00684FAA"/>
    <w:rsid w:val="0069403B"/>
    <w:rsid w:val="006A6DA1"/>
    <w:rsid w:val="006E12B5"/>
    <w:rsid w:val="006F3DDE"/>
    <w:rsid w:val="00704678"/>
    <w:rsid w:val="007425E7"/>
    <w:rsid w:val="007D56BA"/>
    <w:rsid w:val="00802607"/>
    <w:rsid w:val="008101A5"/>
    <w:rsid w:val="00822664"/>
    <w:rsid w:val="00840FCA"/>
    <w:rsid w:val="00843796"/>
    <w:rsid w:val="00846B36"/>
    <w:rsid w:val="00895229"/>
    <w:rsid w:val="008D60EA"/>
    <w:rsid w:val="008F0203"/>
    <w:rsid w:val="008F27FD"/>
    <w:rsid w:val="008F50D4"/>
    <w:rsid w:val="009004CF"/>
    <w:rsid w:val="00916F8C"/>
    <w:rsid w:val="009239AA"/>
    <w:rsid w:val="00935ADA"/>
    <w:rsid w:val="00946B6C"/>
    <w:rsid w:val="00955A71"/>
    <w:rsid w:val="0096108F"/>
    <w:rsid w:val="009C13B9"/>
    <w:rsid w:val="009D01A2"/>
    <w:rsid w:val="009E3F9C"/>
    <w:rsid w:val="009F5923"/>
    <w:rsid w:val="00A0556E"/>
    <w:rsid w:val="00A07294"/>
    <w:rsid w:val="00A13253"/>
    <w:rsid w:val="00A16746"/>
    <w:rsid w:val="00A403BB"/>
    <w:rsid w:val="00A674DF"/>
    <w:rsid w:val="00A73DA9"/>
    <w:rsid w:val="00A83AA6"/>
    <w:rsid w:val="00A87422"/>
    <w:rsid w:val="00AC283A"/>
    <w:rsid w:val="00AE1809"/>
    <w:rsid w:val="00B32078"/>
    <w:rsid w:val="00B372FB"/>
    <w:rsid w:val="00B46F2C"/>
    <w:rsid w:val="00B56952"/>
    <w:rsid w:val="00B72480"/>
    <w:rsid w:val="00B80D76"/>
    <w:rsid w:val="00B85006"/>
    <w:rsid w:val="00BA2105"/>
    <w:rsid w:val="00BA7E06"/>
    <w:rsid w:val="00BB43B5"/>
    <w:rsid w:val="00BB6219"/>
    <w:rsid w:val="00BD290F"/>
    <w:rsid w:val="00BE5B1A"/>
    <w:rsid w:val="00BF5473"/>
    <w:rsid w:val="00C1435C"/>
    <w:rsid w:val="00C14CC4"/>
    <w:rsid w:val="00C33C52"/>
    <w:rsid w:val="00C40D8B"/>
    <w:rsid w:val="00C8407A"/>
    <w:rsid w:val="00C8488C"/>
    <w:rsid w:val="00C86E91"/>
    <w:rsid w:val="00C90B89"/>
    <w:rsid w:val="00CA05DF"/>
    <w:rsid w:val="00CA2650"/>
    <w:rsid w:val="00CB1078"/>
    <w:rsid w:val="00CC6FAF"/>
    <w:rsid w:val="00D24698"/>
    <w:rsid w:val="00D52B98"/>
    <w:rsid w:val="00D53192"/>
    <w:rsid w:val="00D6383F"/>
    <w:rsid w:val="00D71221"/>
    <w:rsid w:val="00D97DB9"/>
    <w:rsid w:val="00DB344C"/>
    <w:rsid w:val="00DB59D0"/>
    <w:rsid w:val="00DC33D3"/>
    <w:rsid w:val="00DF1B47"/>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2C41"/>
    <w:rsid w:val="00F15956"/>
    <w:rsid w:val="00F24CFC"/>
    <w:rsid w:val="00F3170F"/>
    <w:rsid w:val="00F4017B"/>
    <w:rsid w:val="00F45E35"/>
    <w:rsid w:val="00F976B0"/>
    <w:rsid w:val="00FA38AB"/>
    <w:rsid w:val="00FA6DE7"/>
    <w:rsid w:val="00FC0A8E"/>
    <w:rsid w:val="00FE2FA6"/>
    <w:rsid w:val="00FE3DF2"/>
    <w:rsid w:val="125E769D"/>
    <w:rsid w:val="32F561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3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0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80CB5-FCE8-4CD9-8508-0D57A4EDDF7B}">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1C149589-DD93-4649-9CD2-7DE87B6FD865}">
  <ds:schemaRefs>
    <ds:schemaRef ds:uri="http://schemas.microsoft.com/sharepoint/v3/contenttype/forms"/>
  </ds:schemaRefs>
</ds:datastoreItem>
</file>

<file path=customXml/itemProps3.xml><?xml version="1.0" encoding="utf-8"?>
<ds:datastoreItem xmlns:ds="http://schemas.openxmlformats.org/officeDocument/2006/customXml" ds:itemID="{3EB38537-C42A-4DE7-82A0-1C2B2EFEF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6</cp:revision>
  <cp:lastPrinted>2012-08-06T16:52:00Z</cp:lastPrinted>
  <dcterms:created xsi:type="dcterms:W3CDTF">2024-02-20T20:53:00Z</dcterms:created>
  <dcterms:modified xsi:type="dcterms:W3CDTF">2024-03-07T15:22:00Z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14918057-0051-4ab3-ab1f-4a494396330f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2023-11-28T16:16:16Z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