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2D3F" w:rsidRPr="00A55B49" w:rsidP="0033025E" w14:paraId="1DCFC7E1" w14:textId="794588D8">
      <w:pPr>
        <w:spacing w:after="0"/>
        <w:rPr>
          <w:rFonts w:ascii="Times New Roman" w:hAnsi="Times New Roman" w:cs="Times New Roman"/>
          <w:b/>
          <w:bCs/>
          <w:sz w:val="24"/>
          <w:szCs w:val="24"/>
        </w:rPr>
      </w:pPr>
      <w:r w:rsidRPr="00A55B49">
        <w:rPr>
          <w:rFonts w:ascii="Times New Roman" w:hAnsi="Times New Roman" w:cs="Times New Roman"/>
          <w:b/>
          <w:bCs/>
          <w:sz w:val="24"/>
          <w:szCs w:val="24"/>
        </w:rPr>
        <w:t xml:space="preserve">Developing a Framework to Identify and Address Job Hazards Unique to Women </w:t>
      </w:r>
      <w:r w:rsidRPr="00A55B49" w:rsidR="007F3624">
        <w:rPr>
          <w:rFonts w:ascii="Times New Roman" w:hAnsi="Times New Roman" w:cs="Times New Roman"/>
          <w:b/>
          <w:bCs/>
          <w:sz w:val="24"/>
          <w:szCs w:val="24"/>
        </w:rPr>
        <w:t>Mine Workers</w:t>
      </w:r>
    </w:p>
    <w:p w:rsidR="00166A79" w:rsidRPr="00A55B49" w:rsidP="005E629D" w14:paraId="7CD36B4D" w14:textId="4733D1A3">
      <w:pPr>
        <w:spacing w:after="0"/>
        <w:rPr>
          <w:rFonts w:ascii="Times New Roman" w:hAnsi="Times New Roman" w:cs="Times New Roman"/>
          <w:b/>
          <w:bCs/>
          <w:sz w:val="24"/>
          <w:szCs w:val="24"/>
        </w:rPr>
      </w:pPr>
    </w:p>
    <w:p w:rsidR="000073B4" w:rsidRPr="00A55B49" w:rsidP="005E629D" w14:paraId="74FD78F1" w14:textId="55C8705E">
      <w:pPr>
        <w:spacing w:after="0"/>
        <w:rPr>
          <w:rFonts w:ascii="Times New Roman" w:hAnsi="Times New Roman" w:cs="Times New Roman"/>
          <w:sz w:val="24"/>
          <w:szCs w:val="24"/>
        </w:rPr>
      </w:pPr>
    </w:p>
    <w:p w:rsidR="00527897" w:rsidRPr="00A55B49" w:rsidP="005E629D" w14:paraId="15B56847" w14:textId="77777777">
      <w:pPr>
        <w:spacing w:after="0"/>
        <w:rPr>
          <w:rFonts w:ascii="Times New Roman" w:hAnsi="Times New Roman" w:cs="Times New Roman"/>
          <w:sz w:val="24"/>
          <w:szCs w:val="24"/>
        </w:rPr>
      </w:pPr>
    </w:p>
    <w:p w:rsidR="00527897" w:rsidRPr="00A55B49" w:rsidP="005E629D" w14:paraId="7AA9CC1F" w14:textId="77777777">
      <w:pPr>
        <w:spacing w:after="0"/>
        <w:rPr>
          <w:rFonts w:ascii="Times New Roman" w:hAnsi="Times New Roman" w:cs="Times New Roman"/>
          <w:sz w:val="24"/>
          <w:szCs w:val="24"/>
        </w:rPr>
      </w:pPr>
    </w:p>
    <w:p w:rsidR="00527897" w:rsidRPr="00A55B49" w:rsidP="005E629D" w14:paraId="6FBEAF48" w14:textId="77777777">
      <w:pPr>
        <w:spacing w:after="0"/>
        <w:rPr>
          <w:rFonts w:ascii="Times New Roman" w:hAnsi="Times New Roman" w:cs="Times New Roman"/>
          <w:sz w:val="24"/>
          <w:szCs w:val="24"/>
        </w:rPr>
      </w:pPr>
    </w:p>
    <w:p w:rsidR="00527897" w:rsidRPr="00A55B49" w:rsidP="005E629D" w14:paraId="7689CCD5" w14:textId="77777777">
      <w:pPr>
        <w:spacing w:after="0"/>
        <w:jc w:val="center"/>
        <w:rPr>
          <w:rFonts w:ascii="Times New Roman" w:hAnsi="Times New Roman" w:cs="Times New Roman"/>
          <w:sz w:val="24"/>
          <w:szCs w:val="24"/>
        </w:rPr>
      </w:pPr>
      <w:r w:rsidRPr="00A55B49">
        <w:rPr>
          <w:rFonts w:ascii="Times New Roman" w:hAnsi="Times New Roman" w:cs="Times New Roman"/>
          <w:sz w:val="24"/>
          <w:szCs w:val="24"/>
        </w:rPr>
        <w:t xml:space="preserve">CDC/ATSDR Formative Research and Tool Development </w:t>
      </w:r>
    </w:p>
    <w:p w:rsidR="00527897" w:rsidRPr="00A55B49" w:rsidP="005E629D" w14:paraId="2561D528" w14:textId="53FF12DD">
      <w:pPr>
        <w:spacing w:after="0"/>
        <w:jc w:val="center"/>
        <w:rPr>
          <w:rFonts w:ascii="Times New Roman" w:hAnsi="Times New Roman" w:cs="Times New Roman"/>
          <w:sz w:val="24"/>
          <w:szCs w:val="24"/>
        </w:rPr>
      </w:pPr>
      <w:r w:rsidRPr="00A55B49">
        <w:rPr>
          <w:rFonts w:ascii="Times New Roman" w:hAnsi="Times New Roman" w:cs="Times New Roman"/>
          <w:sz w:val="24"/>
          <w:szCs w:val="24"/>
        </w:rPr>
        <w:t>0920-1154</w:t>
      </w:r>
    </w:p>
    <w:p w:rsidR="00107E6E" w:rsidRPr="00A55B49" w:rsidP="005E629D" w14:paraId="7E29C28B" w14:textId="77777777">
      <w:pPr>
        <w:spacing w:after="0"/>
        <w:jc w:val="center"/>
        <w:rPr>
          <w:rFonts w:ascii="Times New Roman" w:hAnsi="Times New Roman" w:cs="Times New Roman"/>
          <w:sz w:val="24"/>
          <w:szCs w:val="24"/>
        </w:rPr>
      </w:pPr>
    </w:p>
    <w:p w:rsidR="00527897" w:rsidRPr="00A55B49" w:rsidP="005E629D" w14:paraId="353B15C8" w14:textId="40B4992D">
      <w:pPr>
        <w:spacing w:after="0"/>
        <w:jc w:val="center"/>
        <w:rPr>
          <w:rFonts w:ascii="Times New Roman" w:hAnsi="Times New Roman" w:cs="Times New Roman"/>
          <w:sz w:val="24"/>
          <w:szCs w:val="24"/>
        </w:rPr>
      </w:pPr>
      <w:r w:rsidRPr="00A55B49">
        <w:rPr>
          <w:rFonts w:ascii="Times New Roman" w:hAnsi="Times New Roman" w:cs="Times New Roman"/>
          <w:sz w:val="24"/>
          <w:szCs w:val="24"/>
        </w:rPr>
        <w:t>Supporting Statement</w:t>
      </w:r>
      <w:r w:rsidRPr="00A55B49">
        <w:rPr>
          <w:rFonts w:ascii="Times New Roman" w:hAnsi="Times New Roman" w:cs="Times New Roman"/>
          <w:sz w:val="24"/>
          <w:szCs w:val="24"/>
        </w:rPr>
        <w:t xml:space="preserve"> A</w:t>
      </w:r>
    </w:p>
    <w:p w:rsidR="00D20D96" w:rsidRPr="00A55B49" w:rsidP="005E629D" w14:paraId="1D5992A4" w14:textId="38F0BDEA">
      <w:pPr>
        <w:spacing w:after="0"/>
        <w:jc w:val="center"/>
        <w:rPr>
          <w:rFonts w:ascii="Times New Roman" w:hAnsi="Times New Roman" w:cs="Times New Roman"/>
          <w:sz w:val="24"/>
          <w:szCs w:val="24"/>
        </w:rPr>
      </w:pPr>
      <w:r>
        <w:rPr>
          <w:rFonts w:ascii="Times New Roman" w:hAnsi="Times New Roman" w:cs="Times New Roman"/>
          <w:sz w:val="24"/>
          <w:szCs w:val="24"/>
        </w:rPr>
        <w:t>February</w:t>
      </w:r>
      <w:r w:rsidRPr="00A55B49">
        <w:rPr>
          <w:rFonts w:ascii="Times New Roman" w:hAnsi="Times New Roman" w:cs="Times New Roman"/>
          <w:sz w:val="24"/>
          <w:szCs w:val="24"/>
        </w:rPr>
        <w:t xml:space="preserve"> </w:t>
      </w:r>
      <w:r>
        <w:rPr>
          <w:rFonts w:ascii="Times New Roman" w:hAnsi="Times New Roman" w:cs="Times New Roman"/>
          <w:sz w:val="24"/>
          <w:szCs w:val="24"/>
        </w:rPr>
        <w:t>2</w:t>
      </w:r>
      <w:r w:rsidR="003127D9">
        <w:rPr>
          <w:rFonts w:ascii="Times New Roman" w:hAnsi="Times New Roman" w:cs="Times New Roman"/>
          <w:sz w:val="24"/>
          <w:szCs w:val="24"/>
        </w:rPr>
        <w:t>5</w:t>
      </w:r>
      <w:r w:rsidRPr="00A55B49" w:rsidR="00507F8E">
        <w:rPr>
          <w:rFonts w:ascii="Times New Roman" w:hAnsi="Times New Roman" w:cs="Times New Roman"/>
          <w:sz w:val="24"/>
          <w:szCs w:val="24"/>
        </w:rPr>
        <w:t xml:space="preserve">, </w:t>
      </w:r>
      <w:r w:rsidRPr="00A55B49">
        <w:rPr>
          <w:rFonts w:ascii="Times New Roman" w:hAnsi="Times New Roman" w:cs="Times New Roman"/>
          <w:sz w:val="24"/>
          <w:szCs w:val="24"/>
        </w:rPr>
        <w:t>202</w:t>
      </w:r>
      <w:r>
        <w:rPr>
          <w:rFonts w:ascii="Times New Roman" w:hAnsi="Times New Roman" w:cs="Times New Roman"/>
          <w:sz w:val="24"/>
          <w:szCs w:val="24"/>
        </w:rPr>
        <w:t>5</w:t>
      </w:r>
    </w:p>
    <w:p w:rsidR="00527897" w:rsidRPr="00A55B49" w:rsidP="005E629D" w14:paraId="36BF609D" w14:textId="77777777">
      <w:pPr>
        <w:spacing w:after="0"/>
        <w:jc w:val="center"/>
        <w:rPr>
          <w:rFonts w:ascii="Times New Roman" w:hAnsi="Times New Roman" w:cs="Times New Roman"/>
          <w:sz w:val="24"/>
          <w:szCs w:val="24"/>
          <w:highlight w:val="yellow"/>
        </w:rPr>
      </w:pPr>
    </w:p>
    <w:p w:rsidR="00527897" w:rsidRPr="00A55B49" w:rsidP="005E629D" w14:paraId="66EA4166" w14:textId="77777777">
      <w:pPr>
        <w:spacing w:after="0"/>
        <w:jc w:val="center"/>
        <w:rPr>
          <w:rFonts w:ascii="Times New Roman" w:hAnsi="Times New Roman" w:cs="Times New Roman"/>
          <w:sz w:val="24"/>
          <w:szCs w:val="24"/>
          <w:highlight w:val="yellow"/>
        </w:rPr>
      </w:pPr>
    </w:p>
    <w:p w:rsidR="00527897" w:rsidRPr="00A55B49" w:rsidP="005E629D" w14:paraId="43DBC224" w14:textId="77777777">
      <w:pPr>
        <w:spacing w:after="0" w:line="240" w:lineRule="auto"/>
        <w:rPr>
          <w:rFonts w:ascii="Times New Roman" w:hAnsi="Times New Roman" w:cs="Times New Roman"/>
          <w:sz w:val="24"/>
          <w:szCs w:val="24"/>
        </w:rPr>
      </w:pPr>
    </w:p>
    <w:p w:rsidR="00527897" w:rsidRPr="00A55B49" w:rsidP="005E629D" w14:paraId="60B3C1FB" w14:textId="77777777">
      <w:pPr>
        <w:spacing w:after="0" w:line="240" w:lineRule="auto"/>
        <w:rPr>
          <w:rFonts w:ascii="Times New Roman" w:hAnsi="Times New Roman" w:cs="Times New Roman"/>
          <w:sz w:val="24"/>
          <w:szCs w:val="24"/>
        </w:rPr>
      </w:pPr>
    </w:p>
    <w:p w:rsidR="00527897" w:rsidRPr="00A55B49" w:rsidP="005E629D" w14:paraId="6B25B164" w14:textId="77777777">
      <w:pPr>
        <w:spacing w:after="0" w:line="240" w:lineRule="auto"/>
        <w:rPr>
          <w:rFonts w:ascii="Times New Roman" w:hAnsi="Times New Roman" w:cs="Times New Roman"/>
          <w:sz w:val="24"/>
          <w:szCs w:val="24"/>
        </w:rPr>
      </w:pPr>
    </w:p>
    <w:p w:rsidR="00527897" w:rsidRPr="00A55B49" w:rsidP="005E629D" w14:paraId="20134928" w14:textId="77777777">
      <w:pPr>
        <w:spacing w:after="0" w:line="240" w:lineRule="auto"/>
        <w:rPr>
          <w:rFonts w:ascii="Times New Roman" w:hAnsi="Times New Roman" w:cs="Times New Roman"/>
          <w:sz w:val="24"/>
          <w:szCs w:val="24"/>
        </w:rPr>
      </w:pPr>
    </w:p>
    <w:p w:rsidR="00527897" w:rsidRPr="00A55B49" w:rsidP="005E629D" w14:paraId="1EEA58E0" w14:textId="77777777">
      <w:pPr>
        <w:spacing w:after="0" w:line="240" w:lineRule="auto"/>
        <w:rPr>
          <w:rFonts w:ascii="Times New Roman" w:hAnsi="Times New Roman" w:cs="Times New Roman"/>
          <w:sz w:val="24"/>
          <w:szCs w:val="24"/>
        </w:rPr>
      </w:pPr>
    </w:p>
    <w:p w:rsidR="00527897" w:rsidRPr="00A55B49" w:rsidP="005E629D" w14:paraId="1F605EF2" w14:textId="77777777">
      <w:pPr>
        <w:spacing w:after="0" w:line="240" w:lineRule="auto"/>
        <w:rPr>
          <w:rFonts w:ascii="Times New Roman" w:hAnsi="Times New Roman" w:cs="Times New Roman"/>
          <w:sz w:val="24"/>
          <w:szCs w:val="24"/>
        </w:rPr>
      </w:pPr>
    </w:p>
    <w:p w:rsidR="00527897" w:rsidRPr="00A55B49" w:rsidP="005E629D" w14:paraId="4F272E06" w14:textId="77777777">
      <w:pPr>
        <w:spacing w:after="0" w:line="240" w:lineRule="auto"/>
        <w:rPr>
          <w:rFonts w:ascii="Times New Roman" w:hAnsi="Times New Roman" w:cs="Times New Roman"/>
          <w:sz w:val="24"/>
          <w:szCs w:val="24"/>
        </w:rPr>
      </w:pPr>
    </w:p>
    <w:p w:rsidR="00527897" w:rsidRPr="00A55B49" w:rsidP="005E629D" w14:paraId="7A114D41" w14:textId="77777777">
      <w:pPr>
        <w:spacing w:after="0" w:line="240" w:lineRule="auto"/>
        <w:rPr>
          <w:rFonts w:ascii="Times New Roman" w:hAnsi="Times New Roman" w:cs="Times New Roman"/>
          <w:sz w:val="24"/>
          <w:szCs w:val="24"/>
        </w:rPr>
      </w:pPr>
    </w:p>
    <w:p w:rsidR="00527897" w:rsidRPr="00A55B49" w:rsidP="003D7C16" w14:paraId="4A7A7214" w14:textId="77777777">
      <w:pPr>
        <w:pStyle w:val="NoSpacing"/>
        <w:rPr>
          <w:rFonts w:ascii="Times New Roman" w:hAnsi="Times New Roman" w:cs="Times New Roman"/>
          <w:sz w:val="24"/>
          <w:szCs w:val="24"/>
        </w:rPr>
      </w:pPr>
    </w:p>
    <w:p w:rsidR="00D20D96" w:rsidRPr="00A55B49" w:rsidP="003D7C16" w14:paraId="72A8FCED" w14:textId="77777777">
      <w:pPr>
        <w:pStyle w:val="NoSpacing"/>
        <w:rPr>
          <w:rFonts w:ascii="Times New Roman" w:hAnsi="Times New Roman" w:cs="Times New Roman"/>
          <w:sz w:val="24"/>
          <w:szCs w:val="24"/>
        </w:rPr>
      </w:pPr>
    </w:p>
    <w:p w:rsidR="00D20D96" w:rsidRPr="00A55B49" w:rsidP="003D7C16" w14:paraId="7AA8B2A0" w14:textId="77777777">
      <w:pPr>
        <w:pStyle w:val="NoSpacing"/>
        <w:rPr>
          <w:rFonts w:ascii="Times New Roman" w:hAnsi="Times New Roman" w:cs="Times New Roman"/>
          <w:sz w:val="24"/>
          <w:szCs w:val="24"/>
        </w:rPr>
      </w:pPr>
    </w:p>
    <w:p w:rsidR="00087133" w:rsidRPr="00A55B49" w:rsidP="003D7C16" w14:paraId="12DA9907" w14:textId="6DF09DC7">
      <w:pPr>
        <w:pStyle w:val="NoSpacing"/>
        <w:rPr>
          <w:rFonts w:ascii="Times New Roman" w:hAnsi="Times New Roman" w:cs="Times New Roman"/>
          <w:sz w:val="24"/>
          <w:szCs w:val="24"/>
        </w:rPr>
      </w:pPr>
      <w:r w:rsidRPr="00A55B49">
        <w:rPr>
          <w:rFonts w:ascii="Times New Roman" w:hAnsi="Times New Roman" w:cs="Times New Roman"/>
          <w:sz w:val="24"/>
          <w:szCs w:val="24"/>
        </w:rPr>
        <w:t>Casey Stazick</w:t>
      </w:r>
    </w:p>
    <w:p w:rsidR="00527897" w:rsidRPr="00A55B49" w:rsidP="003D7C16" w14:paraId="1291D832" w14:textId="42E1DD25">
      <w:pPr>
        <w:pStyle w:val="NoSpacing"/>
        <w:rPr>
          <w:rFonts w:ascii="Times New Roman" w:hAnsi="Times New Roman" w:cs="Times New Roman"/>
          <w:sz w:val="24"/>
          <w:szCs w:val="24"/>
        </w:rPr>
      </w:pPr>
      <w:r w:rsidRPr="00A55B49">
        <w:rPr>
          <w:rFonts w:ascii="Times New Roman" w:hAnsi="Times New Roman" w:cs="Times New Roman"/>
          <w:sz w:val="24"/>
          <w:szCs w:val="24"/>
        </w:rPr>
        <w:t>Materials Engineer</w:t>
      </w:r>
      <w:r w:rsidRPr="00A55B49">
        <w:rPr>
          <w:rFonts w:ascii="Times New Roman" w:hAnsi="Times New Roman" w:cs="Times New Roman"/>
          <w:sz w:val="24"/>
          <w:szCs w:val="24"/>
        </w:rPr>
        <w:br/>
        <w:t>CDC/NIOSH</w:t>
      </w:r>
      <w:r w:rsidRPr="00A55B49">
        <w:rPr>
          <w:rFonts w:ascii="Times New Roman" w:hAnsi="Times New Roman" w:cs="Times New Roman"/>
          <w:sz w:val="24"/>
          <w:szCs w:val="24"/>
        </w:rPr>
        <w:br/>
        <w:t>315 E. Montgomery Ave.</w:t>
      </w:r>
    </w:p>
    <w:p w:rsidR="00527897" w:rsidRPr="00A55B49" w:rsidP="003D7C16" w14:paraId="680D1E97" w14:textId="77777777">
      <w:pPr>
        <w:pStyle w:val="NoSpacing"/>
        <w:rPr>
          <w:rFonts w:ascii="Times New Roman" w:hAnsi="Times New Roman" w:cs="Times New Roman"/>
          <w:sz w:val="24"/>
          <w:szCs w:val="24"/>
        </w:rPr>
      </w:pPr>
      <w:r w:rsidRPr="00A55B49">
        <w:rPr>
          <w:rFonts w:ascii="Times New Roman" w:hAnsi="Times New Roman" w:cs="Times New Roman"/>
          <w:sz w:val="24"/>
          <w:szCs w:val="24"/>
        </w:rPr>
        <w:t>Spokane, WA 99207</w:t>
      </w:r>
    </w:p>
    <w:p w:rsidR="00527897" w:rsidRPr="00A55B49" w:rsidP="003D7C16" w14:paraId="50A0AF05" w14:textId="6DEDA609">
      <w:pPr>
        <w:pStyle w:val="NoSpacing"/>
        <w:rPr>
          <w:rFonts w:ascii="Times New Roman" w:hAnsi="Times New Roman" w:cs="Times New Roman"/>
          <w:sz w:val="24"/>
          <w:szCs w:val="24"/>
        </w:rPr>
      </w:pPr>
      <w:r w:rsidRPr="00A55B49">
        <w:rPr>
          <w:rFonts w:ascii="Times New Roman" w:hAnsi="Times New Roman" w:cs="Times New Roman"/>
          <w:sz w:val="24"/>
          <w:szCs w:val="24"/>
        </w:rPr>
        <w:t>509-354-80</w:t>
      </w:r>
      <w:r w:rsidRPr="00A55B49" w:rsidR="00087133">
        <w:rPr>
          <w:rFonts w:ascii="Times New Roman" w:hAnsi="Times New Roman" w:cs="Times New Roman"/>
          <w:sz w:val="24"/>
          <w:szCs w:val="24"/>
        </w:rPr>
        <w:t>80</w:t>
      </w:r>
    </w:p>
    <w:p w:rsidR="00527897" w:rsidRPr="00A55B49" w:rsidP="003D7C16" w14:paraId="2AC3E76F" w14:textId="5107A00E">
      <w:pPr>
        <w:pStyle w:val="NoSpacing"/>
        <w:rPr>
          <w:rFonts w:ascii="Times New Roman" w:hAnsi="Times New Roman" w:cs="Times New Roman"/>
          <w:sz w:val="24"/>
          <w:szCs w:val="24"/>
        </w:rPr>
      </w:pPr>
      <w:hyperlink r:id="rId4" w:history="1">
        <w:r w:rsidRPr="00A55B49" w:rsidR="002C001F">
          <w:rPr>
            <w:rStyle w:val="Hyperlink"/>
            <w:rFonts w:ascii="Times New Roman" w:hAnsi="Times New Roman" w:cs="Times New Roman"/>
            <w:sz w:val="24"/>
            <w:szCs w:val="24"/>
          </w:rPr>
          <w:t>cstazick@cdc.gov</w:t>
        </w:r>
      </w:hyperlink>
      <w:r w:rsidRPr="00A55B49" w:rsidR="002C001F">
        <w:rPr>
          <w:rFonts w:ascii="Times New Roman" w:hAnsi="Times New Roman" w:cs="Times New Roman"/>
          <w:sz w:val="24"/>
          <w:szCs w:val="24"/>
        </w:rPr>
        <w:t xml:space="preserve"> </w:t>
      </w:r>
      <w:r w:rsidRPr="00A55B49">
        <w:rPr>
          <w:rFonts w:ascii="Times New Roman" w:hAnsi="Times New Roman" w:cs="Times New Roman"/>
          <w:sz w:val="24"/>
          <w:szCs w:val="24"/>
        </w:rPr>
        <w:t xml:space="preserve"> </w:t>
      </w:r>
    </w:p>
    <w:p w:rsidR="00527897" w:rsidRPr="00A55B49" w:rsidP="003D7C16" w14:paraId="36D6EE9E" w14:textId="77777777">
      <w:pPr>
        <w:pStyle w:val="NoSpacing"/>
        <w:rPr>
          <w:rFonts w:ascii="Times New Roman" w:hAnsi="Times New Roman" w:cs="Times New Roman"/>
          <w:sz w:val="24"/>
          <w:szCs w:val="24"/>
        </w:rPr>
      </w:pPr>
    </w:p>
    <w:p w:rsidR="00D20D96" w:rsidRPr="00A55B49" w:rsidP="00F8086E" w14:paraId="52DED05E" w14:textId="4EE879C0">
      <w:pPr>
        <w:spacing w:after="0"/>
        <w:rPr>
          <w:rFonts w:ascii="Times New Roman" w:hAnsi="Times New Roman" w:cs="Times New Roman"/>
          <w:sz w:val="24"/>
          <w:szCs w:val="24"/>
        </w:rPr>
      </w:pPr>
      <w:r w:rsidRPr="00A55B49">
        <w:rPr>
          <w:rFonts w:ascii="Times New Roman" w:hAnsi="Times New Roman" w:cs="Times New Roman"/>
          <w:sz w:val="24"/>
          <w:szCs w:val="24"/>
        </w:rPr>
        <w:br w:type="page"/>
      </w:r>
    </w:p>
    <w:p w:rsidR="00107E6E" w:rsidRPr="00A55B49" w:rsidP="003D7C16" w14:paraId="47938D65" w14:textId="77777777">
      <w:pPr>
        <w:pStyle w:val="NoSpacing"/>
        <w:rPr>
          <w:rFonts w:ascii="Times New Roman" w:hAnsi="Times New Roman" w:cs="Times New Roman"/>
          <w:sz w:val="24"/>
          <w:szCs w:val="24"/>
        </w:rPr>
      </w:pPr>
    </w:p>
    <w:p w:rsidR="00527897" w:rsidRPr="00A55B49" w:rsidP="003D7C16" w14:paraId="2948D453" w14:textId="77777777">
      <w:pPr>
        <w:pStyle w:val="NoSpacing"/>
        <w:rPr>
          <w:rFonts w:ascii="Times New Roman" w:hAnsi="Times New Roman" w:cs="Times New Roman"/>
          <w:sz w:val="24"/>
          <w:szCs w:val="24"/>
        </w:rPr>
      </w:pPr>
    </w:p>
    <w:p w:rsidR="00527897" w:rsidRPr="00A55B49" w:rsidP="005E629D" w14:paraId="2A603947" w14:textId="77777777">
      <w:pPr>
        <w:spacing w:after="0"/>
        <w:jc w:val="center"/>
        <w:rPr>
          <w:rFonts w:ascii="Times New Roman" w:hAnsi="Times New Roman" w:cs="Times New Roman"/>
          <w:b/>
          <w:sz w:val="24"/>
          <w:szCs w:val="24"/>
        </w:rPr>
      </w:pPr>
      <w:r w:rsidRPr="00A55B49">
        <w:rPr>
          <w:rFonts w:ascii="Times New Roman" w:hAnsi="Times New Roman" w:cs="Times New Roman"/>
          <w:b/>
          <w:sz w:val="24"/>
          <w:szCs w:val="24"/>
        </w:rPr>
        <w:t>Table of Contents</w:t>
      </w:r>
    </w:p>
    <w:p w:rsidR="00527897" w:rsidRPr="00A55B49" w:rsidP="005E629D" w14:paraId="48821EDA" w14:textId="77777777">
      <w:pPr>
        <w:spacing w:after="0"/>
        <w:rPr>
          <w:rFonts w:ascii="Times New Roman" w:hAnsi="Times New Roman" w:cs="Times New Roman"/>
          <w:b/>
          <w:sz w:val="24"/>
          <w:szCs w:val="24"/>
        </w:rPr>
      </w:pPr>
      <w:r w:rsidRPr="00A55B49">
        <w:rPr>
          <w:rFonts w:ascii="Times New Roman" w:hAnsi="Times New Roman" w:cs="Times New Roman"/>
          <w:b/>
          <w:sz w:val="24"/>
          <w:szCs w:val="24"/>
        </w:rPr>
        <w:t>Section</w:t>
      </w:r>
    </w:p>
    <w:p w:rsidR="00527897" w:rsidRPr="00A55B49" w:rsidP="005E629D" w14:paraId="42E664AA" w14:textId="77777777">
      <w:pPr>
        <w:pStyle w:val="ListParagraph"/>
        <w:numPr>
          <w:ilvl w:val="0"/>
          <w:numId w:val="1"/>
        </w:numPr>
        <w:spacing w:after="0"/>
        <w:rPr>
          <w:rFonts w:ascii="Times New Roman" w:hAnsi="Times New Roman" w:cs="Times New Roman"/>
          <w:b/>
          <w:sz w:val="24"/>
          <w:szCs w:val="24"/>
        </w:rPr>
      </w:pPr>
      <w:r w:rsidRPr="00A55B49">
        <w:rPr>
          <w:rFonts w:ascii="Times New Roman" w:hAnsi="Times New Roman" w:cs="Times New Roman"/>
          <w:b/>
          <w:sz w:val="24"/>
          <w:szCs w:val="24"/>
        </w:rPr>
        <w:t>Justification</w:t>
      </w:r>
    </w:p>
    <w:p w:rsidR="00527897" w:rsidRPr="00A55B49" w:rsidP="005E629D" w14:paraId="1BB0B4F0"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Circumstances Making Collection of Information Necessary</w:t>
      </w:r>
    </w:p>
    <w:p w:rsidR="00527897" w:rsidRPr="00A55B49" w:rsidP="005E629D" w14:paraId="651A133B"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Purpose and Use of the Information Collection</w:t>
      </w:r>
    </w:p>
    <w:p w:rsidR="00527897" w:rsidRPr="00A55B49" w:rsidP="005E629D" w14:paraId="3460B98B"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Use of Improved Information Technology and Burden Reduction</w:t>
      </w:r>
    </w:p>
    <w:p w:rsidR="00527897" w:rsidRPr="00A55B49" w:rsidP="005E629D" w14:paraId="7DBACDAD"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Efforts to Identify Duplication and Use of Similar Information</w:t>
      </w:r>
    </w:p>
    <w:p w:rsidR="00527897" w:rsidRPr="00A55B49" w:rsidP="005E629D" w14:paraId="0271714B"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Impact on Small Businesses or Other Small Entities</w:t>
      </w:r>
    </w:p>
    <w:p w:rsidR="00527897" w:rsidRPr="00A55B49" w:rsidP="005E629D" w14:paraId="5513FF12"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Consequences of Collecting the Information Less Frequently</w:t>
      </w:r>
    </w:p>
    <w:p w:rsidR="00527897" w:rsidRPr="00A55B49" w:rsidP="005E629D" w14:paraId="7B2D318D"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Special Circumstances Relating to the Guidelines of 5 CFR 1320.5</w:t>
      </w:r>
    </w:p>
    <w:p w:rsidR="00527897" w:rsidRPr="00A55B49" w:rsidP="005E629D" w14:paraId="0FD2E12A"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Comments in Response to the Federal Register Notice and Efforts to Consult Outside the Agency</w:t>
      </w:r>
    </w:p>
    <w:p w:rsidR="00527897" w:rsidRPr="00A55B49" w:rsidP="005E629D" w14:paraId="2814D450"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Explanation of Any Payment or Gift to Respondents</w:t>
      </w:r>
    </w:p>
    <w:p w:rsidR="00527897" w:rsidRPr="00A55B49" w:rsidP="005E629D" w14:paraId="4221C28D"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Protection of the Privacy and Confidentiality of Information Provided to Respondents</w:t>
      </w:r>
    </w:p>
    <w:p w:rsidR="00527897" w:rsidRPr="00A55B49" w:rsidP="005E629D" w14:paraId="24316B9F" w14:textId="7D6F9986">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Justification for Sensitive Questions</w:t>
      </w:r>
    </w:p>
    <w:p w:rsidR="00527897" w:rsidRPr="00A55B49" w:rsidP="005E629D" w14:paraId="16FA88C8"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Estimates of Annualized Burden Hours and Costs</w:t>
      </w:r>
    </w:p>
    <w:p w:rsidR="00527897" w:rsidRPr="00A55B49" w:rsidP="005E629D" w14:paraId="245E2837"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Estimates of Other Total Annual Cost Burden to Respondents and Record Keepers</w:t>
      </w:r>
    </w:p>
    <w:p w:rsidR="00527897" w:rsidRPr="00A55B49" w:rsidP="005E629D" w14:paraId="4B398B5D"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Annualized Cost to the Federal Government</w:t>
      </w:r>
    </w:p>
    <w:p w:rsidR="00527897" w:rsidRPr="00A55B49" w:rsidP="005E629D" w14:paraId="79A45043"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Explanation for Program Changes or Adjustments</w:t>
      </w:r>
    </w:p>
    <w:p w:rsidR="00527897" w:rsidRPr="00A55B49" w:rsidP="005E629D" w14:paraId="2FA8269B"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Plans for Tabulation and Publication and Project Time Schedule</w:t>
      </w:r>
    </w:p>
    <w:p w:rsidR="00527897" w:rsidRPr="00A55B49" w:rsidP="005E629D" w14:paraId="60DDE358"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Reason(s) Display of OMB Expiration Date is Inappropriate</w:t>
      </w:r>
    </w:p>
    <w:p w:rsidR="00527897" w:rsidRPr="00A55B49" w:rsidP="005E629D" w14:paraId="3B679B68"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Exceptions to Certification for Paperwork Reduction Act Submissions</w:t>
      </w:r>
    </w:p>
    <w:p w:rsidR="00527897" w:rsidRPr="00A55B49" w:rsidP="003D7C16" w14:paraId="0B39257F" w14:textId="77777777">
      <w:pPr>
        <w:pStyle w:val="NoSpacing"/>
        <w:rPr>
          <w:rFonts w:ascii="Times New Roman" w:hAnsi="Times New Roman" w:cs="Times New Roman"/>
          <w:sz w:val="24"/>
          <w:szCs w:val="24"/>
        </w:rPr>
      </w:pPr>
    </w:p>
    <w:p w:rsidR="00527897" w:rsidRPr="00A55B49" w:rsidP="005E629D" w14:paraId="46B57F86" w14:textId="38720388">
      <w:pPr>
        <w:spacing w:after="0"/>
        <w:rPr>
          <w:rFonts w:ascii="Times New Roman" w:hAnsi="Times New Roman" w:cs="Times New Roman"/>
          <w:b/>
          <w:sz w:val="24"/>
          <w:szCs w:val="24"/>
        </w:rPr>
      </w:pPr>
      <w:r w:rsidRPr="00A55B49">
        <w:rPr>
          <w:rFonts w:ascii="Times New Roman" w:hAnsi="Times New Roman" w:cs="Times New Roman"/>
          <w:b/>
          <w:sz w:val="24"/>
          <w:szCs w:val="24"/>
        </w:rPr>
        <w:t>Attachments</w:t>
      </w:r>
    </w:p>
    <w:p w:rsidR="00527897" w:rsidRPr="00A55B49" w:rsidP="005E629D" w14:paraId="3BEA1ACF" w14:textId="08FE3E3E">
      <w:pPr>
        <w:spacing w:after="0"/>
        <w:rPr>
          <w:rFonts w:ascii="Times New Roman" w:hAnsi="Times New Roman" w:cs="Times New Roman"/>
          <w:bCs/>
          <w:sz w:val="24"/>
          <w:szCs w:val="24"/>
        </w:rPr>
      </w:pPr>
      <w:r w:rsidRPr="00A55B49">
        <w:rPr>
          <w:rFonts w:ascii="Times New Roman" w:hAnsi="Times New Roman" w:cs="Times New Roman"/>
          <w:bCs/>
          <w:sz w:val="24"/>
          <w:szCs w:val="24"/>
        </w:rPr>
        <w:t>Attachment</w:t>
      </w:r>
      <w:r w:rsidRPr="00A55B49" w:rsidR="00F32A6F">
        <w:rPr>
          <w:rFonts w:ascii="Times New Roman" w:hAnsi="Times New Roman" w:cs="Times New Roman"/>
          <w:bCs/>
          <w:sz w:val="24"/>
          <w:szCs w:val="24"/>
        </w:rPr>
        <w:t xml:space="preserve"> </w:t>
      </w:r>
      <w:r w:rsidRPr="00A55B49">
        <w:rPr>
          <w:rFonts w:ascii="Times New Roman" w:hAnsi="Times New Roman" w:cs="Times New Roman"/>
          <w:bCs/>
          <w:sz w:val="24"/>
          <w:szCs w:val="24"/>
        </w:rPr>
        <w:t>A</w:t>
      </w:r>
      <w:r w:rsidRPr="00A55B49" w:rsidR="00C023BB">
        <w:rPr>
          <w:rFonts w:ascii="Times New Roman" w:hAnsi="Times New Roman" w:cs="Times New Roman"/>
          <w:bCs/>
          <w:sz w:val="24"/>
          <w:szCs w:val="24"/>
        </w:rPr>
        <w:t>:</w:t>
      </w:r>
      <w:r w:rsidRPr="00A55B49">
        <w:rPr>
          <w:rFonts w:ascii="Times New Roman" w:hAnsi="Times New Roman" w:cs="Times New Roman"/>
          <w:bCs/>
          <w:sz w:val="24"/>
          <w:szCs w:val="24"/>
        </w:rPr>
        <w:t xml:space="preserve"> </w:t>
      </w:r>
      <w:r w:rsidRPr="00A55B49" w:rsidR="000D7ACD">
        <w:rPr>
          <w:rFonts w:ascii="Times New Roman" w:hAnsi="Times New Roman" w:cs="Times New Roman"/>
          <w:bCs/>
          <w:sz w:val="24"/>
          <w:szCs w:val="24"/>
        </w:rPr>
        <w:t>Federal Mine Safety and Health Act</w:t>
      </w:r>
    </w:p>
    <w:p w:rsidR="000D7ACD" w:rsidRPr="00A55B49" w:rsidP="005E629D" w14:paraId="1755C33C" w14:textId="545074BC">
      <w:pPr>
        <w:spacing w:after="0"/>
        <w:rPr>
          <w:rFonts w:ascii="Times New Roman" w:hAnsi="Times New Roman" w:cs="Times New Roman"/>
          <w:bCs/>
          <w:sz w:val="24"/>
          <w:szCs w:val="24"/>
        </w:rPr>
      </w:pPr>
      <w:r w:rsidRPr="00A55B49">
        <w:rPr>
          <w:rFonts w:ascii="Times New Roman" w:hAnsi="Times New Roman" w:cs="Times New Roman"/>
          <w:bCs/>
          <w:sz w:val="24"/>
          <w:szCs w:val="24"/>
        </w:rPr>
        <w:t xml:space="preserve">Attachment </w:t>
      </w:r>
      <w:r w:rsidRPr="00A55B49">
        <w:rPr>
          <w:rFonts w:ascii="Times New Roman" w:hAnsi="Times New Roman" w:cs="Times New Roman"/>
          <w:bCs/>
          <w:sz w:val="24"/>
          <w:szCs w:val="24"/>
        </w:rPr>
        <w:t>B</w:t>
      </w:r>
      <w:r w:rsidRPr="00A55B49">
        <w:rPr>
          <w:rFonts w:ascii="Times New Roman" w:hAnsi="Times New Roman" w:cs="Times New Roman"/>
          <w:bCs/>
          <w:sz w:val="24"/>
          <w:szCs w:val="24"/>
        </w:rPr>
        <w:t>:</w:t>
      </w:r>
      <w:r w:rsidRPr="00A55B49">
        <w:rPr>
          <w:rFonts w:ascii="Times New Roman" w:hAnsi="Times New Roman" w:cs="Times New Roman"/>
          <w:bCs/>
          <w:sz w:val="24"/>
          <w:szCs w:val="24"/>
        </w:rPr>
        <w:t xml:space="preserve"> </w:t>
      </w:r>
      <w:r w:rsidRPr="00A55B49" w:rsidR="00DE6701">
        <w:rPr>
          <w:rFonts w:ascii="Times New Roman" w:hAnsi="Times New Roman" w:cs="Times New Roman"/>
          <w:bCs/>
          <w:sz w:val="24"/>
          <w:szCs w:val="24"/>
        </w:rPr>
        <w:t xml:space="preserve">Focus Group Conversation Guide for </w:t>
      </w:r>
      <w:r w:rsidRPr="00A55B49" w:rsidR="00090400">
        <w:rPr>
          <w:rFonts w:ascii="Times New Roman" w:hAnsi="Times New Roman" w:cs="Times New Roman"/>
          <w:bCs/>
          <w:sz w:val="24"/>
          <w:szCs w:val="24"/>
        </w:rPr>
        <w:t>Women Mine Worker</w:t>
      </w:r>
      <w:r w:rsidRPr="00A55B49" w:rsidR="00DE6701">
        <w:rPr>
          <w:rFonts w:ascii="Times New Roman" w:hAnsi="Times New Roman" w:cs="Times New Roman"/>
          <w:bCs/>
          <w:sz w:val="24"/>
          <w:szCs w:val="24"/>
        </w:rPr>
        <w:t>s</w:t>
      </w:r>
    </w:p>
    <w:p w:rsidR="000D7ACD" w:rsidRPr="00A55B49" w:rsidP="005E629D" w14:paraId="007DF603" w14:textId="2D9B3168">
      <w:pPr>
        <w:spacing w:after="0"/>
        <w:rPr>
          <w:rFonts w:ascii="Times New Roman" w:hAnsi="Times New Roman" w:cs="Times New Roman"/>
          <w:bCs/>
          <w:sz w:val="24"/>
          <w:szCs w:val="24"/>
        </w:rPr>
      </w:pPr>
      <w:r w:rsidRPr="00A55B49">
        <w:rPr>
          <w:rFonts w:ascii="Times New Roman" w:hAnsi="Times New Roman" w:cs="Times New Roman"/>
          <w:bCs/>
          <w:sz w:val="24"/>
          <w:szCs w:val="24"/>
        </w:rPr>
        <w:t xml:space="preserve">Attachment </w:t>
      </w:r>
      <w:r w:rsidRPr="00A55B49">
        <w:rPr>
          <w:rFonts w:ascii="Times New Roman" w:hAnsi="Times New Roman" w:cs="Times New Roman"/>
          <w:bCs/>
          <w:sz w:val="24"/>
          <w:szCs w:val="24"/>
        </w:rPr>
        <w:t>C</w:t>
      </w:r>
      <w:r w:rsidRPr="00A55B49">
        <w:rPr>
          <w:rFonts w:ascii="Times New Roman" w:hAnsi="Times New Roman" w:cs="Times New Roman"/>
          <w:bCs/>
          <w:sz w:val="24"/>
          <w:szCs w:val="24"/>
        </w:rPr>
        <w:t>:</w:t>
      </w:r>
      <w:r w:rsidRPr="00A55B49">
        <w:rPr>
          <w:rFonts w:ascii="Times New Roman" w:hAnsi="Times New Roman" w:cs="Times New Roman"/>
          <w:bCs/>
          <w:sz w:val="24"/>
          <w:szCs w:val="24"/>
        </w:rPr>
        <w:t xml:space="preserve"> </w:t>
      </w:r>
      <w:r w:rsidRPr="00A55B49" w:rsidR="00DE6701">
        <w:rPr>
          <w:rFonts w:ascii="Times New Roman" w:hAnsi="Times New Roman" w:cs="Times New Roman"/>
          <w:bCs/>
          <w:sz w:val="24"/>
          <w:szCs w:val="24"/>
        </w:rPr>
        <w:t>Focus Group Conversation Guide for Mine Managers and H&amp;S Professionals</w:t>
      </w:r>
      <w:r w:rsidRPr="00A55B49">
        <w:rPr>
          <w:rFonts w:ascii="Times New Roman" w:hAnsi="Times New Roman" w:cs="Times New Roman"/>
          <w:bCs/>
          <w:sz w:val="24"/>
          <w:szCs w:val="24"/>
        </w:rPr>
        <w:t xml:space="preserve"> </w:t>
      </w:r>
    </w:p>
    <w:p w:rsidR="000D7ACD" w:rsidRPr="00A55B49" w:rsidP="005E629D" w14:paraId="6D3DB3C6" w14:textId="4816CD7E">
      <w:pPr>
        <w:spacing w:after="0"/>
        <w:rPr>
          <w:rFonts w:ascii="Times New Roman" w:hAnsi="Times New Roman" w:cs="Times New Roman"/>
          <w:bCs/>
          <w:sz w:val="24"/>
          <w:szCs w:val="24"/>
        </w:rPr>
      </w:pPr>
      <w:r w:rsidRPr="00A55B49">
        <w:rPr>
          <w:rFonts w:ascii="Times New Roman" w:hAnsi="Times New Roman" w:cs="Times New Roman"/>
          <w:bCs/>
          <w:sz w:val="24"/>
          <w:szCs w:val="24"/>
        </w:rPr>
        <w:t xml:space="preserve">Attachment </w:t>
      </w:r>
      <w:r w:rsidRPr="00A55B49">
        <w:rPr>
          <w:rFonts w:ascii="Times New Roman" w:hAnsi="Times New Roman" w:cs="Times New Roman"/>
          <w:bCs/>
          <w:sz w:val="24"/>
          <w:szCs w:val="24"/>
        </w:rPr>
        <w:t>D</w:t>
      </w:r>
      <w:r w:rsidRPr="00A55B49">
        <w:rPr>
          <w:rFonts w:ascii="Times New Roman" w:hAnsi="Times New Roman" w:cs="Times New Roman"/>
          <w:bCs/>
          <w:sz w:val="24"/>
          <w:szCs w:val="24"/>
        </w:rPr>
        <w:t>:</w:t>
      </w:r>
      <w:r w:rsidRPr="00A55B49">
        <w:rPr>
          <w:rFonts w:ascii="Times New Roman" w:hAnsi="Times New Roman" w:cs="Times New Roman"/>
          <w:bCs/>
          <w:sz w:val="24"/>
          <w:szCs w:val="24"/>
        </w:rPr>
        <w:t xml:space="preserve"> </w:t>
      </w:r>
      <w:r w:rsidRPr="00A55B49" w:rsidR="005005EF">
        <w:rPr>
          <w:rFonts w:ascii="Times New Roman" w:hAnsi="Times New Roman" w:cs="Times New Roman"/>
          <w:bCs/>
          <w:sz w:val="24"/>
          <w:szCs w:val="24"/>
        </w:rPr>
        <w:t xml:space="preserve">Demographics and </w:t>
      </w:r>
      <w:r w:rsidRPr="00A55B49" w:rsidR="006E1813">
        <w:rPr>
          <w:rFonts w:ascii="Times New Roman" w:hAnsi="Times New Roman" w:cs="Times New Roman"/>
          <w:bCs/>
          <w:sz w:val="24"/>
          <w:szCs w:val="24"/>
        </w:rPr>
        <w:t xml:space="preserve">Work History </w:t>
      </w:r>
      <w:r w:rsidRPr="00A55B49" w:rsidR="00976E20">
        <w:rPr>
          <w:rFonts w:ascii="Times New Roman" w:hAnsi="Times New Roman" w:cs="Times New Roman"/>
          <w:bCs/>
          <w:sz w:val="24"/>
          <w:szCs w:val="24"/>
        </w:rPr>
        <w:t>Survey</w:t>
      </w:r>
    </w:p>
    <w:p w:rsidR="00093159" w:rsidRPr="00A55B49" w:rsidP="005E629D" w14:paraId="5951587C" w14:textId="2E47644A">
      <w:pPr>
        <w:spacing w:after="0"/>
        <w:rPr>
          <w:rFonts w:ascii="Times New Roman" w:hAnsi="Times New Roman" w:cs="Times New Roman"/>
          <w:bCs/>
          <w:sz w:val="24"/>
          <w:szCs w:val="24"/>
        </w:rPr>
      </w:pPr>
      <w:r w:rsidRPr="00A55B49">
        <w:rPr>
          <w:rFonts w:ascii="Times New Roman" w:hAnsi="Times New Roman" w:cs="Times New Roman"/>
          <w:bCs/>
          <w:sz w:val="24"/>
          <w:szCs w:val="24"/>
        </w:rPr>
        <w:t>Attachment E: Recruitment Materials</w:t>
      </w:r>
    </w:p>
    <w:p w:rsidR="005D4D35" w:rsidRPr="00A55B49" w:rsidP="005E629D" w14:paraId="422AA8B5" w14:textId="5F0B8565">
      <w:pPr>
        <w:spacing w:after="0"/>
        <w:rPr>
          <w:rFonts w:ascii="Times New Roman" w:hAnsi="Times New Roman" w:cs="Times New Roman"/>
          <w:bCs/>
          <w:sz w:val="24"/>
          <w:szCs w:val="24"/>
        </w:rPr>
      </w:pPr>
      <w:r w:rsidRPr="00A55B49">
        <w:rPr>
          <w:rFonts w:ascii="Times New Roman" w:hAnsi="Times New Roman" w:cs="Times New Roman"/>
          <w:bCs/>
          <w:sz w:val="24"/>
          <w:szCs w:val="24"/>
        </w:rPr>
        <w:t xml:space="preserve">Attachment </w:t>
      </w:r>
      <w:r w:rsidRPr="00A55B49" w:rsidR="00093159">
        <w:rPr>
          <w:rFonts w:ascii="Times New Roman" w:hAnsi="Times New Roman" w:cs="Times New Roman"/>
          <w:bCs/>
          <w:sz w:val="24"/>
          <w:szCs w:val="24"/>
        </w:rPr>
        <w:t>F</w:t>
      </w:r>
      <w:r w:rsidRPr="00A55B49">
        <w:rPr>
          <w:rFonts w:ascii="Times New Roman" w:hAnsi="Times New Roman" w:cs="Times New Roman"/>
          <w:bCs/>
          <w:sz w:val="24"/>
          <w:szCs w:val="24"/>
        </w:rPr>
        <w:t>:</w:t>
      </w:r>
      <w:r w:rsidRPr="00A55B49">
        <w:rPr>
          <w:rFonts w:ascii="Times New Roman" w:hAnsi="Times New Roman" w:cs="Times New Roman"/>
          <w:bCs/>
          <w:sz w:val="24"/>
          <w:szCs w:val="24"/>
        </w:rPr>
        <w:t xml:space="preserve"> IRB Exemption</w:t>
      </w:r>
    </w:p>
    <w:p w:rsidR="00343343" w:rsidRPr="00A55B49" w:rsidP="005E629D" w14:paraId="1EA88DEE" w14:textId="74E46034">
      <w:pPr>
        <w:spacing w:after="0"/>
        <w:rPr>
          <w:rFonts w:ascii="Times New Roman" w:hAnsi="Times New Roman" w:cs="Times New Roman"/>
          <w:bCs/>
          <w:sz w:val="24"/>
          <w:szCs w:val="24"/>
        </w:rPr>
      </w:pPr>
      <w:r w:rsidRPr="00A55B49">
        <w:rPr>
          <w:rFonts w:ascii="Times New Roman" w:hAnsi="Times New Roman" w:cs="Times New Roman"/>
          <w:bCs/>
          <w:sz w:val="24"/>
          <w:szCs w:val="24"/>
        </w:rPr>
        <w:t>Attachment</w:t>
      </w:r>
      <w:r w:rsidRPr="00A55B49" w:rsidR="006038A7">
        <w:rPr>
          <w:rFonts w:ascii="Times New Roman" w:hAnsi="Times New Roman" w:cs="Times New Roman"/>
          <w:bCs/>
          <w:sz w:val="24"/>
          <w:szCs w:val="24"/>
        </w:rPr>
        <w:t xml:space="preserve"> G</w:t>
      </w:r>
      <w:r w:rsidRPr="00A55B49">
        <w:rPr>
          <w:rFonts w:ascii="Times New Roman" w:hAnsi="Times New Roman" w:cs="Times New Roman"/>
          <w:bCs/>
          <w:sz w:val="24"/>
          <w:szCs w:val="24"/>
        </w:rPr>
        <w:t xml:space="preserve">: </w:t>
      </w:r>
      <w:r w:rsidRPr="00A55B49" w:rsidR="006038A7">
        <w:rPr>
          <w:rFonts w:ascii="Times New Roman" w:hAnsi="Times New Roman" w:cs="Times New Roman"/>
          <w:bCs/>
          <w:sz w:val="24"/>
          <w:szCs w:val="24"/>
        </w:rPr>
        <w:t>Informed Consent Form for Women Mine Workers</w:t>
      </w:r>
    </w:p>
    <w:p w:rsidR="006038A7" w:rsidRPr="00A55B49" w:rsidP="005E629D" w14:paraId="17FA3F7B" w14:textId="06519F58">
      <w:pPr>
        <w:spacing w:after="0"/>
        <w:rPr>
          <w:rFonts w:ascii="Times New Roman" w:hAnsi="Times New Roman" w:cs="Times New Roman"/>
          <w:bCs/>
          <w:sz w:val="24"/>
          <w:szCs w:val="24"/>
        </w:rPr>
      </w:pPr>
      <w:r w:rsidRPr="00A55B49">
        <w:rPr>
          <w:rFonts w:ascii="Times New Roman" w:hAnsi="Times New Roman" w:cs="Times New Roman"/>
          <w:bCs/>
          <w:sz w:val="24"/>
          <w:szCs w:val="24"/>
        </w:rPr>
        <w:t>Attachment H: Informed Consent Form for Mine Managers and H&amp;S Professionals</w:t>
      </w:r>
    </w:p>
    <w:p w:rsidR="00C77006" w:rsidRPr="00A55B49" w:rsidP="005E629D" w14:paraId="0B411DE1" w14:textId="77777777">
      <w:pPr>
        <w:spacing w:after="0"/>
        <w:rPr>
          <w:rFonts w:ascii="Times New Roman" w:hAnsi="Times New Roman" w:cs="Times New Roman"/>
          <w:bCs/>
          <w:sz w:val="24"/>
          <w:szCs w:val="24"/>
        </w:rPr>
      </w:pPr>
    </w:p>
    <w:p w:rsidR="008E7077" w:rsidRPr="00A55B49" w:rsidP="005010CA" w14:paraId="3050A5B4" w14:textId="77777777">
      <w:pPr>
        <w:spacing w:after="0"/>
        <w:rPr>
          <w:rFonts w:ascii="Times New Roman" w:hAnsi="Times New Roman" w:cs="Times New Roman"/>
          <w:sz w:val="24"/>
          <w:szCs w:val="24"/>
        </w:rPr>
      </w:pPr>
      <w:r w:rsidRPr="00A55B49">
        <w:rPr>
          <w:rFonts w:ascii="Times New Roman" w:hAnsi="Times New Roman" w:cs="Times New Roman"/>
          <w:sz w:val="24"/>
          <w:szCs w:val="24"/>
        </w:rPr>
        <w:br w:type="page"/>
      </w:r>
    </w:p>
    <w:p w:rsidR="00AD041E" w:rsidRPr="00A55B49" w:rsidP="003A4E93" w14:paraId="76160B1E" w14:textId="17324FCB">
      <w:pPr>
        <w:spacing w:after="0"/>
        <w:rPr>
          <w:rFonts w:ascii="Times New Roman" w:hAnsi="Times New Roman" w:cs="Times New Roman"/>
          <w:sz w:val="24"/>
          <w:szCs w:val="24"/>
        </w:rPr>
      </w:pPr>
      <w:r w:rsidRPr="00A55B49">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simplePos x="0" y="0"/>
                <wp:positionH relativeFrom="column">
                  <wp:posOffset>-26504</wp:posOffset>
                </wp:positionH>
                <wp:positionV relativeFrom="paragraph">
                  <wp:posOffset>497</wp:posOffset>
                </wp:positionV>
                <wp:extent cx="6486525" cy="8766313"/>
                <wp:effectExtent l="0" t="0" r="28575" b="15875"/>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86525" cy="8766313"/>
                        </a:xfrm>
                        <a:prstGeom prst="rect">
                          <a:avLst/>
                        </a:prstGeom>
                        <a:solidFill>
                          <a:srgbClr val="FFFFFF"/>
                        </a:solidFill>
                        <a:ln w="9525">
                          <a:solidFill>
                            <a:srgbClr val="000000"/>
                          </a:solidFill>
                          <a:miter lim="800000"/>
                          <a:headEnd/>
                          <a:tailEnd/>
                        </a:ln>
                      </wps:spPr>
                      <wps:txbx>
                        <w:txbxContent>
                          <w:p w:rsidR="004039EA" w:rsidP="00F057A1" w14:textId="6C3E19AB">
                            <w:pPr>
                              <w:pStyle w:val="NoSpacing"/>
                              <w:rPr>
                                <w:rFonts w:ascii="Times New Roman" w:hAnsi="Times New Roman" w:cs="Times New Roman"/>
                                <w:sz w:val="24"/>
                                <w:szCs w:val="24"/>
                              </w:rPr>
                            </w:pPr>
                            <w:r>
                              <w:rPr>
                                <w:rFonts w:ascii="Times New Roman" w:hAnsi="Times New Roman" w:cs="Times New Roman"/>
                                <w:b/>
                                <w:sz w:val="24"/>
                              </w:rPr>
                              <w:t>Goal of the study</w:t>
                            </w:r>
                            <w:r w:rsidRPr="0089781B">
                              <w:rPr>
                                <w:rFonts w:ascii="Times New Roman" w:hAnsi="Times New Roman" w:cs="Times New Roman"/>
                                <w:sz w:val="24"/>
                              </w:rPr>
                              <w:t xml:space="preserve">: </w:t>
                            </w:r>
                            <w:r w:rsidR="00D705DE">
                              <w:rPr>
                                <w:rFonts w:ascii="Times New Roman" w:hAnsi="Times New Roman" w:cs="Times New Roman"/>
                                <w:sz w:val="24"/>
                              </w:rPr>
                              <w:t>The goal of this</w:t>
                            </w:r>
                            <w:r w:rsidRPr="00CA47A0" w:rsidR="00CA47A0">
                              <w:rPr>
                                <w:rFonts w:ascii="Times New Roman" w:hAnsi="Times New Roman" w:cs="Times New Roman"/>
                                <w:sz w:val="24"/>
                              </w:rPr>
                              <w:t xml:space="preserve"> qualitative study </w:t>
                            </w:r>
                            <w:r w:rsidR="00D705DE">
                              <w:rPr>
                                <w:rFonts w:ascii="Times New Roman" w:hAnsi="Times New Roman" w:cs="Times New Roman"/>
                                <w:sz w:val="24"/>
                              </w:rPr>
                              <w:t>is to</w:t>
                            </w:r>
                            <w:r w:rsidRPr="00CA47A0" w:rsidR="00CA47A0">
                              <w:rPr>
                                <w:rFonts w:ascii="Times New Roman" w:hAnsi="Times New Roman" w:cs="Times New Roman"/>
                                <w:sz w:val="24"/>
                              </w:rPr>
                              <w:t xml:space="preserve"> documen</w:t>
                            </w:r>
                            <w:r w:rsidR="00D705DE">
                              <w:rPr>
                                <w:rFonts w:ascii="Times New Roman" w:hAnsi="Times New Roman" w:cs="Times New Roman"/>
                                <w:sz w:val="24"/>
                              </w:rPr>
                              <w:t>t</w:t>
                            </w:r>
                            <w:r w:rsidRPr="00CA47A0" w:rsidR="00CA47A0">
                              <w:rPr>
                                <w:rFonts w:ascii="Times New Roman" w:hAnsi="Times New Roman" w:cs="Times New Roman"/>
                                <w:sz w:val="24"/>
                              </w:rPr>
                              <w:t xml:space="preserve"> the experiences of women mine workers in the U.S. to identify and understand the occupational safety and health (OSH) </w:t>
                            </w:r>
                            <w:r w:rsidR="00AA5EE3">
                              <w:rPr>
                                <w:rFonts w:ascii="Times New Roman" w:hAnsi="Times New Roman" w:cs="Times New Roman"/>
                                <w:sz w:val="24"/>
                              </w:rPr>
                              <w:t>risks</w:t>
                            </w:r>
                            <w:r w:rsidRPr="00CA47A0" w:rsidR="00CA47A0">
                              <w:rPr>
                                <w:rFonts w:ascii="Times New Roman" w:hAnsi="Times New Roman" w:cs="Times New Roman"/>
                                <w:sz w:val="24"/>
                              </w:rPr>
                              <w:t xml:space="preserve"> they face in the workplace when performing job tasks. </w:t>
                            </w:r>
                            <w:r w:rsidR="00FD2BB0">
                              <w:rPr>
                                <w:rFonts w:ascii="Times New Roman" w:hAnsi="Times New Roman" w:cs="Times New Roman"/>
                                <w:sz w:val="24"/>
                              </w:rPr>
                              <w:t xml:space="preserve">We will conduct focus group interviews </w:t>
                            </w:r>
                            <w:r w:rsidRPr="00387B02" w:rsidR="00387B02">
                              <w:rPr>
                                <w:rFonts w:ascii="Times New Roman" w:hAnsi="Times New Roman" w:cs="Times New Roman"/>
                                <w:sz w:val="24"/>
                              </w:rPr>
                              <w:t>to (1a) learn about women mine workers’ experiences with job-related hazards and risks and gather their input on how work systems can be designed or modified to be safer and more supportive for women in mining and (1b) identify any discrepancies between the recommendations of women mine workers and the perceptions of mine managers</w:t>
                            </w:r>
                            <w:r w:rsidR="006348F3">
                              <w:rPr>
                                <w:rFonts w:ascii="Times New Roman" w:hAnsi="Times New Roman" w:cs="Times New Roman"/>
                                <w:sz w:val="24"/>
                              </w:rPr>
                              <w:t xml:space="preserve"> and health and safety</w:t>
                            </w:r>
                            <w:r w:rsidRPr="00387B02" w:rsidR="00387B02">
                              <w:rPr>
                                <w:rFonts w:ascii="Times New Roman" w:hAnsi="Times New Roman" w:cs="Times New Roman"/>
                                <w:sz w:val="24"/>
                              </w:rPr>
                              <w:t xml:space="preserve"> professionals </w:t>
                            </w:r>
                            <w:r w:rsidR="006348F3">
                              <w:rPr>
                                <w:rFonts w:ascii="Times New Roman" w:hAnsi="Times New Roman" w:cs="Times New Roman"/>
                                <w:sz w:val="24"/>
                              </w:rPr>
                              <w:t xml:space="preserve">(H&amp;S) </w:t>
                            </w:r>
                            <w:r w:rsidRPr="00387B02" w:rsidR="00387B02">
                              <w:rPr>
                                <w:rFonts w:ascii="Times New Roman" w:hAnsi="Times New Roman" w:cs="Times New Roman"/>
                                <w:sz w:val="24"/>
                              </w:rPr>
                              <w:t>on what changes are needed to make the mining work system safer and more supportive for women.</w:t>
                            </w:r>
                          </w:p>
                          <w:p w:rsidR="00A406EB" w:rsidRPr="00F057A1" w:rsidP="00F057A1" w14:textId="77777777">
                            <w:pPr>
                              <w:pStyle w:val="NoSpacing"/>
                              <w:rPr>
                                <w:rFonts w:ascii="Times New Roman" w:hAnsi="Times New Roman" w:cs="Times New Roman"/>
                                <w:sz w:val="24"/>
                                <w:szCs w:val="24"/>
                              </w:rPr>
                            </w:pPr>
                          </w:p>
                          <w:p w:rsidR="009C6400" w:rsidP="004039EA" w14:textId="7055E7A3">
                            <w:pPr>
                              <w:rPr>
                                <w:rFonts w:ascii="Times New Roman" w:hAnsi="Times New Roman" w:cs="Times New Roman"/>
                                <w:sz w:val="24"/>
                              </w:rPr>
                            </w:pPr>
                            <w:r w:rsidRPr="0089781B">
                              <w:rPr>
                                <w:rFonts w:ascii="Times New Roman" w:hAnsi="Times New Roman" w:cs="Times New Roman"/>
                                <w:b/>
                                <w:sz w:val="24"/>
                              </w:rPr>
                              <w:t xml:space="preserve">Intended use of </w:t>
                            </w:r>
                            <w:r>
                              <w:rPr>
                                <w:rFonts w:ascii="Times New Roman" w:hAnsi="Times New Roman" w:cs="Times New Roman"/>
                                <w:b/>
                                <w:sz w:val="24"/>
                              </w:rPr>
                              <w:t xml:space="preserve">the </w:t>
                            </w:r>
                            <w:r w:rsidRPr="0089781B">
                              <w:rPr>
                                <w:rFonts w:ascii="Times New Roman" w:hAnsi="Times New Roman" w:cs="Times New Roman"/>
                                <w:b/>
                                <w:sz w:val="24"/>
                              </w:rPr>
                              <w:t>resulting data:</w:t>
                            </w:r>
                            <w:r w:rsidRPr="0089781B">
                              <w:rPr>
                                <w:rFonts w:ascii="Times New Roman" w:hAnsi="Times New Roman" w:cs="Times New Roman"/>
                                <w:sz w:val="24"/>
                              </w:rPr>
                              <w:t xml:space="preserve"> </w:t>
                            </w:r>
                            <w:r w:rsidR="00633CA2">
                              <w:rPr>
                                <w:rFonts w:ascii="Times New Roman" w:hAnsi="Times New Roman" w:cs="Times New Roman"/>
                                <w:sz w:val="24"/>
                              </w:rPr>
                              <w:t>Data</w:t>
                            </w:r>
                            <w:r w:rsidRPr="00CA47A0" w:rsidR="00CA47A0">
                              <w:rPr>
                                <w:rFonts w:ascii="Times New Roman" w:hAnsi="Times New Roman" w:cs="Times New Roman"/>
                                <w:sz w:val="24"/>
                              </w:rPr>
                              <w:t xml:space="preserve"> will be used to develop a framework for mine operators and H&amp;S professionals to use to guide the planning, designing, or re-designing of the work system (tools, equipment, task, work environment, and organization) to address </w:t>
                            </w:r>
                            <w:r w:rsidR="00633CA2">
                              <w:rPr>
                                <w:rFonts w:ascii="Times New Roman" w:hAnsi="Times New Roman" w:cs="Times New Roman"/>
                                <w:sz w:val="24"/>
                              </w:rPr>
                              <w:t xml:space="preserve">the specific needs of women mine </w:t>
                            </w:r>
                            <w:r w:rsidRPr="00CA47A0" w:rsidR="00CA47A0">
                              <w:rPr>
                                <w:rFonts w:ascii="Times New Roman" w:hAnsi="Times New Roman" w:cs="Times New Roman"/>
                                <w:sz w:val="24"/>
                              </w:rPr>
                              <w:t>worker</w:t>
                            </w:r>
                            <w:r w:rsidR="00633CA2">
                              <w:rPr>
                                <w:rFonts w:ascii="Times New Roman" w:hAnsi="Times New Roman" w:cs="Times New Roman"/>
                                <w:sz w:val="24"/>
                              </w:rPr>
                              <w:t>s.</w:t>
                            </w:r>
                          </w:p>
                          <w:p w:rsidR="004039EA" w:rsidP="004039EA" w14:textId="787F47FD">
                            <w:pPr>
                              <w:rPr>
                                <w:rFonts w:ascii="Times New Roman" w:hAnsi="Times New Roman" w:cs="Times New Roman"/>
                                <w:sz w:val="24"/>
                              </w:rPr>
                            </w:pPr>
                            <w:r w:rsidRPr="0089781B">
                              <w:rPr>
                                <w:rFonts w:ascii="Times New Roman" w:hAnsi="Times New Roman" w:cs="Times New Roman"/>
                                <w:b/>
                                <w:sz w:val="24"/>
                              </w:rPr>
                              <w:t>Methods</w:t>
                            </w:r>
                            <w:r>
                              <w:rPr>
                                <w:rFonts w:ascii="Times New Roman" w:hAnsi="Times New Roman" w:cs="Times New Roman"/>
                                <w:b/>
                                <w:sz w:val="24"/>
                              </w:rPr>
                              <w:t xml:space="preserve"> to be used to collect data</w:t>
                            </w:r>
                            <w:r w:rsidRPr="0089781B">
                              <w:rPr>
                                <w:rFonts w:ascii="Times New Roman" w:hAnsi="Times New Roman" w:cs="Times New Roman"/>
                                <w:b/>
                                <w:sz w:val="24"/>
                              </w:rPr>
                              <w:t>:</w:t>
                            </w:r>
                            <w:r>
                              <w:rPr>
                                <w:rFonts w:ascii="Times New Roman" w:hAnsi="Times New Roman" w:cs="Times New Roman"/>
                                <w:b/>
                                <w:sz w:val="24"/>
                              </w:rPr>
                              <w:t xml:space="preserve"> </w:t>
                            </w:r>
                            <w:r w:rsidRPr="00F02628" w:rsidR="00BF5507">
                              <w:rPr>
                                <w:rFonts w:ascii="Times New Roman" w:hAnsi="Times New Roman" w:cs="Times New Roman"/>
                                <w:bCs/>
                                <w:sz w:val="24"/>
                              </w:rPr>
                              <w:t>The study is qualitative</w:t>
                            </w:r>
                            <w:r w:rsidR="00F007AF">
                              <w:rPr>
                                <w:rFonts w:ascii="Times New Roman" w:hAnsi="Times New Roman" w:cs="Times New Roman"/>
                                <w:bCs/>
                                <w:sz w:val="24"/>
                              </w:rPr>
                              <w:t xml:space="preserve"> in nature,</w:t>
                            </w:r>
                            <w:r w:rsidRPr="00F02628" w:rsidR="00BF5507">
                              <w:rPr>
                                <w:rFonts w:ascii="Times New Roman" w:hAnsi="Times New Roman" w:cs="Times New Roman"/>
                                <w:bCs/>
                                <w:sz w:val="24"/>
                              </w:rPr>
                              <w:t xml:space="preserve"> using primarily focus group</w:t>
                            </w:r>
                            <w:r w:rsidR="00F007AF">
                              <w:rPr>
                                <w:rFonts w:ascii="Times New Roman" w:hAnsi="Times New Roman" w:cs="Times New Roman"/>
                                <w:bCs/>
                                <w:sz w:val="24"/>
                              </w:rPr>
                              <w:t xml:space="preserve"> interviews </w:t>
                            </w:r>
                            <w:r w:rsidRPr="00F02628" w:rsidR="00BF5507">
                              <w:rPr>
                                <w:rFonts w:ascii="Times New Roman" w:hAnsi="Times New Roman" w:cs="Times New Roman"/>
                                <w:bCs/>
                                <w:sz w:val="24"/>
                              </w:rPr>
                              <w:t>to collect feedback from participants. We will conduct</w:t>
                            </w:r>
                            <w:r w:rsidR="00F007AF">
                              <w:rPr>
                                <w:rFonts w:ascii="Times New Roman" w:hAnsi="Times New Roman" w:cs="Times New Roman"/>
                                <w:bCs/>
                                <w:sz w:val="24"/>
                              </w:rPr>
                              <w:t xml:space="preserve"> between</w:t>
                            </w:r>
                            <w:r w:rsidRPr="00F02628" w:rsidR="00BF5507">
                              <w:rPr>
                                <w:rFonts w:ascii="Times New Roman" w:hAnsi="Times New Roman" w:cs="Times New Roman"/>
                                <w:bCs/>
                                <w:sz w:val="24"/>
                              </w:rPr>
                              <w:t xml:space="preserve"> 5</w:t>
                            </w:r>
                            <w:r w:rsidR="00115F2F">
                              <w:rPr>
                                <w:rFonts w:ascii="Times New Roman" w:hAnsi="Times New Roman" w:cs="Times New Roman"/>
                                <w:bCs/>
                                <w:sz w:val="24"/>
                              </w:rPr>
                              <w:t xml:space="preserve"> and </w:t>
                            </w:r>
                            <w:r w:rsidRPr="00F02628" w:rsidR="00BF5507">
                              <w:rPr>
                                <w:rFonts w:ascii="Times New Roman" w:hAnsi="Times New Roman" w:cs="Times New Roman"/>
                                <w:bCs/>
                                <w:sz w:val="24"/>
                              </w:rPr>
                              <w:t xml:space="preserve">10 focus groups </w:t>
                            </w:r>
                            <w:r w:rsidR="00115F2F">
                              <w:rPr>
                                <w:rFonts w:ascii="Times New Roman" w:hAnsi="Times New Roman" w:cs="Times New Roman"/>
                                <w:bCs/>
                                <w:sz w:val="24"/>
                              </w:rPr>
                              <w:t>with</w:t>
                            </w:r>
                            <w:r w:rsidRPr="00F02628" w:rsidR="00BF5507">
                              <w:rPr>
                                <w:rFonts w:ascii="Times New Roman" w:hAnsi="Times New Roman" w:cs="Times New Roman"/>
                                <w:bCs/>
                                <w:sz w:val="24"/>
                              </w:rPr>
                              <w:t xml:space="preserve"> 4</w:t>
                            </w:r>
                            <w:r w:rsidR="00115F2F">
                              <w:rPr>
                                <w:rFonts w:ascii="Times New Roman" w:hAnsi="Times New Roman" w:cs="Times New Roman"/>
                                <w:bCs/>
                                <w:sz w:val="24"/>
                              </w:rPr>
                              <w:t xml:space="preserve"> to</w:t>
                            </w:r>
                            <w:r w:rsidRPr="00F02628" w:rsidR="00BF5507">
                              <w:rPr>
                                <w:rFonts w:ascii="Times New Roman" w:hAnsi="Times New Roman" w:cs="Times New Roman"/>
                                <w:bCs/>
                                <w:sz w:val="24"/>
                              </w:rPr>
                              <w:t xml:space="preserve">10 women mine workers </w:t>
                            </w:r>
                            <w:r w:rsidR="00115F2F">
                              <w:rPr>
                                <w:rFonts w:ascii="Times New Roman" w:hAnsi="Times New Roman" w:cs="Times New Roman"/>
                                <w:bCs/>
                                <w:sz w:val="24"/>
                              </w:rPr>
                              <w:t xml:space="preserve">per group </w:t>
                            </w:r>
                            <w:r w:rsidRPr="00F02628" w:rsidR="00BF5507">
                              <w:rPr>
                                <w:rFonts w:ascii="Times New Roman" w:hAnsi="Times New Roman" w:cs="Times New Roman"/>
                                <w:bCs/>
                                <w:sz w:val="24"/>
                              </w:rPr>
                              <w:t xml:space="preserve">for Specific Aim 1a. </w:t>
                            </w:r>
                            <w:r w:rsidR="00703A3E">
                              <w:rPr>
                                <w:rFonts w:ascii="Times New Roman" w:hAnsi="Times New Roman" w:cs="Times New Roman"/>
                                <w:bCs/>
                                <w:sz w:val="24"/>
                              </w:rPr>
                              <w:t>No more than</w:t>
                            </w:r>
                            <w:r w:rsidRPr="00CA102C" w:rsidR="00703A3E">
                              <w:rPr>
                                <w:rFonts w:ascii="Times New Roman" w:hAnsi="Times New Roman" w:cs="Times New Roman"/>
                                <w:bCs/>
                                <w:sz w:val="24"/>
                              </w:rPr>
                              <w:t xml:space="preserve"> 100 women mine workers</w:t>
                            </w:r>
                            <w:r w:rsidRPr="00F02628" w:rsidR="00703A3E">
                              <w:rPr>
                                <w:rFonts w:ascii="Times New Roman" w:hAnsi="Times New Roman" w:cs="Times New Roman"/>
                                <w:bCs/>
                                <w:sz w:val="24"/>
                              </w:rPr>
                              <w:t xml:space="preserve"> </w:t>
                            </w:r>
                            <w:r w:rsidR="00703A3E">
                              <w:rPr>
                                <w:rFonts w:ascii="Times New Roman" w:hAnsi="Times New Roman" w:cs="Times New Roman"/>
                                <w:bCs/>
                                <w:sz w:val="24"/>
                              </w:rPr>
                              <w:t xml:space="preserve">will be sampled. </w:t>
                            </w:r>
                            <w:r w:rsidRPr="00F02628" w:rsidR="00BF5507">
                              <w:rPr>
                                <w:rFonts w:ascii="Times New Roman" w:hAnsi="Times New Roman" w:cs="Times New Roman"/>
                                <w:bCs/>
                                <w:sz w:val="24"/>
                              </w:rPr>
                              <w:t xml:space="preserve">During Specific Aim 1b, </w:t>
                            </w:r>
                            <w:r w:rsidR="00993C02">
                              <w:rPr>
                                <w:rFonts w:ascii="Times New Roman" w:hAnsi="Times New Roman" w:cs="Times New Roman"/>
                                <w:bCs/>
                                <w:sz w:val="24"/>
                              </w:rPr>
                              <w:t xml:space="preserve">we will conduct between </w:t>
                            </w:r>
                            <w:r w:rsidRPr="00F02628" w:rsidR="00BF5507">
                              <w:rPr>
                                <w:rFonts w:ascii="Times New Roman" w:hAnsi="Times New Roman" w:cs="Times New Roman"/>
                                <w:bCs/>
                                <w:sz w:val="24"/>
                              </w:rPr>
                              <w:t>3</w:t>
                            </w:r>
                            <w:r w:rsidR="00993C02">
                              <w:rPr>
                                <w:rFonts w:ascii="Times New Roman" w:hAnsi="Times New Roman" w:cs="Times New Roman"/>
                                <w:bCs/>
                                <w:sz w:val="24"/>
                              </w:rPr>
                              <w:t xml:space="preserve"> and </w:t>
                            </w:r>
                            <w:r w:rsidRPr="00F02628" w:rsidR="00BF5507">
                              <w:rPr>
                                <w:rFonts w:ascii="Times New Roman" w:hAnsi="Times New Roman" w:cs="Times New Roman"/>
                                <w:bCs/>
                                <w:sz w:val="24"/>
                              </w:rPr>
                              <w:t>5 focus groups with 4</w:t>
                            </w:r>
                            <w:r w:rsidR="00993C02">
                              <w:rPr>
                                <w:rFonts w:ascii="Times New Roman" w:hAnsi="Times New Roman" w:cs="Times New Roman"/>
                                <w:bCs/>
                                <w:sz w:val="24"/>
                              </w:rPr>
                              <w:t xml:space="preserve"> to </w:t>
                            </w:r>
                            <w:r w:rsidRPr="00F02628" w:rsidR="00BF5507">
                              <w:rPr>
                                <w:rFonts w:ascii="Times New Roman" w:hAnsi="Times New Roman" w:cs="Times New Roman"/>
                                <w:bCs/>
                                <w:sz w:val="24"/>
                              </w:rPr>
                              <w:t xml:space="preserve">6 mine managers and </w:t>
                            </w:r>
                            <w:r w:rsidR="006348F3">
                              <w:rPr>
                                <w:rFonts w:ascii="Times New Roman" w:hAnsi="Times New Roman" w:cs="Times New Roman"/>
                                <w:bCs/>
                                <w:sz w:val="24"/>
                              </w:rPr>
                              <w:t>H&amp;S</w:t>
                            </w:r>
                            <w:r w:rsidRPr="00F02628" w:rsidR="00BF5507">
                              <w:rPr>
                                <w:rFonts w:ascii="Times New Roman" w:hAnsi="Times New Roman" w:cs="Times New Roman"/>
                                <w:bCs/>
                                <w:sz w:val="24"/>
                              </w:rPr>
                              <w:t xml:space="preserve"> professionals</w:t>
                            </w:r>
                            <w:r w:rsidR="00703A3E">
                              <w:rPr>
                                <w:rFonts w:ascii="Times New Roman" w:hAnsi="Times New Roman" w:cs="Times New Roman"/>
                                <w:bCs/>
                                <w:sz w:val="24"/>
                              </w:rPr>
                              <w:t xml:space="preserve"> per group</w:t>
                            </w:r>
                            <w:r w:rsidRPr="00F02628" w:rsidR="00BF5507">
                              <w:rPr>
                                <w:rFonts w:ascii="Times New Roman" w:hAnsi="Times New Roman" w:cs="Times New Roman"/>
                                <w:bCs/>
                                <w:sz w:val="24"/>
                              </w:rPr>
                              <w:t xml:space="preserve">. </w:t>
                            </w:r>
                            <w:r w:rsidR="00703A3E">
                              <w:rPr>
                                <w:rFonts w:ascii="Times New Roman" w:hAnsi="Times New Roman" w:cs="Times New Roman"/>
                                <w:bCs/>
                                <w:sz w:val="24"/>
                              </w:rPr>
                              <w:t>No more than</w:t>
                            </w:r>
                            <w:r w:rsidRPr="00CA102C" w:rsidR="00CA102C">
                              <w:rPr>
                                <w:rFonts w:ascii="Times New Roman" w:hAnsi="Times New Roman" w:cs="Times New Roman"/>
                                <w:bCs/>
                                <w:sz w:val="24"/>
                              </w:rPr>
                              <w:t xml:space="preserve"> 30 mine managers and </w:t>
                            </w:r>
                            <w:r w:rsidR="0067501C">
                              <w:rPr>
                                <w:rFonts w:ascii="Times New Roman" w:hAnsi="Times New Roman" w:cs="Times New Roman"/>
                                <w:bCs/>
                                <w:sz w:val="24"/>
                              </w:rPr>
                              <w:t xml:space="preserve">H&amp;S </w:t>
                            </w:r>
                            <w:r w:rsidRPr="00CA102C" w:rsidR="00CA102C">
                              <w:rPr>
                                <w:rFonts w:ascii="Times New Roman" w:hAnsi="Times New Roman" w:cs="Times New Roman"/>
                                <w:bCs/>
                                <w:sz w:val="24"/>
                              </w:rPr>
                              <w:t>professionals</w:t>
                            </w:r>
                            <w:r w:rsidR="00703A3E">
                              <w:rPr>
                                <w:rFonts w:ascii="Times New Roman" w:hAnsi="Times New Roman" w:cs="Times New Roman"/>
                                <w:bCs/>
                                <w:sz w:val="24"/>
                              </w:rPr>
                              <w:t xml:space="preserve"> will be sampled</w:t>
                            </w:r>
                            <w:r w:rsidRPr="00CA102C" w:rsidR="00CA102C">
                              <w:rPr>
                                <w:rFonts w:ascii="Times New Roman" w:hAnsi="Times New Roman" w:cs="Times New Roman"/>
                                <w:bCs/>
                                <w:sz w:val="24"/>
                              </w:rPr>
                              <w:t xml:space="preserve">. </w:t>
                            </w:r>
                            <w:r w:rsidRPr="00F02628" w:rsidR="00BF5507">
                              <w:rPr>
                                <w:rFonts w:ascii="Times New Roman" w:hAnsi="Times New Roman" w:cs="Times New Roman"/>
                                <w:bCs/>
                                <w:sz w:val="24"/>
                              </w:rPr>
                              <w:t xml:space="preserve">Focus groups will last approximately 60-90 minutes. Immediately after a focus group </w:t>
                            </w:r>
                            <w:r w:rsidR="00703A3E">
                              <w:rPr>
                                <w:rFonts w:ascii="Times New Roman" w:hAnsi="Times New Roman" w:cs="Times New Roman"/>
                                <w:bCs/>
                                <w:sz w:val="24"/>
                              </w:rPr>
                              <w:t xml:space="preserve">interview </w:t>
                            </w:r>
                            <w:r w:rsidRPr="00F02628" w:rsidR="00BF5507">
                              <w:rPr>
                                <w:rFonts w:ascii="Times New Roman" w:hAnsi="Times New Roman" w:cs="Times New Roman"/>
                                <w:bCs/>
                                <w:sz w:val="24"/>
                              </w:rPr>
                              <w:t xml:space="preserve">ends, participants will be asked to take a </w:t>
                            </w:r>
                            <w:r w:rsidR="00703A3E">
                              <w:rPr>
                                <w:rFonts w:ascii="Times New Roman" w:hAnsi="Times New Roman" w:cs="Times New Roman"/>
                                <w:bCs/>
                                <w:sz w:val="24"/>
                              </w:rPr>
                              <w:t>brief</w:t>
                            </w:r>
                            <w:r w:rsidRPr="00F02628" w:rsidR="00703A3E">
                              <w:rPr>
                                <w:rFonts w:ascii="Times New Roman" w:hAnsi="Times New Roman" w:cs="Times New Roman"/>
                                <w:bCs/>
                                <w:sz w:val="24"/>
                              </w:rPr>
                              <w:t xml:space="preserve"> </w:t>
                            </w:r>
                            <w:r w:rsidRPr="00F02628" w:rsidR="00BF5507">
                              <w:rPr>
                                <w:rFonts w:ascii="Times New Roman" w:hAnsi="Times New Roman" w:cs="Times New Roman"/>
                                <w:bCs/>
                                <w:sz w:val="24"/>
                              </w:rPr>
                              <w:t>5</w:t>
                            </w:r>
                            <w:r w:rsidR="0067501C">
                              <w:rPr>
                                <w:rFonts w:ascii="Times New Roman" w:hAnsi="Times New Roman" w:cs="Times New Roman"/>
                                <w:bCs/>
                                <w:sz w:val="24"/>
                              </w:rPr>
                              <w:t xml:space="preserve">- to </w:t>
                            </w:r>
                            <w:r w:rsidRPr="00F02628" w:rsidR="00BF5507">
                              <w:rPr>
                                <w:rFonts w:ascii="Times New Roman" w:hAnsi="Times New Roman" w:cs="Times New Roman"/>
                                <w:bCs/>
                                <w:sz w:val="24"/>
                              </w:rPr>
                              <w:t>7-minute paper or electronic survey that asks demographic and work history questions.</w:t>
                            </w:r>
                            <w:r w:rsidRPr="00BF5507" w:rsidR="00BF5507">
                              <w:rPr>
                                <w:rFonts w:ascii="Times New Roman" w:hAnsi="Times New Roman" w:cs="Times New Roman"/>
                                <w:b/>
                                <w:sz w:val="24"/>
                              </w:rPr>
                              <w:t xml:space="preserve"> </w:t>
                            </w:r>
                          </w:p>
                          <w:p w:rsidR="004039EA" w:rsidRPr="0089781B" w:rsidP="004039EA" w14:textId="77777777">
                            <w:pPr>
                              <w:rPr>
                                <w:rFonts w:ascii="Times New Roman" w:hAnsi="Times New Roman" w:cs="Times New Roman"/>
                                <w:sz w:val="24"/>
                              </w:rPr>
                            </w:pPr>
                            <w:r>
                              <w:rPr>
                                <w:rFonts w:ascii="Times New Roman" w:hAnsi="Times New Roman" w:cs="Times New Roman"/>
                                <w:b/>
                                <w:sz w:val="24"/>
                              </w:rPr>
                              <w:t>S</w:t>
                            </w:r>
                            <w:r w:rsidRPr="0089781B">
                              <w:rPr>
                                <w:rFonts w:ascii="Times New Roman" w:hAnsi="Times New Roman" w:cs="Times New Roman"/>
                                <w:b/>
                                <w:sz w:val="24"/>
                              </w:rPr>
                              <w:t>ubpopulation</w:t>
                            </w:r>
                            <w:r>
                              <w:rPr>
                                <w:rFonts w:ascii="Times New Roman" w:hAnsi="Times New Roman" w:cs="Times New Roman"/>
                                <w:b/>
                                <w:sz w:val="24"/>
                              </w:rPr>
                              <w:t xml:space="preserve"> to be studied</w:t>
                            </w:r>
                            <w:r w:rsidRPr="0089781B">
                              <w:rPr>
                                <w:rFonts w:ascii="Times New Roman" w:hAnsi="Times New Roman" w:cs="Times New Roman"/>
                                <w:b/>
                                <w:sz w:val="24"/>
                              </w:rPr>
                              <w:t>:</w:t>
                            </w:r>
                            <w:r w:rsidRPr="0089781B">
                              <w:rPr>
                                <w:rFonts w:ascii="Times New Roman" w:hAnsi="Times New Roman" w:cs="Times New Roman"/>
                                <w:sz w:val="24"/>
                              </w:rPr>
                              <w:t xml:space="preserve"> Data collection will focus on two subpopulations: </w:t>
                            </w:r>
                          </w:p>
                          <w:p w:rsidR="004039EA" w:rsidRPr="005337F1" w:rsidP="004039EA" w14:textId="77EF2375">
                            <w:pPr>
                              <w:pStyle w:val="ListParagraph"/>
                              <w:numPr>
                                <w:ilvl w:val="0"/>
                                <w:numId w:val="8"/>
                              </w:numPr>
                              <w:rPr>
                                <w:rFonts w:ascii="Times New Roman" w:hAnsi="Times New Roman" w:cs="Times New Roman"/>
                                <w:sz w:val="24"/>
                              </w:rPr>
                            </w:pPr>
                            <w:r w:rsidRPr="00F02628">
                              <w:rPr>
                                <w:rFonts w:ascii="Times New Roman" w:hAnsi="Times New Roman" w:cs="Times New Roman"/>
                                <w:sz w:val="24"/>
                              </w:rPr>
                              <w:t>W</w:t>
                            </w:r>
                            <w:r w:rsidRPr="003F3B84">
                              <w:rPr>
                                <w:rFonts w:ascii="Times New Roman" w:hAnsi="Times New Roman" w:cs="Times New Roman"/>
                                <w:sz w:val="24"/>
                              </w:rPr>
                              <w:t>omen mine workers in the U.S. mining industry (machinery/equipment operators, haul truck drivers, engineers, geologists, etc.)</w:t>
                            </w:r>
                            <w:r w:rsidR="005462C5">
                              <w:rPr>
                                <w:rFonts w:ascii="Times New Roman" w:hAnsi="Times New Roman" w:cs="Times New Roman"/>
                                <w:sz w:val="24"/>
                              </w:rPr>
                              <w:t xml:space="preserve"> </w:t>
                            </w:r>
                          </w:p>
                          <w:p w:rsidR="004039EA" w:rsidRPr="0089781B" w:rsidP="004039EA" w14:textId="2D2F9813">
                            <w:pPr>
                              <w:pStyle w:val="ListParagraph"/>
                              <w:numPr>
                                <w:ilvl w:val="0"/>
                                <w:numId w:val="8"/>
                              </w:numPr>
                              <w:rPr>
                                <w:rFonts w:ascii="Times New Roman" w:hAnsi="Times New Roman" w:cs="Times New Roman"/>
                                <w:sz w:val="24"/>
                              </w:rPr>
                            </w:pPr>
                            <w:r>
                              <w:rPr>
                                <w:rFonts w:ascii="Times New Roman" w:hAnsi="Times New Roman" w:cs="Times New Roman"/>
                                <w:sz w:val="24"/>
                              </w:rPr>
                              <w:t>M</w:t>
                            </w:r>
                            <w:r w:rsidRPr="007E53FA">
                              <w:rPr>
                                <w:rFonts w:ascii="Times New Roman" w:hAnsi="Times New Roman" w:cs="Times New Roman"/>
                                <w:sz w:val="24"/>
                              </w:rPr>
                              <w:t>ine managers and health and safety professionals</w:t>
                            </w:r>
                            <w:r w:rsidRPr="007E53FA">
                              <w:rPr>
                                <w:rFonts w:ascii="Times New Roman" w:hAnsi="Times New Roman" w:cs="Times New Roman"/>
                                <w:sz w:val="24"/>
                              </w:rPr>
                              <w:t xml:space="preserve"> </w:t>
                            </w:r>
                          </w:p>
                          <w:p w:rsidR="00D66088" w:rsidRPr="005B0402" w:rsidP="00D66088" w14:textId="06B29234">
                            <w:pPr>
                              <w:pStyle w:val="Default"/>
                              <w:spacing w:line="259" w:lineRule="auto"/>
                            </w:pPr>
                            <w:r>
                              <w:rPr>
                                <w:b/>
                              </w:rPr>
                              <w:t>How data will be analyzed</w:t>
                            </w:r>
                            <w:r w:rsidRPr="0089781B">
                              <w:rPr>
                                <w:b/>
                              </w:rPr>
                              <w:t>:</w:t>
                            </w:r>
                            <w:r w:rsidRPr="0089781B">
                              <w:t xml:space="preserve"> </w:t>
                            </w:r>
                            <w:r w:rsidR="00EB03FF">
                              <w:t xml:space="preserve">Qualitative methods, namely thematic analysis, will be used to analyze the focus group </w:t>
                            </w:r>
                            <w:r w:rsidR="009367AA">
                              <w:t xml:space="preserve">interview </w:t>
                            </w:r>
                            <w:r w:rsidR="00EB03FF">
                              <w:t>data to identify prioritized work tasks and the hazards and solutions associated with each work system element</w:t>
                            </w:r>
                            <w:r w:rsidR="00750BBB">
                              <w:t xml:space="preserve">. </w:t>
                            </w:r>
                            <w:r w:rsidR="00EB03FF">
                              <w:t>MAXQDA</w:t>
                            </w:r>
                            <w:r w:rsidR="00AD0760">
                              <w:t xml:space="preserve"> (qualitative data analysis software program) will be used</w:t>
                            </w:r>
                            <w:r w:rsidR="00EB03FF">
                              <w:t xml:space="preserve"> to inductively identify major themes and organize</w:t>
                            </w:r>
                            <w:r w:rsidR="00AD0760">
                              <w:t xml:space="preserve"> </w:t>
                            </w:r>
                            <w:r w:rsidR="00EB03FF">
                              <w:t>data. This study will follow the principles of inductive thematic saturation, whereby saturation will be reached when no new themes are identified from the data. The research team will then interpret the identified themes and ideas in context, comparing and contrasting responses between the women mine workers and the mine managers/H&amp;S professionals. The themes that inductively emerge based on these comparisons will be drafted in detail for publication. Findings will summarize what changes are needed to make mining work systems more supportive for women mine workers while also identifying any discrepancies that exist between the perceptions of women mine workers and those of mine managers and H&amp;S professionals in terms of what changes are needed to make the mining work system more supportive for women mine</w:t>
                            </w:r>
                            <w:r w:rsidR="007D1B50">
                              <w:t xml:space="preserve"> worke</w:t>
                            </w:r>
                            <w:r w:rsidR="00EB03FF">
                              <w:t>rs.</w:t>
                            </w:r>
                            <w:r w:rsidR="00245E2A">
                              <w:t xml:space="preserve"> Q</w:t>
                            </w:r>
                            <w:r w:rsidR="00EB03FF">
                              <w:t>uantitative data collected from all focus group participants via the Demographics and Work History Survey will be analyzed using statistical software like Stata 18 (</w:t>
                            </w:r>
                            <w:r w:rsidR="00EB03FF">
                              <w:t>StataCorp</w:t>
                            </w:r>
                            <w:r w:rsidR="00EB03FF">
                              <w:t xml:space="preserve"> LLC) or SPSS 26 (IBM Corp). Demographic and work history information will be collected to accurately describe the study’s sample and to place study results in context, highlighting which groups are represented and documenting demographic </w:t>
                            </w:r>
                            <w:r w:rsidR="00C127B9">
                              <w:t xml:space="preserve">differences </w:t>
                            </w:r>
                            <w:r w:rsidR="00EB03FF">
                              <w:t xml:space="preserve">in perspectives or experiences related to the topic of study. Collecting demographic information also helps others replicate results. </w:t>
                            </w:r>
                          </w:p>
                          <w:p w:rsidR="00B100F7" w:rsidP="004039EA" w14:textId="395092E7">
                            <w:pPr>
                              <w:rPr>
                                <w:rFonts w:ascii="Times New Roman" w:hAnsi="Times New Roman" w:cs="Times New Roman"/>
                                <w:sz w:val="24"/>
                              </w:rPr>
                            </w:pPr>
                          </w:p>
                          <w:p w:rsidR="004039EA" w:rsidP="004039EA" w14:textId="464AF460"/>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510.75pt;height:690.25pt;margin-top:0.05pt;margin-left:-2.1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4039EA" w:rsidP="00F057A1" w14:paraId="37DC6831" w14:textId="6C3E19AB">
                      <w:pPr>
                        <w:pStyle w:val="NoSpacing"/>
                        <w:rPr>
                          <w:rFonts w:ascii="Times New Roman" w:hAnsi="Times New Roman" w:cs="Times New Roman"/>
                          <w:sz w:val="24"/>
                          <w:szCs w:val="24"/>
                        </w:rPr>
                      </w:pPr>
                      <w:r>
                        <w:rPr>
                          <w:rFonts w:ascii="Times New Roman" w:hAnsi="Times New Roman" w:cs="Times New Roman"/>
                          <w:b/>
                          <w:sz w:val="24"/>
                        </w:rPr>
                        <w:t>Goal of the study</w:t>
                      </w:r>
                      <w:r w:rsidRPr="0089781B">
                        <w:rPr>
                          <w:rFonts w:ascii="Times New Roman" w:hAnsi="Times New Roman" w:cs="Times New Roman"/>
                          <w:sz w:val="24"/>
                        </w:rPr>
                        <w:t xml:space="preserve">: </w:t>
                      </w:r>
                      <w:r w:rsidR="00D705DE">
                        <w:rPr>
                          <w:rFonts w:ascii="Times New Roman" w:hAnsi="Times New Roman" w:cs="Times New Roman"/>
                          <w:sz w:val="24"/>
                        </w:rPr>
                        <w:t>The goal of this</w:t>
                      </w:r>
                      <w:r w:rsidRPr="00CA47A0" w:rsidR="00CA47A0">
                        <w:rPr>
                          <w:rFonts w:ascii="Times New Roman" w:hAnsi="Times New Roman" w:cs="Times New Roman"/>
                          <w:sz w:val="24"/>
                        </w:rPr>
                        <w:t xml:space="preserve"> qualitative study </w:t>
                      </w:r>
                      <w:r w:rsidR="00D705DE">
                        <w:rPr>
                          <w:rFonts w:ascii="Times New Roman" w:hAnsi="Times New Roman" w:cs="Times New Roman"/>
                          <w:sz w:val="24"/>
                        </w:rPr>
                        <w:t>is to</w:t>
                      </w:r>
                      <w:r w:rsidRPr="00CA47A0" w:rsidR="00CA47A0">
                        <w:rPr>
                          <w:rFonts w:ascii="Times New Roman" w:hAnsi="Times New Roman" w:cs="Times New Roman"/>
                          <w:sz w:val="24"/>
                        </w:rPr>
                        <w:t xml:space="preserve"> documen</w:t>
                      </w:r>
                      <w:r w:rsidR="00D705DE">
                        <w:rPr>
                          <w:rFonts w:ascii="Times New Roman" w:hAnsi="Times New Roman" w:cs="Times New Roman"/>
                          <w:sz w:val="24"/>
                        </w:rPr>
                        <w:t>t</w:t>
                      </w:r>
                      <w:r w:rsidRPr="00CA47A0" w:rsidR="00CA47A0">
                        <w:rPr>
                          <w:rFonts w:ascii="Times New Roman" w:hAnsi="Times New Roman" w:cs="Times New Roman"/>
                          <w:sz w:val="24"/>
                        </w:rPr>
                        <w:t xml:space="preserve"> the experiences of women mine workers in the U.S. to identify and understand the occupational safety and health (OSH) </w:t>
                      </w:r>
                      <w:r w:rsidR="00AA5EE3">
                        <w:rPr>
                          <w:rFonts w:ascii="Times New Roman" w:hAnsi="Times New Roman" w:cs="Times New Roman"/>
                          <w:sz w:val="24"/>
                        </w:rPr>
                        <w:t>risks</w:t>
                      </w:r>
                      <w:r w:rsidRPr="00CA47A0" w:rsidR="00CA47A0">
                        <w:rPr>
                          <w:rFonts w:ascii="Times New Roman" w:hAnsi="Times New Roman" w:cs="Times New Roman"/>
                          <w:sz w:val="24"/>
                        </w:rPr>
                        <w:t xml:space="preserve"> they face in the workplace when performing job tasks. </w:t>
                      </w:r>
                      <w:r w:rsidR="00FD2BB0">
                        <w:rPr>
                          <w:rFonts w:ascii="Times New Roman" w:hAnsi="Times New Roman" w:cs="Times New Roman"/>
                          <w:sz w:val="24"/>
                        </w:rPr>
                        <w:t xml:space="preserve">We will conduct focus group interviews </w:t>
                      </w:r>
                      <w:r w:rsidRPr="00387B02" w:rsidR="00387B02">
                        <w:rPr>
                          <w:rFonts w:ascii="Times New Roman" w:hAnsi="Times New Roman" w:cs="Times New Roman"/>
                          <w:sz w:val="24"/>
                        </w:rPr>
                        <w:t>to (1a) learn about women mine workers’ experiences with job-related hazards and risks and gather their input on how work systems can be designed or modified to be safer and more supportive for women in mining and (1b) identify any discrepancies between the recommendations of women mine workers and the perceptions of mine managers</w:t>
                      </w:r>
                      <w:r w:rsidR="006348F3">
                        <w:rPr>
                          <w:rFonts w:ascii="Times New Roman" w:hAnsi="Times New Roman" w:cs="Times New Roman"/>
                          <w:sz w:val="24"/>
                        </w:rPr>
                        <w:t xml:space="preserve"> and health and safety</w:t>
                      </w:r>
                      <w:r w:rsidRPr="00387B02" w:rsidR="00387B02">
                        <w:rPr>
                          <w:rFonts w:ascii="Times New Roman" w:hAnsi="Times New Roman" w:cs="Times New Roman"/>
                          <w:sz w:val="24"/>
                        </w:rPr>
                        <w:t xml:space="preserve"> professionals </w:t>
                      </w:r>
                      <w:r w:rsidR="006348F3">
                        <w:rPr>
                          <w:rFonts w:ascii="Times New Roman" w:hAnsi="Times New Roman" w:cs="Times New Roman"/>
                          <w:sz w:val="24"/>
                        </w:rPr>
                        <w:t xml:space="preserve">(H&amp;S) </w:t>
                      </w:r>
                      <w:r w:rsidRPr="00387B02" w:rsidR="00387B02">
                        <w:rPr>
                          <w:rFonts w:ascii="Times New Roman" w:hAnsi="Times New Roman" w:cs="Times New Roman"/>
                          <w:sz w:val="24"/>
                        </w:rPr>
                        <w:t>on what changes are needed to make the mining work system safer and more supportive for women.</w:t>
                      </w:r>
                    </w:p>
                    <w:p w:rsidR="00A406EB" w:rsidRPr="00F057A1" w:rsidP="00F057A1" w14:paraId="20A37D38" w14:textId="77777777">
                      <w:pPr>
                        <w:pStyle w:val="NoSpacing"/>
                        <w:rPr>
                          <w:rFonts w:ascii="Times New Roman" w:hAnsi="Times New Roman" w:cs="Times New Roman"/>
                          <w:sz w:val="24"/>
                          <w:szCs w:val="24"/>
                        </w:rPr>
                      </w:pPr>
                    </w:p>
                    <w:p w:rsidR="009C6400" w:rsidP="004039EA" w14:paraId="7F93BB4C" w14:textId="7055E7A3">
                      <w:pPr>
                        <w:rPr>
                          <w:rFonts w:ascii="Times New Roman" w:hAnsi="Times New Roman" w:cs="Times New Roman"/>
                          <w:sz w:val="24"/>
                        </w:rPr>
                      </w:pPr>
                      <w:r w:rsidRPr="0089781B">
                        <w:rPr>
                          <w:rFonts w:ascii="Times New Roman" w:hAnsi="Times New Roman" w:cs="Times New Roman"/>
                          <w:b/>
                          <w:sz w:val="24"/>
                        </w:rPr>
                        <w:t xml:space="preserve">Intended use of </w:t>
                      </w:r>
                      <w:r>
                        <w:rPr>
                          <w:rFonts w:ascii="Times New Roman" w:hAnsi="Times New Roman" w:cs="Times New Roman"/>
                          <w:b/>
                          <w:sz w:val="24"/>
                        </w:rPr>
                        <w:t xml:space="preserve">the </w:t>
                      </w:r>
                      <w:r w:rsidRPr="0089781B">
                        <w:rPr>
                          <w:rFonts w:ascii="Times New Roman" w:hAnsi="Times New Roman" w:cs="Times New Roman"/>
                          <w:b/>
                          <w:sz w:val="24"/>
                        </w:rPr>
                        <w:t>resulting data:</w:t>
                      </w:r>
                      <w:r w:rsidRPr="0089781B">
                        <w:rPr>
                          <w:rFonts w:ascii="Times New Roman" w:hAnsi="Times New Roman" w:cs="Times New Roman"/>
                          <w:sz w:val="24"/>
                        </w:rPr>
                        <w:t xml:space="preserve"> </w:t>
                      </w:r>
                      <w:r w:rsidR="00633CA2">
                        <w:rPr>
                          <w:rFonts w:ascii="Times New Roman" w:hAnsi="Times New Roman" w:cs="Times New Roman"/>
                          <w:sz w:val="24"/>
                        </w:rPr>
                        <w:t>Data</w:t>
                      </w:r>
                      <w:r w:rsidRPr="00CA47A0" w:rsidR="00CA47A0">
                        <w:rPr>
                          <w:rFonts w:ascii="Times New Roman" w:hAnsi="Times New Roman" w:cs="Times New Roman"/>
                          <w:sz w:val="24"/>
                        </w:rPr>
                        <w:t xml:space="preserve"> will be used to develop a framework for mine operators and H&amp;S professionals to use to guide the planning, designing, or re-designing of the work system (tools, equipment, task, work environment, and organization) to address </w:t>
                      </w:r>
                      <w:r w:rsidR="00633CA2">
                        <w:rPr>
                          <w:rFonts w:ascii="Times New Roman" w:hAnsi="Times New Roman" w:cs="Times New Roman"/>
                          <w:sz w:val="24"/>
                        </w:rPr>
                        <w:t xml:space="preserve">the specific needs of women mine </w:t>
                      </w:r>
                      <w:r w:rsidRPr="00CA47A0" w:rsidR="00CA47A0">
                        <w:rPr>
                          <w:rFonts w:ascii="Times New Roman" w:hAnsi="Times New Roman" w:cs="Times New Roman"/>
                          <w:sz w:val="24"/>
                        </w:rPr>
                        <w:t>worker</w:t>
                      </w:r>
                      <w:r w:rsidR="00633CA2">
                        <w:rPr>
                          <w:rFonts w:ascii="Times New Roman" w:hAnsi="Times New Roman" w:cs="Times New Roman"/>
                          <w:sz w:val="24"/>
                        </w:rPr>
                        <w:t>s.</w:t>
                      </w:r>
                    </w:p>
                    <w:p w:rsidR="004039EA" w:rsidP="004039EA" w14:paraId="1DADD938" w14:textId="787F47FD">
                      <w:pPr>
                        <w:rPr>
                          <w:rFonts w:ascii="Times New Roman" w:hAnsi="Times New Roman" w:cs="Times New Roman"/>
                          <w:sz w:val="24"/>
                        </w:rPr>
                      </w:pPr>
                      <w:r w:rsidRPr="0089781B">
                        <w:rPr>
                          <w:rFonts w:ascii="Times New Roman" w:hAnsi="Times New Roman" w:cs="Times New Roman"/>
                          <w:b/>
                          <w:sz w:val="24"/>
                        </w:rPr>
                        <w:t>Methods</w:t>
                      </w:r>
                      <w:r>
                        <w:rPr>
                          <w:rFonts w:ascii="Times New Roman" w:hAnsi="Times New Roman" w:cs="Times New Roman"/>
                          <w:b/>
                          <w:sz w:val="24"/>
                        </w:rPr>
                        <w:t xml:space="preserve"> to be used to collect data</w:t>
                      </w:r>
                      <w:r w:rsidRPr="0089781B">
                        <w:rPr>
                          <w:rFonts w:ascii="Times New Roman" w:hAnsi="Times New Roman" w:cs="Times New Roman"/>
                          <w:b/>
                          <w:sz w:val="24"/>
                        </w:rPr>
                        <w:t>:</w:t>
                      </w:r>
                      <w:r>
                        <w:rPr>
                          <w:rFonts w:ascii="Times New Roman" w:hAnsi="Times New Roman" w:cs="Times New Roman"/>
                          <w:b/>
                          <w:sz w:val="24"/>
                        </w:rPr>
                        <w:t xml:space="preserve"> </w:t>
                      </w:r>
                      <w:r w:rsidRPr="00F02628" w:rsidR="00BF5507">
                        <w:rPr>
                          <w:rFonts w:ascii="Times New Roman" w:hAnsi="Times New Roman" w:cs="Times New Roman"/>
                          <w:bCs/>
                          <w:sz w:val="24"/>
                        </w:rPr>
                        <w:t>The study is qualitative</w:t>
                      </w:r>
                      <w:r w:rsidR="00F007AF">
                        <w:rPr>
                          <w:rFonts w:ascii="Times New Roman" w:hAnsi="Times New Roman" w:cs="Times New Roman"/>
                          <w:bCs/>
                          <w:sz w:val="24"/>
                        </w:rPr>
                        <w:t xml:space="preserve"> in nature,</w:t>
                      </w:r>
                      <w:r w:rsidRPr="00F02628" w:rsidR="00BF5507">
                        <w:rPr>
                          <w:rFonts w:ascii="Times New Roman" w:hAnsi="Times New Roman" w:cs="Times New Roman"/>
                          <w:bCs/>
                          <w:sz w:val="24"/>
                        </w:rPr>
                        <w:t xml:space="preserve"> using primarily focus group</w:t>
                      </w:r>
                      <w:r w:rsidR="00F007AF">
                        <w:rPr>
                          <w:rFonts w:ascii="Times New Roman" w:hAnsi="Times New Roman" w:cs="Times New Roman"/>
                          <w:bCs/>
                          <w:sz w:val="24"/>
                        </w:rPr>
                        <w:t xml:space="preserve"> interviews </w:t>
                      </w:r>
                      <w:r w:rsidRPr="00F02628" w:rsidR="00BF5507">
                        <w:rPr>
                          <w:rFonts w:ascii="Times New Roman" w:hAnsi="Times New Roman" w:cs="Times New Roman"/>
                          <w:bCs/>
                          <w:sz w:val="24"/>
                        </w:rPr>
                        <w:t>to collect feedback from participants. We will conduct</w:t>
                      </w:r>
                      <w:r w:rsidR="00F007AF">
                        <w:rPr>
                          <w:rFonts w:ascii="Times New Roman" w:hAnsi="Times New Roman" w:cs="Times New Roman"/>
                          <w:bCs/>
                          <w:sz w:val="24"/>
                        </w:rPr>
                        <w:t xml:space="preserve"> between</w:t>
                      </w:r>
                      <w:r w:rsidRPr="00F02628" w:rsidR="00BF5507">
                        <w:rPr>
                          <w:rFonts w:ascii="Times New Roman" w:hAnsi="Times New Roman" w:cs="Times New Roman"/>
                          <w:bCs/>
                          <w:sz w:val="24"/>
                        </w:rPr>
                        <w:t xml:space="preserve"> 5</w:t>
                      </w:r>
                      <w:r w:rsidR="00115F2F">
                        <w:rPr>
                          <w:rFonts w:ascii="Times New Roman" w:hAnsi="Times New Roman" w:cs="Times New Roman"/>
                          <w:bCs/>
                          <w:sz w:val="24"/>
                        </w:rPr>
                        <w:t xml:space="preserve"> and </w:t>
                      </w:r>
                      <w:r w:rsidRPr="00F02628" w:rsidR="00BF5507">
                        <w:rPr>
                          <w:rFonts w:ascii="Times New Roman" w:hAnsi="Times New Roman" w:cs="Times New Roman"/>
                          <w:bCs/>
                          <w:sz w:val="24"/>
                        </w:rPr>
                        <w:t xml:space="preserve">10 focus groups </w:t>
                      </w:r>
                      <w:r w:rsidR="00115F2F">
                        <w:rPr>
                          <w:rFonts w:ascii="Times New Roman" w:hAnsi="Times New Roman" w:cs="Times New Roman"/>
                          <w:bCs/>
                          <w:sz w:val="24"/>
                        </w:rPr>
                        <w:t>with</w:t>
                      </w:r>
                      <w:r w:rsidRPr="00F02628" w:rsidR="00BF5507">
                        <w:rPr>
                          <w:rFonts w:ascii="Times New Roman" w:hAnsi="Times New Roman" w:cs="Times New Roman"/>
                          <w:bCs/>
                          <w:sz w:val="24"/>
                        </w:rPr>
                        <w:t xml:space="preserve"> 4</w:t>
                      </w:r>
                      <w:r w:rsidR="00115F2F">
                        <w:rPr>
                          <w:rFonts w:ascii="Times New Roman" w:hAnsi="Times New Roman" w:cs="Times New Roman"/>
                          <w:bCs/>
                          <w:sz w:val="24"/>
                        </w:rPr>
                        <w:t xml:space="preserve"> to</w:t>
                      </w:r>
                      <w:r w:rsidRPr="00F02628" w:rsidR="00BF5507">
                        <w:rPr>
                          <w:rFonts w:ascii="Times New Roman" w:hAnsi="Times New Roman" w:cs="Times New Roman"/>
                          <w:bCs/>
                          <w:sz w:val="24"/>
                        </w:rPr>
                        <w:t xml:space="preserve">10 women mine workers </w:t>
                      </w:r>
                      <w:r w:rsidR="00115F2F">
                        <w:rPr>
                          <w:rFonts w:ascii="Times New Roman" w:hAnsi="Times New Roman" w:cs="Times New Roman"/>
                          <w:bCs/>
                          <w:sz w:val="24"/>
                        </w:rPr>
                        <w:t xml:space="preserve">per group </w:t>
                      </w:r>
                      <w:r w:rsidRPr="00F02628" w:rsidR="00BF5507">
                        <w:rPr>
                          <w:rFonts w:ascii="Times New Roman" w:hAnsi="Times New Roman" w:cs="Times New Roman"/>
                          <w:bCs/>
                          <w:sz w:val="24"/>
                        </w:rPr>
                        <w:t xml:space="preserve">for Specific Aim 1a. </w:t>
                      </w:r>
                      <w:r w:rsidR="00703A3E">
                        <w:rPr>
                          <w:rFonts w:ascii="Times New Roman" w:hAnsi="Times New Roman" w:cs="Times New Roman"/>
                          <w:bCs/>
                          <w:sz w:val="24"/>
                        </w:rPr>
                        <w:t>No more than</w:t>
                      </w:r>
                      <w:r w:rsidRPr="00CA102C" w:rsidR="00703A3E">
                        <w:rPr>
                          <w:rFonts w:ascii="Times New Roman" w:hAnsi="Times New Roman" w:cs="Times New Roman"/>
                          <w:bCs/>
                          <w:sz w:val="24"/>
                        </w:rPr>
                        <w:t xml:space="preserve"> 100 women mine workers</w:t>
                      </w:r>
                      <w:r w:rsidRPr="00F02628" w:rsidR="00703A3E">
                        <w:rPr>
                          <w:rFonts w:ascii="Times New Roman" w:hAnsi="Times New Roman" w:cs="Times New Roman"/>
                          <w:bCs/>
                          <w:sz w:val="24"/>
                        </w:rPr>
                        <w:t xml:space="preserve"> </w:t>
                      </w:r>
                      <w:r w:rsidR="00703A3E">
                        <w:rPr>
                          <w:rFonts w:ascii="Times New Roman" w:hAnsi="Times New Roman" w:cs="Times New Roman"/>
                          <w:bCs/>
                          <w:sz w:val="24"/>
                        </w:rPr>
                        <w:t xml:space="preserve">will be sampled. </w:t>
                      </w:r>
                      <w:r w:rsidRPr="00F02628" w:rsidR="00BF5507">
                        <w:rPr>
                          <w:rFonts w:ascii="Times New Roman" w:hAnsi="Times New Roman" w:cs="Times New Roman"/>
                          <w:bCs/>
                          <w:sz w:val="24"/>
                        </w:rPr>
                        <w:t xml:space="preserve">During Specific Aim 1b, </w:t>
                      </w:r>
                      <w:r w:rsidR="00993C02">
                        <w:rPr>
                          <w:rFonts w:ascii="Times New Roman" w:hAnsi="Times New Roman" w:cs="Times New Roman"/>
                          <w:bCs/>
                          <w:sz w:val="24"/>
                        </w:rPr>
                        <w:t xml:space="preserve">we will conduct between </w:t>
                      </w:r>
                      <w:r w:rsidRPr="00F02628" w:rsidR="00BF5507">
                        <w:rPr>
                          <w:rFonts w:ascii="Times New Roman" w:hAnsi="Times New Roman" w:cs="Times New Roman"/>
                          <w:bCs/>
                          <w:sz w:val="24"/>
                        </w:rPr>
                        <w:t>3</w:t>
                      </w:r>
                      <w:r w:rsidR="00993C02">
                        <w:rPr>
                          <w:rFonts w:ascii="Times New Roman" w:hAnsi="Times New Roman" w:cs="Times New Roman"/>
                          <w:bCs/>
                          <w:sz w:val="24"/>
                        </w:rPr>
                        <w:t xml:space="preserve"> and </w:t>
                      </w:r>
                      <w:r w:rsidRPr="00F02628" w:rsidR="00BF5507">
                        <w:rPr>
                          <w:rFonts w:ascii="Times New Roman" w:hAnsi="Times New Roman" w:cs="Times New Roman"/>
                          <w:bCs/>
                          <w:sz w:val="24"/>
                        </w:rPr>
                        <w:t>5 focus groups with 4</w:t>
                      </w:r>
                      <w:r w:rsidR="00993C02">
                        <w:rPr>
                          <w:rFonts w:ascii="Times New Roman" w:hAnsi="Times New Roman" w:cs="Times New Roman"/>
                          <w:bCs/>
                          <w:sz w:val="24"/>
                        </w:rPr>
                        <w:t xml:space="preserve"> to </w:t>
                      </w:r>
                      <w:r w:rsidRPr="00F02628" w:rsidR="00BF5507">
                        <w:rPr>
                          <w:rFonts w:ascii="Times New Roman" w:hAnsi="Times New Roman" w:cs="Times New Roman"/>
                          <w:bCs/>
                          <w:sz w:val="24"/>
                        </w:rPr>
                        <w:t xml:space="preserve">6 mine managers and </w:t>
                      </w:r>
                      <w:r w:rsidR="006348F3">
                        <w:rPr>
                          <w:rFonts w:ascii="Times New Roman" w:hAnsi="Times New Roman" w:cs="Times New Roman"/>
                          <w:bCs/>
                          <w:sz w:val="24"/>
                        </w:rPr>
                        <w:t>H&amp;S</w:t>
                      </w:r>
                      <w:r w:rsidRPr="00F02628" w:rsidR="00BF5507">
                        <w:rPr>
                          <w:rFonts w:ascii="Times New Roman" w:hAnsi="Times New Roman" w:cs="Times New Roman"/>
                          <w:bCs/>
                          <w:sz w:val="24"/>
                        </w:rPr>
                        <w:t xml:space="preserve"> professionals</w:t>
                      </w:r>
                      <w:r w:rsidR="00703A3E">
                        <w:rPr>
                          <w:rFonts w:ascii="Times New Roman" w:hAnsi="Times New Roman" w:cs="Times New Roman"/>
                          <w:bCs/>
                          <w:sz w:val="24"/>
                        </w:rPr>
                        <w:t xml:space="preserve"> per group</w:t>
                      </w:r>
                      <w:r w:rsidRPr="00F02628" w:rsidR="00BF5507">
                        <w:rPr>
                          <w:rFonts w:ascii="Times New Roman" w:hAnsi="Times New Roman" w:cs="Times New Roman"/>
                          <w:bCs/>
                          <w:sz w:val="24"/>
                        </w:rPr>
                        <w:t xml:space="preserve">. </w:t>
                      </w:r>
                      <w:r w:rsidR="00703A3E">
                        <w:rPr>
                          <w:rFonts w:ascii="Times New Roman" w:hAnsi="Times New Roman" w:cs="Times New Roman"/>
                          <w:bCs/>
                          <w:sz w:val="24"/>
                        </w:rPr>
                        <w:t>No more than</w:t>
                      </w:r>
                      <w:r w:rsidRPr="00CA102C" w:rsidR="00CA102C">
                        <w:rPr>
                          <w:rFonts w:ascii="Times New Roman" w:hAnsi="Times New Roman" w:cs="Times New Roman"/>
                          <w:bCs/>
                          <w:sz w:val="24"/>
                        </w:rPr>
                        <w:t xml:space="preserve"> 30 mine managers and </w:t>
                      </w:r>
                      <w:r w:rsidR="0067501C">
                        <w:rPr>
                          <w:rFonts w:ascii="Times New Roman" w:hAnsi="Times New Roman" w:cs="Times New Roman"/>
                          <w:bCs/>
                          <w:sz w:val="24"/>
                        </w:rPr>
                        <w:t xml:space="preserve">H&amp;S </w:t>
                      </w:r>
                      <w:r w:rsidRPr="00CA102C" w:rsidR="00CA102C">
                        <w:rPr>
                          <w:rFonts w:ascii="Times New Roman" w:hAnsi="Times New Roman" w:cs="Times New Roman"/>
                          <w:bCs/>
                          <w:sz w:val="24"/>
                        </w:rPr>
                        <w:t>professionals</w:t>
                      </w:r>
                      <w:r w:rsidR="00703A3E">
                        <w:rPr>
                          <w:rFonts w:ascii="Times New Roman" w:hAnsi="Times New Roman" w:cs="Times New Roman"/>
                          <w:bCs/>
                          <w:sz w:val="24"/>
                        </w:rPr>
                        <w:t xml:space="preserve"> will be sampled</w:t>
                      </w:r>
                      <w:r w:rsidRPr="00CA102C" w:rsidR="00CA102C">
                        <w:rPr>
                          <w:rFonts w:ascii="Times New Roman" w:hAnsi="Times New Roman" w:cs="Times New Roman"/>
                          <w:bCs/>
                          <w:sz w:val="24"/>
                        </w:rPr>
                        <w:t xml:space="preserve">. </w:t>
                      </w:r>
                      <w:r w:rsidRPr="00F02628" w:rsidR="00BF5507">
                        <w:rPr>
                          <w:rFonts w:ascii="Times New Roman" w:hAnsi="Times New Roman" w:cs="Times New Roman"/>
                          <w:bCs/>
                          <w:sz w:val="24"/>
                        </w:rPr>
                        <w:t xml:space="preserve">Focus groups will last approximately 60-90 minutes. Immediately after a focus group </w:t>
                      </w:r>
                      <w:r w:rsidR="00703A3E">
                        <w:rPr>
                          <w:rFonts w:ascii="Times New Roman" w:hAnsi="Times New Roman" w:cs="Times New Roman"/>
                          <w:bCs/>
                          <w:sz w:val="24"/>
                        </w:rPr>
                        <w:t xml:space="preserve">interview </w:t>
                      </w:r>
                      <w:r w:rsidRPr="00F02628" w:rsidR="00BF5507">
                        <w:rPr>
                          <w:rFonts w:ascii="Times New Roman" w:hAnsi="Times New Roman" w:cs="Times New Roman"/>
                          <w:bCs/>
                          <w:sz w:val="24"/>
                        </w:rPr>
                        <w:t xml:space="preserve">ends, participants will be asked to take a </w:t>
                      </w:r>
                      <w:r w:rsidR="00703A3E">
                        <w:rPr>
                          <w:rFonts w:ascii="Times New Roman" w:hAnsi="Times New Roman" w:cs="Times New Roman"/>
                          <w:bCs/>
                          <w:sz w:val="24"/>
                        </w:rPr>
                        <w:t>brief</w:t>
                      </w:r>
                      <w:r w:rsidRPr="00F02628" w:rsidR="00703A3E">
                        <w:rPr>
                          <w:rFonts w:ascii="Times New Roman" w:hAnsi="Times New Roman" w:cs="Times New Roman"/>
                          <w:bCs/>
                          <w:sz w:val="24"/>
                        </w:rPr>
                        <w:t xml:space="preserve"> </w:t>
                      </w:r>
                      <w:r w:rsidRPr="00F02628" w:rsidR="00BF5507">
                        <w:rPr>
                          <w:rFonts w:ascii="Times New Roman" w:hAnsi="Times New Roman" w:cs="Times New Roman"/>
                          <w:bCs/>
                          <w:sz w:val="24"/>
                        </w:rPr>
                        <w:t>5</w:t>
                      </w:r>
                      <w:r w:rsidR="0067501C">
                        <w:rPr>
                          <w:rFonts w:ascii="Times New Roman" w:hAnsi="Times New Roman" w:cs="Times New Roman"/>
                          <w:bCs/>
                          <w:sz w:val="24"/>
                        </w:rPr>
                        <w:t xml:space="preserve">- to </w:t>
                      </w:r>
                      <w:r w:rsidRPr="00F02628" w:rsidR="00BF5507">
                        <w:rPr>
                          <w:rFonts w:ascii="Times New Roman" w:hAnsi="Times New Roman" w:cs="Times New Roman"/>
                          <w:bCs/>
                          <w:sz w:val="24"/>
                        </w:rPr>
                        <w:t>7-minute paper or electronic survey that asks demographic and work history questions.</w:t>
                      </w:r>
                      <w:r w:rsidRPr="00BF5507" w:rsidR="00BF5507">
                        <w:rPr>
                          <w:rFonts w:ascii="Times New Roman" w:hAnsi="Times New Roman" w:cs="Times New Roman"/>
                          <w:b/>
                          <w:sz w:val="24"/>
                        </w:rPr>
                        <w:t xml:space="preserve"> </w:t>
                      </w:r>
                    </w:p>
                    <w:p w:rsidR="004039EA" w:rsidRPr="0089781B" w:rsidP="004039EA" w14:paraId="3172F1C4" w14:textId="77777777">
                      <w:pPr>
                        <w:rPr>
                          <w:rFonts w:ascii="Times New Roman" w:hAnsi="Times New Roman" w:cs="Times New Roman"/>
                          <w:sz w:val="24"/>
                        </w:rPr>
                      </w:pPr>
                      <w:r>
                        <w:rPr>
                          <w:rFonts w:ascii="Times New Roman" w:hAnsi="Times New Roman" w:cs="Times New Roman"/>
                          <w:b/>
                          <w:sz w:val="24"/>
                        </w:rPr>
                        <w:t>S</w:t>
                      </w:r>
                      <w:r w:rsidRPr="0089781B">
                        <w:rPr>
                          <w:rFonts w:ascii="Times New Roman" w:hAnsi="Times New Roman" w:cs="Times New Roman"/>
                          <w:b/>
                          <w:sz w:val="24"/>
                        </w:rPr>
                        <w:t>ubpopulation</w:t>
                      </w:r>
                      <w:r>
                        <w:rPr>
                          <w:rFonts w:ascii="Times New Roman" w:hAnsi="Times New Roman" w:cs="Times New Roman"/>
                          <w:b/>
                          <w:sz w:val="24"/>
                        </w:rPr>
                        <w:t xml:space="preserve"> to be studied</w:t>
                      </w:r>
                      <w:r w:rsidRPr="0089781B">
                        <w:rPr>
                          <w:rFonts w:ascii="Times New Roman" w:hAnsi="Times New Roman" w:cs="Times New Roman"/>
                          <w:b/>
                          <w:sz w:val="24"/>
                        </w:rPr>
                        <w:t>:</w:t>
                      </w:r>
                      <w:r w:rsidRPr="0089781B">
                        <w:rPr>
                          <w:rFonts w:ascii="Times New Roman" w:hAnsi="Times New Roman" w:cs="Times New Roman"/>
                          <w:sz w:val="24"/>
                        </w:rPr>
                        <w:t xml:space="preserve"> Data collection will focus on two subpopulations: </w:t>
                      </w:r>
                    </w:p>
                    <w:p w:rsidR="004039EA" w:rsidRPr="005337F1" w:rsidP="004039EA" w14:paraId="21B1BD6D" w14:textId="77EF2375">
                      <w:pPr>
                        <w:pStyle w:val="ListParagraph"/>
                        <w:numPr>
                          <w:ilvl w:val="0"/>
                          <w:numId w:val="8"/>
                        </w:numPr>
                        <w:rPr>
                          <w:rFonts w:ascii="Times New Roman" w:hAnsi="Times New Roman" w:cs="Times New Roman"/>
                          <w:sz w:val="24"/>
                        </w:rPr>
                      </w:pPr>
                      <w:r w:rsidRPr="00F02628">
                        <w:rPr>
                          <w:rFonts w:ascii="Times New Roman" w:hAnsi="Times New Roman" w:cs="Times New Roman"/>
                          <w:sz w:val="24"/>
                        </w:rPr>
                        <w:t>W</w:t>
                      </w:r>
                      <w:r w:rsidRPr="003F3B84">
                        <w:rPr>
                          <w:rFonts w:ascii="Times New Roman" w:hAnsi="Times New Roman" w:cs="Times New Roman"/>
                          <w:sz w:val="24"/>
                        </w:rPr>
                        <w:t>omen mine workers in the U.S. mining industry (machinery/equipment operators, haul truck drivers, engineers, geologists, etc.)</w:t>
                      </w:r>
                      <w:r w:rsidR="005462C5">
                        <w:rPr>
                          <w:rFonts w:ascii="Times New Roman" w:hAnsi="Times New Roman" w:cs="Times New Roman"/>
                          <w:sz w:val="24"/>
                        </w:rPr>
                        <w:t xml:space="preserve"> </w:t>
                      </w:r>
                    </w:p>
                    <w:p w:rsidR="004039EA" w:rsidRPr="0089781B" w:rsidP="004039EA" w14:paraId="3ABCD48B" w14:textId="2D2F9813">
                      <w:pPr>
                        <w:pStyle w:val="ListParagraph"/>
                        <w:numPr>
                          <w:ilvl w:val="0"/>
                          <w:numId w:val="8"/>
                        </w:numPr>
                        <w:rPr>
                          <w:rFonts w:ascii="Times New Roman" w:hAnsi="Times New Roman" w:cs="Times New Roman"/>
                          <w:sz w:val="24"/>
                        </w:rPr>
                      </w:pPr>
                      <w:r>
                        <w:rPr>
                          <w:rFonts w:ascii="Times New Roman" w:hAnsi="Times New Roman" w:cs="Times New Roman"/>
                          <w:sz w:val="24"/>
                        </w:rPr>
                        <w:t>M</w:t>
                      </w:r>
                      <w:r w:rsidRPr="007E53FA">
                        <w:rPr>
                          <w:rFonts w:ascii="Times New Roman" w:hAnsi="Times New Roman" w:cs="Times New Roman"/>
                          <w:sz w:val="24"/>
                        </w:rPr>
                        <w:t>ine managers and health and safety professionals</w:t>
                      </w:r>
                      <w:r w:rsidRPr="007E53FA">
                        <w:rPr>
                          <w:rFonts w:ascii="Times New Roman" w:hAnsi="Times New Roman" w:cs="Times New Roman"/>
                          <w:sz w:val="24"/>
                        </w:rPr>
                        <w:t xml:space="preserve"> </w:t>
                      </w:r>
                    </w:p>
                    <w:p w:rsidR="00D66088" w:rsidRPr="005B0402" w:rsidP="00D66088" w14:paraId="1203DD61" w14:textId="06B29234">
                      <w:pPr>
                        <w:pStyle w:val="Default"/>
                        <w:spacing w:line="259" w:lineRule="auto"/>
                      </w:pPr>
                      <w:r>
                        <w:rPr>
                          <w:b/>
                        </w:rPr>
                        <w:t>How data will be analyzed</w:t>
                      </w:r>
                      <w:r w:rsidRPr="0089781B">
                        <w:rPr>
                          <w:b/>
                        </w:rPr>
                        <w:t>:</w:t>
                      </w:r>
                      <w:r w:rsidRPr="0089781B">
                        <w:t xml:space="preserve"> </w:t>
                      </w:r>
                      <w:r w:rsidR="00EB03FF">
                        <w:t xml:space="preserve">Qualitative methods, namely thematic analysis, will be used to analyze the focus group </w:t>
                      </w:r>
                      <w:r w:rsidR="009367AA">
                        <w:t xml:space="preserve">interview </w:t>
                      </w:r>
                      <w:r w:rsidR="00EB03FF">
                        <w:t>data to identify prioritized work tasks and the hazards and solutions associated with each work system element</w:t>
                      </w:r>
                      <w:r w:rsidR="00750BBB">
                        <w:t xml:space="preserve">. </w:t>
                      </w:r>
                      <w:r w:rsidR="00EB03FF">
                        <w:t>MAXQDA</w:t>
                      </w:r>
                      <w:r w:rsidR="00AD0760">
                        <w:t xml:space="preserve"> (qualitative data analysis software program) will be used</w:t>
                      </w:r>
                      <w:r w:rsidR="00EB03FF">
                        <w:t xml:space="preserve"> to inductively identify major themes and organize</w:t>
                      </w:r>
                      <w:r w:rsidR="00AD0760">
                        <w:t xml:space="preserve"> </w:t>
                      </w:r>
                      <w:r w:rsidR="00EB03FF">
                        <w:t>data. This study will follow the principles of inductive thematic saturation, whereby saturation will be reached when no new themes are identified from the data. The research team will then interpret the identified themes and ideas in context, comparing and contrasting responses between the women mine workers and the mine managers/H&amp;S professionals. The themes that inductively emerge based on these comparisons will be drafted in detail for publication. Findings will summarize what changes are needed to make mining work systems more supportive for women mine workers while also identifying any discrepancies that exist between the perceptions of women mine workers and those of mine managers and H&amp;S professionals in terms of what changes are needed to make the mining work system more supportive for women mine</w:t>
                      </w:r>
                      <w:r w:rsidR="007D1B50">
                        <w:t xml:space="preserve"> worke</w:t>
                      </w:r>
                      <w:r w:rsidR="00EB03FF">
                        <w:t>rs.</w:t>
                      </w:r>
                      <w:r w:rsidR="00245E2A">
                        <w:t xml:space="preserve"> Q</w:t>
                      </w:r>
                      <w:r w:rsidR="00EB03FF">
                        <w:t>uantitative data collected from all focus group participants via the Demographics and Work History Survey will be analyzed using statistical software like Stata 18 (</w:t>
                      </w:r>
                      <w:r w:rsidR="00EB03FF">
                        <w:t>StataCorp</w:t>
                      </w:r>
                      <w:r w:rsidR="00EB03FF">
                        <w:t xml:space="preserve"> LLC) or SPSS 26 (IBM Corp). Demographic and work history information will be collected to accurately describe the study’s sample and to place study results in context, highlighting which groups are represented and documenting demographic </w:t>
                      </w:r>
                      <w:r w:rsidR="00C127B9">
                        <w:t xml:space="preserve">differences </w:t>
                      </w:r>
                      <w:r w:rsidR="00EB03FF">
                        <w:t xml:space="preserve">in perspectives or experiences related to the topic of study. Collecting demographic information also helps others replicate results. </w:t>
                      </w:r>
                    </w:p>
                    <w:p w:rsidR="00B100F7" w:rsidP="004039EA" w14:paraId="7DD4CC4E" w14:textId="395092E7">
                      <w:pPr>
                        <w:rPr>
                          <w:rFonts w:ascii="Times New Roman" w:hAnsi="Times New Roman" w:cs="Times New Roman"/>
                          <w:sz w:val="24"/>
                        </w:rPr>
                      </w:pPr>
                    </w:p>
                    <w:p w:rsidR="004039EA" w:rsidP="004039EA" w14:paraId="79329915" w14:textId="464AF460"/>
                  </w:txbxContent>
                </v:textbox>
                <w10:wrap type="square"/>
              </v:shape>
            </w:pict>
          </mc:Fallback>
        </mc:AlternateContent>
      </w:r>
      <w:r w:rsidRPr="00A55B49">
        <w:rPr>
          <w:rFonts w:ascii="Times New Roman" w:hAnsi="Times New Roman" w:cs="Times New Roman"/>
          <w:b/>
          <w:sz w:val="24"/>
          <w:szCs w:val="24"/>
        </w:rPr>
        <w:t>Supporting Statement A</w:t>
      </w:r>
      <w:r w:rsidRPr="00A55B49" w:rsidR="00AD041E">
        <w:rPr>
          <w:rFonts w:ascii="Times New Roman" w:hAnsi="Times New Roman" w:cs="Times New Roman"/>
          <w:sz w:val="24"/>
          <w:szCs w:val="24"/>
        </w:rPr>
        <w:br w:type="page"/>
      </w:r>
    </w:p>
    <w:p w:rsidR="00B83D25" w:rsidRPr="00A55B49" w:rsidP="003A4E93" w14:paraId="6058DAE1" w14:textId="77777777">
      <w:pPr>
        <w:pStyle w:val="ListParagraph"/>
        <w:numPr>
          <w:ilvl w:val="0"/>
          <w:numId w:val="4"/>
        </w:numPr>
        <w:spacing w:after="0"/>
        <w:ind w:left="360"/>
        <w:rPr>
          <w:rFonts w:ascii="Times New Roman" w:hAnsi="Times New Roman" w:cs="Times New Roman"/>
          <w:b/>
          <w:sz w:val="24"/>
          <w:szCs w:val="24"/>
        </w:rPr>
      </w:pPr>
      <w:r w:rsidRPr="00A55B49">
        <w:rPr>
          <w:rFonts w:ascii="Times New Roman" w:hAnsi="Times New Roman" w:cs="Times New Roman"/>
          <w:b/>
          <w:sz w:val="24"/>
          <w:szCs w:val="24"/>
        </w:rPr>
        <w:t>JUSTIFICATION</w:t>
      </w:r>
    </w:p>
    <w:p w:rsidR="00B83D25" w:rsidRPr="00A55B49" w:rsidP="003A4E93" w14:paraId="654C1377" w14:textId="77777777">
      <w:pPr>
        <w:pStyle w:val="ListParagraph"/>
        <w:spacing w:after="0"/>
        <w:ind w:left="360"/>
        <w:rPr>
          <w:rFonts w:ascii="Times New Roman" w:hAnsi="Times New Roman" w:cs="Times New Roman"/>
          <w:b/>
          <w:sz w:val="24"/>
          <w:szCs w:val="24"/>
        </w:rPr>
      </w:pPr>
    </w:p>
    <w:p w:rsidR="00B83D25" w:rsidRPr="00A55B49" w:rsidP="003A4E93" w14:paraId="4BD1C440" w14:textId="77777777">
      <w:pPr>
        <w:pStyle w:val="ListParagraph"/>
        <w:numPr>
          <w:ilvl w:val="0"/>
          <w:numId w:val="3"/>
        </w:numPr>
        <w:spacing w:after="0"/>
        <w:ind w:left="360"/>
        <w:rPr>
          <w:rFonts w:ascii="Times New Roman" w:hAnsi="Times New Roman" w:cs="Times New Roman"/>
          <w:b/>
          <w:sz w:val="24"/>
          <w:szCs w:val="24"/>
        </w:rPr>
      </w:pPr>
      <w:r w:rsidRPr="00A55B49">
        <w:rPr>
          <w:rFonts w:ascii="Times New Roman" w:hAnsi="Times New Roman" w:cs="Times New Roman"/>
          <w:b/>
          <w:sz w:val="24"/>
          <w:szCs w:val="24"/>
        </w:rPr>
        <w:t>Circumstances Making the Collection of Information Necessary</w:t>
      </w:r>
    </w:p>
    <w:p w:rsidR="00527897" w:rsidRPr="00A55B49" w:rsidP="003D7C16" w14:paraId="173E2F29" w14:textId="734FAF92">
      <w:pPr>
        <w:spacing w:after="0"/>
        <w:rPr>
          <w:rFonts w:ascii="Times New Roman" w:hAnsi="Times New Roman" w:cs="Times New Roman"/>
          <w:sz w:val="24"/>
          <w:szCs w:val="24"/>
        </w:rPr>
      </w:pPr>
      <w:r w:rsidRPr="00A55B49">
        <w:rPr>
          <w:rFonts w:ascii="Times New Roman" w:hAnsi="Times New Roman" w:cs="Times New Roman"/>
          <w:sz w:val="24"/>
          <w:szCs w:val="24"/>
        </w:rPr>
        <w:t>The Centers for Disease Control and Prevention (CDC), National Institute for Occupational Safety and Health (NIOSH) requests OMB approval of a new generic information collection (</w:t>
      </w:r>
      <w:r w:rsidRPr="00A55B49">
        <w:rPr>
          <w:rFonts w:ascii="Times New Roman" w:hAnsi="Times New Roman" w:cs="Times New Roman"/>
          <w:sz w:val="24"/>
          <w:szCs w:val="24"/>
        </w:rPr>
        <w:t>GenIC</w:t>
      </w:r>
      <w:r w:rsidRPr="00A55B49">
        <w:rPr>
          <w:rFonts w:ascii="Times New Roman" w:hAnsi="Times New Roman" w:cs="Times New Roman"/>
          <w:sz w:val="24"/>
          <w:szCs w:val="24"/>
        </w:rPr>
        <w:t xml:space="preserve">) under the </w:t>
      </w:r>
      <w:r w:rsidRPr="00A55B49">
        <w:rPr>
          <w:rFonts w:ascii="Times New Roman" w:hAnsi="Times New Roman" w:cs="Times New Roman"/>
          <w:i/>
          <w:sz w:val="24"/>
          <w:szCs w:val="24"/>
        </w:rPr>
        <w:t>Generic Clearance for CDC/ATSDR Formative Research and Tool Development</w:t>
      </w:r>
      <w:r w:rsidRPr="00A55B49">
        <w:rPr>
          <w:rFonts w:ascii="Times New Roman" w:hAnsi="Times New Roman" w:cs="Times New Roman"/>
          <w:sz w:val="24"/>
          <w:szCs w:val="24"/>
        </w:rPr>
        <w:t xml:space="preserve"> (OMB No. 0920-1154). The purpose of this </w:t>
      </w:r>
      <w:r w:rsidRPr="00A55B49" w:rsidR="00874C74">
        <w:rPr>
          <w:rFonts w:ascii="Times New Roman" w:hAnsi="Times New Roman" w:cs="Times New Roman"/>
          <w:sz w:val="24"/>
          <w:szCs w:val="24"/>
        </w:rPr>
        <w:t>GenIC</w:t>
      </w:r>
      <w:r w:rsidRPr="00A55B49">
        <w:rPr>
          <w:rFonts w:ascii="Times New Roman" w:hAnsi="Times New Roman" w:cs="Times New Roman"/>
          <w:sz w:val="24"/>
          <w:szCs w:val="24"/>
        </w:rPr>
        <w:t xml:space="preserve"> is to enable CDC/ATSDR to conduct formative research for developing new tools and methodologies supporting CDC/ATSDR’s research, surveillance, and program evaluation activities.</w:t>
      </w:r>
      <w:r w:rsidRPr="00A55B49" w:rsidR="007F4799">
        <w:rPr>
          <w:rFonts w:ascii="Times New Roman" w:hAnsi="Times New Roman" w:cs="Times New Roman"/>
          <w:sz w:val="24"/>
          <w:szCs w:val="24"/>
        </w:rPr>
        <w:t xml:space="preserve"> NIOSH seeks approval to conduct a</w:t>
      </w:r>
      <w:r w:rsidRPr="00A55B49" w:rsidR="007E2115">
        <w:rPr>
          <w:rFonts w:ascii="Times New Roman" w:hAnsi="Times New Roman" w:cs="Times New Roman"/>
          <w:sz w:val="24"/>
          <w:szCs w:val="24"/>
        </w:rPr>
        <w:t xml:space="preserve"> study </w:t>
      </w:r>
      <w:r w:rsidRPr="00A55B49" w:rsidR="000A20BE">
        <w:rPr>
          <w:rFonts w:ascii="Times New Roman" w:hAnsi="Times New Roman" w:cs="Times New Roman"/>
          <w:sz w:val="24"/>
          <w:szCs w:val="24"/>
        </w:rPr>
        <w:t>to</w:t>
      </w:r>
      <w:r w:rsidRPr="00A55B49" w:rsidR="007F4799">
        <w:rPr>
          <w:rFonts w:ascii="Times New Roman" w:hAnsi="Times New Roman" w:cs="Times New Roman"/>
          <w:sz w:val="24"/>
          <w:szCs w:val="24"/>
        </w:rPr>
        <w:t xml:space="preserve"> </w:t>
      </w:r>
      <w:r w:rsidRPr="00A55B49" w:rsidR="00AE12F2">
        <w:rPr>
          <w:rFonts w:ascii="Times New Roman" w:hAnsi="Times New Roman" w:cs="Times New Roman"/>
          <w:sz w:val="24"/>
          <w:szCs w:val="24"/>
        </w:rPr>
        <w:t xml:space="preserve">document the experiences of women mine workers in the U.S. to identify and understand the occupational safety and health (OSH) </w:t>
      </w:r>
      <w:r w:rsidR="00006B0C">
        <w:rPr>
          <w:rFonts w:ascii="Times New Roman" w:hAnsi="Times New Roman" w:cs="Times New Roman"/>
          <w:sz w:val="24"/>
          <w:szCs w:val="24"/>
        </w:rPr>
        <w:t>risks</w:t>
      </w:r>
      <w:r w:rsidRPr="00A55B49" w:rsidR="00AE12F2">
        <w:rPr>
          <w:rFonts w:ascii="Times New Roman" w:hAnsi="Times New Roman" w:cs="Times New Roman"/>
          <w:sz w:val="24"/>
          <w:szCs w:val="24"/>
        </w:rPr>
        <w:t xml:space="preserve"> they face in the workplace when performing job tasks.</w:t>
      </w:r>
      <w:r w:rsidRPr="00A55B49" w:rsidR="000A20BE">
        <w:rPr>
          <w:rFonts w:ascii="Times New Roman" w:hAnsi="Times New Roman" w:cs="Times New Roman"/>
          <w:sz w:val="24"/>
          <w:szCs w:val="24"/>
        </w:rPr>
        <w:t xml:space="preserve"> </w:t>
      </w:r>
      <w:r w:rsidRPr="00A55B49" w:rsidR="00A35844">
        <w:rPr>
          <w:rFonts w:ascii="Times New Roman" w:hAnsi="Times New Roman" w:cs="Times New Roman"/>
          <w:sz w:val="24"/>
          <w:szCs w:val="24"/>
        </w:rPr>
        <w:t>Th</w:t>
      </w:r>
      <w:r w:rsidRPr="00A55B49" w:rsidR="000A20BE">
        <w:rPr>
          <w:rFonts w:ascii="Times New Roman" w:hAnsi="Times New Roman" w:cs="Times New Roman"/>
          <w:sz w:val="24"/>
          <w:szCs w:val="24"/>
        </w:rPr>
        <w:t xml:space="preserve">is </w:t>
      </w:r>
      <w:r w:rsidRPr="00A55B49" w:rsidR="007E2115">
        <w:rPr>
          <w:rFonts w:ascii="Times New Roman" w:hAnsi="Times New Roman" w:cs="Times New Roman"/>
          <w:sz w:val="24"/>
          <w:szCs w:val="24"/>
        </w:rPr>
        <w:t>study</w:t>
      </w:r>
      <w:r w:rsidRPr="00A55B49" w:rsidR="000A20BE">
        <w:rPr>
          <w:rFonts w:ascii="Times New Roman" w:hAnsi="Times New Roman" w:cs="Times New Roman"/>
          <w:sz w:val="24"/>
          <w:szCs w:val="24"/>
        </w:rPr>
        <w:t xml:space="preserve"> consists of</w:t>
      </w:r>
      <w:r w:rsidRPr="00A55B49" w:rsidR="00795F67">
        <w:rPr>
          <w:rFonts w:ascii="Times New Roman" w:hAnsi="Times New Roman" w:cs="Times New Roman"/>
          <w:sz w:val="24"/>
          <w:szCs w:val="24"/>
        </w:rPr>
        <w:t xml:space="preserve"> </w:t>
      </w:r>
      <w:r w:rsidRPr="00A55B49" w:rsidR="007577D9">
        <w:rPr>
          <w:rFonts w:ascii="Times New Roman" w:hAnsi="Times New Roman" w:cs="Times New Roman"/>
          <w:sz w:val="24"/>
          <w:szCs w:val="24"/>
        </w:rPr>
        <w:t xml:space="preserve">facilitating </w:t>
      </w:r>
      <w:r w:rsidRPr="00A55B49" w:rsidR="00795F67">
        <w:rPr>
          <w:rFonts w:ascii="Times New Roman" w:hAnsi="Times New Roman" w:cs="Times New Roman"/>
          <w:sz w:val="24"/>
          <w:szCs w:val="24"/>
        </w:rPr>
        <w:t>focus group</w:t>
      </w:r>
      <w:r w:rsidRPr="00A55B49" w:rsidR="007E2115">
        <w:rPr>
          <w:rFonts w:ascii="Times New Roman" w:hAnsi="Times New Roman" w:cs="Times New Roman"/>
          <w:sz w:val="24"/>
          <w:szCs w:val="24"/>
        </w:rPr>
        <w:t xml:space="preserve"> interviews</w:t>
      </w:r>
      <w:r w:rsidRPr="00A55B49" w:rsidR="007577D9">
        <w:rPr>
          <w:rFonts w:ascii="Times New Roman" w:hAnsi="Times New Roman" w:cs="Times New Roman"/>
          <w:sz w:val="24"/>
          <w:szCs w:val="24"/>
        </w:rPr>
        <w:t xml:space="preserve"> and administering a short demographic</w:t>
      </w:r>
      <w:r w:rsidRPr="00A55B49" w:rsidR="008C0C6C">
        <w:rPr>
          <w:rFonts w:ascii="Times New Roman" w:hAnsi="Times New Roman" w:cs="Times New Roman"/>
          <w:sz w:val="24"/>
          <w:szCs w:val="24"/>
        </w:rPr>
        <w:t xml:space="preserve"> survey </w:t>
      </w:r>
      <w:r w:rsidRPr="00A55B49" w:rsidR="00312677">
        <w:rPr>
          <w:rFonts w:ascii="Times New Roman" w:hAnsi="Times New Roman" w:cs="Times New Roman"/>
          <w:sz w:val="24"/>
          <w:szCs w:val="24"/>
        </w:rPr>
        <w:t xml:space="preserve">to </w:t>
      </w:r>
      <w:r w:rsidRPr="00A55B49" w:rsidR="005F4D63">
        <w:rPr>
          <w:rFonts w:ascii="Times New Roman" w:hAnsi="Times New Roman" w:cs="Times New Roman"/>
          <w:sz w:val="24"/>
          <w:szCs w:val="24"/>
        </w:rPr>
        <w:t>women mine</w:t>
      </w:r>
      <w:r w:rsidRPr="00A55B49" w:rsidR="00312677">
        <w:rPr>
          <w:rFonts w:ascii="Times New Roman" w:hAnsi="Times New Roman" w:cs="Times New Roman"/>
          <w:sz w:val="24"/>
          <w:szCs w:val="24"/>
        </w:rPr>
        <w:t xml:space="preserve"> </w:t>
      </w:r>
      <w:r w:rsidRPr="00A55B49" w:rsidR="005F4D63">
        <w:rPr>
          <w:rFonts w:ascii="Times New Roman" w:hAnsi="Times New Roman" w:cs="Times New Roman"/>
          <w:sz w:val="24"/>
          <w:szCs w:val="24"/>
        </w:rPr>
        <w:t xml:space="preserve">workers and </w:t>
      </w:r>
      <w:r w:rsidRPr="00A55B49" w:rsidR="003B02ED">
        <w:rPr>
          <w:rFonts w:ascii="Times New Roman" w:hAnsi="Times New Roman" w:cs="Times New Roman"/>
          <w:sz w:val="24"/>
          <w:szCs w:val="24"/>
        </w:rPr>
        <w:t>mine managers and health and safety (</w:t>
      </w:r>
      <w:r w:rsidRPr="00A55B49" w:rsidR="003B02ED">
        <w:rPr>
          <w:rFonts w:ascii="Times New Roman" w:hAnsi="Times New Roman" w:cs="Times New Roman"/>
          <w:bCs/>
          <w:sz w:val="24"/>
          <w:szCs w:val="24"/>
        </w:rPr>
        <w:t>H&amp;S</w:t>
      </w:r>
      <w:r w:rsidRPr="00A55B49" w:rsidR="003B02ED">
        <w:rPr>
          <w:rFonts w:ascii="Times New Roman" w:hAnsi="Times New Roman" w:cs="Times New Roman"/>
          <w:sz w:val="24"/>
          <w:szCs w:val="24"/>
        </w:rPr>
        <w:t>) professionals</w:t>
      </w:r>
      <w:r w:rsidRPr="00A55B49" w:rsidR="005F4D63">
        <w:rPr>
          <w:rFonts w:ascii="Times New Roman" w:hAnsi="Times New Roman" w:cs="Times New Roman"/>
          <w:sz w:val="24"/>
          <w:szCs w:val="24"/>
        </w:rPr>
        <w:t>.</w:t>
      </w:r>
      <w:r w:rsidRPr="00A55B49" w:rsidR="00BC7C54">
        <w:rPr>
          <w:rFonts w:ascii="Times New Roman" w:hAnsi="Times New Roman" w:cs="Times New Roman"/>
          <w:sz w:val="24"/>
          <w:szCs w:val="24"/>
        </w:rPr>
        <w:t xml:space="preserve"> </w:t>
      </w:r>
      <w:r w:rsidRPr="00A55B49" w:rsidR="00D8120C">
        <w:rPr>
          <w:rFonts w:ascii="Times New Roman" w:hAnsi="Times New Roman" w:cs="Times New Roman"/>
          <w:sz w:val="24"/>
          <w:szCs w:val="24"/>
        </w:rPr>
        <w:t>This study is being conducted by the National Institute for Occupational Safety and Health</w:t>
      </w:r>
      <w:r w:rsidRPr="00A55B49" w:rsidR="002776F2">
        <w:rPr>
          <w:rFonts w:ascii="Times New Roman" w:hAnsi="Times New Roman" w:cs="Times New Roman"/>
          <w:sz w:val="24"/>
          <w:szCs w:val="24"/>
        </w:rPr>
        <w:t>. NIOSH,</w:t>
      </w:r>
      <w:r w:rsidRPr="00A55B49" w:rsidR="00D8120C">
        <w:rPr>
          <w:rFonts w:ascii="Times New Roman" w:hAnsi="Times New Roman" w:cs="Times New Roman"/>
          <w:sz w:val="24"/>
          <w:szCs w:val="24"/>
        </w:rPr>
        <w:t xml:space="preserve"> under P.L. 91-173 as amended by P.L. 95 -164 (Federal Mine Safety and Health Act of 1977, Appendix A), has the responsibility to conduct research to improve working conditions and to prevent </w:t>
      </w:r>
      <w:r w:rsidR="00006B0C">
        <w:rPr>
          <w:rFonts w:ascii="Times New Roman" w:hAnsi="Times New Roman" w:cs="Times New Roman"/>
          <w:sz w:val="24"/>
          <w:szCs w:val="24"/>
        </w:rPr>
        <w:t>incidents</w:t>
      </w:r>
      <w:r w:rsidRPr="00A55B49" w:rsidR="00006B0C">
        <w:rPr>
          <w:rFonts w:ascii="Times New Roman" w:hAnsi="Times New Roman" w:cs="Times New Roman"/>
          <w:sz w:val="24"/>
          <w:szCs w:val="24"/>
        </w:rPr>
        <w:t xml:space="preserve"> </w:t>
      </w:r>
      <w:r w:rsidRPr="00A55B49" w:rsidR="00D8120C">
        <w:rPr>
          <w:rFonts w:ascii="Times New Roman" w:hAnsi="Times New Roman" w:cs="Times New Roman"/>
          <w:sz w:val="24"/>
          <w:szCs w:val="24"/>
        </w:rPr>
        <w:t>and occupational diseases in underground coal and metal/nonmetal mines in the U.S.</w:t>
      </w:r>
    </w:p>
    <w:p w:rsidR="003D7C16" w:rsidRPr="00A55B49" w:rsidP="003A4E93" w14:paraId="011AE39B" w14:textId="77777777">
      <w:pPr>
        <w:spacing w:after="0"/>
        <w:rPr>
          <w:rFonts w:ascii="Times New Roman" w:hAnsi="Times New Roman" w:cs="Times New Roman"/>
          <w:sz w:val="24"/>
          <w:szCs w:val="24"/>
        </w:rPr>
      </w:pPr>
    </w:p>
    <w:p w:rsidR="00DF10E1" w:rsidRPr="00A55B49" w:rsidP="003D7C16" w14:paraId="33685CD1" w14:textId="69D780FA">
      <w:pPr>
        <w:pStyle w:val="NoSpacing"/>
        <w:rPr>
          <w:rFonts w:ascii="Times New Roman" w:hAnsi="Times New Roman" w:cs="Times New Roman"/>
          <w:sz w:val="24"/>
          <w:szCs w:val="24"/>
        </w:rPr>
      </w:pPr>
      <w:r w:rsidRPr="7C2EF612">
        <w:rPr>
          <w:rFonts w:ascii="Times New Roman" w:hAnsi="Times New Roman" w:cs="Times New Roman"/>
          <w:sz w:val="24"/>
          <w:szCs w:val="24"/>
        </w:rPr>
        <w:t xml:space="preserve">To effectively support the OSH needs of current and future women </w:t>
      </w:r>
      <w:r w:rsidRPr="7C2EF612" w:rsidR="003C127D">
        <w:rPr>
          <w:rFonts w:ascii="Times New Roman" w:hAnsi="Times New Roman" w:cs="Times New Roman"/>
          <w:sz w:val="24"/>
          <w:szCs w:val="24"/>
        </w:rPr>
        <w:t>mine workers</w:t>
      </w:r>
      <w:r w:rsidRPr="7C2EF612">
        <w:rPr>
          <w:rFonts w:ascii="Times New Roman" w:hAnsi="Times New Roman" w:cs="Times New Roman"/>
          <w:sz w:val="24"/>
          <w:szCs w:val="24"/>
        </w:rPr>
        <w:t xml:space="preserve">, and to foster their retention and recruitment, it is imperative to identify and address both the existing and emerging challenges they face. Historically, mining has been a male-dominated </w:t>
      </w:r>
      <w:r w:rsidRPr="7C2EF612" w:rsidR="003C127D">
        <w:rPr>
          <w:rFonts w:ascii="Times New Roman" w:hAnsi="Times New Roman" w:cs="Times New Roman"/>
          <w:sz w:val="24"/>
          <w:szCs w:val="24"/>
        </w:rPr>
        <w:t>industry</w:t>
      </w:r>
      <w:r w:rsidRPr="7C2EF612">
        <w:rPr>
          <w:rFonts w:ascii="Times New Roman" w:hAnsi="Times New Roman" w:cs="Times New Roman"/>
          <w:sz w:val="24"/>
          <w:szCs w:val="24"/>
        </w:rPr>
        <w:t>, with men comprising approximately 85% of the workforce (BLS, 2021). As a result, OSH research in mining has largely centered on the male experience, leaving women underrepresented and underserved. This oversight has often led to women facing disproportionate exposure to work-related hazards and risks (Landau &amp; Lewis, 2019). However, as companies implement strategic efforts to expand their workforce and ensure sustainability amidst an anticipated wave of retirements, the number of women in mining is expected to rise in the coming years.</w:t>
      </w:r>
    </w:p>
    <w:p w:rsidR="00E51EEB" w:rsidRPr="00A55B49" w:rsidP="003D7C16" w14:paraId="5A5304BE" w14:textId="77777777">
      <w:pPr>
        <w:pStyle w:val="NoSpacing"/>
        <w:rPr>
          <w:rFonts w:ascii="Times New Roman" w:hAnsi="Times New Roman" w:cs="Times New Roman"/>
          <w:sz w:val="24"/>
          <w:szCs w:val="24"/>
        </w:rPr>
      </w:pPr>
    </w:p>
    <w:p w:rsidR="00BC02BF" w:rsidRPr="00A55B49" w:rsidP="003D7C16" w14:paraId="7FC63127" w14:textId="700713D5">
      <w:pPr>
        <w:pStyle w:val="NoSpacing"/>
        <w:rPr>
          <w:rFonts w:ascii="Times New Roman" w:hAnsi="Times New Roman" w:cs="Times New Roman"/>
          <w:sz w:val="24"/>
          <w:szCs w:val="24"/>
        </w:rPr>
      </w:pPr>
      <w:r w:rsidRPr="7C2EF612">
        <w:rPr>
          <w:rFonts w:ascii="Times New Roman" w:hAnsi="Times New Roman" w:cs="Times New Roman"/>
          <w:sz w:val="24"/>
          <w:szCs w:val="24"/>
        </w:rPr>
        <w:t xml:space="preserve">To </w:t>
      </w:r>
      <w:r w:rsidRPr="7C2EF612" w:rsidR="00605506">
        <w:rPr>
          <w:rFonts w:ascii="Times New Roman" w:hAnsi="Times New Roman" w:cs="Times New Roman"/>
          <w:sz w:val="24"/>
          <w:szCs w:val="24"/>
        </w:rPr>
        <w:t xml:space="preserve">better </w:t>
      </w:r>
      <w:r w:rsidRPr="7C2EF612">
        <w:rPr>
          <w:rFonts w:ascii="Times New Roman" w:hAnsi="Times New Roman" w:cs="Times New Roman"/>
          <w:sz w:val="24"/>
          <w:szCs w:val="24"/>
        </w:rPr>
        <w:t xml:space="preserve">understand </w:t>
      </w:r>
      <w:r w:rsidRPr="7C2EF612" w:rsidR="009F6A74">
        <w:rPr>
          <w:rFonts w:ascii="Times New Roman" w:hAnsi="Times New Roman" w:cs="Times New Roman"/>
          <w:sz w:val="24"/>
          <w:szCs w:val="24"/>
        </w:rPr>
        <w:t xml:space="preserve">the </w:t>
      </w:r>
      <w:r w:rsidRPr="7C2EF612">
        <w:rPr>
          <w:rFonts w:ascii="Times New Roman" w:hAnsi="Times New Roman" w:cs="Times New Roman"/>
          <w:sz w:val="24"/>
          <w:szCs w:val="24"/>
        </w:rPr>
        <w:t xml:space="preserve">OSH hazards and risks </w:t>
      </w:r>
      <w:r w:rsidRPr="7C2EF612" w:rsidR="00EB3D7A">
        <w:rPr>
          <w:rFonts w:ascii="Times New Roman" w:hAnsi="Times New Roman" w:cs="Times New Roman"/>
          <w:sz w:val="24"/>
          <w:szCs w:val="24"/>
        </w:rPr>
        <w:t xml:space="preserve">faced by </w:t>
      </w:r>
      <w:r w:rsidRPr="7C2EF612">
        <w:rPr>
          <w:rFonts w:ascii="Times New Roman" w:hAnsi="Times New Roman" w:cs="Times New Roman"/>
          <w:sz w:val="24"/>
          <w:szCs w:val="24"/>
        </w:rPr>
        <w:t xml:space="preserve">women </w:t>
      </w:r>
      <w:r w:rsidRPr="7C2EF612" w:rsidR="00C372FC">
        <w:rPr>
          <w:rFonts w:ascii="Times New Roman" w:hAnsi="Times New Roman" w:cs="Times New Roman"/>
          <w:sz w:val="24"/>
          <w:szCs w:val="24"/>
        </w:rPr>
        <w:t>mine workers</w:t>
      </w:r>
      <w:r w:rsidRPr="7C2EF612" w:rsidR="00EB3D7A">
        <w:rPr>
          <w:rFonts w:ascii="Times New Roman" w:hAnsi="Times New Roman" w:cs="Times New Roman"/>
          <w:sz w:val="24"/>
          <w:szCs w:val="24"/>
        </w:rPr>
        <w:t xml:space="preserve">—including those in roles such as operators, laborers, </w:t>
      </w:r>
      <w:r w:rsidRPr="7C2EF612" w:rsidR="00BB0AC4">
        <w:rPr>
          <w:rFonts w:ascii="Times New Roman" w:hAnsi="Times New Roman" w:cs="Times New Roman"/>
          <w:sz w:val="24"/>
          <w:szCs w:val="24"/>
        </w:rPr>
        <w:t>mining engineers, and geologists—</w:t>
      </w:r>
      <w:r w:rsidRPr="7C2EF612">
        <w:rPr>
          <w:rFonts w:ascii="Times New Roman" w:hAnsi="Times New Roman" w:cs="Times New Roman"/>
          <w:sz w:val="24"/>
          <w:szCs w:val="24"/>
        </w:rPr>
        <w:t>researchers</w:t>
      </w:r>
      <w:r w:rsidRPr="7C2EF612" w:rsidR="00BB0AC4">
        <w:rPr>
          <w:rFonts w:ascii="Times New Roman" w:hAnsi="Times New Roman" w:cs="Times New Roman"/>
          <w:sz w:val="24"/>
          <w:szCs w:val="24"/>
        </w:rPr>
        <w:t xml:space="preserve"> </w:t>
      </w:r>
      <w:r w:rsidRPr="7C2EF612">
        <w:rPr>
          <w:rFonts w:ascii="Times New Roman" w:hAnsi="Times New Roman" w:cs="Times New Roman"/>
          <w:sz w:val="24"/>
          <w:szCs w:val="24"/>
        </w:rPr>
        <w:t>from</w:t>
      </w:r>
      <w:r w:rsidRPr="7C2EF612" w:rsidR="00D53271">
        <w:rPr>
          <w:rFonts w:ascii="Times New Roman" w:hAnsi="Times New Roman" w:cs="Times New Roman"/>
          <w:sz w:val="24"/>
          <w:szCs w:val="24"/>
        </w:rPr>
        <w:t xml:space="preserve"> the</w:t>
      </w:r>
      <w:r w:rsidRPr="7C2EF612">
        <w:rPr>
          <w:rFonts w:ascii="Times New Roman" w:hAnsi="Times New Roman" w:cs="Times New Roman"/>
          <w:sz w:val="24"/>
          <w:szCs w:val="24"/>
        </w:rPr>
        <w:t xml:space="preserve"> Spokane Mining Research Division (SMRD) recently published a paper that highlight</w:t>
      </w:r>
      <w:r w:rsidRPr="7C2EF612" w:rsidR="00BB0AC4">
        <w:rPr>
          <w:rFonts w:ascii="Times New Roman" w:hAnsi="Times New Roman" w:cs="Times New Roman"/>
          <w:sz w:val="24"/>
          <w:szCs w:val="24"/>
        </w:rPr>
        <w:t>s</w:t>
      </w:r>
      <w:r w:rsidRPr="7C2EF612" w:rsidR="00F97A76">
        <w:rPr>
          <w:rFonts w:ascii="Times New Roman" w:hAnsi="Times New Roman" w:cs="Times New Roman"/>
          <w:sz w:val="24"/>
          <w:szCs w:val="24"/>
        </w:rPr>
        <w:t xml:space="preserve"> both</w:t>
      </w:r>
      <w:r w:rsidRPr="7C2EF612">
        <w:rPr>
          <w:rFonts w:ascii="Times New Roman" w:hAnsi="Times New Roman" w:cs="Times New Roman"/>
          <w:sz w:val="24"/>
          <w:szCs w:val="24"/>
        </w:rPr>
        <w:t xml:space="preserve"> known general OSH risks </w:t>
      </w:r>
      <w:r w:rsidRPr="7C2EF612" w:rsidR="00F97A76">
        <w:rPr>
          <w:rFonts w:ascii="Times New Roman" w:hAnsi="Times New Roman" w:cs="Times New Roman"/>
          <w:sz w:val="24"/>
          <w:szCs w:val="24"/>
        </w:rPr>
        <w:t xml:space="preserve">in mining </w:t>
      </w:r>
      <w:r w:rsidRPr="7C2EF612">
        <w:rPr>
          <w:rFonts w:ascii="Times New Roman" w:hAnsi="Times New Roman" w:cs="Times New Roman"/>
          <w:sz w:val="24"/>
          <w:szCs w:val="24"/>
        </w:rPr>
        <w:t>as well as those that are unique to women</w:t>
      </w:r>
      <w:r w:rsidRPr="7C2EF612" w:rsidR="00F97A76">
        <w:rPr>
          <w:rFonts w:ascii="Times New Roman" w:hAnsi="Times New Roman" w:cs="Times New Roman"/>
          <w:sz w:val="24"/>
          <w:szCs w:val="24"/>
        </w:rPr>
        <w:t xml:space="preserve">. The paper also </w:t>
      </w:r>
      <w:r w:rsidRPr="7C2EF612" w:rsidR="00466B98">
        <w:rPr>
          <w:rFonts w:ascii="Times New Roman" w:hAnsi="Times New Roman" w:cs="Times New Roman"/>
          <w:sz w:val="24"/>
          <w:szCs w:val="24"/>
        </w:rPr>
        <w:t>emphasizes critical</w:t>
      </w:r>
      <w:r w:rsidRPr="7C2EF612">
        <w:rPr>
          <w:rFonts w:ascii="Times New Roman" w:hAnsi="Times New Roman" w:cs="Times New Roman"/>
          <w:sz w:val="24"/>
          <w:szCs w:val="24"/>
        </w:rPr>
        <w:t xml:space="preserve"> gaps in the </w:t>
      </w:r>
      <w:r w:rsidRPr="7C2EF612" w:rsidR="00466B98">
        <w:rPr>
          <w:rFonts w:ascii="Times New Roman" w:hAnsi="Times New Roman" w:cs="Times New Roman"/>
          <w:sz w:val="24"/>
          <w:szCs w:val="24"/>
        </w:rPr>
        <w:t xml:space="preserve">existing </w:t>
      </w:r>
      <w:r w:rsidRPr="7C2EF612">
        <w:rPr>
          <w:rFonts w:ascii="Times New Roman" w:hAnsi="Times New Roman" w:cs="Times New Roman"/>
          <w:sz w:val="24"/>
          <w:szCs w:val="24"/>
        </w:rPr>
        <w:t xml:space="preserve">literature that </w:t>
      </w:r>
      <w:r w:rsidRPr="7C2EF612" w:rsidR="00466B98">
        <w:rPr>
          <w:rFonts w:ascii="Times New Roman" w:hAnsi="Times New Roman" w:cs="Times New Roman"/>
          <w:sz w:val="24"/>
          <w:szCs w:val="24"/>
        </w:rPr>
        <w:t>must be addressed</w:t>
      </w:r>
      <w:r w:rsidRPr="7C2EF612">
        <w:rPr>
          <w:rFonts w:ascii="Times New Roman" w:hAnsi="Times New Roman" w:cs="Times New Roman"/>
          <w:sz w:val="24"/>
          <w:szCs w:val="24"/>
        </w:rPr>
        <w:t xml:space="preserve"> to </w:t>
      </w:r>
      <w:r w:rsidRPr="7C2EF612" w:rsidR="00466B98">
        <w:rPr>
          <w:rFonts w:ascii="Times New Roman" w:hAnsi="Times New Roman" w:cs="Times New Roman"/>
          <w:sz w:val="24"/>
          <w:szCs w:val="24"/>
        </w:rPr>
        <w:t xml:space="preserve">adequately </w:t>
      </w:r>
      <w:r w:rsidRPr="7C2EF612">
        <w:rPr>
          <w:rFonts w:ascii="Times New Roman" w:hAnsi="Times New Roman" w:cs="Times New Roman"/>
          <w:sz w:val="24"/>
          <w:szCs w:val="24"/>
        </w:rPr>
        <w:t>serve the needs of this underrepresented population (Eiter et al., 2023</w:t>
      </w:r>
      <w:r w:rsidRPr="7C2EF612" w:rsidR="00DF10E1">
        <w:rPr>
          <w:rFonts w:ascii="Times New Roman" w:hAnsi="Times New Roman" w:cs="Times New Roman"/>
          <w:sz w:val="24"/>
          <w:szCs w:val="24"/>
        </w:rPr>
        <w:t xml:space="preserve">). </w:t>
      </w:r>
      <w:r w:rsidRPr="7C2EF612">
        <w:rPr>
          <w:rFonts w:ascii="Times New Roman" w:hAnsi="Times New Roman" w:cs="Times New Roman"/>
          <w:sz w:val="24"/>
          <w:szCs w:val="24"/>
        </w:rPr>
        <w:t xml:space="preserve">As the mining workforce changes, </w:t>
      </w:r>
      <w:r w:rsidRPr="7C2EF612" w:rsidR="00605506">
        <w:rPr>
          <w:rFonts w:ascii="Times New Roman" w:hAnsi="Times New Roman" w:cs="Times New Roman"/>
          <w:sz w:val="24"/>
          <w:szCs w:val="24"/>
        </w:rPr>
        <w:t xml:space="preserve">it is essential to conduct </w:t>
      </w:r>
      <w:r w:rsidRPr="7C2EF612">
        <w:rPr>
          <w:rFonts w:ascii="Times New Roman" w:hAnsi="Times New Roman" w:cs="Times New Roman"/>
          <w:sz w:val="24"/>
          <w:szCs w:val="24"/>
        </w:rPr>
        <w:t xml:space="preserve">research </w:t>
      </w:r>
      <w:r w:rsidRPr="7C2EF612" w:rsidR="00605506">
        <w:rPr>
          <w:rFonts w:ascii="Times New Roman" w:hAnsi="Times New Roman" w:cs="Times New Roman"/>
          <w:sz w:val="24"/>
          <w:szCs w:val="24"/>
        </w:rPr>
        <w:t>that</w:t>
      </w:r>
      <w:r w:rsidRPr="7C2EF612">
        <w:rPr>
          <w:rFonts w:ascii="Times New Roman" w:hAnsi="Times New Roman" w:cs="Times New Roman"/>
          <w:sz w:val="24"/>
          <w:szCs w:val="24"/>
        </w:rPr>
        <w:t xml:space="preserve"> identif</w:t>
      </w:r>
      <w:r w:rsidRPr="7C2EF612" w:rsidR="00605506">
        <w:rPr>
          <w:rFonts w:ascii="Times New Roman" w:hAnsi="Times New Roman" w:cs="Times New Roman"/>
          <w:sz w:val="24"/>
          <w:szCs w:val="24"/>
        </w:rPr>
        <w:t>ies</w:t>
      </w:r>
      <w:r w:rsidRPr="7C2EF612">
        <w:rPr>
          <w:rFonts w:ascii="Times New Roman" w:hAnsi="Times New Roman" w:cs="Times New Roman"/>
          <w:sz w:val="24"/>
          <w:szCs w:val="24"/>
        </w:rPr>
        <w:t xml:space="preserve"> </w:t>
      </w:r>
      <w:r w:rsidRPr="7C2EF612" w:rsidR="00605506">
        <w:rPr>
          <w:rFonts w:ascii="Times New Roman" w:hAnsi="Times New Roman" w:cs="Times New Roman"/>
          <w:sz w:val="24"/>
          <w:szCs w:val="24"/>
        </w:rPr>
        <w:t xml:space="preserve">strategies </w:t>
      </w:r>
      <w:r w:rsidRPr="7C2EF612">
        <w:rPr>
          <w:rFonts w:ascii="Times New Roman" w:hAnsi="Times New Roman" w:cs="Times New Roman"/>
          <w:sz w:val="24"/>
          <w:szCs w:val="24"/>
        </w:rPr>
        <w:t xml:space="preserve">to </w:t>
      </w:r>
      <w:r w:rsidRPr="7C2EF612" w:rsidR="00605506">
        <w:rPr>
          <w:rFonts w:ascii="Times New Roman" w:hAnsi="Times New Roman" w:cs="Times New Roman"/>
          <w:sz w:val="24"/>
          <w:szCs w:val="24"/>
        </w:rPr>
        <w:t xml:space="preserve">mitigate </w:t>
      </w:r>
      <w:r w:rsidRPr="7C2EF612">
        <w:rPr>
          <w:rFonts w:ascii="Times New Roman" w:hAnsi="Times New Roman" w:cs="Times New Roman"/>
          <w:sz w:val="24"/>
          <w:szCs w:val="24"/>
        </w:rPr>
        <w:t xml:space="preserve">these risks </w:t>
      </w:r>
      <w:r w:rsidRPr="7C2EF612" w:rsidR="004F0806">
        <w:rPr>
          <w:rFonts w:ascii="Times New Roman" w:hAnsi="Times New Roman" w:cs="Times New Roman"/>
          <w:sz w:val="24"/>
          <w:szCs w:val="24"/>
        </w:rPr>
        <w:t>to</w:t>
      </w:r>
      <w:r w:rsidRPr="7C2EF612">
        <w:rPr>
          <w:rFonts w:ascii="Times New Roman" w:hAnsi="Times New Roman" w:cs="Times New Roman"/>
          <w:sz w:val="24"/>
          <w:szCs w:val="24"/>
        </w:rPr>
        <w:t xml:space="preserve"> protect the health, safety</w:t>
      </w:r>
      <w:r w:rsidRPr="7C2EF612" w:rsidR="004F0806">
        <w:rPr>
          <w:rFonts w:ascii="Times New Roman" w:hAnsi="Times New Roman" w:cs="Times New Roman"/>
          <w:sz w:val="24"/>
          <w:szCs w:val="24"/>
        </w:rPr>
        <w:t>,</w:t>
      </w:r>
      <w:r w:rsidRPr="7C2EF612">
        <w:rPr>
          <w:rFonts w:ascii="Times New Roman" w:hAnsi="Times New Roman" w:cs="Times New Roman"/>
          <w:sz w:val="24"/>
          <w:szCs w:val="24"/>
        </w:rPr>
        <w:t xml:space="preserve"> and well</w:t>
      </w:r>
      <w:r w:rsidRPr="7C2EF612" w:rsidR="004F0806">
        <w:rPr>
          <w:rFonts w:ascii="Times New Roman" w:hAnsi="Times New Roman" w:cs="Times New Roman"/>
          <w:sz w:val="24"/>
          <w:szCs w:val="24"/>
        </w:rPr>
        <w:t>-</w:t>
      </w:r>
      <w:r w:rsidRPr="7C2EF612">
        <w:rPr>
          <w:rFonts w:ascii="Times New Roman" w:hAnsi="Times New Roman" w:cs="Times New Roman"/>
          <w:sz w:val="24"/>
          <w:szCs w:val="24"/>
        </w:rPr>
        <w:t xml:space="preserve">being of </w:t>
      </w:r>
      <w:r w:rsidRPr="7C2EF612" w:rsidR="004F0806">
        <w:rPr>
          <w:rFonts w:ascii="Times New Roman" w:hAnsi="Times New Roman" w:cs="Times New Roman"/>
          <w:sz w:val="24"/>
          <w:szCs w:val="24"/>
        </w:rPr>
        <w:t>women mine workers.</w:t>
      </w:r>
    </w:p>
    <w:p w:rsidR="00C47318" w:rsidRPr="00A55B49" w:rsidP="003A4E93" w14:paraId="5D11F48C" w14:textId="77777777">
      <w:pPr>
        <w:spacing w:after="0"/>
        <w:rPr>
          <w:rFonts w:ascii="Times New Roman" w:hAnsi="Times New Roman" w:cs="Times New Roman"/>
          <w:sz w:val="24"/>
          <w:szCs w:val="24"/>
        </w:rPr>
      </w:pPr>
    </w:p>
    <w:p w:rsidR="00C47318" w:rsidRPr="00A55B49" w:rsidP="003A4E93" w14:paraId="026A7606" w14:textId="77777777">
      <w:pPr>
        <w:pStyle w:val="ListParagraph"/>
        <w:numPr>
          <w:ilvl w:val="0"/>
          <w:numId w:val="3"/>
        </w:numPr>
        <w:spacing w:after="0"/>
        <w:ind w:left="360"/>
        <w:rPr>
          <w:rFonts w:ascii="Times New Roman" w:hAnsi="Times New Roman" w:cs="Times New Roman"/>
          <w:b/>
          <w:sz w:val="24"/>
          <w:szCs w:val="24"/>
        </w:rPr>
      </w:pPr>
      <w:r w:rsidRPr="00A55B49">
        <w:rPr>
          <w:rFonts w:ascii="Times New Roman" w:hAnsi="Times New Roman" w:cs="Times New Roman"/>
          <w:b/>
          <w:sz w:val="24"/>
          <w:szCs w:val="24"/>
        </w:rPr>
        <w:t>Purpose and Use of Information Collection</w:t>
      </w:r>
    </w:p>
    <w:p w:rsidR="004C3EDE" w:rsidRPr="00A55B49" w:rsidP="003D7C16" w14:paraId="002A2939" w14:textId="273F3D25">
      <w:pPr>
        <w:pStyle w:val="NoSpacing"/>
        <w:rPr>
          <w:rFonts w:ascii="Times New Roman" w:hAnsi="Times New Roman" w:cs="Times New Roman"/>
          <w:sz w:val="24"/>
          <w:szCs w:val="24"/>
        </w:rPr>
      </w:pPr>
      <w:r w:rsidRPr="00A55B49">
        <w:rPr>
          <w:rFonts w:ascii="Times New Roman" w:hAnsi="Times New Roman" w:cs="Times New Roman"/>
          <w:sz w:val="24"/>
          <w:szCs w:val="24"/>
        </w:rPr>
        <w:t xml:space="preserve">The goal of </w:t>
      </w:r>
      <w:r w:rsidRPr="00A55B49" w:rsidR="00F96C5D">
        <w:rPr>
          <w:rFonts w:ascii="Times New Roman" w:hAnsi="Times New Roman" w:cs="Times New Roman"/>
          <w:sz w:val="24"/>
          <w:szCs w:val="24"/>
        </w:rPr>
        <w:t>this formative</w:t>
      </w:r>
      <w:r w:rsidRPr="00A55B49">
        <w:rPr>
          <w:rFonts w:ascii="Times New Roman" w:hAnsi="Times New Roman" w:cs="Times New Roman"/>
          <w:sz w:val="24"/>
          <w:szCs w:val="24"/>
        </w:rPr>
        <w:t xml:space="preserve"> </w:t>
      </w:r>
      <w:r w:rsidRPr="00A55B49" w:rsidR="00F96C5D">
        <w:rPr>
          <w:rFonts w:ascii="Times New Roman" w:hAnsi="Times New Roman" w:cs="Times New Roman"/>
          <w:sz w:val="24"/>
          <w:szCs w:val="24"/>
        </w:rPr>
        <w:t xml:space="preserve">research </w:t>
      </w:r>
      <w:r w:rsidRPr="00A55B49">
        <w:rPr>
          <w:rFonts w:ascii="Times New Roman" w:hAnsi="Times New Roman" w:cs="Times New Roman"/>
          <w:sz w:val="24"/>
          <w:szCs w:val="24"/>
        </w:rPr>
        <w:t>is to document the experiences of women mine workers in the U.S. to identify and understand the OSH hazards and risks they face in the workplace when performing job tasks. We are particularly interested in learning about the OSH hazards that are unique</w:t>
      </w:r>
      <w:r w:rsidRPr="00A55B49" w:rsidR="00546E9F">
        <w:rPr>
          <w:rFonts w:ascii="Times New Roman" w:hAnsi="Times New Roman" w:cs="Times New Roman"/>
          <w:sz w:val="24"/>
          <w:szCs w:val="24"/>
        </w:rPr>
        <w:t>ly affecting</w:t>
      </w:r>
      <w:r w:rsidRPr="00A55B49">
        <w:rPr>
          <w:rFonts w:ascii="Times New Roman" w:hAnsi="Times New Roman" w:cs="Times New Roman"/>
          <w:sz w:val="24"/>
          <w:szCs w:val="24"/>
        </w:rPr>
        <w:t xml:space="preserve"> women mine workers, as these may lead to increased health and safety risks</w:t>
      </w:r>
      <w:r w:rsidR="00C94DE5">
        <w:rPr>
          <w:rFonts w:ascii="Times New Roman" w:hAnsi="Times New Roman" w:cs="Times New Roman"/>
          <w:sz w:val="24"/>
          <w:szCs w:val="24"/>
        </w:rPr>
        <w:t xml:space="preserve">. </w:t>
      </w:r>
      <w:r w:rsidRPr="00A55B49">
        <w:rPr>
          <w:rFonts w:ascii="Times New Roman" w:hAnsi="Times New Roman" w:cs="Times New Roman"/>
          <w:sz w:val="24"/>
          <w:szCs w:val="24"/>
        </w:rPr>
        <w:t xml:space="preserve">This information will be used to develop a framework for mine managers and H&amp;S professionals </w:t>
      </w:r>
      <w:r w:rsidRPr="00A55B49">
        <w:rPr>
          <w:rFonts w:ascii="Times New Roman" w:hAnsi="Times New Roman" w:cs="Times New Roman"/>
          <w:sz w:val="24"/>
          <w:szCs w:val="24"/>
        </w:rPr>
        <w:t>to use to guide the planning, designing, or re-designing of the work system (tools, equipment, task, work environment, and organization) to address worker-specific needs.</w:t>
      </w:r>
    </w:p>
    <w:p w:rsidR="00455714" w:rsidRPr="00A55B49" w:rsidP="003D7C16" w14:paraId="1729CA2B" w14:textId="77777777">
      <w:pPr>
        <w:pStyle w:val="NoSpacing"/>
        <w:rPr>
          <w:rFonts w:ascii="Times New Roman" w:hAnsi="Times New Roman" w:cs="Times New Roman"/>
          <w:sz w:val="24"/>
          <w:szCs w:val="24"/>
        </w:rPr>
      </w:pPr>
    </w:p>
    <w:p w:rsidR="00A33D7A" w:rsidRPr="00A55B49" w:rsidP="003D7C16" w14:paraId="5DC100E5" w14:textId="0BE4F059">
      <w:pPr>
        <w:pStyle w:val="NoSpacing"/>
        <w:rPr>
          <w:rFonts w:ascii="Times New Roman" w:hAnsi="Times New Roman" w:cs="Times New Roman"/>
          <w:sz w:val="24"/>
          <w:szCs w:val="24"/>
        </w:rPr>
      </w:pPr>
      <w:r w:rsidRPr="00A55B49">
        <w:rPr>
          <w:rFonts w:ascii="Times New Roman" w:hAnsi="Times New Roman" w:cs="Times New Roman"/>
          <w:i/>
          <w:iCs/>
          <w:sz w:val="24"/>
          <w:szCs w:val="24"/>
        </w:rPr>
        <w:t>Specific Aim 1</w:t>
      </w:r>
      <w:r w:rsidRPr="00A55B49">
        <w:rPr>
          <w:rFonts w:ascii="Times New Roman" w:hAnsi="Times New Roman" w:cs="Times New Roman"/>
          <w:sz w:val="24"/>
          <w:szCs w:val="24"/>
        </w:rPr>
        <w:t>: This study’s aims are to (1a) learn about women mine workers’ experiences with job-related hazards and risks and gather their input on how work systems can be designed or modified to be safer and more supportive for women in mining</w:t>
      </w:r>
      <w:r w:rsidRPr="00A55B49">
        <w:rPr>
          <w:rFonts w:ascii="Times New Roman" w:hAnsi="Times New Roman" w:cs="Times New Roman"/>
          <w:sz w:val="24"/>
          <w:szCs w:val="24"/>
        </w:rPr>
        <w:t xml:space="preserve"> </w:t>
      </w:r>
      <w:r w:rsidRPr="00A55B49">
        <w:rPr>
          <w:rFonts w:ascii="Times New Roman" w:hAnsi="Times New Roman" w:cs="Times New Roman"/>
          <w:sz w:val="24"/>
          <w:szCs w:val="24"/>
        </w:rPr>
        <w:t>and (1b) identify any discrepancies between the recommendations of women mine workers and the perceptions of mine managers</w:t>
      </w:r>
      <w:r w:rsidRPr="00A55B49" w:rsidR="00987E58">
        <w:rPr>
          <w:rFonts w:ascii="Times New Roman" w:hAnsi="Times New Roman" w:cs="Times New Roman"/>
          <w:sz w:val="24"/>
          <w:szCs w:val="24"/>
        </w:rPr>
        <w:t xml:space="preserve"> and </w:t>
      </w:r>
      <w:r w:rsidRPr="00A55B49">
        <w:rPr>
          <w:rFonts w:ascii="Times New Roman" w:hAnsi="Times New Roman" w:cs="Times New Roman"/>
          <w:sz w:val="24"/>
          <w:szCs w:val="24"/>
        </w:rPr>
        <w:t>H&amp;S professionals on what changes are needed to make the mining work system safer and more supportive for women.</w:t>
      </w:r>
    </w:p>
    <w:p w:rsidR="00766E3E" w:rsidRPr="00A55B49" w:rsidP="003D7C16" w14:paraId="36549854" w14:textId="77777777">
      <w:pPr>
        <w:pStyle w:val="NoSpacing"/>
        <w:rPr>
          <w:rFonts w:ascii="Times New Roman" w:hAnsi="Times New Roman" w:cs="Times New Roman"/>
          <w:sz w:val="24"/>
          <w:szCs w:val="24"/>
        </w:rPr>
      </w:pPr>
    </w:p>
    <w:p w:rsidR="003D7C16" w:rsidRPr="00A55B49" w:rsidP="003D7C16" w14:paraId="16657956" w14:textId="379ACF50">
      <w:pPr>
        <w:pStyle w:val="NoSpacing"/>
        <w:rPr>
          <w:rFonts w:ascii="Times New Roman" w:hAnsi="Times New Roman" w:cs="Times New Roman"/>
          <w:sz w:val="24"/>
          <w:szCs w:val="24"/>
        </w:rPr>
      </w:pPr>
      <w:r w:rsidRPr="00A55B49">
        <w:rPr>
          <w:rFonts w:ascii="Times New Roman" w:hAnsi="Times New Roman" w:cs="Times New Roman"/>
          <w:sz w:val="24"/>
          <w:szCs w:val="24"/>
        </w:rPr>
        <w:t xml:space="preserve">To accomplish Specific Aims 1a and 1b, NIOSH personnel will conduct a qualitative study </w:t>
      </w:r>
      <w:r w:rsidRPr="00A55B49" w:rsidR="008A0197">
        <w:rPr>
          <w:rFonts w:ascii="Times New Roman" w:hAnsi="Times New Roman" w:cs="Times New Roman"/>
          <w:sz w:val="24"/>
          <w:szCs w:val="24"/>
        </w:rPr>
        <w:t xml:space="preserve">where </w:t>
      </w:r>
      <w:r w:rsidRPr="00A55B49">
        <w:rPr>
          <w:rFonts w:ascii="Times New Roman" w:hAnsi="Times New Roman" w:cs="Times New Roman"/>
          <w:sz w:val="24"/>
          <w:szCs w:val="24"/>
        </w:rPr>
        <w:t>focus group</w:t>
      </w:r>
      <w:r w:rsidRPr="00A55B49" w:rsidR="00987E58">
        <w:rPr>
          <w:rFonts w:ascii="Times New Roman" w:hAnsi="Times New Roman" w:cs="Times New Roman"/>
          <w:sz w:val="24"/>
          <w:szCs w:val="24"/>
        </w:rPr>
        <w:t xml:space="preserve"> interviews</w:t>
      </w:r>
      <w:r w:rsidRPr="00A55B49" w:rsidR="008A0197">
        <w:rPr>
          <w:rFonts w:ascii="Times New Roman" w:hAnsi="Times New Roman" w:cs="Times New Roman"/>
          <w:sz w:val="24"/>
          <w:szCs w:val="24"/>
        </w:rPr>
        <w:t xml:space="preserve"> will be conducted</w:t>
      </w:r>
      <w:r w:rsidRPr="00A55B49">
        <w:rPr>
          <w:rFonts w:ascii="Times New Roman" w:hAnsi="Times New Roman" w:cs="Times New Roman"/>
          <w:sz w:val="24"/>
          <w:szCs w:val="24"/>
        </w:rPr>
        <w:t xml:space="preserve"> to obtain feedback from women mine workers and mine managers</w:t>
      </w:r>
      <w:r w:rsidRPr="00A55B49" w:rsidR="008A0197">
        <w:rPr>
          <w:rFonts w:ascii="Times New Roman" w:hAnsi="Times New Roman" w:cs="Times New Roman"/>
          <w:sz w:val="24"/>
          <w:szCs w:val="24"/>
        </w:rPr>
        <w:t xml:space="preserve"> and </w:t>
      </w:r>
      <w:r w:rsidRPr="00A55B49">
        <w:rPr>
          <w:rFonts w:ascii="Times New Roman" w:hAnsi="Times New Roman" w:cs="Times New Roman"/>
          <w:sz w:val="24"/>
          <w:szCs w:val="24"/>
        </w:rPr>
        <w:t>H&amp;S professionals</w:t>
      </w:r>
      <w:r w:rsidRPr="00A55B49" w:rsidR="008A0197">
        <w:rPr>
          <w:rFonts w:ascii="Times New Roman" w:hAnsi="Times New Roman" w:cs="Times New Roman"/>
          <w:sz w:val="24"/>
          <w:szCs w:val="24"/>
        </w:rPr>
        <w:t>. D</w:t>
      </w:r>
      <w:r w:rsidRPr="00A55B49">
        <w:rPr>
          <w:rFonts w:ascii="Times New Roman" w:hAnsi="Times New Roman" w:cs="Times New Roman"/>
          <w:sz w:val="24"/>
          <w:szCs w:val="24"/>
        </w:rPr>
        <w:t xml:space="preserve">emographic and work history information </w:t>
      </w:r>
      <w:r w:rsidRPr="00A55B49" w:rsidR="008A0197">
        <w:rPr>
          <w:rFonts w:ascii="Times New Roman" w:hAnsi="Times New Roman" w:cs="Times New Roman"/>
          <w:sz w:val="24"/>
          <w:szCs w:val="24"/>
        </w:rPr>
        <w:t xml:space="preserve">will be collected from all participants via </w:t>
      </w:r>
      <w:r w:rsidRPr="00A55B49">
        <w:rPr>
          <w:rFonts w:ascii="Times New Roman" w:hAnsi="Times New Roman" w:cs="Times New Roman"/>
          <w:sz w:val="24"/>
          <w:szCs w:val="24"/>
        </w:rPr>
        <w:t>a brief survey. Two focus group conversation guides have been developed by the NIOSH research team—one designed for women mine worker</w:t>
      </w:r>
      <w:r w:rsidRPr="00A55B49" w:rsidR="0042019D">
        <w:rPr>
          <w:rFonts w:ascii="Times New Roman" w:hAnsi="Times New Roman" w:cs="Times New Roman"/>
          <w:sz w:val="24"/>
          <w:szCs w:val="24"/>
        </w:rPr>
        <w:t>s</w:t>
      </w:r>
      <w:r w:rsidRPr="00A55B49">
        <w:rPr>
          <w:rFonts w:ascii="Times New Roman" w:hAnsi="Times New Roman" w:cs="Times New Roman"/>
          <w:sz w:val="24"/>
          <w:szCs w:val="24"/>
        </w:rPr>
        <w:t xml:space="preserve"> (</w:t>
      </w:r>
      <w:r w:rsidRPr="00A55B49" w:rsidR="00F7416A">
        <w:rPr>
          <w:rFonts w:ascii="Times New Roman" w:hAnsi="Times New Roman" w:cs="Times New Roman"/>
          <w:sz w:val="24"/>
          <w:szCs w:val="24"/>
        </w:rPr>
        <w:t>Attachment B</w:t>
      </w:r>
      <w:r w:rsidRPr="00A55B49">
        <w:rPr>
          <w:rFonts w:ascii="Times New Roman" w:hAnsi="Times New Roman" w:cs="Times New Roman"/>
          <w:sz w:val="24"/>
          <w:szCs w:val="24"/>
        </w:rPr>
        <w:t>), and the other for the mine managers and H&amp;S professionals (</w:t>
      </w:r>
      <w:r w:rsidRPr="00A55B49" w:rsidR="00F7416A">
        <w:rPr>
          <w:rFonts w:ascii="Times New Roman" w:hAnsi="Times New Roman" w:cs="Times New Roman"/>
          <w:sz w:val="24"/>
          <w:szCs w:val="24"/>
        </w:rPr>
        <w:t>Attachment C</w:t>
      </w:r>
      <w:r w:rsidRPr="00A55B49">
        <w:rPr>
          <w:rFonts w:ascii="Times New Roman" w:hAnsi="Times New Roman" w:cs="Times New Roman"/>
          <w:sz w:val="24"/>
          <w:szCs w:val="24"/>
        </w:rPr>
        <w:t>). Both focus group conversation guides include a series of open ended and probing questions that aim to identify what changes are needed to make mining work systems safer, healthier, and more supportive for women in mining and to identify any discrepancies between the perceptions of women mine workers and mine managers</w:t>
      </w:r>
      <w:r w:rsidRPr="00A55B49" w:rsidR="00031917">
        <w:rPr>
          <w:rFonts w:ascii="Times New Roman" w:hAnsi="Times New Roman" w:cs="Times New Roman"/>
          <w:sz w:val="24"/>
          <w:szCs w:val="24"/>
        </w:rPr>
        <w:t xml:space="preserve"> and </w:t>
      </w:r>
      <w:r w:rsidRPr="00A55B49">
        <w:rPr>
          <w:rFonts w:ascii="Times New Roman" w:hAnsi="Times New Roman" w:cs="Times New Roman"/>
          <w:sz w:val="24"/>
          <w:szCs w:val="24"/>
        </w:rPr>
        <w:t>health and safety professionals in this regard. The short demographic and work history survey (</w:t>
      </w:r>
      <w:r w:rsidRPr="00A55B49" w:rsidR="006E0FB8">
        <w:rPr>
          <w:rFonts w:ascii="Times New Roman" w:hAnsi="Times New Roman" w:cs="Times New Roman"/>
          <w:sz w:val="24"/>
          <w:szCs w:val="24"/>
        </w:rPr>
        <w:t xml:space="preserve">Attachment </w:t>
      </w:r>
      <w:r w:rsidRPr="00A55B49" w:rsidR="00F7416A">
        <w:rPr>
          <w:rFonts w:ascii="Times New Roman" w:hAnsi="Times New Roman" w:cs="Times New Roman"/>
          <w:sz w:val="24"/>
          <w:szCs w:val="24"/>
        </w:rPr>
        <w:t>D</w:t>
      </w:r>
      <w:r w:rsidRPr="00A55B49">
        <w:rPr>
          <w:rFonts w:ascii="Times New Roman" w:hAnsi="Times New Roman" w:cs="Times New Roman"/>
          <w:sz w:val="24"/>
          <w:szCs w:val="24"/>
        </w:rPr>
        <w:t xml:space="preserve">) captures demographic information, such as age, education, race/ethnicity, </w:t>
      </w:r>
      <w:r w:rsidR="000D77B7">
        <w:rPr>
          <w:rFonts w:ascii="Times New Roman" w:hAnsi="Times New Roman" w:cs="Times New Roman"/>
          <w:sz w:val="24"/>
          <w:szCs w:val="24"/>
        </w:rPr>
        <w:t>sex</w:t>
      </w:r>
      <w:r w:rsidRPr="00A55B49">
        <w:rPr>
          <w:rFonts w:ascii="Times New Roman" w:hAnsi="Times New Roman" w:cs="Times New Roman"/>
          <w:sz w:val="24"/>
          <w:szCs w:val="24"/>
        </w:rPr>
        <w:t xml:space="preserve">, household income, marital status, and number of dependents; the survey also captures certain work-related information, such as mine site location (state), mined commodity, operation type, job title, number of years in current job/mine, and number of years in mining, overall. </w:t>
      </w:r>
    </w:p>
    <w:p w:rsidR="003D7C16" w:rsidRPr="00A55B49" w:rsidP="003D7C16" w14:paraId="31D42C13" w14:textId="77777777">
      <w:pPr>
        <w:pStyle w:val="NoSpacing"/>
        <w:rPr>
          <w:rFonts w:ascii="Times New Roman" w:hAnsi="Times New Roman" w:cs="Times New Roman"/>
          <w:sz w:val="24"/>
          <w:szCs w:val="24"/>
        </w:rPr>
      </w:pPr>
    </w:p>
    <w:p w:rsidR="003D7C16" w:rsidRPr="00A55B49" w:rsidP="003D7C16" w14:paraId="755CEAC9" w14:textId="77777777">
      <w:pPr>
        <w:pStyle w:val="NoSpacing"/>
        <w:rPr>
          <w:rFonts w:ascii="Times New Roman" w:hAnsi="Times New Roman" w:cs="Times New Roman"/>
          <w:sz w:val="24"/>
          <w:szCs w:val="24"/>
        </w:rPr>
      </w:pPr>
      <w:r w:rsidRPr="00A55B49">
        <w:rPr>
          <w:rFonts w:ascii="Times New Roman" w:hAnsi="Times New Roman" w:cs="Times New Roman"/>
          <w:sz w:val="24"/>
          <w:szCs w:val="24"/>
        </w:rPr>
        <w:t xml:space="preserve">The primary population of focus for this research is U.S. women mine workers. There are no restrictions based on geographic region, mining commodity, sector, or occupation as the goal is to capture a broad perspective of the experiences of women mine workers (Specific Aim 1a). NIOSH personnel will also recruit mine managers and mine H&amp;S professionals from the general U.S. mining workforce to address Specific Aim 1b. </w:t>
      </w:r>
    </w:p>
    <w:p w:rsidR="003D7C16" w:rsidRPr="00A55B49" w:rsidP="003D7C16" w14:paraId="4FD86577" w14:textId="77777777">
      <w:pPr>
        <w:pStyle w:val="NoSpacing"/>
        <w:rPr>
          <w:rFonts w:ascii="Times New Roman" w:hAnsi="Times New Roman" w:cs="Times New Roman"/>
          <w:sz w:val="24"/>
          <w:szCs w:val="24"/>
        </w:rPr>
      </w:pPr>
    </w:p>
    <w:p w:rsidR="007C6A50" w:rsidRPr="00A55B49" w:rsidP="007C6A50" w14:paraId="65AB50C9" w14:textId="46847693">
      <w:pPr>
        <w:pStyle w:val="NoSpacing"/>
        <w:numPr>
          <w:ilvl w:val="0"/>
          <w:numId w:val="9"/>
        </w:numPr>
        <w:rPr>
          <w:rFonts w:ascii="Times New Roman" w:hAnsi="Times New Roman" w:cs="Times New Roman"/>
          <w:sz w:val="24"/>
          <w:szCs w:val="24"/>
        </w:rPr>
      </w:pPr>
      <w:r w:rsidRPr="00A55B49">
        <w:rPr>
          <w:rFonts w:ascii="Times New Roman" w:hAnsi="Times New Roman" w:cs="Times New Roman"/>
          <w:sz w:val="24"/>
          <w:szCs w:val="24"/>
        </w:rPr>
        <w:t>To participate in the Specific Aim 1a focus groups with women mine</w:t>
      </w:r>
      <w:r w:rsidRPr="00A55B49" w:rsidR="007D1B50">
        <w:rPr>
          <w:rFonts w:ascii="Times New Roman" w:hAnsi="Times New Roman" w:cs="Times New Roman"/>
          <w:sz w:val="24"/>
          <w:szCs w:val="24"/>
        </w:rPr>
        <w:t xml:space="preserve"> workers</w:t>
      </w:r>
      <w:r w:rsidRPr="00A55B49">
        <w:rPr>
          <w:rFonts w:ascii="Times New Roman" w:hAnsi="Times New Roman" w:cs="Times New Roman"/>
          <w:sz w:val="24"/>
          <w:szCs w:val="24"/>
        </w:rPr>
        <w:t xml:space="preserve">, individuals must be: </w:t>
      </w:r>
    </w:p>
    <w:p w:rsidR="007C6A50" w:rsidRPr="00A55B49" w:rsidP="007C6A50" w14:paraId="78472BD9" w14:textId="77777777">
      <w:pPr>
        <w:pStyle w:val="NoSpacing"/>
        <w:numPr>
          <w:ilvl w:val="1"/>
          <w:numId w:val="9"/>
        </w:numPr>
        <w:rPr>
          <w:rFonts w:ascii="Times New Roman" w:hAnsi="Times New Roman" w:cs="Times New Roman"/>
          <w:sz w:val="24"/>
          <w:szCs w:val="24"/>
        </w:rPr>
      </w:pPr>
      <w:r w:rsidRPr="00A55B49">
        <w:rPr>
          <w:rFonts w:ascii="Times New Roman" w:hAnsi="Times New Roman" w:cs="Times New Roman"/>
          <w:sz w:val="24"/>
          <w:szCs w:val="24"/>
        </w:rPr>
        <w:t xml:space="preserve">A woman </w:t>
      </w:r>
    </w:p>
    <w:p w:rsidR="007C6A50" w:rsidRPr="00A55B49" w:rsidP="007C6A50" w14:paraId="5D6A1532" w14:textId="77777777">
      <w:pPr>
        <w:pStyle w:val="NoSpacing"/>
        <w:numPr>
          <w:ilvl w:val="1"/>
          <w:numId w:val="9"/>
        </w:numPr>
        <w:rPr>
          <w:rFonts w:ascii="Times New Roman" w:hAnsi="Times New Roman" w:cs="Times New Roman"/>
          <w:sz w:val="24"/>
          <w:szCs w:val="24"/>
        </w:rPr>
      </w:pPr>
      <w:r w:rsidRPr="00A55B49">
        <w:rPr>
          <w:rFonts w:ascii="Times New Roman" w:hAnsi="Times New Roman" w:cs="Times New Roman"/>
          <w:sz w:val="24"/>
          <w:szCs w:val="24"/>
        </w:rPr>
        <w:t>Working as a miner at a mine site (current position or held position within the last 5 years)</w:t>
      </w:r>
    </w:p>
    <w:p w:rsidR="007C6A50" w:rsidRPr="00A55B49" w:rsidP="007C6A50" w14:paraId="49BC189F" w14:textId="77777777">
      <w:pPr>
        <w:pStyle w:val="NoSpacing"/>
        <w:numPr>
          <w:ilvl w:val="2"/>
          <w:numId w:val="9"/>
        </w:numPr>
        <w:rPr>
          <w:rFonts w:ascii="Times New Roman" w:hAnsi="Times New Roman" w:cs="Times New Roman"/>
          <w:sz w:val="24"/>
          <w:szCs w:val="24"/>
        </w:rPr>
      </w:pPr>
      <w:r w:rsidRPr="00A55B49">
        <w:rPr>
          <w:rFonts w:ascii="Times New Roman" w:hAnsi="Times New Roman" w:cs="Times New Roman"/>
          <w:sz w:val="24"/>
          <w:szCs w:val="24"/>
        </w:rPr>
        <w:t>Can be independent contractor or employee of an independent contractor</w:t>
      </w:r>
    </w:p>
    <w:p w:rsidR="007C6A50" w:rsidRPr="00A55B49" w:rsidP="007C6A50" w14:paraId="50097675" w14:textId="77777777">
      <w:pPr>
        <w:pStyle w:val="NoSpacing"/>
        <w:numPr>
          <w:ilvl w:val="1"/>
          <w:numId w:val="9"/>
        </w:numPr>
        <w:rPr>
          <w:rFonts w:ascii="Times New Roman" w:hAnsi="Times New Roman" w:cs="Times New Roman"/>
          <w:sz w:val="24"/>
          <w:szCs w:val="24"/>
        </w:rPr>
      </w:pPr>
      <w:r w:rsidRPr="00A55B49">
        <w:rPr>
          <w:rFonts w:ascii="Times New Roman" w:hAnsi="Times New Roman" w:cs="Times New Roman"/>
          <w:sz w:val="24"/>
          <w:szCs w:val="24"/>
        </w:rPr>
        <w:t>Be 18 years of age or older</w:t>
      </w:r>
    </w:p>
    <w:p w:rsidR="007C6A50" w:rsidRPr="00A55B49" w:rsidP="007C6A50" w14:paraId="16125986" w14:textId="77777777">
      <w:pPr>
        <w:pStyle w:val="NoSpacing"/>
        <w:numPr>
          <w:ilvl w:val="0"/>
          <w:numId w:val="9"/>
        </w:numPr>
        <w:rPr>
          <w:rFonts w:ascii="Times New Roman" w:hAnsi="Times New Roman" w:cs="Times New Roman"/>
          <w:sz w:val="24"/>
          <w:szCs w:val="24"/>
        </w:rPr>
      </w:pPr>
      <w:r w:rsidRPr="00A55B49">
        <w:rPr>
          <w:rFonts w:ascii="Times New Roman" w:hAnsi="Times New Roman" w:cs="Times New Roman"/>
          <w:sz w:val="24"/>
          <w:szCs w:val="24"/>
        </w:rPr>
        <w:t>To participate in the Specific Aim 1b focus groups with mine managers/H&amp;S professionals, individuals must:</w:t>
      </w:r>
    </w:p>
    <w:p w:rsidR="007C6A50" w:rsidRPr="00A55B49" w:rsidP="007C6A50" w14:paraId="59011630" w14:textId="77777777">
      <w:pPr>
        <w:pStyle w:val="NoSpacing"/>
        <w:numPr>
          <w:ilvl w:val="1"/>
          <w:numId w:val="9"/>
        </w:numPr>
        <w:rPr>
          <w:rFonts w:ascii="Times New Roman" w:hAnsi="Times New Roman" w:cs="Times New Roman"/>
          <w:sz w:val="24"/>
          <w:szCs w:val="24"/>
        </w:rPr>
      </w:pPr>
      <w:r w:rsidRPr="00A55B49">
        <w:rPr>
          <w:rFonts w:ascii="Times New Roman" w:hAnsi="Times New Roman" w:cs="Times New Roman"/>
          <w:sz w:val="24"/>
          <w:szCs w:val="24"/>
        </w:rPr>
        <w:t>Hold a current management or health and safety position at a mine</w:t>
      </w:r>
    </w:p>
    <w:p w:rsidR="007C6A50" w:rsidRPr="00A55B49" w:rsidP="007C6A50" w14:paraId="19BD053C" w14:textId="77777777">
      <w:pPr>
        <w:pStyle w:val="NoSpacing"/>
        <w:numPr>
          <w:ilvl w:val="1"/>
          <w:numId w:val="9"/>
        </w:numPr>
        <w:rPr>
          <w:rFonts w:ascii="Times New Roman" w:hAnsi="Times New Roman" w:cs="Times New Roman"/>
          <w:sz w:val="24"/>
          <w:szCs w:val="24"/>
        </w:rPr>
      </w:pPr>
      <w:r w:rsidRPr="00A55B49">
        <w:rPr>
          <w:rFonts w:ascii="Times New Roman" w:hAnsi="Times New Roman" w:cs="Times New Roman"/>
          <w:sz w:val="24"/>
          <w:szCs w:val="24"/>
        </w:rPr>
        <w:t xml:space="preserve">Be 18 years of age or older </w:t>
      </w:r>
    </w:p>
    <w:p w:rsidR="003D7C16" w:rsidRPr="00A55B49" w:rsidP="003D7C16" w14:paraId="3813778A" w14:textId="77777777">
      <w:pPr>
        <w:pStyle w:val="NoSpacing"/>
        <w:rPr>
          <w:rFonts w:ascii="Times New Roman" w:hAnsi="Times New Roman" w:cs="Times New Roman"/>
          <w:sz w:val="24"/>
          <w:szCs w:val="24"/>
        </w:rPr>
      </w:pPr>
    </w:p>
    <w:p w:rsidR="003D7C16" w:rsidRPr="00A55B49" w:rsidP="003D7C16" w14:paraId="3101A837" w14:textId="77777777">
      <w:pPr>
        <w:pStyle w:val="NoSpacing"/>
        <w:rPr>
          <w:rFonts w:ascii="Times New Roman" w:hAnsi="Times New Roman" w:cs="Times New Roman"/>
          <w:sz w:val="24"/>
          <w:szCs w:val="24"/>
        </w:rPr>
      </w:pPr>
      <w:r w:rsidRPr="00A55B49">
        <w:rPr>
          <w:rFonts w:ascii="Times New Roman" w:hAnsi="Times New Roman" w:cs="Times New Roman"/>
          <w:sz w:val="24"/>
          <w:szCs w:val="24"/>
        </w:rPr>
        <w:t xml:space="preserve">Focus groups will be conducted in person in a private room at a NIOSH campus, a mine site, or a conference location, or virtually (using Zoom.gov). One researcher will facilitate the discussion </w:t>
      </w:r>
      <w:r w:rsidRPr="00A55B49">
        <w:rPr>
          <w:rFonts w:ascii="Times New Roman" w:hAnsi="Times New Roman" w:cs="Times New Roman"/>
          <w:sz w:val="24"/>
          <w:szCs w:val="24"/>
        </w:rPr>
        <w:t xml:space="preserve">while the other(s) co-facilitates and takes notes. We aim to recruit 4-10 participants per focus group. </w:t>
      </w:r>
    </w:p>
    <w:p w:rsidR="003D7C16" w:rsidRPr="00A55B49" w:rsidP="003D7C16" w14:paraId="2864E73B" w14:textId="77777777">
      <w:pPr>
        <w:pStyle w:val="NoSpacing"/>
        <w:rPr>
          <w:rFonts w:ascii="Times New Roman" w:hAnsi="Times New Roman" w:cs="Times New Roman"/>
          <w:sz w:val="24"/>
          <w:szCs w:val="24"/>
        </w:rPr>
      </w:pPr>
    </w:p>
    <w:p w:rsidR="003D7C16" w:rsidRPr="00A55B49" w:rsidP="003D7C16" w14:paraId="279F24D7" w14:textId="121AE680">
      <w:pPr>
        <w:pStyle w:val="NoSpacing"/>
        <w:rPr>
          <w:rFonts w:ascii="Times New Roman" w:hAnsi="Times New Roman" w:cs="Times New Roman"/>
          <w:sz w:val="24"/>
          <w:szCs w:val="24"/>
        </w:rPr>
      </w:pPr>
      <w:r w:rsidRPr="00A55B49">
        <w:rPr>
          <w:rFonts w:ascii="Times New Roman" w:hAnsi="Times New Roman" w:cs="Times New Roman"/>
          <w:sz w:val="24"/>
          <w:szCs w:val="24"/>
        </w:rPr>
        <w:t>For Specific Aim 1a, NIOSH personnel will conduct 5-10 focus groups with women mine workers until saturation of themes across focus groups is reached (Kerr, Nixon, &amp; Wild, 2010). Before a focus group begins, the facilitator will walk participants through the informed consent document to confirm participants are aware of potential risks and benefits. To begin a focus group session, the facilitator will pose a few brief introductory questions to the group to capture mine site and work history information (e.g., what kind of mine do you work at, what’s your role). After this brief introduction where participants get an understanding of who is in the room, the group will begin to identify and prioritize a list of job tasks that women mine</w:t>
      </w:r>
      <w:r w:rsidRPr="00A55B49" w:rsidR="007D1B50">
        <w:rPr>
          <w:rFonts w:ascii="Times New Roman" w:hAnsi="Times New Roman" w:cs="Times New Roman"/>
          <w:sz w:val="24"/>
          <w:szCs w:val="24"/>
        </w:rPr>
        <w:t xml:space="preserve"> worke</w:t>
      </w:r>
      <w:r w:rsidRPr="00A55B49">
        <w:rPr>
          <w:rFonts w:ascii="Times New Roman" w:hAnsi="Times New Roman" w:cs="Times New Roman"/>
          <w:sz w:val="24"/>
          <w:szCs w:val="24"/>
        </w:rPr>
        <w:t xml:space="preserve">rs currently perform or would like to perform but that may pose a hazard or risk to their health and/or safety. Participants will then be asked to share their experiences with these work-related hazards and risks, how they affect or impact their work, whether some hazards preclude women from performing certain job tasks, and how the work system element(s) (e.g., tools, equipment, task, work environment, and organization) can be designed or re-designed to eliminate hazards or make it safer for women to perform the task(s). </w:t>
      </w:r>
    </w:p>
    <w:p w:rsidR="007A3816" w:rsidRPr="00A55B49" w:rsidP="003D7C16" w14:paraId="5096AC82" w14:textId="77777777">
      <w:pPr>
        <w:pStyle w:val="NoSpacing"/>
        <w:rPr>
          <w:rFonts w:ascii="Times New Roman" w:hAnsi="Times New Roman" w:cs="Times New Roman"/>
          <w:sz w:val="24"/>
          <w:szCs w:val="24"/>
        </w:rPr>
      </w:pPr>
    </w:p>
    <w:p w:rsidR="003D7C16" w:rsidRPr="00A55B49" w:rsidP="003D7C16" w14:paraId="1F55244C" w14:textId="77777777">
      <w:pPr>
        <w:pStyle w:val="NoSpacing"/>
        <w:rPr>
          <w:rFonts w:ascii="Times New Roman" w:hAnsi="Times New Roman" w:cs="Times New Roman"/>
          <w:sz w:val="24"/>
          <w:szCs w:val="24"/>
        </w:rPr>
      </w:pPr>
      <w:r w:rsidRPr="00A55B49">
        <w:rPr>
          <w:rFonts w:ascii="Times New Roman" w:hAnsi="Times New Roman" w:cs="Times New Roman"/>
          <w:sz w:val="24"/>
          <w:szCs w:val="24"/>
        </w:rPr>
        <w:t xml:space="preserve">For Specific Aim 1b, NIOSH personnel will conduct 3-5 focus groups with </w:t>
      </w:r>
      <w:bookmarkStart w:id="0" w:name="_Hlk167358179"/>
      <w:r w:rsidRPr="00A55B49">
        <w:rPr>
          <w:rFonts w:ascii="Times New Roman" w:hAnsi="Times New Roman" w:cs="Times New Roman"/>
          <w:sz w:val="24"/>
          <w:szCs w:val="24"/>
        </w:rPr>
        <w:t xml:space="preserve">mine managers and mine H&amp;S professionals. These focus groups will be like those with the women mine workers. Participants in these focus groups will be asked to provide details about their mine site and their job history and work experience; identify hazards and risks that may be posing additional risk or burden on women mine workers, relevant to the different job tasks performed; and discuss potential mitigation strategies.    </w:t>
      </w:r>
      <w:bookmarkEnd w:id="0"/>
    </w:p>
    <w:p w:rsidR="003D7C16" w:rsidRPr="00A55B49" w:rsidP="003D7C16" w14:paraId="071619D5" w14:textId="77777777">
      <w:pPr>
        <w:pStyle w:val="NoSpacing"/>
        <w:rPr>
          <w:rFonts w:ascii="Times New Roman" w:hAnsi="Times New Roman" w:cs="Times New Roman"/>
          <w:sz w:val="24"/>
          <w:szCs w:val="24"/>
        </w:rPr>
      </w:pPr>
    </w:p>
    <w:p w:rsidR="003D7C16" w:rsidRPr="00A55B49" w:rsidP="003D7C16" w14:paraId="205E496F" w14:textId="4475627B">
      <w:pPr>
        <w:pStyle w:val="NoSpacing"/>
        <w:rPr>
          <w:rFonts w:ascii="Times New Roman" w:hAnsi="Times New Roman" w:cs="Times New Roman"/>
          <w:sz w:val="24"/>
          <w:szCs w:val="24"/>
        </w:rPr>
      </w:pPr>
      <w:r w:rsidRPr="00A55B49">
        <w:rPr>
          <w:rFonts w:ascii="Times New Roman" w:hAnsi="Times New Roman" w:cs="Times New Roman"/>
          <w:sz w:val="24"/>
          <w:szCs w:val="24"/>
        </w:rPr>
        <w:t>If p</w:t>
      </w:r>
      <w:r w:rsidRPr="00A55B49">
        <w:rPr>
          <w:rFonts w:ascii="Times New Roman" w:hAnsi="Times New Roman" w:cs="Times New Roman"/>
          <w:sz w:val="24"/>
          <w:szCs w:val="24"/>
        </w:rPr>
        <w:t xml:space="preserve">articipants </w:t>
      </w:r>
      <w:r w:rsidRPr="00A55B49">
        <w:rPr>
          <w:rFonts w:ascii="Times New Roman" w:hAnsi="Times New Roman" w:cs="Times New Roman"/>
          <w:sz w:val="24"/>
          <w:szCs w:val="24"/>
        </w:rPr>
        <w:t xml:space="preserve">want to introduce themselves, we </w:t>
      </w:r>
      <w:r w:rsidRPr="00A55B49">
        <w:rPr>
          <w:rFonts w:ascii="Times New Roman" w:hAnsi="Times New Roman" w:cs="Times New Roman"/>
          <w:sz w:val="24"/>
          <w:szCs w:val="24"/>
        </w:rPr>
        <w:t xml:space="preserve">will ask </w:t>
      </w:r>
      <w:r w:rsidRPr="00A55B49">
        <w:rPr>
          <w:rFonts w:ascii="Times New Roman" w:hAnsi="Times New Roman" w:cs="Times New Roman"/>
          <w:sz w:val="24"/>
          <w:szCs w:val="24"/>
        </w:rPr>
        <w:t xml:space="preserve">that they </w:t>
      </w:r>
      <w:r w:rsidRPr="00A55B49">
        <w:rPr>
          <w:rFonts w:ascii="Times New Roman" w:hAnsi="Times New Roman" w:cs="Times New Roman"/>
          <w:sz w:val="24"/>
          <w:szCs w:val="24"/>
        </w:rPr>
        <w:t xml:space="preserve">use </w:t>
      </w:r>
      <w:r w:rsidRPr="00A55B49">
        <w:rPr>
          <w:rFonts w:ascii="Times New Roman" w:hAnsi="Times New Roman" w:cs="Times New Roman"/>
          <w:sz w:val="24"/>
          <w:szCs w:val="24"/>
        </w:rPr>
        <w:t xml:space="preserve">a pseudonym </w:t>
      </w:r>
      <w:r w:rsidRPr="00A55B49">
        <w:rPr>
          <w:rFonts w:ascii="Times New Roman" w:hAnsi="Times New Roman" w:cs="Times New Roman"/>
          <w:sz w:val="24"/>
          <w:szCs w:val="24"/>
        </w:rPr>
        <w:t>to maintain privacy. In addition, participants will be requested to not mention the name of any individuals or name/s of companies. All focus groups will be audio recorded and then transcribed verbatim by an audio transcription service</w:t>
      </w:r>
      <w:r w:rsidRPr="00A55B49" w:rsidR="006D4E35">
        <w:rPr>
          <w:rFonts w:ascii="Times New Roman" w:hAnsi="Times New Roman" w:cs="Times New Roman"/>
          <w:sz w:val="24"/>
          <w:szCs w:val="24"/>
        </w:rPr>
        <w:t xml:space="preserve">. Prior to </w:t>
      </w:r>
      <w:r w:rsidRPr="00A55B49">
        <w:rPr>
          <w:rFonts w:ascii="Times New Roman" w:hAnsi="Times New Roman" w:cs="Times New Roman"/>
          <w:sz w:val="24"/>
          <w:szCs w:val="24"/>
        </w:rPr>
        <w:t>analysis</w:t>
      </w:r>
      <w:r w:rsidRPr="00A55B49" w:rsidR="006D4E35">
        <w:rPr>
          <w:rFonts w:ascii="Times New Roman" w:hAnsi="Times New Roman" w:cs="Times New Roman"/>
          <w:sz w:val="24"/>
          <w:szCs w:val="24"/>
        </w:rPr>
        <w:t xml:space="preserve">, project team members will de-identify data of any </w:t>
      </w:r>
      <w:r w:rsidRPr="00A55B49" w:rsidR="00C138CE">
        <w:rPr>
          <w:rFonts w:ascii="Times New Roman" w:hAnsi="Times New Roman" w:cs="Times New Roman"/>
          <w:sz w:val="24"/>
          <w:szCs w:val="24"/>
        </w:rPr>
        <w:t>personally identifiable information.</w:t>
      </w:r>
      <w:r w:rsidRPr="00A55B49">
        <w:rPr>
          <w:rFonts w:ascii="Times New Roman" w:hAnsi="Times New Roman" w:cs="Times New Roman"/>
          <w:sz w:val="24"/>
          <w:szCs w:val="24"/>
        </w:rPr>
        <w:t xml:space="preserve"> Closed captioning will be enabled for virtual focus groups and the auto-generated transcript will be saved and reviewed against the audio file for accuracy. Any artifacts (such as charts, posterboards, virtual white boards, etc. to list tasks, hazards, or solutions) used during the focus groups will also be saved for later thematic analysis. At the conclusion of the focus group discussion, participants will be asked to complete a short Demographic and Work History Survey (</w:t>
      </w:r>
      <w:r w:rsidRPr="00A55B49" w:rsidR="00802949">
        <w:rPr>
          <w:rFonts w:ascii="Times New Roman" w:hAnsi="Times New Roman" w:cs="Times New Roman"/>
          <w:sz w:val="24"/>
          <w:szCs w:val="24"/>
        </w:rPr>
        <w:t>Attachment D</w:t>
      </w:r>
      <w:r w:rsidRPr="00A55B49">
        <w:rPr>
          <w:rFonts w:ascii="Times New Roman" w:hAnsi="Times New Roman" w:cs="Times New Roman"/>
          <w:sz w:val="24"/>
          <w:szCs w:val="24"/>
        </w:rPr>
        <w:t xml:space="preserve">). The survey will either be printed and handed out or provided electronically (via CDC’s </w:t>
      </w:r>
      <w:r w:rsidRPr="00A55B49">
        <w:rPr>
          <w:rFonts w:ascii="Times New Roman" w:hAnsi="Times New Roman" w:cs="Times New Roman"/>
          <w:sz w:val="24"/>
          <w:szCs w:val="24"/>
        </w:rPr>
        <w:t>REDCap</w:t>
      </w:r>
      <w:r w:rsidRPr="00A55B49">
        <w:rPr>
          <w:rFonts w:ascii="Times New Roman" w:hAnsi="Times New Roman" w:cs="Times New Roman"/>
          <w:sz w:val="24"/>
          <w:szCs w:val="24"/>
        </w:rPr>
        <w:t xml:space="preserve">) to participants and should take approximately 5-7 minutes to complete. </w:t>
      </w:r>
    </w:p>
    <w:p w:rsidR="003D7C16" w:rsidRPr="00A55B49" w:rsidP="003D7C16" w14:paraId="26F3E594" w14:textId="77777777">
      <w:pPr>
        <w:pStyle w:val="NoSpacing"/>
        <w:rPr>
          <w:rFonts w:ascii="Times New Roman" w:hAnsi="Times New Roman" w:cs="Times New Roman"/>
          <w:sz w:val="24"/>
          <w:szCs w:val="24"/>
        </w:rPr>
      </w:pPr>
    </w:p>
    <w:p w:rsidR="003D7C16" w:rsidRPr="00A55B49" w:rsidP="003D7C16" w14:paraId="5C33E849" w14:textId="21ABCADF">
      <w:pPr>
        <w:pStyle w:val="NoSpacing"/>
        <w:rPr>
          <w:rFonts w:ascii="Times New Roman" w:hAnsi="Times New Roman" w:cs="Times New Roman"/>
          <w:sz w:val="24"/>
          <w:szCs w:val="24"/>
        </w:rPr>
      </w:pPr>
      <w:r w:rsidRPr="00A55B49">
        <w:rPr>
          <w:rFonts w:ascii="Times New Roman" w:hAnsi="Times New Roman" w:cs="Times New Roman"/>
          <w:sz w:val="24"/>
          <w:szCs w:val="24"/>
        </w:rPr>
        <w:t xml:space="preserve">Data from all the focus groups </w:t>
      </w:r>
      <w:r w:rsidRPr="00A55B49" w:rsidR="00294969">
        <w:rPr>
          <w:rFonts w:ascii="Times New Roman" w:hAnsi="Times New Roman" w:cs="Times New Roman"/>
          <w:sz w:val="24"/>
          <w:szCs w:val="24"/>
        </w:rPr>
        <w:t xml:space="preserve">interviews </w:t>
      </w:r>
      <w:r w:rsidRPr="00A55B49">
        <w:rPr>
          <w:rFonts w:ascii="Times New Roman" w:hAnsi="Times New Roman" w:cs="Times New Roman"/>
          <w:sz w:val="24"/>
          <w:szCs w:val="24"/>
        </w:rPr>
        <w:t xml:space="preserve">(Specific Aims 1a and 1b), along with the results of the Demographic and Work History Survey, will be compared during data analysis. </w:t>
      </w:r>
    </w:p>
    <w:p w:rsidR="00162348" w:rsidRPr="00A55B49" w:rsidP="003D7C16" w14:paraId="3378946F" w14:textId="5F7403AD">
      <w:pPr>
        <w:pStyle w:val="NoSpacing"/>
        <w:rPr>
          <w:rFonts w:ascii="Times New Roman" w:hAnsi="Times New Roman" w:cs="Times New Roman"/>
          <w:sz w:val="24"/>
          <w:szCs w:val="24"/>
        </w:rPr>
      </w:pPr>
      <w:r w:rsidRPr="00A55B49">
        <w:rPr>
          <w:rFonts w:ascii="Times New Roman" w:hAnsi="Times New Roman" w:cs="Times New Roman"/>
          <w:sz w:val="24"/>
          <w:szCs w:val="24"/>
        </w:rPr>
        <w:br/>
      </w:r>
      <w:r w:rsidRPr="00A55B49" w:rsidR="005D161C">
        <w:rPr>
          <w:rFonts w:ascii="Times New Roman" w:hAnsi="Times New Roman" w:cs="Times New Roman"/>
          <w:sz w:val="24"/>
          <w:szCs w:val="24"/>
        </w:rPr>
        <w:t xml:space="preserve">In sum, </w:t>
      </w:r>
      <w:r w:rsidRPr="00A55B49" w:rsidR="00527E6C">
        <w:rPr>
          <w:rFonts w:ascii="Times New Roman" w:hAnsi="Times New Roman" w:cs="Times New Roman"/>
          <w:sz w:val="24"/>
          <w:szCs w:val="24"/>
        </w:rPr>
        <w:t>this</w:t>
      </w:r>
      <w:r w:rsidRPr="00A55B49" w:rsidR="00294969">
        <w:rPr>
          <w:rFonts w:ascii="Times New Roman" w:hAnsi="Times New Roman" w:cs="Times New Roman"/>
          <w:sz w:val="24"/>
          <w:szCs w:val="24"/>
        </w:rPr>
        <w:t xml:space="preserve"> formative</w:t>
      </w:r>
      <w:r w:rsidRPr="00A55B49" w:rsidR="00527E6C">
        <w:rPr>
          <w:rFonts w:ascii="Times New Roman" w:hAnsi="Times New Roman" w:cs="Times New Roman"/>
          <w:sz w:val="24"/>
          <w:szCs w:val="24"/>
        </w:rPr>
        <w:t xml:space="preserve"> </w:t>
      </w:r>
      <w:r w:rsidRPr="00A55B49">
        <w:rPr>
          <w:rFonts w:ascii="Times New Roman" w:hAnsi="Times New Roman" w:cs="Times New Roman"/>
          <w:sz w:val="24"/>
          <w:szCs w:val="24"/>
        </w:rPr>
        <w:t xml:space="preserve">study will provide NIOSH with important feedback </w:t>
      </w:r>
      <w:r w:rsidRPr="00A55B49" w:rsidR="007A3816">
        <w:rPr>
          <w:rFonts w:ascii="Times New Roman" w:hAnsi="Times New Roman" w:cs="Times New Roman"/>
          <w:sz w:val="24"/>
          <w:szCs w:val="24"/>
        </w:rPr>
        <w:t>from women mine workers</w:t>
      </w:r>
      <w:r w:rsidRPr="00A55B49" w:rsidR="00FD24FC">
        <w:rPr>
          <w:rFonts w:ascii="Times New Roman" w:hAnsi="Times New Roman" w:cs="Times New Roman"/>
          <w:sz w:val="24"/>
          <w:szCs w:val="24"/>
        </w:rPr>
        <w:t xml:space="preserve"> on the</w:t>
      </w:r>
      <w:r w:rsidRPr="00A55B49" w:rsidR="007A3816">
        <w:rPr>
          <w:rFonts w:ascii="Times New Roman" w:hAnsi="Times New Roman" w:cs="Times New Roman"/>
          <w:sz w:val="24"/>
          <w:szCs w:val="24"/>
        </w:rPr>
        <w:t xml:space="preserve"> </w:t>
      </w:r>
      <w:r w:rsidRPr="00A55B49" w:rsidR="00FD24FC">
        <w:rPr>
          <w:rFonts w:ascii="Times New Roman" w:hAnsi="Times New Roman" w:cs="Times New Roman"/>
          <w:sz w:val="24"/>
          <w:szCs w:val="24"/>
        </w:rPr>
        <w:t>OSH hazards and risks they face and</w:t>
      </w:r>
      <w:r w:rsidRPr="00A55B49">
        <w:rPr>
          <w:rFonts w:ascii="Times New Roman" w:hAnsi="Times New Roman" w:cs="Times New Roman"/>
          <w:sz w:val="24"/>
          <w:szCs w:val="24"/>
        </w:rPr>
        <w:t xml:space="preserve"> will further </w:t>
      </w:r>
      <w:r w:rsidRPr="00A55B49" w:rsidR="00B84108">
        <w:rPr>
          <w:rFonts w:ascii="Times New Roman" w:hAnsi="Times New Roman" w:cs="Times New Roman"/>
          <w:sz w:val="24"/>
          <w:szCs w:val="24"/>
        </w:rPr>
        <w:t xml:space="preserve">NIOSH </w:t>
      </w:r>
      <w:r w:rsidRPr="00A55B49">
        <w:rPr>
          <w:rFonts w:ascii="Times New Roman" w:hAnsi="Times New Roman" w:cs="Times New Roman"/>
          <w:sz w:val="24"/>
          <w:szCs w:val="24"/>
        </w:rPr>
        <w:t xml:space="preserve">understanding of </w:t>
      </w:r>
      <w:r w:rsidRPr="00A55B49">
        <w:rPr>
          <w:rFonts w:ascii="Times New Roman" w:hAnsi="Times New Roman" w:cs="Times New Roman"/>
          <w:sz w:val="24"/>
          <w:szCs w:val="24"/>
        </w:rPr>
        <w:t>how work systems can be designed or modified to be safer and more supportive for women in mining</w:t>
      </w:r>
      <w:r w:rsidRPr="00A55B49" w:rsidR="008A2E40">
        <w:rPr>
          <w:rFonts w:ascii="Times New Roman" w:hAnsi="Times New Roman" w:cs="Times New Roman"/>
          <w:sz w:val="24"/>
          <w:szCs w:val="24"/>
        </w:rPr>
        <w:t xml:space="preserve">, as well as </w:t>
      </w:r>
      <w:r w:rsidRPr="00A55B49">
        <w:rPr>
          <w:rFonts w:ascii="Times New Roman" w:hAnsi="Times New Roman" w:cs="Times New Roman"/>
          <w:sz w:val="24"/>
          <w:szCs w:val="24"/>
        </w:rPr>
        <w:t>what additional research and resources are needed</w:t>
      </w:r>
      <w:r w:rsidRPr="00A55B49">
        <w:rPr>
          <w:rFonts w:ascii="Times New Roman" w:hAnsi="Times New Roman" w:cs="Times New Roman"/>
          <w:sz w:val="24"/>
          <w:szCs w:val="24"/>
        </w:rPr>
        <w:t xml:space="preserve"> in these areas.</w:t>
      </w:r>
    </w:p>
    <w:p w:rsidR="005358DC" w:rsidRPr="00A55B49" w:rsidP="00475931" w14:paraId="5CD05117" w14:textId="2A3C54F9">
      <w:pPr>
        <w:pStyle w:val="NoSpacing"/>
        <w:rPr>
          <w:rFonts w:ascii="Times New Roman" w:hAnsi="Times New Roman" w:cs="Times New Roman"/>
          <w:sz w:val="24"/>
          <w:szCs w:val="24"/>
        </w:rPr>
      </w:pPr>
    </w:p>
    <w:p w:rsidR="00BC0B7C" w:rsidRPr="00A55B49" w:rsidP="00475931" w14:paraId="379A7149" w14:textId="77777777">
      <w:pPr>
        <w:pStyle w:val="ListParagraph"/>
        <w:keepNext/>
        <w:numPr>
          <w:ilvl w:val="0"/>
          <w:numId w:val="3"/>
        </w:numPr>
        <w:spacing w:after="0"/>
        <w:ind w:left="360"/>
        <w:rPr>
          <w:rFonts w:ascii="Times New Roman" w:hAnsi="Times New Roman" w:cs="Times New Roman"/>
          <w:b/>
          <w:sz w:val="24"/>
          <w:szCs w:val="24"/>
        </w:rPr>
      </w:pPr>
      <w:r w:rsidRPr="00A55B49">
        <w:rPr>
          <w:rFonts w:ascii="Times New Roman" w:hAnsi="Times New Roman" w:cs="Times New Roman"/>
          <w:b/>
          <w:sz w:val="24"/>
          <w:szCs w:val="24"/>
        </w:rPr>
        <w:t>Use of Information Technology and Burden Reduction</w:t>
      </w:r>
    </w:p>
    <w:p w:rsidR="00C20F68" w:rsidRPr="00A55B49" w:rsidP="00475931" w14:paraId="52232DB5" w14:textId="50C44A3A">
      <w:pPr>
        <w:spacing w:after="0"/>
        <w:rPr>
          <w:rFonts w:ascii="Times New Roman" w:hAnsi="Times New Roman" w:cs="Times New Roman"/>
          <w:iCs/>
          <w:sz w:val="24"/>
          <w:szCs w:val="24"/>
        </w:rPr>
      </w:pPr>
      <w:r w:rsidRPr="00A55B49">
        <w:rPr>
          <w:rFonts w:ascii="Times New Roman" w:hAnsi="Times New Roman" w:cs="Times New Roman"/>
          <w:iCs/>
          <w:sz w:val="24"/>
          <w:szCs w:val="24"/>
        </w:rPr>
        <w:t xml:space="preserve">To minimize respondent burden, </w:t>
      </w:r>
      <w:r w:rsidRPr="00A55B49" w:rsidR="00475931">
        <w:rPr>
          <w:rFonts w:ascii="Times New Roman" w:hAnsi="Times New Roman" w:cs="Times New Roman"/>
          <w:iCs/>
          <w:sz w:val="24"/>
          <w:szCs w:val="24"/>
        </w:rPr>
        <w:t xml:space="preserve">focus group </w:t>
      </w:r>
      <w:r w:rsidRPr="00A55B49" w:rsidR="008A4A23">
        <w:rPr>
          <w:rFonts w:ascii="Times New Roman" w:hAnsi="Times New Roman" w:cs="Times New Roman"/>
          <w:iCs/>
          <w:sz w:val="24"/>
          <w:szCs w:val="24"/>
        </w:rPr>
        <w:t xml:space="preserve">interviews with </w:t>
      </w:r>
      <w:r w:rsidRPr="00A55B49" w:rsidR="00475931">
        <w:rPr>
          <w:rFonts w:ascii="Times New Roman" w:hAnsi="Times New Roman" w:cs="Times New Roman"/>
          <w:iCs/>
          <w:sz w:val="24"/>
          <w:szCs w:val="24"/>
        </w:rPr>
        <w:t xml:space="preserve">women mine workers and </w:t>
      </w:r>
      <w:r w:rsidRPr="00A55B49" w:rsidR="008A4A23">
        <w:rPr>
          <w:rFonts w:ascii="Times New Roman" w:hAnsi="Times New Roman" w:cs="Times New Roman"/>
          <w:iCs/>
          <w:sz w:val="24"/>
          <w:szCs w:val="24"/>
        </w:rPr>
        <w:t xml:space="preserve">OSH managers will be </w:t>
      </w:r>
      <w:r w:rsidRPr="00A55B49" w:rsidR="00CD06D1">
        <w:rPr>
          <w:rFonts w:ascii="Times New Roman" w:hAnsi="Times New Roman" w:cs="Times New Roman"/>
          <w:iCs/>
          <w:sz w:val="24"/>
          <w:szCs w:val="24"/>
        </w:rPr>
        <w:t>audio</w:t>
      </w:r>
      <w:r w:rsidRPr="00A55B49" w:rsidR="008A4A23">
        <w:rPr>
          <w:rFonts w:ascii="Times New Roman" w:hAnsi="Times New Roman" w:cs="Times New Roman"/>
          <w:iCs/>
          <w:sz w:val="24"/>
          <w:szCs w:val="24"/>
        </w:rPr>
        <w:t xml:space="preserve"> recorded to ensure accurate data collection</w:t>
      </w:r>
      <w:r w:rsidRPr="00A55B49" w:rsidR="00B84108">
        <w:rPr>
          <w:rFonts w:ascii="Times New Roman" w:hAnsi="Times New Roman" w:cs="Times New Roman"/>
          <w:iCs/>
          <w:sz w:val="24"/>
          <w:szCs w:val="24"/>
        </w:rPr>
        <w:t xml:space="preserve">, minimizing the need of NIOSH investigators </w:t>
      </w:r>
      <w:r w:rsidRPr="00A55B49" w:rsidR="00306876">
        <w:rPr>
          <w:rFonts w:ascii="Times New Roman" w:hAnsi="Times New Roman" w:cs="Times New Roman"/>
          <w:iCs/>
          <w:sz w:val="24"/>
          <w:szCs w:val="24"/>
        </w:rPr>
        <w:t xml:space="preserve">to hand-document </w:t>
      </w:r>
      <w:r w:rsidRPr="00A55B49" w:rsidR="00CF1D86">
        <w:rPr>
          <w:rFonts w:ascii="Times New Roman" w:hAnsi="Times New Roman" w:cs="Times New Roman"/>
          <w:iCs/>
          <w:sz w:val="24"/>
          <w:szCs w:val="24"/>
        </w:rPr>
        <w:t xml:space="preserve">responses, which </w:t>
      </w:r>
      <w:r w:rsidRPr="00A55B49" w:rsidR="00110BD6">
        <w:rPr>
          <w:rFonts w:ascii="Times New Roman" w:hAnsi="Times New Roman" w:cs="Times New Roman"/>
          <w:iCs/>
          <w:sz w:val="24"/>
          <w:szCs w:val="24"/>
        </w:rPr>
        <w:t xml:space="preserve">would </w:t>
      </w:r>
      <w:r w:rsidRPr="00A55B49" w:rsidR="00335F73">
        <w:rPr>
          <w:rFonts w:ascii="Times New Roman" w:hAnsi="Times New Roman" w:cs="Times New Roman"/>
          <w:iCs/>
          <w:sz w:val="24"/>
          <w:szCs w:val="24"/>
        </w:rPr>
        <w:t xml:space="preserve">considerably </w:t>
      </w:r>
      <w:r w:rsidRPr="00A55B49" w:rsidR="00110BD6">
        <w:rPr>
          <w:rFonts w:ascii="Times New Roman" w:hAnsi="Times New Roman" w:cs="Times New Roman"/>
          <w:iCs/>
          <w:sz w:val="24"/>
          <w:szCs w:val="24"/>
        </w:rPr>
        <w:t xml:space="preserve">slow </w:t>
      </w:r>
      <w:r w:rsidRPr="00A55B49" w:rsidR="00335F73">
        <w:rPr>
          <w:rFonts w:ascii="Times New Roman" w:hAnsi="Times New Roman" w:cs="Times New Roman"/>
          <w:iCs/>
          <w:sz w:val="24"/>
          <w:szCs w:val="24"/>
        </w:rPr>
        <w:t>down the interviews</w:t>
      </w:r>
      <w:r w:rsidRPr="00A55B49" w:rsidR="00110BD6">
        <w:rPr>
          <w:rFonts w:ascii="Times New Roman" w:hAnsi="Times New Roman" w:cs="Times New Roman"/>
          <w:iCs/>
          <w:sz w:val="24"/>
          <w:szCs w:val="24"/>
        </w:rPr>
        <w:t xml:space="preserve">. </w:t>
      </w:r>
      <w:r w:rsidRPr="00A55B49" w:rsidR="001E6FE4">
        <w:rPr>
          <w:rFonts w:ascii="Times New Roman" w:hAnsi="Times New Roman" w:cs="Times New Roman"/>
          <w:iCs/>
          <w:sz w:val="24"/>
          <w:szCs w:val="24"/>
        </w:rPr>
        <w:t>Recording the focus group interviews will also</w:t>
      </w:r>
      <w:r w:rsidRPr="00A55B49" w:rsidR="00C61D96">
        <w:rPr>
          <w:rFonts w:ascii="Times New Roman" w:hAnsi="Times New Roman" w:cs="Times New Roman"/>
          <w:iCs/>
          <w:sz w:val="24"/>
          <w:szCs w:val="24"/>
        </w:rPr>
        <w:t xml:space="preserve"> allow respondents to speak freely without the risk of comments being missed </w:t>
      </w:r>
      <w:r w:rsidRPr="00A55B49" w:rsidR="00011975">
        <w:rPr>
          <w:rFonts w:ascii="Times New Roman" w:hAnsi="Times New Roman" w:cs="Times New Roman"/>
          <w:iCs/>
          <w:sz w:val="24"/>
          <w:szCs w:val="24"/>
        </w:rPr>
        <w:t>if</w:t>
      </w:r>
      <w:r w:rsidRPr="00A55B49" w:rsidR="00C61D96">
        <w:rPr>
          <w:rFonts w:ascii="Times New Roman" w:hAnsi="Times New Roman" w:cs="Times New Roman"/>
          <w:iCs/>
          <w:sz w:val="24"/>
          <w:szCs w:val="24"/>
        </w:rPr>
        <w:t xml:space="preserve"> investigators </w:t>
      </w:r>
      <w:r w:rsidRPr="00A55B49" w:rsidR="00011975">
        <w:rPr>
          <w:rFonts w:ascii="Times New Roman" w:hAnsi="Times New Roman" w:cs="Times New Roman"/>
          <w:iCs/>
          <w:sz w:val="24"/>
          <w:szCs w:val="24"/>
        </w:rPr>
        <w:t xml:space="preserve">were to try taking notes manually. </w:t>
      </w:r>
      <w:r w:rsidRPr="00A55B49" w:rsidR="001E6FE4">
        <w:rPr>
          <w:rFonts w:ascii="Times New Roman" w:hAnsi="Times New Roman" w:cs="Times New Roman"/>
          <w:iCs/>
          <w:sz w:val="24"/>
          <w:szCs w:val="24"/>
        </w:rPr>
        <w:t>The demographic</w:t>
      </w:r>
      <w:r w:rsidRPr="00A55B49" w:rsidR="0065431D">
        <w:rPr>
          <w:rFonts w:ascii="Times New Roman" w:hAnsi="Times New Roman" w:cs="Times New Roman"/>
          <w:iCs/>
          <w:sz w:val="24"/>
          <w:szCs w:val="24"/>
        </w:rPr>
        <w:t xml:space="preserve"> and work history</w:t>
      </w:r>
      <w:r w:rsidRPr="00A55B49" w:rsidR="001E6FE4">
        <w:rPr>
          <w:rFonts w:ascii="Times New Roman" w:hAnsi="Times New Roman" w:cs="Times New Roman"/>
          <w:iCs/>
          <w:sz w:val="24"/>
          <w:szCs w:val="24"/>
        </w:rPr>
        <w:t xml:space="preserve"> s</w:t>
      </w:r>
      <w:r w:rsidRPr="00A55B49" w:rsidR="00011975">
        <w:rPr>
          <w:rFonts w:ascii="Times New Roman" w:hAnsi="Times New Roman" w:cs="Times New Roman"/>
          <w:iCs/>
          <w:sz w:val="24"/>
          <w:szCs w:val="24"/>
        </w:rPr>
        <w:t>urvey will</w:t>
      </w:r>
      <w:r w:rsidRPr="00A55B49" w:rsidR="00FD06BC">
        <w:rPr>
          <w:rFonts w:ascii="Times New Roman" w:hAnsi="Times New Roman" w:cs="Times New Roman"/>
          <w:iCs/>
          <w:sz w:val="24"/>
          <w:szCs w:val="24"/>
        </w:rPr>
        <w:t xml:space="preserve"> be brief, with </w:t>
      </w:r>
      <w:r w:rsidR="003D02E4">
        <w:rPr>
          <w:rFonts w:ascii="Times New Roman" w:hAnsi="Times New Roman" w:cs="Times New Roman"/>
          <w:iCs/>
          <w:sz w:val="24"/>
          <w:szCs w:val="24"/>
        </w:rPr>
        <w:t>7</w:t>
      </w:r>
      <w:r w:rsidRPr="00A55B49" w:rsidR="00FD06BC">
        <w:rPr>
          <w:rFonts w:ascii="Times New Roman" w:hAnsi="Times New Roman" w:cs="Times New Roman"/>
          <w:iCs/>
          <w:sz w:val="24"/>
          <w:szCs w:val="24"/>
        </w:rPr>
        <w:t xml:space="preserve"> </w:t>
      </w:r>
      <w:r w:rsidRPr="00A55B49" w:rsidR="00C77CE2">
        <w:rPr>
          <w:rFonts w:ascii="Times New Roman" w:hAnsi="Times New Roman" w:cs="Times New Roman"/>
          <w:iCs/>
          <w:sz w:val="24"/>
          <w:szCs w:val="24"/>
        </w:rPr>
        <w:t xml:space="preserve">multiple choice </w:t>
      </w:r>
      <w:r w:rsidRPr="00A55B49" w:rsidR="00FD06BC">
        <w:rPr>
          <w:rFonts w:ascii="Times New Roman" w:hAnsi="Times New Roman" w:cs="Times New Roman"/>
          <w:iCs/>
          <w:sz w:val="24"/>
          <w:szCs w:val="24"/>
        </w:rPr>
        <w:t>questions</w:t>
      </w:r>
      <w:r w:rsidRPr="00A55B49" w:rsidR="00C77CE2">
        <w:rPr>
          <w:rFonts w:ascii="Times New Roman" w:hAnsi="Times New Roman" w:cs="Times New Roman"/>
          <w:iCs/>
          <w:sz w:val="24"/>
          <w:szCs w:val="24"/>
        </w:rPr>
        <w:t xml:space="preserve"> and </w:t>
      </w:r>
      <w:r w:rsidR="00F54F5B">
        <w:rPr>
          <w:rFonts w:ascii="Times New Roman" w:hAnsi="Times New Roman" w:cs="Times New Roman"/>
          <w:iCs/>
          <w:sz w:val="24"/>
          <w:szCs w:val="24"/>
        </w:rPr>
        <w:t>8</w:t>
      </w:r>
      <w:r w:rsidRPr="00A55B49" w:rsidR="00A26865">
        <w:rPr>
          <w:rFonts w:ascii="Times New Roman" w:hAnsi="Times New Roman" w:cs="Times New Roman"/>
          <w:iCs/>
          <w:sz w:val="24"/>
          <w:szCs w:val="24"/>
        </w:rPr>
        <w:t xml:space="preserve"> questions </w:t>
      </w:r>
      <w:r w:rsidRPr="00A55B49" w:rsidR="00526C96">
        <w:rPr>
          <w:rFonts w:ascii="Times New Roman" w:hAnsi="Times New Roman" w:cs="Times New Roman"/>
          <w:iCs/>
          <w:sz w:val="24"/>
          <w:szCs w:val="24"/>
        </w:rPr>
        <w:t>with</w:t>
      </w:r>
      <w:r w:rsidRPr="00A55B49" w:rsidR="00A26865">
        <w:rPr>
          <w:rFonts w:ascii="Times New Roman" w:hAnsi="Times New Roman" w:cs="Times New Roman"/>
          <w:iCs/>
          <w:sz w:val="24"/>
          <w:szCs w:val="24"/>
        </w:rPr>
        <w:t xml:space="preserve"> </w:t>
      </w:r>
      <w:r w:rsidRPr="00A55B49" w:rsidR="00887C5A">
        <w:rPr>
          <w:rFonts w:ascii="Times New Roman" w:hAnsi="Times New Roman" w:cs="Times New Roman"/>
          <w:iCs/>
          <w:sz w:val="24"/>
          <w:szCs w:val="24"/>
        </w:rPr>
        <w:t xml:space="preserve">short </w:t>
      </w:r>
      <w:r w:rsidRPr="00A55B49" w:rsidR="00DC685E">
        <w:rPr>
          <w:rFonts w:ascii="Times New Roman" w:hAnsi="Times New Roman" w:cs="Times New Roman"/>
          <w:iCs/>
          <w:sz w:val="24"/>
          <w:szCs w:val="24"/>
        </w:rPr>
        <w:t xml:space="preserve">free </w:t>
      </w:r>
      <w:r w:rsidRPr="00A55B49" w:rsidR="00A26865">
        <w:rPr>
          <w:rFonts w:ascii="Times New Roman" w:hAnsi="Times New Roman" w:cs="Times New Roman"/>
          <w:iCs/>
          <w:sz w:val="24"/>
          <w:szCs w:val="24"/>
        </w:rPr>
        <w:t>text responses</w:t>
      </w:r>
      <w:r w:rsidRPr="00A55B49" w:rsidR="00DC685E">
        <w:rPr>
          <w:rFonts w:ascii="Times New Roman" w:hAnsi="Times New Roman" w:cs="Times New Roman"/>
          <w:iCs/>
          <w:sz w:val="24"/>
          <w:szCs w:val="24"/>
        </w:rPr>
        <w:t xml:space="preserve">. </w:t>
      </w:r>
      <w:r w:rsidRPr="00A55B49" w:rsidR="00B9238A">
        <w:rPr>
          <w:rFonts w:ascii="Times New Roman" w:hAnsi="Times New Roman" w:cs="Times New Roman"/>
          <w:iCs/>
          <w:sz w:val="24"/>
          <w:szCs w:val="24"/>
        </w:rPr>
        <w:t>Participants will be offered two mechanisms for completing the</w:t>
      </w:r>
      <w:r w:rsidRPr="00A55B49" w:rsidR="006C7A40">
        <w:rPr>
          <w:rFonts w:ascii="Times New Roman" w:hAnsi="Times New Roman" w:cs="Times New Roman"/>
          <w:iCs/>
          <w:sz w:val="24"/>
          <w:szCs w:val="24"/>
        </w:rPr>
        <w:t xml:space="preserve"> demographic s</w:t>
      </w:r>
      <w:r w:rsidRPr="00A55B49" w:rsidR="00D74381">
        <w:rPr>
          <w:rFonts w:ascii="Times New Roman" w:hAnsi="Times New Roman" w:cs="Times New Roman"/>
          <w:iCs/>
          <w:sz w:val="24"/>
          <w:szCs w:val="24"/>
        </w:rPr>
        <w:t>urvey</w:t>
      </w:r>
      <w:r w:rsidRPr="00A55B49" w:rsidR="00B9238A">
        <w:rPr>
          <w:rFonts w:ascii="Times New Roman" w:hAnsi="Times New Roman" w:cs="Times New Roman"/>
          <w:iCs/>
          <w:sz w:val="24"/>
          <w:szCs w:val="24"/>
        </w:rPr>
        <w:t xml:space="preserve">—either </w:t>
      </w:r>
      <w:r w:rsidRPr="00A55B49" w:rsidR="00393DDC">
        <w:rPr>
          <w:rFonts w:ascii="Times New Roman" w:hAnsi="Times New Roman" w:cs="Times New Roman"/>
          <w:iCs/>
          <w:sz w:val="24"/>
          <w:szCs w:val="24"/>
        </w:rPr>
        <w:t>paper-based</w:t>
      </w:r>
      <w:r w:rsidRPr="00A55B49" w:rsidR="00D74381">
        <w:rPr>
          <w:rFonts w:ascii="Times New Roman" w:hAnsi="Times New Roman" w:cs="Times New Roman"/>
          <w:iCs/>
          <w:sz w:val="24"/>
          <w:szCs w:val="24"/>
        </w:rPr>
        <w:t xml:space="preserve"> </w:t>
      </w:r>
      <w:r w:rsidRPr="00A55B49" w:rsidR="005D369A">
        <w:rPr>
          <w:rFonts w:ascii="Times New Roman" w:hAnsi="Times New Roman" w:cs="Times New Roman"/>
          <w:iCs/>
          <w:sz w:val="24"/>
          <w:szCs w:val="24"/>
        </w:rPr>
        <w:t>or online</w:t>
      </w:r>
      <w:r w:rsidRPr="00A55B49" w:rsidR="00393DDC">
        <w:rPr>
          <w:rFonts w:ascii="Times New Roman" w:hAnsi="Times New Roman" w:cs="Times New Roman"/>
          <w:iCs/>
          <w:sz w:val="24"/>
          <w:szCs w:val="24"/>
        </w:rPr>
        <w:t>. Having multiple options provides participants with flexibility</w:t>
      </w:r>
      <w:r w:rsidRPr="00A55B49" w:rsidR="00DF58D6">
        <w:rPr>
          <w:rFonts w:ascii="Times New Roman" w:hAnsi="Times New Roman" w:cs="Times New Roman"/>
          <w:iCs/>
          <w:sz w:val="24"/>
          <w:szCs w:val="24"/>
        </w:rPr>
        <w:t xml:space="preserve"> and allows them to choose the method that is easiest for them</w:t>
      </w:r>
      <w:r w:rsidRPr="00A55B49" w:rsidR="000510C6">
        <w:rPr>
          <w:rFonts w:ascii="Times New Roman" w:hAnsi="Times New Roman" w:cs="Times New Roman"/>
          <w:iCs/>
          <w:sz w:val="24"/>
          <w:szCs w:val="24"/>
        </w:rPr>
        <w:t xml:space="preserve"> to complete</w:t>
      </w:r>
      <w:r w:rsidRPr="00A55B49" w:rsidR="00DF58D6">
        <w:rPr>
          <w:rFonts w:ascii="Times New Roman" w:hAnsi="Times New Roman" w:cs="Times New Roman"/>
          <w:iCs/>
          <w:sz w:val="24"/>
          <w:szCs w:val="24"/>
        </w:rPr>
        <w:t>.</w:t>
      </w:r>
      <w:r w:rsidRPr="00A55B49" w:rsidR="00393DDC">
        <w:rPr>
          <w:rFonts w:ascii="Times New Roman" w:hAnsi="Times New Roman" w:cs="Times New Roman"/>
          <w:iCs/>
          <w:sz w:val="24"/>
          <w:szCs w:val="24"/>
        </w:rPr>
        <w:t xml:space="preserve"> </w:t>
      </w:r>
      <w:r w:rsidRPr="00A55B49" w:rsidR="008D3D40">
        <w:rPr>
          <w:rFonts w:ascii="Times New Roman" w:hAnsi="Times New Roman" w:cs="Times New Roman"/>
          <w:iCs/>
          <w:sz w:val="24"/>
          <w:szCs w:val="24"/>
        </w:rPr>
        <w:t xml:space="preserve">The </w:t>
      </w:r>
      <w:r w:rsidRPr="00A55B49" w:rsidR="000510C6">
        <w:rPr>
          <w:rFonts w:ascii="Times New Roman" w:hAnsi="Times New Roman" w:cs="Times New Roman"/>
          <w:iCs/>
          <w:sz w:val="24"/>
          <w:szCs w:val="24"/>
        </w:rPr>
        <w:t xml:space="preserve">brief </w:t>
      </w:r>
      <w:r w:rsidRPr="00A55B49" w:rsidR="00337D8D">
        <w:rPr>
          <w:rFonts w:ascii="Times New Roman" w:hAnsi="Times New Roman" w:cs="Times New Roman"/>
          <w:iCs/>
          <w:sz w:val="24"/>
          <w:szCs w:val="24"/>
        </w:rPr>
        <w:t xml:space="preserve">survey will be completed </w:t>
      </w:r>
      <w:r w:rsidRPr="00A55B49" w:rsidR="008D3D40">
        <w:rPr>
          <w:rFonts w:ascii="Times New Roman" w:hAnsi="Times New Roman" w:cs="Times New Roman"/>
          <w:iCs/>
          <w:sz w:val="24"/>
          <w:szCs w:val="24"/>
        </w:rPr>
        <w:t xml:space="preserve">by participants </w:t>
      </w:r>
      <w:r w:rsidRPr="00A55B49" w:rsidR="00E87391">
        <w:rPr>
          <w:rFonts w:ascii="Times New Roman" w:hAnsi="Times New Roman" w:cs="Times New Roman"/>
          <w:iCs/>
          <w:sz w:val="24"/>
          <w:szCs w:val="24"/>
        </w:rPr>
        <w:t xml:space="preserve">at the end of the </w:t>
      </w:r>
      <w:r w:rsidRPr="00A55B49" w:rsidR="008D3D40">
        <w:rPr>
          <w:rFonts w:ascii="Times New Roman" w:hAnsi="Times New Roman" w:cs="Times New Roman"/>
          <w:iCs/>
          <w:sz w:val="24"/>
          <w:szCs w:val="24"/>
        </w:rPr>
        <w:t>focus group interview</w:t>
      </w:r>
      <w:r w:rsidRPr="00A55B49" w:rsidR="004414C4">
        <w:rPr>
          <w:rFonts w:ascii="Times New Roman" w:hAnsi="Times New Roman" w:cs="Times New Roman"/>
          <w:iCs/>
          <w:sz w:val="24"/>
          <w:szCs w:val="24"/>
        </w:rPr>
        <w:t xml:space="preserve">, </w:t>
      </w:r>
      <w:r w:rsidRPr="00A55B49" w:rsidR="00E44791">
        <w:rPr>
          <w:rFonts w:ascii="Times New Roman" w:hAnsi="Times New Roman" w:cs="Times New Roman"/>
          <w:iCs/>
          <w:sz w:val="24"/>
          <w:szCs w:val="24"/>
        </w:rPr>
        <w:t>which will</w:t>
      </w:r>
      <w:r w:rsidRPr="00A55B49" w:rsidR="0020715A">
        <w:rPr>
          <w:rFonts w:ascii="Times New Roman" w:hAnsi="Times New Roman" w:cs="Times New Roman"/>
          <w:iCs/>
          <w:sz w:val="24"/>
          <w:szCs w:val="24"/>
        </w:rPr>
        <w:t xml:space="preserve"> eliminate</w:t>
      </w:r>
      <w:r w:rsidRPr="00A55B49" w:rsidR="00E44791">
        <w:rPr>
          <w:rFonts w:ascii="Times New Roman" w:hAnsi="Times New Roman" w:cs="Times New Roman"/>
          <w:iCs/>
          <w:sz w:val="24"/>
          <w:szCs w:val="24"/>
        </w:rPr>
        <w:t xml:space="preserve"> the need to identify a time or location</w:t>
      </w:r>
      <w:r w:rsidRPr="00A55B49" w:rsidR="0020715A">
        <w:rPr>
          <w:rFonts w:ascii="Times New Roman" w:hAnsi="Times New Roman" w:cs="Times New Roman"/>
          <w:iCs/>
          <w:sz w:val="24"/>
          <w:szCs w:val="24"/>
        </w:rPr>
        <w:t xml:space="preserve"> </w:t>
      </w:r>
      <w:r w:rsidRPr="00A55B49" w:rsidR="001C4B95">
        <w:rPr>
          <w:rFonts w:ascii="Times New Roman" w:hAnsi="Times New Roman" w:cs="Times New Roman"/>
          <w:iCs/>
          <w:sz w:val="24"/>
          <w:szCs w:val="24"/>
        </w:rPr>
        <w:t xml:space="preserve">for </w:t>
      </w:r>
      <w:r w:rsidRPr="00A55B49" w:rsidR="00E87391">
        <w:rPr>
          <w:rFonts w:ascii="Times New Roman" w:hAnsi="Times New Roman" w:cs="Times New Roman"/>
          <w:iCs/>
          <w:sz w:val="24"/>
          <w:szCs w:val="24"/>
        </w:rPr>
        <w:t xml:space="preserve">future </w:t>
      </w:r>
      <w:r w:rsidRPr="00A55B49" w:rsidR="001C4B95">
        <w:rPr>
          <w:rFonts w:ascii="Times New Roman" w:hAnsi="Times New Roman" w:cs="Times New Roman"/>
          <w:iCs/>
          <w:sz w:val="24"/>
          <w:szCs w:val="24"/>
        </w:rPr>
        <w:t>data collection</w:t>
      </w:r>
      <w:r w:rsidRPr="00A55B49">
        <w:rPr>
          <w:rFonts w:ascii="Times New Roman" w:hAnsi="Times New Roman" w:cs="Times New Roman"/>
          <w:iCs/>
          <w:sz w:val="24"/>
          <w:szCs w:val="24"/>
        </w:rPr>
        <w:t>.</w:t>
      </w:r>
      <w:r w:rsidRPr="00A55B49" w:rsidR="00E87391">
        <w:rPr>
          <w:rFonts w:ascii="Times New Roman" w:hAnsi="Times New Roman" w:cs="Times New Roman"/>
          <w:iCs/>
          <w:sz w:val="24"/>
          <w:szCs w:val="24"/>
        </w:rPr>
        <w:t xml:space="preserve"> </w:t>
      </w:r>
      <w:r w:rsidRPr="00A55B49" w:rsidR="00A154A4">
        <w:rPr>
          <w:rFonts w:ascii="Times New Roman" w:hAnsi="Times New Roman" w:cs="Times New Roman"/>
          <w:iCs/>
          <w:sz w:val="24"/>
          <w:szCs w:val="24"/>
        </w:rPr>
        <w:t xml:space="preserve">We will work with </w:t>
      </w:r>
      <w:r w:rsidRPr="00A55B49" w:rsidR="008D3D40">
        <w:rPr>
          <w:rFonts w:ascii="Times New Roman" w:hAnsi="Times New Roman" w:cs="Times New Roman"/>
          <w:iCs/>
          <w:sz w:val="24"/>
          <w:szCs w:val="24"/>
        </w:rPr>
        <w:t xml:space="preserve">women mine workers and </w:t>
      </w:r>
      <w:r w:rsidRPr="00A55B49" w:rsidR="000510C6">
        <w:rPr>
          <w:rFonts w:ascii="Times New Roman" w:hAnsi="Times New Roman" w:cs="Times New Roman"/>
          <w:iCs/>
          <w:sz w:val="24"/>
          <w:szCs w:val="24"/>
        </w:rPr>
        <w:t xml:space="preserve">mine </w:t>
      </w:r>
      <w:r w:rsidRPr="00A55B49" w:rsidR="00A154A4">
        <w:rPr>
          <w:rFonts w:ascii="Times New Roman" w:hAnsi="Times New Roman" w:cs="Times New Roman"/>
          <w:iCs/>
          <w:sz w:val="24"/>
          <w:szCs w:val="24"/>
        </w:rPr>
        <w:t xml:space="preserve">managers </w:t>
      </w:r>
      <w:r w:rsidRPr="00A55B49" w:rsidR="000510C6">
        <w:rPr>
          <w:rFonts w:ascii="Times New Roman" w:hAnsi="Times New Roman" w:cs="Times New Roman"/>
          <w:iCs/>
          <w:sz w:val="24"/>
          <w:szCs w:val="24"/>
        </w:rPr>
        <w:t xml:space="preserve">and H&amp;S professionals </w:t>
      </w:r>
      <w:r w:rsidRPr="00A55B49" w:rsidR="00A154A4">
        <w:rPr>
          <w:rFonts w:ascii="Times New Roman" w:hAnsi="Times New Roman" w:cs="Times New Roman"/>
          <w:iCs/>
          <w:sz w:val="24"/>
          <w:szCs w:val="24"/>
        </w:rPr>
        <w:t>to develop a focus group participation plan that</w:t>
      </w:r>
      <w:r w:rsidRPr="00A55B49" w:rsidR="001241AD">
        <w:rPr>
          <w:rFonts w:ascii="Times New Roman" w:hAnsi="Times New Roman" w:cs="Times New Roman"/>
          <w:iCs/>
          <w:sz w:val="24"/>
          <w:szCs w:val="24"/>
        </w:rPr>
        <w:t xml:space="preserve"> minimizes burden on workers and employers (i.e</w:t>
      </w:r>
      <w:r w:rsidRPr="00A55B49" w:rsidR="00094B8B">
        <w:rPr>
          <w:rFonts w:ascii="Times New Roman" w:hAnsi="Times New Roman" w:cs="Times New Roman"/>
          <w:iCs/>
          <w:sz w:val="24"/>
          <w:szCs w:val="24"/>
        </w:rPr>
        <w:t>.</w:t>
      </w:r>
      <w:r w:rsidRPr="00A55B49" w:rsidR="001241AD">
        <w:rPr>
          <w:rFonts w:ascii="Times New Roman" w:hAnsi="Times New Roman" w:cs="Times New Roman"/>
          <w:iCs/>
          <w:sz w:val="24"/>
          <w:szCs w:val="24"/>
        </w:rPr>
        <w:t>, due to operational related needs)</w:t>
      </w:r>
      <w:r w:rsidRPr="00A55B49" w:rsidR="00094B8B">
        <w:rPr>
          <w:rFonts w:ascii="Times New Roman" w:hAnsi="Times New Roman" w:cs="Times New Roman"/>
          <w:iCs/>
          <w:sz w:val="24"/>
          <w:szCs w:val="24"/>
        </w:rPr>
        <w:t xml:space="preserve">. </w:t>
      </w:r>
    </w:p>
    <w:p w:rsidR="00C20F68" w:rsidRPr="00A55B49" w:rsidP="00564B87" w14:paraId="735EE164" w14:textId="77777777">
      <w:pPr>
        <w:spacing w:after="0"/>
        <w:rPr>
          <w:rFonts w:ascii="Times New Roman" w:hAnsi="Times New Roman" w:cs="Times New Roman"/>
          <w:iCs/>
          <w:sz w:val="24"/>
          <w:szCs w:val="24"/>
        </w:rPr>
      </w:pPr>
    </w:p>
    <w:p w:rsidR="00CC22D9" w:rsidRPr="00A55B49" w:rsidP="00564B87" w14:paraId="43FCFB19" w14:textId="77777777">
      <w:pPr>
        <w:pStyle w:val="ListParagraph"/>
        <w:numPr>
          <w:ilvl w:val="0"/>
          <w:numId w:val="3"/>
        </w:numPr>
        <w:spacing w:after="0"/>
        <w:ind w:left="360"/>
        <w:rPr>
          <w:rFonts w:ascii="Times New Roman" w:hAnsi="Times New Roman" w:cs="Times New Roman"/>
          <w:b/>
          <w:sz w:val="24"/>
          <w:szCs w:val="24"/>
        </w:rPr>
      </w:pPr>
      <w:r w:rsidRPr="00A55B49">
        <w:rPr>
          <w:rFonts w:ascii="Times New Roman" w:hAnsi="Times New Roman" w:cs="Times New Roman"/>
          <w:b/>
          <w:sz w:val="24"/>
          <w:szCs w:val="24"/>
        </w:rPr>
        <w:t>Efforts to Identify Duplication and Use of Similar Information</w:t>
      </w:r>
    </w:p>
    <w:p w:rsidR="00C177BD" w:rsidRPr="00A55B49" w:rsidP="00564B87" w14:paraId="79F677CC" w14:textId="6C9D550D">
      <w:pPr>
        <w:spacing w:after="0"/>
        <w:rPr>
          <w:rFonts w:ascii="Times New Roman" w:hAnsi="Times New Roman" w:cs="Times New Roman"/>
          <w:sz w:val="24"/>
          <w:szCs w:val="24"/>
        </w:rPr>
      </w:pPr>
      <w:r w:rsidRPr="00A55B49">
        <w:rPr>
          <w:rFonts w:ascii="Times New Roman" w:hAnsi="Times New Roman" w:cs="Times New Roman"/>
          <w:sz w:val="24"/>
          <w:szCs w:val="24"/>
        </w:rPr>
        <w:t xml:space="preserve">This is a </w:t>
      </w:r>
      <w:r w:rsidRPr="00A55B49" w:rsidR="00564B87">
        <w:rPr>
          <w:rFonts w:ascii="Times New Roman" w:hAnsi="Times New Roman" w:cs="Times New Roman"/>
          <w:sz w:val="24"/>
          <w:szCs w:val="24"/>
        </w:rPr>
        <w:t xml:space="preserve">novel pilot project. </w:t>
      </w:r>
      <w:r w:rsidRPr="00A55B49" w:rsidR="00043119">
        <w:rPr>
          <w:rFonts w:ascii="Times New Roman" w:hAnsi="Times New Roman" w:cs="Times New Roman"/>
          <w:sz w:val="24"/>
          <w:szCs w:val="24"/>
        </w:rPr>
        <w:t>N</w:t>
      </w:r>
      <w:r w:rsidRPr="00A55B49">
        <w:rPr>
          <w:rFonts w:ascii="Times New Roman" w:hAnsi="Times New Roman" w:cs="Times New Roman"/>
          <w:sz w:val="24"/>
          <w:szCs w:val="24"/>
        </w:rPr>
        <w:t xml:space="preserve">o similar information </w:t>
      </w:r>
      <w:r w:rsidRPr="00A55B49" w:rsidR="00043119">
        <w:rPr>
          <w:rFonts w:ascii="Times New Roman" w:hAnsi="Times New Roman" w:cs="Times New Roman"/>
          <w:sz w:val="24"/>
          <w:szCs w:val="24"/>
        </w:rPr>
        <w:t xml:space="preserve">has been gathered by or maintained by NIOSH or other federal agencies </w:t>
      </w:r>
      <w:r w:rsidRPr="00A55B49" w:rsidR="00564B87">
        <w:rPr>
          <w:rFonts w:ascii="Times New Roman" w:hAnsi="Times New Roman" w:cs="Times New Roman"/>
          <w:sz w:val="24"/>
          <w:szCs w:val="24"/>
        </w:rPr>
        <w:t>on this topic</w:t>
      </w:r>
      <w:r w:rsidRPr="00A55B49">
        <w:rPr>
          <w:rFonts w:ascii="Times New Roman" w:hAnsi="Times New Roman" w:cs="Times New Roman"/>
          <w:sz w:val="24"/>
          <w:szCs w:val="24"/>
        </w:rPr>
        <w:t xml:space="preserve">. Information is also not </w:t>
      </w:r>
      <w:r w:rsidRPr="00A55B49">
        <w:rPr>
          <w:rFonts w:ascii="Times New Roman" w:hAnsi="Times New Roman" w:cs="Times New Roman"/>
          <w:sz w:val="24"/>
          <w:szCs w:val="24"/>
        </w:rPr>
        <w:t>available</w:t>
      </w:r>
      <w:r w:rsidRPr="00A55B49" w:rsidR="00803BD5">
        <w:rPr>
          <w:rFonts w:ascii="Times New Roman" w:hAnsi="Times New Roman" w:cs="Times New Roman"/>
          <w:sz w:val="24"/>
          <w:szCs w:val="24"/>
        </w:rPr>
        <w:t xml:space="preserve"> </w:t>
      </w:r>
      <w:r w:rsidRPr="00A55B49">
        <w:rPr>
          <w:rFonts w:ascii="Times New Roman" w:hAnsi="Times New Roman" w:cs="Times New Roman"/>
          <w:sz w:val="24"/>
          <w:szCs w:val="24"/>
        </w:rPr>
        <w:t>from other sources</w:t>
      </w:r>
      <w:r w:rsidRPr="00A55B49">
        <w:rPr>
          <w:rFonts w:ascii="Times New Roman" w:hAnsi="Times New Roman" w:cs="Times New Roman"/>
          <w:sz w:val="24"/>
          <w:szCs w:val="24"/>
        </w:rPr>
        <w:t>.</w:t>
      </w:r>
    </w:p>
    <w:p w:rsidR="00C177BD" w:rsidRPr="00A55B49" w:rsidP="005B3379" w14:paraId="708A63BE" w14:textId="77777777">
      <w:pPr>
        <w:spacing w:after="0"/>
        <w:rPr>
          <w:rFonts w:ascii="Times New Roman" w:hAnsi="Times New Roman" w:cs="Times New Roman"/>
          <w:sz w:val="24"/>
          <w:szCs w:val="24"/>
        </w:rPr>
      </w:pPr>
    </w:p>
    <w:p w:rsidR="00675DEC" w:rsidRPr="00A55B49" w:rsidP="005B3379" w14:paraId="3634B09C" w14:textId="77777777">
      <w:pPr>
        <w:spacing w:after="0"/>
        <w:rPr>
          <w:rFonts w:ascii="Times New Roman" w:hAnsi="Times New Roman" w:cs="Times New Roman"/>
          <w:sz w:val="24"/>
          <w:szCs w:val="24"/>
        </w:rPr>
      </w:pPr>
      <w:r w:rsidRPr="00A55B49">
        <w:rPr>
          <w:rFonts w:ascii="Times New Roman" w:hAnsi="Times New Roman" w:cs="Times New Roman"/>
          <w:b/>
          <w:bCs/>
          <w:sz w:val="24"/>
          <w:szCs w:val="24"/>
        </w:rPr>
        <w:t>5.</w:t>
      </w:r>
      <w:r w:rsidRPr="00A55B49">
        <w:rPr>
          <w:rFonts w:ascii="Times New Roman" w:hAnsi="Times New Roman" w:cs="Times New Roman"/>
          <w:sz w:val="24"/>
          <w:szCs w:val="24"/>
        </w:rPr>
        <w:t xml:space="preserve"> </w:t>
      </w:r>
      <w:r w:rsidRPr="00A55B49">
        <w:rPr>
          <w:rFonts w:ascii="Times New Roman" w:hAnsi="Times New Roman" w:cs="Times New Roman"/>
          <w:b/>
          <w:sz w:val="24"/>
          <w:szCs w:val="24"/>
        </w:rPr>
        <w:t>Impact on Small Businesses or Other Small Entities</w:t>
      </w:r>
    </w:p>
    <w:p w:rsidR="00675DEC" w:rsidRPr="00A55B49" w:rsidP="005B3379" w14:paraId="1E68195B" w14:textId="59CF88C5">
      <w:pPr>
        <w:spacing w:after="0"/>
        <w:rPr>
          <w:rFonts w:ascii="Times New Roman" w:hAnsi="Times New Roman" w:cs="Times New Roman"/>
          <w:sz w:val="24"/>
          <w:szCs w:val="24"/>
        </w:rPr>
      </w:pPr>
      <w:r w:rsidRPr="00A55B49">
        <w:rPr>
          <w:rFonts w:ascii="Times New Roman" w:hAnsi="Times New Roman" w:cs="Times New Roman"/>
          <w:sz w:val="24"/>
          <w:szCs w:val="24"/>
        </w:rPr>
        <w:t xml:space="preserve">Workers from small businesses or other small entities </w:t>
      </w:r>
      <w:r w:rsidRPr="00A55B49" w:rsidR="008E1451">
        <w:rPr>
          <w:rFonts w:ascii="Times New Roman" w:hAnsi="Times New Roman" w:cs="Times New Roman"/>
          <w:sz w:val="24"/>
          <w:szCs w:val="24"/>
        </w:rPr>
        <w:t>may be involved in this effort, but NIOSH will minimize the burden on them by scheduling focus group</w:t>
      </w:r>
      <w:r w:rsidRPr="00A55B49" w:rsidR="000510C6">
        <w:rPr>
          <w:rFonts w:ascii="Times New Roman" w:hAnsi="Times New Roman" w:cs="Times New Roman"/>
          <w:sz w:val="24"/>
          <w:szCs w:val="24"/>
        </w:rPr>
        <w:t xml:space="preserve"> interviews </w:t>
      </w:r>
      <w:r w:rsidRPr="00A55B49" w:rsidR="008E1451">
        <w:rPr>
          <w:rFonts w:ascii="Times New Roman" w:hAnsi="Times New Roman" w:cs="Times New Roman"/>
          <w:sz w:val="24"/>
          <w:szCs w:val="24"/>
        </w:rPr>
        <w:t>on dates and times that are convenient for participants</w:t>
      </w:r>
      <w:r w:rsidRPr="00A55B49" w:rsidR="00B21242">
        <w:rPr>
          <w:rFonts w:ascii="Times New Roman" w:hAnsi="Times New Roman" w:cs="Times New Roman"/>
          <w:sz w:val="24"/>
          <w:szCs w:val="24"/>
        </w:rPr>
        <w:t xml:space="preserve"> and minimizing the time required </w:t>
      </w:r>
      <w:r w:rsidRPr="00A55B49" w:rsidR="0033318D">
        <w:rPr>
          <w:rFonts w:ascii="Times New Roman" w:hAnsi="Times New Roman" w:cs="Times New Roman"/>
          <w:sz w:val="24"/>
          <w:szCs w:val="24"/>
        </w:rPr>
        <w:t>for participation.</w:t>
      </w:r>
    </w:p>
    <w:p w:rsidR="00A35C9D" w:rsidRPr="00A55B49" w:rsidP="001D7760" w14:paraId="0114C501" w14:textId="77777777">
      <w:pPr>
        <w:spacing w:after="0"/>
        <w:rPr>
          <w:rFonts w:ascii="Times New Roman" w:hAnsi="Times New Roman" w:cs="Times New Roman"/>
          <w:sz w:val="24"/>
          <w:szCs w:val="24"/>
        </w:rPr>
      </w:pPr>
    </w:p>
    <w:p w:rsidR="00A35C9D" w:rsidRPr="00A55B49" w:rsidP="001D7760" w14:paraId="21B0D247" w14:textId="77777777">
      <w:pPr>
        <w:spacing w:after="0"/>
        <w:rPr>
          <w:rFonts w:ascii="Times New Roman" w:hAnsi="Times New Roman" w:cs="Times New Roman"/>
          <w:sz w:val="24"/>
          <w:szCs w:val="24"/>
        </w:rPr>
      </w:pPr>
      <w:r w:rsidRPr="00A55B49">
        <w:rPr>
          <w:rFonts w:ascii="Times New Roman" w:hAnsi="Times New Roman" w:cs="Times New Roman"/>
          <w:b/>
          <w:bCs/>
          <w:sz w:val="24"/>
          <w:szCs w:val="24"/>
        </w:rPr>
        <w:t>6.</w:t>
      </w:r>
      <w:r w:rsidRPr="00A55B49">
        <w:rPr>
          <w:rFonts w:ascii="Times New Roman" w:hAnsi="Times New Roman" w:cs="Times New Roman"/>
          <w:sz w:val="24"/>
          <w:szCs w:val="24"/>
        </w:rPr>
        <w:t xml:space="preserve"> </w:t>
      </w:r>
      <w:r w:rsidRPr="00A55B49">
        <w:rPr>
          <w:rFonts w:ascii="Times New Roman" w:hAnsi="Times New Roman" w:cs="Times New Roman"/>
          <w:b/>
          <w:sz w:val="24"/>
          <w:szCs w:val="24"/>
        </w:rPr>
        <w:t>Consequences of Collecting the Information Less Frequently</w:t>
      </w:r>
    </w:p>
    <w:p w:rsidR="00A84D44" w:rsidRPr="00A55B49" w:rsidP="001D7760" w14:paraId="68C62A87" w14:textId="1D6EF9FE">
      <w:pPr>
        <w:spacing w:after="0"/>
        <w:rPr>
          <w:rFonts w:ascii="Times New Roman" w:hAnsi="Times New Roman" w:cs="Times New Roman"/>
          <w:sz w:val="24"/>
          <w:szCs w:val="24"/>
        </w:rPr>
      </w:pPr>
      <w:r w:rsidRPr="00A55B49">
        <w:rPr>
          <w:rFonts w:ascii="Times New Roman" w:hAnsi="Times New Roman" w:cs="Times New Roman"/>
          <w:sz w:val="24"/>
          <w:szCs w:val="24"/>
        </w:rPr>
        <w:t xml:space="preserve">The proposed data collection </w:t>
      </w:r>
      <w:r w:rsidRPr="00A55B49" w:rsidR="00021AE2">
        <w:rPr>
          <w:rFonts w:ascii="Times New Roman" w:hAnsi="Times New Roman" w:cs="Times New Roman"/>
          <w:sz w:val="24"/>
          <w:szCs w:val="24"/>
        </w:rPr>
        <w:t xml:space="preserve">protocol </w:t>
      </w:r>
      <w:r w:rsidRPr="00A55B49" w:rsidR="00F66371">
        <w:rPr>
          <w:rFonts w:ascii="Times New Roman" w:hAnsi="Times New Roman" w:cs="Times New Roman"/>
          <w:sz w:val="24"/>
          <w:szCs w:val="24"/>
        </w:rPr>
        <w:t>provides an opportunity for workers to voice their opinions w</w:t>
      </w:r>
      <w:r w:rsidRPr="00A55B49" w:rsidR="00DD480A">
        <w:rPr>
          <w:rFonts w:ascii="Times New Roman" w:hAnsi="Times New Roman" w:cs="Times New Roman"/>
          <w:sz w:val="24"/>
          <w:szCs w:val="24"/>
        </w:rPr>
        <w:t>hile</w:t>
      </w:r>
      <w:r w:rsidRPr="00A55B49" w:rsidR="00F66371">
        <w:rPr>
          <w:rFonts w:ascii="Times New Roman" w:hAnsi="Times New Roman" w:cs="Times New Roman"/>
          <w:sz w:val="24"/>
          <w:szCs w:val="24"/>
        </w:rPr>
        <w:t xml:space="preserve"> minimizing respondent burden. </w:t>
      </w:r>
      <w:r w:rsidRPr="00A55B49" w:rsidR="009066EE">
        <w:rPr>
          <w:rFonts w:ascii="Times New Roman" w:hAnsi="Times New Roman" w:cs="Times New Roman"/>
          <w:sz w:val="24"/>
          <w:szCs w:val="24"/>
        </w:rPr>
        <w:t xml:space="preserve">Focus groups are </w:t>
      </w:r>
      <w:r w:rsidRPr="00A55B49" w:rsidR="006F6F84">
        <w:rPr>
          <w:rFonts w:ascii="Times New Roman" w:hAnsi="Times New Roman" w:cs="Times New Roman"/>
          <w:sz w:val="24"/>
          <w:szCs w:val="24"/>
        </w:rPr>
        <w:t>designed</w:t>
      </w:r>
      <w:r w:rsidRPr="00A55B49" w:rsidR="009066EE">
        <w:rPr>
          <w:rFonts w:ascii="Times New Roman" w:hAnsi="Times New Roman" w:cs="Times New Roman"/>
          <w:sz w:val="24"/>
          <w:szCs w:val="24"/>
        </w:rPr>
        <w:t xml:space="preserve"> to </w:t>
      </w:r>
      <w:r w:rsidRPr="00A55B49" w:rsidR="006F6F84">
        <w:rPr>
          <w:rFonts w:ascii="Times New Roman" w:hAnsi="Times New Roman" w:cs="Times New Roman"/>
          <w:sz w:val="24"/>
          <w:szCs w:val="24"/>
        </w:rPr>
        <w:t>last between</w:t>
      </w:r>
      <w:r w:rsidRPr="00A55B49" w:rsidR="009066EE">
        <w:rPr>
          <w:rFonts w:ascii="Times New Roman" w:hAnsi="Times New Roman" w:cs="Times New Roman"/>
          <w:sz w:val="24"/>
          <w:szCs w:val="24"/>
        </w:rPr>
        <w:t xml:space="preserve"> 60-90 minutes in length, followed by a </w:t>
      </w:r>
      <w:r w:rsidRPr="00A55B49" w:rsidR="0033318D">
        <w:rPr>
          <w:rFonts w:ascii="Times New Roman" w:hAnsi="Times New Roman" w:cs="Times New Roman"/>
          <w:sz w:val="24"/>
          <w:szCs w:val="24"/>
        </w:rPr>
        <w:t xml:space="preserve">brief </w:t>
      </w:r>
      <w:r w:rsidRPr="00A55B49" w:rsidR="006F6F84">
        <w:rPr>
          <w:rFonts w:ascii="Times New Roman" w:hAnsi="Times New Roman" w:cs="Times New Roman"/>
          <w:sz w:val="24"/>
          <w:szCs w:val="24"/>
        </w:rPr>
        <w:t xml:space="preserve">demographic </w:t>
      </w:r>
      <w:r w:rsidRPr="00A55B49" w:rsidR="0033318D">
        <w:rPr>
          <w:rFonts w:ascii="Times New Roman" w:hAnsi="Times New Roman" w:cs="Times New Roman"/>
          <w:sz w:val="24"/>
          <w:szCs w:val="24"/>
        </w:rPr>
        <w:t xml:space="preserve">and work history </w:t>
      </w:r>
      <w:r w:rsidRPr="00A55B49" w:rsidR="009066EE">
        <w:rPr>
          <w:rFonts w:ascii="Times New Roman" w:hAnsi="Times New Roman" w:cs="Times New Roman"/>
          <w:sz w:val="24"/>
          <w:szCs w:val="24"/>
        </w:rPr>
        <w:t>survey that will take &lt;</w:t>
      </w:r>
      <w:r w:rsidRPr="00A55B49" w:rsidR="0033318D">
        <w:rPr>
          <w:rFonts w:ascii="Times New Roman" w:hAnsi="Times New Roman" w:cs="Times New Roman"/>
          <w:sz w:val="24"/>
          <w:szCs w:val="24"/>
        </w:rPr>
        <w:t>7</w:t>
      </w:r>
      <w:r w:rsidRPr="00A55B49" w:rsidR="009066EE">
        <w:rPr>
          <w:rFonts w:ascii="Times New Roman" w:hAnsi="Times New Roman" w:cs="Times New Roman"/>
          <w:sz w:val="24"/>
          <w:szCs w:val="24"/>
        </w:rPr>
        <w:t xml:space="preserve"> minutes to complete. </w:t>
      </w:r>
      <w:r w:rsidRPr="00A55B49" w:rsidR="00105308">
        <w:rPr>
          <w:rFonts w:ascii="Times New Roman" w:hAnsi="Times New Roman" w:cs="Times New Roman"/>
          <w:sz w:val="24"/>
          <w:szCs w:val="24"/>
        </w:rPr>
        <w:t xml:space="preserve">We will </w:t>
      </w:r>
      <w:r w:rsidRPr="00A55B49" w:rsidR="003808AA">
        <w:rPr>
          <w:rFonts w:ascii="Times New Roman" w:hAnsi="Times New Roman" w:cs="Times New Roman"/>
          <w:sz w:val="24"/>
          <w:szCs w:val="24"/>
        </w:rPr>
        <w:t xml:space="preserve">conduct </w:t>
      </w:r>
      <w:r w:rsidRPr="00A55B49" w:rsidR="00105308">
        <w:rPr>
          <w:rFonts w:ascii="Times New Roman" w:hAnsi="Times New Roman" w:cs="Times New Roman"/>
          <w:sz w:val="24"/>
          <w:szCs w:val="24"/>
        </w:rPr>
        <w:t xml:space="preserve">no more </w:t>
      </w:r>
      <w:r w:rsidRPr="00A55B49" w:rsidR="001B6B6E">
        <w:rPr>
          <w:rFonts w:ascii="Times New Roman" w:hAnsi="Times New Roman" w:cs="Times New Roman"/>
          <w:sz w:val="24"/>
          <w:szCs w:val="24"/>
        </w:rPr>
        <w:t xml:space="preserve">than the permitted number of </w:t>
      </w:r>
      <w:r w:rsidRPr="00A55B49" w:rsidR="00105308">
        <w:rPr>
          <w:rFonts w:ascii="Times New Roman" w:hAnsi="Times New Roman" w:cs="Times New Roman"/>
          <w:sz w:val="24"/>
          <w:szCs w:val="24"/>
        </w:rPr>
        <w:t>focus group</w:t>
      </w:r>
      <w:r w:rsidRPr="00A55B49" w:rsidR="003808AA">
        <w:rPr>
          <w:rFonts w:ascii="Times New Roman" w:hAnsi="Times New Roman" w:cs="Times New Roman"/>
          <w:sz w:val="24"/>
          <w:szCs w:val="24"/>
        </w:rPr>
        <w:t xml:space="preserve"> interviews</w:t>
      </w:r>
      <w:r w:rsidRPr="00A55B49" w:rsidR="00604CBB">
        <w:rPr>
          <w:rFonts w:ascii="Times New Roman" w:hAnsi="Times New Roman" w:cs="Times New Roman"/>
          <w:sz w:val="24"/>
          <w:szCs w:val="24"/>
        </w:rPr>
        <w:t xml:space="preserve"> to reasonably reach saturation</w:t>
      </w:r>
      <w:r w:rsidRPr="00A55B49" w:rsidR="001B6B6E">
        <w:rPr>
          <w:rFonts w:ascii="Times New Roman" w:hAnsi="Times New Roman" w:cs="Times New Roman"/>
          <w:sz w:val="24"/>
          <w:szCs w:val="24"/>
        </w:rPr>
        <w:t>,</w:t>
      </w:r>
      <w:r w:rsidRPr="00A55B49" w:rsidR="00105308">
        <w:rPr>
          <w:rFonts w:ascii="Times New Roman" w:hAnsi="Times New Roman" w:cs="Times New Roman"/>
          <w:sz w:val="24"/>
          <w:szCs w:val="24"/>
        </w:rPr>
        <w:t xml:space="preserve"> </w:t>
      </w:r>
      <w:r w:rsidRPr="00A55B49" w:rsidR="001B6B6E">
        <w:rPr>
          <w:rFonts w:ascii="Times New Roman" w:hAnsi="Times New Roman" w:cs="Times New Roman"/>
          <w:sz w:val="24"/>
          <w:szCs w:val="24"/>
        </w:rPr>
        <w:t>as stipulated</w:t>
      </w:r>
      <w:r w:rsidRPr="00A55B49" w:rsidR="005158DA">
        <w:rPr>
          <w:rFonts w:ascii="Times New Roman" w:hAnsi="Times New Roman" w:cs="Times New Roman"/>
          <w:sz w:val="24"/>
          <w:szCs w:val="24"/>
        </w:rPr>
        <w:t xml:space="preserve"> in our exempt IRB protocol</w:t>
      </w:r>
      <w:r w:rsidRPr="00A55B49" w:rsidR="005010CA">
        <w:rPr>
          <w:rFonts w:ascii="Times New Roman" w:hAnsi="Times New Roman" w:cs="Times New Roman"/>
          <w:sz w:val="24"/>
          <w:szCs w:val="24"/>
        </w:rPr>
        <w:t xml:space="preserve">. </w:t>
      </w:r>
      <w:r w:rsidRPr="00A55B49" w:rsidR="009359EB">
        <w:rPr>
          <w:rFonts w:ascii="Times New Roman" w:hAnsi="Times New Roman" w:cs="Times New Roman"/>
          <w:sz w:val="24"/>
          <w:szCs w:val="24"/>
        </w:rPr>
        <w:t xml:space="preserve">Collecting less </w:t>
      </w:r>
      <w:r w:rsidRPr="00A55B49" w:rsidR="00604CBB">
        <w:rPr>
          <w:rFonts w:ascii="Times New Roman" w:hAnsi="Times New Roman" w:cs="Times New Roman"/>
          <w:sz w:val="24"/>
          <w:szCs w:val="24"/>
        </w:rPr>
        <w:t xml:space="preserve">data </w:t>
      </w:r>
      <w:r w:rsidRPr="00A55B49" w:rsidR="008157C7">
        <w:rPr>
          <w:rFonts w:ascii="Times New Roman" w:hAnsi="Times New Roman" w:cs="Times New Roman"/>
          <w:sz w:val="24"/>
          <w:szCs w:val="24"/>
        </w:rPr>
        <w:t xml:space="preserve">may result in a narrower range of job tasks performed by women mine workers being discussed, potentially leading to study outcomes and subsequent </w:t>
      </w:r>
      <w:r w:rsidRPr="00A55B49" w:rsidR="00354D02">
        <w:rPr>
          <w:rFonts w:ascii="Times New Roman" w:hAnsi="Times New Roman" w:cs="Times New Roman"/>
          <w:sz w:val="24"/>
          <w:szCs w:val="24"/>
        </w:rPr>
        <w:t xml:space="preserve">resources and </w:t>
      </w:r>
      <w:r w:rsidRPr="00A55B49" w:rsidR="008157C7">
        <w:rPr>
          <w:rFonts w:ascii="Times New Roman" w:hAnsi="Times New Roman" w:cs="Times New Roman"/>
          <w:sz w:val="24"/>
          <w:szCs w:val="24"/>
        </w:rPr>
        <w:t xml:space="preserve">interventions that are not as widely applicable across the entire mining community. </w:t>
      </w:r>
      <w:r w:rsidRPr="00A55B49" w:rsidR="003559E2">
        <w:rPr>
          <w:rFonts w:ascii="Times New Roman" w:hAnsi="Times New Roman" w:cs="Times New Roman"/>
          <w:sz w:val="24"/>
          <w:szCs w:val="24"/>
        </w:rPr>
        <w:t>Furthermore, fewer focus group interviews will be held with mine managers</w:t>
      </w:r>
      <w:r w:rsidRPr="00A55B49" w:rsidR="00735110">
        <w:rPr>
          <w:rFonts w:ascii="Times New Roman" w:hAnsi="Times New Roman" w:cs="Times New Roman"/>
          <w:sz w:val="24"/>
          <w:szCs w:val="24"/>
        </w:rPr>
        <w:t xml:space="preserve"> and H&amp;S professionals</w:t>
      </w:r>
      <w:r w:rsidRPr="00A55B49" w:rsidR="003559E2">
        <w:rPr>
          <w:rFonts w:ascii="Times New Roman" w:hAnsi="Times New Roman" w:cs="Times New Roman"/>
          <w:sz w:val="24"/>
          <w:szCs w:val="24"/>
        </w:rPr>
        <w:t>, given the anticipated homogeneity in their job roles.</w:t>
      </w:r>
    </w:p>
    <w:p w:rsidR="00CC22D9" w:rsidRPr="00A55B49" w:rsidP="001D7760" w14:paraId="5B39C393" w14:textId="78735A1F">
      <w:pPr>
        <w:spacing w:after="0"/>
        <w:rPr>
          <w:rFonts w:ascii="Times New Roman" w:hAnsi="Times New Roman" w:cs="Times New Roman"/>
          <w:sz w:val="24"/>
          <w:szCs w:val="24"/>
        </w:rPr>
      </w:pPr>
    </w:p>
    <w:p w:rsidR="00BB6E38" w:rsidRPr="00A55B49" w:rsidP="001D7760" w14:paraId="71827691" w14:textId="77777777">
      <w:pPr>
        <w:spacing w:after="0"/>
        <w:rPr>
          <w:rFonts w:ascii="Times New Roman" w:hAnsi="Times New Roman" w:cs="Times New Roman"/>
          <w:b/>
          <w:sz w:val="24"/>
          <w:szCs w:val="24"/>
        </w:rPr>
      </w:pPr>
      <w:r w:rsidRPr="00A55B49">
        <w:rPr>
          <w:rFonts w:ascii="Times New Roman" w:hAnsi="Times New Roman" w:cs="Times New Roman"/>
          <w:b/>
          <w:bCs/>
          <w:sz w:val="24"/>
          <w:szCs w:val="24"/>
        </w:rPr>
        <w:t>7.</w:t>
      </w:r>
      <w:r w:rsidRPr="00A55B49">
        <w:rPr>
          <w:rFonts w:ascii="Times New Roman" w:hAnsi="Times New Roman" w:cs="Times New Roman"/>
          <w:sz w:val="24"/>
          <w:szCs w:val="24"/>
        </w:rPr>
        <w:t xml:space="preserve"> </w:t>
      </w:r>
      <w:r w:rsidRPr="00A55B49">
        <w:rPr>
          <w:rFonts w:ascii="Times New Roman" w:hAnsi="Times New Roman" w:cs="Times New Roman"/>
          <w:b/>
          <w:sz w:val="24"/>
          <w:szCs w:val="24"/>
        </w:rPr>
        <w:t>Special Circumstances Relating to the Guidelines of 5 CFR 1320.5</w:t>
      </w:r>
    </w:p>
    <w:p w:rsidR="00173939" w:rsidRPr="00173939" w:rsidP="00173939" w14:paraId="7D8A0A9D" w14:textId="77777777">
      <w:pPr>
        <w:spacing w:after="0"/>
        <w:rPr>
          <w:rFonts w:ascii="Times New Roman" w:hAnsi="Times New Roman" w:cs="Times New Roman"/>
          <w:sz w:val="24"/>
          <w:szCs w:val="24"/>
        </w:rPr>
      </w:pPr>
      <w:bookmarkStart w:id="1" w:name="_Hlk181246809"/>
      <w:r w:rsidRPr="00173939">
        <w:rPr>
          <w:rFonts w:ascii="Times New Roman" w:hAnsi="Times New Roman" w:cs="Times New Roman"/>
          <w:sz w:val="24"/>
          <w:szCs w:val="24"/>
        </w:rPr>
        <w:t xml:space="preserve">We’ve modified the race/ethnicity question in our survey to follow the format in Figure 3 of the SPD-15 guidance. Our rationale for selecting Figure 3 over Figure 1 is to maintain a concise and direct survey design, thereby reducing participant burden by minimizing response time and </w:t>
      </w:r>
      <w:r w:rsidRPr="00173939">
        <w:rPr>
          <w:rFonts w:ascii="Times New Roman" w:hAnsi="Times New Roman" w:cs="Times New Roman"/>
          <w:sz w:val="24"/>
          <w:szCs w:val="24"/>
        </w:rPr>
        <w:t>cognitive load. This approach also ensures alignment with the standards set forth in the OMB’s revised Directive No. 15.</w:t>
      </w:r>
      <w:bookmarkEnd w:id="1"/>
    </w:p>
    <w:p w:rsidR="00BB6E38" w:rsidRPr="00A55B49" w:rsidP="0026603E" w14:paraId="350B7D4E" w14:textId="69C45A48">
      <w:pPr>
        <w:spacing w:after="0"/>
        <w:rPr>
          <w:rFonts w:ascii="Times New Roman" w:hAnsi="Times New Roman" w:cs="Times New Roman"/>
          <w:sz w:val="24"/>
          <w:szCs w:val="24"/>
        </w:rPr>
      </w:pPr>
      <w:r w:rsidRPr="00A55B49">
        <w:rPr>
          <w:rFonts w:ascii="Times New Roman" w:hAnsi="Times New Roman" w:cs="Times New Roman"/>
          <w:sz w:val="24"/>
          <w:szCs w:val="24"/>
        </w:rPr>
        <w:t xml:space="preserve">There are no </w:t>
      </w:r>
      <w:r w:rsidR="00173939">
        <w:rPr>
          <w:rFonts w:ascii="Times New Roman" w:hAnsi="Times New Roman" w:cs="Times New Roman"/>
          <w:sz w:val="24"/>
          <w:szCs w:val="24"/>
        </w:rPr>
        <w:t xml:space="preserve">other </w:t>
      </w:r>
      <w:r w:rsidRPr="00A55B49">
        <w:rPr>
          <w:rFonts w:ascii="Times New Roman" w:hAnsi="Times New Roman" w:cs="Times New Roman"/>
          <w:sz w:val="24"/>
          <w:szCs w:val="24"/>
        </w:rPr>
        <w:t>special circumstances with this information collection package. This request fully complies with the regulation 5 CFR 1320.5.</w:t>
      </w:r>
    </w:p>
    <w:p w:rsidR="0072481B" w:rsidRPr="00A55B49" w:rsidP="005E629D" w14:paraId="3BDC70E6" w14:textId="77777777">
      <w:pPr>
        <w:spacing w:after="0"/>
        <w:rPr>
          <w:rFonts w:ascii="Times New Roman" w:hAnsi="Times New Roman" w:cs="Times New Roman"/>
          <w:sz w:val="24"/>
          <w:szCs w:val="24"/>
        </w:rPr>
      </w:pPr>
    </w:p>
    <w:p w:rsidR="0072481B" w:rsidRPr="00A55B49" w:rsidP="005E629D" w14:paraId="3AC78A17" w14:textId="77777777">
      <w:pPr>
        <w:spacing w:after="0"/>
        <w:rPr>
          <w:rFonts w:ascii="Times New Roman" w:hAnsi="Times New Roman" w:cs="Times New Roman"/>
          <w:sz w:val="24"/>
          <w:szCs w:val="24"/>
        </w:rPr>
      </w:pPr>
      <w:r w:rsidRPr="00A55B49">
        <w:rPr>
          <w:rFonts w:ascii="Times New Roman" w:hAnsi="Times New Roman" w:cs="Times New Roman"/>
          <w:b/>
          <w:bCs/>
          <w:sz w:val="24"/>
          <w:szCs w:val="24"/>
        </w:rPr>
        <w:t>8.</w:t>
      </w:r>
      <w:r w:rsidRPr="00A55B49">
        <w:rPr>
          <w:rFonts w:ascii="Times New Roman" w:hAnsi="Times New Roman" w:cs="Times New Roman"/>
          <w:sz w:val="24"/>
          <w:szCs w:val="24"/>
        </w:rPr>
        <w:t xml:space="preserve"> </w:t>
      </w:r>
      <w:r w:rsidRPr="00A55B49">
        <w:rPr>
          <w:rFonts w:ascii="Times New Roman" w:hAnsi="Times New Roman" w:cs="Times New Roman"/>
          <w:b/>
          <w:sz w:val="24"/>
          <w:szCs w:val="24"/>
        </w:rPr>
        <w:t>Comments in Response to the Federal Register Notice and Efforts to Consult Outside the Agency</w:t>
      </w:r>
    </w:p>
    <w:p w:rsidR="00BB6E38" w:rsidRPr="00A55B49" w:rsidP="005E629D" w14:paraId="719EBB40" w14:textId="059CCB8B">
      <w:pPr>
        <w:spacing w:after="0"/>
        <w:rPr>
          <w:rFonts w:ascii="Times New Roman" w:hAnsi="Times New Roman" w:cs="Times New Roman"/>
          <w:iCs/>
          <w:sz w:val="24"/>
          <w:szCs w:val="24"/>
        </w:rPr>
      </w:pPr>
      <w:r w:rsidRPr="00A55B49">
        <w:rPr>
          <w:rFonts w:ascii="Times New Roman" w:hAnsi="Times New Roman" w:cs="Times New Roman"/>
          <w:iCs/>
          <w:sz w:val="24"/>
          <w:szCs w:val="24"/>
        </w:rPr>
        <w:t>N/A</w:t>
      </w:r>
    </w:p>
    <w:p w:rsidR="00EA396B" w:rsidRPr="00A55B49" w:rsidP="003D7C16" w14:paraId="70745582" w14:textId="77777777">
      <w:pPr>
        <w:pStyle w:val="ListParagraph"/>
        <w:spacing w:after="0" w:line="240" w:lineRule="auto"/>
        <w:ind w:left="0"/>
        <w:rPr>
          <w:rFonts w:ascii="Times New Roman" w:hAnsi="Times New Roman" w:cs="Times New Roman"/>
          <w:b/>
          <w:bCs/>
          <w:iCs/>
          <w:sz w:val="24"/>
          <w:szCs w:val="24"/>
        </w:rPr>
      </w:pPr>
    </w:p>
    <w:p w:rsidR="00FF47E0" w:rsidRPr="00A55B49" w:rsidP="003D7C16" w14:paraId="2DA6D5CB" w14:textId="6FECF4B2">
      <w:pPr>
        <w:pStyle w:val="ListParagraph"/>
        <w:spacing w:after="0" w:line="240" w:lineRule="auto"/>
        <w:ind w:left="0"/>
        <w:rPr>
          <w:rFonts w:ascii="Times New Roman" w:hAnsi="Times New Roman" w:cs="Times New Roman"/>
          <w:b/>
          <w:sz w:val="24"/>
          <w:szCs w:val="24"/>
        </w:rPr>
      </w:pPr>
      <w:r w:rsidRPr="00A55B49">
        <w:rPr>
          <w:rFonts w:ascii="Times New Roman" w:hAnsi="Times New Roman" w:cs="Times New Roman"/>
          <w:b/>
          <w:bCs/>
          <w:iCs/>
          <w:sz w:val="24"/>
          <w:szCs w:val="24"/>
        </w:rPr>
        <w:t>9.</w:t>
      </w:r>
      <w:r w:rsidRPr="00A55B49">
        <w:rPr>
          <w:rFonts w:ascii="Times New Roman" w:hAnsi="Times New Roman" w:cs="Times New Roman"/>
          <w:iCs/>
          <w:sz w:val="24"/>
          <w:szCs w:val="24"/>
        </w:rPr>
        <w:t xml:space="preserve"> </w:t>
      </w:r>
      <w:r w:rsidRPr="00A55B49">
        <w:rPr>
          <w:rFonts w:ascii="Times New Roman" w:hAnsi="Times New Roman" w:cs="Times New Roman"/>
          <w:b/>
          <w:sz w:val="24"/>
          <w:szCs w:val="24"/>
        </w:rPr>
        <w:t>Explanation of Any Payment or Gift to Respondents</w:t>
      </w:r>
    </w:p>
    <w:p w:rsidR="00C25DE4" w:rsidRPr="00A55B49" w:rsidP="003D7C16" w14:paraId="247E3ADE" w14:textId="77777777">
      <w:pPr>
        <w:pStyle w:val="ListParagraph"/>
        <w:spacing w:after="0" w:line="240" w:lineRule="auto"/>
        <w:ind w:left="0"/>
        <w:rPr>
          <w:rFonts w:ascii="Times New Roman" w:hAnsi="Times New Roman" w:cs="Times New Roman"/>
          <w:iCs/>
          <w:sz w:val="24"/>
          <w:szCs w:val="24"/>
        </w:rPr>
      </w:pPr>
    </w:p>
    <w:p w:rsidR="00077817" w:rsidRPr="00A55B49" w:rsidP="00227EFC" w14:paraId="0B0A26BD" w14:textId="05C515F3">
      <w:pPr>
        <w:spacing w:after="0"/>
        <w:rPr>
          <w:rFonts w:ascii="Times New Roman" w:hAnsi="Times New Roman" w:cs="Times New Roman"/>
          <w:sz w:val="24"/>
          <w:szCs w:val="24"/>
        </w:rPr>
      </w:pPr>
      <w:r w:rsidRPr="00A55B49">
        <w:rPr>
          <w:rFonts w:ascii="Times New Roman" w:hAnsi="Times New Roman" w:cs="Times New Roman"/>
          <w:sz w:val="24"/>
          <w:szCs w:val="24"/>
        </w:rPr>
        <w:t>Participants will not be provided with payments or gifts.</w:t>
      </w:r>
    </w:p>
    <w:p w:rsidR="00EA396B" w:rsidRPr="00A55B49" w:rsidP="00DA53C1" w14:paraId="3246F1C7" w14:textId="77777777">
      <w:pPr>
        <w:spacing w:after="0"/>
        <w:rPr>
          <w:rFonts w:ascii="Times New Roman" w:hAnsi="Times New Roman" w:cs="Times New Roman"/>
          <w:b/>
          <w:bCs/>
          <w:sz w:val="24"/>
          <w:szCs w:val="24"/>
        </w:rPr>
      </w:pPr>
    </w:p>
    <w:p w:rsidR="00077817" w:rsidRPr="00A55B49" w:rsidP="00DA53C1" w14:paraId="69C9872B" w14:textId="4C03364C">
      <w:pPr>
        <w:spacing w:after="0"/>
        <w:rPr>
          <w:rFonts w:ascii="Times New Roman" w:hAnsi="Times New Roman" w:cs="Times New Roman"/>
          <w:sz w:val="24"/>
          <w:szCs w:val="24"/>
        </w:rPr>
      </w:pPr>
      <w:r w:rsidRPr="00A55B49">
        <w:rPr>
          <w:rFonts w:ascii="Times New Roman" w:hAnsi="Times New Roman" w:cs="Times New Roman"/>
          <w:b/>
          <w:bCs/>
          <w:sz w:val="24"/>
          <w:szCs w:val="24"/>
        </w:rPr>
        <w:t xml:space="preserve">10. </w:t>
      </w:r>
      <w:r w:rsidRPr="00A55B49">
        <w:rPr>
          <w:rFonts w:ascii="Times New Roman" w:hAnsi="Times New Roman" w:cs="Times New Roman"/>
          <w:b/>
          <w:sz w:val="24"/>
          <w:szCs w:val="24"/>
        </w:rPr>
        <w:t>Protection of the Privacy and Confidentiality of Information Provided by Respondents</w:t>
      </w:r>
    </w:p>
    <w:p w:rsidR="00BF0F79" w:rsidRPr="00A55B49" w:rsidP="003D7C16" w14:paraId="1F83E43B" w14:textId="77777777">
      <w:pPr>
        <w:spacing w:after="0"/>
        <w:rPr>
          <w:rFonts w:ascii="Times New Roman" w:hAnsi="Times New Roman" w:cs="Times New Roman"/>
          <w:sz w:val="24"/>
          <w:szCs w:val="24"/>
        </w:rPr>
      </w:pPr>
    </w:p>
    <w:p w:rsidR="00D23DB0" w:rsidRPr="00A55B49" w:rsidP="003D7C16" w14:paraId="5F3D31E2" w14:textId="0BCA5A83">
      <w:pPr>
        <w:spacing w:after="0"/>
        <w:rPr>
          <w:rFonts w:ascii="Times New Roman" w:hAnsi="Times New Roman" w:cs="Times New Roman"/>
          <w:sz w:val="24"/>
          <w:szCs w:val="24"/>
        </w:rPr>
      </w:pPr>
      <w:r w:rsidRPr="00976D8B">
        <w:rPr>
          <w:rFonts w:ascii="Times New Roman" w:hAnsi="Times New Roman" w:cs="Times New Roman"/>
          <w:sz w:val="24"/>
          <w:szCs w:val="24"/>
        </w:rPr>
        <w:t xml:space="preserve">SSPO determined in conjunction with the CDC Privacy Office that </w:t>
      </w:r>
      <w:r w:rsidR="008B4842">
        <w:rPr>
          <w:rFonts w:ascii="Times New Roman" w:hAnsi="Times New Roman" w:cs="Times New Roman"/>
          <w:sz w:val="24"/>
          <w:szCs w:val="24"/>
        </w:rPr>
        <w:t xml:space="preserve">the </w:t>
      </w:r>
      <w:r w:rsidRPr="00976D8B">
        <w:rPr>
          <w:rFonts w:ascii="Times New Roman" w:hAnsi="Times New Roman" w:cs="Times New Roman"/>
          <w:sz w:val="24"/>
          <w:szCs w:val="24"/>
        </w:rPr>
        <w:t xml:space="preserve">Privacy Act is </w:t>
      </w:r>
      <w:r w:rsidRPr="000424B7">
        <w:rPr>
          <w:rFonts w:ascii="Times New Roman" w:hAnsi="Times New Roman" w:cs="Times New Roman"/>
          <w:b/>
          <w:bCs/>
          <w:sz w:val="24"/>
          <w:szCs w:val="24"/>
        </w:rPr>
        <w:t>not</w:t>
      </w:r>
      <w:r w:rsidRPr="00976D8B">
        <w:rPr>
          <w:rFonts w:ascii="Times New Roman" w:hAnsi="Times New Roman" w:cs="Times New Roman"/>
          <w:sz w:val="24"/>
          <w:szCs w:val="24"/>
        </w:rPr>
        <w:t xml:space="preserve"> applicable. </w:t>
      </w:r>
      <w:r w:rsidRPr="00A55B49" w:rsidR="00BA0B01">
        <w:rPr>
          <w:rFonts w:ascii="Times New Roman" w:hAnsi="Times New Roman" w:cs="Times New Roman"/>
          <w:sz w:val="24"/>
          <w:szCs w:val="24"/>
        </w:rPr>
        <w:t xml:space="preserve">This data collection was determined to </w:t>
      </w:r>
      <w:r w:rsidRPr="00A55B49" w:rsidR="00DF6A0A">
        <w:rPr>
          <w:rFonts w:ascii="Times New Roman" w:hAnsi="Times New Roman" w:cs="Times New Roman"/>
          <w:sz w:val="24"/>
          <w:szCs w:val="24"/>
        </w:rPr>
        <w:t xml:space="preserve">be research involving human subjects </w:t>
      </w:r>
      <w:r w:rsidRPr="00A55B49" w:rsidR="00586B6F">
        <w:rPr>
          <w:rFonts w:ascii="Times New Roman" w:hAnsi="Times New Roman" w:cs="Times New Roman"/>
          <w:sz w:val="24"/>
          <w:szCs w:val="24"/>
        </w:rPr>
        <w:t xml:space="preserve">that is exempt from human </w:t>
      </w:r>
      <w:r w:rsidRPr="00A55B49" w:rsidR="00586B6F">
        <w:rPr>
          <w:rFonts w:ascii="Times New Roman" w:hAnsi="Times New Roman" w:cs="Times New Roman"/>
          <w:sz w:val="24"/>
          <w:szCs w:val="24"/>
        </w:rPr>
        <w:t>subjects</w:t>
      </w:r>
      <w:r w:rsidRPr="00A55B49" w:rsidR="00586B6F">
        <w:rPr>
          <w:rFonts w:ascii="Times New Roman" w:hAnsi="Times New Roman" w:cs="Times New Roman"/>
          <w:sz w:val="24"/>
          <w:szCs w:val="24"/>
        </w:rPr>
        <w:t xml:space="preserve"> regulations </w:t>
      </w:r>
      <w:r w:rsidRPr="00A55B49" w:rsidR="00DF6A0A">
        <w:rPr>
          <w:rFonts w:ascii="Times New Roman" w:hAnsi="Times New Roman" w:cs="Times New Roman"/>
          <w:sz w:val="24"/>
          <w:szCs w:val="24"/>
        </w:rPr>
        <w:t xml:space="preserve">by the </w:t>
      </w:r>
      <w:r w:rsidRPr="00A55B49" w:rsidR="00B21C69">
        <w:rPr>
          <w:rFonts w:ascii="Times New Roman" w:hAnsi="Times New Roman" w:cs="Times New Roman"/>
          <w:sz w:val="24"/>
          <w:szCs w:val="24"/>
        </w:rPr>
        <w:t xml:space="preserve">CDC Human </w:t>
      </w:r>
      <w:r w:rsidRPr="00A55B49" w:rsidR="00B03203">
        <w:rPr>
          <w:rFonts w:ascii="Times New Roman" w:hAnsi="Times New Roman" w:cs="Times New Roman"/>
          <w:sz w:val="24"/>
          <w:szCs w:val="24"/>
        </w:rPr>
        <w:t>Research</w:t>
      </w:r>
      <w:r w:rsidRPr="00A55B49" w:rsidR="00B21C69">
        <w:rPr>
          <w:rFonts w:ascii="Times New Roman" w:hAnsi="Times New Roman" w:cs="Times New Roman"/>
          <w:sz w:val="24"/>
          <w:szCs w:val="24"/>
        </w:rPr>
        <w:t xml:space="preserve"> Protection Office</w:t>
      </w:r>
      <w:r w:rsidRPr="00A55B49" w:rsidR="00DF6A0A">
        <w:rPr>
          <w:rFonts w:ascii="Times New Roman" w:hAnsi="Times New Roman" w:cs="Times New Roman"/>
          <w:sz w:val="24"/>
          <w:szCs w:val="24"/>
        </w:rPr>
        <w:t>.</w:t>
      </w:r>
    </w:p>
    <w:p w:rsidR="00842C71" w:rsidRPr="00A55B49" w:rsidP="00DA53C1" w14:paraId="22B0F138" w14:textId="77777777">
      <w:pPr>
        <w:spacing w:after="0"/>
        <w:rPr>
          <w:rFonts w:ascii="Times New Roman" w:hAnsi="Times New Roman" w:cs="Times New Roman"/>
          <w:sz w:val="24"/>
          <w:szCs w:val="24"/>
        </w:rPr>
      </w:pPr>
    </w:p>
    <w:p w:rsidR="002353A8" w:rsidRPr="00A55B49" w:rsidP="002353A8" w14:paraId="660586DD" w14:textId="07596E81">
      <w:pPr>
        <w:spacing w:after="0"/>
        <w:rPr>
          <w:rFonts w:ascii="Times New Roman" w:hAnsi="Times New Roman" w:cs="Times New Roman"/>
          <w:color w:val="000000"/>
          <w:sz w:val="24"/>
          <w:szCs w:val="24"/>
        </w:rPr>
      </w:pPr>
      <w:r w:rsidRPr="00A55B49">
        <w:rPr>
          <w:rFonts w:ascii="Times New Roman" w:hAnsi="Times New Roman" w:cs="Times New Roman"/>
          <w:color w:val="000000"/>
          <w:sz w:val="24"/>
          <w:szCs w:val="24"/>
        </w:rPr>
        <w:t xml:space="preserve">During data collection, the </w:t>
      </w:r>
      <w:r w:rsidRPr="00A55B49">
        <w:rPr>
          <w:rFonts w:ascii="Times New Roman" w:hAnsi="Times New Roman" w:cs="Times New Roman"/>
          <w:color w:val="000000"/>
          <w:sz w:val="24"/>
          <w:szCs w:val="24"/>
        </w:rPr>
        <w:t xml:space="preserve">current study will collect </w:t>
      </w:r>
      <w:r w:rsidRPr="00A55B49" w:rsidR="00716FE7">
        <w:rPr>
          <w:rFonts w:ascii="Times New Roman" w:hAnsi="Times New Roman" w:cs="Times New Roman"/>
          <w:color w:val="000000"/>
          <w:sz w:val="24"/>
          <w:szCs w:val="24"/>
        </w:rPr>
        <w:t xml:space="preserve">some </w:t>
      </w:r>
      <w:r w:rsidRPr="00A55B49" w:rsidR="00786C0D">
        <w:rPr>
          <w:rFonts w:ascii="Times New Roman" w:hAnsi="Times New Roman" w:cs="Times New Roman"/>
          <w:color w:val="000000"/>
          <w:sz w:val="24"/>
          <w:szCs w:val="24"/>
        </w:rPr>
        <w:t>in</w:t>
      </w:r>
      <w:r w:rsidRPr="00A55B49">
        <w:rPr>
          <w:rFonts w:ascii="Times New Roman" w:hAnsi="Times New Roman" w:cs="Times New Roman"/>
          <w:color w:val="000000"/>
          <w:sz w:val="24"/>
          <w:szCs w:val="24"/>
        </w:rPr>
        <w:t>directly identif</w:t>
      </w:r>
      <w:r w:rsidRPr="00A55B49" w:rsidR="008014CF">
        <w:rPr>
          <w:rFonts w:ascii="Times New Roman" w:hAnsi="Times New Roman" w:cs="Times New Roman"/>
          <w:color w:val="000000"/>
          <w:sz w:val="24"/>
          <w:szCs w:val="24"/>
        </w:rPr>
        <w:t>ying information</w:t>
      </w:r>
      <w:r w:rsidRPr="00A55B49" w:rsidR="009B77FE">
        <w:rPr>
          <w:rFonts w:ascii="Times New Roman" w:hAnsi="Times New Roman" w:cs="Times New Roman"/>
          <w:color w:val="000000"/>
          <w:sz w:val="24"/>
          <w:szCs w:val="24"/>
        </w:rPr>
        <w:t xml:space="preserve"> (e.g., race/ethnicity</w:t>
      </w:r>
      <w:r w:rsidRPr="00A55B49" w:rsidR="00001EED">
        <w:rPr>
          <w:rFonts w:ascii="Times New Roman" w:hAnsi="Times New Roman" w:cs="Times New Roman"/>
          <w:color w:val="000000"/>
          <w:sz w:val="24"/>
          <w:szCs w:val="24"/>
        </w:rPr>
        <w:t>, age</w:t>
      </w:r>
      <w:r w:rsidRPr="00A55B49" w:rsidR="00D643D8">
        <w:rPr>
          <w:rFonts w:ascii="Times New Roman" w:hAnsi="Times New Roman" w:cs="Times New Roman"/>
          <w:color w:val="000000"/>
          <w:sz w:val="24"/>
          <w:szCs w:val="24"/>
        </w:rPr>
        <w:t>, geographic region</w:t>
      </w:r>
      <w:r w:rsidRPr="00A55B49" w:rsidR="009B77FE">
        <w:rPr>
          <w:rFonts w:ascii="Times New Roman" w:hAnsi="Times New Roman" w:cs="Times New Roman"/>
          <w:color w:val="000000"/>
          <w:sz w:val="24"/>
          <w:szCs w:val="24"/>
        </w:rPr>
        <w:t>)</w:t>
      </w:r>
      <w:r w:rsidRPr="00A55B49" w:rsidR="00786C0D">
        <w:rPr>
          <w:rFonts w:ascii="Times New Roman" w:hAnsi="Times New Roman" w:cs="Times New Roman"/>
          <w:color w:val="000000"/>
          <w:sz w:val="24"/>
          <w:szCs w:val="24"/>
        </w:rPr>
        <w:t>,</w:t>
      </w:r>
      <w:r w:rsidRPr="00A55B49">
        <w:rPr>
          <w:rFonts w:ascii="Times New Roman" w:hAnsi="Times New Roman" w:cs="Times New Roman"/>
          <w:color w:val="000000"/>
          <w:sz w:val="24"/>
          <w:szCs w:val="24"/>
        </w:rPr>
        <w:t xml:space="preserve"> </w:t>
      </w:r>
      <w:r w:rsidRPr="00A55B49" w:rsidR="00F01A0E">
        <w:rPr>
          <w:rFonts w:ascii="Times New Roman" w:hAnsi="Times New Roman" w:cs="Times New Roman"/>
          <w:color w:val="000000"/>
          <w:sz w:val="24"/>
          <w:szCs w:val="24"/>
        </w:rPr>
        <w:t>but will</w:t>
      </w:r>
      <w:r w:rsidRPr="00A55B49" w:rsidR="009B77FE">
        <w:rPr>
          <w:rFonts w:ascii="Times New Roman" w:hAnsi="Times New Roman" w:cs="Times New Roman"/>
          <w:color w:val="000000"/>
          <w:sz w:val="24"/>
          <w:szCs w:val="24"/>
        </w:rPr>
        <w:t xml:space="preserve"> no</w:t>
      </w:r>
      <w:r w:rsidRPr="00A55B49" w:rsidR="00F01A0E">
        <w:rPr>
          <w:rFonts w:ascii="Times New Roman" w:hAnsi="Times New Roman" w:cs="Times New Roman"/>
          <w:color w:val="000000"/>
          <w:sz w:val="24"/>
          <w:szCs w:val="24"/>
        </w:rPr>
        <w:t>t capture any</w:t>
      </w:r>
      <w:r w:rsidRPr="00A55B49" w:rsidR="009B77FE">
        <w:rPr>
          <w:rFonts w:ascii="Times New Roman" w:hAnsi="Times New Roman" w:cs="Times New Roman"/>
          <w:color w:val="000000"/>
          <w:sz w:val="24"/>
          <w:szCs w:val="24"/>
        </w:rPr>
        <w:t xml:space="preserve"> direct</w:t>
      </w:r>
      <w:r w:rsidRPr="00A55B49">
        <w:rPr>
          <w:rFonts w:ascii="Times New Roman" w:hAnsi="Times New Roman" w:cs="Times New Roman"/>
          <w:color w:val="000000"/>
          <w:sz w:val="24"/>
          <w:szCs w:val="24"/>
        </w:rPr>
        <w:t xml:space="preserve"> identifiers </w:t>
      </w:r>
      <w:r w:rsidRPr="00A55B49" w:rsidR="009B77FE">
        <w:rPr>
          <w:rFonts w:ascii="Times New Roman" w:hAnsi="Times New Roman" w:cs="Times New Roman"/>
          <w:color w:val="000000"/>
          <w:sz w:val="24"/>
          <w:szCs w:val="24"/>
        </w:rPr>
        <w:t xml:space="preserve">(e.g., </w:t>
      </w:r>
      <w:r w:rsidRPr="00A55B49" w:rsidR="00CA595D">
        <w:rPr>
          <w:rFonts w:ascii="Times New Roman" w:hAnsi="Times New Roman" w:cs="Times New Roman"/>
          <w:color w:val="000000"/>
          <w:sz w:val="24"/>
          <w:szCs w:val="24"/>
        </w:rPr>
        <w:t>participant name</w:t>
      </w:r>
      <w:r w:rsidRPr="00A55B49" w:rsidR="009A10D3">
        <w:rPr>
          <w:rFonts w:ascii="Times New Roman" w:hAnsi="Times New Roman" w:cs="Times New Roman"/>
          <w:color w:val="000000"/>
          <w:sz w:val="24"/>
          <w:szCs w:val="24"/>
        </w:rPr>
        <w:t>, social security number</w:t>
      </w:r>
      <w:r w:rsidRPr="00A55B49" w:rsidR="00001EED">
        <w:rPr>
          <w:rFonts w:ascii="Times New Roman" w:hAnsi="Times New Roman" w:cs="Times New Roman"/>
          <w:color w:val="000000"/>
          <w:sz w:val="24"/>
          <w:szCs w:val="24"/>
        </w:rPr>
        <w:t>, address</w:t>
      </w:r>
      <w:r w:rsidRPr="00A55B49" w:rsidR="00CD5CCF">
        <w:rPr>
          <w:rFonts w:ascii="Times New Roman" w:hAnsi="Times New Roman" w:cs="Times New Roman"/>
          <w:color w:val="000000"/>
          <w:sz w:val="24"/>
          <w:szCs w:val="24"/>
        </w:rPr>
        <w:t>)</w:t>
      </w:r>
      <w:r w:rsidRPr="00A55B49">
        <w:rPr>
          <w:rFonts w:ascii="Times New Roman" w:hAnsi="Times New Roman" w:cs="Times New Roman"/>
          <w:color w:val="000000"/>
          <w:sz w:val="24"/>
          <w:szCs w:val="24"/>
        </w:rPr>
        <w:t>.</w:t>
      </w:r>
      <w:r w:rsidRPr="00A55B49" w:rsidR="00D33E8F">
        <w:rPr>
          <w:rFonts w:ascii="Times New Roman" w:hAnsi="Times New Roman" w:cs="Times New Roman"/>
          <w:color w:val="000000"/>
          <w:sz w:val="24"/>
          <w:szCs w:val="24"/>
        </w:rPr>
        <w:t xml:space="preserve"> </w:t>
      </w:r>
      <w:r w:rsidRPr="00A55B49" w:rsidR="003C7B07">
        <w:rPr>
          <w:rFonts w:ascii="Times New Roman" w:hAnsi="Times New Roman" w:cs="Times New Roman"/>
          <w:color w:val="000000"/>
          <w:sz w:val="24"/>
          <w:szCs w:val="24"/>
        </w:rPr>
        <w:t xml:space="preserve">The </w:t>
      </w:r>
      <w:r w:rsidRPr="00A55B49" w:rsidR="00597AAD">
        <w:rPr>
          <w:rFonts w:ascii="Times New Roman" w:hAnsi="Times New Roman" w:cs="Times New Roman"/>
          <w:color w:val="000000"/>
          <w:sz w:val="24"/>
          <w:szCs w:val="24"/>
        </w:rPr>
        <w:t xml:space="preserve">purpose of collecting the </w:t>
      </w:r>
      <w:r w:rsidRPr="00A55B49" w:rsidR="008B450E">
        <w:rPr>
          <w:rFonts w:ascii="Times New Roman" w:hAnsi="Times New Roman" w:cs="Times New Roman"/>
          <w:color w:val="000000"/>
          <w:sz w:val="24"/>
          <w:szCs w:val="24"/>
        </w:rPr>
        <w:t xml:space="preserve">information </w:t>
      </w:r>
      <w:r w:rsidRPr="00A55B49" w:rsidR="00597AAD">
        <w:rPr>
          <w:rFonts w:ascii="Times New Roman" w:hAnsi="Times New Roman" w:cs="Times New Roman"/>
          <w:color w:val="000000"/>
          <w:sz w:val="24"/>
          <w:szCs w:val="24"/>
        </w:rPr>
        <w:t xml:space="preserve">in </w:t>
      </w:r>
      <w:r w:rsidRPr="00A55B49" w:rsidR="008B450E">
        <w:rPr>
          <w:rFonts w:ascii="Times New Roman" w:hAnsi="Times New Roman" w:cs="Times New Roman"/>
          <w:color w:val="000000"/>
          <w:sz w:val="24"/>
          <w:szCs w:val="24"/>
        </w:rPr>
        <w:t>the D</w:t>
      </w:r>
      <w:r w:rsidRPr="00A55B49" w:rsidR="003C7B07">
        <w:rPr>
          <w:rFonts w:ascii="Times New Roman" w:hAnsi="Times New Roman" w:cs="Times New Roman"/>
          <w:color w:val="000000"/>
          <w:sz w:val="24"/>
          <w:szCs w:val="24"/>
        </w:rPr>
        <w:t xml:space="preserve">emographic and </w:t>
      </w:r>
      <w:r w:rsidRPr="00A55B49" w:rsidR="008B450E">
        <w:rPr>
          <w:rFonts w:ascii="Times New Roman" w:hAnsi="Times New Roman" w:cs="Times New Roman"/>
          <w:color w:val="000000"/>
          <w:sz w:val="24"/>
          <w:szCs w:val="24"/>
        </w:rPr>
        <w:t>W</w:t>
      </w:r>
      <w:r w:rsidRPr="00A55B49" w:rsidR="003C7B07">
        <w:rPr>
          <w:rFonts w:ascii="Times New Roman" w:hAnsi="Times New Roman" w:cs="Times New Roman"/>
          <w:color w:val="000000"/>
          <w:sz w:val="24"/>
          <w:szCs w:val="24"/>
        </w:rPr>
        <w:t xml:space="preserve">ork </w:t>
      </w:r>
      <w:r w:rsidRPr="00A55B49" w:rsidR="008B450E">
        <w:rPr>
          <w:rFonts w:ascii="Times New Roman" w:hAnsi="Times New Roman" w:cs="Times New Roman"/>
          <w:color w:val="000000"/>
          <w:sz w:val="24"/>
          <w:szCs w:val="24"/>
        </w:rPr>
        <w:t>H</w:t>
      </w:r>
      <w:r w:rsidRPr="00A55B49" w:rsidR="003C7B07">
        <w:rPr>
          <w:rFonts w:ascii="Times New Roman" w:hAnsi="Times New Roman" w:cs="Times New Roman"/>
          <w:color w:val="000000"/>
          <w:sz w:val="24"/>
          <w:szCs w:val="24"/>
        </w:rPr>
        <w:t xml:space="preserve">istory </w:t>
      </w:r>
      <w:r w:rsidRPr="00A55B49" w:rsidR="008B450E">
        <w:rPr>
          <w:rFonts w:ascii="Times New Roman" w:hAnsi="Times New Roman" w:cs="Times New Roman"/>
          <w:color w:val="000000"/>
          <w:sz w:val="24"/>
          <w:szCs w:val="24"/>
        </w:rPr>
        <w:t>Survey (Attachment D)</w:t>
      </w:r>
      <w:r w:rsidRPr="00A55B49" w:rsidR="003C7B07">
        <w:rPr>
          <w:rFonts w:ascii="Times New Roman" w:hAnsi="Times New Roman" w:cs="Times New Roman"/>
          <w:color w:val="000000"/>
          <w:sz w:val="24"/>
          <w:szCs w:val="24"/>
        </w:rPr>
        <w:t xml:space="preserve"> </w:t>
      </w:r>
      <w:r w:rsidRPr="00A55B49" w:rsidR="00597AAD">
        <w:rPr>
          <w:rFonts w:ascii="Times New Roman" w:hAnsi="Times New Roman" w:cs="Times New Roman"/>
          <w:color w:val="000000"/>
          <w:sz w:val="24"/>
          <w:szCs w:val="24"/>
        </w:rPr>
        <w:t>is</w:t>
      </w:r>
      <w:r w:rsidRPr="00A55B49" w:rsidR="007A1035">
        <w:rPr>
          <w:rFonts w:ascii="Times New Roman" w:hAnsi="Times New Roman" w:cs="Times New Roman"/>
          <w:color w:val="000000"/>
          <w:sz w:val="24"/>
          <w:szCs w:val="24"/>
        </w:rPr>
        <w:t xml:space="preserve"> </w:t>
      </w:r>
      <w:r w:rsidRPr="00A55B49" w:rsidR="003C7B07">
        <w:rPr>
          <w:rFonts w:ascii="Times New Roman" w:hAnsi="Times New Roman" w:cs="Times New Roman"/>
          <w:color w:val="000000"/>
          <w:sz w:val="24"/>
          <w:szCs w:val="24"/>
        </w:rPr>
        <w:t xml:space="preserve">to accurately describe the study’s sample </w:t>
      </w:r>
      <w:r w:rsidRPr="00A55B49" w:rsidR="008B450E">
        <w:rPr>
          <w:rFonts w:ascii="Times New Roman" w:hAnsi="Times New Roman" w:cs="Times New Roman"/>
          <w:color w:val="000000"/>
          <w:sz w:val="24"/>
          <w:szCs w:val="24"/>
        </w:rPr>
        <w:t>at a high</w:t>
      </w:r>
      <w:r w:rsidRPr="00A55B49" w:rsidR="0067311F">
        <w:rPr>
          <w:rFonts w:ascii="Times New Roman" w:hAnsi="Times New Roman" w:cs="Times New Roman"/>
          <w:color w:val="000000"/>
          <w:sz w:val="24"/>
          <w:szCs w:val="24"/>
        </w:rPr>
        <w:t xml:space="preserve"> level, </w:t>
      </w:r>
      <w:r w:rsidRPr="00A55B49" w:rsidR="003C7B07">
        <w:rPr>
          <w:rFonts w:ascii="Times New Roman" w:hAnsi="Times New Roman" w:cs="Times New Roman"/>
          <w:color w:val="000000"/>
          <w:sz w:val="24"/>
          <w:szCs w:val="24"/>
        </w:rPr>
        <w:t>to place study results in context</w:t>
      </w:r>
      <w:r w:rsidRPr="00A55B49" w:rsidR="00535E17">
        <w:rPr>
          <w:rFonts w:ascii="Times New Roman" w:hAnsi="Times New Roman" w:cs="Times New Roman"/>
          <w:color w:val="000000"/>
          <w:sz w:val="24"/>
          <w:szCs w:val="24"/>
        </w:rPr>
        <w:t>.</w:t>
      </w:r>
      <w:r w:rsidRPr="00A55B49" w:rsidR="003C7B07">
        <w:rPr>
          <w:rFonts w:ascii="Times New Roman" w:hAnsi="Times New Roman" w:cs="Times New Roman"/>
          <w:color w:val="000000"/>
          <w:sz w:val="24"/>
          <w:szCs w:val="24"/>
        </w:rPr>
        <w:t xml:space="preserve"> </w:t>
      </w:r>
      <w:r w:rsidRPr="00A55B49" w:rsidR="00535E17">
        <w:rPr>
          <w:rFonts w:ascii="Times New Roman" w:hAnsi="Times New Roman" w:cs="Times New Roman"/>
          <w:color w:val="000000"/>
          <w:sz w:val="24"/>
          <w:szCs w:val="24"/>
        </w:rPr>
        <w:t>N</w:t>
      </w:r>
      <w:r w:rsidRPr="00A55B49" w:rsidR="002858F0">
        <w:rPr>
          <w:rFonts w:ascii="Times New Roman" w:hAnsi="Times New Roman" w:cs="Times New Roman"/>
          <w:color w:val="000000"/>
          <w:sz w:val="24"/>
          <w:szCs w:val="24"/>
        </w:rPr>
        <w:t xml:space="preserve">one of the information collected via </w:t>
      </w:r>
      <w:r w:rsidRPr="00A55B49" w:rsidR="0067311F">
        <w:rPr>
          <w:rFonts w:ascii="Times New Roman" w:hAnsi="Times New Roman" w:cs="Times New Roman"/>
          <w:color w:val="000000"/>
          <w:sz w:val="24"/>
          <w:szCs w:val="24"/>
        </w:rPr>
        <w:t>the</w:t>
      </w:r>
      <w:r w:rsidRPr="00A55B49" w:rsidR="002858F0">
        <w:rPr>
          <w:rFonts w:ascii="Times New Roman" w:hAnsi="Times New Roman" w:cs="Times New Roman"/>
          <w:color w:val="000000"/>
          <w:sz w:val="24"/>
          <w:szCs w:val="24"/>
        </w:rPr>
        <w:t xml:space="preserve"> Survey </w:t>
      </w:r>
      <w:r w:rsidRPr="00A55B49" w:rsidR="00C67374">
        <w:rPr>
          <w:rFonts w:ascii="Times New Roman" w:hAnsi="Times New Roman" w:cs="Times New Roman"/>
          <w:color w:val="000000"/>
          <w:sz w:val="24"/>
          <w:szCs w:val="24"/>
        </w:rPr>
        <w:t xml:space="preserve">(Attachment D) </w:t>
      </w:r>
      <w:r w:rsidRPr="00A55B49" w:rsidR="002858F0">
        <w:rPr>
          <w:rFonts w:ascii="Times New Roman" w:hAnsi="Times New Roman" w:cs="Times New Roman"/>
          <w:color w:val="000000"/>
          <w:sz w:val="24"/>
          <w:szCs w:val="24"/>
        </w:rPr>
        <w:t xml:space="preserve">will be tied to </w:t>
      </w:r>
      <w:r w:rsidRPr="00A55B49" w:rsidR="00806D13">
        <w:rPr>
          <w:rFonts w:ascii="Times New Roman" w:hAnsi="Times New Roman" w:cs="Times New Roman"/>
          <w:color w:val="000000"/>
          <w:sz w:val="24"/>
          <w:szCs w:val="24"/>
        </w:rPr>
        <w:t>focus group</w:t>
      </w:r>
      <w:r w:rsidRPr="00A55B49" w:rsidR="007004B2">
        <w:rPr>
          <w:rFonts w:ascii="Times New Roman" w:hAnsi="Times New Roman" w:cs="Times New Roman"/>
          <w:color w:val="000000"/>
          <w:sz w:val="24"/>
          <w:szCs w:val="24"/>
        </w:rPr>
        <w:t xml:space="preserve"> participants </w:t>
      </w:r>
      <w:r w:rsidRPr="00A55B49" w:rsidR="00806D13">
        <w:rPr>
          <w:rFonts w:ascii="Times New Roman" w:hAnsi="Times New Roman" w:cs="Times New Roman"/>
          <w:color w:val="000000"/>
          <w:sz w:val="24"/>
          <w:szCs w:val="24"/>
        </w:rPr>
        <w:t>or</w:t>
      </w:r>
      <w:r w:rsidRPr="00A55B49" w:rsidR="007004B2">
        <w:rPr>
          <w:rFonts w:ascii="Times New Roman" w:hAnsi="Times New Roman" w:cs="Times New Roman"/>
          <w:color w:val="000000"/>
          <w:sz w:val="24"/>
          <w:szCs w:val="24"/>
        </w:rPr>
        <w:t xml:space="preserve"> their responses </w:t>
      </w:r>
      <w:r w:rsidRPr="00A55B49" w:rsidR="00806D13">
        <w:rPr>
          <w:rFonts w:ascii="Times New Roman" w:hAnsi="Times New Roman" w:cs="Times New Roman"/>
          <w:color w:val="000000"/>
          <w:sz w:val="24"/>
          <w:szCs w:val="24"/>
        </w:rPr>
        <w:t>within that setting</w:t>
      </w:r>
      <w:r w:rsidRPr="00A55B49" w:rsidR="007004B2">
        <w:rPr>
          <w:rFonts w:ascii="Times New Roman" w:hAnsi="Times New Roman" w:cs="Times New Roman"/>
          <w:color w:val="000000"/>
          <w:sz w:val="24"/>
          <w:szCs w:val="24"/>
        </w:rPr>
        <w:t xml:space="preserve">. </w:t>
      </w:r>
      <w:r w:rsidRPr="00A55B49" w:rsidR="00F01A0E">
        <w:rPr>
          <w:rFonts w:ascii="Times New Roman" w:hAnsi="Times New Roman" w:cs="Times New Roman"/>
          <w:color w:val="000000"/>
          <w:sz w:val="24"/>
          <w:szCs w:val="24"/>
        </w:rPr>
        <w:t>During analysis</w:t>
      </w:r>
      <w:r w:rsidRPr="00A55B49" w:rsidR="008B3C2D">
        <w:rPr>
          <w:rFonts w:ascii="Times New Roman" w:hAnsi="Times New Roman" w:cs="Times New Roman"/>
          <w:color w:val="000000"/>
          <w:sz w:val="24"/>
          <w:szCs w:val="24"/>
        </w:rPr>
        <w:t xml:space="preserve"> </w:t>
      </w:r>
      <w:r w:rsidRPr="00A55B49" w:rsidR="00C00E68">
        <w:rPr>
          <w:rFonts w:ascii="Times New Roman" w:hAnsi="Times New Roman" w:cs="Times New Roman"/>
          <w:color w:val="000000"/>
          <w:sz w:val="24"/>
          <w:szCs w:val="24"/>
        </w:rPr>
        <w:t xml:space="preserve">and synthesis </w:t>
      </w:r>
      <w:r w:rsidRPr="00A55B49" w:rsidR="0091528A">
        <w:rPr>
          <w:rFonts w:ascii="Times New Roman" w:hAnsi="Times New Roman" w:cs="Times New Roman"/>
          <w:color w:val="000000"/>
          <w:sz w:val="24"/>
          <w:szCs w:val="24"/>
        </w:rPr>
        <w:t>of the focus group data</w:t>
      </w:r>
      <w:r w:rsidRPr="00A55B49" w:rsidR="00CA595D">
        <w:rPr>
          <w:rFonts w:ascii="Times New Roman" w:hAnsi="Times New Roman" w:cs="Times New Roman"/>
          <w:color w:val="000000"/>
          <w:sz w:val="24"/>
          <w:szCs w:val="24"/>
        </w:rPr>
        <w:t xml:space="preserve">, </w:t>
      </w:r>
      <w:r w:rsidRPr="00A55B49">
        <w:rPr>
          <w:rFonts w:ascii="Times New Roman" w:hAnsi="Times New Roman" w:cs="Times New Roman"/>
          <w:color w:val="000000"/>
          <w:sz w:val="24"/>
          <w:szCs w:val="24"/>
        </w:rPr>
        <w:t xml:space="preserve">participants will be distinguished </w:t>
      </w:r>
      <w:r w:rsidRPr="00A55B49" w:rsidR="00226A8F">
        <w:rPr>
          <w:rFonts w:ascii="Times New Roman" w:hAnsi="Times New Roman" w:cs="Times New Roman"/>
          <w:color w:val="000000"/>
          <w:sz w:val="24"/>
          <w:szCs w:val="24"/>
        </w:rPr>
        <w:t xml:space="preserve">and described </w:t>
      </w:r>
      <w:r w:rsidRPr="00A55B49">
        <w:rPr>
          <w:rFonts w:ascii="Times New Roman" w:hAnsi="Times New Roman" w:cs="Times New Roman"/>
          <w:color w:val="000000"/>
          <w:sz w:val="24"/>
          <w:szCs w:val="24"/>
        </w:rPr>
        <w:t xml:space="preserve">only by the broad demographic information that they </w:t>
      </w:r>
      <w:r w:rsidRPr="00A55B49" w:rsidR="00BD3630">
        <w:rPr>
          <w:rFonts w:ascii="Times New Roman" w:hAnsi="Times New Roman" w:cs="Times New Roman"/>
          <w:color w:val="000000"/>
          <w:sz w:val="24"/>
          <w:szCs w:val="24"/>
        </w:rPr>
        <w:t xml:space="preserve">share in that forum </w:t>
      </w:r>
      <w:r w:rsidRPr="00A55B49">
        <w:rPr>
          <w:rFonts w:ascii="Times New Roman" w:hAnsi="Times New Roman" w:cs="Times New Roman"/>
          <w:color w:val="000000"/>
          <w:sz w:val="24"/>
          <w:szCs w:val="24"/>
        </w:rPr>
        <w:t>(</w:t>
      </w:r>
      <w:r w:rsidRPr="00A55B49" w:rsidR="004021B5">
        <w:rPr>
          <w:rFonts w:ascii="Times New Roman" w:hAnsi="Times New Roman" w:cs="Times New Roman"/>
          <w:color w:val="000000"/>
          <w:sz w:val="24"/>
          <w:szCs w:val="24"/>
        </w:rPr>
        <w:t>e.g</w:t>
      </w:r>
      <w:r w:rsidRPr="00A55B49">
        <w:rPr>
          <w:rFonts w:ascii="Times New Roman" w:hAnsi="Times New Roman" w:cs="Times New Roman"/>
          <w:color w:val="000000"/>
          <w:sz w:val="24"/>
          <w:szCs w:val="24"/>
        </w:rPr>
        <w:t>., site size, commodity, surface/underground mine, general US geographic quadrant location), the</w:t>
      </w:r>
      <w:r w:rsidRPr="00A55B49" w:rsidR="00E429CF">
        <w:rPr>
          <w:rFonts w:ascii="Times New Roman" w:hAnsi="Times New Roman" w:cs="Times New Roman"/>
          <w:color w:val="000000"/>
          <w:sz w:val="24"/>
          <w:szCs w:val="24"/>
        </w:rPr>
        <w:t>ir</w:t>
      </w:r>
      <w:r w:rsidRPr="00A55B49">
        <w:rPr>
          <w:rFonts w:ascii="Times New Roman" w:hAnsi="Times New Roman" w:cs="Times New Roman"/>
          <w:color w:val="000000"/>
          <w:sz w:val="24"/>
          <w:szCs w:val="24"/>
        </w:rPr>
        <w:t xml:space="preserve"> role within their company, and the content of the focus group itself. Names of participants </w:t>
      </w:r>
      <w:r w:rsidRPr="00A55B49" w:rsidR="002A60F7">
        <w:rPr>
          <w:rFonts w:ascii="Times New Roman" w:hAnsi="Times New Roman" w:cs="Times New Roman"/>
          <w:color w:val="000000"/>
          <w:sz w:val="24"/>
          <w:szCs w:val="24"/>
        </w:rPr>
        <w:t xml:space="preserve">as well as participant workplaces </w:t>
      </w:r>
      <w:r w:rsidRPr="00A55B49">
        <w:rPr>
          <w:rFonts w:ascii="Times New Roman" w:hAnsi="Times New Roman" w:cs="Times New Roman"/>
          <w:color w:val="000000"/>
          <w:sz w:val="24"/>
          <w:szCs w:val="24"/>
        </w:rPr>
        <w:t xml:space="preserve">will </w:t>
      </w:r>
      <w:r w:rsidRPr="00A55B49">
        <w:rPr>
          <w:rFonts w:ascii="Times New Roman" w:hAnsi="Times New Roman" w:cs="Times New Roman"/>
          <w:color w:val="000000"/>
          <w:sz w:val="24"/>
          <w:szCs w:val="24"/>
          <w:u w:val="single"/>
        </w:rPr>
        <w:t>not</w:t>
      </w:r>
      <w:r w:rsidRPr="00A55B49">
        <w:rPr>
          <w:rFonts w:ascii="Times New Roman" w:hAnsi="Times New Roman" w:cs="Times New Roman"/>
          <w:color w:val="000000"/>
          <w:sz w:val="24"/>
          <w:szCs w:val="24"/>
        </w:rPr>
        <w:t xml:space="preserve"> be logged or recorded </w:t>
      </w:r>
      <w:r w:rsidRPr="00A55B49" w:rsidR="00866366">
        <w:rPr>
          <w:rFonts w:ascii="Times New Roman" w:hAnsi="Times New Roman" w:cs="Times New Roman"/>
          <w:color w:val="000000"/>
          <w:sz w:val="24"/>
          <w:szCs w:val="24"/>
        </w:rPr>
        <w:t xml:space="preserve">on the informed consent documents or </w:t>
      </w:r>
      <w:r w:rsidRPr="00A55B49">
        <w:rPr>
          <w:rFonts w:ascii="Times New Roman" w:hAnsi="Times New Roman" w:cs="Times New Roman"/>
          <w:color w:val="000000"/>
          <w:sz w:val="24"/>
          <w:szCs w:val="24"/>
        </w:rPr>
        <w:t xml:space="preserve">anywhere in the data collected </w:t>
      </w:r>
      <w:r w:rsidRPr="00A55B49" w:rsidR="00A31571">
        <w:rPr>
          <w:rFonts w:ascii="Times New Roman" w:hAnsi="Times New Roman" w:cs="Times New Roman"/>
          <w:color w:val="000000"/>
          <w:sz w:val="24"/>
          <w:szCs w:val="24"/>
        </w:rPr>
        <w:t xml:space="preserve">(focus groups or survey) </w:t>
      </w:r>
      <w:r w:rsidRPr="00A55B49">
        <w:rPr>
          <w:rFonts w:ascii="Times New Roman" w:hAnsi="Times New Roman" w:cs="Times New Roman"/>
          <w:color w:val="000000"/>
          <w:sz w:val="24"/>
          <w:szCs w:val="24"/>
        </w:rPr>
        <w:t>as part of the study</w:t>
      </w:r>
      <w:r w:rsidRPr="00A55B49" w:rsidR="006151A4">
        <w:rPr>
          <w:rFonts w:ascii="Times New Roman" w:hAnsi="Times New Roman" w:cs="Times New Roman"/>
          <w:color w:val="000000"/>
          <w:sz w:val="24"/>
          <w:szCs w:val="24"/>
        </w:rPr>
        <w:t>.</w:t>
      </w:r>
      <w:r w:rsidRPr="00A55B49">
        <w:rPr>
          <w:rFonts w:ascii="Times New Roman" w:hAnsi="Times New Roman" w:cs="Times New Roman"/>
          <w:color w:val="000000"/>
          <w:sz w:val="24"/>
          <w:szCs w:val="24"/>
        </w:rPr>
        <w:t xml:space="preserve"> The only written record </w:t>
      </w:r>
      <w:r w:rsidRPr="00A55B49" w:rsidR="0045063C">
        <w:rPr>
          <w:rFonts w:ascii="Times New Roman" w:hAnsi="Times New Roman" w:cs="Times New Roman"/>
          <w:color w:val="000000"/>
          <w:sz w:val="24"/>
          <w:szCs w:val="24"/>
        </w:rPr>
        <w:t>may be</w:t>
      </w:r>
      <w:r w:rsidRPr="00A55B49" w:rsidR="00012F8E">
        <w:rPr>
          <w:rFonts w:ascii="Times New Roman" w:hAnsi="Times New Roman" w:cs="Times New Roman"/>
          <w:color w:val="000000"/>
          <w:sz w:val="24"/>
          <w:szCs w:val="24"/>
        </w:rPr>
        <w:t xml:space="preserve"> </w:t>
      </w:r>
      <w:r w:rsidRPr="00A55B49">
        <w:rPr>
          <w:rFonts w:ascii="Times New Roman" w:hAnsi="Times New Roman" w:cs="Times New Roman"/>
          <w:color w:val="000000"/>
          <w:sz w:val="24"/>
          <w:szCs w:val="24"/>
        </w:rPr>
        <w:t>from recruitment activities (i.e., email exchanges to set up a date/time for the focus group) and in the event a participant requests a copy of the publication once it is in press.</w:t>
      </w:r>
    </w:p>
    <w:p w:rsidR="002353A8" w:rsidRPr="00A55B49" w:rsidP="002353A8" w14:paraId="1939746F" w14:textId="77777777">
      <w:pPr>
        <w:spacing w:after="0"/>
        <w:rPr>
          <w:rFonts w:ascii="Times New Roman" w:hAnsi="Times New Roman" w:cs="Times New Roman"/>
          <w:color w:val="000000"/>
          <w:sz w:val="24"/>
          <w:szCs w:val="24"/>
        </w:rPr>
      </w:pPr>
    </w:p>
    <w:p w:rsidR="00BF661F" w:rsidRPr="00A55B49" w:rsidP="00DA53C1" w14:paraId="4F71316A" w14:textId="3A198BD9">
      <w:pPr>
        <w:spacing w:after="0"/>
        <w:rPr>
          <w:rFonts w:ascii="Times New Roman" w:hAnsi="Times New Roman" w:cs="Times New Roman"/>
          <w:sz w:val="24"/>
          <w:szCs w:val="24"/>
        </w:rPr>
      </w:pPr>
      <w:r w:rsidRPr="00A55B49">
        <w:rPr>
          <w:rFonts w:ascii="Times New Roman" w:hAnsi="Times New Roman" w:cs="Times New Roman"/>
          <w:color w:val="000000"/>
          <w:sz w:val="24"/>
          <w:szCs w:val="24"/>
        </w:rPr>
        <w:t>In-person focus group</w:t>
      </w:r>
      <w:r w:rsidRPr="00A55B49">
        <w:rPr>
          <w:rFonts w:ascii="Times New Roman" w:hAnsi="Times New Roman" w:cs="Times New Roman"/>
          <w:sz w:val="24"/>
          <w:szCs w:val="24"/>
        </w:rPr>
        <w:t xml:space="preserve"> interviews</w:t>
      </w:r>
      <w:r w:rsidRPr="00A55B49">
        <w:rPr>
          <w:rFonts w:ascii="Times New Roman" w:hAnsi="Times New Roman" w:cs="Times New Roman"/>
          <w:color w:val="000000"/>
          <w:sz w:val="24"/>
          <w:szCs w:val="24"/>
        </w:rPr>
        <w:t xml:space="preserve"> will take place in a designated private office or classroom setting where participants will be comfortable answering questions. The virtual focus groups will take place only on Zoom for Government (Zoom.Gov), a FedRAMP Authorized Software-as-a-Service (SaaS). Zoom.Gov is </w:t>
      </w:r>
      <w:r w:rsidRPr="00A55B49">
        <w:rPr>
          <w:rFonts w:ascii="Times New Roman" w:hAnsi="Times New Roman" w:cs="Times New Roman"/>
          <w:color w:val="000000"/>
          <w:sz w:val="24"/>
          <w:szCs w:val="24"/>
        </w:rPr>
        <w:t>similar to</w:t>
      </w:r>
      <w:r w:rsidRPr="00A55B49">
        <w:rPr>
          <w:rFonts w:ascii="Times New Roman" w:hAnsi="Times New Roman" w:cs="Times New Roman"/>
          <w:color w:val="000000"/>
          <w:sz w:val="24"/>
          <w:szCs w:val="24"/>
        </w:rPr>
        <w:t xml:space="preserve"> the “regular” commercial Zoom platform, but operates in a dedicated, secure infrastructure designed to meet the requirements of the FedRAMP Moderate baseline and DoD Impact Level 2. Zoom.Gov utilizes Amazon Web Services (AWS) GovCloud and U.S.-based co-located data centers and is managed by U.S. personnel only. The platform leverages FIPS 140-2 validated cryptographic solutions and 256-bit AES-GCM encryption. Focus group</w:t>
      </w:r>
      <w:r w:rsidR="00837D44">
        <w:rPr>
          <w:rFonts w:ascii="Times New Roman" w:hAnsi="Times New Roman" w:cs="Times New Roman"/>
          <w:color w:val="000000"/>
          <w:sz w:val="24"/>
          <w:szCs w:val="24"/>
        </w:rPr>
        <w:t xml:space="preserve"> interviews</w:t>
      </w:r>
      <w:r w:rsidRPr="00A55B49">
        <w:rPr>
          <w:rFonts w:ascii="Times New Roman" w:hAnsi="Times New Roman" w:cs="Times New Roman"/>
          <w:color w:val="000000"/>
          <w:sz w:val="24"/>
          <w:szCs w:val="24"/>
        </w:rPr>
        <w:t xml:space="preserve"> will be </w:t>
      </w:r>
      <w:r w:rsidR="002867B4">
        <w:rPr>
          <w:rFonts w:ascii="Times New Roman" w:hAnsi="Times New Roman" w:cs="Times New Roman"/>
          <w:color w:val="000000"/>
          <w:sz w:val="24"/>
          <w:szCs w:val="24"/>
        </w:rPr>
        <w:t xml:space="preserve">audio </w:t>
      </w:r>
      <w:r w:rsidRPr="00A55B49">
        <w:rPr>
          <w:rFonts w:ascii="Times New Roman" w:hAnsi="Times New Roman" w:cs="Times New Roman"/>
          <w:color w:val="000000"/>
          <w:sz w:val="24"/>
          <w:szCs w:val="24"/>
        </w:rPr>
        <w:t xml:space="preserve">recorded and </w:t>
      </w:r>
      <w:r w:rsidR="00837D44">
        <w:rPr>
          <w:rFonts w:ascii="Times New Roman" w:hAnsi="Times New Roman" w:cs="Times New Roman"/>
          <w:color w:val="000000"/>
          <w:sz w:val="24"/>
          <w:szCs w:val="24"/>
        </w:rPr>
        <w:t xml:space="preserve">then </w:t>
      </w:r>
      <w:r w:rsidRPr="00A55B49">
        <w:rPr>
          <w:rFonts w:ascii="Times New Roman" w:hAnsi="Times New Roman" w:cs="Times New Roman"/>
          <w:color w:val="000000"/>
          <w:sz w:val="24"/>
          <w:szCs w:val="24"/>
        </w:rPr>
        <w:t xml:space="preserve">transcribed. </w:t>
      </w:r>
      <w:r w:rsidRPr="00A55B49" w:rsidR="004543B1">
        <w:rPr>
          <w:rFonts w:ascii="Times New Roman" w:hAnsi="Times New Roman" w:cs="Times New Roman"/>
          <w:color w:val="000000"/>
          <w:sz w:val="24"/>
          <w:szCs w:val="24"/>
        </w:rPr>
        <w:t>Directly i</w:t>
      </w:r>
      <w:r w:rsidRPr="00A55B49">
        <w:rPr>
          <w:rFonts w:ascii="Times New Roman" w:hAnsi="Times New Roman" w:cs="Times New Roman"/>
          <w:color w:val="000000"/>
          <w:sz w:val="24"/>
          <w:szCs w:val="24"/>
        </w:rPr>
        <w:t xml:space="preserve">dentifying </w:t>
      </w:r>
      <w:r w:rsidRPr="00A55B49">
        <w:rPr>
          <w:rFonts w:ascii="Times New Roman" w:hAnsi="Times New Roman" w:cs="Times New Roman"/>
          <w:color w:val="000000"/>
          <w:sz w:val="24"/>
          <w:szCs w:val="24"/>
        </w:rPr>
        <w:t>information will not be asked in the focus groups</w:t>
      </w:r>
      <w:r w:rsidRPr="00A55B49" w:rsidR="007143DC">
        <w:rPr>
          <w:rFonts w:ascii="Times New Roman" w:hAnsi="Times New Roman" w:cs="Times New Roman"/>
          <w:color w:val="000000"/>
          <w:sz w:val="24"/>
          <w:szCs w:val="24"/>
        </w:rPr>
        <w:t xml:space="preserve">; </w:t>
      </w:r>
      <w:r w:rsidRPr="00A55B49" w:rsidR="004543B1">
        <w:rPr>
          <w:rFonts w:ascii="Times New Roman" w:hAnsi="Times New Roman" w:cs="Times New Roman"/>
          <w:color w:val="000000"/>
          <w:sz w:val="24"/>
          <w:szCs w:val="24"/>
        </w:rPr>
        <w:t xml:space="preserve">however, </w:t>
      </w:r>
      <w:r w:rsidRPr="00A55B49" w:rsidR="007143DC">
        <w:rPr>
          <w:rFonts w:ascii="Times New Roman" w:hAnsi="Times New Roman" w:cs="Times New Roman"/>
          <w:color w:val="000000"/>
          <w:sz w:val="24"/>
          <w:szCs w:val="24"/>
        </w:rPr>
        <w:t xml:space="preserve">if any is </w:t>
      </w:r>
      <w:r w:rsidRPr="00A55B49" w:rsidR="00D60831">
        <w:rPr>
          <w:rFonts w:ascii="Times New Roman" w:hAnsi="Times New Roman" w:cs="Times New Roman"/>
          <w:color w:val="000000"/>
          <w:sz w:val="24"/>
          <w:szCs w:val="24"/>
        </w:rPr>
        <w:t xml:space="preserve">inadvertently </w:t>
      </w:r>
      <w:r w:rsidRPr="00A55B49" w:rsidR="007143DC">
        <w:rPr>
          <w:rFonts w:ascii="Times New Roman" w:hAnsi="Times New Roman" w:cs="Times New Roman"/>
          <w:color w:val="000000"/>
          <w:sz w:val="24"/>
          <w:szCs w:val="24"/>
        </w:rPr>
        <w:t xml:space="preserve">shared, it will be </w:t>
      </w:r>
      <w:r w:rsidRPr="00A55B49" w:rsidR="00036486">
        <w:rPr>
          <w:rFonts w:ascii="Times New Roman" w:hAnsi="Times New Roman" w:cs="Times New Roman"/>
          <w:color w:val="000000"/>
          <w:sz w:val="24"/>
          <w:szCs w:val="24"/>
        </w:rPr>
        <w:t>removed from the transcripts</w:t>
      </w:r>
      <w:r w:rsidRPr="00A55B49">
        <w:rPr>
          <w:rFonts w:ascii="Times New Roman" w:hAnsi="Times New Roman" w:cs="Times New Roman"/>
          <w:color w:val="000000"/>
          <w:sz w:val="24"/>
          <w:szCs w:val="24"/>
        </w:rPr>
        <w:t>. After transcription</w:t>
      </w:r>
      <w:r w:rsidR="000F0C95">
        <w:rPr>
          <w:rFonts w:ascii="Times New Roman" w:hAnsi="Times New Roman" w:cs="Times New Roman"/>
          <w:color w:val="000000"/>
          <w:sz w:val="24"/>
          <w:szCs w:val="24"/>
        </w:rPr>
        <w:t xml:space="preserve"> of the focus group audio recordings</w:t>
      </w:r>
      <w:r w:rsidRPr="00A55B49">
        <w:rPr>
          <w:rFonts w:ascii="Times New Roman" w:hAnsi="Times New Roman" w:cs="Times New Roman"/>
          <w:color w:val="000000"/>
          <w:sz w:val="24"/>
          <w:szCs w:val="24"/>
        </w:rPr>
        <w:t xml:space="preserve">, recordings will be destroyed. </w:t>
      </w:r>
    </w:p>
    <w:p w:rsidR="00CD2033" w:rsidRPr="00A55B49" w:rsidP="003D7C16" w14:paraId="46F2AA40" w14:textId="77777777">
      <w:pPr>
        <w:pStyle w:val="Default"/>
        <w:rPr>
          <w:color w:val="auto"/>
        </w:rPr>
      </w:pPr>
    </w:p>
    <w:p w:rsidR="00A04442" w:rsidRPr="00A55B49" w:rsidP="00DA53C1" w14:paraId="505A6A24" w14:textId="44280C42">
      <w:pPr>
        <w:spacing w:after="0"/>
        <w:rPr>
          <w:rFonts w:ascii="Times New Roman" w:hAnsi="Times New Roman" w:cs="Times New Roman"/>
          <w:sz w:val="24"/>
          <w:szCs w:val="24"/>
        </w:rPr>
      </w:pPr>
      <w:r w:rsidRPr="00A55B49">
        <w:rPr>
          <w:rFonts w:ascii="Times New Roman" w:hAnsi="Times New Roman" w:cs="Times New Roman"/>
          <w:sz w:val="24"/>
          <w:szCs w:val="24"/>
        </w:rPr>
        <w:t xml:space="preserve">All study participants will be informed that participation is voluntary and that they can decline to answer any questions. </w:t>
      </w:r>
      <w:r w:rsidRPr="00A55B49">
        <w:rPr>
          <w:rFonts w:ascii="Times New Roman" w:hAnsi="Times New Roman" w:cs="Times New Roman"/>
          <w:sz w:val="24"/>
          <w:szCs w:val="24"/>
        </w:rPr>
        <w:t xml:space="preserve">Participants </w:t>
      </w:r>
      <w:r w:rsidRPr="00A55B49" w:rsidR="008F722B">
        <w:rPr>
          <w:rFonts w:ascii="Times New Roman" w:hAnsi="Times New Roman" w:cs="Times New Roman"/>
          <w:sz w:val="24"/>
          <w:szCs w:val="24"/>
        </w:rPr>
        <w:t xml:space="preserve">in </w:t>
      </w:r>
      <w:r w:rsidRPr="00A55B49" w:rsidR="006F071D">
        <w:rPr>
          <w:rFonts w:ascii="Times New Roman" w:hAnsi="Times New Roman" w:cs="Times New Roman"/>
          <w:sz w:val="24"/>
          <w:szCs w:val="24"/>
        </w:rPr>
        <w:t xml:space="preserve">focus group </w:t>
      </w:r>
      <w:r w:rsidRPr="00A55B49" w:rsidR="008F722B">
        <w:rPr>
          <w:rFonts w:ascii="Times New Roman" w:hAnsi="Times New Roman" w:cs="Times New Roman"/>
          <w:sz w:val="24"/>
          <w:szCs w:val="24"/>
        </w:rPr>
        <w:t xml:space="preserve">interviews </w:t>
      </w:r>
      <w:r w:rsidRPr="00A55B49">
        <w:rPr>
          <w:rFonts w:ascii="Times New Roman" w:hAnsi="Times New Roman" w:cs="Times New Roman"/>
          <w:sz w:val="24"/>
          <w:szCs w:val="24"/>
        </w:rPr>
        <w:t>will be provided with an informed consent form prior to activities and will be allowed to ask questions</w:t>
      </w:r>
      <w:r w:rsidRPr="00A55B49" w:rsidR="008F722B">
        <w:rPr>
          <w:rFonts w:ascii="Times New Roman" w:hAnsi="Times New Roman" w:cs="Times New Roman"/>
          <w:sz w:val="24"/>
          <w:szCs w:val="24"/>
        </w:rPr>
        <w:t>, but a waiver of documentation of informed consent for interviews has been approved</w:t>
      </w:r>
      <w:r w:rsidRPr="00A55B49" w:rsidR="00F60CFB">
        <w:rPr>
          <w:rFonts w:ascii="Times New Roman" w:hAnsi="Times New Roman" w:cs="Times New Roman"/>
          <w:sz w:val="24"/>
          <w:szCs w:val="24"/>
        </w:rPr>
        <w:t>. The consent form provides information on purpose of the project</w:t>
      </w:r>
      <w:r w:rsidRPr="00A55B49" w:rsidR="003146EF">
        <w:rPr>
          <w:rFonts w:ascii="Times New Roman" w:hAnsi="Times New Roman" w:cs="Times New Roman"/>
          <w:sz w:val="24"/>
          <w:szCs w:val="24"/>
        </w:rPr>
        <w:t>, how the information will be used and protected, and that the information is voluntary</w:t>
      </w:r>
      <w:r w:rsidRPr="00A55B49" w:rsidR="003378E8">
        <w:rPr>
          <w:rFonts w:ascii="Times New Roman" w:hAnsi="Times New Roman" w:cs="Times New Roman"/>
          <w:sz w:val="24"/>
          <w:szCs w:val="24"/>
        </w:rPr>
        <w:t>,</w:t>
      </w:r>
      <w:r w:rsidRPr="00A55B49" w:rsidR="003146EF">
        <w:rPr>
          <w:rFonts w:ascii="Times New Roman" w:hAnsi="Times New Roman" w:cs="Times New Roman"/>
          <w:sz w:val="24"/>
          <w:szCs w:val="24"/>
        </w:rPr>
        <w:t xml:space="preserve"> and they can stop participating at any time.</w:t>
      </w:r>
      <w:r w:rsidRPr="00A55B49" w:rsidR="008F722B">
        <w:rPr>
          <w:rFonts w:ascii="Times New Roman" w:hAnsi="Times New Roman" w:cs="Times New Roman"/>
          <w:sz w:val="24"/>
          <w:szCs w:val="24"/>
        </w:rPr>
        <w:t xml:space="preserve"> Given the </w:t>
      </w:r>
      <w:r w:rsidRPr="00A55B49" w:rsidR="006D3E5F">
        <w:rPr>
          <w:rFonts w:ascii="Times New Roman" w:hAnsi="Times New Roman" w:cs="Times New Roman"/>
          <w:sz w:val="24"/>
          <w:szCs w:val="24"/>
        </w:rPr>
        <w:t>brief post-</w:t>
      </w:r>
      <w:r w:rsidRPr="00A55B49" w:rsidR="003C14F8">
        <w:rPr>
          <w:rFonts w:ascii="Times New Roman" w:hAnsi="Times New Roman" w:cs="Times New Roman"/>
          <w:sz w:val="24"/>
          <w:szCs w:val="24"/>
        </w:rPr>
        <w:t>focus group interview demographic</w:t>
      </w:r>
      <w:r w:rsidRPr="00A55B49" w:rsidR="00F76AD3">
        <w:rPr>
          <w:rFonts w:ascii="Times New Roman" w:hAnsi="Times New Roman" w:cs="Times New Roman"/>
          <w:sz w:val="24"/>
          <w:szCs w:val="24"/>
        </w:rPr>
        <w:t>/work history</w:t>
      </w:r>
      <w:r w:rsidRPr="00A55B49" w:rsidR="003C14F8">
        <w:rPr>
          <w:rFonts w:ascii="Times New Roman" w:hAnsi="Times New Roman" w:cs="Times New Roman"/>
          <w:sz w:val="24"/>
          <w:szCs w:val="24"/>
        </w:rPr>
        <w:t xml:space="preserve"> </w:t>
      </w:r>
      <w:r w:rsidRPr="00A55B49" w:rsidR="006D3E5F">
        <w:rPr>
          <w:rFonts w:ascii="Times New Roman" w:hAnsi="Times New Roman" w:cs="Times New Roman"/>
          <w:sz w:val="24"/>
          <w:szCs w:val="24"/>
        </w:rPr>
        <w:t xml:space="preserve">survey request, a waiver of informed consent for workers taking the survey has been approved. </w:t>
      </w:r>
      <w:r w:rsidR="00173939">
        <w:rPr>
          <w:rFonts w:ascii="Times New Roman" w:hAnsi="Times New Roman"/>
          <w:sz w:val="24"/>
          <w:szCs w:val="24"/>
        </w:rPr>
        <w:t>Data will be kept private to the extent allowed by law</w:t>
      </w:r>
      <w:r w:rsidR="00173939">
        <w:rPr>
          <w:rFonts w:ascii="Times New Roman" w:hAnsi="Times New Roman"/>
          <w:sz w:val="24"/>
          <w:szCs w:val="24"/>
        </w:rPr>
        <w:t>.</w:t>
      </w:r>
    </w:p>
    <w:p w:rsidR="00EA396B" w:rsidRPr="00A55B49" w:rsidP="00DA53C1" w14:paraId="707F6848" w14:textId="77777777">
      <w:pPr>
        <w:pStyle w:val="ListParagraph"/>
        <w:spacing w:after="0"/>
        <w:ind w:left="0"/>
        <w:contextualSpacing w:val="0"/>
        <w:rPr>
          <w:rFonts w:ascii="Times New Roman" w:hAnsi="Times New Roman" w:cs="Times New Roman"/>
          <w:b/>
          <w:bCs/>
          <w:sz w:val="24"/>
          <w:szCs w:val="24"/>
        </w:rPr>
      </w:pPr>
    </w:p>
    <w:p w:rsidR="00C957A0" w:rsidRPr="00A55B49" w:rsidP="00DA53C1" w14:paraId="45767D4D" w14:textId="14573455">
      <w:pPr>
        <w:pStyle w:val="ListParagraph"/>
        <w:spacing w:after="0"/>
        <w:ind w:left="0"/>
        <w:contextualSpacing w:val="0"/>
        <w:rPr>
          <w:rFonts w:ascii="Times New Roman" w:hAnsi="Times New Roman" w:cs="Times New Roman"/>
          <w:sz w:val="24"/>
          <w:szCs w:val="24"/>
        </w:rPr>
      </w:pPr>
      <w:r w:rsidRPr="00A55B49">
        <w:rPr>
          <w:rFonts w:ascii="Times New Roman" w:hAnsi="Times New Roman" w:cs="Times New Roman"/>
          <w:b/>
          <w:bCs/>
          <w:sz w:val="24"/>
          <w:szCs w:val="24"/>
        </w:rPr>
        <w:t>11.</w:t>
      </w:r>
      <w:r w:rsidRPr="00A55B49">
        <w:rPr>
          <w:rFonts w:ascii="Times New Roman" w:hAnsi="Times New Roman" w:cs="Times New Roman"/>
          <w:sz w:val="24"/>
          <w:szCs w:val="24"/>
        </w:rPr>
        <w:t xml:space="preserve"> </w:t>
      </w:r>
      <w:r w:rsidRPr="00A55B49">
        <w:rPr>
          <w:rFonts w:ascii="Times New Roman" w:hAnsi="Times New Roman" w:cs="Times New Roman"/>
          <w:b/>
          <w:sz w:val="24"/>
          <w:szCs w:val="24"/>
        </w:rPr>
        <w:t>Justification for Sensitive Questions</w:t>
      </w:r>
    </w:p>
    <w:p w:rsidR="0025688C" w:rsidRPr="00A55B49" w:rsidP="003D7C16" w14:paraId="220E6CDB" w14:textId="05EE4724">
      <w:pPr>
        <w:spacing w:after="0"/>
        <w:rPr>
          <w:rFonts w:ascii="Times New Roman" w:hAnsi="Times New Roman" w:cs="Times New Roman"/>
          <w:iCs/>
          <w:sz w:val="24"/>
          <w:szCs w:val="24"/>
        </w:rPr>
      </w:pPr>
      <w:r w:rsidRPr="00A55B49">
        <w:rPr>
          <w:rFonts w:ascii="Times New Roman" w:hAnsi="Times New Roman" w:cs="Times New Roman"/>
          <w:iCs/>
          <w:sz w:val="24"/>
          <w:szCs w:val="24"/>
        </w:rPr>
        <w:t>During focus groups, depending on the nature of the conversation and the hazards and risks discussed, there is the potential for conversations to result in psychological distress for some participants. Before each focus group begins, NIOSH researchers will inform participants that taking part in the focus group is completely voluntary and that they are free to cease their participation and leave the focus group whenever they would like. Participants will also be informed that they do not have to respond to any questions that may cause them discomfort, and researchers will remind participants of this throughout data collection. All risks are identified in the informed consent, which participants will receive a copy of at the beginning of their focus group. Additionally, NIOSH researchers have included a list of resources for participants to access in Section 15 of each Informed Consent document (</w:t>
      </w:r>
      <w:r w:rsidRPr="00A55B49" w:rsidR="00DC4732">
        <w:rPr>
          <w:rFonts w:ascii="Times New Roman" w:hAnsi="Times New Roman" w:cs="Times New Roman"/>
          <w:iCs/>
          <w:sz w:val="24"/>
          <w:szCs w:val="24"/>
        </w:rPr>
        <w:t>Attachments G and H</w:t>
      </w:r>
      <w:r w:rsidRPr="00A55B49">
        <w:rPr>
          <w:rFonts w:ascii="Times New Roman" w:hAnsi="Times New Roman" w:cs="Times New Roman"/>
          <w:iCs/>
          <w:sz w:val="24"/>
          <w:szCs w:val="24"/>
        </w:rPr>
        <w:t>)</w:t>
      </w:r>
      <w:r w:rsidRPr="00A55B49" w:rsidR="00DC4732">
        <w:rPr>
          <w:rFonts w:ascii="Times New Roman" w:hAnsi="Times New Roman" w:cs="Times New Roman"/>
          <w:iCs/>
          <w:sz w:val="24"/>
          <w:szCs w:val="24"/>
        </w:rPr>
        <w:t>.</w:t>
      </w:r>
    </w:p>
    <w:p w:rsidR="00DA53C1" w:rsidRPr="00A55B49" w:rsidP="00DA53C1" w14:paraId="28117BBD" w14:textId="77777777">
      <w:pPr>
        <w:spacing w:after="0"/>
        <w:rPr>
          <w:rFonts w:ascii="Times New Roman" w:hAnsi="Times New Roman" w:cs="Times New Roman"/>
          <w:iCs/>
          <w:sz w:val="24"/>
          <w:szCs w:val="24"/>
        </w:rPr>
      </w:pPr>
    </w:p>
    <w:p w:rsidR="00613A2C" w:rsidRPr="00A55B49" w:rsidP="00DA53C1" w14:paraId="49E2BFF9" w14:textId="7870FF5E">
      <w:pPr>
        <w:spacing w:after="0"/>
        <w:rPr>
          <w:rFonts w:ascii="Times New Roman" w:hAnsi="Times New Roman" w:cs="Times New Roman"/>
          <w:iCs/>
          <w:sz w:val="24"/>
          <w:szCs w:val="24"/>
        </w:rPr>
      </w:pPr>
      <w:r w:rsidRPr="00A55B49">
        <w:rPr>
          <w:rFonts w:ascii="Times New Roman" w:hAnsi="Times New Roman" w:cs="Times New Roman"/>
          <w:iCs/>
          <w:sz w:val="24"/>
          <w:szCs w:val="24"/>
        </w:rPr>
        <w:t xml:space="preserve">The proposed project was determined by the </w:t>
      </w:r>
      <w:r w:rsidRPr="00A55B49" w:rsidR="00D000F3">
        <w:rPr>
          <w:rFonts w:ascii="Times New Roman" w:hAnsi="Times New Roman" w:cs="Times New Roman"/>
          <w:iCs/>
          <w:sz w:val="24"/>
          <w:szCs w:val="24"/>
        </w:rPr>
        <w:t xml:space="preserve">CDC </w:t>
      </w:r>
      <w:r w:rsidRPr="00A55B49" w:rsidR="001F0E7D">
        <w:rPr>
          <w:rFonts w:ascii="Times New Roman" w:hAnsi="Times New Roman" w:cs="Times New Roman"/>
          <w:iCs/>
          <w:sz w:val="24"/>
          <w:szCs w:val="24"/>
        </w:rPr>
        <w:t xml:space="preserve">Human Research Protections Office </w:t>
      </w:r>
      <w:r w:rsidRPr="00A55B49" w:rsidR="004E3724">
        <w:rPr>
          <w:rFonts w:ascii="Times New Roman" w:hAnsi="Times New Roman" w:cs="Times New Roman"/>
          <w:iCs/>
          <w:sz w:val="24"/>
          <w:szCs w:val="24"/>
        </w:rPr>
        <w:t>to be exempt</w:t>
      </w:r>
      <w:r w:rsidRPr="00A55B49" w:rsidR="00D000F3">
        <w:rPr>
          <w:rFonts w:ascii="Times New Roman" w:hAnsi="Times New Roman" w:cs="Times New Roman"/>
          <w:iCs/>
          <w:sz w:val="24"/>
          <w:szCs w:val="24"/>
        </w:rPr>
        <w:t xml:space="preserve"> from human </w:t>
      </w:r>
      <w:r w:rsidRPr="00A55B49" w:rsidR="00D000F3">
        <w:rPr>
          <w:rFonts w:ascii="Times New Roman" w:hAnsi="Times New Roman" w:cs="Times New Roman"/>
          <w:iCs/>
          <w:sz w:val="24"/>
          <w:szCs w:val="24"/>
        </w:rPr>
        <w:t>subjects</w:t>
      </w:r>
      <w:r w:rsidRPr="00A55B49" w:rsidR="00D000F3">
        <w:rPr>
          <w:rFonts w:ascii="Times New Roman" w:hAnsi="Times New Roman" w:cs="Times New Roman"/>
          <w:iCs/>
          <w:sz w:val="24"/>
          <w:szCs w:val="24"/>
        </w:rPr>
        <w:t xml:space="preserve"> regulations</w:t>
      </w:r>
      <w:r w:rsidRPr="00A55B49">
        <w:rPr>
          <w:rFonts w:ascii="Times New Roman" w:hAnsi="Times New Roman" w:cs="Times New Roman"/>
          <w:iCs/>
          <w:sz w:val="24"/>
          <w:szCs w:val="24"/>
        </w:rPr>
        <w:t xml:space="preserve">. Please see the attached </w:t>
      </w:r>
      <w:r w:rsidRPr="00A55B49" w:rsidR="004B3BA0">
        <w:rPr>
          <w:rFonts w:ascii="Times New Roman" w:hAnsi="Times New Roman" w:cs="Times New Roman"/>
          <w:iCs/>
          <w:sz w:val="24"/>
          <w:szCs w:val="24"/>
        </w:rPr>
        <w:t xml:space="preserve">CDC </w:t>
      </w:r>
      <w:r w:rsidRPr="00A55B49" w:rsidR="00AD1BCD">
        <w:rPr>
          <w:rFonts w:ascii="Times New Roman" w:hAnsi="Times New Roman" w:cs="Times New Roman"/>
          <w:iCs/>
          <w:sz w:val="24"/>
          <w:szCs w:val="24"/>
        </w:rPr>
        <w:t>Human Research Protections Office approval of exempt research protocol</w:t>
      </w:r>
      <w:r w:rsidRPr="00A55B49">
        <w:rPr>
          <w:rFonts w:ascii="Times New Roman" w:hAnsi="Times New Roman" w:cs="Times New Roman"/>
          <w:iCs/>
          <w:sz w:val="24"/>
          <w:szCs w:val="24"/>
        </w:rPr>
        <w:t xml:space="preserve"> </w:t>
      </w:r>
      <w:r w:rsidRPr="00A55B49" w:rsidR="007E540B">
        <w:rPr>
          <w:rFonts w:ascii="Times New Roman" w:hAnsi="Times New Roman" w:cs="Times New Roman"/>
          <w:iCs/>
          <w:sz w:val="24"/>
          <w:szCs w:val="24"/>
        </w:rPr>
        <w:t>memo (</w:t>
      </w:r>
      <w:r w:rsidRPr="00A55B49" w:rsidR="00B7630B">
        <w:rPr>
          <w:rFonts w:ascii="Times New Roman" w:hAnsi="Times New Roman" w:cs="Times New Roman"/>
          <w:iCs/>
          <w:sz w:val="24"/>
          <w:szCs w:val="24"/>
        </w:rPr>
        <w:t xml:space="preserve">Attachment </w:t>
      </w:r>
      <w:r w:rsidRPr="00A55B49" w:rsidR="00851283">
        <w:rPr>
          <w:rFonts w:ascii="Times New Roman" w:hAnsi="Times New Roman" w:cs="Times New Roman"/>
          <w:iCs/>
          <w:sz w:val="24"/>
          <w:szCs w:val="24"/>
        </w:rPr>
        <w:t>F</w:t>
      </w:r>
      <w:r w:rsidRPr="00A55B49" w:rsidR="007E540B">
        <w:rPr>
          <w:rFonts w:ascii="Times New Roman" w:hAnsi="Times New Roman" w:cs="Times New Roman"/>
          <w:iCs/>
          <w:sz w:val="24"/>
          <w:szCs w:val="24"/>
        </w:rPr>
        <w:t>).</w:t>
      </w:r>
    </w:p>
    <w:p w:rsidR="00EA396B" w:rsidRPr="00A55B49" w:rsidP="00CD6527" w14:paraId="342FB200" w14:textId="77777777">
      <w:pPr>
        <w:keepNext/>
        <w:spacing w:after="0"/>
        <w:rPr>
          <w:rFonts w:ascii="Times New Roman" w:hAnsi="Times New Roman" w:cs="Times New Roman"/>
          <w:b/>
          <w:bCs/>
          <w:iCs/>
          <w:sz w:val="24"/>
          <w:szCs w:val="24"/>
        </w:rPr>
      </w:pPr>
    </w:p>
    <w:p w:rsidR="000C1F2A" w:rsidRPr="00A55B49" w:rsidP="00CD6527" w14:paraId="05DB9E4A" w14:textId="3051261B">
      <w:pPr>
        <w:keepNext/>
        <w:spacing w:after="0"/>
        <w:rPr>
          <w:rFonts w:ascii="Times New Roman" w:hAnsi="Times New Roman" w:cs="Times New Roman"/>
          <w:b/>
          <w:sz w:val="24"/>
          <w:szCs w:val="24"/>
        </w:rPr>
      </w:pPr>
      <w:r w:rsidRPr="00A55B49">
        <w:rPr>
          <w:rFonts w:ascii="Times New Roman" w:hAnsi="Times New Roman" w:cs="Times New Roman"/>
          <w:b/>
          <w:bCs/>
          <w:iCs/>
          <w:sz w:val="24"/>
          <w:szCs w:val="24"/>
        </w:rPr>
        <w:t>12.</w:t>
      </w:r>
      <w:r w:rsidRPr="00A55B49">
        <w:rPr>
          <w:rFonts w:ascii="Times New Roman" w:hAnsi="Times New Roman" w:cs="Times New Roman"/>
          <w:i/>
          <w:sz w:val="24"/>
          <w:szCs w:val="24"/>
        </w:rPr>
        <w:t xml:space="preserve"> </w:t>
      </w:r>
      <w:r w:rsidRPr="00A55B49">
        <w:rPr>
          <w:rFonts w:ascii="Times New Roman" w:hAnsi="Times New Roman" w:cs="Times New Roman"/>
          <w:b/>
          <w:sz w:val="24"/>
          <w:szCs w:val="24"/>
        </w:rPr>
        <w:t>Estimates of Annualized Burden Hours and Costs</w:t>
      </w:r>
    </w:p>
    <w:p w:rsidR="00F528BC" w:rsidRPr="00A55B49" w:rsidP="00CD6527" w14:paraId="2150073A" w14:textId="3E524C00">
      <w:pPr>
        <w:spacing w:after="0"/>
        <w:rPr>
          <w:rFonts w:ascii="Times New Roman" w:hAnsi="Times New Roman" w:cs="Times New Roman"/>
          <w:iCs/>
          <w:sz w:val="24"/>
          <w:szCs w:val="24"/>
        </w:rPr>
      </w:pPr>
      <w:r w:rsidRPr="00A55B49">
        <w:rPr>
          <w:rFonts w:ascii="Times New Roman" w:hAnsi="Times New Roman" w:cs="Times New Roman"/>
          <w:iCs/>
          <w:sz w:val="24"/>
          <w:szCs w:val="24"/>
        </w:rPr>
        <w:t>Response burden and cost for each type of data collection (</w:t>
      </w:r>
      <w:r w:rsidRPr="00A55B49" w:rsidR="00B614AB">
        <w:rPr>
          <w:rFonts w:ascii="Times New Roman" w:hAnsi="Times New Roman" w:cs="Times New Roman"/>
          <w:iCs/>
          <w:sz w:val="24"/>
          <w:szCs w:val="24"/>
        </w:rPr>
        <w:t>focus group</w:t>
      </w:r>
      <w:r w:rsidRPr="00A55B49" w:rsidR="00E63848">
        <w:rPr>
          <w:rFonts w:ascii="Times New Roman" w:hAnsi="Times New Roman" w:cs="Times New Roman"/>
          <w:iCs/>
          <w:sz w:val="24"/>
          <w:szCs w:val="24"/>
        </w:rPr>
        <w:t xml:space="preserve"> interviews</w:t>
      </w:r>
      <w:r w:rsidRPr="00A55B49" w:rsidR="00B614AB">
        <w:rPr>
          <w:rFonts w:ascii="Times New Roman" w:hAnsi="Times New Roman" w:cs="Times New Roman"/>
          <w:iCs/>
          <w:sz w:val="24"/>
          <w:szCs w:val="24"/>
        </w:rPr>
        <w:t xml:space="preserve"> and </w:t>
      </w:r>
      <w:r w:rsidRPr="00A55B49" w:rsidR="00E63848">
        <w:rPr>
          <w:rFonts w:ascii="Times New Roman" w:hAnsi="Times New Roman" w:cs="Times New Roman"/>
          <w:iCs/>
          <w:sz w:val="24"/>
          <w:szCs w:val="24"/>
        </w:rPr>
        <w:t xml:space="preserve">demographic </w:t>
      </w:r>
      <w:r w:rsidRPr="00A55B49" w:rsidR="00B614AB">
        <w:rPr>
          <w:rFonts w:ascii="Times New Roman" w:hAnsi="Times New Roman" w:cs="Times New Roman"/>
          <w:iCs/>
          <w:sz w:val="24"/>
          <w:szCs w:val="24"/>
        </w:rPr>
        <w:t xml:space="preserve">surveys) are summarized in Table A12A and A12B. </w:t>
      </w:r>
      <w:r w:rsidRPr="00A55B49">
        <w:rPr>
          <w:rFonts w:ascii="Times New Roman" w:hAnsi="Times New Roman" w:cs="Times New Roman"/>
          <w:iCs/>
          <w:sz w:val="24"/>
          <w:szCs w:val="24"/>
        </w:rPr>
        <w:t xml:space="preserve">We will conduct </w:t>
      </w:r>
      <w:r w:rsidRPr="00A55B49" w:rsidR="00B7630B">
        <w:rPr>
          <w:rFonts w:ascii="Times New Roman" w:hAnsi="Times New Roman" w:cs="Times New Roman"/>
          <w:iCs/>
          <w:sz w:val="24"/>
          <w:szCs w:val="24"/>
        </w:rPr>
        <w:t xml:space="preserve">between </w:t>
      </w:r>
      <w:r w:rsidRPr="00A55B49">
        <w:rPr>
          <w:rFonts w:ascii="Times New Roman" w:hAnsi="Times New Roman" w:cs="Times New Roman"/>
          <w:iCs/>
          <w:sz w:val="24"/>
          <w:szCs w:val="24"/>
        </w:rPr>
        <w:t>5</w:t>
      </w:r>
      <w:r w:rsidRPr="00A55B49" w:rsidR="00B7630B">
        <w:rPr>
          <w:rFonts w:ascii="Times New Roman" w:hAnsi="Times New Roman" w:cs="Times New Roman"/>
          <w:iCs/>
          <w:sz w:val="24"/>
          <w:szCs w:val="24"/>
        </w:rPr>
        <w:t xml:space="preserve"> and </w:t>
      </w:r>
      <w:r w:rsidRPr="00A55B49">
        <w:rPr>
          <w:rFonts w:ascii="Times New Roman" w:hAnsi="Times New Roman" w:cs="Times New Roman"/>
          <w:iCs/>
          <w:sz w:val="24"/>
          <w:szCs w:val="24"/>
        </w:rPr>
        <w:t xml:space="preserve">10 focus groups </w:t>
      </w:r>
      <w:r w:rsidRPr="00A55B49" w:rsidR="00B7630B">
        <w:rPr>
          <w:rFonts w:ascii="Times New Roman" w:hAnsi="Times New Roman" w:cs="Times New Roman"/>
          <w:iCs/>
          <w:sz w:val="24"/>
          <w:szCs w:val="24"/>
        </w:rPr>
        <w:t>with</w:t>
      </w:r>
      <w:r w:rsidRPr="00A55B49">
        <w:rPr>
          <w:rFonts w:ascii="Times New Roman" w:hAnsi="Times New Roman" w:cs="Times New Roman"/>
          <w:iCs/>
          <w:sz w:val="24"/>
          <w:szCs w:val="24"/>
        </w:rPr>
        <w:t xml:space="preserve"> 4</w:t>
      </w:r>
      <w:r w:rsidRPr="00A55B49" w:rsidR="00B7630B">
        <w:rPr>
          <w:rFonts w:ascii="Times New Roman" w:hAnsi="Times New Roman" w:cs="Times New Roman"/>
          <w:iCs/>
          <w:sz w:val="24"/>
          <w:szCs w:val="24"/>
        </w:rPr>
        <w:t xml:space="preserve"> to </w:t>
      </w:r>
      <w:r w:rsidRPr="00A55B49">
        <w:rPr>
          <w:rFonts w:ascii="Times New Roman" w:hAnsi="Times New Roman" w:cs="Times New Roman"/>
          <w:iCs/>
          <w:sz w:val="24"/>
          <w:szCs w:val="24"/>
        </w:rPr>
        <w:t xml:space="preserve">10 women mine workers </w:t>
      </w:r>
      <w:r w:rsidRPr="00A55B49" w:rsidR="00B7630B">
        <w:rPr>
          <w:rFonts w:ascii="Times New Roman" w:hAnsi="Times New Roman" w:cs="Times New Roman"/>
          <w:iCs/>
          <w:sz w:val="24"/>
          <w:szCs w:val="24"/>
        </w:rPr>
        <w:t xml:space="preserve">per group </w:t>
      </w:r>
      <w:r w:rsidRPr="00A55B49">
        <w:rPr>
          <w:rFonts w:ascii="Times New Roman" w:hAnsi="Times New Roman" w:cs="Times New Roman"/>
          <w:iCs/>
          <w:sz w:val="24"/>
          <w:szCs w:val="24"/>
        </w:rPr>
        <w:t xml:space="preserve">for Specific Aim 1a. </w:t>
      </w:r>
      <w:r w:rsidRPr="00A55B49" w:rsidR="00B7630B">
        <w:rPr>
          <w:rFonts w:ascii="Times New Roman" w:hAnsi="Times New Roman" w:cs="Times New Roman"/>
          <w:iCs/>
          <w:sz w:val="24"/>
          <w:szCs w:val="24"/>
        </w:rPr>
        <w:t xml:space="preserve">No more than 100 women mine workers will be sampled. </w:t>
      </w:r>
      <w:r w:rsidRPr="00A55B49" w:rsidR="00B6016D">
        <w:rPr>
          <w:rFonts w:ascii="Times New Roman" w:hAnsi="Times New Roman" w:cs="Times New Roman"/>
          <w:iCs/>
          <w:sz w:val="24"/>
          <w:szCs w:val="24"/>
        </w:rPr>
        <w:t>For</w:t>
      </w:r>
      <w:r w:rsidRPr="00A55B49">
        <w:rPr>
          <w:rFonts w:ascii="Times New Roman" w:hAnsi="Times New Roman" w:cs="Times New Roman"/>
          <w:iCs/>
          <w:sz w:val="24"/>
          <w:szCs w:val="24"/>
        </w:rPr>
        <w:t xml:space="preserve"> Specific Aim 1b, </w:t>
      </w:r>
      <w:r w:rsidRPr="00A55B49" w:rsidR="00B7630B">
        <w:rPr>
          <w:rFonts w:ascii="Times New Roman" w:hAnsi="Times New Roman" w:cs="Times New Roman"/>
          <w:iCs/>
          <w:sz w:val="24"/>
          <w:szCs w:val="24"/>
        </w:rPr>
        <w:t xml:space="preserve">we will conduct between </w:t>
      </w:r>
      <w:r w:rsidRPr="00A55B49">
        <w:rPr>
          <w:rFonts w:ascii="Times New Roman" w:hAnsi="Times New Roman" w:cs="Times New Roman"/>
          <w:iCs/>
          <w:sz w:val="24"/>
          <w:szCs w:val="24"/>
        </w:rPr>
        <w:t>3</w:t>
      </w:r>
      <w:r w:rsidRPr="00A55B49" w:rsidR="00B7630B">
        <w:rPr>
          <w:rFonts w:ascii="Times New Roman" w:hAnsi="Times New Roman" w:cs="Times New Roman"/>
          <w:iCs/>
          <w:sz w:val="24"/>
          <w:szCs w:val="24"/>
        </w:rPr>
        <w:t xml:space="preserve"> and </w:t>
      </w:r>
      <w:r w:rsidRPr="00A55B49">
        <w:rPr>
          <w:rFonts w:ascii="Times New Roman" w:hAnsi="Times New Roman" w:cs="Times New Roman"/>
          <w:iCs/>
          <w:sz w:val="24"/>
          <w:szCs w:val="24"/>
        </w:rPr>
        <w:t>5 focus groups with 4</w:t>
      </w:r>
      <w:r w:rsidRPr="00A55B49" w:rsidR="00B7630B">
        <w:rPr>
          <w:rFonts w:ascii="Times New Roman" w:hAnsi="Times New Roman" w:cs="Times New Roman"/>
          <w:iCs/>
          <w:sz w:val="24"/>
          <w:szCs w:val="24"/>
        </w:rPr>
        <w:t xml:space="preserve"> to </w:t>
      </w:r>
      <w:r w:rsidRPr="00A55B49">
        <w:rPr>
          <w:rFonts w:ascii="Times New Roman" w:hAnsi="Times New Roman" w:cs="Times New Roman"/>
          <w:iCs/>
          <w:sz w:val="24"/>
          <w:szCs w:val="24"/>
        </w:rPr>
        <w:t xml:space="preserve">6 mine managers and </w:t>
      </w:r>
      <w:r w:rsidRPr="00A55B49" w:rsidR="00B7630B">
        <w:rPr>
          <w:rFonts w:ascii="Times New Roman" w:hAnsi="Times New Roman" w:cs="Times New Roman"/>
          <w:iCs/>
          <w:sz w:val="24"/>
          <w:szCs w:val="24"/>
        </w:rPr>
        <w:t>H&amp;S</w:t>
      </w:r>
      <w:r w:rsidRPr="00A55B49">
        <w:rPr>
          <w:rFonts w:ascii="Times New Roman" w:hAnsi="Times New Roman" w:cs="Times New Roman"/>
          <w:iCs/>
          <w:sz w:val="24"/>
          <w:szCs w:val="24"/>
        </w:rPr>
        <w:t xml:space="preserve"> professionals</w:t>
      </w:r>
      <w:r w:rsidRPr="00A55B49" w:rsidR="00B7630B">
        <w:rPr>
          <w:rFonts w:ascii="Times New Roman" w:hAnsi="Times New Roman" w:cs="Times New Roman"/>
          <w:iCs/>
          <w:sz w:val="24"/>
          <w:szCs w:val="24"/>
        </w:rPr>
        <w:t xml:space="preserve"> per group</w:t>
      </w:r>
      <w:r w:rsidRPr="00A55B49">
        <w:rPr>
          <w:rFonts w:ascii="Times New Roman" w:hAnsi="Times New Roman" w:cs="Times New Roman"/>
          <w:iCs/>
          <w:sz w:val="24"/>
          <w:szCs w:val="24"/>
        </w:rPr>
        <w:t xml:space="preserve">. </w:t>
      </w:r>
      <w:r w:rsidRPr="00A55B49" w:rsidR="00B7630B">
        <w:rPr>
          <w:rFonts w:ascii="Times New Roman" w:hAnsi="Times New Roman" w:cs="Times New Roman"/>
          <w:iCs/>
          <w:sz w:val="24"/>
          <w:szCs w:val="24"/>
        </w:rPr>
        <w:t>No more than</w:t>
      </w:r>
      <w:r w:rsidRPr="00A55B49">
        <w:rPr>
          <w:rFonts w:ascii="Times New Roman" w:hAnsi="Times New Roman" w:cs="Times New Roman"/>
          <w:iCs/>
          <w:sz w:val="24"/>
          <w:szCs w:val="24"/>
        </w:rPr>
        <w:t xml:space="preserve"> 30 mine managers and </w:t>
      </w:r>
      <w:r w:rsidRPr="00A55B49" w:rsidR="00B7630B">
        <w:rPr>
          <w:rFonts w:ascii="Times New Roman" w:hAnsi="Times New Roman" w:cs="Times New Roman"/>
          <w:iCs/>
          <w:sz w:val="24"/>
          <w:szCs w:val="24"/>
        </w:rPr>
        <w:t>H&amp;S</w:t>
      </w:r>
      <w:r w:rsidRPr="00A55B49">
        <w:rPr>
          <w:rFonts w:ascii="Times New Roman" w:hAnsi="Times New Roman" w:cs="Times New Roman"/>
          <w:iCs/>
          <w:sz w:val="24"/>
          <w:szCs w:val="24"/>
        </w:rPr>
        <w:t xml:space="preserve"> professionals</w:t>
      </w:r>
      <w:r w:rsidRPr="00A55B49" w:rsidR="00B7630B">
        <w:rPr>
          <w:rFonts w:ascii="Times New Roman" w:hAnsi="Times New Roman" w:cs="Times New Roman"/>
          <w:iCs/>
          <w:sz w:val="24"/>
          <w:szCs w:val="24"/>
        </w:rPr>
        <w:t xml:space="preserve"> will be sampled</w:t>
      </w:r>
      <w:r w:rsidRPr="00A55B49">
        <w:rPr>
          <w:rFonts w:ascii="Times New Roman" w:hAnsi="Times New Roman" w:cs="Times New Roman"/>
          <w:iCs/>
          <w:sz w:val="24"/>
          <w:szCs w:val="24"/>
        </w:rPr>
        <w:t>. Focus group</w:t>
      </w:r>
      <w:r w:rsidRPr="00A55B49" w:rsidR="00B7630B">
        <w:rPr>
          <w:rFonts w:ascii="Times New Roman" w:hAnsi="Times New Roman" w:cs="Times New Roman"/>
          <w:iCs/>
          <w:sz w:val="24"/>
          <w:szCs w:val="24"/>
        </w:rPr>
        <w:t xml:space="preserve"> interviews</w:t>
      </w:r>
      <w:r w:rsidRPr="00A55B49">
        <w:rPr>
          <w:rFonts w:ascii="Times New Roman" w:hAnsi="Times New Roman" w:cs="Times New Roman"/>
          <w:iCs/>
          <w:sz w:val="24"/>
          <w:szCs w:val="24"/>
        </w:rPr>
        <w:t xml:space="preserve"> will last approximately 60-90 minutes</w:t>
      </w:r>
      <w:r w:rsidRPr="00A55B49" w:rsidR="00B7630B">
        <w:rPr>
          <w:rFonts w:ascii="Times New Roman" w:hAnsi="Times New Roman" w:cs="Times New Roman"/>
          <w:iCs/>
          <w:sz w:val="24"/>
          <w:szCs w:val="24"/>
        </w:rPr>
        <w:t>.</w:t>
      </w:r>
    </w:p>
    <w:p w:rsidR="00F528BC" w:rsidRPr="00A55B49" w:rsidP="00CD6527" w14:paraId="16E7E976" w14:textId="77777777">
      <w:pPr>
        <w:spacing w:after="0"/>
        <w:rPr>
          <w:rFonts w:ascii="Times New Roman" w:hAnsi="Times New Roman" w:cs="Times New Roman"/>
          <w:iCs/>
          <w:sz w:val="24"/>
          <w:szCs w:val="24"/>
        </w:rPr>
      </w:pPr>
    </w:p>
    <w:p w:rsidR="00AC4572" w:rsidRPr="00A55B49" w:rsidP="00CD6527" w14:paraId="632A2785" w14:textId="1AB04094">
      <w:pPr>
        <w:spacing w:after="0"/>
        <w:rPr>
          <w:rFonts w:ascii="Times New Roman" w:hAnsi="Times New Roman" w:cs="Times New Roman"/>
          <w:sz w:val="24"/>
          <w:szCs w:val="24"/>
        </w:rPr>
      </w:pPr>
      <w:r w:rsidRPr="00A55B49">
        <w:rPr>
          <w:rFonts w:ascii="Times New Roman" w:hAnsi="Times New Roman" w:cs="Times New Roman"/>
          <w:sz w:val="24"/>
          <w:szCs w:val="24"/>
        </w:rPr>
        <w:t>The United States Department of Labor, Bureau of Labor Statistics, May, 2023 (</w:t>
      </w:r>
      <w:hyperlink r:id="rId5" w:anchor="47-0000" w:history="1">
        <w:r w:rsidRPr="00A55B49" w:rsidR="00C05EE7">
          <w:rPr>
            <w:rStyle w:val="Hyperlink"/>
            <w:rFonts w:ascii="Times New Roman" w:hAnsi="Times New Roman" w:cs="Times New Roman"/>
            <w:sz w:val="24"/>
            <w:szCs w:val="24"/>
          </w:rPr>
          <w:t>May 2023 National Occupational Employment and Wage Estimates (bls.gov)</w:t>
        </w:r>
      </w:hyperlink>
      <w:r w:rsidRPr="00A55B49">
        <w:rPr>
          <w:rFonts w:ascii="Times New Roman" w:hAnsi="Times New Roman" w:cs="Times New Roman"/>
          <w:sz w:val="24"/>
          <w:szCs w:val="24"/>
        </w:rPr>
        <w:t xml:space="preserve">) data were used to estimate the median hourly wage rate for </w:t>
      </w:r>
      <w:r w:rsidRPr="00A55B49" w:rsidR="00941CEF">
        <w:rPr>
          <w:rFonts w:ascii="Times New Roman" w:hAnsi="Times New Roman" w:cs="Times New Roman"/>
          <w:sz w:val="24"/>
          <w:szCs w:val="24"/>
        </w:rPr>
        <w:t>mine</w:t>
      </w:r>
      <w:r w:rsidRPr="00A55B49" w:rsidR="007D1B50">
        <w:rPr>
          <w:rFonts w:ascii="Times New Roman" w:hAnsi="Times New Roman" w:cs="Times New Roman"/>
          <w:sz w:val="24"/>
          <w:szCs w:val="24"/>
        </w:rPr>
        <w:t xml:space="preserve"> worke</w:t>
      </w:r>
      <w:r w:rsidRPr="00A55B49" w:rsidR="00941CEF">
        <w:rPr>
          <w:rFonts w:ascii="Times New Roman" w:hAnsi="Times New Roman" w:cs="Times New Roman"/>
          <w:sz w:val="24"/>
          <w:szCs w:val="24"/>
        </w:rPr>
        <w:t xml:space="preserve">rs. </w:t>
      </w:r>
      <w:r w:rsidRPr="00A55B49" w:rsidR="00EC2987">
        <w:rPr>
          <w:rFonts w:ascii="Times New Roman" w:hAnsi="Times New Roman" w:cs="Times New Roman"/>
          <w:sz w:val="24"/>
          <w:szCs w:val="24"/>
        </w:rPr>
        <w:t xml:space="preserve">The United States Department of Labor, Bureau </w:t>
      </w:r>
      <w:r w:rsidRPr="00A55B49" w:rsidR="00EC2987">
        <w:rPr>
          <w:rFonts w:ascii="Times New Roman" w:hAnsi="Times New Roman" w:cs="Times New Roman"/>
          <w:sz w:val="24"/>
          <w:szCs w:val="24"/>
        </w:rPr>
        <w:t xml:space="preserve">of Labor Statistics, May 2019 </w:t>
      </w:r>
      <w:r w:rsidRPr="00A55B49" w:rsidR="00803658">
        <w:rPr>
          <w:rFonts w:ascii="Times New Roman" w:hAnsi="Times New Roman" w:cs="Times New Roman"/>
          <w:sz w:val="24"/>
          <w:szCs w:val="24"/>
        </w:rPr>
        <w:t>(</w:t>
      </w:r>
      <w:hyperlink r:id="rId6" w:history="1">
        <w:r w:rsidRPr="00A55B49" w:rsidR="00803658">
          <w:rPr>
            <w:rStyle w:val="Hyperlink"/>
            <w:rFonts w:ascii="Times New Roman" w:hAnsi="Times New Roman" w:cs="Times New Roman"/>
            <w:sz w:val="24"/>
            <w:szCs w:val="24"/>
          </w:rPr>
          <w:t>Occupational Health and Safety Specialists (bls.gov)</w:t>
        </w:r>
      </w:hyperlink>
      <w:r w:rsidRPr="00A55B49" w:rsidR="00803658">
        <w:rPr>
          <w:rFonts w:ascii="Times New Roman" w:hAnsi="Times New Roman" w:cs="Times New Roman"/>
          <w:sz w:val="24"/>
          <w:szCs w:val="24"/>
        </w:rPr>
        <w:t xml:space="preserve">) </w:t>
      </w:r>
      <w:r w:rsidRPr="00A55B49" w:rsidR="00EC2987">
        <w:rPr>
          <w:rFonts w:ascii="Times New Roman" w:hAnsi="Times New Roman" w:cs="Times New Roman"/>
          <w:sz w:val="24"/>
          <w:szCs w:val="24"/>
        </w:rPr>
        <w:t xml:space="preserve">data were used to estimate median hourly wage for </w:t>
      </w:r>
      <w:r w:rsidRPr="00A55B49" w:rsidR="00347464">
        <w:rPr>
          <w:rFonts w:ascii="Times New Roman" w:hAnsi="Times New Roman" w:cs="Times New Roman"/>
          <w:sz w:val="24"/>
          <w:szCs w:val="24"/>
        </w:rPr>
        <w:t>mine managers and H&amp;S</w:t>
      </w:r>
      <w:r w:rsidRPr="00A55B49" w:rsidR="00EC2987">
        <w:rPr>
          <w:rFonts w:ascii="Times New Roman" w:hAnsi="Times New Roman" w:cs="Times New Roman"/>
          <w:sz w:val="24"/>
          <w:szCs w:val="24"/>
        </w:rPr>
        <w:t xml:space="preserve"> specialists.</w:t>
      </w:r>
    </w:p>
    <w:p w:rsidR="006F2745" w:rsidRPr="00A55B49" w14:paraId="2DFC77E3" w14:textId="38955ADB">
      <w:pPr>
        <w:rPr>
          <w:rFonts w:ascii="Times New Roman" w:hAnsi="Times New Roman" w:cs="Times New Roman"/>
          <w:iCs/>
          <w:sz w:val="24"/>
          <w:szCs w:val="24"/>
        </w:rPr>
      </w:pPr>
      <w:r w:rsidRPr="00A55B49">
        <w:rPr>
          <w:rFonts w:ascii="Times New Roman" w:hAnsi="Times New Roman" w:cs="Times New Roman"/>
          <w:iCs/>
          <w:sz w:val="24"/>
          <w:szCs w:val="24"/>
        </w:rPr>
        <w:br w:type="page"/>
      </w:r>
    </w:p>
    <w:p w:rsidR="003D7BFF" w:rsidRPr="00A55B49" w:rsidP="00CD6527" w14:paraId="54CB58D3" w14:textId="77777777">
      <w:pPr>
        <w:spacing w:after="0"/>
        <w:rPr>
          <w:rFonts w:ascii="Times New Roman" w:hAnsi="Times New Roman" w:cs="Times New Roman"/>
          <w:iCs/>
          <w:sz w:val="24"/>
          <w:szCs w:val="24"/>
        </w:rPr>
      </w:pPr>
    </w:p>
    <w:p w:rsidR="00AE022F" w:rsidRPr="00A55B49" w:rsidP="00CD6527" w14:paraId="4CA32CF2" w14:textId="69F67957">
      <w:pPr>
        <w:spacing w:after="0"/>
        <w:rPr>
          <w:rFonts w:ascii="Times New Roman" w:hAnsi="Times New Roman" w:cs="Times New Roman"/>
          <w:iCs/>
          <w:sz w:val="24"/>
          <w:szCs w:val="24"/>
        </w:rPr>
      </w:pPr>
      <w:r w:rsidRPr="00A55B49">
        <w:rPr>
          <w:rFonts w:ascii="Times New Roman" w:hAnsi="Times New Roman" w:cs="Times New Roman"/>
          <w:iCs/>
          <w:sz w:val="24"/>
          <w:szCs w:val="24"/>
        </w:rPr>
        <w:t>Table A12A. Estimated Annualized Burden Hours</w:t>
      </w:r>
    </w:p>
    <w:tbl>
      <w:tblPr>
        <w:tblStyle w:val="TableGrid2"/>
        <w:tblW w:w="5000" w:type="pct"/>
        <w:tblLook w:val="04A0"/>
      </w:tblPr>
      <w:tblGrid>
        <w:gridCol w:w="1590"/>
        <w:gridCol w:w="2044"/>
        <w:gridCol w:w="1683"/>
        <w:gridCol w:w="1430"/>
        <w:gridCol w:w="1613"/>
        <w:gridCol w:w="990"/>
      </w:tblGrid>
      <w:tr w14:paraId="5169430A" w14:textId="77777777" w:rsidTr="00A36582">
        <w:tblPrEx>
          <w:tblW w:w="5000" w:type="pct"/>
          <w:tblLook w:val="04A0"/>
        </w:tblPrEx>
        <w:tc>
          <w:tcPr>
            <w:tcW w:w="864" w:type="pct"/>
            <w:vAlign w:val="center"/>
          </w:tcPr>
          <w:p w:rsidR="00DE615A" w:rsidRPr="00A55B49" w:rsidP="00A36582" w14:paraId="3F1CB61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jc w:val="center"/>
              <w:rPr>
                <w:rFonts w:ascii="Times New Roman" w:hAnsi="Times New Roman" w:cs="Times New Roman"/>
                <w:b/>
                <w:bCs/>
                <w:color w:val="000000"/>
                <w:sz w:val="24"/>
                <w:szCs w:val="24"/>
              </w:rPr>
            </w:pPr>
            <w:r w:rsidRPr="00A55B49">
              <w:rPr>
                <w:rFonts w:ascii="Times New Roman" w:hAnsi="Times New Roman" w:cs="Times New Roman"/>
                <w:b/>
                <w:bCs/>
                <w:color w:val="000000"/>
                <w:sz w:val="24"/>
                <w:szCs w:val="24"/>
              </w:rPr>
              <w:t>Type of Respondents</w:t>
            </w:r>
          </w:p>
        </w:tc>
        <w:tc>
          <w:tcPr>
            <w:tcW w:w="1107" w:type="pct"/>
            <w:vAlign w:val="center"/>
          </w:tcPr>
          <w:p w:rsidR="00DE615A" w:rsidRPr="00A55B49" w:rsidP="00A36582" w14:paraId="4B82C14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jc w:val="center"/>
              <w:rPr>
                <w:rFonts w:ascii="Times New Roman" w:hAnsi="Times New Roman" w:cs="Times New Roman"/>
                <w:b/>
                <w:bCs/>
                <w:color w:val="000000"/>
                <w:sz w:val="24"/>
                <w:szCs w:val="24"/>
              </w:rPr>
            </w:pPr>
          </w:p>
          <w:p w:rsidR="00DE615A" w:rsidRPr="00A55B49" w:rsidP="00A36582" w14:paraId="723CFB8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jc w:val="center"/>
              <w:rPr>
                <w:rFonts w:ascii="Times New Roman" w:hAnsi="Times New Roman" w:cs="Times New Roman"/>
                <w:b/>
                <w:bCs/>
                <w:color w:val="000000"/>
                <w:sz w:val="24"/>
                <w:szCs w:val="24"/>
              </w:rPr>
            </w:pPr>
            <w:r w:rsidRPr="00A55B49">
              <w:rPr>
                <w:rFonts w:ascii="Times New Roman" w:hAnsi="Times New Roman" w:cs="Times New Roman"/>
                <w:b/>
                <w:bCs/>
                <w:color w:val="000000"/>
                <w:sz w:val="24"/>
                <w:szCs w:val="24"/>
              </w:rPr>
              <w:t>Form</w:t>
            </w:r>
          </w:p>
          <w:p w:rsidR="00DE615A" w:rsidRPr="00A55B49" w:rsidP="00A36582" w14:paraId="288B7D1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jc w:val="center"/>
              <w:rPr>
                <w:rFonts w:ascii="Times New Roman" w:hAnsi="Times New Roman" w:cs="Times New Roman"/>
                <w:b/>
                <w:bCs/>
                <w:color w:val="000000"/>
                <w:sz w:val="24"/>
                <w:szCs w:val="24"/>
              </w:rPr>
            </w:pPr>
            <w:r w:rsidRPr="00A55B49">
              <w:rPr>
                <w:rFonts w:ascii="Times New Roman" w:hAnsi="Times New Roman" w:cs="Times New Roman"/>
                <w:b/>
                <w:bCs/>
                <w:color w:val="000000"/>
                <w:sz w:val="24"/>
                <w:szCs w:val="24"/>
              </w:rPr>
              <w:t>Name</w:t>
            </w:r>
          </w:p>
        </w:tc>
        <w:tc>
          <w:tcPr>
            <w:tcW w:w="914" w:type="pct"/>
            <w:vAlign w:val="center"/>
          </w:tcPr>
          <w:p w:rsidR="00DE615A" w:rsidRPr="00A55B49" w:rsidP="00A36582" w14:paraId="0A4A6A4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jc w:val="center"/>
              <w:rPr>
                <w:rFonts w:ascii="Times New Roman" w:hAnsi="Times New Roman" w:cs="Times New Roman"/>
                <w:b/>
                <w:bCs/>
                <w:color w:val="000000"/>
                <w:sz w:val="24"/>
                <w:szCs w:val="24"/>
              </w:rPr>
            </w:pPr>
            <w:r w:rsidRPr="00A55B49">
              <w:rPr>
                <w:rFonts w:ascii="Times New Roman" w:hAnsi="Times New Roman" w:cs="Times New Roman"/>
                <w:b/>
                <w:bCs/>
                <w:color w:val="000000"/>
                <w:sz w:val="24"/>
                <w:szCs w:val="24"/>
              </w:rPr>
              <w:t>No. of Respondents per Method</w:t>
            </w:r>
          </w:p>
        </w:tc>
        <w:tc>
          <w:tcPr>
            <w:tcW w:w="771" w:type="pct"/>
            <w:vAlign w:val="center"/>
          </w:tcPr>
          <w:p w:rsidR="00DE615A" w:rsidRPr="00A55B49" w:rsidP="00A36582" w14:paraId="63DB9229" w14:textId="77777777">
            <w:pPr>
              <w:widowControl w:val="0"/>
              <w:autoSpaceDE w:val="0"/>
              <w:autoSpaceDN w:val="0"/>
              <w:adjustRightInd w:val="0"/>
              <w:spacing w:after="0" w:line="120" w:lineRule="exact"/>
              <w:jc w:val="center"/>
              <w:rPr>
                <w:rFonts w:ascii="Times New Roman" w:hAnsi="Times New Roman" w:cs="Times New Roman"/>
                <w:b/>
                <w:bCs/>
                <w:color w:val="000000"/>
                <w:sz w:val="24"/>
                <w:szCs w:val="24"/>
              </w:rPr>
            </w:pPr>
          </w:p>
          <w:p w:rsidR="00DE615A" w:rsidRPr="00A55B49" w:rsidP="00A36582" w14:paraId="7983187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jc w:val="center"/>
              <w:rPr>
                <w:rFonts w:ascii="Times New Roman" w:hAnsi="Times New Roman" w:cs="Times New Roman"/>
                <w:b/>
                <w:bCs/>
                <w:color w:val="000000"/>
                <w:sz w:val="24"/>
                <w:szCs w:val="24"/>
              </w:rPr>
            </w:pPr>
            <w:r w:rsidRPr="00A55B49">
              <w:rPr>
                <w:rFonts w:ascii="Times New Roman" w:hAnsi="Times New Roman" w:cs="Times New Roman"/>
                <w:b/>
                <w:bCs/>
                <w:color w:val="000000"/>
                <w:sz w:val="24"/>
                <w:szCs w:val="24"/>
              </w:rPr>
              <w:t>No. of</w:t>
            </w:r>
          </w:p>
          <w:p w:rsidR="00DE615A" w:rsidRPr="00A55B49" w:rsidP="00A36582" w14:paraId="354E8AD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jc w:val="center"/>
              <w:rPr>
                <w:rFonts w:ascii="Times New Roman" w:hAnsi="Times New Roman" w:cs="Times New Roman"/>
                <w:b/>
                <w:bCs/>
                <w:color w:val="000000"/>
                <w:sz w:val="24"/>
                <w:szCs w:val="24"/>
              </w:rPr>
            </w:pPr>
            <w:r w:rsidRPr="00A55B49">
              <w:rPr>
                <w:rFonts w:ascii="Times New Roman" w:hAnsi="Times New Roman" w:cs="Times New Roman"/>
                <w:b/>
                <w:bCs/>
                <w:color w:val="000000"/>
                <w:sz w:val="24"/>
                <w:szCs w:val="24"/>
              </w:rPr>
              <w:t>Responses per Respondent</w:t>
            </w:r>
          </w:p>
        </w:tc>
        <w:tc>
          <w:tcPr>
            <w:tcW w:w="884" w:type="pct"/>
            <w:vAlign w:val="center"/>
          </w:tcPr>
          <w:p w:rsidR="00DE615A" w:rsidRPr="00A55B49" w:rsidP="00A36582" w14:paraId="21301186" w14:textId="77777777">
            <w:pPr>
              <w:widowControl w:val="0"/>
              <w:autoSpaceDE w:val="0"/>
              <w:autoSpaceDN w:val="0"/>
              <w:adjustRightInd w:val="0"/>
              <w:spacing w:after="0" w:line="120" w:lineRule="exact"/>
              <w:jc w:val="center"/>
              <w:rPr>
                <w:rFonts w:ascii="Times New Roman" w:hAnsi="Times New Roman" w:cs="Times New Roman"/>
                <w:b/>
                <w:bCs/>
                <w:color w:val="000000"/>
                <w:sz w:val="24"/>
                <w:szCs w:val="24"/>
              </w:rPr>
            </w:pPr>
          </w:p>
          <w:p w:rsidR="00DE615A" w:rsidRPr="00A55B49" w:rsidP="00A36582" w14:paraId="4C1D11D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jc w:val="center"/>
              <w:rPr>
                <w:rFonts w:ascii="Times New Roman" w:hAnsi="Times New Roman" w:cs="Times New Roman"/>
                <w:b/>
                <w:bCs/>
                <w:color w:val="000000"/>
                <w:sz w:val="24"/>
                <w:szCs w:val="24"/>
              </w:rPr>
            </w:pPr>
            <w:r w:rsidRPr="00A55B49">
              <w:rPr>
                <w:rFonts w:ascii="Times New Roman" w:hAnsi="Times New Roman" w:cs="Times New Roman"/>
                <w:b/>
                <w:bCs/>
                <w:color w:val="000000"/>
                <w:sz w:val="24"/>
                <w:szCs w:val="24"/>
              </w:rPr>
              <w:t>Average Burden per Response (hours)</w:t>
            </w:r>
          </w:p>
        </w:tc>
        <w:tc>
          <w:tcPr>
            <w:tcW w:w="460" w:type="pct"/>
            <w:vAlign w:val="center"/>
          </w:tcPr>
          <w:p w:rsidR="00DE615A" w:rsidRPr="00A55B49" w:rsidP="00A36582" w14:paraId="1242BFAD" w14:textId="77777777">
            <w:pPr>
              <w:widowControl w:val="0"/>
              <w:autoSpaceDE w:val="0"/>
              <w:autoSpaceDN w:val="0"/>
              <w:adjustRightInd w:val="0"/>
              <w:spacing w:after="0" w:line="120" w:lineRule="exact"/>
              <w:jc w:val="center"/>
              <w:rPr>
                <w:rFonts w:ascii="Times New Roman" w:hAnsi="Times New Roman" w:cs="Times New Roman"/>
                <w:b/>
                <w:bCs/>
                <w:color w:val="000000"/>
                <w:sz w:val="24"/>
                <w:szCs w:val="24"/>
              </w:rPr>
            </w:pPr>
          </w:p>
          <w:p w:rsidR="00DE615A" w:rsidRPr="00A55B49" w:rsidP="00A36582" w14:paraId="25BFFD6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jc w:val="center"/>
              <w:rPr>
                <w:rFonts w:ascii="Times New Roman" w:hAnsi="Times New Roman" w:cs="Times New Roman"/>
                <w:b/>
                <w:bCs/>
                <w:color w:val="000000"/>
                <w:sz w:val="24"/>
                <w:szCs w:val="24"/>
              </w:rPr>
            </w:pPr>
            <w:r w:rsidRPr="00A55B49">
              <w:rPr>
                <w:rFonts w:ascii="Times New Roman" w:hAnsi="Times New Roman" w:cs="Times New Roman"/>
                <w:b/>
                <w:bCs/>
                <w:color w:val="000000"/>
                <w:sz w:val="24"/>
                <w:szCs w:val="24"/>
              </w:rPr>
              <w:t>Total Burden Hours</w:t>
            </w:r>
          </w:p>
        </w:tc>
      </w:tr>
      <w:tr w14:paraId="5ECAF998" w14:textId="77777777" w:rsidTr="00A36582">
        <w:tblPrEx>
          <w:tblW w:w="5000" w:type="pct"/>
          <w:tblLook w:val="04A0"/>
        </w:tblPrEx>
        <w:tc>
          <w:tcPr>
            <w:tcW w:w="864" w:type="pct"/>
            <w:vAlign w:val="center"/>
          </w:tcPr>
          <w:p w:rsidR="00DE615A" w:rsidRPr="00A55B49" w:rsidP="00A36582" w14:paraId="4E3DC2AE" w14:textId="77777777">
            <w:pPr>
              <w:keepNext/>
              <w:keepLines/>
              <w:spacing w:after="0"/>
              <w:rPr>
                <w:rFonts w:ascii="Times New Roman" w:hAnsi="Times New Roman" w:cs="Times New Roman"/>
                <w:sz w:val="24"/>
                <w:szCs w:val="24"/>
              </w:rPr>
            </w:pPr>
            <w:r w:rsidRPr="00A55B49">
              <w:rPr>
                <w:rFonts w:ascii="Times New Roman" w:hAnsi="Times New Roman" w:cs="Times New Roman"/>
                <w:sz w:val="24"/>
                <w:szCs w:val="24"/>
              </w:rPr>
              <w:t>Women mine workers</w:t>
            </w:r>
          </w:p>
        </w:tc>
        <w:tc>
          <w:tcPr>
            <w:tcW w:w="1107" w:type="pct"/>
            <w:vAlign w:val="center"/>
          </w:tcPr>
          <w:p w:rsidR="00DE615A" w:rsidRPr="00A55B49" w:rsidP="00A36582" w14:paraId="32626434"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Focus Group Conversation Guide for Women Mine Workers</w:t>
            </w:r>
          </w:p>
        </w:tc>
        <w:tc>
          <w:tcPr>
            <w:tcW w:w="914" w:type="pct"/>
            <w:vAlign w:val="center"/>
          </w:tcPr>
          <w:p w:rsidR="00DE615A" w:rsidRPr="00A55B49" w:rsidP="00A36582" w14:paraId="03AAF450"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100</w:t>
            </w:r>
          </w:p>
        </w:tc>
        <w:tc>
          <w:tcPr>
            <w:tcW w:w="771" w:type="pct"/>
            <w:vAlign w:val="center"/>
          </w:tcPr>
          <w:p w:rsidR="00DE615A" w:rsidRPr="00A55B49" w:rsidP="00A36582" w14:paraId="506B573C"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w:t>
            </w:r>
          </w:p>
        </w:tc>
        <w:tc>
          <w:tcPr>
            <w:tcW w:w="884" w:type="pct"/>
            <w:vAlign w:val="center"/>
          </w:tcPr>
          <w:p w:rsidR="00DE615A" w:rsidRPr="00A55B49" w:rsidP="00A36582" w14:paraId="40FE7F26"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1.5</w:t>
            </w:r>
          </w:p>
        </w:tc>
        <w:tc>
          <w:tcPr>
            <w:tcW w:w="460" w:type="pct"/>
            <w:vAlign w:val="center"/>
          </w:tcPr>
          <w:p w:rsidR="00DE615A" w:rsidRPr="00A55B49" w:rsidP="00A36582" w14:paraId="7E60B349"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150</w:t>
            </w:r>
          </w:p>
        </w:tc>
      </w:tr>
      <w:tr w14:paraId="15135988" w14:textId="77777777" w:rsidTr="00A36582">
        <w:tblPrEx>
          <w:tblW w:w="5000" w:type="pct"/>
          <w:tblLook w:val="04A0"/>
        </w:tblPrEx>
        <w:tc>
          <w:tcPr>
            <w:tcW w:w="864" w:type="pct"/>
            <w:vAlign w:val="center"/>
          </w:tcPr>
          <w:p w:rsidR="00DE615A" w:rsidRPr="00A55B49" w:rsidP="00A36582" w14:paraId="2BD622A6" w14:textId="77777777">
            <w:pPr>
              <w:keepNext/>
              <w:keepLines/>
              <w:spacing w:after="0"/>
              <w:rPr>
                <w:rFonts w:ascii="Times New Roman" w:hAnsi="Times New Roman" w:cs="Times New Roman"/>
                <w:sz w:val="24"/>
                <w:szCs w:val="24"/>
              </w:rPr>
            </w:pPr>
            <w:r w:rsidRPr="00A55B49">
              <w:rPr>
                <w:rFonts w:ascii="Times New Roman" w:hAnsi="Times New Roman" w:cs="Times New Roman"/>
                <w:sz w:val="24"/>
                <w:szCs w:val="24"/>
              </w:rPr>
              <w:t>Women mine workers</w:t>
            </w:r>
          </w:p>
        </w:tc>
        <w:tc>
          <w:tcPr>
            <w:tcW w:w="1107" w:type="pct"/>
            <w:vAlign w:val="center"/>
          </w:tcPr>
          <w:p w:rsidR="00DE615A" w:rsidRPr="00A55B49" w:rsidP="00A36582" w14:paraId="50FBF965" w14:textId="77777777">
            <w:pPr>
              <w:keepNext/>
              <w:keepLines/>
              <w:spacing w:after="0"/>
              <w:jc w:val="center"/>
              <w:rPr>
                <w:rFonts w:ascii="Times New Roman" w:hAnsi="Times New Roman" w:cs="Times New Roman"/>
                <w:bCs/>
                <w:sz w:val="24"/>
                <w:szCs w:val="24"/>
              </w:rPr>
            </w:pPr>
            <w:r w:rsidRPr="00A55B49">
              <w:rPr>
                <w:rFonts w:ascii="Times New Roman" w:hAnsi="Times New Roman" w:cs="Times New Roman"/>
                <w:bCs/>
                <w:sz w:val="24"/>
                <w:szCs w:val="24"/>
              </w:rPr>
              <w:t>Demographics and Work History Survey</w:t>
            </w:r>
          </w:p>
        </w:tc>
        <w:tc>
          <w:tcPr>
            <w:tcW w:w="914" w:type="pct"/>
            <w:vAlign w:val="center"/>
          </w:tcPr>
          <w:p w:rsidR="00DE615A" w:rsidRPr="00A55B49" w:rsidP="00A36582" w14:paraId="6D9B6F48"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100</w:t>
            </w:r>
          </w:p>
        </w:tc>
        <w:tc>
          <w:tcPr>
            <w:tcW w:w="771" w:type="pct"/>
            <w:vAlign w:val="center"/>
          </w:tcPr>
          <w:p w:rsidR="00DE615A" w:rsidRPr="00A55B49" w:rsidP="00A36582" w14:paraId="7F0903F4"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w:t>
            </w:r>
          </w:p>
        </w:tc>
        <w:tc>
          <w:tcPr>
            <w:tcW w:w="884" w:type="pct"/>
            <w:vAlign w:val="center"/>
          </w:tcPr>
          <w:p w:rsidR="00DE615A" w:rsidRPr="00A55B49" w:rsidP="00A36582" w14:paraId="17E9AFF0"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10/60</w:t>
            </w:r>
          </w:p>
        </w:tc>
        <w:tc>
          <w:tcPr>
            <w:tcW w:w="460" w:type="pct"/>
            <w:vAlign w:val="center"/>
          </w:tcPr>
          <w:p w:rsidR="00DE615A" w:rsidRPr="00A55B49" w:rsidP="00A36582" w14:paraId="7B0F4D3F"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17</w:t>
            </w:r>
          </w:p>
        </w:tc>
      </w:tr>
      <w:tr w14:paraId="76663298" w14:textId="77777777" w:rsidTr="00A36582">
        <w:tblPrEx>
          <w:tblW w:w="5000" w:type="pct"/>
          <w:tblLook w:val="04A0"/>
        </w:tblPrEx>
        <w:tc>
          <w:tcPr>
            <w:tcW w:w="864" w:type="pct"/>
            <w:vAlign w:val="center"/>
          </w:tcPr>
          <w:p w:rsidR="00DE615A" w:rsidRPr="00A55B49" w:rsidP="00A36582" w14:paraId="225E82C3" w14:textId="77777777">
            <w:pPr>
              <w:keepNext/>
              <w:keepLines/>
              <w:spacing w:after="0"/>
              <w:rPr>
                <w:rFonts w:ascii="Times New Roman" w:hAnsi="Times New Roman" w:cs="Times New Roman"/>
                <w:sz w:val="24"/>
                <w:szCs w:val="24"/>
              </w:rPr>
            </w:pPr>
            <w:r w:rsidRPr="00A55B49">
              <w:rPr>
                <w:rFonts w:ascii="Times New Roman" w:hAnsi="Times New Roman" w:cs="Times New Roman"/>
                <w:sz w:val="24"/>
                <w:szCs w:val="24"/>
              </w:rPr>
              <w:t>Mine managers</w:t>
            </w:r>
          </w:p>
        </w:tc>
        <w:tc>
          <w:tcPr>
            <w:tcW w:w="1107" w:type="pct"/>
            <w:vAlign w:val="center"/>
          </w:tcPr>
          <w:p w:rsidR="00DE615A" w:rsidRPr="00A55B49" w:rsidP="00A36582" w14:paraId="1ECB29D7"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Focus Group Conversation Guide for Mine Managers and H&amp;S Professionals</w:t>
            </w:r>
          </w:p>
        </w:tc>
        <w:tc>
          <w:tcPr>
            <w:tcW w:w="914" w:type="pct"/>
            <w:vAlign w:val="center"/>
          </w:tcPr>
          <w:p w:rsidR="00DE615A" w:rsidRPr="00A55B49" w:rsidP="00A36582" w14:paraId="7310DD04"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30</w:t>
            </w:r>
          </w:p>
        </w:tc>
        <w:tc>
          <w:tcPr>
            <w:tcW w:w="771" w:type="pct"/>
            <w:vAlign w:val="center"/>
          </w:tcPr>
          <w:p w:rsidR="00DE615A" w:rsidRPr="00A55B49" w:rsidP="00A36582" w14:paraId="68FBE055"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w:t>
            </w:r>
          </w:p>
        </w:tc>
        <w:tc>
          <w:tcPr>
            <w:tcW w:w="884" w:type="pct"/>
            <w:vAlign w:val="center"/>
          </w:tcPr>
          <w:p w:rsidR="00DE615A" w:rsidRPr="00A55B49" w:rsidP="00A36582" w14:paraId="21D9FCB7"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1.5</w:t>
            </w:r>
          </w:p>
        </w:tc>
        <w:tc>
          <w:tcPr>
            <w:tcW w:w="460" w:type="pct"/>
            <w:vAlign w:val="center"/>
          </w:tcPr>
          <w:p w:rsidR="00DE615A" w:rsidRPr="00A55B49" w:rsidP="00A36582" w14:paraId="42C0B82B"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45</w:t>
            </w:r>
          </w:p>
        </w:tc>
      </w:tr>
      <w:tr w14:paraId="773992F4" w14:textId="77777777" w:rsidTr="00A36582">
        <w:tblPrEx>
          <w:tblW w:w="5000" w:type="pct"/>
          <w:tblLook w:val="04A0"/>
        </w:tblPrEx>
        <w:tc>
          <w:tcPr>
            <w:tcW w:w="864" w:type="pct"/>
            <w:vAlign w:val="center"/>
          </w:tcPr>
          <w:p w:rsidR="00DE615A" w:rsidRPr="00A55B49" w:rsidP="00A36582" w14:paraId="49AFDD6A" w14:textId="77777777">
            <w:pPr>
              <w:keepNext/>
              <w:keepLines/>
              <w:spacing w:after="0"/>
              <w:rPr>
                <w:rFonts w:ascii="Times New Roman" w:hAnsi="Times New Roman" w:cs="Times New Roman"/>
                <w:sz w:val="24"/>
                <w:szCs w:val="24"/>
              </w:rPr>
            </w:pPr>
            <w:r w:rsidRPr="00A55B49">
              <w:rPr>
                <w:rFonts w:ascii="Times New Roman" w:hAnsi="Times New Roman" w:cs="Times New Roman"/>
                <w:sz w:val="24"/>
                <w:szCs w:val="24"/>
              </w:rPr>
              <w:t>Mine managers</w:t>
            </w:r>
          </w:p>
        </w:tc>
        <w:tc>
          <w:tcPr>
            <w:tcW w:w="1107" w:type="pct"/>
            <w:vAlign w:val="center"/>
          </w:tcPr>
          <w:p w:rsidR="00DE615A" w:rsidRPr="00A55B49" w:rsidP="00A36582" w14:paraId="7ACE106F"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Demographics and Work History Survey</w:t>
            </w:r>
          </w:p>
        </w:tc>
        <w:tc>
          <w:tcPr>
            <w:tcW w:w="914" w:type="pct"/>
            <w:vAlign w:val="center"/>
          </w:tcPr>
          <w:p w:rsidR="00DE615A" w:rsidRPr="00A55B49" w:rsidP="00A36582" w14:paraId="4E5965DD"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30</w:t>
            </w:r>
          </w:p>
        </w:tc>
        <w:tc>
          <w:tcPr>
            <w:tcW w:w="771" w:type="pct"/>
            <w:vAlign w:val="center"/>
          </w:tcPr>
          <w:p w:rsidR="00DE615A" w:rsidRPr="00A55B49" w:rsidP="00A36582" w14:paraId="56A5ACB8"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w:t>
            </w:r>
          </w:p>
        </w:tc>
        <w:tc>
          <w:tcPr>
            <w:tcW w:w="884" w:type="pct"/>
            <w:vAlign w:val="center"/>
          </w:tcPr>
          <w:p w:rsidR="00DE615A" w:rsidRPr="00A55B49" w:rsidP="00A36582" w14:paraId="2CDFFC17"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10/60</w:t>
            </w:r>
          </w:p>
        </w:tc>
        <w:tc>
          <w:tcPr>
            <w:tcW w:w="460" w:type="pct"/>
            <w:vAlign w:val="center"/>
          </w:tcPr>
          <w:p w:rsidR="00DE615A" w:rsidRPr="00A55B49" w:rsidP="00A36582" w14:paraId="27D6D1C1"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5</w:t>
            </w:r>
          </w:p>
        </w:tc>
      </w:tr>
      <w:tr w14:paraId="19C6D389" w14:textId="77777777" w:rsidTr="00A36582">
        <w:tblPrEx>
          <w:tblW w:w="5000" w:type="pct"/>
          <w:tblLook w:val="04A0"/>
        </w:tblPrEx>
        <w:tc>
          <w:tcPr>
            <w:tcW w:w="864" w:type="pct"/>
            <w:vAlign w:val="center"/>
          </w:tcPr>
          <w:p w:rsidR="00DE615A" w:rsidRPr="00A55B49" w:rsidP="00A36582" w14:paraId="76C7A388" w14:textId="77777777">
            <w:pPr>
              <w:keepNext/>
              <w:keepLines/>
              <w:spacing w:after="0"/>
              <w:rPr>
                <w:rFonts w:ascii="Times New Roman" w:hAnsi="Times New Roman" w:cs="Times New Roman"/>
                <w:sz w:val="24"/>
                <w:szCs w:val="24"/>
              </w:rPr>
            </w:pPr>
            <w:r w:rsidRPr="00A55B49">
              <w:rPr>
                <w:rFonts w:ascii="Times New Roman" w:hAnsi="Times New Roman" w:cs="Times New Roman"/>
                <w:sz w:val="24"/>
                <w:szCs w:val="24"/>
              </w:rPr>
              <w:t>Total</w:t>
            </w:r>
          </w:p>
        </w:tc>
        <w:tc>
          <w:tcPr>
            <w:tcW w:w="1107" w:type="pct"/>
            <w:vAlign w:val="center"/>
          </w:tcPr>
          <w:p w:rsidR="00DE615A" w:rsidRPr="00A55B49" w:rsidP="00A36582" w14:paraId="63D99336" w14:textId="77777777">
            <w:pPr>
              <w:keepNext/>
              <w:keepLines/>
              <w:spacing w:after="0"/>
              <w:jc w:val="center"/>
              <w:rPr>
                <w:rFonts w:ascii="Times New Roman" w:hAnsi="Times New Roman" w:cs="Times New Roman"/>
                <w:sz w:val="24"/>
                <w:szCs w:val="24"/>
              </w:rPr>
            </w:pPr>
          </w:p>
        </w:tc>
        <w:tc>
          <w:tcPr>
            <w:tcW w:w="914" w:type="pct"/>
            <w:vAlign w:val="center"/>
          </w:tcPr>
          <w:p w:rsidR="00DE615A" w:rsidRPr="00A55B49" w:rsidP="00A36582" w14:paraId="2CF173BB"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260</w:t>
            </w:r>
          </w:p>
        </w:tc>
        <w:tc>
          <w:tcPr>
            <w:tcW w:w="771" w:type="pct"/>
            <w:vAlign w:val="center"/>
          </w:tcPr>
          <w:p w:rsidR="00DE615A" w:rsidRPr="00A55B49" w:rsidP="00A36582" w14:paraId="45F1A31A"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w:t>
            </w:r>
          </w:p>
        </w:tc>
        <w:tc>
          <w:tcPr>
            <w:tcW w:w="884" w:type="pct"/>
            <w:vAlign w:val="center"/>
          </w:tcPr>
          <w:p w:rsidR="00DE615A" w:rsidRPr="00A55B49" w:rsidP="00A36582" w14:paraId="620AF1F0"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w:t>
            </w:r>
          </w:p>
        </w:tc>
        <w:tc>
          <w:tcPr>
            <w:tcW w:w="460" w:type="pct"/>
            <w:vAlign w:val="center"/>
          </w:tcPr>
          <w:p w:rsidR="00DE615A" w:rsidRPr="00A55B49" w:rsidP="00A36582" w14:paraId="58F067B1"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217</w:t>
            </w:r>
          </w:p>
        </w:tc>
      </w:tr>
    </w:tbl>
    <w:p w:rsidR="003D7BFF" w:rsidRPr="00A55B49" w:rsidP="00CD6527" w14:paraId="5FFF89DC" w14:textId="77777777">
      <w:pPr>
        <w:spacing w:after="0"/>
        <w:rPr>
          <w:rFonts w:ascii="Times New Roman" w:hAnsi="Times New Roman" w:cs="Times New Roman"/>
          <w:iCs/>
          <w:sz w:val="24"/>
          <w:szCs w:val="24"/>
        </w:rPr>
      </w:pPr>
    </w:p>
    <w:p w:rsidR="003D7BFF" w:rsidRPr="00A55B49" w:rsidP="00CD6527" w14:paraId="0A739C49" w14:textId="77777777">
      <w:pPr>
        <w:spacing w:after="0"/>
        <w:rPr>
          <w:rFonts w:ascii="Times New Roman" w:hAnsi="Times New Roman" w:cs="Times New Roman"/>
          <w:iCs/>
          <w:sz w:val="24"/>
          <w:szCs w:val="24"/>
        </w:rPr>
      </w:pPr>
    </w:p>
    <w:p w:rsidR="00556533" w:rsidRPr="00A55B49" w:rsidP="00CD6527" w14:paraId="2AED6A3C" w14:textId="35C3E8AE">
      <w:pPr>
        <w:spacing w:after="0"/>
        <w:rPr>
          <w:rFonts w:ascii="Times New Roman" w:hAnsi="Times New Roman" w:cs="Times New Roman"/>
          <w:iCs/>
          <w:sz w:val="24"/>
          <w:szCs w:val="24"/>
        </w:rPr>
      </w:pPr>
      <w:r w:rsidRPr="00A55B49">
        <w:rPr>
          <w:rFonts w:ascii="Times New Roman" w:hAnsi="Times New Roman" w:cs="Times New Roman"/>
          <w:iCs/>
          <w:sz w:val="24"/>
          <w:szCs w:val="24"/>
        </w:rPr>
        <w:t>Table A12A. Estimated Annualized Cost Hours</w:t>
      </w:r>
    </w:p>
    <w:tbl>
      <w:tblPr>
        <w:tblStyle w:val="TableGrid2"/>
        <w:tblW w:w="5000" w:type="pct"/>
        <w:jc w:val="center"/>
        <w:tblLook w:val="04A0"/>
      </w:tblPr>
      <w:tblGrid>
        <w:gridCol w:w="1757"/>
        <w:gridCol w:w="1523"/>
        <w:gridCol w:w="1430"/>
        <w:gridCol w:w="1177"/>
        <w:gridCol w:w="990"/>
        <w:gridCol w:w="950"/>
        <w:gridCol w:w="1523"/>
      </w:tblGrid>
      <w:tr w14:paraId="708E5939" w14:textId="77777777" w:rsidTr="00A36582">
        <w:tblPrEx>
          <w:tblW w:w="5000" w:type="pct"/>
          <w:jc w:val="center"/>
          <w:tblLook w:val="04A0"/>
        </w:tblPrEx>
        <w:trPr>
          <w:jc w:val="center"/>
        </w:trPr>
        <w:tc>
          <w:tcPr>
            <w:tcW w:w="1096" w:type="pct"/>
          </w:tcPr>
          <w:p w:rsidR="00AC653C" w:rsidRPr="00A55B49" w:rsidP="00A36582" w14:paraId="06296D5A" w14:textId="77777777">
            <w:pPr>
              <w:spacing w:after="0"/>
              <w:rPr>
                <w:rFonts w:ascii="Times New Roman" w:hAnsi="Times New Roman" w:cs="Times New Roman"/>
                <w:b/>
                <w:bCs/>
                <w:sz w:val="24"/>
                <w:szCs w:val="24"/>
              </w:rPr>
            </w:pPr>
            <w:r w:rsidRPr="00A55B49">
              <w:rPr>
                <w:rFonts w:ascii="Times New Roman" w:hAnsi="Times New Roman" w:cs="Times New Roman"/>
                <w:b/>
                <w:bCs/>
                <w:sz w:val="24"/>
                <w:szCs w:val="24"/>
              </w:rPr>
              <w:t>Data collection methods</w:t>
            </w:r>
          </w:p>
        </w:tc>
        <w:tc>
          <w:tcPr>
            <w:tcW w:w="698" w:type="pct"/>
          </w:tcPr>
          <w:p w:rsidR="00AC653C" w:rsidRPr="00A55B49" w:rsidP="00A36582" w14:paraId="7E54C20D" w14:textId="77777777">
            <w:pPr>
              <w:spacing w:after="0"/>
              <w:rPr>
                <w:rFonts w:ascii="Times New Roman" w:hAnsi="Times New Roman" w:cs="Times New Roman"/>
                <w:b/>
                <w:bCs/>
                <w:sz w:val="24"/>
                <w:szCs w:val="24"/>
              </w:rPr>
            </w:pPr>
            <w:r w:rsidRPr="00A55B49">
              <w:rPr>
                <w:rFonts w:ascii="Times New Roman" w:hAnsi="Times New Roman" w:cs="Times New Roman"/>
                <w:b/>
                <w:bCs/>
                <w:sz w:val="24"/>
                <w:szCs w:val="24"/>
              </w:rPr>
              <w:t>No. of Respondents per Method</w:t>
            </w:r>
          </w:p>
        </w:tc>
        <w:tc>
          <w:tcPr>
            <w:tcW w:w="657" w:type="pct"/>
          </w:tcPr>
          <w:p w:rsidR="00AC653C" w:rsidRPr="00A55B49" w:rsidP="00A36582" w14:paraId="14A55AF2" w14:textId="77777777">
            <w:pPr>
              <w:spacing w:after="0"/>
              <w:rPr>
                <w:rFonts w:ascii="Times New Roman" w:hAnsi="Times New Roman" w:cs="Times New Roman"/>
                <w:b/>
                <w:bCs/>
                <w:sz w:val="24"/>
                <w:szCs w:val="24"/>
              </w:rPr>
            </w:pPr>
            <w:r w:rsidRPr="00A55B49">
              <w:rPr>
                <w:rFonts w:ascii="Times New Roman" w:hAnsi="Times New Roman" w:cs="Times New Roman"/>
                <w:b/>
                <w:bCs/>
                <w:sz w:val="24"/>
                <w:szCs w:val="24"/>
              </w:rPr>
              <w:t>No. of Responses per Respondent</w:t>
            </w:r>
          </w:p>
        </w:tc>
        <w:tc>
          <w:tcPr>
            <w:tcW w:w="544" w:type="pct"/>
          </w:tcPr>
          <w:p w:rsidR="00AC653C" w:rsidRPr="00A55B49" w:rsidP="00A36582" w14:paraId="269EB0E2" w14:textId="77777777">
            <w:pPr>
              <w:spacing w:after="0"/>
              <w:rPr>
                <w:rFonts w:ascii="Times New Roman" w:hAnsi="Times New Roman" w:cs="Times New Roman"/>
                <w:b/>
                <w:bCs/>
                <w:sz w:val="24"/>
                <w:szCs w:val="24"/>
              </w:rPr>
            </w:pPr>
            <w:r w:rsidRPr="00A55B49">
              <w:rPr>
                <w:rFonts w:ascii="Times New Roman" w:hAnsi="Times New Roman" w:cs="Times New Roman"/>
                <w:b/>
                <w:bCs/>
                <w:sz w:val="24"/>
                <w:szCs w:val="24"/>
              </w:rPr>
              <w:t>Average Burden per Response (hours)</w:t>
            </w:r>
          </w:p>
        </w:tc>
        <w:tc>
          <w:tcPr>
            <w:tcW w:w="648" w:type="pct"/>
          </w:tcPr>
          <w:p w:rsidR="00AC653C" w:rsidRPr="00A55B49" w:rsidP="00A36582" w14:paraId="30F4A612" w14:textId="77777777">
            <w:pPr>
              <w:spacing w:after="0"/>
              <w:rPr>
                <w:rFonts w:ascii="Times New Roman" w:hAnsi="Times New Roman" w:cs="Times New Roman"/>
                <w:b/>
                <w:bCs/>
                <w:sz w:val="24"/>
                <w:szCs w:val="24"/>
              </w:rPr>
            </w:pPr>
            <w:r w:rsidRPr="00A55B49">
              <w:rPr>
                <w:rFonts w:ascii="Times New Roman" w:hAnsi="Times New Roman" w:cs="Times New Roman"/>
                <w:b/>
                <w:bCs/>
                <w:sz w:val="24"/>
                <w:szCs w:val="24"/>
              </w:rPr>
              <w:t>Total Burden Hours</w:t>
            </w:r>
          </w:p>
        </w:tc>
        <w:tc>
          <w:tcPr>
            <w:tcW w:w="590" w:type="pct"/>
          </w:tcPr>
          <w:p w:rsidR="00AC653C" w:rsidRPr="00A55B49" w:rsidP="00A36582" w14:paraId="3493BD75" w14:textId="77777777">
            <w:pPr>
              <w:spacing w:after="0"/>
              <w:rPr>
                <w:rFonts w:ascii="Times New Roman" w:hAnsi="Times New Roman" w:cs="Times New Roman"/>
                <w:b/>
                <w:bCs/>
                <w:sz w:val="24"/>
                <w:szCs w:val="24"/>
              </w:rPr>
            </w:pPr>
            <w:r w:rsidRPr="00A55B49">
              <w:rPr>
                <w:rFonts w:ascii="Times New Roman" w:hAnsi="Times New Roman" w:cs="Times New Roman"/>
                <w:b/>
                <w:bCs/>
                <w:sz w:val="24"/>
                <w:szCs w:val="24"/>
              </w:rPr>
              <w:t>Hourly Wage Rate</w:t>
            </w:r>
          </w:p>
        </w:tc>
        <w:tc>
          <w:tcPr>
            <w:tcW w:w="767" w:type="pct"/>
          </w:tcPr>
          <w:p w:rsidR="00AC653C" w:rsidRPr="00A55B49" w:rsidP="00A36582" w14:paraId="22D7FED5" w14:textId="77777777">
            <w:pPr>
              <w:spacing w:after="0"/>
              <w:rPr>
                <w:rFonts w:ascii="Times New Roman" w:hAnsi="Times New Roman" w:cs="Times New Roman"/>
                <w:b/>
                <w:bCs/>
                <w:sz w:val="24"/>
                <w:szCs w:val="24"/>
              </w:rPr>
            </w:pPr>
            <w:r w:rsidRPr="00A55B49">
              <w:rPr>
                <w:rFonts w:ascii="Times New Roman" w:hAnsi="Times New Roman" w:cs="Times New Roman"/>
                <w:b/>
                <w:bCs/>
                <w:sz w:val="24"/>
                <w:szCs w:val="24"/>
              </w:rPr>
              <w:t>Total Respondents Cost</w:t>
            </w:r>
          </w:p>
          <w:p w:rsidR="00AC653C" w:rsidRPr="00A55B49" w:rsidP="00A36582" w14:paraId="5357F63D" w14:textId="77777777">
            <w:pPr>
              <w:spacing w:after="0"/>
              <w:rPr>
                <w:rFonts w:ascii="Times New Roman" w:hAnsi="Times New Roman" w:cs="Times New Roman"/>
                <w:b/>
                <w:bCs/>
                <w:sz w:val="24"/>
                <w:szCs w:val="24"/>
              </w:rPr>
            </w:pPr>
          </w:p>
        </w:tc>
      </w:tr>
      <w:tr w14:paraId="46DA2A0F" w14:textId="77777777" w:rsidTr="00A36582">
        <w:tblPrEx>
          <w:tblW w:w="5000" w:type="pct"/>
          <w:jc w:val="center"/>
          <w:tblLook w:val="04A0"/>
        </w:tblPrEx>
        <w:trPr>
          <w:jc w:val="center"/>
        </w:trPr>
        <w:tc>
          <w:tcPr>
            <w:tcW w:w="1096" w:type="pct"/>
          </w:tcPr>
          <w:p w:rsidR="00AC653C" w:rsidRPr="00A55B49" w:rsidP="00A36582" w14:paraId="2001E276"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Focus group interview (women mine workers)</w:t>
            </w:r>
          </w:p>
        </w:tc>
        <w:tc>
          <w:tcPr>
            <w:tcW w:w="698" w:type="pct"/>
          </w:tcPr>
          <w:p w:rsidR="00AC653C" w:rsidRPr="00A55B49" w:rsidP="00A36582" w14:paraId="03597B00"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100</w:t>
            </w:r>
          </w:p>
        </w:tc>
        <w:tc>
          <w:tcPr>
            <w:tcW w:w="657" w:type="pct"/>
          </w:tcPr>
          <w:p w:rsidR="00AC653C" w:rsidRPr="00A55B49" w:rsidP="00A36582" w14:paraId="1AD04FF9"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w:t>
            </w:r>
          </w:p>
        </w:tc>
        <w:tc>
          <w:tcPr>
            <w:tcW w:w="544" w:type="pct"/>
          </w:tcPr>
          <w:p w:rsidR="00AC653C" w:rsidRPr="00A55B49" w:rsidP="00A36582" w14:paraId="4498B3F0"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1.5</w:t>
            </w:r>
          </w:p>
        </w:tc>
        <w:tc>
          <w:tcPr>
            <w:tcW w:w="648" w:type="pct"/>
          </w:tcPr>
          <w:p w:rsidR="00AC653C" w:rsidRPr="00A55B49" w:rsidP="00A36582" w14:paraId="313BC5AC"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150</w:t>
            </w:r>
          </w:p>
        </w:tc>
        <w:tc>
          <w:tcPr>
            <w:tcW w:w="590" w:type="pct"/>
          </w:tcPr>
          <w:p w:rsidR="00AC653C" w:rsidRPr="00A55B49" w:rsidP="00A36582" w14:paraId="5D1B15E6"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$29.86</w:t>
            </w:r>
          </w:p>
        </w:tc>
        <w:tc>
          <w:tcPr>
            <w:tcW w:w="767" w:type="pct"/>
          </w:tcPr>
          <w:p w:rsidR="00AC653C" w:rsidRPr="00A55B49" w:rsidP="00A36582" w14:paraId="7323FE28"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$4,479</w:t>
            </w:r>
          </w:p>
        </w:tc>
      </w:tr>
      <w:tr w14:paraId="3A8ABB8E" w14:textId="77777777" w:rsidTr="00A36582">
        <w:tblPrEx>
          <w:tblW w:w="5000" w:type="pct"/>
          <w:jc w:val="center"/>
          <w:tblLook w:val="04A0"/>
        </w:tblPrEx>
        <w:trPr>
          <w:jc w:val="center"/>
        </w:trPr>
        <w:tc>
          <w:tcPr>
            <w:tcW w:w="1096" w:type="pct"/>
          </w:tcPr>
          <w:p w:rsidR="00AC653C" w:rsidRPr="00A55B49" w:rsidP="00A36582" w14:paraId="3A8C6016"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Demographic survey (women mine workers)</w:t>
            </w:r>
          </w:p>
        </w:tc>
        <w:tc>
          <w:tcPr>
            <w:tcW w:w="698" w:type="pct"/>
          </w:tcPr>
          <w:p w:rsidR="00AC653C" w:rsidRPr="00A55B49" w:rsidP="00A36582" w14:paraId="364EEF47"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100</w:t>
            </w:r>
          </w:p>
        </w:tc>
        <w:tc>
          <w:tcPr>
            <w:tcW w:w="657" w:type="pct"/>
          </w:tcPr>
          <w:p w:rsidR="00AC653C" w:rsidRPr="00A55B49" w:rsidP="00A36582" w14:paraId="0D3E54FB"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w:t>
            </w:r>
          </w:p>
        </w:tc>
        <w:tc>
          <w:tcPr>
            <w:tcW w:w="544" w:type="pct"/>
          </w:tcPr>
          <w:p w:rsidR="00AC653C" w:rsidRPr="00A55B49" w:rsidP="00A36582" w14:paraId="2B4EE106"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10/60</w:t>
            </w:r>
          </w:p>
        </w:tc>
        <w:tc>
          <w:tcPr>
            <w:tcW w:w="648" w:type="pct"/>
          </w:tcPr>
          <w:p w:rsidR="00AC653C" w:rsidRPr="00A55B49" w:rsidP="00A36582" w14:paraId="0C1B73BB"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17</w:t>
            </w:r>
          </w:p>
        </w:tc>
        <w:tc>
          <w:tcPr>
            <w:tcW w:w="590" w:type="pct"/>
          </w:tcPr>
          <w:p w:rsidR="00AC653C" w:rsidRPr="00A55B49" w:rsidP="00A36582" w14:paraId="14338A87"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$29.86</w:t>
            </w:r>
          </w:p>
        </w:tc>
        <w:tc>
          <w:tcPr>
            <w:tcW w:w="767" w:type="pct"/>
          </w:tcPr>
          <w:p w:rsidR="00AC653C" w:rsidRPr="00A55B49" w:rsidP="00A36582" w14:paraId="18561C5C"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$507.62</w:t>
            </w:r>
          </w:p>
        </w:tc>
      </w:tr>
      <w:tr w14:paraId="01953731" w14:textId="77777777" w:rsidTr="00A36582">
        <w:tblPrEx>
          <w:tblW w:w="5000" w:type="pct"/>
          <w:jc w:val="center"/>
          <w:tblLook w:val="04A0"/>
        </w:tblPrEx>
        <w:trPr>
          <w:jc w:val="center"/>
        </w:trPr>
        <w:tc>
          <w:tcPr>
            <w:tcW w:w="1096" w:type="pct"/>
          </w:tcPr>
          <w:p w:rsidR="00AC653C" w:rsidRPr="00A55B49" w:rsidP="00A36582" w14:paraId="774A1105" w14:textId="7EBA3345">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Focus group interview (</w:t>
            </w:r>
            <w:r w:rsidR="00450053">
              <w:rPr>
                <w:rFonts w:ascii="Times New Roman" w:hAnsi="Times New Roman" w:cs="Times New Roman"/>
                <w:sz w:val="24"/>
                <w:szCs w:val="24"/>
              </w:rPr>
              <w:t>m</w:t>
            </w:r>
            <w:r w:rsidRPr="00A55B49">
              <w:rPr>
                <w:rFonts w:ascii="Times New Roman" w:hAnsi="Times New Roman" w:cs="Times New Roman"/>
                <w:sz w:val="24"/>
                <w:szCs w:val="24"/>
              </w:rPr>
              <w:t>ine managers)</w:t>
            </w:r>
          </w:p>
        </w:tc>
        <w:tc>
          <w:tcPr>
            <w:tcW w:w="698" w:type="pct"/>
          </w:tcPr>
          <w:p w:rsidR="00AC653C" w:rsidRPr="00A55B49" w:rsidP="00A36582" w14:paraId="6F7BF63B"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30</w:t>
            </w:r>
          </w:p>
        </w:tc>
        <w:tc>
          <w:tcPr>
            <w:tcW w:w="657" w:type="pct"/>
          </w:tcPr>
          <w:p w:rsidR="00AC653C" w:rsidRPr="00A55B49" w:rsidP="00A36582" w14:paraId="01A23ABC"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w:t>
            </w:r>
          </w:p>
        </w:tc>
        <w:tc>
          <w:tcPr>
            <w:tcW w:w="544" w:type="pct"/>
          </w:tcPr>
          <w:p w:rsidR="00AC653C" w:rsidRPr="00A55B49" w:rsidP="00A36582" w14:paraId="47B3F72B"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1.5</w:t>
            </w:r>
          </w:p>
        </w:tc>
        <w:tc>
          <w:tcPr>
            <w:tcW w:w="648" w:type="pct"/>
          </w:tcPr>
          <w:p w:rsidR="00AC653C" w:rsidRPr="00A55B49" w:rsidP="00A36582" w14:paraId="5E1E014A"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45</w:t>
            </w:r>
          </w:p>
        </w:tc>
        <w:tc>
          <w:tcPr>
            <w:tcW w:w="590" w:type="pct"/>
          </w:tcPr>
          <w:p w:rsidR="00AC653C" w:rsidRPr="00A55B49" w:rsidP="00A36582" w14:paraId="402462ED"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$36.68</w:t>
            </w:r>
          </w:p>
        </w:tc>
        <w:tc>
          <w:tcPr>
            <w:tcW w:w="767" w:type="pct"/>
          </w:tcPr>
          <w:p w:rsidR="00AC653C" w:rsidRPr="00A55B49" w:rsidP="00A36582" w14:paraId="4EF3FF47"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$1,650.60</w:t>
            </w:r>
          </w:p>
        </w:tc>
      </w:tr>
      <w:tr w14:paraId="2A9BB696" w14:textId="77777777" w:rsidTr="00A36582">
        <w:tblPrEx>
          <w:tblW w:w="5000" w:type="pct"/>
          <w:jc w:val="center"/>
          <w:tblLook w:val="04A0"/>
        </w:tblPrEx>
        <w:trPr>
          <w:jc w:val="center"/>
        </w:trPr>
        <w:tc>
          <w:tcPr>
            <w:tcW w:w="1096" w:type="pct"/>
          </w:tcPr>
          <w:p w:rsidR="00AC653C" w:rsidRPr="00A55B49" w:rsidP="00A36582" w14:paraId="5472F198"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bCs/>
                <w:sz w:val="24"/>
                <w:szCs w:val="24"/>
              </w:rPr>
              <w:t xml:space="preserve">Demographic survey </w:t>
            </w:r>
            <w:r w:rsidRPr="00A55B49">
              <w:rPr>
                <w:rFonts w:ascii="Times New Roman" w:hAnsi="Times New Roman" w:cs="Times New Roman"/>
                <w:sz w:val="24"/>
                <w:szCs w:val="24"/>
              </w:rPr>
              <w:t>(Mine managers)</w:t>
            </w:r>
          </w:p>
        </w:tc>
        <w:tc>
          <w:tcPr>
            <w:tcW w:w="698" w:type="pct"/>
          </w:tcPr>
          <w:p w:rsidR="00AC653C" w:rsidRPr="00A55B49" w:rsidP="00A36582" w14:paraId="58AB4729" w14:textId="77777777">
            <w:pPr>
              <w:keepNext/>
              <w:keepLines/>
              <w:spacing w:after="0" w:line="240" w:lineRule="auto"/>
              <w:jc w:val="center"/>
              <w:rPr>
                <w:rFonts w:ascii="Times New Roman" w:hAnsi="Times New Roman" w:cs="Times New Roman"/>
                <w:bCs/>
                <w:sz w:val="24"/>
                <w:szCs w:val="24"/>
              </w:rPr>
            </w:pPr>
            <w:r w:rsidRPr="00A55B49">
              <w:rPr>
                <w:rFonts w:ascii="Times New Roman" w:hAnsi="Times New Roman" w:cs="Times New Roman"/>
                <w:sz w:val="24"/>
                <w:szCs w:val="24"/>
              </w:rPr>
              <w:t>30</w:t>
            </w:r>
          </w:p>
        </w:tc>
        <w:tc>
          <w:tcPr>
            <w:tcW w:w="657" w:type="pct"/>
          </w:tcPr>
          <w:p w:rsidR="00AC653C" w:rsidRPr="00A55B49" w:rsidP="00A36582" w14:paraId="3DD5C743"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w:t>
            </w:r>
          </w:p>
        </w:tc>
        <w:tc>
          <w:tcPr>
            <w:tcW w:w="544" w:type="pct"/>
          </w:tcPr>
          <w:p w:rsidR="00AC653C" w:rsidRPr="00A55B49" w:rsidP="00A36582" w14:paraId="4D4A273C"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10/60</w:t>
            </w:r>
          </w:p>
        </w:tc>
        <w:tc>
          <w:tcPr>
            <w:tcW w:w="648" w:type="pct"/>
          </w:tcPr>
          <w:p w:rsidR="00AC653C" w:rsidRPr="00A55B49" w:rsidP="00A36582" w14:paraId="30D01718"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5</w:t>
            </w:r>
          </w:p>
        </w:tc>
        <w:tc>
          <w:tcPr>
            <w:tcW w:w="590" w:type="pct"/>
          </w:tcPr>
          <w:p w:rsidR="00AC653C" w:rsidRPr="00A55B49" w:rsidP="00A36582" w14:paraId="3A12B595"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$36.68</w:t>
            </w:r>
          </w:p>
          <w:p w:rsidR="00AC653C" w:rsidRPr="00A55B49" w:rsidP="00A36582" w14:paraId="7ACCE201" w14:textId="77777777">
            <w:pPr>
              <w:keepNext/>
              <w:keepLines/>
              <w:spacing w:after="0" w:line="240" w:lineRule="auto"/>
              <w:jc w:val="center"/>
              <w:rPr>
                <w:rFonts w:ascii="Times New Roman" w:hAnsi="Times New Roman" w:cs="Times New Roman"/>
                <w:sz w:val="24"/>
                <w:szCs w:val="24"/>
              </w:rPr>
            </w:pPr>
          </w:p>
        </w:tc>
        <w:tc>
          <w:tcPr>
            <w:tcW w:w="767" w:type="pct"/>
          </w:tcPr>
          <w:p w:rsidR="00AC653C" w:rsidRPr="00A55B49" w:rsidP="00A36582" w14:paraId="21072824"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$183.40</w:t>
            </w:r>
          </w:p>
        </w:tc>
      </w:tr>
      <w:tr w14:paraId="0773562A" w14:textId="77777777" w:rsidTr="00A36582">
        <w:tblPrEx>
          <w:tblW w:w="5000" w:type="pct"/>
          <w:jc w:val="center"/>
          <w:tblLook w:val="04A0"/>
        </w:tblPrEx>
        <w:trPr>
          <w:jc w:val="center"/>
        </w:trPr>
        <w:tc>
          <w:tcPr>
            <w:tcW w:w="1096" w:type="pct"/>
          </w:tcPr>
          <w:p w:rsidR="00AC653C" w:rsidRPr="00A55B49" w:rsidP="00A36582" w14:paraId="32B8533D"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Total</w:t>
            </w:r>
          </w:p>
        </w:tc>
        <w:tc>
          <w:tcPr>
            <w:tcW w:w="698" w:type="pct"/>
          </w:tcPr>
          <w:p w:rsidR="00AC653C" w:rsidRPr="00A55B49" w:rsidP="00A36582" w14:paraId="645E0E38"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260</w:t>
            </w:r>
          </w:p>
        </w:tc>
        <w:tc>
          <w:tcPr>
            <w:tcW w:w="657" w:type="pct"/>
          </w:tcPr>
          <w:p w:rsidR="00AC653C" w:rsidRPr="00A55B49" w:rsidP="00A36582" w14:paraId="075469FE" w14:textId="77777777">
            <w:pPr>
              <w:pStyle w:val="ListParagraph"/>
              <w:keepNext/>
              <w:keepLines/>
              <w:spacing w:after="0" w:line="240" w:lineRule="auto"/>
              <w:ind w:left="420"/>
              <w:rPr>
                <w:rFonts w:ascii="Times New Roman" w:hAnsi="Times New Roman" w:cs="Times New Roman"/>
                <w:sz w:val="24"/>
                <w:szCs w:val="24"/>
              </w:rPr>
            </w:pPr>
            <w:r w:rsidRPr="00A55B49">
              <w:rPr>
                <w:rFonts w:ascii="Times New Roman" w:hAnsi="Times New Roman" w:cs="Times New Roman"/>
                <w:sz w:val="24"/>
                <w:szCs w:val="24"/>
              </w:rPr>
              <w:t>-</w:t>
            </w:r>
          </w:p>
        </w:tc>
        <w:tc>
          <w:tcPr>
            <w:tcW w:w="544" w:type="pct"/>
          </w:tcPr>
          <w:p w:rsidR="00AC653C" w:rsidRPr="00A55B49" w:rsidP="00A36582" w14:paraId="4C72DB1D" w14:textId="77777777">
            <w:pPr>
              <w:pStyle w:val="ListParagraph"/>
              <w:keepNext/>
              <w:keepLines/>
              <w:spacing w:after="0" w:line="240" w:lineRule="auto"/>
              <w:ind w:left="420"/>
              <w:rPr>
                <w:rFonts w:ascii="Times New Roman" w:hAnsi="Times New Roman" w:cs="Times New Roman"/>
                <w:sz w:val="24"/>
                <w:szCs w:val="24"/>
              </w:rPr>
            </w:pPr>
            <w:r w:rsidRPr="00A55B49">
              <w:rPr>
                <w:rFonts w:ascii="Times New Roman" w:hAnsi="Times New Roman" w:cs="Times New Roman"/>
                <w:sz w:val="24"/>
                <w:szCs w:val="24"/>
              </w:rPr>
              <w:t>-</w:t>
            </w:r>
          </w:p>
        </w:tc>
        <w:tc>
          <w:tcPr>
            <w:tcW w:w="648" w:type="pct"/>
          </w:tcPr>
          <w:p w:rsidR="00AC653C" w:rsidRPr="00A55B49" w:rsidP="00A36582" w14:paraId="6D4CB6F5"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217</w:t>
            </w:r>
          </w:p>
        </w:tc>
        <w:tc>
          <w:tcPr>
            <w:tcW w:w="590" w:type="pct"/>
          </w:tcPr>
          <w:p w:rsidR="00AC653C" w:rsidRPr="00A55B49" w:rsidP="00A36582" w14:paraId="3313C386"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w:t>
            </w:r>
          </w:p>
        </w:tc>
        <w:tc>
          <w:tcPr>
            <w:tcW w:w="767" w:type="pct"/>
          </w:tcPr>
          <w:p w:rsidR="00AC653C" w:rsidRPr="00A55B49" w:rsidP="00A36582" w14:paraId="1840C286"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$6,820</w:t>
            </w:r>
          </w:p>
        </w:tc>
      </w:tr>
    </w:tbl>
    <w:p w:rsidR="009D4D8E" w:rsidRPr="00A55B49" w:rsidP="00CD6527" w14:paraId="3AAD71A4" w14:textId="39A42C65">
      <w:pPr>
        <w:spacing w:after="0"/>
        <w:rPr>
          <w:rFonts w:ascii="Times New Roman" w:hAnsi="Times New Roman" w:cs="Times New Roman"/>
          <w:sz w:val="24"/>
          <w:szCs w:val="24"/>
        </w:rPr>
      </w:pPr>
    </w:p>
    <w:p w:rsidR="009D4D8E" w:rsidRPr="00A55B49" w:rsidP="00CD6527" w14:paraId="6A47E7F8" w14:textId="77777777">
      <w:pPr>
        <w:spacing w:after="0"/>
        <w:rPr>
          <w:rFonts w:ascii="Times New Roman" w:hAnsi="Times New Roman" w:cs="Times New Roman"/>
          <w:sz w:val="24"/>
          <w:szCs w:val="24"/>
        </w:rPr>
      </w:pPr>
      <w:r w:rsidRPr="00A55B49">
        <w:rPr>
          <w:rFonts w:ascii="Times New Roman" w:hAnsi="Times New Roman" w:cs="Times New Roman"/>
          <w:sz w:val="24"/>
          <w:szCs w:val="24"/>
        </w:rPr>
        <w:br w:type="page"/>
      </w:r>
    </w:p>
    <w:p w:rsidR="00173939" w:rsidP="00173939" w14:paraId="0F2AF286" w14:textId="77777777">
      <w:pPr>
        <w:pStyle w:val="ListParagraph"/>
        <w:keepNext/>
        <w:numPr>
          <w:ilvl w:val="0"/>
          <w:numId w:val="12"/>
        </w:numPr>
        <w:spacing w:after="0" w:line="256" w:lineRule="auto"/>
        <w:ind w:left="360"/>
        <w:rPr>
          <w:rFonts w:ascii="Times New Roman" w:hAnsi="Times New Roman" w:cs="Times New Roman"/>
          <w:b/>
          <w:sz w:val="24"/>
          <w:szCs w:val="24"/>
        </w:rPr>
      </w:pPr>
      <w:r>
        <w:rPr>
          <w:rFonts w:ascii="Times New Roman" w:hAnsi="Times New Roman" w:cs="Times New Roman"/>
          <w:b/>
          <w:sz w:val="24"/>
          <w:szCs w:val="24"/>
        </w:rPr>
        <w:t>Estimates of Other Total Annual Cost Burden to Respondents or Record Keepers</w:t>
      </w:r>
    </w:p>
    <w:p w:rsidR="00173939" w:rsidP="00173939" w14:paraId="7DA6C4BC" w14:textId="77777777">
      <w:pPr>
        <w:keepNext/>
        <w:spacing w:after="0"/>
        <w:rPr>
          <w:rFonts w:ascii="Times New Roman" w:hAnsi="Times New Roman" w:cs="Times New Roman"/>
          <w:b/>
          <w:sz w:val="24"/>
          <w:szCs w:val="24"/>
        </w:rPr>
      </w:pPr>
    </w:p>
    <w:p w:rsidR="00173939" w:rsidRPr="00173939" w:rsidP="00173939" w14:paraId="01D65A22" w14:textId="77777777">
      <w:pPr>
        <w:keepNext/>
        <w:spacing w:after="0"/>
        <w:rPr>
          <w:rFonts w:ascii="Times New Roman" w:hAnsi="Times New Roman" w:cs="Times New Roman"/>
          <w:bCs/>
          <w:sz w:val="24"/>
          <w:szCs w:val="24"/>
        </w:rPr>
      </w:pPr>
      <w:r w:rsidRPr="00173939">
        <w:rPr>
          <w:rFonts w:ascii="Times New Roman" w:hAnsi="Times New Roman" w:cs="Times New Roman"/>
          <w:bCs/>
          <w:sz w:val="24"/>
          <w:szCs w:val="24"/>
        </w:rPr>
        <w:t xml:space="preserve">There </w:t>
      </w:r>
      <w:r w:rsidRPr="00173939">
        <w:rPr>
          <w:rFonts w:ascii="Times New Roman" w:hAnsi="Times New Roman" w:cs="Times New Roman"/>
          <w:bCs/>
          <w:sz w:val="24"/>
          <w:szCs w:val="24"/>
        </w:rPr>
        <w:t>are</w:t>
      </w:r>
      <w:r w:rsidRPr="00173939">
        <w:rPr>
          <w:rFonts w:ascii="Times New Roman" w:hAnsi="Times New Roman" w:cs="Times New Roman"/>
          <w:bCs/>
          <w:sz w:val="24"/>
          <w:szCs w:val="24"/>
        </w:rPr>
        <w:t xml:space="preserve"> no other cost burden to respondents.</w:t>
      </w:r>
    </w:p>
    <w:p w:rsidR="00173939" w:rsidRPr="00173939" w:rsidP="00173939" w14:paraId="5C796533" w14:textId="77777777">
      <w:pPr>
        <w:keepNext/>
        <w:spacing w:after="0"/>
        <w:rPr>
          <w:rFonts w:ascii="Times New Roman" w:hAnsi="Times New Roman" w:cs="Times New Roman"/>
          <w:b/>
          <w:sz w:val="24"/>
          <w:szCs w:val="24"/>
        </w:rPr>
      </w:pPr>
    </w:p>
    <w:p w:rsidR="009D4D8E" w:rsidRPr="00A55B49" w:rsidP="00CD6527" w14:paraId="639B07A8" w14:textId="4F6B250E">
      <w:pPr>
        <w:pStyle w:val="ListParagraph"/>
        <w:keepNext/>
        <w:numPr>
          <w:ilvl w:val="0"/>
          <w:numId w:val="7"/>
        </w:numPr>
        <w:spacing w:after="0"/>
        <w:ind w:left="360"/>
        <w:contextualSpacing w:val="0"/>
        <w:rPr>
          <w:rFonts w:ascii="Times New Roman" w:hAnsi="Times New Roman" w:cs="Times New Roman"/>
          <w:b/>
          <w:sz w:val="24"/>
          <w:szCs w:val="24"/>
        </w:rPr>
      </w:pPr>
      <w:r w:rsidRPr="00A55B49">
        <w:rPr>
          <w:rFonts w:ascii="Times New Roman" w:hAnsi="Times New Roman" w:cs="Times New Roman"/>
          <w:b/>
          <w:sz w:val="24"/>
          <w:szCs w:val="24"/>
        </w:rPr>
        <w:t>Annualized Cost to the Government</w:t>
      </w:r>
    </w:p>
    <w:p w:rsidR="009D4D8E" w:rsidRPr="00A55B49" w:rsidP="00DF4E30" w14:paraId="4D81ADD1" w14:textId="70F11386">
      <w:pPr>
        <w:pStyle w:val="ListParagraph"/>
        <w:spacing w:after="0"/>
        <w:ind w:left="0"/>
        <w:rPr>
          <w:rFonts w:ascii="Times New Roman" w:hAnsi="Times New Roman" w:cs="Times New Roman"/>
          <w:sz w:val="24"/>
          <w:szCs w:val="24"/>
        </w:rPr>
      </w:pPr>
      <w:r w:rsidRPr="00A55B49">
        <w:rPr>
          <w:rFonts w:ascii="Times New Roman" w:hAnsi="Times New Roman" w:cs="Times New Roman"/>
          <w:sz w:val="24"/>
          <w:szCs w:val="24"/>
        </w:rPr>
        <w:t xml:space="preserve">Data collection activities will be completed by </w:t>
      </w:r>
      <w:r w:rsidRPr="00A55B49" w:rsidR="00BE7A87">
        <w:rPr>
          <w:rFonts w:ascii="Times New Roman" w:hAnsi="Times New Roman" w:cs="Times New Roman"/>
          <w:sz w:val="24"/>
          <w:szCs w:val="24"/>
        </w:rPr>
        <w:t>36</w:t>
      </w:r>
      <w:r w:rsidRPr="00A55B49">
        <w:rPr>
          <w:rFonts w:ascii="Times New Roman" w:hAnsi="Times New Roman" w:cs="Times New Roman"/>
          <w:sz w:val="24"/>
          <w:szCs w:val="24"/>
        </w:rPr>
        <w:t xml:space="preserve"> months after OMB approval, and data analysis and report writing are expected to be completed </w:t>
      </w:r>
      <w:r w:rsidRPr="00A55B49" w:rsidR="007809AB">
        <w:rPr>
          <w:rFonts w:ascii="Times New Roman" w:hAnsi="Times New Roman" w:cs="Times New Roman"/>
          <w:sz w:val="24"/>
          <w:szCs w:val="24"/>
        </w:rPr>
        <w:t xml:space="preserve">within </w:t>
      </w:r>
      <w:r w:rsidRPr="00A55B49" w:rsidR="00CE5426">
        <w:rPr>
          <w:rFonts w:ascii="Times New Roman" w:hAnsi="Times New Roman" w:cs="Times New Roman"/>
          <w:sz w:val="24"/>
          <w:szCs w:val="24"/>
        </w:rPr>
        <w:t xml:space="preserve">three </w:t>
      </w:r>
      <w:r w:rsidRPr="00A55B49">
        <w:rPr>
          <w:rFonts w:ascii="Times New Roman" w:hAnsi="Times New Roman" w:cs="Times New Roman"/>
          <w:sz w:val="24"/>
          <w:szCs w:val="24"/>
        </w:rPr>
        <w:t xml:space="preserve">years after OMB approval. Table </w:t>
      </w:r>
      <w:r w:rsidRPr="00A55B49" w:rsidR="00952350">
        <w:rPr>
          <w:rFonts w:ascii="Times New Roman" w:hAnsi="Times New Roman" w:cs="Times New Roman"/>
          <w:sz w:val="24"/>
          <w:szCs w:val="24"/>
        </w:rPr>
        <w:t>A13</w:t>
      </w:r>
      <w:r w:rsidRPr="00A55B49">
        <w:rPr>
          <w:rFonts w:ascii="Times New Roman" w:hAnsi="Times New Roman" w:cs="Times New Roman"/>
          <w:sz w:val="24"/>
          <w:szCs w:val="24"/>
        </w:rPr>
        <w:t xml:space="preserve"> shows the estimated annualized costs to the government. Hourly rates for CDC/NIOSH employees were obtained from the 202</w:t>
      </w:r>
      <w:r w:rsidRPr="00A55B49" w:rsidR="00F5107E">
        <w:rPr>
          <w:rFonts w:ascii="Times New Roman" w:hAnsi="Times New Roman" w:cs="Times New Roman"/>
          <w:sz w:val="24"/>
          <w:szCs w:val="24"/>
        </w:rPr>
        <w:t>4</w:t>
      </w:r>
      <w:r w:rsidRPr="00A55B49">
        <w:rPr>
          <w:rFonts w:ascii="Times New Roman" w:hAnsi="Times New Roman" w:cs="Times New Roman"/>
          <w:sz w:val="24"/>
          <w:szCs w:val="24"/>
        </w:rPr>
        <w:t xml:space="preserve"> General Schedule Pay Table (</w:t>
      </w:r>
      <w:hyperlink r:id="rId7" w:history="1">
        <w:r w:rsidRPr="00A55B49" w:rsidR="00F5107E">
          <w:rPr>
            <w:rStyle w:val="Hyperlink"/>
            <w:rFonts w:ascii="Times New Roman" w:hAnsi="Times New Roman" w:cs="Times New Roman"/>
            <w:sz w:val="24"/>
            <w:szCs w:val="24"/>
          </w:rPr>
          <w:t>Pay &amp; Leave : Salaries &amp; Wages - OPM.gov</w:t>
        </w:r>
      </w:hyperlink>
      <w:r w:rsidRPr="00A55B49">
        <w:rPr>
          <w:rFonts w:ascii="Times New Roman" w:hAnsi="Times New Roman" w:cs="Times New Roman"/>
          <w:sz w:val="24"/>
          <w:szCs w:val="24"/>
        </w:rPr>
        <w:t>)</w:t>
      </w:r>
      <w:r w:rsidRPr="00A55B49" w:rsidR="00825B8B">
        <w:rPr>
          <w:rFonts w:ascii="Times New Roman" w:hAnsi="Times New Roman" w:cs="Times New Roman"/>
          <w:sz w:val="24"/>
          <w:szCs w:val="24"/>
        </w:rPr>
        <w:t xml:space="preserve"> </w:t>
      </w:r>
      <w:r w:rsidRPr="00A55B49" w:rsidR="00A22918">
        <w:rPr>
          <w:rFonts w:ascii="Times New Roman" w:hAnsi="Times New Roman" w:cs="Times New Roman"/>
          <w:sz w:val="24"/>
          <w:szCs w:val="24"/>
        </w:rPr>
        <w:t xml:space="preserve">and an average </w:t>
      </w:r>
      <w:r w:rsidRPr="00A55B49" w:rsidR="009108FB">
        <w:rPr>
          <w:rFonts w:ascii="Times New Roman" w:hAnsi="Times New Roman" w:cs="Times New Roman"/>
          <w:sz w:val="24"/>
          <w:szCs w:val="24"/>
        </w:rPr>
        <w:t xml:space="preserve">hourly rate </w:t>
      </w:r>
      <w:r w:rsidRPr="00A55B49" w:rsidR="00A22918">
        <w:rPr>
          <w:rFonts w:ascii="Times New Roman" w:hAnsi="Times New Roman" w:cs="Times New Roman"/>
          <w:sz w:val="24"/>
          <w:szCs w:val="24"/>
        </w:rPr>
        <w:t xml:space="preserve">is </w:t>
      </w:r>
      <w:r w:rsidRPr="00A55B49" w:rsidR="009108FB">
        <w:rPr>
          <w:rFonts w:ascii="Times New Roman" w:hAnsi="Times New Roman" w:cs="Times New Roman"/>
          <w:sz w:val="24"/>
          <w:szCs w:val="24"/>
        </w:rPr>
        <w:t>referenced</w:t>
      </w:r>
      <w:r w:rsidRPr="00A55B49">
        <w:rPr>
          <w:rFonts w:ascii="Times New Roman" w:hAnsi="Times New Roman" w:cs="Times New Roman"/>
          <w:sz w:val="24"/>
          <w:szCs w:val="24"/>
        </w:rPr>
        <w:t xml:space="preserve">. </w:t>
      </w:r>
      <w:r w:rsidRPr="00A55B49" w:rsidR="0033188E">
        <w:rPr>
          <w:rFonts w:ascii="Times New Roman" w:hAnsi="Times New Roman" w:cs="Times New Roman"/>
          <w:sz w:val="24"/>
          <w:szCs w:val="24"/>
        </w:rPr>
        <w:t>Transcription costs were estimated</w:t>
      </w:r>
      <w:r w:rsidRPr="00A55B49" w:rsidR="006A226E">
        <w:rPr>
          <w:rFonts w:ascii="Times New Roman" w:hAnsi="Times New Roman" w:cs="Times New Roman"/>
          <w:sz w:val="24"/>
          <w:szCs w:val="24"/>
        </w:rPr>
        <w:t xml:space="preserve"> using mean rates for North America</w:t>
      </w:r>
      <w:r w:rsidRPr="00A55B49" w:rsidR="005D4791">
        <w:rPr>
          <w:rFonts w:ascii="Times New Roman" w:hAnsi="Times New Roman" w:cs="Times New Roman"/>
          <w:sz w:val="24"/>
          <w:szCs w:val="24"/>
        </w:rPr>
        <w:t>.</w:t>
      </w:r>
    </w:p>
    <w:p w:rsidR="009D4D8E" w:rsidRPr="00A55B49" w:rsidP="00DF4E30" w14:paraId="02F61973" w14:textId="77777777">
      <w:pPr>
        <w:pStyle w:val="ListParagraph"/>
        <w:spacing w:after="0"/>
        <w:ind w:left="0"/>
        <w:rPr>
          <w:rFonts w:ascii="Times New Roman" w:hAnsi="Times New Roman" w:cs="Times New Roman"/>
          <w:b/>
          <w:i/>
          <w:sz w:val="24"/>
          <w:szCs w:val="24"/>
        </w:rPr>
      </w:pPr>
    </w:p>
    <w:p w:rsidR="00804CAE" w:rsidRPr="00A55B49" w:rsidP="00DF4E30" w14:paraId="531E375C" w14:textId="33EF4041">
      <w:pPr>
        <w:spacing w:after="0"/>
        <w:rPr>
          <w:rFonts w:ascii="Times New Roman" w:hAnsi="Times New Roman" w:cs="Times New Roman"/>
          <w:iCs/>
          <w:sz w:val="24"/>
          <w:szCs w:val="24"/>
        </w:rPr>
      </w:pPr>
      <w:r w:rsidRPr="00A55B49">
        <w:rPr>
          <w:rFonts w:ascii="Times New Roman" w:hAnsi="Times New Roman" w:cs="Times New Roman"/>
          <w:iCs/>
          <w:sz w:val="24"/>
          <w:szCs w:val="24"/>
        </w:rPr>
        <w:t xml:space="preserve">Table A13. Estimated Annualized Cost </w:t>
      </w:r>
      <w:r w:rsidRPr="00A55B49" w:rsidR="00B56A46">
        <w:rPr>
          <w:rFonts w:ascii="Times New Roman" w:hAnsi="Times New Roman" w:cs="Times New Roman"/>
          <w:iCs/>
          <w:sz w:val="24"/>
          <w:szCs w:val="24"/>
        </w:rPr>
        <w:t>to the Government</w:t>
      </w:r>
    </w:p>
    <w:tbl>
      <w:tblPr>
        <w:tblStyle w:val="GridTable6Colorful"/>
        <w:tblW w:w="9990" w:type="dxa"/>
        <w:tblLayout w:type="fixed"/>
        <w:tblLook w:val="04A0"/>
      </w:tblPr>
      <w:tblGrid>
        <w:gridCol w:w="4495"/>
        <w:gridCol w:w="995"/>
        <w:gridCol w:w="1080"/>
        <w:gridCol w:w="1350"/>
        <w:gridCol w:w="900"/>
        <w:gridCol w:w="1170"/>
      </w:tblGrid>
      <w:tr w14:paraId="59B7202B" w14:textId="77777777" w:rsidTr="00754B85">
        <w:tblPrEx>
          <w:tblW w:w="9990" w:type="dxa"/>
          <w:tblLayout w:type="fixed"/>
          <w:tblLook w:val="04A0"/>
        </w:tblPrEx>
        <w:tc>
          <w:tcPr>
            <w:tcW w:w="4495" w:type="dxa"/>
          </w:tcPr>
          <w:p w:rsidR="009D4D8E" w:rsidRPr="00A55B49" w:rsidP="003D7C16" w14:paraId="10A92898" w14:textId="77777777">
            <w:pPr>
              <w:pStyle w:val="ListParagraph"/>
              <w:ind w:left="0"/>
              <w:rPr>
                <w:rFonts w:ascii="Times New Roman" w:hAnsi="Times New Roman" w:cs="Times New Roman"/>
                <w:color w:val="auto"/>
                <w:sz w:val="24"/>
                <w:szCs w:val="24"/>
              </w:rPr>
            </w:pPr>
            <w:r w:rsidRPr="00A55B49">
              <w:rPr>
                <w:rFonts w:ascii="Times New Roman" w:hAnsi="Times New Roman" w:cs="Times New Roman"/>
                <w:color w:val="auto"/>
                <w:sz w:val="24"/>
                <w:szCs w:val="24"/>
              </w:rPr>
              <w:t>Personnel</w:t>
            </w:r>
          </w:p>
        </w:tc>
        <w:tc>
          <w:tcPr>
            <w:tcW w:w="995" w:type="dxa"/>
          </w:tcPr>
          <w:p w:rsidR="009D4D8E" w:rsidRPr="00A55B49" w:rsidP="003D7C16" w14:paraId="44870265" w14:textId="77777777">
            <w:pPr>
              <w:pStyle w:val="ListParagraph"/>
              <w:ind w:left="0"/>
              <w:rPr>
                <w:rFonts w:ascii="Times New Roman" w:hAnsi="Times New Roman" w:cs="Times New Roman"/>
                <w:color w:val="auto"/>
                <w:sz w:val="24"/>
                <w:szCs w:val="24"/>
              </w:rPr>
            </w:pPr>
            <w:r w:rsidRPr="00A55B49">
              <w:rPr>
                <w:rFonts w:ascii="Times New Roman" w:hAnsi="Times New Roman" w:cs="Times New Roman"/>
                <w:color w:val="auto"/>
                <w:sz w:val="24"/>
                <w:szCs w:val="24"/>
              </w:rPr>
              <w:t>Hours</w:t>
            </w:r>
          </w:p>
        </w:tc>
        <w:tc>
          <w:tcPr>
            <w:tcW w:w="1080" w:type="dxa"/>
          </w:tcPr>
          <w:p w:rsidR="009D4D8E" w:rsidRPr="00A55B49" w:rsidP="003D7C16" w14:paraId="0A73B8DB" w14:textId="77777777">
            <w:pPr>
              <w:pStyle w:val="ListParagraph"/>
              <w:ind w:left="0"/>
              <w:rPr>
                <w:rFonts w:ascii="Times New Roman" w:hAnsi="Times New Roman" w:cs="Times New Roman"/>
                <w:color w:val="auto"/>
                <w:sz w:val="24"/>
                <w:szCs w:val="24"/>
              </w:rPr>
            </w:pPr>
            <w:r w:rsidRPr="00A55B49">
              <w:rPr>
                <w:rFonts w:ascii="Times New Roman" w:hAnsi="Times New Roman" w:cs="Times New Roman"/>
                <w:color w:val="auto"/>
                <w:sz w:val="24"/>
                <w:szCs w:val="24"/>
              </w:rPr>
              <w:t>Hourly Rate</w:t>
            </w:r>
          </w:p>
        </w:tc>
        <w:tc>
          <w:tcPr>
            <w:tcW w:w="1350" w:type="dxa"/>
          </w:tcPr>
          <w:p w:rsidR="009D4D8E" w:rsidRPr="00A55B49" w:rsidP="003D7C16" w14:paraId="14876D12" w14:textId="77777777">
            <w:pPr>
              <w:pStyle w:val="ListParagraph"/>
              <w:ind w:left="0"/>
              <w:rPr>
                <w:rFonts w:ascii="Times New Roman" w:hAnsi="Times New Roman" w:cs="Times New Roman"/>
                <w:color w:val="auto"/>
                <w:sz w:val="24"/>
                <w:szCs w:val="24"/>
              </w:rPr>
            </w:pPr>
            <w:r w:rsidRPr="00A55B49">
              <w:rPr>
                <w:rFonts w:ascii="Times New Roman" w:hAnsi="Times New Roman" w:cs="Times New Roman"/>
                <w:color w:val="auto"/>
                <w:sz w:val="24"/>
                <w:szCs w:val="24"/>
              </w:rPr>
              <w:t>Data Collection, Analysis, and Writing Costs</w:t>
            </w:r>
          </w:p>
        </w:tc>
        <w:tc>
          <w:tcPr>
            <w:tcW w:w="900" w:type="dxa"/>
          </w:tcPr>
          <w:p w:rsidR="009D4D8E" w:rsidRPr="00A55B49" w:rsidP="003D7C16" w14:paraId="2A701844" w14:textId="77777777">
            <w:pPr>
              <w:pStyle w:val="ListParagraph"/>
              <w:ind w:left="0"/>
              <w:rPr>
                <w:rFonts w:ascii="Times New Roman" w:hAnsi="Times New Roman" w:cs="Times New Roman"/>
                <w:color w:val="auto"/>
                <w:sz w:val="24"/>
                <w:szCs w:val="24"/>
              </w:rPr>
            </w:pPr>
            <w:r w:rsidRPr="00A55B49">
              <w:rPr>
                <w:rFonts w:ascii="Times New Roman" w:hAnsi="Times New Roman" w:cs="Times New Roman"/>
                <w:color w:val="auto"/>
                <w:sz w:val="24"/>
                <w:szCs w:val="24"/>
              </w:rPr>
              <w:t>Travel Costs</w:t>
            </w:r>
          </w:p>
        </w:tc>
        <w:tc>
          <w:tcPr>
            <w:tcW w:w="1170" w:type="dxa"/>
          </w:tcPr>
          <w:p w:rsidR="009D4D8E" w:rsidRPr="00A55B49" w:rsidP="003D7C16" w14:paraId="295FC28B" w14:textId="77777777">
            <w:pPr>
              <w:pStyle w:val="ListParagraph"/>
              <w:ind w:left="0"/>
              <w:rPr>
                <w:rFonts w:ascii="Times New Roman" w:hAnsi="Times New Roman" w:cs="Times New Roman"/>
                <w:color w:val="auto"/>
                <w:sz w:val="24"/>
                <w:szCs w:val="24"/>
              </w:rPr>
            </w:pPr>
            <w:r w:rsidRPr="00A55B49">
              <w:rPr>
                <w:rFonts w:ascii="Times New Roman" w:hAnsi="Times New Roman" w:cs="Times New Roman"/>
                <w:color w:val="auto"/>
                <w:sz w:val="24"/>
                <w:szCs w:val="24"/>
              </w:rPr>
              <w:t>Total</w:t>
            </w:r>
          </w:p>
        </w:tc>
      </w:tr>
      <w:tr w14:paraId="36BC65D8" w14:textId="77777777" w:rsidTr="00754B85">
        <w:tblPrEx>
          <w:tblW w:w="9990" w:type="dxa"/>
          <w:tblLayout w:type="fixed"/>
          <w:tblLook w:val="04A0"/>
        </w:tblPrEx>
        <w:tc>
          <w:tcPr>
            <w:tcW w:w="4495" w:type="dxa"/>
            <w:shd w:val="clear" w:color="auto" w:fill="auto"/>
          </w:tcPr>
          <w:p w:rsidR="009D4D8E" w:rsidRPr="00A55B49" w:rsidP="003D7C16" w14:paraId="6159EB02" w14:textId="4CFA0D96">
            <w:pPr>
              <w:pStyle w:val="ListParagraph"/>
              <w:ind w:left="0"/>
              <w:rPr>
                <w:rFonts w:ascii="Times New Roman" w:hAnsi="Times New Roman" w:cs="Times New Roman"/>
                <w:b w:val="0"/>
                <w:color w:val="auto"/>
                <w:sz w:val="24"/>
                <w:szCs w:val="24"/>
              </w:rPr>
            </w:pPr>
            <w:r w:rsidRPr="00A55B49">
              <w:rPr>
                <w:rFonts w:ascii="Times New Roman" w:hAnsi="Times New Roman" w:cs="Times New Roman"/>
                <w:b w:val="0"/>
                <w:color w:val="auto"/>
                <w:sz w:val="24"/>
                <w:szCs w:val="24"/>
              </w:rPr>
              <w:t>Federal Government Employees</w:t>
            </w:r>
          </w:p>
        </w:tc>
        <w:tc>
          <w:tcPr>
            <w:tcW w:w="995" w:type="dxa"/>
            <w:shd w:val="clear" w:color="auto" w:fill="auto"/>
          </w:tcPr>
          <w:p w:rsidR="009D4D8E" w:rsidRPr="00A55B49" w:rsidP="003D7C16" w14:paraId="5199A050" w14:textId="29C383C3">
            <w:pPr>
              <w:pStyle w:val="ListParagraph"/>
              <w:ind w:left="0"/>
              <w:jc w:val="right"/>
              <w:rPr>
                <w:rFonts w:ascii="Times New Roman" w:hAnsi="Times New Roman" w:cs="Times New Roman"/>
                <w:color w:val="auto"/>
                <w:sz w:val="24"/>
                <w:szCs w:val="24"/>
              </w:rPr>
            </w:pPr>
            <w:r w:rsidRPr="00A55B49">
              <w:rPr>
                <w:rFonts w:ascii="Times New Roman" w:hAnsi="Times New Roman" w:cs="Times New Roman"/>
                <w:color w:val="auto"/>
                <w:sz w:val="24"/>
                <w:szCs w:val="24"/>
              </w:rPr>
              <w:t>200</w:t>
            </w:r>
          </w:p>
        </w:tc>
        <w:tc>
          <w:tcPr>
            <w:tcW w:w="1080" w:type="dxa"/>
            <w:shd w:val="clear" w:color="auto" w:fill="auto"/>
          </w:tcPr>
          <w:p w:rsidR="009D4D8E" w:rsidRPr="00A55B49" w:rsidP="003D7C16" w14:paraId="0DA80F2F" w14:textId="4CA28D0E">
            <w:pPr>
              <w:pStyle w:val="ListParagraph"/>
              <w:ind w:left="0"/>
              <w:jc w:val="right"/>
              <w:rPr>
                <w:rFonts w:ascii="Times New Roman" w:hAnsi="Times New Roman" w:cs="Times New Roman"/>
                <w:color w:val="auto"/>
                <w:sz w:val="24"/>
                <w:szCs w:val="24"/>
              </w:rPr>
            </w:pPr>
            <w:r w:rsidRPr="00A55B49">
              <w:rPr>
                <w:rFonts w:ascii="Times New Roman" w:hAnsi="Times New Roman" w:cs="Times New Roman"/>
                <w:color w:val="auto"/>
                <w:sz w:val="24"/>
                <w:szCs w:val="24"/>
              </w:rPr>
              <w:t>$</w:t>
            </w:r>
            <w:r w:rsidRPr="00A55B49" w:rsidR="00484D1E">
              <w:rPr>
                <w:rFonts w:ascii="Times New Roman" w:hAnsi="Times New Roman" w:cs="Times New Roman"/>
                <w:color w:val="auto"/>
                <w:sz w:val="24"/>
                <w:szCs w:val="24"/>
              </w:rPr>
              <w:t>5</w:t>
            </w:r>
            <w:r w:rsidRPr="00A55B49" w:rsidR="006D424B">
              <w:rPr>
                <w:rFonts w:ascii="Times New Roman" w:hAnsi="Times New Roman" w:cs="Times New Roman"/>
                <w:color w:val="auto"/>
                <w:sz w:val="24"/>
                <w:szCs w:val="24"/>
              </w:rPr>
              <w:t>0.12</w:t>
            </w:r>
          </w:p>
        </w:tc>
        <w:tc>
          <w:tcPr>
            <w:tcW w:w="1350" w:type="dxa"/>
            <w:shd w:val="clear" w:color="auto" w:fill="auto"/>
          </w:tcPr>
          <w:p w:rsidR="009D4D8E" w:rsidRPr="00A55B49" w:rsidP="003D7C16" w14:paraId="035B23B1" w14:textId="68B46CD7">
            <w:pPr>
              <w:pStyle w:val="ListParagraph"/>
              <w:ind w:left="0"/>
              <w:jc w:val="right"/>
              <w:rPr>
                <w:rFonts w:ascii="Times New Roman" w:hAnsi="Times New Roman" w:cs="Times New Roman"/>
                <w:color w:val="auto"/>
                <w:sz w:val="24"/>
                <w:szCs w:val="24"/>
              </w:rPr>
            </w:pPr>
            <w:r w:rsidRPr="00A55B49">
              <w:rPr>
                <w:rFonts w:ascii="Times New Roman" w:hAnsi="Times New Roman" w:cs="Times New Roman"/>
                <w:color w:val="auto"/>
                <w:sz w:val="24"/>
                <w:szCs w:val="24"/>
              </w:rPr>
              <w:t>$</w:t>
            </w:r>
            <w:r w:rsidRPr="00A55B49" w:rsidR="00966300">
              <w:rPr>
                <w:rFonts w:ascii="Times New Roman" w:hAnsi="Times New Roman" w:cs="Times New Roman"/>
                <w:color w:val="auto"/>
                <w:sz w:val="24"/>
                <w:szCs w:val="24"/>
              </w:rPr>
              <w:t>1</w:t>
            </w:r>
            <w:r w:rsidRPr="00A55B49">
              <w:rPr>
                <w:rFonts w:ascii="Times New Roman" w:hAnsi="Times New Roman" w:cs="Times New Roman"/>
                <w:color w:val="auto"/>
                <w:sz w:val="24"/>
                <w:szCs w:val="24"/>
              </w:rPr>
              <w:t>0</w:t>
            </w:r>
            <w:r w:rsidRPr="00A55B49" w:rsidR="00357A39">
              <w:rPr>
                <w:rFonts w:ascii="Times New Roman" w:hAnsi="Times New Roman" w:cs="Times New Roman"/>
                <w:color w:val="auto"/>
                <w:sz w:val="24"/>
                <w:szCs w:val="24"/>
              </w:rPr>
              <w:t>,</w:t>
            </w:r>
            <w:r w:rsidRPr="00A55B49">
              <w:rPr>
                <w:rFonts w:ascii="Times New Roman" w:hAnsi="Times New Roman" w:cs="Times New Roman"/>
                <w:color w:val="auto"/>
                <w:sz w:val="24"/>
                <w:szCs w:val="24"/>
              </w:rPr>
              <w:t>024</w:t>
            </w:r>
          </w:p>
        </w:tc>
        <w:tc>
          <w:tcPr>
            <w:tcW w:w="900" w:type="dxa"/>
            <w:shd w:val="clear" w:color="auto" w:fill="auto"/>
          </w:tcPr>
          <w:p w:rsidR="009D4D8E" w:rsidRPr="00A55B49" w:rsidP="003D7C16" w14:paraId="5A74F7D2" w14:textId="00CCC9E8">
            <w:pPr>
              <w:pStyle w:val="ListParagraph"/>
              <w:ind w:left="0"/>
              <w:jc w:val="right"/>
              <w:rPr>
                <w:rFonts w:ascii="Times New Roman" w:hAnsi="Times New Roman" w:cs="Times New Roman"/>
                <w:color w:val="auto"/>
                <w:sz w:val="24"/>
                <w:szCs w:val="24"/>
              </w:rPr>
            </w:pPr>
            <w:r w:rsidRPr="00A55B49">
              <w:rPr>
                <w:rFonts w:ascii="Times New Roman" w:hAnsi="Times New Roman" w:cs="Times New Roman"/>
                <w:color w:val="auto"/>
                <w:sz w:val="24"/>
                <w:szCs w:val="24"/>
              </w:rPr>
              <w:t>$</w:t>
            </w:r>
            <w:r w:rsidRPr="00A55B49" w:rsidR="00546E12">
              <w:rPr>
                <w:rFonts w:ascii="Times New Roman" w:hAnsi="Times New Roman" w:cs="Times New Roman"/>
                <w:color w:val="auto"/>
                <w:sz w:val="24"/>
                <w:szCs w:val="24"/>
              </w:rPr>
              <w:t>11,666</w:t>
            </w:r>
          </w:p>
        </w:tc>
        <w:tc>
          <w:tcPr>
            <w:tcW w:w="1170" w:type="dxa"/>
            <w:shd w:val="clear" w:color="auto" w:fill="auto"/>
          </w:tcPr>
          <w:p w:rsidR="009D4D8E" w:rsidRPr="00A55B49" w:rsidP="003D7C16" w14:paraId="545407CF" w14:textId="1CF9ED8A">
            <w:pPr>
              <w:pStyle w:val="ListParagraph"/>
              <w:ind w:left="0"/>
              <w:jc w:val="right"/>
              <w:rPr>
                <w:rFonts w:ascii="Times New Roman" w:hAnsi="Times New Roman" w:cs="Times New Roman"/>
                <w:color w:val="auto"/>
                <w:sz w:val="24"/>
                <w:szCs w:val="24"/>
              </w:rPr>
            </w:pPr>
            <w:r w:rsidRPr="00A55B49">
              <w:rPr>
                <w:rFonts w:ascii="Times New Roman" w:hAnsi="Times New Roman" w:cs="Times New Roman"/>
                <w:color w:val="auto"/>
                <w:sz w:val="24"/>
                <w:szCs w:val="24"/>
              </w:rPr>
              <w:t>$</w:t>
            </w:r>
            <w:r w:rsidRPr="00A55B49" w:rsidR="00546E12">
              <w:rPr>
                <w:rFonts w:ascii="Times New Roman" w:hAnsi="Times New Roman" w:cs="Times New Roman"/>
                <w:color w:val="auto"/>
                <w:sz w:val="24"/>
                <w:szCs w:val="24"/>
              </w:rPr>
              <w:t>21,690</w:t>
            </w:r>
          </w:p>
        </w:tc>
      </w:tr>
      <w:tr w14:paraId="1DB92B73" w14:textId="77777777" w:rsidTr="00754B85">
        <w:tblPrEx>
          <w:tblW w:w="9990" w:type="dxa"/>
          <w:tblLayout w:type="fixed"/>
          <w:tblLook w:val="04A0"/>
        </w:tblPrEx>
        <w:tc>
          <w:tcPr>
            <w:tcW w:w="4495" w:type="dxa"/>
            <w:shd w:val="clear" w:color="auto" w:fill="auto"/>
          </w:tcPr>
          <w:p w:rsidR="00780958" w:rsidRPr="00A55B49" w:rsidP="003D7C16" w14:paraId="5AC9AE26" w14:textId="45720E6F">
            <w:pPr>
              <w:pStyle w:val="ListParagraph"/>
              <w:ind w:left="0"/>
              <w:rPr>
                <w:rFonts w:ascii="Times New Roman" w:hAnsi="Times New Roman" w:cs="Times New Roman"/>
                <w:b w:val="0"/>
                <w:bCs w:val="0"/>
                <w:sz w:val="24"/>
                <w:szCs w:val="24"/>
              </w:rPr>
            </w:pPr>
            <w:r w:rsidRPr="00A55B49">
              <w:rPr>
                <w:rFonts w:ascii="Times New Roman" w:hAnsi="Times New Roman" w:cs="Times New Roman"/>
                <w:b w:val="0"/>
                <w:bCs w:val="0"/>
                <w:sz w:val="24"/>
                <w:szCs w:val="24"/>
              </w:rPr>
              <w:t>Transcription</w:t>
            </w:r>
          </w:p>
        </w:tc>
        <w:tc>
          <w:tcPr>
            <w:tcW w:w="995" w:type="dxa"/>
            <w:shd w:val="clear" w:color="auto" w:fill="auto"/>
          </w:tcPr>
          <w:p w:rsidR="00780958" w:rsidRPr="00A55B49" w:rsidP="003D7C16" w14:paraId="062AD9ED" w14:textId="059039CD">
            <w:pPr>
              <w:pStyle w:val="ListParagraph"/>
              <w:ind w:left="0"/>
              <w:jc w:val="right"/>
              <w:rPr>
                <w:rFonts w:ascii="Times New Roman" w:hAnsi="Times New Roman" w:cs="Times New Roman"/>
                <w:sz w:val="24"/>
                <w:szCs w:val="24"/>
              </w:rPr>
            </w:pPr>
            <w:r w:rsidRPr="00A55B49">
              <w:rPr>
                <w:rFonts w:ascii="Times New Roman" w:hAnsi="Times New Roman" w:cs="Times New Roman"/>
                <w:sz w:val="24"/>
                <w:szCs w:val="24"/>
              </w:rPr>
              <w:t>17</w:t>
            </w:r>
          </w:p>
        </w:tc>
        <w:tc>
          <w:tcPr>
            <w:tcW w:w="1080" w:type="dxa"/>
            <w:shd w:val="clear" w:color="auto" w:fill="auto"/>
          </w:tcPr>
          <w:p w:rsidR="00780958" w:rsidRPr="00A55B49" w:rsidP="003D7C16" w14:paraId="34F6FEB6" w14:textId="09061364">
            <w:pPr>
              <w:pStyle w:val="ListParagraph"/>
              <w:ind w:left="0"/>
              <w:jc w:val="right"/>
              <w:rPr>
                <w:rFonts w:ascii="Times New Roman" w:hAnsi="Times New Roman" w:cs="Times New Roman"/>
                <w:sz w:val="24"/>
                <w:szCs w:val="24"/>
              </w:rPr>
            </w:pPr>
            <w:r w:rsidRPr="00A55B49">
              <w:rPr>
                <w:rFonts w:ascii="Times New Roman" w:hAnsi="Times New Roman" w:cs="Times New Roman"/>
                <w:sz w:val="24"/>
                <w:szCs w:val="24"/>
              </w:rPr>
              <w:t>$</w:t>
            </w:r>
            <w:r w:rsidRPr="00A55B49" w:rsidR="00B807A9">
              <w:rPr>
                <w:rFonts w:ascii="Times New Roman" w:hAnsi="Times New Roman" w:cs="Times New Roman"/>
                <w:sz w:val="24"/>
                <w:szCs w:val="24"/>
              </w:rPr>
              <w:t>240</w:t>
            </w:r>
          </w:p>
        </w:tc>
        <w:tc>
          <w:tcPr>
            <w:tcW w:w="1350" w:type="dxa"/>
            <w:shd w:val="clear" w:color="auto" w:fill="auto"/>
          </w:tcPr>
          <w:p w:rsidR="00780958" w:rsidRPr="00A55B49" w:rsidP="003D7C16" w14:paraId="02966D01" w14:textId="77777777">
            <w:pPr>
              <w:pStyle w:val="ListParagraph"/>
              <w:ind w:left="0"/>
              <w:jc w:val="right"/>
              <w:rPr>
                <w:rFonts w:ascii="Times New Roman" w:hAnsi="Times New Roman" w:cs="Times New Roman"/>
                <w:sz w:val="24"/>
                <w:szCs w:val="24"/>
              </w:rPr>
            </w:pPr>
          </w:p>
        </w:tc>
        <w:tc>
          <w:tcPr>
            <w:tcW w:w="900" w:type="dxa"/>
            <w:shd w:val="clear" w:color="auto" w:fill="auto"/>
          </w:tcPr>
          <w:p w:rsidR="00780958" w:rsidRPr="00A55B49" w:rsidP="003D7C16" w14:paraId="5FE06D84" w14:textId="77777777">
            <w:pPr>
              <w:pStyle w:val="ListParagraph"/>
              <w:ind w:left="0"/>
              <w:jc w:val="right"/>
              <w:rPr>
                <w:rFonts w:ascii="Times New Roman" w:hAnsi="Times New Roman" w:cs="Times New Roman"/>
                <w:sz w:val="24"/>
                <w:szCs w:val="24"/>
              </w:rPr>
            </w:pPr>
          </w:p>
        </w:tc>
        <w:tc>
          <w:tcPr>
            <w:tcW w:w="1170" w:type="dxa"/>
            <w:shd w:val="clear" w:color="auto" w:fill="auto"/>
          </w:tcPr>
          <w:p w:rsidR="00780958" w:rsidRPr="00A55B49" w:rsidP="003D7C16" w14:paraId="3FD65CF6" w14:textId="4922935B">
            <w:pPr>
              <w:pStyle w:val="ListParagraph"/>
              <w:ind w:left="0"/>
              <w:jc w:val="right"/>
              <w:rPr>
                <w:rFonts w:ascii="Times New Roman" w:hAnsi="Times New Roman" w:cs="Times New Roman"/>
                <w:sz w:val="24"/>
                <w:szCs w:val="24"/>
              </w:rPr>
            </w:pPr>
            <w:r w:rsidRPr="00A55B49">
              <w:rPr>
                <w:rFonts w:ascii="Times New Roman" w:hAnsi="Times New Roman" w:cs="Times New Roman"/>
                <w:sz w:val="24"/>
                <w:szCs w:val="24"/>
              </w:rPr>
              <w:t>$</w:t>
            </w:r>
            <w:r w:rsidRPr="00A55B49" w:rsidR="00557ECD">
              <w:rPr>
                <w:rFonts w:ascii="Times New Roman" w:hAnsi="Times New Roman" w:cs="Times New Roman"/>
                <w:sz w:val="24"/>
                <w:szCs w:val="24"/>
              </w:rPr>
              <w:t>4</w:t>
            </w:r>
            <w:r w:rsidRPr="00A55B49" w:rsidR="00E76019">
              <w:rPr>
                <w:rFonts w:ascii="Times New Roman" w:hAnsi="Times New Roman" w:cs="Times New Roman"/>
                <w:sz w:val="24"/>
                <w:szCs w:val="24"/>
              </w:rPr>
              <w:t>,0</w:t>
            </w:r>
            <w:r w:rsidRPr="00A55B49" w:rsidR="00557ECD">
              <w:rPr>
                <w:rFonts w:ascii="Times New Roman" w:hAnsi="Times New Roman" w:cs="Times New Roman"/>
                <w:sz w:val="24"/>
                <w:szCs w:val="24"/>
              </w:rPr>
              <w:t>80</w:t>
            </w:r>
          </w:p>
        </w:tc>
      </w:tr>
      <w:tr w14:paraId="2280DE44" w14:textId="77777777" w:rsidTr="00754B85">
        <w:tblPrEx>
          <w:tblW w:w="9990" w:type="dxa"/>
          <w:tblLayout w:type="fixed"/>
          <w:tblLook w:val="04A0"/>
        </w:tblPrEx>
        <w:tc>
          <w:tcPr>
            <w:tcW w:w="4495" w:type="dxa"/>
            <w:shd w:val="clear" w:color="auto" w:fill="auto"/>
          </w:tcPr>
          <w:p w:rsidR="00E763E0" w:rsidRPr="00A55B49" w:rsidP="003D7C16" w14:paraId="47DD80B8" w14:textId="77777777">
            <w:pPr>
              <w:pStyle w:val="ListParagraph"/>
              <w:ind w:left="0"/>
              <w:rPr>
                <w:rFonts w:ascii="Times New Roman" w:hAnsi="Times New Roman" w:cs="Times New Roman"/>
                <w:color w:val="auto"/>
                <w:sz w:val="24"/>
                <w:szCs w:val="24"/>
              </w:rPr>
            </w:pPr>
            <w:r w:rsidRPr="00A55B49">
              <w:rPr>
                <w:rFonts w:ascii="Times New Roman" w:hAnsi="Times New Roman" w:cs="Times New Roman"/>
                <w:color w:val="auto"/>
                <w:sz w:val="24"/>
                <w:szCs w:val="24"/>
              </w:rPr>
              <w:t>Total Annual Cost</w:t>
            </w:r>
          </w:p>
        </w:tc>
        <w:tc>
          <w:tcPr>
            <w:tcW w:w="995" w:type="dxa"/>
            <w:shd w:val="clear" w:color="auto" w:fill="auto"/>
          </w:tcPr>
          <w:p w:rsidR="00E763E0" w:rsidRPr="00A55B49" w:rsidP="003D7C16" w14:paraId="179FE531" w14:textId="77777777">
            <w:pPr>
              <w:pStyle w:val="ListParagraph"/>
              <w:ind w:left="0"/>
              <w:jc w:val="right"/>
              <w:rPr>
                <w:rFonts w:ascii="Times New Roman" w:hAnsi="Times New Roman" w:cs="Times New Roman"/>
                <w:color w:val="auto"/>
                <w:sz w:val="24"/>
                <w:szCs w:val="24"/>
              </w:rPr>
            </w:pPr>
          </w:p>
        </w:tc>
        <w:tc>
          <w:tcPr>
            <w:tcW w:w="1080" w:type="dxa"/>
            <w:shd w:val="clear" w:color="auto" w:fill="auto"/>
          </w:tcPr>
          <w:p w:rsidR="00E763E0" w:rsidRPr="00A55B49" w:rsidP="003D7C16" w14:paraId="6C28542D" w14:textId="77777777">
            <w:pPr>
              <w:pStyle w:val="ListParagraph"/>
              <w:ind w:left="0"/>
              <w:jc w:val="right"/>
              <w:rPr>
                <w:rFonts w:ascii="Times New Roman" w:hAnsi="Times New Roman" w:cs="Times New Roman"/>
                <w:color w:val="auto"/>
                <w:sz w:val="24"/>
                <w:szCs w:val="24"/>
              </w:rPr>
            </w:pPr>
            <w:r w:rsidRPr="00A55B49">
              <w:rPr>
                <w:rFonts w:ascii="Times New Roman" w:hAnsi="Times New Roman" w:cs="Times New Roman"/>
                <w:color w:val="auto"/>
                <w:sz w:val="24"/>
                <w:szCs w:val="24"/>
              </w:rPr>
              <w:t>--</w:t>
            </w:r>
          </w:p>
        </w:tc>
        <w:tc>
          <w:tcPr>
            <w:tcW w:w="1350" w:type="dxa"/>
            <w:shd w:val="clear" w:color="auto" w:fill="auto"/>
          </w:tcPr>
          <w:p w:rsidR="00E763E0" w:rsidRPr="00A55B49" w:rsidP="003D7C16" w14:paraId="62323835" w14:textId="5A64B9A0">
            <w:pPr>
              <w:pStyle w:val="ListParagraph"/>
              <w:ind w:left="0"/>
              <w:jc w:val="right"/>
              <w:rPr>
                <w:rFonts w:ascii="Times New Roman" w:hAnsi="Times New Roman" w:cs="Times New Roman"/>
                <w:color w:val="auto"/>
                <w:sz w:val="24"/>
                <w:szCs w:val="24"/>
              </w:rPr>
            </w:pPr>
          </w:p>
        </w:tc>
        <w:tc>
          <w:tcPr>
            <w:tcW w:w="900" w:type="dxa"/>
            <w:shd w:val="clear" w:color="auto" w:fill="auto"/>
          </w:tcPr>
          <w:p w:rsidR="00E763E0" w:rsidRPr="00A55B49" w:rsidP="003D7C16" w14:paraId="3BA33ED1" w14:textId="60CAAD3C">
            <w:pPr>
              <w:pStyle w:val="ListParagraph"/>
              <w:ind w:left="0"/>
              <w:jc w:val="right"/>
              <w:rPr>
                <w:rFonts w:ascii="Times New Roman" w:hAnsi="Times New Roman" w:cs="Times New Roman"/>
                <w:color w:val="auto"/>
                <w:sz w:val="24"/>
                <w:szCs w:val="24"/>
              </w:rPr>
            </w:pPr>
          </w:p>
        </w:tc>
        <w:tc>
          <w:tcPr>
            <w:tcW w:w="1170" w:type="dxa"/>
            <w:shd w:val="clear" w:color="auto" w:fill="auto"/>
          </w:tcPr>
          <w:p w:rsidR="00E763E0" w:rsidRPr="00A55B49" w:rsidP="003D7C16" w14:paraId="00ADB18B" w14:textId="20179BE8">
            <w:pPr>
              <w:pStyle w:val="ListParagraph"/>
              <w:ind w:left="0"/>
              <w:jc w:val="right"/>
              <w:rPr>
                <w:rFonts w:ascii="Times New Roman" w:hAnsi="Times New Roman" w:cs="Times New Roman"/>
                <w:color w:val="auto"/>
                <w:sz w:val="24"/>
                <w:szCs w:val="24"/>
              </w:rPr>
            </w:pPr>
            <w:r w:rsidRPr="00A55B49">
              <w:rPr>
                <w:rFonts w:ascii="Times New Roman" w:hAnsi="Times New Roman" w:cs="Times New Roman"/>
                <w:color w:val="auto"/>
                <w:sz w:val="24"/>
                <w:szCs w:val="24"/>
              </w:rPr>
              <w:t>$</w:t>
            </w:r>
            <w:r w:rsidRPr="00A55B49" w:rsidR="00513608">
              <w:rPr>
                <w:rFonts w:ascii="Times New Roman" w:hAnsi="Times New Roman" w:cs="Times New Roman"/>
                <w:color w:val="auto"/>
                <w:sz w:val="24"/>
                <w:szCs w:val="24"/>
              </w:rPr>
              <w:t>25,770</w:t>
            </w:r>
          </w:p>
        </w:tc>
      </w:tr>
      <w:tr w14:paraId="47C3C551" w14:textId="77777777" w:rsidTr="00754B85">
        <w:tblPrEx>
          <w:tblW w:w="9990" w:type="dxa"/>
          <w:tblLayout w:type="fixed"/>
          <w:tblLook w:val="04A0"/>
        </w:tblPrEx>
        <w:tc>
          <w:tcPr>
            <w:tcW w:w="4495" w:type="dxa"/>
            <w:shd w:val="clear" w:color="auto" w:fill="auto"/>
          </w:tcPr>
          <w:p w:rsidR="00E763E0" w:rsidRPr="00A55B49" w:rsidP="003D7C16" w14:paraId="44DB9618" w14:textId="44C4D405">
            <w:pPr>
              <w:pStyle w:val="ListParagraph"/>
              <w:ind w:left="0"/>
              <w:rPr>
                <w:rFonts w:ascii="Times New Roman" w:hAnsi="Times New Roman" w:cs="Times New Roman"/>
                <w:sz w:val="24"/>
                <w:szCs w:val="24"/>
              </w:rPr>
            </w:pPr>
            <w:r w:rsidRPr="00A55B49">
              <w:rPr>
                <w:rFonts w:ascii="Times New Roman" w:hAnsi="Times New Roman" w:cs="Times New Roman"/>
                <w:sz w:val="24"/>
                <w:szCs w:val="24"/>
              </w:rPr>
              <w:t>Total Project Cost (</w:t>
            </w:r>
            <w:r w:rsidRPr="00A55B49" w:rsidR="00CE5426">
              <w:rPr>
                <w:rFonts w:ascii="Times New Roman" w:hAnsi="Times New Roman" w:cs="Times New Roman"/>
                <w:sz w:val="24"/>
                <w:szCs w:val="24"/>
              </w:rPr>
              <w:t>3</w:t>
            </w:r>
            <w:r w:rsidRPr="00A55B49" w:rsidR="00B75273">
              <w:rPr>
                <w:rFonts w:ascii="Times New Roman" w:hAnsi="Times New Roman" w:cs="Times New Roman"/>
                <w:sz w:val="24"/>
                <w:szCs w:val="24"/>
              </w:rPr>
              <w:t xml:space="preserve"> years</w:t>
            </w:r>
            <w:r w:rsidRPr="00A55B49">
              <w:rPr>
                <w:rFonts w:ascii="Times New Roman" w:hAnsi="Times New Roman" w:cs="Times New Roman"/>
                <w:sz w:val="24"/>
                <w:szCs w:val="24"/>
              </w:rPr>
              <w:t>)</w:t>
            </w:r>
          </w:p>
        </w:tc>
        <w:tc>
          <w:tcPr>
            <w:tcW w:w="995" w:type="dxa"/>
            <w:shd w:val="clear" w:color="auto" w:fill="auto"/>
          </w:tcPr>
          <w:p w:rsidR="00E763E0" w:rsidRPr="00A55B49" w:rsidP="003D7C16" w14:paraId="3719EF53" w14:textId="77777777">
            <w:pPr>
              <w:pStyle w:val="ListParagraph"/>
              <w:ind w:left="0"/>
              <w:jc w:val="right"/>
              <w:rPr>
                <w:rFonts w:ascii="Times New Roman" w:hAnsi="Times New Roman" w:cs="Times New Roman"/>
                <w:sz w:val="24"/>
                <w:szCs w:val="24"/>
              </w:rPr>
            </w:pPr>
            <w:r w:rsidRPr="00A55B49">
              <w:rPr>
                <w:rFonts w:ascii="Times New Roman" w:hAnsi="Times New Roman" w:cs="Times New Roman"/>
                <w:sz w:val="24"/>
                <w:szCs w:val="24"/>
              </w:rPr>
              <w:t>--</w:t>
            </w:r>
          </w:p>
        </w:tc>
        <w:tc>
          <w:tcPr>
            <w:tcW w:w="1080" w:type="dxa"/>
            <w:shd w:val="clear" w:color="auto" w:fill="auto"/>
          </w:tcPr>
          <w:p w:rsidR="00E763E0" w:rsidRPr="00A55B49" w:rsidP="003D7C16" w14:paraId="78FF01CA" w14:textId="77777777">
            <w:pPr>
              <w:pStyle w:val="ListParagraph"/>
              <w:ind w:left="0"/>
              <w:jc w:val="right"/>
              <w:rPr>
                <w:rFonts w:ascii="Times New Roman" w:hAnsi="Times New Roman" w:cs="Times New Roman"/>
                <w:sz w:val="24"/>
                <w:szCs w:val="24"/>
              </w:rPr>
            </w:pPr>
            <w:r w:rsidRPr="00A55B49">
              <w:rPr>
                <w:rFonts w:ascii="Times New Roman" w:hAnsi="Times New Roman" w:cs="Times New Roman"/>
                <w:sz w:val="24"/>
                <w:szCs w:val="24"/>
              </w:rPr>
              <w:t>--</w:t>
            </w:r>
          </w:p>
        </w:tc>
        <w:tc>
          <w:tcPr>
            <w:tcW w:w="1350" w:type="dxa"/>
            <w:shd w:val="clear" w:color="auto" w:fill="auto"/>
          </w:tcPr>
          <w:p w:rsidR="00E763E0" w:rsidRPr="00A55B49" w:rsidP="003D7C16" w14:paraId="6833B011" w14:textId="77777777">
            <w:pPr>
              <w:pStyle w:val="ListParagraph"/>
              <w:ind w:left="0"/>
              <w:jc w:val="right"/>
              <w:rPr>
                <w:rFonts w:ascii="Times New Roman" w:hAnsi="Times New Roman" w:cs="Times New Roman"/>
                <w:sz w:val="24"/>
                <w:szCs w:val="24"/>
              </w:rPr>
            </w:pPr>
          </w:p>
        </w:tc>
        <w:tc>
          <w:tcPr>
            <w:tcW w:w="900" w:type="dxa"/>
            <w:shd w:val="clear" w:color="auto" w:fill="auto"/>
          </w:tcPr>
          <w:p w:rsidR="00E763E0" w:rsidRPr="00A55B49" w:rsidP="003D7C16" w14:paraId="21F662D4" w14:textId="4EEA36BC">
            <w:pPr>
              <w:pStyle w:val="ListParagraph"/>
              <w:ind w:left="0"/>
              <w:jc w:val="right"/>
              <w:rPr>
                <w:rFonts w:ascii="Times New Roman" w:hAnsi="Times New Roman" w:cs="Times New Roman"/>
                <w:sz w:val="24"/>
                <w:szCs w:val="24"/>
              </w:rPr>
            </w:pPr>
          </w:p>
        </w:tc>
        <w:tc>
          <w:tcPr>
            <w:tcW w:w="1170" w:type="dxa"/>
            <w:shd w:val="clear" w:color="auto" w:fill="auto"/>
          </w:tcPr>
          <w:p w:rsidR="00E763E0" w:rsidRPr="00A55B49" w:rsidP="003D7C16" w14:paraId="043A3304" w14:textId="6F678977">
            <w:pPr>
              <w:pStyle w:val="ListParagraph"/>
              <w:ind w:left="0"/>
              <w:jc w:val="right"/>
              <w:rPr>
                <w:rFonts w:ascii="Times New Roman" w:hAnsi="Times New Roman" w:cs="Times New Roman"/>
                <w:sz w:val="24"/>
                <w:szCs w:val="24"/>
              </w:rPr>
            </w:pPr>
            <w:r w:rsidRPr="00A55B49">
              <w:rPr>
                <w:rFonts w:ascii="Times New Roman" w:hAnsi="Times New Roman" w:cs="Times New Roman"/>
                <w:sz w:val="24"/>
                <w:szCs w:val="24"/>
              </w:rPr>
              <w:t>$</w:t>
            </w:r>
            <w:r w:rsidRPr="00A55B49" w:rsidR="00513608">
              <w:rPr>
                <w:rFonts w:ascii="Times New Roman" w:hAnsi="Times New Roman" w:cs="Times New Roman"/>
                <w:sz w:val="24"/>
                <w:szCs w:val="24"/>
              </w:rPr>
              <w:t>77,310</w:t>
            </w:r>
          </w:p>
        </w:tc>
      </w:tr>
    </w:tbl>
    <w:p w:rsidR="009D4D8E" w:rsidRPr="00A55B49" w:rsidP="00DF4E30" w14:paraId="3C759C5A" w14:textId="77777777">
      <w:pPr>
        <w:pStyle w:val="ListParagraph"/>
        <w:spacing w:after="0"/>
        <w:rPr>
          <w:rFonts w:ascii="Times New Roman" w:hAnsi="Times New Roman" w:cs="Times New Roman"/>
          <w:sz w:val="24"/>
          <w:szCs w:val="24"/>
        </w:rPr>
      </w:pPr>
    </w:p>
    <w:p w:rsidR="009D4D8E" w:rsidRPr="00A55B49" w:rsidP="00E17039" w14:paraId="06FC0011" w14:textId="77777777">
      <w:pPr>
        <w:pStyle w:val="ListParagraph"/>
        <w:numPr>
          <w:ilvl w:val="0"/>
          <w:numId w:val="7"/>
        </w:numPr>
        <w:spacing w:after="0"/>
        <w:ind w:left="360"/>
        <w:rPr>
          <w:rFonts w:ascii="Times New Roman" w:hAnsi="Times New Roman" w:cs="Times New Roman"/>
          <w:b/>
          <w:sz w:val="24"/>
          <w:szCs w:val="24"/>
        </w:rPr>
      </w:pPr>
      <w:r w:rsidRPr="00A55B49">
        <w:rPr>
          <w:rFonts w:ascii="Times New Roman" w:hAnsi="Times New Roman" w:cs="Times New Roman"/>
          <w:b/>
          <w:sz w:val="24"/>
          <w:szCs w:val="24"/>
        </w:rPr>
        <w:t>Explanation for Program Changes or Adjustments</w:t>
      </w:r>
    </w:p>
    <w:p w:rsidR="009D4D8E" w:rsidRPr="00A55B49" w:rsidP="00E17039" w14:paraId="0C9B37B6" w14:textId="77777777">
      <w:pPr>
        <w:spacing w:after="0"/>
        <w:rPr>
          <w:rFonts w:ascii="Times New Roman" w:hAnsi="Times New Roman" w:cs="Times New Roman"/>
          <w:sz w:val="24"/>
          <w:szCs w:val="24"/>
        </w:rPr>
      </w:pPr>
      <w:r w:rsidRPr="00A55B49">
        <w:rPr>
          <w:rFonts w:ascii="Times New Roman" w:hAnsi="Times New Roman" w:cs="Times New Roman"/>
          <w:sz w:val="24"/>
          <w:szCs w:val="24"/>
        </w:rPr>
        <w:t>This is a new data/information collection.</w:t>
      </w:r>
    </w:p>
    <w:p w:rsidR="00EA396B" w:rsidRPr="00A55B49" w:rsidP="00DF4E30" w14:paraId="021895B2" w14:textId="77777777">
      <w:pPr>
        <w:spacing w:after="0"/>
        <w:rPr>
          <w:rFonts w:ascii="Times New Roman" w:hAnsi="Times New Roman" w:cs="Times New Roman"/>
          <w:sz w:val="24"/>
          <w:szCs w:val="24"/>
        </w:rPr>
      </w:pPr>
    </w:p>
    <w:p w:rsidR="009D4D8E" w:rsidRPr="00A55B49" w:rsidP="00C010A8" w14:paraId="39B5090D" w14:textId="77777777">
      <w:pPr>
        <w:pStyle w:val="ListParagraph"/>
        <w:numPr>
          <w:ilvl w:val="0"/>
          <w:numId w:val="7"/>
        </w:numPr>
        <w:spacing w:after="0"/>
        <w:ind w:left="360"/>
        <w:rPr>
          <w:rFonts w:ascii="Times New Roman" w:hAnsi="Times New Roman" w:cs="Times New Roman"/>
          <w:b/>
          <w:sz w:val="24"/>
          <w:szCs w:val="24"/>
        </w:rPr>
      </w:pPr>
      <w:r w:rsidRPr="00A55B49">
        <w:rPr>
          <w:rFonts w:ascii="Times New Roman" w:hAnsi="Times New Roman" w:cs="Times New Roman"/>
          <w:b/>
          <w:sz w:val="24"/>
          <w:szCs w:val="24"/>
        </w:rPr>
        <w:t>Plans for Tabulation and Publication and Project Time Schedule</w:t>
      </w:r>
    </w:p>
    <w:p w:rsidR="002A332F" w:rsidRPr="00A55B49" w:rsidP="005B2669" w14:paraId="2CA85265" w14:textId="7A4CD0A4">
      <w:pPr>
        <w:rPr>
          <w:rFonts w:ascii="Times New Roman" w:hAnsi="Times New Roman" w:cs="Times New Roman"/>
          <w:sz w:val="24"/>
          <w:szCs w:val="24"/>
        </w:rPr>
      </w:pPr>
      <w:r w:rsidRPr="00A55B49">
        <w:rPr>
          <w:rFonts w:ascii="Times New Roman" w:hAnsi="Times New Roman" w:cs="Times New Roman"/>
          <w:sz w:val="24"/>
          <w:szCs w:val="24"/>
        </w:rPr>
        <w:t>Data collected from both women mine workers and mine managers/H&amp;S professionals will be primarily qualitative in nature; however, demographic and some work history information will be collected via a short survey (</w:t>
      </w:r>
      <w:r w:rsidRPr="00A55B49" w:rsidR="00261F6E">
        <w:rPr>
          <w:rFonts w:ascii="Times New Roman" w:hAnsi="Times New Roman" w:cs="Times New Roman"/>
          <w:sz w:val="24"/>
          <w:szCs w:val="24"/>
        </w:rPr>
        <w:t>Attachment D</w:t>
      </w:r>
      <w:r w:rsidRPr="00A55B49">
        <w:rPr>
          <w:rFonts w:ascii="Times New Roman" w:hAnsi="Times New Roman" w:cs="Times New Roman"/>
          <w:sz w:val="24"/>
          <w:szCs w:val="24"/>
        </w:rPr>
        <w:t>).</w:t>
      </w:r>
    </w:p>
    <w:p w:rsidR="002A332F" w:rsidRPr="00A55B49" w:rsidP="002A332F" w14:paraId="1977428C" w14:textId="6C1686F1">
      <w:pPr>
        <w:rPr>
          <w:rFonts w:ascii="Times New Roman" w:hAnsi="Times New Roman" w:cs="Times New Roman"/>
          <w:sz w:val="24"/>
          <w:szCs w:val="24"/>
        </w:rPr>
      </w:pPr>
      <w:r w:rsidRPr="00A55B49">
        <w:rPr>
          <w:rFonts w:ascii="Times New Roman" w:hAnsi="Times New Roman" w:cs="Times New Roman"/>
          <w:bCs/>
          <w:sz w:val="24"/>
          <w:szCs w:val="24"/>
        </w:rPr>
        <w:t>NIOSH personnel will use various methods to analyze study data. Qualitative methods, namely thematic analysis, will be used to analyze the focus group data to identify prioritized work tasks and the hazards and solutions associated with each work system element (Braun and Clarke, 2006, Pollard, et al., 2019). Structuring the qualitative analysis around the work system elements will not only yield useful information to design or re-design specific work system elements but provide vital information on interactions that are often neglected. To delineate our approach, the audio recordings from each focus group session will be transcribed after each focus group and each transcript will be assigned two coders to ensure completeness and agreement. Coders will use the qualitative data analysis software program, MAXQDA (NIOSH Level 3 approved) to inductively identify major themes and organize the data</w:t>
      </w:r>
      <w:r w:rsidR="00254AD8">
        <w:rPr>
          <w:rFonts w:ascii="Times New Roman" w:hAnsi="Times New Roman" w:cs="Times New Roman"/>
          <w:bCs/>
          <w:sz w:val="24"/>
          <w:szCs w:val="24"/>
        </w:rPr>
        <w:t xml:space="preserve"> from the de-identified transcripts</w:t>
      </w:r>
      <w:r w:rsidRPr="00A55B49">
        <w:rPr>
          <w:rFonts w:ascii="Times New Roman" w:hAnsi="Times New Roman" w:cs="Times New Roman"/>
          <w:bCs/>
          <w:sz w:val="24"/>
          <w:szCs w:val="24"/>
        </w:rPr>
        <w:t xml:space="preserve">. </w:t>
      </w:r>
      <w:r w:rsidRPr="00A55B49">
        <w:rPr>
          <w:rFonts w:ascii="Times New Roman" w:hAnsi="Times New Roman" w:cs="Times New Roman"/>
          <w:sz w:val="24"/>
          <w:szCs w:val="24"/>
        </w:rPr>
        <w:t xml:space="preserve">This study will follow the principles of inductive thematic saturation described in Saunders et al. </w:t>
      </w:r>
      <w:r w:rsidRPr="00A55B49">
        <w:rPr>
          <w:rFonts w:ascii="Times New Roman" w:hAnsi="Times New Roman" w:cs="Times New Roman"/>
          <w:sz w:val="24"/>
          <w:szCs w:val="24"/>
        </w:rPr>
        <w:t>(2018), whereby saturation will be reached when no new themes are identified from the data</w:t>
      </w:r>
      <w:r w:rsidRPr="00A55B49">
        <w:rPr>
          <w:rFonts w:ascii="Times New Roman" w:hAnsi="Times New Roman" w:cs="Times New Roman"/>
          <w:bCs/>
          <w:sz w:val="24"/>
          <w:szCs w:val="24"/>
        </w:rPr>
        <w:t xml:space="preserve">. The research team will then interpret the identified themes and ideas in context, comparing and contrasting responses between the women mine workers and the </w:t>
      </w:r>
      <w:r w:rsidRPr="00A55B49">
        <w:rPr>
          <w:rFonts w:ascii="Times New Roman" w:hAnsi="Times New Roman" w:cs="Times New Roman"/>
          <w:sz w:val="24"/>
          <w:szCs w:val="24"/>
        </w:rPr>
        <w:t xml:space="preserve">mine managers/H&amp;S professionals. </w:t>
      </w:r>
      <w:r w:rsidRPr="00A55B49">
        <w:rPr>
          <w:rFonts w:ascii="Times New Roman" w:hAnsi="Times New Roman" w:cs="Times New Roman"/>
          <w:bCs/>
          <w:sz w:val="24"/>
          <w:szCs w:val="24"/>
        </w:rPr>
        <w:t xml:space="preserve">The themes that inductively emerge based on these comparisons will be drafted in detail for publication. Findings will summarize what changes are needed to make mining work systems more supportive for women mine workers while also identifying any discrepancies that exist between the perceptions of women mine workers and those of mine managers and mine </w:t>
      </w:r>
      <w:r w:rsidRPr="00A55B49">
        <w:rPr>
          <w:rFonts w:ascii="Times New Roman" w:hAnsi="Times New Roman" w:cs="Times New Roman"/>
          <w:sz w:val="24"/>
          <w:szCs w:val="24"/>
        </w:rPr>
        <w:t xml:space="preserve">H&amp;S </w:t>
      </w:r>
      <w:r w:rsidRPr="00A55B49">
        <w:rPr>
          <w:rFonts w:ascii="Times New Roman" w:hAnsi="Times New Roman" w:cs="Times New Roman"/>
          <w:bCs/>
          <w:sz w:val="24"/>
          <w:szCs w:val="24"/>
        </w:rPr>
        <w:t>professionals in terms of what changes are needed to make the mining work system more supportive for women mine</w:t>
      </w:r>
      <w:r w:rsidRPr="00A55B49" w:rsidR="007D1B50">
        <w:rPr>
          <w:rFonts w:ascii="Times New Roman" w:hAnsi="Times New Roman" w:cs="Times New Roman"/>
          <w:bCs/>
          <w:sz w:val="24"/>
          <w:szCs w:val="24"/>
        </w:rPr>
        <w:t xml:space="preserve"> worke</w:t>
      </w:r>
      <w:r w:rsidRPr="00A55B49">
        <w:rPr>
          <w:rFonts w:ascii="Times New Roman" w:hAnsi="Times New Roman" w:cs="Times New Roman"/>
          <w:bCs/>
          <w:sz w:val="24"/>
          <w:szCs w:val="24"/>
        </w:rPr>
        <w:t>rs.</w:t>
      </w:r>
    </w:p>
    <w:p w:rsidR="00F639B3" w:rsidRPr="00A55B49" w:rsidP="005B2669" w14:paraId="585DD5F6" w14:textId="15606AD0">
      <w:pPr>
        <w:rPr>
          <w:rFonts w:ascii="Times New Roman" w:hAnsi="Times New Roman" w:cs="Times New Roman"/>
          <w:sz w:val="24"/>
          <w:szCs w:val="24"/>
        </w:rPr>
      </w:pPr>
      <w:r w:rsidRPr="00A55B49">
        <w:rPr>
          <w:rFonts w:ascii="Times New Roman" w:hAnsi="Times New Roman" w:cs="Times New Roman"/>
          <w:bCs/>
          <w:sz w:val="24"/>
          <w:szCs w:val="24"/>
        </w:rPr>
        <w:t>The quantitative data collected from all focus group participants via the Demographics and Work History Survey (A</w:t>
      </w:r>
      <w:r w:rsidRPr="00A55B49" w:rsidR="00844F50">
        <w:rPr>
          <w:rFonts w:ascii="Times New Roman" w:hAnsi="Times New Roman" w:cs="Times New Roman"/>
          <w:bCs/>
          <w:sz w:val="24"/>
          <w:szCs w:val="24"/>
        </w:rPr>
        <w:t>ttachment D</w:t>
      </w:r>
      <w:r w:rsidRPr="00A55B49">
        <w:rPr>
          <w:rFonts w:ascii="Times New Roman" w:hAnsi="Times New Roman" w:cs="Times New Roman"/>
          <w:bCs/>
          <w:sz w:val="24"/>
          <w:szCs w:val="24"/>
        </w:rPr>
        <w:t>) will be analyzed using statistical software like Stata 18 (</w:t>
      </w:r>
      <w:r w:rsidRPr="00A55B49">
        <w:rPr>
          <w:rFonts w:ascii="Times New Roman" w:hAnsi="Times New Roman" w:cs="Times New Roman"/>
          <w:bCs/>
          <w:sz w:val="24"/>
          <w:szCs w:val="24"/>
        </w:rPr>
        <w:t>StataCorp</w:t>
      </w:r>
      <w:r w:rsidRPr="00A55B49">
        <w:rPr>
          <w:rFonts w:ascii="Times New Roman" w:hAnsi="Times New Roman" w:cs="Times New Roman"/>
          <w:bCs/>
          <w:sz w:val="24"/>
          <w:szCs w:val="24"/>
        </w:rPr>
        <w:t xml:space="preserve"> LLC) or SPSS 26 (IBM Corp) (both Level 2 approved). Demographic and work history information will be collected to accurately describe the study’s sample and to place study results in context, highlighting which groups are represented and documenting demographic </w:t>
      </w:r>
      <w:r w:rsidR="00946BBE">
        <w:rPr>
          <w:rFonts w:ascii="Times New Roman" w:hAnsi="Times New Roman" w:cs="Times New Roman"/>
          <w:bCs/>
          <w:sz w:val="24"/>
          <w:szCs w:val="24"/>
        </w:rPr>
        <w:t>differences</w:t>
      </w:r>
      <w:r w:rsidRPr="00A55B49" w:rsidR="00946BBE">
        <w:rPr>
          <w:rFonts w:ascii="Times New Roman" w:hAnsi="Times New Roman" w:cs="Times New Roman"/>
          <w:bCs/>
          <w:sz w:val="24"/>
          <w:szCs w:val="24"/>
        </w:rPr>
        <w:t xml:space="preserve"> </w:t>
      </w:r>
      <w:r w:rsidRPr="00A55B49">
        <w:rPr>
          <w:rFonts w:ascii="Times New Roman" w:hAnsi="Times New Roman" w:cs="Times New Roman"/>
          <w:bCs/>
          <w:sz w:val="24"/>
          <w:szCs w:val="24"/>
        </w:rPr>
        <w:t xml:space="preserve">in perspectives or experiences related to the topic of study. Collecting demographic information also helps others replicate results. </w:t>
      </w:r>
    </w:p>
    <w:p w:rsidR="009D4D8E" w:rsidRPr="00A55B49" w:rsidP="003D7C16" w14:paraId="4BFBBC5E" w14:textId="22B7DD27">
      <w:pPr>
        <w:spacing w:after="0"/>
        <w:rPr>
          <w:rFonts w:ascii="Times New Roman" w:hAnsi="Times New Roman" w:cs="Times New Roman"/>
          <w:sz w:val="24"/>
          <w:szCs w:val="24"/>
        </w:rPr>
      </w:pPr>
      <w:r w:rsidRPr="00A55B49">
        <w:rPr>
          <w:rFonts w:ascii="Times New Roman" w:hAnsi="Times New Roman" w:cs="Times New Roman"/>
          <w:sz w:val="24"/>
          <w:szCs w:val="24"/>
        </w:rPr>
        <w:t>All reports derived from this study will emphasize that the findings cannot be generalized beyond the participant sample.</w:t>
      </w:r>
    </w:p>
    <w:p w:rsidR="0054753D" w:rsidRPr="00A55B49" w:rsidP="00C010A8" w14:paraId="58DC3CD9" w14:textId="77777777">
      <w:pPr>
        <w:spacing w:after="0"/>
        <w:rPr>
          <w:rFonts w:ascii="Times New Roman" w:hAnsi="Times New Roman" w:cs="Times New Roman"/>
          <w:sz w:val="24"/>
          <w:szCs w:val="24"/>
        </w:rPr>
      </w:pPr>
    </w:p>
    <w:p w:rsidR="009D4D8E" w:rsidRPr="00A55B49" w:rsidP="003D7C16" w14:paraId="13764A14" w14:textId="367B6A45">
      <w:pPr>
        <w:spacing w:after="0"/>
        <w:rPr>
          <w:rFonts w:ascii="Times New Roman" w:hAnsi="Times New Roman" w:cs="Times New Roman"/>
          <w:sz w:val="24"/>
          <w:szCs w:val="24"/>
        </w:rPr>
      </w:pPr>
      <w:r w:rsidRPr="00A55B49">
        <w:rPr>
          <w:rFonts w:ascii="Times New Roman" w:hAnsi="Times New Roman" w:cs="Times New Roman"/>
          <w:sz w:val="24"/>
          <w:szCs w:val="24"/>
        </w:rPr>
        <w:t xml:space="preserve">Data collection activities for this study will be completed within </w:t>
      </w:r>
      <w:r w:rsidR="00EF1B6F">
        <w:rPr>
          <w:rFonts w:ascii="Times New Roman" w:hAnsi="Times New Roman" w:cs="Times New Roman"/>
          <w:sz w:val="24"/>
          <w:szCs w:val="24"/>
        </w:rPr>
        <w:t>30</w:t>
      </w:r>
      <w:r w:rsidRPr="00A55B49" w:rsidR="00EF1B6F">
        <w:rPr>
          <w:rFonts w:ascii="Times New Roman" w:hAnsi="Times New Roman" w:cs="Times New Roman"/>
          <w:sz w:val="24"/>
          <w:szCs w:val="24"/>
        </w:rPr>
        <w:t xml:space="preserve"> </w:t>
      </w:r>
      <w:r w:rsidRPr="00A55B49">
        <w:rPr>
          <w:rFonts w:ascii="Times New Roman" w:hAnsi="Times New Roman" w:cs="Times New Roman"/>
          <w:sz w:val="24"/>
          <w:szCs w:val="24"/>
        </w:rPr>
        <w:t xml:space="preserve">months of OMB approval, so </w:t>
      </w:r>
      <w:r w:rsidR="00EF1B6F">
        <w:rPr>
          <w:rFonts w:ascii="Times New Roman" w:hAnsi="Times New Roman" w:cs="Times New Roman"/>
          <w:sz w:val="24"/>
          <w:szCs w:val="24"/>
        </w:rPr>
        <w:t>30</w:t>
      </w:r>
      <w:r w:rsidRPr="00A55B49">
        <w:rPr>
          <w:rFonts w:ascii="Times New Roman" w:hAnsi="Times New Roman" w:cs="Times New Roman"/>
          <w:sz w:val="24"/>
          <w:szCs w:val="24"/>
        </w:rPr>
        <w:t xml:space="preserve"> months of clearance is being requested for research activities. Table </w:t>
      </w:r>
      <w:r w:rsidRPr="00A55B49" w:rsidR="00F639B3">
        <w:rPr>
          <w:rFonts w:ascii="Times New Roman" w:hAnsi="Times New Roman" w:cs="Times New Roman"/>
          <w:sz w:val="24"/>
          <w:szCs w:val="24"/>
        </w:rPr>
        <w:t>A15</w:t>
      </w:r>
      <w:r w:rsidRPr="00A55B49">
        <w:rPr>
          <w:rFonts w:ascii="Times New Roman" w:hAnsi="Times New Roman" w:cs="Times New Roman"/>
          <w:sz w:val="24"/>
          <w:szCs w:val="24"/>
        </w:rPr>
        <w:t xml:space="preserve"> outlines the project schedule. </w:t>
      </w:r>
    </w:p>
    <w:p w:rsidR="0054753D" w:rsidRPr="00A55B49" w:rsidP="00DF4E30" w14:paraId="15EABC30" w14:textId="77777777">
      <w:pPr>
        <w:spacing w:after="0"/>
        <w:rPr>
          <w:rFonts w:ascii="Times New Roman" w:hAnsi="Times New Roman" w:cs="Times New Roman"/>
          <w:sz w:val="24"/>
          <w:szCs w:val="24"/>
        </w:rPr>
      </w:pPr>
    </w:p>
    <w:p w:rsidR="009D4D8E" w:rsidRPr="00A55B49" w:rsidP="00DF4E30" w14:paraId="3C049245" w14:textId="52C90846">
      <w:pPr>
        <w:spacing w:after="0"/>
        <w:rPr>
          <w:rFonts w:ascii="Times New Roman" w:hAnsi="Times New Roman" w:cs="Times New Roman"/>
          <w:bCs/>
          <w:iCs/>
          <w:sz w:val="24"/>
          <w:szCs w:val="24"/>
        </w:rPr>
      </w:pPr>
      <w:r w:rsidRPr="00A55B49">
        <w:rPr>
          <w:rFonts w:ascii="Times New Roman" w:hAnsi="Times New Roman" w:cs="Times New Roman"/>
          <w:bCs/>
          <w:iCs/>
          <w:sz w:val="24"/>
          <w:szCs w:val="24"/>
        </w:rPr>
        <w:t>Table A15</w:t>
      </w:r>
      <w:r w:rsidRPr="00A55B49">
        <w:rPr>
          <w:rFonts w:ascii="Times New Roman" w:hAnsi="Times New Roman" w:cs="Times New Roman"/>
          <w:bCs/>
          <w:iCs/>
          <w:sz w:val="24"/>
          <w:szCs w:val="24"/>
        </w:rPr>
        <w:t xml:space="preserve"> Project Timeline</w:t>
      </w:r>
    </w:p>
    <w:tbl>
      <w:tblPr>
        <w:tblStyle w:val="GridTable6Colorful"/>
        <w:tblW w:w="0" w:type="auto"/>
        <w:tblLook w:val="04A0"/>
      </w:tblPr>
      <w:tblGrid>
        <w:gridCol w:w="5110"/>
        <w:gridCol w:w="4240"/>
      </w:tblGrid>
      <w:tr w14:paraId="4FEBF5A9" w14:textId="77777777" w:rsidTr="00EA396B">
        <w:tblPrEx>
          <w:tblW w:w="0" w:type="auto"/>
          <w:tblLook w:val="04A0"/>
        </w:tblPrEx>
        <w:trPr>
          <w:trHeight w:val="432"/>
        </w:trPr>
        <w:tc>
          <w:tcPr>
            <w:tcW w:w="9710" w:type="dxa"/>
            <w:gridSpan w:val="2"/>
            <w:vAlign w:val="center"/>
          </w:tcPr>
          <w:p w:rsidR="009D4D8E" w:rsidRPr="00A55B49" w:rsidP="003D7C16" w14:paraId="166C32F7" w14:textId="77777777">
            <w:pPr>
              <w:jc w:val="center"/>
              <w:rPr>
                <w:rFonts w:ascii="Times New Roman" w:hAnsi="Times New Roman" w:cs="Times New Roman"/>
                <w:color w:val="auto"/>
                <w:sz w:val="24"/>
                <w:szCs w:val="24"/>
              </w:rPr>
            </w:pPr>
            <w:r w:rsidRPr="00A55B49">
              <w:rPr>
                <w:rFonts w:ascii="Times New Roman" w:hAnsi="Times New Roman" w:cs="Times New Roman"/>
                <w:color w:val="auto"/>
                <w:sz w:val="24"/>
                <w:szCs w:val="24"/>
              </w:rPr>
              <w:t>Project Time Schedule</w:t>
            </w:r>
          </w:p>
        </w:tc>
      </w:tr>
      <w:tr w14:paraId="4CCA90FD" w14:textId="77777777" w:rsidTr="00EA396B">
        <w:tblPrEx>
          <w:tblW w:w="0" w:type="auto"/>
          <w:tblLook w:val="04A0"/>
        </w:tblPrEx>
        <w:trPr>
          <w:trHeight w:val="432"/>
        </w:trPr>
        <w:tc>
          <w:tcPr>
            <w:tcW w:w="5310" w:type="dxa"/>
            <w:shd w:val="clear" w:color="auto" w:fill="auto"/>
            <w:vAlign w:val="center"/>
          </w:tcPr>
          <w:p w:rsidR="009D4D8E" w:rsidRPr="00A55B49" w:rsidP="003D7C16" w14:paraId="2A3C3C9F" w14:textId="77777777">
            <w:pPr>
              <w:jc w:val="center"/>
              <w:rPr>
                <w:rFonts w:ascii="Times New Roman" w:hAnsi="Times New Roman" w:cs="Times New Roman"/>
                <w:color w:val="auto"/>
                <w:sz w:val="24"/>
                <w:szCs w:val="24"/>
              </w:rPr>
            </w:pPr>
            <w:r w:rsidRPr="00A55B49">
              <w:rPr>
                <w:rFonts w:ascii="Times New Roman" w:hAnsi="Times New Roman" w:cs="Times New Roman"/>
                <w:color w:val="auto"/>
                <w:sz w:val="24"/>
                <w:szCs w:val="24"/>
              </w:rPr>
              <w:t>Activity</w:t>
            </w:r>
          </w:p>
        </w:tc>
        <w:tc>
          <w:tcPr>
            <w:tcW w:w="4400" w:type="dxa"/>
            <w:shd w:val="clear" w:color="auto" w:fill="auto"/>
            <w:vAlign w:val="center"/>
          </w:tcPr>
          <w:p w:rsidR="009D4D8E" w:rsidRPr="00A55B49" w:rsidP="003D7C16" w14:paraId="63EE6CA3" w14:textId="77777777">
            <w:pPr>
              <w:jc w:val="center"/>
              <w:rPr>
                <w:rFonts w:ascii="Times New Roman" w:hAnsi="Times New Roman" w:cs="Times New Roman"/>
                <w:b/>
                <w:color w:val="auto"/>
                <w:sz w:val="24"/>
                <w:szCs w:val="24"/>
              </w:rPr>
            </w:pPr>
            <w:r w:rsidRPr="00A55B49">
              <w:rPr>
                <w:rFonts w:ascii="Times New Roman" w:hAnsi="Times New Roman" w:cs="Times New Roman"/>
                <w:b/>
                <w:color w:val="auto"/>
                <w:sz w:val="24"/>
                <w:szCs w:val="24"/>
              </w:rPr>
              <w:t>Time Schedule</w:t>
            </w:r>
          </w:p>
        </w:tc>
      </w:tr>
      <w:tr w14:paraId="1E810097" w14:textId="77777777" w:rsidTr="00EA396B">
        <w:tblPrEx>
          <w:tblW w:w="0" w:type="auto"/>
          <w:tblLook w:val="04A0"/>
        </w:tblPrEx>
        <w:trPr>
          <w:trHeight w:val="432"/>
        </w:trPr>
        <w:tc>
          <w:tcPr>
            <w:tcW w:w="5310" w:type="dxa"/>
            <w:shd w:val="clear" w:color="auto" w:fill="auto"/>
            <w:vAlign w:val="center"/>
          </w:tcPr>
          <w:p w:rsidR="009D4D8E" w:rsidRPr="00A55B49" w:rsidP="003D7C16" w14:paraId="122929B5" w14:textId="3C63D8AB">
            <w:pPr>
              <w:rPr>
                <w:rFonts w:ascii="Times New Roman" w:hAnsi="Times New Roman" w:cs="Times New Roman"/>
                <w:b w:val="0"/>
                <w:sz w:val="24"/>
                <w:szCs w:val="24"/>
              </w:rPr>
            </w:pPr>
            <w:r w:rsidRPr="00A55B49">
              <w:rPr>
                <w:rFonts w:ascii="Times New Roman" w:hAnsi="Times New Roman" w:cs="Times New Roman"/>
                <w:b w:val="0"/>
                <w:sz w:val="24"/>
                <w:szCs w:val="24"/>
              </w:rPr>
              <w:t>Recruit mines to participate</w:t>
            </w:r>
          </w:p>
        </w:tc>
        <w:tc>
          <w:tcPr>
            <w:tcW w:w="4400" w:type="dxa"/>
            <w:shd w:val="clear" w:color="auto" w:fill="auto"/>
            <w:vAlign w:val="center"/>
          </w:tcPr>
          <w:p w:rsidR="009D4D8E" w:rsidRPr="00A55B49" w:rsidP="003D7C16" w14:paraId="5031B887" w14:textId="12F01C0B">
            <w:pPr>
              <w:rPr>
                <w:rFonts w:ascii="Times New Roman" w:hAnsi="Times New Roman" w:cs="Times New Roman"/>
                <w:sz w:val="24"/>
                <w:szCs w:val="24"/>
              </w:rPr>
            </w:pPr>
            <w:r w:rsidRPr="00A55B49">
              <w:rPr>
                <w:rFonts w:ascii="Times New Roman" w:hAnsi="Times New Roman" w:cs="Times New Roman"/>
                <w:sz w:val="24"/>
                <w:szCs w:val="24"/>
              </w:rPr>
              <w:t>1-</w:t>
            </w:r>
            <w:r w:rsidRPr="00A55B49" w:rsidR="00D454C9">
              <w:rPr>
                <w:rFonts w:ascii="Times New Roman" w:hAnsi="Times New Roman" w:cs="Times New Roman"/>
                <w:sz w:val="24"/>
                <w:szCs w:val="24"/>
              </w:rPr>
              <w:t>2</w:t>
            </w:r>
            <w:r w:rsidRPr="00A55B49">
              <w:rPr>
                <w:rFonts w:ascii="Times New Roman" w:hAnsi="Times New Roman" w:cs="Times New Roman"/>
                <w:sz w:val="24"/>
                <w:szCs w:val="24"/>
              </w:rPr>
              <w:t xml:space="preserve"> months after OMB approval</w:t>
            </w:r>
          </w:p>
        </w:tc>
      </w:tr>
      <w:tr w14:paraId="616ED157" w14:textId="77777777" w:rsidTr="00EA396B">
        <w:tblPrEx>
          <w:tblW w:w="0" w:type="auto"/>
          <w:tblLook w:val="04A0"/>
        </w:tblPrEx>
        <w:trPr>
          <w:trHeight w:val="432"/>
        </w:trPr>
        <w:tc>
          <w:tcPr>
            <w:tcW w:w="5310" w:type="dxa"/>
            <w:shd w:val="clear" w:color="auto" w:fill="auto"/>
            <w:vAlign w:val="center"/>
          </w:tcPr>
          <w:p w:rsidR="009D4D8E" w:rsidRPr="00A55B49" w:rsidP="003D7C16" w14:paraId="560069C2" w14:textId="43B5FFD8">
            <w:pPr>
              <w:rPr>
                <w:rFonts w:ascii="Times New Roman" w:hAnsi="Times New Roman" w:cs="Times New Roman"/>
                <w:b w:val="0"/>
                <w:color w:val="auto"/>
                <w:sz w:val="24"/>
                <w:szCs w:val="24"/>
              </w:rPr>
            </w:pPr>
            <w:r w:rsidRPr="00A55B49">
              <w:rPr>
                <w:rFonts w:ascii="Times New Roman" w:hAnsi="Times New Roman" w:cs="Times New Roman"/>
                <w:b w:val="0"/>
                <w:color w:val="auto"/>
                <w:sz w:val="24"/>
                <w:szCs w:val="24"/>
              </w:rPr>
              <w:t>C</w:t>
            </w:r>
            <w:r w:rsidRPr="00A55B49" w:rsidR="00D454C9">
              <w:rPr>
                <w:rFonts w:ascii="Times New Roman" w:hAnsi="Times New Roman" w:cs="Times New Roman"/>
                <w:b w:val="0"/>
                <w:color w:val="auto"/>
                <w:sz w:val="24"/>
                <w:szCs w:val="24"/>
              </w:rPr>
              <w:t>onduct data collection (focus groups</w:t>
            </w:r>
            <w:r w:rsidRPr="00A55B49">
              <w:rPr>
                <w:rFonts w:ascii="Times New Roman" w:hAnsi="Times New Roman" w:cs="Times New Roman"/>
                <w:b w:val="0"/>
                <w:color w:val="auto"/>
                <w:sz w:val="24"/>
                <w:szCs w:val="24"/>
              </w:rPr>
              <w:t xml:space="preserve"> interviews and </w:t>
            </w:r>
            <w:r w:rsidRPr="00A55B49" w:rsidR="00D454C9">
              <w:rPr>
                <w:rFonts w:ascii="Times New Roman" w:hAnsi="Times New Roman" w:cs="Times New Roman"/>
                <w:b w:val="0"/>
                <w:color w:val="auto"/>
                <w:sz w:val="24"/>
                <w:szCs w:val="24"/>
              </w:rPr>
              <w:t>surveys)</w:t>
            </w:r>
          </w:p>
        </w:tc>
        <w:tc>
          <w:tcPr>
            <w:tcW w:w="4400" w:type="dxa"/>
            <w:shd w:val="clear" w:color="auto" w:fill="auto"/>
            <w:vAlign w:val="center"/>
          </w:tcPr>
          <w:p w:rsidR="009D4D8E" w:rsidRPr="00A55B49" w:rsidP="003D7C16" w14:paraId="68E62D90" w14:textId="2DC230D2">
            <w:pPr>
              <w:rPr>
                <w:rFonts w:ascii="Times New Roman" w:hAnsi="Times New Roman" w:cs="Times New Roman"/>
                <w:b/>
                <w:bCs/>
                <w:color w:val="auto"/>
                <w:sz w:val="24"/>
                <w:szCs w:val="24"/>
              </w:rPr>
            </w:pPr>
            <w:r w:rsidRPr="00A55B49">
              <w:rPr>
                <w:rFonts w:ascii="Times New Roman" w:hAnsi="Times New Roman" w:cs="Times New Roman"/>
                <w:color w:val="auto"/>
                <w:sz w:val="24"/>
                <w:szCs w:val="24"/>
              </w:rPr>
              <w:t>1</w:t>
            </w:r>
            <w:r w:rsidRPr="00A55B49">
              <w:rPr>
                <w:rFonts w:ascii="Times New Roman" w:hAnsi="Times New Roman" w:cs="Times New Roman"/>
                <w:color w:val="auto"/>
                <w:sz w:val="24"/>
                <w:szCs w:val="24"/>
              </w:rPr>
              <w:t>-</w:t>
            </w:r>
            <w:r w:rsidRPr="00A55B49" w:rsidR="00083875">
              <w:rPr>
                <w:rFonts w:ascii="Times New Roman" w:hAnsi="Times New Roman" w:cs="Times New Roman"/>
                <w:color w:val="auto"/>
                <w:sz w:val="24"/>
                <w:szCs w:val="24"/>
              </w:rPr>
              <w:t xml:space="preserve">30 </w:t>
            </w:r>
            <w:r w:rsidRPr="00A55B49">
              <w:rPr>
                <w:rFonts w:ascii="Times New Roman" w:hAnsi="Times New Roman" w:cs="Times New Roman"/>
                <w:color w:val="auto"/>
                <w:sz w:val="24"/>
                <w:szCs w:val="24"/>
              </w:rPr>
              <w:t>months after OMB approval (ongoing process)</w:t>
            </w:r>
          </w:p>
        </w:tc>
      </w:tr>
      <w:tr w14:paraId="029D3304" w14:textId="77777777" w:rsidTr="00EA396B">
        <w:tblPrEx>
          <w:tblW w:w="0" w:type="auto"/>
          <w:tblLook w:val="04A0"/>
        </w:tblPrEx>
        <w:trPr>
          <w:trHeight w:val="432"/>
        </w:trPr>
        <w:tc>
          <w:tcPr>
            <w:tcW w:w="5310" w:type="dxa"/>
            <w:shd w:val="clear" w:color="auto" w:fill="auto"/>
            <w:vAlign w:val="center"/>
          </w:tcPr>
          <w:p w:rsidR="009D4D8E" w:rsidRPr="00A55B49" w:rsidP="003D7C16" w14:paraId="7361E340" w14:textId="13483D67">
            <w:pPr>
              <w:rPr>
                <w:rFonts w:ascii="Times New Roman" w:hAnsi="Times New Roman" w:cs="Times New Roman"/>
                <w:b w:val="0"/>
                <w:color w:val="auto"/>
                <w:sz w:val="24"/>
                <w:szCs w:val="24"/>
              </w:rPr>
            </w:pPr>
            <w:r w:rsidRPr="00A55B49">
              <w:rPr>
                <w:rFonts w:ascii="Times New Roman" w:hAnsi="Times New Roman" w:cs="Times New Roman"/>
                <w:b w:val="0"/>
                <w:color w:val="auto"/>
                <w:sz w:val="24"/>
                <w:szCs w:val="24"/>
              </w:rPr>
              <w:t xml:space="preserve">Analyze data &amp; generate </w:t>
            </w:r>
            <w:r w:rsidRPr="00A55B49" w:rsidR="0067773D">
              <w:rPr>
                <w:rFonts w:ascii="Times New Roman" w:hAnsi="Times New Roman" w:cs="Times New Roman"/>
                <w:b w:val="0"/>
                <w:color w:val="auto"/>
                <w:sz w:val="24"/>
                <w:szCs w:val="24"/>
              </w:rPr>
              <w:t xml:space="preserve">interim and </w:t>
            </w:r>
            <w:r w:rsidRPr="00A55B49">
              <w:rPr>
                <w:rFonts w:ascii="Times New Roman" w:hAnsi="Times New Roman" w:cs="Times New Roman"/>
                <w:b w:val="0"/>
                <w:color w:val="auto"/>
                <w:sz w:val="24"/>
                <w:szCs w:val="24"/>
              </w:rPr>
              <w:t>summary report</w:t>
            </w:r>
            <w:r w:rsidRPr="00A55B49" w:rsidR="0067773D">
              <w:rPr>
                <w:rFonts w:ascii="Times New Roman" w:hAnsi="Times New Roman" w:cs="Times New Roman"/>
                <w:b w:val="0"/>
                <w:color w:val="auto"/>
                <w:sz w:val="24"/>
                <w:szCs w:val="24"/>
              </w:rPr>
              <w:t>s</w:t>
            </w:r>
            <w:r w:rsidRPr="00A55B49">
              <w:rPr>
                <w:rFonts w:ascii="Times New Roman" w:hAnsi="Times New Roman" w:cs="Times New Roman"/>
                <w:b w:val="0"/>
                <w:color w:val="auto"/>
                <w:sz w:val="24"/>
                <w:szCs w:val="24"/>
              </w:rPr>
              <w:t xml:space="preserve"> of findings</w:t>
            </w:r>
          </w:p>
        </w:tc>
        <w:tc>
          <w:tcPr>
            <w:tcW w:w="4400" w:type="dxa"/>
            <w:shd w:val="clear" w:color="auto" w:fill="auto"/>
            <w:vAlign w:val="center"/>
          </w:tcPr>
          <w:p w:rsidR="009D4D8E" w:rsidRPr="00A55B49" w:rsidP="003D7C16" w14:paraId="0D57F6A1" w14:textId="0DD7B625">
            <w:pPr>
              <w:rPr>
                <w:rFonts w:ascii="Times New Roman" w:hAnsi="Times New Roman" w:cs="Times New Roman"/>
                <w:color w:val="auto"/>
                <w:sz w:val="24"/>
                <w:szCs w:val="24"/>
              </w:rPr>
            </w:pPr>
            <w:r w:rsidRPr="00A55B49">
              <w:rPr>
                <w:rFonts w:ascii="Times New Roman" w:hAnsi="Times New Roman" w:cs="Times New Roman"/>
                <w:color w:val="auto"/>
                <w:sz w:val="24"/>
                <w:szCs w:val="24"/>
              </w:rPr>
              <w:t>2</w:t>
            </w:r>
            <w:r w:rsidRPr="00A55B49">
              <w:rPr>
                <w:rFonts w:ascii="Times New Roman" w:hAnsi="Times New Roman" w:cs="Times New Roman"/>
                <w:color w:val="auto"/>
                <w:sz w:val="24"/>
                <w:szCs w:val="24"/>
              </w:rPr>
              <w:t>-</w:t>
            </w:r>
            <w:r w:rsidRPr="00A55B49" w:rsidR="00052E29">
              <w:rPr>
                <w:rFonts w:ascii="Times New Roman" w:hAnsi="Times New Roman" w:cs="Times New Roman"/>
                <w:color w:val="auto"/>
                <w:sz w:val="24"/>
                <w:szCs w:val="24"/>
              </w:rPr>
              <w:t>36</w:t>
            </w:r>
            <w:r w:rsidRPr="00A55B49">
              <w:rPr>
                <w:rFonts w:ascii="Times New Roman" w:hAnsi="Times New Roman" w:cs="Times New Roman"/>
                <w:color w:val="auto"/>
                <w:sz w:val="24"/>
                <w:szCs w:val="24"/>
              </w:rPr>
              <w:t xml:space="preserve"> months after OMB approval </w:t>
            </w:r>
          </w:p>
        </w:tc>
      </w:tr>
    </w:tbl>
    <w:p w:rsidR="00EA396B" w:rsidRPr="00A55B49" w:rsidP="00DF4E30" w14:paraId="7327D827" w14:textId="77777777">
      <w:pPr>
        <w:spacing w:after="0"/>
        <w:ind w:left="360"/>
        <w:rPr>
          <w:rFonts w:ascii="Times New Roman" w:hAnsi="Times New Roman" w:cs="Times New Roman"/>
          <w:sz w:val="24"/>
          <w:szCs w:val="24"/>
        </w:rPr>
      </w:pPr>
    </w:p>
    <w:p w:rsidR="009D4D8E" w:rsidRPr="00A55B49" w:rsidP="00C010A8" w14:paraId="1346ED48" w14:textId="77777777">
      <w:pPr>
        <w:pStyle w:val="ListParagraph"/>
        <w:numPr>
          <w:ilvl w:val="0"/>
          <w:numId w:val="7"/>
        </w:numPr>
        <w:spacing w:after="0"/>
        <w:rPr>
          <w:rFonts w:ascii="Times New Roman" w:hAnsi="Times New Roman" w:cs="Times New Roman"/>
          <w:b/>
          <w:sz w:val="24"/>
          <w:szCs w:val="24"/>
        </w:rPr>
      </w:pPr>
      <w:r w:rsidRPr="00A55B49">
        <w:rPr>
          <w:rFonts w:ascii="Times New Roman" w:hAnsi="Times New Roman" w:cs="Times New Roman"/>
          <w:b/>
          <w:sz w:val="24"/>
          <w:szCs w:val="24"/>
        </w:rPr>
        <w:t>Reason(s) Display of OMB Expiration is Inappropriate</w:t>
      </w:r>
    </w:p>
    <w:p w:rsidR="009D4D8E" w:rsidRPr="00A55B49" w:rsidP="00C010A8" w14:paraId="2309A745" w14:textId="77777777">
      <w:pPr>
        <w:spacing w:after="0"/>
        <w:rPr>
          <w:rFonts w:ascii="Times New Roman" w:hAnsi="Times New Roman" w:cs="Times New Roman"/>
          <w:sz w:val="24"/>
          <w:szCs w:val="24"/>
        </w:rPr>
      </w:pPr>
      <w:r w:rsidRPr="00A55B49">
        <w:rPr>
          <w:rFonts w:ascii="Times New Roman" w:hAnsi="Times New Roman" w:cs="Times New Roman"/>
          <w:sz w:val="24"/>
          <w:szCs w:val="24"/>
        </w:rPr>
        <w:t xml:space="preserve">The OMB expiration date will be displayed on all data collection instruments. </w:t>
      </w:r>
    </w:p>
    <w:p w:rsidR="00EA396B" w:rsidRPr="00A55B49" w:rsidP="00C010A8" w14:paraId="440BD664" w14:textId="77777777">
      <w:pPr>
        <w:spacing w:after="0"/>
        <w:rPr>
          <w:rFonts w:ascii="Times New Roman" w:hAnsi="Times New Roman" w:cs="Times New Roman"/>
          <w:sz w:val="24"/>
          <w:szCs w:val="24"/>
        </w:rPr>
      </w:pPr>
    </w:p>
    <w:p w:rsidR="009D4D8E" w:rsidRPr="00A55B49" w:rsidP="00C010A8" w14:paraId="4462B9D0" w14:textId="77777777">
      <w:pPr>
        <w:pStyle w:val="ListParagraph"/>
        <w:numPr>
          <w:ilvl w:val="0"/>
          <w:numId w:val="7"/>
        </w:numPr>
        <w:spacing w:after="0"/>
        <w:rPr>
          <w:rFonts w:ascii="Times New Roman" w:hAnsi="Times New Roman" w:cs="Times New Roman"/>
          <w:b/>
          <w:sz w:val="24"/>
          <w:szCs w:val="24"/>
        </w:rPr>
      </w:pPr>
      <w:r w:rsidRPr="00A55B49">
        <w:rPr>
          <w:rFonts w:ascii="Times New Roman" w:hAnsi="Times New Roman" w:cs="Times New Roman"/>
          <w:b/>
          <w:sz w:val="24"/>
          <w:szCs w:val="24"/>
        </w:rPr>
        <w:t>Exceptions to Certification for Paperwork Reduction Act Submissions</w:t>
      </w:r>
    </w:p>
    <w:p w:rsidR="009D4D8E" w:rsidRPr="00A55B49" w:rsidP="00C010A8" w14:paraId="1A7F3FCD" w14:textId="77777777">
      <w:pPr>
        <w:spacing w:after="0"/>
        <w:rPr>
          <w:rFonts w:ascii="Times New Roman" w:hAnsi="Times New Roman" w:cs="Times New Roman"/>
          <w:bCs/>
          <w:sz w:val="24"/>
          <w:szCs w:val="24"/>
        </w:rPr>
      </w:pPr>
      <w:r w:rsidRPr="00A55B49">
        <w:rPr>
          <w:rFonts w:ascii="Times New Roman" w:hAnsi="Times New Roman" w:cs="Times New Roman"/>
          <w:sz w:val="24"/>
          <w:szCs w:val="24"/>
        </w:rPr>
        <w:t xml:space="preserve">There are no exceptions to the certification. </w:t>
      </w:r>
    </w:p>
    <w:p w:rsidR="00556533" w:rsidRPr="00A55B49" w:rsidP="00C010A8" w14:paraId="1F8B2F59" w14:textId="77777777">
      <w:pPr>
        <w:spacing w:after="0"/>
        <w:rPr>
          <w:rFonts w:ascii="Times New Roman" w:hAnsi="Times New Roman" w:cs="Times New Roman"/>
          <w:sz w:val="24"/>
          <w:szCs w:val="24"/>
        </w:rPr>
      </w:pP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33290566"/>
      <w:docPartObj>
        <w:docPartGallery w:val="Page Numbers (Bottom of Page)"/>
        <w:docPartUnique/>
      </w:docPartObj>
    </w:sdtPr>
    <w:sdtEndPr>
      <w:rPr>
        <w:noProof/>
      </w:rPr>
    </w:sdtEndPr>
    <w:sdtContent>
      <w:p w:rsidR="003C5EE6" w14:paraId="4E801799" w14:textId="1A0F4E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C5EE6" w14:paraId="5B6E1CB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96A48"/>
    <w:multiLevelType w:val="hybridMultilevel"/>
    <w:tmpl w:val="BAC8359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A67395"/>
    <w:multiLevelType w:val="hybridMultilevel"/>
    <w:tmpl w:val="D522F5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1F7325D"/>
    <w:multiLevelType w:val="hybridMultilevel"/>
    <w:tmpl w:val="F6C2FD6E"/>
    <w:lvl w:ilvl="0">
      <w:start w:val="1"/>
      <w:numFmt w:val="bullet"/>
      <w:lvlText w:val="-"/>
      <w:lvlJc w:val="left"/>
      <w:pPr>
        <w:ind w:left="420" w:hanging="360"/>
      </w:pPr>
      <w:rPr>
        <w:rFonts w:ascii="Arial" w:hAnsi="Arial" w:eastAsiaTheme="minorEastAsia" w:cs="Arial"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3">
    <w:nsid w:val="2B5C29C9"/>
    <w:multiLevelType w:val="hybridMultilevel"/>
    <w:tmpl w:val="59B4C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FA50BD"/>
    <w:multiLevelType w:val="hybridMultilevel"/>
    <w:tmpl w:val="37645D22"/>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552763C"/>
    <w:multiLevelType w:val="hybridMultilevel"/>
    <w:tmpl w:val="B3E033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873683"/>
    <w:multiLevelType w:val="hybridMultilevel"/>
    <w:tmpl w:val="E57089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6F242DB"/>
    <w:multiLevelType w:val="hybridMultilevel"/>
    <w:tmpl w:val="5DD2D7D6"/>
    <w:lvl w:ilvl="0">
      <w:start w:val="0"/>
      <w:numFmt w:val="bullet"/>
      <w:lvlText w:val=""/>
      <w:lvlJc w:val="left"/>
      <w:pPr>
        <w:ind w:left="720" w:hanging="360"/>
      </w:pPr>
      <w:rPr>
        <w:rFonts w:ascii="Symbol" w:hAnsi="Symbol"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C04466E"/>
    <w:multiLevelType w:val="hybridMultilevel"/>
    <w:tmpl w:val="5E36C0B2"/>
    <w:lvl w:ilvl="0">
      <w:start w:val="1"/>
      <w:numFmt w:val="decimal"/>
      <w:lvlText w:val="(%1)"/>
      <w:lvlJc w:val="left"/>
      <w:pPr>
        <w:ind w:left="720" w:hanging="360"/>
      </w:pPr>
      <w:rPr>
        <w:rFonts w:ascii="Times New Roman" w:hAnsi="Times New Roman" w:eastAsiaTheme="minorHAnsi"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F320622"/>
    <w:multiLevelType w:val="hybridMultilevel"/>
    <w:tmpl w:val="427A99E4"/>
    <w:lvl w:ilvl="0">
      <w:start w:val="1"/>
      <w:numFmt w:val="bullet"/>
      <w:lvlText w:val=""/>
      <w:lvlJc w:val="left"/>
      <w:pPr>
        <w:ind w:left="2044" w:hanging="360"/>
      </w:pPr>
      <w:rPr>
        <w:rFonts w:ascii="Symbol" w:hAnsi="Symbol" w:hint="default"/>
      </w:rPr>
    </w:lvl>
    <w:lvl w:ilvl="1" w:tentative="1">
      <w:start w:val="1"/>
      <w:numFmt w:val="bullet"/>
      <w:lvlText w:val="o"/>
      <w:lvlJc w:val="left"/>
      <w:pPr>
        <w:ind w:left="2764" w:hanging="360"/>
      </w:pPr>
      <w:rPr>
        <w:rFonts w:ascii="Courier New" w:hAnsi="Courier New" w:cs="Courier New" w:hint="default"/>
      </w:rPr>
    </w:lvl>
    <w:lvl w:ilvl="2" w:tentative="1">
      <w:start w:val="1"/>
      <w:numFmt w:val="bullet"/>
      <w:lvlText w:val=""/>
      <w:lvlJc w:val="left"/>
      <w:pPr>
        <w:ind w:left="3484" w:hanging="360"/>
      </w:pPr>
      <w:rPr>
        <w:rFonts w:ascii="Wingdings" w:hAnsi="Wingdings" w:hint="default"/>
      </w:rPr>
    </w:lvl>
    <w:lvl w:ilvl="3" w:tentative="1">
      <w:start w:val="1"/>
      <w:numFmt w:val="bullet"/>
      <w:lvlText w:val=""/>
      <w:lvlJc w:val="left"/>
      <w:pPr>
        <w:ind w:left="4204" w:hanging="360"/>
      </w:pPr>
      <w:rPr>
        <w:rFonts w:ascii="Symbol" w:hAnsi="Symbol" w:hint="default"/>
      </w:rPr>
    </w:lvl>
    <w:lvl w:ilvl="4" w:tentative="1">
      <w:start w:val="1"/>
      <w:numFmt w:val="bullet"/>
      <w:lvlText w:val="o"/>
      <w:lvlJc w:val="left"/>
      <w:pPr>
        <w:ind w:left="4924" w:hanging="360"/>
      </w:pPr>
      <w:rPr>
        <w:rFonts w:ascii="Courier New" w:hAnsi="Courier New" w:cs="Courier New" w:hint="default"/>
      </w:rPr>
    </w:lvl>
    <w:lvl w:ilvl="5" w:tentative="1">
      <w:start w:val="1"/>
      <w:numFmt w:val="bullet"/>
      <w:lvlText w:val=""/>
      <w:lvlJc w:val="left"/>
      <w:pPr>
        <w:ind w:left="5644" w:hanging="360"/>
      </w:pPr>
      <w:rPr>
        <w:rFonts w:ascii="Wingdings" w:hAnsi="Wingdings" w:hint="default"/>
      </w:rPr>
    </w:lvl>
    <w:lvl w:ilvl="6" w:tentative="1">
      <w:start w:val="1"/>
      <w:numFmt w:val="bullet"/>
      <w:lvlText w:val=""/>
      <w:lvlJc w:val="left"/>
      <w:pPr>
        <w:ind w:left="6364" w:hanging="360"/>
      </w:pPr>
      <w:rPr>
        <w:rFonts w:ascii="Symbol" w:hAnsi="Symbol" w:hint="default"/>
      </w:rPr>
    </w:lvl>
    <w:lvl w:ilvl="7" w:tentative="1">
      <w:start w:val="1"/>
      <w:numFmt w:val="bullet"/>
      <w:lvlText w:val="o"/>
      <w:lvlJc w:val="left"/>
      <w:pPr>
        <w:ind w:left="7084" w:hanging="360"/>
      </w:pPr>
      <w:rPr>
        <w:rFonts w:ascii="Courier New" w:hAnsi="Courier New" w:cs="Courier New" w:hint="default"/>
      </w:rPr>
    </w:lvl>
    <w:lvl w:ilvl="8" w:tentative="1">
      <w:start w:val="1"/>
      <w:numFmt w:val="bullet"/>
      <w:lvlText w:val=""/>
      <w:lvlJc w:val="left"/>
      <w:pPr>
        <w:ind w:left="7804" w:hanging="360"/>
      </w:pPr>
      <w:rPr>
        <w:rFonts w:ascii="Wingdings" w:hAnsi="Wingdings" w:hint="default"/>
      </w:rPr>
    </w:lvl>
  </w:abstractNum>
  <w:abstractNum w:abstractNumId="10">
    <w:nsid w:val="7FC75186"/>
    <w:multiLevelType w:val="hybridMultilevel"/>
    <w:tmpl w:val="B6CADC3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81113926">
    <w:abstractNumId w:val="10"/>
  </w:num>
  <w:num w:numId="2" w16cid:durableId="1296326417">
    <w:abstractNumId w:val="0"/>
  </w:num>
  <w:num w:numId="3" w16cid:durableId="2068602443">
    <w:abstractNumId w:val="1"/>
  </w:num>
  <w:num w:numId="4" w16cid:durableId="1053120838">
    <w:abstractNumId w:val="6"/>
  </w:num>
  <w:num w:numId="5" w16cid:durableId="977759327">
    <w:abstractNumId w:val="5"/>
  </w:num>
  <w:num w:numId="6" w16cid:durableId="1808938409">
    <w:abstractNumId w:val="2"/>
  </w:num>
  <w:num w:numId="7" w16cid:durableId="1984387905">
    <w:abstractNumId w:val="4"/>
  </w:num>
  <w:num w:numId="8" w16cid:durableId="1425226149">
    <w:abstractNumId w:val="8"/>
  </w:num>
  <w:num w:numId="9" w16cid:durableId="751699585">
    <w:abstractNumId w:val="3"/>
  </w:num>
  <w:num w:numId="10" w16cid:durableId="2114089637">
    <w:abstractNumId w:val="9"/>
  </w:num>
  <w:num w:numId="11" w16cid:durableId="1917930784">
    <w:abstractNumId w:val="7"/>
  </w:num>
  <w:num w:numId="12" w16cid:durableId="1229534207">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97"/>
    <w:rsid w:val="00001EED"/>
    <w:rsid w:val="000027AB"/>
    <w:rsid w:val="00002A41"/>
    <w:rsid w:val="00003433"/>
    <w:rsid w:val="00006B0C"/>
    <w:rsid w:val="000073B4"/>
    <w:rsid w:val="00007E0B"/>
    <w:rsid w:val="000110DC"/>
    <w:rsid w:val="00011975"/>
    <w:rsid w:val="00012F8E"/>
    <w:rsid w:val="00013D45"/>
    <w:rsid w:val="00016264"/>
    <w:rsid w:val="00016900"/>
    <w:rsid w:val="0001739E"/>
    <w:rsid w:val="00021AE2"/>
    <w:rsid w:val="00024399"/>
    <w:rsid w:val="00024A64"/>
    <w:rsid w:val="00024B88"/>
    <w:rsid w:val="000250E5"/>
    <w:rsid w:val="00031917"/>
    <w:rsid w:val="00035579"/>
    <w:rsid w:val="00036486"/>
    <w:rsid w:val="000424B7"/>
    <w:rsid w:val="00042E5E"/>
    <w:rsid w:val="00043119"/>
    <w:rsid w:val="00043728"/>
    <w:rsid w:val="0004598E"/>
    <w:rsid w:val="000510C6"/>
    <w:rsid w:val="0005263F"/>
    <w:rsid w:val="00052E29"/>
    <w:rsid w:val="00055766"/>
    <w:rsid w:val="0006178B"/>
    <w:rsid w:val="00061856"/>
    <w:rsid w:val="0006349D"/>
    <w:rsid w:val="00063804"/>
    <w:rsid w:val="00067DAF"/>
    <w:rsid w:val="00077817"/>
    <w:rsid w:val="00081145"/>
    <w:rsid w:val="00083875"/>
    <w:rsid w:val="00087133"/>
    <w:rsid w:val="00090400"/>
    <w:rsid w:val="000920D0"/>
    <w:rsid w:val="000924B6"/>
    <w:rsid w:val="00093159"/>
    <w:rsid w:val="00094B8B"/>
    <w:rsid w:val="0009589C"/>
    <w:rsid w:val="00095CD8"/>
    <w:rsid w:val="00095E96"/>
    <w:rsid w:val="000970B2"/>
    <w:rsid w:val="000A1FA8"/>
    <w:rsid w:val="000A20BE"/>
    <w:rsid w:val="000A30C8"/>
    <w:rsid w:val="000A3A4E"/>
    <w:rsid w:val="000A5E43"/>
    <w:rsid w:val="000A747E"/>
    <w:rsid w:val="000B2C73"/>
    <w:rsid w:val="000B3F89"/>
    <w:rsid w:val="000C1F2A"/>
    <w:rsid w:val="000C21B7"/>
    <w:rsid w:val="000C2E33"/>
    <w:rsid w:val="000C7576"/>
    <w:rsid w:val="000D0DE2"/>
    <w:rsid w:val="000D1A10"/>
    <w:rsid w:val="000D1FE6"/>
    <w:rsid w:val="000D747C"/>
    <w:rsid w:val="000D77B7"/>
    <w:rsid w:val="000D7ACD"/>
    <w:rsid w:val="000E0253"/>
    <w:rsid w:val="000E3273"/>
    <w:rsid w:val="000E62A8"/>
    <w:rsid w:val="000F0C95"/>
    <w:rsid w:val="00105308"/>
    <w:rsid w:val="00107E6E"/>
    <w:rsid w:val="00110BD6"/>
    <w:rsid w:val="00112B75"/>
    <w:rsid w:val="00115C45"/>
    <w:rsid w:val="00115F2F"/>
    <w:rsid w:val="00116012"/>
    <w:rsid w:val="00116D52"/>
    <w:rsid w:val="001241AD"/>
    <w:rsid w:val="0013301A"/>
    <w:rsid w:val="0013372D"/>
    <w:rsid w:val="001340AD"/>
    <w:rsid w:val="00134F30"/>
    <w:rsid w:val="00137DF1"/>
    <w:rsid w:val="00140F9B"/>
    <w:rsid w:val="00140FEF"/>
    <w:rsid w:val="00144DC2"/>
    <w:rsid w:val="001509A8"/>
    <w:rsid w:val="00150DCA"/>
    <w:rsid w:val="00154EF3"/>
    <w:rsid w:val="001611DD"/>
    <w:rsid w:val="00162348"/>
    <w:rsid w:val="00162432"/>
    <w:rsid w:val="00164E68"/>
    <w:rsid w:val="0016597F"/>
    <w:rsid w:val="00166A79"/>
    <w:rsid w:val="001676A8"/>
    <w:rsid w:val="00172176"/>
    <w:rsid w:val="00173939"/>
    <w:rsid w:val="00185AAB"/>
    <w:rsid w:val="00186604"/>
    <w:rsid w:val="00192308"/>
    <w:rsid w:val="00193F5A"/>
    <w:rsid w:val="00194D6E"/>
    <w:rsid w:val="001A264D"/>
    <w:rsid w:val="001A3B15"/>
    <w:rsid w:val="001A6B09"/>
    <w:rsid w:val="001A7B23"/>
    <w:rsid w:val="001B4F34"/>
    <w:rsid w:val="001B585C"/>
    <w:rsid w:val="001B6B6E"/>
    <w:rsid w:val="001C25A1"/>
    <w:rsid w:val="001C4B95"/>
    <w:rsid w:val="001D7760"/>
    <w:rsid w:val="001E2C83"/>
    <w:rsid w:val="001E6F40"/>
    <w:rsid w:val="001E6FE4"/>
    <w:rsid w:val="001F097C"/>
    <w:rsid w:val="001F0E7D"/>
    <w:rsid w:val="001F258C"/>
    <w:rsid w:val="001F628A"/>
    <w:rsid w:val="00202914"/>
    <w:rsid w:val="0020678A"/>
    <w:rsid w:val="0020715A"/>
    <w:rsid w:val="00215F5E"/>
    <w:rsid w:val="00222568"/>
    <w:rsid w:val="00222D5C"/>
    <w:rsid w:val="00226302"/>
    <w:rsid w:val="00226A8F"/>
    <w:rsid w:val="00227C1E"/>
    <w:rsid w:val="00227EFC"/>
    <w:rsid w:val="00232849"/>
    <w:rsid w:val="002353A8"/>
    <w:rsid w:val="00237B2B"/>
    <w:rsid w:val="002410E5"/>
    <w:rsid w:val="002416E5"/>
    <w:rsid w:val="002440F0"/>
    <w:rsid w:val="00245E2A"/>
    <w:rsid w:val="00247AEC"/>
    <w:rsid w:val="002517D3"/>
    <w:rsid w:val="0025362F"/>
    <w:rsid w:val="00254046"/>
    <w:rsid w:val="00254AD8"/>
    <w:rsid w:val="0025688C"/>
    <w:rsid w:val="002613DB"/>
    <w:rsid w:val="00261F6E"/>
    <w:rsid w:val="0026603E"/>
    <w:rsid w:val="002660DD"/>
    <w:rsid w:val="00266978"/>
    <w:rsid w:val="002776F2"/>
    <w:rsid w:val="00280334"/>
    <w:rsid w:val="00283381"/>
    <w:rsid w:val="002858F0"/>
    <w:rsid w:val="002867B4"/>
    <w:rsid w:val="002878E9"/>
    <w:rsid w:val="00290474"/>
    <w:rsid w:val="002918E4"/>
    <w:rsid w:val="002935E0"/>
    <w:rsid w:val="00294969"/>
    <w:rsid w:val="00296525"/>
    <w:rsid w:val="00296C4F"/>
    <w:rsid w:val="002A332F"/>
    <w:rsid w:val="002A337B"/>
    <w:rsid w:val="002A60F7"/>
    <w:rsid w:val="002A7655"/>
    <w:rsid w:val="002B53A1"/>
    <w:rsid w:val="002B752D"/>
    <w:rsid w:val="002C001F"/>
    <w:rsid w:val="002C1369"/>
    <w:rsid w:val="002C29F7"/>
    <w:rsid w:val="002D200B"/>
    <w:rsid w:val="002D25B7"/>
    <w:rsid w:val="002D5D1A"/>
    <w:rsid w:val="002E0DEC"/>
    <w:rsid w:val="002E35FA"/>
    <w:rsid w:val="002F5581"/>
    <w:rsid w:val="002F75E3"/>
    <w:rsid w:val="00304E5F"/>
    <w:rsid w:val="00306876"/>
    <w:rsid w:val="00312677"/>
    <w:rsid w:val="003127D9"/>
    <w:rsid w:val="003146EF"/>
    <w:rsid w:val="0032018E"/>
    <w:rsid w:val="003228C2"/>
    <w:rsid w:val="00323B11"/>
    <w:rsid w:val="00324AF6"/>
    <w:rsid w:val="0033025E"/>
    <w:rsid w:val="0033188E"/>
    <w:rsid w:val="00331E73"/>
    <w:rsid w:val="0033318D"/>
    <w:rsid w:val="00334A24"/>
    <w:rsid w:val="00335F73"/>
    <w:rsid w:val="003363E2"/>
    <w:rsid w:val="003378E8"/>
    <w:rsid w:val="00337D8D"/>
    <w:rsid w:val="00340087"/>
    <w:rsid w:val="0034197D"/>
    <w:rsid w:val="0034329D"/>
    <w:rsid w:val="00343343"/>
    <w:rsid w:val="003461BF"/>
    <w:rsid w:val="00347464"/>
    <w:rsid w:val="003505EB"/>
    <w:rsid w:val="00354D02"/>
    <w:rsid w:val="00355274"/>
    <w:rsid w:val="0035559D"/>
    <w:rsid w:val="003559E2"/>
    <w:rsid w:val="00357A39"/>
    <w:rsid w:val="00357F8F"/>
    <w:rsid w:val="0036598B"/>
    <w:rsid w:val="0036685C"/>
    <w:rsid w:val="00372E62"/>
    <w:rsid w:val="003739B6"/>
    <w:rsid w:val="00374698"/>
    <w:rsid w:val="00374906"/>
    <w:rsid w:val="0037752D"/>
    <w:rsid w:val="003808AA"/>
    <w:rsid w:val="00386B31"/>
    <w:rsid w:val="00387B02"/>
    <w:rsid w:val="00392049"/>
    <w:rsid w:val="00393CCB"/>
    <w:rsid w:val="00393DDC"/>
    <w:rsid w:val="0039510B"/>
    <w:rsid w:val="003A2ED6"/>
    <w:rsid w:val="003A4E93"/>
    <w:rsid w:val="003B02ED"/>
    <w:rsid w:val="003B28A0"/>
    <w:rsid w:val="003B6770"/>
    <w:rsid w:val="003B694A"/>
    <w:rsid w:val="003C01F1"/>
    <w:rsid w:val="003C0B89"/>
    <w:rsid w:val="003C0E59"/>
    <w:rsid w:val="003C127D"/>
    <w:rsid w:val="003C14F8"/>
    <w:rsid w:val="003C18A0"/>
    <w:rsid w:val="003C4F3A"/>
    <w:rsid w:val="003C5EE6"/>
    <w:rsid w:val="003C6CFA"/>
    <w:rsid w:val="003C7B07"/>
    <w:rsid w:val="003D02E4"/>
    <w:rsid w:val="003D1EFD"/>
    <w:rsid w:val="003D4BD6"/>
    <w:rsid w:val="003D6111"/>
    <w:rsid w:val="003D6125"/>
    <w:rsid w:val="003D7BFF"/>
    <w:rsid w:val="003D7C16"/>
    <w:rsid w:val="003E0A9C"/>
    <w:rsid w:val="003E27D5"/>
    <w:rsid w:val="003E31BC"/>
    <w:rsid w:val="003E6090"/>
    <w:rsid w:val="003E641D"/>
    <w:rsid w:val="003F0D53"/>
    <w:rsid w:val="003F28CA"/>
    <w:rsid w:val="003F2938"/>
    <w:rsid w:val="003F2A97"/>
    <w:rsid w:val="003F3B84"/>
    <w:rsid w:val="003F7390"/>
    <w:rsid w:val="003F7993"/>
    <w:rsid w:val="004021B5"/>
    <w:rsid w:val="00403940"/>
    <w:rsid w:val="004039EA"/>
    <w:rsid w:val="004148A4"/>
    <w:rsid w:val="00415479"/>
    <w:rsid w:val="0042019D"/>
    <w:rsid w:val="00422C83"/>
    <w:rsid w:val="00431125"/>
    <w:rsid w:val="004414C4"/>
    <w:rsid w:val="0044462C"/>
    <w:rsid w:val="004446E9"/>
    <w:rsid w:val="00444E62"/>
    <w:rsid w:val="00450053"/>
    <w:rsid w:val="0045063C"/>
    <w:rsid w:val="00451DD5"/>
    <w:rsid w:val="004543B1"/>
    <w:rsid w:val="00455714"/>
    <w:rsid w:val="00461519"/>
    <w:rsid w:val="00464929"/>
    <w:rsid w:val="0046636E"/>
    <w:rsid w:val="00466B98"/>
    <w:rsid w:val="004712BC"/>
    <w:rsid w:val="004726FF"/>
    <w:rsid w:val="004737FE"/>
    <w:rsid w:val="00475564"/>
    <w:rsid w:val="00475931"/>
    <w:rsid w:val="0047722C"/>
    <w:rsid w:val="00481491"/>
    <w:rsid w:val="00484D1E"/>
    <w:rsid w:val="00487EF6"/>
    <w:rsid w:val="00491AAD"/>
    <w:rsid w:val="00496536"/>
    <w:rsid w:val="004A114A"/>
    <w:rsid w:val="004A3273"/>
    <w:rsid w:val="004A592A"/>
    <w:rsid w:val="004A6311"/>
    <w:rsid w:val="004A6586"/>
    <w:rsid w:val="004B3076"/>
    <w:rsid w:val="004B3BA0"/>
    <w:rsid w:val="004B3E25"/>
    <w:rsid w:val="004C0AF8"/>
    <w:rsid w:val="004C3DF5"/>
    <w:rsid w:val="004C3EDE"/>
    <w:rsid w:val="004D336E"/>
    <w:rsid w:val="004D697B"/>
    <w:rsid w:val="004E0B97"/>
    <w:rsid w:val="004E0D95"/>
    <w:rsid w:val="004E21A9"/>
    <w:rsid w:val="004E2E90"/>
    <w:rsid w:val="004E3724"/>
    <w:rsid w:val="004E5941"/>
    <w:rsid w:val="004E5AB0"/>
    <w:rsid w:val="004F0806"/>
    <w:rsid w:val="004F0921"/>
    <w:rsid w:val="004F7C3B"/>
    <w:rsid w:val="005005EF"/>
    <w:rsid w:val="005010CA"/>
    <w:rsid w:val="00501A8D"/>
    <w:rsid w:val="00502FD9"/>
    <w:rsid w:val="00503A9B"/>
    <w:rsid w:val="00506CC1"/>
    <w:rsid w:val="00507485"/>
    <w:rsid w:val="005075A2"/>
    <w:rsid w:val="00507F8E"/>
    <w:rsid w:val="0051155A"/>
    <w:rsid w:val="00512B59"/>
    <w:rsid w:val="00513608"/>
    <w:rsid w:val="005158DA"/>
    <w:rsid w:val="00516EAE"/>
    <w:rsid w:val="005202B4"/>
    <w:rsid w:val="00524282"/>
    <w:rsid w:val="005267B7"/>
    <w:rsid w:val="00526C96"/>
    <w:rsid w:val="00527897"/>
    <w:rsid w:val="00527E6C"/>
    <w:rsid w:val="00532759"/>
    <w:rsid w:val="00532F45"/>
    <w:rsid w:val="005337F1"/>
    <w:rsid w:val="005358DC"/>
    <w:rsid w:val="00535E17"/>
    <w:rsid w:val="0054147B"/>
    <w:rsid w:val="00541626"/>
    <w:rsid w:val="00541EF2"/>
    <w:rsid w:val="00544141"/>
    <w:rsid w:val="005462C5"/>
    <w:rsid w:val="00546E12"/>
    <w:rsid w:val="00546E9F"/>
    <w:rsid w:val="0054753D"/>
    <w:rsid w:val="00552B94"/>
    <w:rsid w:val="00556533"/>
    <w:rsid w:val="00556BE2"/>
    <w:rsid w:val="005575C5"/>
    <w:rsid w:val="00557ECD"/>
    <w:rsid w:val="005604EE"/>
    <w:rsid w:val="00564194"/>
    <w:rsid w:val="00564559"/>
    <w:rsid w:val="00564595"/>
    <w:rsid w:val="00564835"/>
    <w:rsid w:val="00564B87"/>
    <w:rsid w:val="00564EBE"/>
    <w:rsid w:val="00565C5D"/>
    <w:rsid w:val="0056611C"/>
    <w:rsid w:val="0056681D"/>
    <w:rsid w:val="005720C9"/>
    <w:rsid w:val="00573ED1"/>
    <w:rsid w:val="0057471F"/>
    <w:rsid w:val="00576E03"/>
    <w:rsid w:val="00586B6F"/>
    <w:rsid w:val="00591B9D"/>
    <w:rsid w:val="00596353"/>
    <w:rsid w:val="00597AAD"/>
    <w:rsid w:val="005A5BF9"/>
    <w:rsid w:val="005A6E72"/>
    <w:rsid w:val="005B0402"/>
    <w:rsid w:val="005B2669"/>
    <w:rsid w:val="005B3379"/>
    <w:rsid w:val="005B5AB4"/>
    <w:rsid w:val="005B6EA2"/>
    <w:rsid w:val="005C4D48"/>
    <w:rsid w:val="005C6F7F"/>
    <w:rsid w:val="005D161C"/>
    <w:rsid w:val="005D369A"/>
    <w:rsid w:val="005D4791"/>
    <w:rsid w:val="005D4D35"/>
    <w:rsid w:val="005D768B"/>
    <w:rsid w:val="005E629D"/>
    <w:rsid w:val="005F2402"/>
    <w:rsid w:val="005F3CD9"/>
    <w:rsid w:val="005F4D63"/>
    <w:rsid w:val="006038A7"/>
    <w:rsid w:val="00603F3F"/>
    <w:rsid w:val="00604CBB"/>
    <w:rsid w:val="00604F54"/>
    <w:rsid w:val="00605506"/>
    <w:rsid w:val="00605FEE"/>
    <w:rsid w:val="006075E3"/>
    <w:rsid w:val="00613A2C"/>
    <w:rsid w:val="00613F63"/>
    <w:rsid w:val="006151A4"/>
    <w:rsid w:val="00615378"/>
    <w:rsid w:val="00616482"/>
    <w:rsid w:val="006164B0"/>
    <w:rsid w:val="006211F2"/>
    <w:rsid w:val="00621C9F"/>
    <w:rsid w:val="00623766"/>
    <w:rsid w:val="00625878"/>
    <w:rsid w:val="0062615D"/>
    <w:rsid w:val="006269F9"/>
    <w:rsid w:val="00633767"/>
    <w:rsid w:val="00633CA2"/>
    <w:rsid w:val="006348F3"/>
    <w:rsid w:val="00636697"/>
    <w:rsid w:val="00640D7A"/>
    <w:rsid w:val="00643BF4"/>
    <w:rsid w:val="006529D6"/>
    <w:rsid w:val="0065431D"/>
    <w:rsid w:val="006550AC"/>
    <w:rsid w:val="00655838"/>
    <w:rsid w:val="00655963"/>
    <w:rsid w:val="006571EA"/>
    <w:rsid w:val="006576FB"/>
    <w:rsid w:val="006616DA"/>
    <w:rsid w:val="00664E4D"/>
    <w:rsid w:val="00666824"/>
    <w:rsid w:val="00667ACB"/>
    <w:rsid w:val="0067246E"/>
    <w:rsid w:val="0067311F"/>
    <w:rsid w:val="0067501C"/>
    <w:rsid w:val="00675DEC"/>
    <w:rsid w:val="0067773D"/>
    <w:rsid w:val="006812BD"/>
    <w:rsid w:val="006814DB"/>
    <w:rsid w:val="006839EF"/>
    <w:rsid w:val="0068596C"/>
    <w:rsid w:val="006909A0"/>
    <w:rsid w:val="00690DB4"/>
    <w:rsid w:val="00692536"/>
    <w:rsid w:val="0069438E"/>
    <w:rsid w:val="006A1E23"/>
    <w:rsid w:val="006A226E"/>
    <w:rsid w:val="006A300C"/>
    <w:rsid w:val="006A4928"/>
    <w:rsid w:val="006A5892"/>
    <w:rsid w:val="006A5C1F"/>
    <w:rsid w:val="006A62D3"/>
    <w:rsid w:val="006B7C48"/>
    <w:rsid w:val="006C0DA2"/>
    <w:rsid w:val="006C332D"/>
    <w:rsid w:val="006C5181"/>
    <w:rsid w:val="006C7A40"/>
    <w:rsid w:val="006D1FC7"/>
    <w:rsid w:val="006D3E5F"/>
    <w:rsid w:val="006D424B"/>
    <w:rsid w:val="006D4E35"/>
    <w:rsid w:val="006D67BB"/>
    <w:rsid w:val="006D7A9F"/>
    <w:rsid w:val="006E0778"/>
    <w:rsid w:val="006E0FB8"/>
    <w:rsid w:val="006E1813"/>
    <w:rsid w:val="006E3203"/>
    <w:rsid w:val="006E3F03"/>
    <w:rsid w:val="006E7416"/>
    <w:rsid w:val="006F00FF"/>
    <w:rsid w:val="006F071D"/>
    <w:rsid w:val="006F2745"/>
    <w:rsid w:val="006F4F63"/>
    <w:rsid w:val="006F625A"/>
    <w:rsid w:val="006F6F84"/>
    <w:rsid w:val="006F79E8"/>
    <w:rsid w:val="007004B2"/>
    <w:rsid w:val="0070114D"/>
    <w:rsid w:val="00702BF6"/>
    <w:rsid w:val="00703006"/>
    <w:rsid w:val="00703A3E"/>
    <w:rsid w:val="00704A20"/>
    <w:rsid w:val="00710752"/>
    <w:rsid w:val="007143DC"/>
    <w:rsid w:val="00716FE7"/>
    <w:rsid w:val="00722C37"/>
    <w:rsid w:val="0072481B"/>
    <w:rsid w:val="0073213D"/>
    <w:rsid w:val="00735110"/>
    <w:rsid w:val="00737FF3"/>
    <w:rsid w:val="00737FFC"/>
    <w:rsid w:val="00740D73"/>
    <w:rsid w:val="00742B1E"/>
    <w:rsid w:val="00744B78"/>
    <w:rsid w:val="007455B8"/>
    <w:rsid w:val="00750BBB"/>
    <w:rsid w:val="00751097"/>
    <w:rsid w:val="00754B85"/>
    <w:rsid w:val="00755DC1"/>
    <w:rsid w:val="007577D9"/>
    <w:rsid w:val="00762716"/>
    <w:rsid w:val="00766E3E"/>
    <w:rsid w:val="00767041"/>
    <w:rsid w:val="00770866"/>
    <w:rsid w:val="00770AA6"/>
    <w:rsid w:val="007712A7"/>
    <w:rsid w:val="00780958"/>
    <w:rsid w:val="007809AB"/>
    <w:rsid w:val="007826E9"/>
    <w:rsid w:val="007842B6"/>
    <w:rsid w:val="00786C0D"/>
    <w:rsid w:val="00787C14"/>
    <w:rsid w:val="00787D96"/>
    <w:rsid w:val="00790616"/>
    <w:rsid w:val="007928EF"/>
    <w:rsid w:val="00793134"/>
    <w:rsid w:val="007958E6"/>
    <w:rsid w:val="00795F67"/>
    <w:rsid w:val="007A1035"/>
    <w:rsid w:val="007A3816"/>
    <w:rsid w:val="007A46D0"/>
    <w:rsid w:val="007A7C71"/>
    <w:rsid w:val="007B0286"/>
    <w:rsid w:val="007B0C91"/>
    <w:rsid w:val="007C2D3F"/>
    <w:rsid w:val="007C58E5"/>
    <w:rsid w:val="007C6A50"/>
    <w:rsid w:val="007C712A"/>
    <w:rsid w:val="007D1614"/>
    <w:rsid w:val="007D1B50"/>
    <w:rsid w:val="007D2A04"/>
    <w:rsid w:val="007E06E6"/>
    <w:rsid w:val="007E2115"/>
    <w:rsid w:val="007E2A48"/>
    <w:rsid w:val="007E5337"/>
    <w:rsid w:val="007E53FA"/>
    <w:rsid w:val="007E540B"/>
    <w:rsid w:val="007F3624"/>
    <w:rsid w:val="007F4799"/>
    <w:rsid w:val="007F4DBE"/>
    <w:rsid w:val="007F612E"/>
    <w:rsid w:val="008014CF"/>
    <w:rsid w:val="00802949"/>
    <w:rsid w:val="00803658"/>
    <w:rsid w:val="00803BD5"/>
    <w:rsid w:val="00804CAE"/>
    <w:rsid w:val="00806D13"/>
    <w:rsid w:val="00806EEC"/>
    <w:rsid w:val="00807504"/>
    <w:rsid w:val="00807B58"/>
    <w:rsid w:val="008157C7"/>
    <w:rsid w:val="008172CC"/>
    <w:rsid w:val="008216FC"/>
    <w:rsid w:val="00825B8B"/>
    <w:rsid w:val="008345FA"/>
    <w:rsid w:val="008348C9"/>
    <w:rsid w:val="008355D3"/>
    <w:rsid w:val="008357BB"/>
    <w:rsid w:val="00837D44"/>
    <w:rsid w:val="008407B7"/>
    <w:rsid w:val="00842A65"/>
    <w:rsid w:val="00842C71"/>
    <w:rsid w:val="0084416B"/>
    <w:rsid w:val="00844CF9"/>
    <w:rsid w:val="00844F50"/>
    <w:rsid w:val="00845D61"/>
    <w:rsid w:val="0084611B"/>
    <w:rsid w:val="00846460"/>
    <w:rsid w:val="00851283"/>
    <w:rsid w:val="008514DB"/>
    <w:rsid w:val="00852A61"/>
    <w:rsid w:val="0085350D"/>
    <w:rsid w:val="00854FA9"/>
    <w:rsid w:val="008567E1"/>
    <w:rsid w:val="008629CF"/>
    <w:rsid w:val="00865D74"/>
    <w:rsid w:val="00866273"/>
    <w:rsid w:val="00866366"/>
    <w:rsid w:val="00874C74"/>
    <w:rsid w:val="00875D53"/>
    <w:rsid w:val="00876B2D"/>
    <w:rsid w:val="008845FA"/>
    <w:rsid w:val="00887C5A"/>
    <w:rsid w:val="008909DC"/>
    <w:rsid w:val="00891B07"/>
    <w:rsid w:val="0089346B"/>
    <w:rsid w:val="00893A50"/>
    <w:rsid w:val="00897126"/>
    <w:rsid w:val="0089781B"/>
    <w:rsid w:val="008A0197"/>
    <w:rsid w:val="008A2E40"/>
    <w:rsid w:val="008A4A23"/>
    <w:rsid w:val="008B3C2D"/>
    <w:rsid w:val="008B44E4"/>
    <w:rsid w:val="008B450E"/>
    <w:rsid w:val="008B4842"/>
    <w:rsid w:val="008B4AC3"/>
    <w:rsid w:val="008C0C6C"/>
    <w:rsid w:val="008C2B8C"/>
    <w:rsid w:val="008C2DEC"/>
    <w:rsid w:val="008D3111"/>
    <w:rsid w:val="008D3D40"/>
    <w:rsid w:val="008D7A35"/>
    <w:rsid w:val="008E1451"/>
    <w:rsid w:val="008E4DD0"/>
    <w:rsid w:val="008E7077"/>
    <w:rsid w:val="008E7714"/>
    <w:rsid w:val="008F059B"/>
    <w:rsid w:val="008F4A9F"/>
    <w:rsid w:val="008F5B24"/>
    <w:rsid w:val="008F6418"/>
    <w:rsid w:val="008F722B"/>
    <w:rsid w:val="00905498"/>
    <w:rsid w:val="009066EE"/>
    <w:rsid w:val="00907D70"/>
    <w:rsid w:val="00907DBF"/>
    <w:rsid w:val="00907EA2"/>
    <w:rsid w:val="009108FB"/>
    <w:rsid w:val="0091528A"/>
    <w:rsid w:val="009247D5"/>
    <w:rsid w:val="00926852"/>
    <w:rsid w:val="009275B0"/>
    <w:rsid w:val="009359EB"/>
    <w:rsid w:val="00936639"/>
    <w:rsid w:val="009367AA"/>
    <w:rsid w:val="00940B59"/>
    <w:rsid w:val="00941CEF"/>
    <w:rsid w:val="00943388"/>
    <w:rsid w:val="0094477B"/>
    <w:rsid w:val="00944C1A"/>
    <w:rsid w:val="00946BBE"/>
    <w:rsid w:val="00952350"/>
    <w:rsid w:val="00954734"/>
    <w:rsid w:val="00956C81"/>
    <w:rsid w:val="009575D9"/>
    <w:rsid w:val="00957F9E"/>
    <w:rsid w:val="00964186"/>
    <w:rsid w:val="00965E2E"/>
    <w:rsid w:val="00966300"/>
    <w:rsid w:val="00970653"/>
    <w:rsid w:val="0097450C"/>
    <w:rsid w:val="00975F20"/>
    <w:rsid w:val="00976D8B"/>
    <w:rsid w:val="00976E20"/>
    <w:rsid w:val="009771B1"/>
    <w:rsid w:val="00982F36"/>
    <w:rsid w:val="00985CA8"/>
    <w:rsid w:val="009860B7"/>
    <w:rsid w:val="00987E58"/>
    <w:rsid w:val="00993C02"/>
    <w:rsid w:val="00997C0B"/>
    <w:rsid w:val="009A10D3"/>
    <w:rsid w:val="009B097B"/>
    <w:rsid w:val="009B3D05"/>
    <w:rsid w:val="009B41DE"/>
    <w:rsid w:val="009B4E23"/>
    <w:rsid w:val="009B77FE"/>
    <w:rsid w:val="009C3142"/>
    <w:rsid w:val="009C3F06"/>
    <w:rsid w:val="009C45DD"/>
    <w:rsid w:val="009C46EF"/>
    <w:rsid w:val="009C6400"/>
    <w:rsid w:val="009C7A37"/>
    <w:rsid w:val="009D45C1"/>
    <w:rsid w:val="009D4D8E"/>
    <w:rsid w:val="009D553E"/>
    <w:rsid w:val="009D6961"/>
    <w:rsid w:val="009D7EE3"/>
    <w:rsid w:val="009E00BB"/>
    <w:rsid w:val="009E3749"/>
    <w:rsid w:val="009E4AD1"/>
    <w:rsid w:val="009E51DF"/>
    <w:rsid w:val="009E79AD"/>
    <w:rsid w:val="009F0B68"/>
    <w:rsid w:val="009F3349"/>
    <w:rsid w:val="009F6A74"/>
    <w:rsid w:val="009F745F"/>
    <w:rsid w:val="00A02CD3"/>
    <w:rsid w:val="00A03126"/>
    <w:rsid w:val="00A0401B"/>
    <w:rsid w:val="00A04442"/>
    <w:rsid w:val="00A055D7"/>
    <w:rsid w:val="00A058E4"/>
    <w:rsid w:val="00A0648B"/>
    <w:rsid w:val="00A11E10"/>
    <w:rsid w:val="00A123F6"/>
    <w:rsid w:val="00A154A4"/>
    <w:rsid w:val="00A17E2C"/>
    <w:rsid w:val="00A22918"/>
    <w:rsid w:val="00A23609"/>
    <w:rsid w:val="00A26865"/>
    <w:rsid w:val="00A26EFB"/>
    <w:rsid w:val="00A27962"/>
    <w:rsid w:val="00A31571"/>
    <w:rsid w:val="00A32868"/>
    <w:rsid w:val="00A33A9D"/>
    <w:rsid w:val="00A33D7A"/>
    <w:rsid w:val="00A35844"/>
    <w:rsid w:val="00A35C9D"/>
    <w:rsid w:val="00A36582"/>
    <w:rsid w:val="00A406EB"/>
    <w:rsid w:val="00A5518D"/>
    <w:rsid w:val="00A55B49"/>
    <w:rsid w:val="00A56AE8"/>
    <w:rsid w:val="00A5732E"/>
    <w:rsid w:val="00A617BD"/>
    <w:rsid w:val="00A64A08"/>
    <w:rsid w:val="00A65FC3"/>
    <w:rsid w:val="00A722CC"/>
    <w:rsid w:val="00A75FFE"/>
    <w:rsid w:val="00A82782"/>
    <w:rsid w:val="00A84D44"/>
    <w:rsid w:val="00A8639D"/>
    <w:rsid w:val="00A92081"/>
    <w:rsid w:val="00A95884"/>
    <w:rsid w:val="00A964E1"/>
    <w:rsid w:val="00AA220B"/>
    <w:rsid w:val="00AA5EE3"/>
    <w:rsid w:val="00AB299A"/>
    <w:rsid w:val="00AB424D"/>
    <w:rsid w:val="00AB6573"/>
    <w:rsid w:val="00AC10B0"/>
    <w:rsid w:val="00AC10EA"/>
    <w:rsid w:val="00AC4572"/>
    <w:rsid w:val="00AC653C"/>
    <w:rsid w:val="00AD041E"/>
    <w:rsid w:val="00AD0760"/>
    <w:rsid w:val="00AD1BCD"/>
    <w:rsid w:val="00AD402E"/>
    <w:rsid w:val="00AD561D"/>
    <w:rsid w:val="00AE022F"/>
    <w:rsid w:val="00AE12F2"/>
    <w:rsid w:val="00AE4CB8"/>
    <w:rsid w:val="00AF0F7E"/>
    <w:rsid w:val="00AF61C5"/>
    <w:rsid w:val="00AF77B9"/>
    <w:rsid w:val="00AF7E83"/>
    <w:rsid w:val="00B017B6"/>
    <w:rsid w:val="00B01B8F"/>
    <w:rsid w:val="00B03203"/>
    <w:rsid w:val="00B062A8"/>
    <w:rsid w:val="00B100F7"/>
    <w:rsid w:val="00B21242"/>
    <w:rsid w:val="00B21C69"/>
    <w:rsid w:val="00B2327A"/>
    <w:rsid w:val="00B23A95"/>
    <w:rsid w:val="00B23F2A"/>
    <w:rsid w:val="00B26F8F"/>
    <w:rsid w:val="00B303B8"/>
    <w:rsid w:val="00B31DC9"/>
    <w:rsid w:val="00B35A3D"/>
    <w:rsid w:val="00B37442"/>
    <w:rsid w:val="00B50A2D"/>
    <w:rsid w:val="00B51B44"/>
    <w:rsid w:val="00B53A88"/>
    <w:rsid w:val="00B53F88"/>
    <w:rsid w:val="00B56A04"/>
    <w:rsid w:val="00B56A46"/>
    <w:rsid w:val="00B578B1"/>
    <w:rsid w:val="00B6016D"/>
    <w:rsid w:val="00B614AB"/>
    <w:rsid w:val="00B6318A"/>
    <w:rsid w:val="00B655CF"/>
    <w:rsid w:val="00B67044"/>
    <w:rsid w:val="00B720C1"/>
    <w:rsid w:val="00B75273"/>
    <w:rsid w:val="00B7565B"/>
    <w:rsid w:val="00B7630B"/>
    <w:rsid w:val="00B76C06"/>
    <w:rsid w:val="00B778B7"/>
    <w:rsid w:val="00B807A9"/>
    <w:rsid w:val="00B8197B"/>
    <w:rsid w:val="00B83D25"/>
    <w:rsid w:val="00B84108"/>
    <w:rsid w:val="00B9238A"/>
    <w:rsid w:val="00B92AA0"/>
    <w:rsid w:val="00B930DA"/>
    <w:rsid w:val="00B93DD2"/>
    <w:rsid w:val="00BA0B01"/>
    <w:rsid w:val="00BA2986"/>
    <w:rsid w:val="00BA6DBD"/>
    <w:rsid w:val="00BA7A31"/>
    <w:rsid w:val="00BB0AC4"/>
    <w:rsid w:val="00BB500B"/>
    <w:rsid w:val="00BB5AE5"/>
    <w:rsid w:val="00BB68B6"/>
    <w:rsid w:val="00BB6E38"/>
    <w:rsid w:val="00BC02BF"/>
    <w:rsid w:val="00BC0B7C"/>
    <w:rsid w:val="00BC1988"/>
    <w:rsid w:val="00BC1AE9"/>
    <w:rsid w:val="00BC39D8"/>
    <w:rsid w:val="00BC7C54"/>
    <w:rsid w:val="00BD3630"/>
    <w:rsid w:val="00BD52E6"/>
    <w:rsid w:val="00BE2C54"/>
    <w:rsid w:val="00BE7A87"/>
    <w:rsid w:val="00BF0F79"/>
    <w:rsid w:val="00BF5507"/>
    <w:rsid w:val="00BF661F"/>
    <w:rsid w:val="00C00E68"/>
    <w:rsid w:val="00C010A8"/>
    <w:rsid w:val="00C023BB"/>
    <w:rsid w:val="00C04313"/>
    <w:rsid w:val="00C05EE7"/>
    <w:rsid w:val="00C06C42"/>
    <w:rsid w:val="00C127B9"/>
    <w:rsid w:val="00C138CE"/>
    <w:rsid w:val="00C177BD"/>
    <w:rsid w:val="00C20348"/>
    <w:rsid w:val="00C20AA9"/>
    <w:rsid w:val="00C20F68"/>
    <w:rsid w:val="00C2250B"/>
    <w:rsid w:val="00C239CA"/>
    <w:rsid w:val="00C25DE4"/>
    <w:rsid w:val="00C26A82"/>
    <w:rsid w:val="00C372FC"/>
    <w:rsid w:val="00C4044E"/>
    <w:rsid w:val="00C40890"/>
    <w:rsid w:val="00C41464"/>
    <w:rsid w:val="00C420AD"/>
    <w:rsid w:val="00C4490C"/>
    <w:rsid w:val="00C47318"/>
    <w:rsid w:val="00C50E0C"/>
    <w:rsid w:val="00C546D5"/>
    <w:rsid w:val="00C61D96"/>
    <w:rsid w:val="00C64E05"/>
    <w:rsid w:val="00C67374"/>
    <w:rsid w:val="00C7142D"/>
    <w:rsid w:val="00C722D8"/>
    <w:rsid w:val="00C7446B"/>
    <w:rsid w:val="00C77006"/>
    <w:rsid w:val="00C77CE2"/>
    <w:rsid w:val="00C87C14"/>
    <w:rsid w:val="00C90087"/>
    <w:rsid w:val="00C94DE5"/>
    <w:rsid w:val="00C957A0"/>
    <w:rsid w:val="00C97C5B"/>
    <w:rsid w:val="00CA102C"/>
    <w:rsid w:val="00CA1E90"/>
    <w:rsid w:val="00CA47A0"/>
    <w:rsid w:val="00CA497C"/>
    <w:rsid w:val="00CA595D"/>
    <w:rsid w:val="00CA6568"/>
    <w:rsid w:val="00CB0896"/>
    <w:rsid w:val="00CB14FF"/>
    <w:rsid w:val="00CC22D9"/>
    <w:rsid w:val="00CD06D1"/>
    <w:rsid w:val="00CD1476"/>
    <w:rsid w:val="00CD1887"/>
    <w:rsid w:val="00CD2033"/>
    <w:rsid w:val="00CD2352"/>
    <w:rsid w:val="00CD3749"/>
    <w:rsid w:val="00CD5CCF"/>
    <w:rsid w:val="00CD6527"/>
    <w:rsid w:val="00CD783E"/>
    <w:rsid w:val="00CE5426"/>
    <w:rsid w:val="00CE760D"/>
    <w:rsid w:val="00CF14E7"/>
    <w:rsid w:val="00CF1D86"/>
    <w:rsid w:val="00CF5AE2"/>
    <w:rsid w:val="00CF7C60"/>
    <w:rsid w:val="00D000F3"/>
    <w:rsid w:val="00D01847"/>
    <w:rsid w:val="00D05F10"/>
    <w:rsid w:val="00D2089D"/>
    <w:rsid w:val="00D20D96"/>
    <w:rsid w:val="00D216A3"/>
    <w:rsid w:val="00D23DB0"/>
    <w:rsid w:val="00D27D94"/>
    <w:rsid w:val="00D30A6B"/>
    <w:rsid w:val="00D33E8F"/>
    <w:rsid w:val="00D33EF1"/>
    <w:rsid w:val="00D3493E"/>
    <w:rsid w:val="00D44502"/>
    <w:rsid w:val="00D454C9"/>
    <w:rsid w:val="00D4667A"/>
    <w:rsid w:val="00D53271"/>
    <w:rsid w:val="00D55563"/>
    <w:rsid w:val="00D5691A"/>
    <w:rsid w:val="00D60831"/>
    <w:rsid w:val="00D643D8"/>
    <w:rsid w:val="00D66088"/>
    <w:rsid w:val="00D67150"/>
    <w:rsid w:val="00D70407"/>
    <w:rsid w:val="00D705DE"/>
    <w:rsid w:val="00D72B3B"/>
    <w:rsid w:val="00D74381"/>
    <w:rsid w:val="00D8120C"/>
    <w:rsid w:val="00D813E8"/>
    <w:rsid w:val="00D82D9B"/>
    <w:rsid w:val="00D90D16"/>
    <w:rsid w:val="00D928A9"/>
    <w:rsid w:val="00DA53C1"/>
    <w:rsid w:val="00DB351F"/>
    <w:rsid w:val="00DB3691"/>
    <w:rsid w:val="00DC114B"/>
    <w:rsid w:val="00DC4732"/>
    <w:rsid w:val="00DC685E"/>
    <w:rsid w:val="00DD0DE8"/>
    <w:rsid w:val="00DD480A"/>
    <w:rsid w:val="00DE10A6"/>
    <w:rsid w:val="00DE2AD6"/>
    <w:rsid w:val="00DE379F"/>
    <w:rsid w:val="00DE615A"/>
    <w:rsid w:val="00DE6701"/>
    <w:rsid w:val="00DF10E1"/>
    <w:rsid w:val="00DF1D21"/>
    <w:rsid w:val="00DF4E30"/>
    <w:rsid w:val="00DF58D6"/>
    <w:rsid w:val="00DF6A0A"/>
    <w:rsid w:val="00E04CFE"/>
    <w:rsid w:val="00E0513A"/>
    <w:rsid w:val="00E1522E"/>
    <w:rsid w:val="00E160D4"/>
    <w:rsid w:val="00E17039"/>
    <w:rsid w:val="00E17AEB"/>
    <w:rsid w:val="00E20A2B"/>
    <w:rsid w:val="00E21550"/>
    <w:rsid w:val="00E215B8"/>
    <w:rsid w:val="00E22AFD"/>
    <w:rsid w:val="00E33BFD"/>
    <w:rsid w:val="00E34EF0"/>
    <w:rsid w:val="00E3575D"/>
    <w:rsid w:val="00E429CF"/>
    <w:rsid w:val="00E44791"/>
    <w:rsid w:val="00E44B33"/>
    <w:rsid w:val="00E51EEB"/>
    <w:rsid w:val="00E5555F"/>
    <w:rsid w:val="00E63848"/>
    <w:rsid w:val="00E64781"/>
    <w:rsid w:val="00E65121"/>
    <w:rsid w:val="00E72883"/>
    <w:rsid w:val="00E76019"/>
    <w:rsid w:val="00E763E0"/>
    <w:rsid w:val="00E87391"/>
    <w:rsid w:val="00E918BD"/>
    <w:rsid w:val="00E92432"/>
    <w:rsid w:val="00E92935"/>
    <w:rsid w:val="00E95815"/>
    <w:rsid w:val="00E96A7B"/>
    <w:rsid w:val="00E97950"/>
    <w:rsid w:val="00EA396B"/>
    <w:rsid w:val="00EA3B08"/>
    <w:rsid w:val="00EA46A9"/>
    <w:rsid w:val="00EB03FF"/>
    <w:rsid w:val="00EB0726"/>
    <w:rsid w:val="00EB3664"/>
    <w:rsid w:val="00EB3839"/>
    <w:rsid w:val="00EB3D7A"/>
    <w:rsid w:val="00EB4DA9"/>
    <w:rsid w:val="00EC2987"/>
    <w:rsid w:val="00EC30EC"/>
    <w:rsid w:val="00EC3170"/>
    <w:rsid w:val="00EC36E0"/>
    <w:rsid w:val="00EC52A0"/>
    <w:rsid w:val="00EE1402"/>
    <w:rsid w:val="00EE5889"/>
    <w:rsid w:val="00EE5FD8"/>
    <w:rsid w:val="00EF1B6F"/>
    <w:rsid w:val="00EF4AF9"/>
    <w:rsid w:val="00F0023A"/>
    <w:rsid w:val="00F007AF"/>
    <w:rsid w:val="00F01A0E"/>
    <w:rsid w:val="00F02628"/>
    <w:rsid w:val="00F057A1"/>
    <w:rsid w:val="00F179FE"/>
    <w:rsid w:val="00F17B4B"/>
    <w:rsid w:val="00F21963"/>
    <w:rsid w:val="00F32A6F"/>
    <w:rsid w:val="00F3472F"/>
    <w:rsid w:val="00F35BB7"/>
    <w:rsid w:val="00F402F5"/>
    <w:rsid w:val="00F42095"/>
    <w:rsid w:val="00F42458"/>
    <w:rsid w:val="00F44E9F"/>
    <w:rsid w:val="00F47C36"/>
    <w:rsid w:val="00F5107E"/>
    <w:rsid w:val="00F51DF8"/>
    <w:rsid w:val="00F528BC"/>
    <w:rsid w:val="00F53633"/>
    <w:rsid w:val="00F54F5B"/>
    <w:rsid w:val="00F57245"/>
    <w:rsid w:val="00F60CFB"/>
    <w:rsid w:val="00F631F4"/>
    <w:rsid w:val="00F639B3"/>
    <w:rsid w:val="00F66371"/>
    <w:rsid w:val="00F66C42"/>
    <w:rsid w:val="00F70C5D"/>
    <w:rsid w:val="00F7416A"/>
    <w:rsid w:val="00F7568E"/>
    <w:rsid w:val="00F76AD3"/>
    <w:rsid w:val="00F8086E"/>
    <w:rsid w:val="00F86A39"/>
    <w:rsid w:val="00F86C53"/>
    <w:rsid w:val="00F87738"/>
    <w:rsid w:val="00F90AD2"/>
    <w:rsid w:val="00F91803"/>
    <w:rsid w:val="00F95BF4"/>
    <w:rsid w:val="00F96479"/>
    <w:rsid w:val="00F96C5D"/>
    <w:rsid w:val="00F97A76"/>
    <w:rsid w:val="00FA015B"/>
    <w:rsid w:val="00FA2054"/>
    <w:rsid w:val="00FA6AC7"/>
    <w:rsid w:val="00FB7FF2"/>
    <w:rsid w:val="00FD06BC"/>
    <w:rsid w:val="00FD15E4"/>
    <w:rsid w:val="00FD24FC"/>
    <w:rsid w:val="00FD2BB0"/>
    <w:rsid w:val="00FE3636"/>
    <w:rsid w:val="00FE4472"/>
    <w:rsid w:val="00FE4E1D"/>
    <w:rsid w:val="00FE7905"/>
    <w:rsid w:val="00FF2E3E"/>
    <w:rsid w:val="00FF3B12"/>
    <w:rsid w:val="00FF43BD"/>
    <w:rsid w:val="00FF455A"/>
    <w:rsid w:val="00FF47E0"/>
    <w:rsid w:val="00FF760C"/>
    <w:rsid w:val="1F416E4F"/>
    <w:rsid w:val="7C2EF6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161F73"/>
  <w15:chartTrackingRefBased/>
  <w15:docId w15:val="{DB1BCCD0-D325-4540-A6A7-AC6719D4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897"/>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7897"/>
    <w:pPr>
      <w:spacing w:after="0" w:line="240" w:lineRule="auto"/>
    </w:pPr>
    <w:rPr>
      <w:kern w:val="0"/>
      <w14:ligatures w14:val="none"/>
    </w:rPr>
  </w:style>
  <w:style w:type="character" w:styleId="Hyperlink">
    <w:name w:val="Hyperlink"/>
    <w:basedOn w:val="DefaultParagraphFont"/>
    <w:uiPriority w:val="99"/>
    <w:unhideWhenUsed/>
    <w:rsid w:val="00527897"/>
    <w:rPr>
      <w:color w:val="0563C1" w:themeColor="hyperlink"/>
      <w:u w:val="single"/>
    </w:rPr>
  </w:style>
  <w:style w:type="character" w:styleId="UnresolvedMention">
    <w:name w:val="Unresolved Mention"/>
    <w:basedOn w:val="DefaultParagraphFont"/>
    <w:uiPriority w:val="99"/>
    <w:semiHidden/>
    <w:unhideWhenUsed/>
    <w:rsid w:val="00527897"/>
    <w:rPr>
      <w:color w:val="605E5C"/>
      <w:shd w:val="clear" w:color="auto" w:fill="E1DFDD"/>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527897"/>
    <w:pPr>
      <w:ind w:left="720"/>
      <w:contextualSpacing/>
    </w:pPr>
  </w:style>
  <w:style w:type="paragraph" w:customStyle="1" w:styleId="Default">
    <w:name w:val="Default"/>
    <w:rsid w:val="00D23DB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unhideWhenUsed/>
    <w:rsid w:val="00D23DB0"/>
    <w:rPr>
      <w:sz w:val="16"/>
      <w:szCs w:val="16"/>
    </w:rPr>
  </w:style>
  <w:style w:type="paragraph" w:styleId="CommentText">
    <w:name w:val="annotation text"/>
    <w:basedOn w:val="Normal"/>
    <w:link w:val="CommentTextChar"/>
    <w:uiPriority w:val="99"/>
    <w:unhideWhenUsed/>
    <w:rsid w:val="00D23DB0"/>
    <w:pPr>
      <w:spacing w:line="240" w:lineRule="auto"/>
    </w:pPr>
    <w:rPr>
      <w:sz w:val="20"/>
      <w:szCs w:val="20"/>
    </w:rPr>
  </w:style>
  <w:style w:type="character" w:customStyle="1" w:styleId="CommentTextChar">
    <w:name w:val="Comment Text Char"/>
    <w:basedOn w:val="DefaultParagraphFont"/>
    <w:link w:val="CommentText"/>
    <w:uiPriority w:val="99"/>
    <w:rsid w:val="00D23DB0"/>
    <w:rPr>
      <w:kern w:val="0"/>
      <w:sz w:val="20"/>
      <w:szCs w:val="20"/>
      <w14:ligatures w14:val="none"/>
    </w:rPr>
  </w:style>
  <w:style w:type="table" w:customStyle="1" w:styleId="TableGrid2">
    <w:name w:val="Table Grid2"/>
    <w:basedOn w:val="TableNormal"/>
    <w:next w:val="TableGrid"/>
    <w:uiPriority w:val="99"/>
    <w:rsid w:val="00AE022F"/>
    <w:pPr>
      <w:spacing w:line="30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rsid w:val="00AE022F"/>
    <w:rPr>
      <w:kern w:val="0"/>
      <w14:ligatures w14:val="none"/>
    </w:rPr>
  </w:style>
  <w:style w:type="table" w:styleId="TableGrid">
    <w:name w:val="Table Grid"/>
    <w:basedOn w:val="TableNormal"/>
    <w:uiPriority w:val="39"/>
    <w:rsid w:val="00AE0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4572"/>
    <w:rPr>
      <w:color w:val="954F72" w:themeColor="followedHyperlink"/>
      <w:u w:val="single"/>
    </w:rPr>
  </w:style>
  <w:style w:type="table" w:styleId="GridTable6Colorful">
    <w:name w:val="Grid Table 6 Colorful"/>
    <w:basedOn w:val="TableNormal"/>
    <w:uiPriority w:val="51"/>
    <w:rsid w:val="009D4D8E"/>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uiPriority w:val="99"/>
    <w:semiHidden/>
    <w:unhideWhenUsed/>
    <w:rsid w:val="00893A50"/>
    <w:rPr>
      <w:b/>
      <w:bCs/>
    </w:rPr>
  </w:style>
  <w:style w:type="character" w:customStyle="1" w:styleId="CommentSubjectChar">
    <w:name w:val="Comment Subject Char"/>
    <w:basedOn w:val="CommentTextChar"/>
    <w:link w:val="CommentSubject"/>
    <w:uiPriority w:val="99"/>
    <w:semiHidden/>
    <w:rsid w:val="00893A50"/>
    <w:rPr>
      <w:b/>
      <w:bCs/>
      <w:kern w:val="0"/>
      <w:sz w:val="20"/>
      <w:szCs w:val="20"/>
      <w14:ligatures w14:val="none"/>
    </w:rPr>
  </w:style>
  <w:style w:type="character" w:styleId="Mention">
    <w:name w:val="Mention"/>
    <w:basedOn w:val="DefaultParagraphFont"/>
    <w:uiPriority w:val="99"/>
    <w:unhideWhenUsed/>
    <w:rsid w:val="00893A50"/>
    <w:rPr>
      <w:color w:val="2B579A"/>
      <w:shd w:val="clear" w:color="auto" w:fill="E1DFDD"/>
    </w:rPr>
  </w:style>
  <w:style w:type="paragraph" w:styleId="Revision">
    <w:name w:val="Revision"/>
    <w:hidden/>
    <w:uiPriority w:val="99"/>
    <w:semiHidden/>
    <w:rsid w:val="00F179FE"/>
    <w:pPr>
      <w:spacing w:after="0" w:line="240" w:lineRule="auto"/>
    </w:pPr>
    <w:rPr>
      <w:kern w:val="0"/>
      <w14:ligatures w14:val="none"/>
    </w:rPr>
  </w:style>
  <w:style w:type="table" w:styleId="GridTableLight">
    <w:name w:val="Grid Table Light"/>
    <w:basedOn w:val="TableNormal"/>
    <w:uiPriority w:val="40"/>
    <w:rsid w:val="001923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C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EE6"/>
    <w:rPr>
      <w:kern w:val="0"/>
      <w14:ligatures w14:val="none"/>
    </w:rPr>
  </w:style>
  <w:style w:type="paragraph" w:styleId="Footer">
    <w:name w:val="footer"/>
    <w:basedOn w:val="Normal"/>
    <w:link w:val="FooterChar"/>
    <w:uiPriority w:val="99"/>
    <w:unhideWhenUsed/>
    <w:rsid w:val="003C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EE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cstazick@cdc.gov" TargetMode="External" /><Relationship Id="rId5" Type="http://schemas.openxmlformats.org/officeDocument/2006/relationships/hyperlink" Target="https://www.bls.gov/oes/current/oes_nat.htm" TargetMode="External" /><Relationship Id="rId6" Type="http://schemas.openxmlformats.org/officeDocument/2006/relationships/hyperlink" Target="https://www.bls.gov/oes/2019/may/oes195011.htm" TargetMode="External" /><Relationship Id="rId7" Type="http://schemas.openxmlformats.org/officeDocument/2006/relationships/hyperlink" Target="https://www.opm.gov/policy-data-oversight/pay-leave/salaries-wages/salary-tables/24Tables/html/RUS_h.aspx"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4096</Words>
  <Characters>23351</Characters>
  <Application>Microsoft Office Word</Application>
  <DocSecurity>0</DocSecurity>
  <Lines>194</Lines>
  <Paragraphs>54</Paragraphs>
  <ScaleCrop>false</ScaleCrop>
  <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Yeoman, Kristin (CDC/NIOSH/SMRD/MHB)</dc:creator>
  <cp:lastModifiedBy>Joyce, Kevin J. (CDC/OD/OS)</cp:lastModifiedBy>
  <cp:revision>19</cp:revision>
  <dcterms:created xsi:type="dcterms:W3CDTF">2025-02-21T19:42:00Z</dcterms:created>
  <dcterms:modified xsi:type="dcterms:W3CDTF">2025-03-12T19:27:00Z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f18a4293-da30-4961-aaae-d856135a0290</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2024-04-10T18:08:41Z</vt:lpwstr>
  </property>
  <property fmtid="{D5CDD505-2E9C-101B-9397-08002B2CF9AE}" pid="8" name="MSIP_Label_7b94a7b8-f06c-4dfe-bdcc-9b548fd58c31_SiteId">
    <vt:lpwstr>9ce70869-60db-44fd-abe8-d2767077fc8f</vt:lpwstr>
  </property>
</Properties>
</file>