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669788E6"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EA2C4C" w:rsidRPr="00B372FB" w:rsidP="00EA2C4C" w14:paraId="5E6BC7DA"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67DEF067" w14:textId="7377D5F5">
      <w:pPr>
        <w:jc w:val="center"/>
        <w:rPr>
          <w:rFonts w:ascii="Arial" w:hAnsi="Arial" w:cs="Arial"/>
          <w:b/>
          <w:sz w:val="24"/>
          <w:szCs w:val="24"/>
        </w:rPr>
      </w:pPr>
      <w:r w:rsidRPr="00B372FB">
        <w:rPr>
          <w:rFonts w:ascii="Arial" w:hAnsi="Arial" w:cs="Arial"/>
          <w:b/>
          <w:sz w:val="24"/>
          <w:szCs w:val="24"/>
        </w:rPr>
        <w:t>0920-</w:t>
      </w:r>
      <w:r w:rsidR="006E3982">
        <w:rPr>
          <w:rFonts w:ascii="Arial" w:hAnsi="Arial" w:cs="Arial"/>
          <w:b/>
          <w:sz w:val="24"/>
          <w:szCs w:val="24"/>
        </w:rPr>
        <w:t>1154</w:t>
      </w:r>
    </w:p>
    <w:p w:rsidR="00B372FB" w:rsidP="00434E33" w14:paraId="6EB98312" w14:textId="6A963F3D">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6E3982">
        <w:rPr>
          <w:rFonts w:ascii="Arial" w:hAnsi="Arial"/>
          <w:b/>
        </w:rPr>
        <w:t xml:space="preserve"> </w:t>
      </w:r>
      <w:r w:rsidRPr="006E3982" w:rsidR="006E3982">
        <w:rPr>
          <w:rFonts w:ascii="Arial" w:hAnsi="Arial"/>
          <w:bCs/>
        </w:rPr>
        <w:t>National Center for Emerging and Zoonotic Infectious Diseases (NCEZID)</w:t>
      </w:r>
    </w:p>
    <w:p w:rsidR="00B46F2C" w:rsidRPr="00B372FB" w:rsidP="00434E33" w14:paraId="5DE639B5" w14:textId="22E26123">
      <w:pPr>
        <w:rPr>
          <w:rFonts w:ascii="Arial" w:hAnsi="Arial"/>
          <w:b/>
        </w:rPr>
      </w:pPr>
      <w:r>
        <w:rPr>
          <w:rFonts w:ascii="Arial" w:hAnsi="Arial"/>
          <w:b/>
        </w:rPr>
        <w:t>PROJECT TITLE:</w:t>
      </w:r>
      <w:r w:rsidRPr="00B372FB">
        <w:rPr>
          <w:rFonts w:ascii="Arial" w:hAnsi="Arial"/>
        </w:rPr>
        <w:t xml:space="preserve"> </w:t>
      </w:r>
      <w:r w:rsidRPr="006E3982" w:rsidR="006E3982">
        <w:rPr>
          <w:rFonts w:ascii="Arial" w:hAnsi="Arial"/>
        </w:rPr>
        <w:t>Focus Groups with Consumers on Oropouche</w:t>
      </w:r>
    </w:p>
    <w:p w:rsidR="00B46F2C" w:rsidRPr="006E3982" w:rsidP="00840FCA" w14:paraId="6440AB72" w14:textId="34DD1138">
      <w:pPr>
        <w:rPr>
          <w:rFonts w:ascii="Arial" w:hAnsi="Arial"/>
          <w:bCs/>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006E3982">
        <w:rPr>
          <w:rFonts w:ascii="Arial" w:hAnsi="Arial"/>
          <w:b/>
        </w:rPr>
        <w:br/>
      </w:r>
      <w:r w:rsidR="005E2E99">
        <w:rPr>
          <w:rFonts w:ascii="Arial" w:hAnsi="Arial"/>
          <w:bCs/>
        </w:rPr>
        <w:t xml:space="preserve">CDC has </w:t>
      </w:r>
      <w:r w:rsidRPr="006E3982" w:rsidR="006E3982">
        <w:rPr>
          <w:rFonts w:ascii="Arial" w:hAnsi="Arial"/>
          <w:bCs/>
        </w:rPr>
        <w:t xml:space="preserve">a need communicate clearly with the public about Oropouche virus and its risk factors. </w:t>
      </w:r>
      <w:r w:rsidR="005E2E99">
        <w:rPr>
          <w:rFonts w:ascii="Arial" w:hAnsi="Arial"/>
          <w:bCs/>
        </w:rPr>
        <w:t xml:space="preserve">Given the limited number of studies on the topic, </w:t>
      </w:r>
      <w:r w:rsidRPr="00426306" w:rsidR="00426306">
        <w:rPr>
          <w:rFonts w:ascii="Arial" w:hAnsi="Arial"/>
          <w:bCs/>
        </w:rPr>
        <w:t xml:space="preserve">little formative qualitative evaluation </w:t>
      </w:r>
      <w:r w:rsidR="00426306">
        <w:rPr>
          <w:rFonts w:ascii="Arial" w:hAnsi="Arial"/>
          <w:bCs/>
        </w:rPr>
        <w:t xml:space="preserve">has been conducted to </w:t>
      </w:r>
      <w:r w:rsidRPr="00426306" w:rsidR="00426306">
        <w:rPr>
          <w:rFonts w:ascii="Arial" w:hAnsi="Arial"/>
          <w:bCs/>
        </w:rPr>
        <w:t>explor</w:t>
      </w:r>
      <w:r w:rsidR="00426306">
        <w:rPr>
          <w:rFonts w:ascii="Arial" w:hAnsi="Arial"/>
          <w:bCs/>
        </w:rPr>
        <w:t>e</w:t>
      </w:r>
      <w:r w:rsidRPr="00426306" w:rsidR="00426306">
        <w:rPr>
          <w:rFonts w:ascii="Arial" w:hAnsi="Arial"/>
          <w:bCs/>
        </w:rPr>
        <w:t xml:space="preserve"> consumer awareness, perceptions, and information needs related to Oropouche</w:t>
      </w:r>
      <w:r w:rsidR="00DC446B">
        <w:rPr>
          <w:rFonts w:ascii="Arial" w:hAnsi="Arial"/>
          <w:bCs/>
        </w:rPr>
        <w:t xml:space="preserve">, such as to what </w:t>
      </w:r>
      <w:r w:rsidRPr="006E3982" w:rsidR="006E3982">
        <w:rPr>
          <w:rFonts w:ascii="Arial" w:hAnsi="Arial"/>
          <w:bCs/>
        </w:rPr>
        <w:t xml:space="preserve">extent </w:t>
      </w:r>
      <w:r w:rsidR="00DC446B">
        <w:rPr>
          <w:rFonts w:ascii="Arial" w:hAnsi="Arial"/>
          <w:bCs/>
        </w:rPr>
        <w:t xml:space="preserve">the </w:t>
      </w:r>
      <w:r w:rsidRPr="006E3982" w:rsidR="006E3982">
        <w:rPr>
          <w:rFonts w:ascii="Arial" w:hAnsi="Arial"/>
          <w:bCs/>
        </w:rPr>
        <w:t>information about Oropouche is clear and understandable; what questions audiences have about Oropouche; and what information audiences have found and need on the subject. The proposed data collection in this package fills an important gap in CDC knowledge about consumer answers to these questions. This data collection also includes an important message testing component to assess clarity and utility of message themes that CDC may use in communications about the subject.</w:t>
      </w:r>
      <w:r w:rsidR="00EB1B55">
        <w:rPr>
          <w:rFonts w:ascii="Arial" w:hAnsi="Arial"/>
          <w:bCs/>
        </w:rPr>
        <w:t xml:space="preserve"> </w:t>
      </w:r>
      <w:r w:rsidRPr="00EB1B55" w:rsidR="00EB1B55">
        <w:rPr>
          <w:rFonts w:ascii="Arial" w:hAnsi="Arial"/>
          <w:bCs/>
        </w:rPr>
        <w:t xml:space="preserve">Insights will further help DVBD ensure it communicates about Oropouche using language and terminology that is clear, </w:t>
      </w:r>
      <w:r w:rsidR="00DC446B">
        <w:rPr>
          <w:rFonts w:ascii="Arial" w:hAnsi="Arial"/>
          <w:bCs/>
        </w:rPr>
        <w:t>descriptive, i</w:t>
      </w:r>
      <w:r w:rsidRPr="00EB1B55" w:rsidR="00EB1B55">
        <w:rPr>
          <w:rFonts w:ascii="Arial" w:hAnsi="Arial"/>
          <w:bCs/>
        </w:rPr>
        <w:t>nformative</w:t>
      </w:r>
      <w:r w:rsidR="00DC446B">
        <w:rPr>
          <w:rFonts w:ascii="Arial" w:hAnsi="Arial"/>
          <w:bCs/>
        </w:rPr>
        <w:t xml:space="preserve"> and effective in motivating consumer preventive behaviors. </w:t>
      </w:r>
    </w:p>
    <w:p w:rsidR="00840FCA" w:rsidRPr="00B372FB" w:rsidP="00840FCA" w14:paraId="509A3C0D" w14:textId="7BBD82AB">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r w:rsidR="00522A83">
        <w:rPr>
          <w:rFonts w:ascii="Arial" w:hAnsi="Arial"/>
        </w:rPr>
        <w:br/>
      </w:r>
      <w:r w:rsidR="00921888">
        <w:rPr>
          <w:rFonts w:ascii="Arial" w:hAnsi="Arial"/>
        </w:rPr>
        <w:t xml:space="preserve">Health consumers (general public) </w:t>
      </w:r>
      <w:r w:rsidRPr="00522A83" w:rsidR="00522A83">
        <w:rPr>
          <w:rFonts w:ascii="Arial" w:hAnsi="Arial"/>
        </w:rPr>
        <w:t xml:space="preserve">who </w:t>
      </w:r>
      <w:r w:rsidR="00522A83">
        <w:rPr>
          <w:rFonts w:ascii="Arial" w:hAnsi="Arial"/>
        </w:rPr>
        <w:t xml:space="preserve">are pregnant </w:t>
      </w:r>
      <w:r w:rsidR="00921888">
        <w:rPr>
          <w:rFonts w:ascii="Arial" w:hAnsi="Arial"/>
        </w:rPr>
        <w:t>(self-identified as pregnan</w:t>
      </w:r>
      <w:r w:rsidR="006B567A">
        <w:rPr>
          <w:rFonts w:ascii="Arial" w:hAnsi="Arial"/>
        </w:rPr>
        <w:t xml:space="preserve">t) </w:t>
      </w:r>
      <w:r w:rsidR="00522A83">
        <w:rPr>
          <w:rFonts w:ascii="Arial" w:hAnsi="Arial"/>
        </w:rPr>
        <w:t xml:space="preserve">or are planning pregnancy within the next 12 months and </w:t>
      </w:r>
      <w:r w:rsidR="00921888">
        <w:rPr>
          <w:rFonts w:ascii="Arial" w:hAnsi="Arial"/>
        </w:rPr>
        <w:t>are frequent travelers to countries at risk for Oropouche,  including</w:t>
      </w:r>
      <w:r w:rsidR="00522A83">
        <w:rPr>
          <w:rFonts w:ascii="Arial" w:hAnsi="Arial"/>
        </w:rPr>
        <w:t xml:space="preserve"> the </w:t>
      </w:r>
      <w:r w:rsidR="00921888">
        <w:rPr>
          <w:rFonts w:ascii="Arial" w:hAnsi="Arial"/>
        </w:rPr>
        <w:t>Caribbean (Cuba and the Dominican Republic) or South American (</w:t>
      </w:r>
      <w:r w:rsidRPr="00921888" w:rsidR="00921888">
        <w:rPr>
          <w:rFonts w:ascii="Arial" w:hAnsi="Arial"/>
        </w:rPr>
        <w:t>Brazil, Bolivia, Colombia, or Peru</w:t>
      </w:r>
      <w:r w:rsidR="00921888">
        <w:rPr>
          <w:rFonts w:ascii="Arial" w:hAnsi="Arial"/>
        </w:rPr>
        <w:t>).</w:t>
      </w:r>
    </w:p>
    <w:p w:rsidR="002F2EF9" w:rsidP="008101A5" w14:paraId="1003FD66"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041CE263" w14:textId="77777777">
      <w:pPr>
        <w:rPr>
          <w:rFonts w:ascii="Arial" w:hAnsi="Arial"/>
        </w:rPr>
      </w:pPr>
      <w:r w:rsidRPr="00B372FB">
        <w:rPr>
          <w:rFonts w:ascii="Arial" w:hAnsi="Arial"/>
        </w:rPr>
        <w:t xml:space="preserve">I certify the following to be true: </w:t>
      </w:r>
    </w:p>
    <w:p w:rsidR="00B46F2C" w:rsidRPr="00B372FB" w:rsidP="008101A5" w14:paraId="6325A982"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36E4CD40"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P="00A07294" w14:paraId="02A2CEBF"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3AE2153B"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0E5559D9"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7B64830A" w14:textId="1733CF4F">
      <w:pPr>
        <w:rPr>
          <w:rFonts w:ascii="Arial" w:hAnsi="Arial"/>
        </w:rPr>
      </w:pPr>
      <w:r w:rsidRPr="00B372FB">
        <w:rPr>
          <w:rFonts w:ascii="Arial" w:hAnsi="Arial"/>
        </w:rPr>
        <w:t>Name:</w:t>
      </w:r>
      <w:r w:rsidR="00B32078">
        <w:rPr>
          <w:rFonts w:ascii="Arial" w:hAnsi="Arial"/>
        </w:rPr>
        <w:t xml:space="preserve"> </w:t>
      </w:r>
      <w:r w:rsidRPr="00B372FB">
        <w:rPr>
          <w:rFonts w:ascii="Arial" w:hAnsi="Arial"/>
        </w:rPr>
        <w:t>_</w:t>
      </w:r>
      <w:r w:rsidR="005E2E99">
        <w:rPr>
          <w:rFonts w:ascii="Arial" w:hAnsi="Arial"/>
        </w:rPr>
        <w:t>Allison Caughey</w:t>
      </w:r>
      <w:r w:rsidRPr="00B372FB">
        <w:rPr>
          <w:rFonts w:ascii="Arial" w:hAnsi="Arial"/>
        </w:rPr>
        <w:t>___________________________________________</w:t>
      </w:r>
    </w:p>
    <w:p w:rsidR="00B46F2C" w:rsidRPr="00B372FB" w:rsidP="009C13B9" w14:paraId="5A041316"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695D27F4" w14:textId="77777777">
      <w:pPr>
        <w:rPr>
          <w:rFonts w:ascii="Arial" w:hAnsi="Arial"/>
          <w:b/>
        </w:rPr>
      </w:pPr>
      <w:r w:rsidRPr="00B372FB">
        <w:rPr>
          <w:rFonts w:ascii="Arial" w:hAnsi="Arial"/>
          <w:b/>
        </w:rPr>
        <w:t>Personally Identifiable Information:</w:t>
      </w:r>
    </w:p>
    <w:p w:rsidR="00B46F2C" w:rsidRPr="00B372FB" w:rsidP="00C86E91" w14:paraId="35D2AA3C" w14:textId="6146BE60">
      <w:pPr>
        <w:pStyle w:val="ListParagraph"/>
        <w:numPr>
          <w:ilvl w:val="0"/>
          <w:numId w:val="18"/>
        </w:numPr>
        <w:rPr>
          <w:rFonts w:ascii="Arial" w:hAnsi="Arial"/>
        </w:rPr>
      </w:pPr>
      <w:r w:rsidRPr="00B372FB">
        <w:rPr>
          <w:rFonts w:ascii="Arial" w:hAnsi="Arial"/>
        </w:rPr>
        <w:t xml:space="preserve">Is personally identifiable information (PII) collected?  [ </w:t>
      </w:r>
      <w:r w:rsidR="00EB1B55">
        <w:rPr>
          <w:rFonts w:ascii="Arial" w:hAnsi="Arial"/>
        </w:rPr>
        <w:t>X</w:t>
      </w:r>
      <w:r w:rsidRPr="00B372FB">
        <w:rPr>
          <w:rFonts w:ascii="Arial" w:hAnsi="Arial"/>
        </w:rPr>
        <w:t xml:space="preserve"> ] Yes  [</w:t>
      </w:r>
      <w:r w:rsidR="00303F23">
        <w:rPr>
          <w:rFonts w:ascii="Arial" w:hAnsi="Arial"/>
        </w:rPr>
        <w:t xml:space="preserve"> </w:t>
      </w:r>
      <w:r w:rsidRPr="00B372FB">
        <w:rPr>
          <w:rFonts w:ascii="Arial" w:hAnsi="Arial"/>
        </w:rPr>
        <w:t xml:space="preserve">]  No </w:t>
      </w:r>
    </w:p>
    <w:p w:rsidR="00B46F2C" w:rsidRPr="00B372FB" w:rsidP="00C86E91" w14:paraId="6DD99D88" w14:textId="5236E280">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w:t>
      </w:r>
      <w:r w:rsidR="005E2E99">
        <w:rPr>
          <w:rFonts w:ascii="Arial" w:hAnsi="Arial"/>
        </w:rPr>
        <w:t>X</w:t>
      </w:r>
      <w:r w:rsidRPr="00B372FB">
        <w:rPr>
          <w:rFonts w:ascii="Arial" w:hAnsi="Arial"/>
        </w:rPr>
        <w:t xml:space="preserve"> ] No  </w:t>
      </w:r>
    </w:p>
    <w:p w:rsidR="00B46F2C" w:rsidRPr="00B372FB" w:rsidP="00C86E91" w14:paraId="507D4D29" w14:textId="02ECD1BD">
      <w:pPr>
        <w:pStyle w:val="ListParagraph"/>
        <w:numPr>
          <w:ilvl w:val="0"/>
          <w:numId w:val="18"/>
        </w:numPr>
        <w:rPr>
          <w:rFonts w:ascii="Arial" w:hAnsi="Arial"/>
        </w:rPr>
      </w:pPr>
      <w:r w:rsidRPr="00B372FB">
        <w:rPr>
          <w:rFonts w:ascii="Arial" w:hAnsi="Arial"/>
        </w:rPr>
        <w:t xml:space="preserve">If Applicable, has a System or Records Notice been published?  [  ] Yes  [ </w:t>
      </w:r>
      <w:r w:rsidR="005E2E99">
        <w:rPr>
          <w:rFonts w:ascii="Arial" w:hAnsi="Arial"/>
        </w:rPr>
        <w:t>X</w:t>
      </w:r>
      <w:r w:rsidRPr="00B372FB">
        <w:rPr>
          <w:rFonts w:ascii="Arial" w:hAnsi="Arial"/>
        </w:rPr>
        <w:t xml:space="preserve"> ] No</w:t>
      </w:r>
    </w:p>
    <w:p w:rsidR="00E55CAE" w:rsidP="00C86E91" w14:paraId="72060751" w14:textId="77777777">
      <w:pPr>
        <w:pStyle w:val="ListParagraph"/>
        <w:ind w:left="0"/>
        <w:rPr>
          <w:rFonts w:ascii="Arial" w:hAnsi="Arial"/>
          <w:b/>
        </w:rPr>
      </w:pPr>
    </w:p>
    <w:p w:rsidR="00B46F2C" w:rsidRPr="00B372FB" w:rsidP="00C86E91" w14:paraId="6C539E11" w14:textId="77777777">
      <w:pPr>
        <w:pStyle w:val="ListParagraph"/>
        <w:ind w:left="0"/>
        <w:rPr>
          <w:rFonts w:ascii="Arial" w:hAnsi="Arial"/>
          <w:b/>
        </w:rPr>
      </w:pPr>
      <w:r w:rsidRPr="00B372FB">
        <w:rPr>
          <w:rFonts w:ascii="Arial" w:hAnsi="Arial"/>
          <w:b/>
        </w:rPr>
        <w:t>Gifts or Payments:</w:t>
      </w:r>
    </w:p>
    <w:p w:rsidR="00B46F2C" w:rsidRPr="00B372FB" w:rsidP="00C86E91" w14:paraId="67D0DC43" w14:textId="589FF83C">
      <w:pPr>
        <w:rPr>
          <w:rFonts w:ascii="Arial" w:hAnsi="Arial"/>
          <w:i/>
        </w:rPr>
      </w:pPr>
      <w:r w:rsidRPr="00B372FB">
        <w:rPr>
          <w:rFonts w:ascii="Arial" w:hAnsi="Arial"/>
        </w:rPr>
        <w:t xml:space="preserve">Is an incentive (e.g., money or reimbursement of expenses, token of appreciation) provided to participants?  [ </w:t>
      </w:r>
      <w:r w:rsidR="00EB1B55">
        <w:rPr>
          <w:rFonts w:ascii="Arial" w:hAnsi="Arial"/>
        </w:rPr>
        <w:t>X</w:t>
      </w:r>
      <w:r w:rsidRPr="00B372FB">
        <w:rPr>
          <w:rFonts w:ascii="Arial" w:hAnsi="Arial"/>
        </w:rPr>
        <w:t xml:space="preserve"> ] Yes [  ] No</w:t>
      </w:r>
      <w:r w:rsidR="00921888">
        <w:rPr>
          <w:rFonts w:ascii="Arial" w:hAnsi="Arial"/>
        </w:rPr>
        <w:br/>
      </w:r>
      <w:r w:rsidR="00921888">
        <w:rPr>
          <w:rFonts w:ascii="Arial" w:hAnsi="Arial"/>
        </w:rPr>
        <w:br/>
      </w:r>
      <w:r w:rsidRPr="00921888" w:rsidR="00921888">
        <w:rPr>
          <w:rFonts w:ascii="Arial" w:hAnsi="Arial"/>
        </w:rPr>
        <w:t>Focus group and interview participants will receive a monetary incentive of $75 for their participation. Such an incentive is a standard practice in the market research industry and helps to ensure efficient recruitment and ultimate participation among the qualified and scheduled participants. The incentive is also intended to offset the cost of personal or professional time taken to participate.</w:t>
      </w:r>
      <w:r w:rsidR="00921888">
        <w:rPr>
          <w:rFonts w:ascii="Arial" w:hAnsi="Arial"/>
        </w:rPr>
        <w:br/>
      </w:r>
      <w:r w:rsidR="00921888">
        <w:rPr>
          <w:rFonts w:ascii="Arial" w:hAnsi="Arial"/>
        </w:rPr>
        <w:br/>
      </w:r>
      <w:r w:rsidRPr="00B372FB">
        <w:rPr>
          <w:rFonts w:ascii="Arial" w:hAnsi="Arial"/>
          <w:b/>
        </w:rPr>
        <w:t>BURDEN HOURS</w:t>
      </w:r>
      <w:r w:rsidRPr="00B372FB">
        <w:rPr>
          <w:rFonts w:ascii="Arial" w:hAnsi="Arial"/>
        </w:rPr>
        <w:t xml:space="preserve"> </w:t>
      </w:r>
    </w:p>
    <w:p w:rsidR="00B46F2C" w:rsidRPr="00B372FB" w:rsidP="00F3170F" w14:paraId="529EE396" w14:textId="77777777">
      <w:pPr>
        <w:keepNext/>
        <w:keepLines/>
        <w:rPr>
          <w:rFonts w:ascii="Arial" w:hAnsi="Arial"/>
          <w:b/>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1C5F24BF" w14:textId="77777777" w:rsidTr="00DC446B">
        <w:tblPrEx>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jc w:val="center"/>
        </w:trPr>
        <w:tc>
          <w:tcPr>
            <w:tcW w:w="2970" w:type="dxa"/>
          </w:tcPr>
          <w:p w:rsidR="00E55CAE" w:rsidRPr="00B372FB" w:rsidP="00C8488C" w14:paraId="348DC4E3"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3DC718AC" w14:textId="77777777">
            <w:pPr>
              <w:rPr>
                <w:rFonts w:ascii="Arial" w:hAnsi="Arial"/>
                <w:b/>
              </w:rPr>
            </w:pPr>
            <w:r>
              <w:rPr>
                <w:rFonts w:ascii="Arial" w:hAnsi="Arial"/>
                <w:b/>
              </w:rPr>
              <w:t>Form Name</w:t>
            </w:r>
          </w:p>
        </w:tc>
        <w:tc>
          <w:tcPr>
            <w:tcW w:w="1710" w:type="dxa"/>
          </w:tcPr>
          <w:p w:rsidR="00E55CAE" w:rsidRPr="00B372FB" w:rsidP="00843796" w14:paraId="1A0A6105" w14:textId="77777777">
            <w:pPr>
              <w:rPr>
                <w:rFonts w:ascii="Arial" w:hAnsi="Arial"/>
                <w:b/>
              </w:rPr>
            </w:pPr>
            <w:r w:rsidRPr="00B372FB">
              <w:rPr>
                <w:rFonts w:ascii="Arial" w:hAnsi="Arial"/>
                <w:b/>
              </w:rPr>
              <w:t>No. of Respondents</w:t>
            </w:r>
          </w:p>
        </w:tc>
        <w:tc>
          <w:tcPr>
            <w:tcW w:w="1710" w:type="dxa"/>
          </w:tcPr>
          <w:p w:rsidR="00E55CAE" w:rsidRPr="00B372FB" w:rsidP="00843796" w14:paraId="1B38AAD3"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P="00843796" w14:paraId="67FE285B" w14:textId="77777777">
            <w:pPr>
              <w:rPr>
                <w:rFonts w:ascii="Arial" w:hAnsi="Arial"/>
                <w:b/>
              </w:rPr>
            </w:pPr>
            <w:r w:rsidRPr="00B372FB">
              <w:rPr>
                <w:rFonts w:ascii="Arial" w:hAnsi="Arial"/>
                <w:b/>
              </w:rPr>
              <w:t>Burden</w:t>
            </w:r>
            <w:r w:rsidR="00DB344C">
              <w:rPr>
                <w:rFonts w:ascii="Arial" w:hAnsi="Arial"/>
                <w:b/>
              </w:rPr>
              <w:t xml:space="preserve"> in Hours</w:t>
            </w:r>
          </w:p>
        </w:tc>
      </w:tr>
      <w:tr w14:paraId="3C4FAE1D" w14:textId="77777777" w:rsidTr="00DC446B">
        <w:tblPrEx>
          <w:tblW w:w="10620" w:type="dxa"/>
          <w:jc w:val="center"/>
          <w:tblLayout w:type="fixed"/>
          <w:tblLook w:val="01E0"/>
        </w:tblPrEx>
        <w:trPr>
          <w:trHeight w:val="253"/>
          <w:jc w:val="center"/>
        </w:trPr>
        <w:tc>
          <w:tcPr>
            <w:tcW w:w="2970" w:type="dxa"/>
          </w:tcPr>
          <w:p w:rsidR="006B567A" w:rsidRPr="006B567A" w:rsidP="006B567A" w14:paraId="09116644" w14:textId="6570E6A4">
            <w:pPr>
              <w:rPr>
                <w:rFonts w:ascii="Arial" w:hAnsi="Arial" w:cs="Arial"/>
              </w:rPr>
            </w:pPr>
            <w:r w:rsidRPr="006B567A">
              <w:rPr>
                <w:rFonts w:ascii="Arial" w:hAnsi="Arial" w:cs="Arial"/>
              </w:rPr>
              <w:t>Focus Group Screener</w:t>
            </w:r>
          </w:p>
        </w:tc>
        <w:tc>
          <w:tcPr>
            <w:tcW w:w="2250" w:type="dxa"/>
          </w:tcPr>
          <w:p w:rsidR="006B567A" w:rsidRPr="006B567A" w:rsidP="006B567A" w14:paraId="7B8CFEFD" w14:textId="03E53E5C">
            <w:pPr>
              <w:rPr>
                <w:rFonts w:ascii="Arial" w:hAnsi="Arial" w:cs="Arial"/>
              </w:rPr>
            </w:pPr>
            <w:r w:rsidRPr="006B567A">
              <w:rPr>
                <w:rFonts w:ascii="Arial" w:hAnsi="Arial" w:cs="Arial"/>
              </w:rPr>
              <w:t>Consumers (at-risk audiences)</w:t>
            </w:r>
          </w:p>
        </w:tc>
        <w:tc>
          <w:tcPr>
            <w:tcW w:w="1710" w:type="dxa"/>
          </w:tcPr>
          <w:p w:rsidR="006B567A" w:rsidRPr="006B567A" w:rsidP="006B567A" w14:paraId="6B1F2A44" w14:textId="0C95FBC8">
            <w:pPr>
              <w:rPr>
                <w:rFonts w:ascii="Arial" w:hAnsi="Arial" w:cs="Arial"/>
              </w:rPr>
            </w:pPr>
            <w:r w:rsidRPr="006B567A">
              <w:rPr>
                <w:rFonts w:ascii="Arial" w:hAnsi="Arial" w:cs="Arial"/>
              </w:rPr>
              <w:t>240</w:t>
            </w:r>
          </w:p>
        </w:tc>
        <w:tc>
          <w:tcPr>
            <w:tcW w:w="1710" w:type="dxa"/>
          </w:tcPr>
          <w:p w:rsidR="006B567A" w:rsidRPr="006B567A" w:rsidP="006B567A" w14:paraId="25A5645F" w14:textId="05D28954">
            <w:pPr>
              <w:rPr>
                <w:rFonts w:ascii="Arial" w:hAnsi="Arial" w:cs="Arial"/>
              </w:rPr>
            </w:pPr>
            <w:r w:rsidRPr="006B567A">
              <w:rPr>
                <w:rFonts w:ascii="Arial" w:hAnsi="Arial" w:cs="Arial"/>
              </w:rPr>
              <w:t>5/60</w:t>
            </w:r>
          </w:p>
        </w:tc>
        <w:tc>
          <w:tcPr>
            <w:tcW w:w="1980" w:type="dxa"/>
            <w:vAlign w:val="center"/>
          </w:tcPr>
          <w:p w:rsidR="006B567A" w:rsidRPr="006B567A" w:rsidP="006B567A" w14:paraId="5508591E" w14:textId="2CCE29E2">
            <w:pPr>
              <w:rPr>
                <w:rFonts w:ascii="Arial" w:hAnsi="Arial" w:cs="Arial"/>
              </w:rPr>
            </w:pPr>
            <w:r w:rsidRPr="006B567A">
              <w:rPr>
                <w:rFonts w:ascii="Arial" w:eastAsia="Calibri" w:hAnsi="Arial" w:cs="Arial"/>
              </w:rPr>
              <w:t>20</w:t>
            </w:r>
          </w:p>
        </w:tc>
      </w:tr>
      <w:tr w14:paraId="01A3BA5F" w14:textId="77777777" w:rsidTr="00DC446B">
        <w:tblPrEx>
          <w:tblW w:w="10620" w:type="dxa"/>
          <w:jc w:val="center"/>
          <w:tblLayout w:type="fixed"/>
          <w:tblLook w:val="01E0"/>
        </w:tblPrEx>
        <w:trPr>
          <w:trHeight w:val="253"/>
          <w:jc w:val="center"/>
        </w:trPr>
        <w:tc>
          <w:tcPr>
            <w:tcW w:w="2970" w:type="dxa"/>
          </w:tcPr>
          <w:p w:rsidR="006B567A" w:rsidRPr="006B567A" w:rsidP="006B567A" w14:paraId="57D75CAF" w14:textId="374CFCEB">
            <w:pPr>
              <w:rPr>
                <w:rFonts w:ascii="Arial" w:hAnsi="Arial" w:cs="Arial"/>
              </w:rPr>
            </w:pPr>
            <w:r w:rsidRPr="006B567A">
              <w:rPr>
                <w:rFonts w:ascii="Arial" w:hAnsi="Arial" w:cs="Arial"/>
              </w:rPr>
              <w:t>Focus Group Discussion Guide</w:t>
            </w:r>
          </w:p>
        </w:tc>
        <w:tc>
          <w:tcPr>
            <w:tcW w:w="2250" w:type="dxa"/>
          </w:tcPr>
          <w:p w:rsidR="006B567A" w:rsidRPr="006B567A" w:rsidP="006B567A" w14:paraId="7C0B90B8" w14:textId="399F36FB">
            <w:pPr>
              <w:rPr>
                <w:rFonts w:ascii="Arial" w:hAnsi="Arial" w:cs="Arial"/>
              </w:rPr>
            </w:pPr>
            <w:r w:rsidRPr="006B567A">
              <w:rPr>
                <w:rFonts w:ascii="Arial" w:hAnsi="Arial" w:cs="Arial"/>
              </w:rPr>
              <w:t>Consumers (at-risk audiences)</w:t>
            </w:r>
          </w:p>
        </w:tc>
        <w:tc>
          <w:tcPr>
            <w:tcW w:w="1710" w:type="dxa"/>
          </w:tcPr>
          <w:p w:rsidR="006B567A" w:rsidRPr="006B567A" w:rsidP="006B567A" w14:paraId="62BBD94E" w14:textId="2C0D0A29">
            <w:pPr>
              <w:rPr>
                <w:rFonts w:ascii="Arial" w:hAnsi="Arial" w:cs="Arial"/>
              </w:rPr>
            </w:pPr>
            <w:r w:rsidRPr="006B567A">
              <w:rPr>
                <w:rFonts w:ascii="Arial" w:hAnsi="Arial" w:cs="Arial"/>
              </w:rPr>
              <w:t>24</w:t>
            </w:r>
          </w:p>
        </w:tc>
        <w:tc>
          <w:tcPr>
            <w:tcW w:w="1710" w:type="dxa"/>
          </w:tcPr>
          <w:p w:rsidR="006B567A" w:rsidRPr="006B567A" w:rsidP="006B567A" w14:paraId="5B8C65EB" w14:textId="26A396FA">
            <w:pPr>
              <w:rPr>
                <w:rFonts w:ascii="Arial" w:hAnsi="Arial" w:cs="Arial"/>
              </w:rPr>
            </w:pPr>
            <w:r w:rsidRPr="006B567A">
              <w:rPr>
                <w:rFonts w:ascii="Arial" w:hAnsi="Arial" w:cs="Arial"/>
              </w:rPr>
              <w:t>1.5</w:t>
            </w:r>
          </w:p>
        </w:tc>
        <w:tc>
          <w:tcPr>
            <w:tcW w:w="1980" w:type="dxa"/>
            <w:vAlign w:val="center"/>
          </w:tcPr>
          <w:p w:rsidR="006B567A" w:rsidRPr="006B567A" w:rsidP="006B567A" w14:paraId="342EC762" w14:textId="7C298E2D">
            <w:pPr>
              <w:rPr>
                <w:rFonts w:ascii="Arial" w:hAnsi="Arial" w:cs="Arial"/>
              </w:rPr>
            </w:pPr>
            <w:r w:rsidRPr="006B567A">
              <w:rPr>
                <w:rFonts w:ascii="Arial" w:eastAsia="Calibri" w:hAnsi="Arial" w:cs="Arial"/>
              </w:rPr>
              <w:t>36</w:t>
            </w:r>
          </w:p>
        </w:tc>
      </w:tr>
      <w:tr w14:paraId="3EE2B12B" w14:textId="77777777" w:rsidTr="00DC446B">
        <w:tblPrEx>
          <w:tblW w:w="10620" w:type="dxa"/>
          <w:jc w:val="center"/>
          <w:tblLayout w:type="fixed"/>
          <w:tblLook w:val="01E0"/>
        </w:tblPrEx>
        <w:trPr>
          <w:trHeight w:val="267"/>
          <w:jc w:val="center"/>
        </w:trPr>
        <w:tc>
          <w:tcPr>
            <w:tcW w:w="2970" w:type="dxa"/>
          </w:tcPr>
          <w:p w:rsidR="00E55CAE" w:rsidRPr="00B372FB" w:rsidP="00843796" w14:paraId="013171BB" w14:textId="77777777">
            <w:pPr>
              <w:rPr>
                <w:rFonts w:ascii="Arial" w:hAnsi="Arial"/>
                <w:b/>
              </w:rPr>
            </w:pPr>
            <w:r w:rsidRPr="00B372FB">
              <w:rPr>
                <w:rFonts w:ascii="Arial" w:hAnsi="Arial"/>
                <w:b/>
              </w:rPr>
              <w:t>Totals</w:t>
            </w:r>
          </w:p>
        </w:tc>
        <w:tc>
          <w:tcPr>
            <w:tcW w:w="2250" w:type="dxa"/>
          </w:tcPr>
          <w:p w:rsidR="00E55CAE" w:rsidRPr="00B372FB" w:rsidP="00843796" w14:paraId="60E4D4A5" w14:textId="77777777">
            <w:pPr>
              <w:rPr>
                <w:rFonts w:ascii="Arial" w:hAnsi="Arial"/>
                <w:b/>
              </w:rPr>
            </w:pPr>
          </w:p>
        </w:tc>
        <w:tc>
          <w:tcPr>
            <w:tcW w:w="1710" w:type="dxa"/>
          </w:tcPr>
          <w:p w:rsidR="00E55CAE" w:rsidRPr="006B567A" w:rsidP="00843796" w14:paraId="45BEAEBE" w14:textId="7B018CD6">
            <w:pPr>
              <w:rPr>
                <w:rFonts w:ascii="Arial" w:hAnsi="Arial"/>
                <w:bCs/>
              </w:rPr>
            </w:pPr>
            <w:r w:rsidRPr="006B567A">
              <w:rPr>
                <w:rFonts w:ascii="Arial" w:hAnsi="Arial"/>
                <w:bCs/>
              </w:rPr>
              <w:t>264</w:t>
            </w:r>
          </w:p>
        </w:tc>
        <w:tc>
          <w:tcPr>
            <w:tcW w:w="1710" w:type="dxa"/>
          </w:tcPr>
          <w:p w:rsidR="00E55CAE" w:rsidRPr="00B372FB" w:rsidP="00843796" w14:paraId="3F4296B9" w14:textId="4F11FAE2">
            <w:pPr>
              <w:rPr>
                <w:rFonts w:ascii="Arial" w:hAnsi="Arial"/>
              </w:rPr>
            </w:pPr>
            <w:r>
              <w:rPr>
                <w:rFonts w:ascii="Arial" w:hAnsi="Arial"/>
              </w:rPr>
              <w:t>6.5</w:t>
            </w:r>
          </w:p>
        </w:tc>
        <w:tc>
          <w:tcPr>
            <w:tcW w:w="1980" w:type="dxa"/>
          </w:tcPr>
          <w:p w:rsidR="00E55CAE" w:rsidRPr="006B567A" w:rsidP="00843796" w14:paraId="789D2007" w14:textId="7D532DA4">
            <w:pPr>
              <w:rPr>
                <w:rFonts w:ascii="Arial" w:hAnsi="Arial"/>
                <w:bCs/>
              </w:rPr>
            </w:pPr>
            <w:r w:rsidRPr="006B567A">
              <w:rPr>
                <w:rFonts w:ascii="Arial" w:hAnsi="Arial"/>
                <w:bCs/>
              </w:rPr>
              <w:t>56</w:t>
            </w:r>
          </w:p>
        </w:tc>
      </w:tr>
    </w:tbl>
    <w:p w:rsidR="00B46F2C" w:rsidRPr="00B372FB" w:rsidP="00F3170F" w14:paraId="19B38595" w14:textId="77777777">
      <w:pPr>
        <w:rPr>
          <w:rFonts w:ascii="Arial" w:hAnsi="Arial"/>
        </w:rPr>
      </w:pPr>
    </w:p>
    <w:p w:rsidR="00B46F2C" w:rsidRPr="00B372FB" w14:paraId="17185922" w14:textId="235A1B17">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B372FB">
        <w:rPr>
          <w:rFonts w:ascii="Arial" w:hAnsi="Arial"/>
        </w:rPr>
        <w:t xml:space="preserve">  _</w:t>
      </w:r>
      <w:r w:rsidRPr="00B41DAC" w:rsidR="00B41DAC">
        <w:rPr>
          <w:rFonts w:ascii="Arial" w:hAnsi="Arial"/>
        </w:rPr>
        <w:t>$</w:t>
      </w:r>
      <w:r w:rsidR="00CB295C">
        <w:rPr>
          <w:rFonts w:ascii="Arial" w:hAnsi="Arial"/>
        </w:rPr>
        <w:t>32,409.44</w:t>
      </w:r>
      <w:r w:rsidRPr="00B372FB">
        <w:rPr>
          <w:rFonts w:ascii="Arial" w:hAnsi="Arial"/>
        </w:rPr>
        <w:t>______</w:t>
      </w:r>
    </w:p>
    <w:p w:rsidR="00B46F2C" w:rsidRPr="00B372FB" w14:paraId="1C202314" w14:textId="77777777">
      <w:pPr>
        <w:rPr>
          <w:rFonts w:ascii="Arial" w:hAnsi="Arial"/>
          <w:b/>
          <w:bCs/>
          <w:u w:val="single"/>
        </w:rPr>
      </w:pPr>
    </w:p>
    <w:p w:rsidR="00B46F2C" w:rsidRPr="00846B36" w:rsidP="00F06866" w14:paraId="17EE72CF"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31B7400C" w14:textId="77777777">
      <w:pPr>
        <w:rPr>
          <w:rFonts w:ascii="Arial" w:hAnsi="Arial"/>
          <w:b/>
        </w:rPr>
      </w:pPr>
      <w:r w:rsidRPr="00B372FB">
        <w:rPr>
          <w:rFonts w:ascii="Arial" w:hAnsi="Arial"/>
          <w:b/>
        </w:rPr>
        <w:t>The selection of your targeted respondents</w:t>
      </w:r>
    </w:p>
    <w:p w:rsidR="00B46F2C" w:rsidRPr="00B372FB" w:rsidP="0069403B" w14:paraId="5E20E5D2" w14:textId="304AE6B0">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00921888">
        <w:rPr>
          <w:rFonts w:ascii="Arial" w:hAnsi="Arial"/>
        </w:rPr>
        <w:t>X</w:t>
      </w:r>
      <w:r w:rsidRPr="00B372FB">
        <w:rPr>
          <w:rFonts w:ascii="Arial" w:hAnsi="Arial"/>
        </w:rPr>
        <w:t>] Yes</w:t>
      </w:r>
      <w:r w:rsidRPr="00B372FB">
        <w:rPr>
          <w:rFonts w:ascii="Arial" w:hAnsi="Arial"/>
        </w:rPr>
        <w:tab/>
        <w:t>[ ] No</w:t>
      </w:r>
    </w:p>
    <w:p w:rsidR="00B46F2C" w:rsidRPr="00B372FB" w:rsidP="00636621" w14:paraId="2F1DA4D9" w14:textId="77777777">
      <w:pPr>
        <w:pStyle w:val="ListParagraph"/>
        <w:rPr>
          <w:rFonts w:ascii="Arial" w:hAnsi="Arial"/>
        </w:rPr>
      </w:pPr>
    </w:p>
    <w:p w:rsidR="00B46F2C" w:rsidRPr="00B372FB" w:rsidP="00A403BB" w14:paraId="1F49E077" w14:textId="77777777">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DC446B" w:rsidRPr="00DC446B" w:rsidP="00DC446B" w14:paraId="24C9FD04" w14:textId="77777777">
      <w:pPr>
        <w:rPr>
          <w:rFonts w:ascii="Arial" w:hAnsi="Arial"/>
        </w:rPr>
      </w:pPr>
      <w:r w:rsidRPr="00DC446B">
        <w:rPr>
          <w:rFonts w:ascii="Arial" w:hAnsi="Arial"/>
        </w:rPr>
        <w:t xml:space="preserve">Potential participants are drawn from a national panel of individuals who have opted in to participate in focus groups on various topics. The contractor KRC Research will direct a subcontracted panel provider to distribute an invitation to screen for the focus groups to members of its panel, starting with those individuals whose panel profiles suggest they are most likely to qualify (e.g., have known </w:t>
      </w:r>
      <w:r w:rsidRPr="00DC446B">
        <w:rPr>
          <w:rFonts w:ascii="Arial" w:hAnsi="Arial"/>
        </w:rPr>
        <w:t>travel habits). When an individual receives the invitation to screen, they will either complete a screening questionnaire online (Attachment 1) or via the phone in a call with a panel provider staff member. Individuals must pass the screening questionnaire without being disqualified based on their answers or due to quotas reached on certain characteristics.</w:t>
      </w:r>
    </w:p>
    <w:p w:rsidR="00B46F2C" w:rsidRPr="00B372FB" w:rsidP="00DC446B" w14:paraId="3C8A8E7D" w14:textId="36C3AF5D">
      <w:pPr>
        <w:rPr>
          <w:rFonts w:ascii="Arial" w:hAnsi="Arial"/>
          <w:b/>
        </w:rPr>
      </w:pPr>
      <w:r w:rsidRPr="00DC446B">
        <w:rPr>
          <w:rFonts w:ascii="Arial" w:hAnsi="Arial"/>
        </w:rPr>
        <w:t xml:space="preserve">A total of 24 consumers (for three focus groups) will be purposively selected from this pool of eligible participants. Within the parameters of each audience, participants will be selected to ensure a variety of demographic and other variables (e.g., age, community type, income, education, </w:t>
      </w:r>
      <w:r>
        <w:rPr>
          <w:rFonts w:ascii="Arial" w:hAnsi="Arial"/>
        </w:rPr>
        <w:t>p</w:t>
      </w:r>
      <w:r w:rsidRPr="00DC446B">
        <w:rPr>
          <w:rFonts w:ascii="Arial" w:hAnsi="Arial"/>
        </w:rPr>
        <w:t xml:space="preserve">regnancy status). </w:t>
      </w:r>
    </w:p>
    <w:p w:rsidR="00B46F2C" w:rsidRPr="00B372FB" w:rsidP="00A403BB" w14:paraId="2A8937D7" w14:textId="77777777">
      <w:pPr>
        <w:rPr>
          <w:rFonts w:ascii="Arial" w:hAnsi="Arial"/>
          <w:b/>
        </w:rPr>
      </w:pPr>
      <w:r w:rsidRPr="00B372FB">
        <w:rPr>
          <w:rFonts w:ascii="Arial" w:hAnsi="Arial"/>
          <w:b/>
        </w:rPr>
        <w:t>Administration of the Instrument</w:t>
      </w:r>
    </w:p>
    <w:p w:rsidR="00B46F2C" w:rsidRPr="00B372FB" w:rsidP="00A403BB" w14:paraId="6D2FF231"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636B3FC1" w14:textId="2DC42D07">
      <w:pPr>
        <w:ind w:left="720"/>
        <w:rPr>
          <w:rFonts w:ascii="Arial" w:hAnsi="Arial"/>
        </w:rPr>
      </w:pPr>
      <w:r w:rsidRPr="00B372FB">
        <w:rPr>
          <w:rFonts w:ascii="Arial" w:hAnsi="Arial"/>
        </w:rPr>
        <w:t>[</w:t>
      </w:r>
      <w:r w:rsidR="00DC446B">
        <w:rPr>
          <w:rFonts w:ascii="Arial" w:hAnsi="Arial"/>
        </w:rPr>
        <w:t>X</w:t>
      </w:r>
      <w:r w:rsidRPr="00B372FB">
        <w:rPr>
          <w:rFonts w:ascii="Arial" w:hAnsi="Arial"/>
        </w:rPr>
        <w:t xml:space="preserve">] Web-based or other forms of Social Media </w:t>
      </w:r>
      <w:r w:rsidR="00DC446B">
        <w:rPr>
          <w:rFonts w:ascii="Arial" w:hAnsi="Arial"/>
        </w:rPr>
        <w:t>(online focus group)</w:t>
      </w:r>
    </w:p>
    <w:p w:rsidR="00B46F2C" w:rsidRPr="00B372FB" w:rsidP="001B0AAA" w14:paraId="2479B5FE" w14:textId="77777777">
      <w:pPr>
        <w:ind w:left="720"/>
        <w:rPr>
          <w:rFonts w:ascii="Arial" w:hAnsi="Arial"/>
        </w:rPr>
      </w:pPr>
      <w:r w:rsidRPr="00B372FB">
        <w:rPr>
          <w:rFonts w:ascii="Arial" w:hAnsi="Arial"/>
        </w:rPr>
        <w:t>[  ] Telephone</w:t>
      </w:r>
      <w:r w:rsidRPr="00B372FB">
        <w:rPr>
          <w:rFonts w:ascii="Arial" w:hAnsi="Arial"/>
        </w:rPr>
        <w:tab/>
      </w:r>
    </w:p>
    <w:p w:rsidR="00B46F2C" w:rsidRPr="00B372FB" w:rsidP="001B0AAA" w14:paraId="6C4793CF"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10FE516E" w14:textId="77777777">
      <w:pPr>
        <w:ind w:left="720"/>
        <w:rPr>
          <w:rFonts w:ascii="Arial" w:hAnsi="Arial"/>
        </w:rPr>
      </w:pPr>
      <w:r w:rsidRPr="00B372FB">
        <w:rPr>
          <w:rFonts w:ascii="Arial" w:hAnsi="Arial"/>
        </w:rPr>
        <w:t xml:space="preserve">[  ] Mail </w:t>
      </w:r>
    </w:p>
    <w:p w:rsidR="00B46F2C" w:rsidRPr="00B372FB" w:rsidP="001B0AAA" w14:paraId="0786ABBA" w14:textId="77777777">
      <w:pPr>
        <w:ind w:left="720"/>
        <w:rPr>
          <w:rFonts w:ascii="Arial" w:hAnsi="Arial"/>
        </w:rPr>
      </w:pPr>
      <w:r w:rsidRPr="00B372FB">
        <w:rPr>
          <w:rFonts w:ascii="Arial" w:hAnsi="Arial"/>
        </w:rPr>
        <w:t>[  ] Other, Explain</w:t>
      </w:r>
    </w:p>
    <w:p w:rsidR="00B46F2C" w:rsidRPr="00B372FB" w:rsidP="00F24CFC" w14:paraId="5476ABFA" w14:textId="0709CBCE">
      <w:pPr>
        <w:pStyle w:val="ListParagraph"/>
        <w:numPr>
          <w:ilvl w:val="0"/>
          <w:numId w:val="17"/>
        </w:numPr>
        <w:rPr>
          <w:rFonts w:ascii="Arial" w:hAnsi="Arial"/>
        </w:rPr>
      </w:pPr>
      <w:r w:rsidRPr="00B372FB">
        <w:rPr>
          <w:rFonts w:ascii="Arial" w:hAnsi="Arial"/>
        </w:rPr>
        <w:t xml:space="preserve">Will interviewers or facilitators be used?  [ </w:t>
      </w:r>
      <w:r w:rsidR="00B41DAC">
        <w:rPr>
          <w:rFonts w:ascii="Arial" w:hAnsi="Arial"/>
        </w:rPr>
        <w:t>X</w:t>
      </w:r>
      <w:r w:rsidRPr="00B372FB">
        <w:rPr>
          <w:rFonts w:ascii="Arial" w:hAnsi="Arial"/>
        </w:rPr>
        <w:t xml:space="preserve"> ] Yes [  ] No</w:t>
      </w:r>
    </w:p>
    <w:p w:rsidR="00B46F2C" w:rsidRPr="00B372FB" w:rsidP="00F24CFC" w14:paraId="67B07281" w14:textId="77777777">
      <w:pPr>
        <w:pStyle w:val="ListParagraph"/>
        <w:ind w:left="360"/>
        <w:rPr>
          <w:rFonts w:ascii="Arial" w:hAnsi="Arial"/>
        </w:rPr>
      </w:pPr>
      <w:r w:rsidRPr="00B372FB">
        <w:rPr>
          <w:rFonts w:ascii="Arial" w:hAnsi="Arial"/>
        </w:rPr>
        <w:t xml:space="preserve"> </w:t>
      </w:r>
    </w:p>
    <w:p w:rsidR="00B46F2C" w:rsidRPr="00B372FB" w:rsidP="0024521E" w14:paraId="7725B326"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7C56B568"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257A59AF"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61CF4EA3" w14:textId="77777777">
      <w:pPr>
        <w:rPr>
          <w:rFonts w:ascii="Arial" w:hAnsi="Arial"/>
          <w:b/>
        </w:rPr>
      </w:pPr>
    </w:p>
    <w:p w:rsidR="00B46F2C" w:rsidRPr="00B372FB" w:rsidP="00F24CFC" w14:paraId="6908A8AA"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0C3B7FB7"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619F4FEB"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37C9CC4E"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53AF8F52"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111A2578"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331C168E" w14:textId="77777777">
      <w:pPr>
        <w:rPr>
          <w:rFonts w:ascii="Arial" w:hAnsi="Arial"/>
          <w:b/>
        </w:rPr>
      </w:pPr>
    </w:p>
    <w:p w:rsidR="001D6F31" w:rsidP="00F24CFC" w14:paraId="042ED81B" w14:textId="77777777">
      <w:pPr>
        <w:rPr>
          <w:rFonts w:ascii="Arial" w:hAnsi="Arial"/>
          <w:b/>
        </w:rPr>
      </w:pPr>
    </w:p>
    <w:p w:rsidR="00B46F2C" w:rsidRPr="00B372FB" w:rsidP="00F24CFC" w14:paraId="579A14A2" w14:textId="751D6815">
      <w:pPr>
        <w:rPr>
          <w:rFonts w:ascii="Arial" w:hAnsi="Arial"/>
          <w:b/>
        </w:rPr>
      </w:pPr>
      <w:r w:rsidRPr="00B372FB">
        <w:rPr>
          <w:rFonts w:ascii="Arial" w:hAnsi="Arial"/>
          <w:b/>
        </w:rPr>
        <w:t>BURDEN HOURS:</w:t>
      </w:r>
    </w:p>
    <w:p w:rsidR="00B46F2C" w:rsidRPr="00B372FB" w:rsidP="00F24CFC" w14:paraId="4D167CE4"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72C22233"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1CA6E388"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4973AC8D"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75AF7662"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675D93A5"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0BF61F80"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7C231CF4"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6A1ACA54"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0B0BCA7"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AD52F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94167371">
    <w:abstractNumId w:val="11"/>
  </w:num>
  <w:num w:numId="2" w16cid:durableId="605505720">
    <w:abstractNumId w:val="17"/>
  </w:num>
  <w:num w:numId="3" w16cid:durableId="328991511">
    <w:abstractNumId w:val="16"/>
  </w:num>
  <w:num w:numId="4" w16cid:durableId="1799687588">
    <w:abstractNumId w:val="18"/>
  </w:num>
  <w:num w:numId="5" w16cid:durableId="1528369601">
    <w:abstractNumId w:val="3"/>
  </w:num>
  <w:num w:numId="6" w16cid:durableId="561064389">
    <w:abstractNumId w:val="1"/>
  </w:num>
  <w:num w:numId="7" w16cid:durableId="1075123851">
    <w:abstractNumId w:val="9"/>
  </w:num>
  <w:num w:numId="8" w16cid:durableId="209728249">
    <w:abstractNumId w:val="14"/>
  </w:num>
  <w:num w:numId="9" w16cid:durableId="1451512676">
    <w:abstractNumId w:val="10"/>
  </w:num>
  <w:num w:numId="10" w16cid:durableId="1077633841">
    <w:abstractNumId w:val="2"/>
  </w:num>
  <w:num w:numId="11" w16cid:durableId="475924800">
    <w:abstractNumId w:val="6"/>
  </w:num>
  <w:num w:numId="12" w16cid:durableId="458376444">
    <w:abstractNumId w:val="7"/>
  </w:num>
  <w:num w:numId="13" w16cid:durableId="423460103">
    <w:abstractNumId w:val="0"/>
  </w:num>
  <w:num w:numId="14" w16cid:durableId="1504392621">
    <w:abstractNumId w:val="15"/>
  </w:num>
  <w:num w:numId="15" w16cid:durableId="1391268573">
    <w:abstractNumId w:val="13"/>
  </w:num>
  <w:num w:numId="16" w16cid:durableId="1676422925">
    <w:abstractNumId w:val="12"/>
  </w:num>
  <w:num w:numId="17" w16cid:durableId="388115599">
    <w:abstractNumId w:val="4"/>
  </w:num>
  <w:num w:numId="18" w16cid:durableId="1055204553">
    <w:abstractNumId w:val="5"/>
  </w:num>
  <w:num w:numId="19" w16cid:durableId="1448891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1D0776"/>
    <w:rsid w:val="001D6F31"/>
    <w:rsid w:val="001E5F40"/>
    <w:rsid w:val="001F135F"/>
    <w:rsid w:val="00237B48"/>
    <w:rsid w:val="0024521E"/>
    <w:rsid w:val="00263C3D"/>
    <w:rsid w:val="00274D0B"/>
    <w:rsid w:val="002821FF"/>
    <w:rsid w:val="002B3C95"/>
    <w:rsid w:val="002D0B92"/>
    <w:rsid w:val="002F2EF9"/>
    <w:rsid w:val="00303F23"/>
    <w:rsid w:val="00306FDE"/>
    <w:rsid w:val="003675DB"/>
    <w:rsid w:val="003C0B83"/>
    <w:rsid w:val="003D5BBE"/>
    <w:rsid w:val="003E3C61"/>
    <w:rsid w:val="003F1C5B"/>
    <w:rsid w:val="0041337D"/>
    <w:rsid w:val="00426306"/>
    <w:rsid w:val="00434E33"/>
    <w:rsid w:val="00441434"/>
    <w:rsid w:val="0045264C"/>
    <w:rsid w:val="004876EC"/>
    <w:rsid w:val="004D6E14"/>
    <w:rsid w:val="005009B0"/>
    <w:rsid w:val="00512CA7"/>
    <w:rsid w:val="00522A83"/>
    <w:rsid w:val="005A1006"/>
    <w:rsid w:val="005D46C6"/>
    <w:rsid w:val="005D4FF7"/>
    <w:rsid w:val="005E2E99"/>
    <w:rsid w:val="005E714A"/>
    <w:rsid w:val="006140A0"/>
    <w:rsid w:val="00636621"/>
    <w:rsid w:val="00642B49"/>
    <w:rsid w:val="006832D9"/>
    <w:rsid w:val="0069403B"/>
    <w:rsid w:val="006B567A"/>
    <w:rsid w:val="006E12B5"/>
    <w:rsid w:val="006E3982"/>
    <w:rsid w:val="006F3DDE"/>
    <w:rsid w:val="00704678"/>
    <w:rsid w:val="007425E7"/>
    <w:rsid w:val="00802607"/>
    <w:rsid w:val="008101A5"/>
    <w:rsid w:val="00822664"/>
    <w:rsid w:val="00840FCA"/>
    <w:rsid w:val="00843796"/>
    <w:rsid w:val="00846B36"/>
    <w:rsid w:val="00895229"/>
    <w:rsid w:val="008F0203"/>
    <w:rsid w:val="008F50D4"/>
    <w:rsid w:val="00921888"/>
    <w:rsid w:val="009239AA"/>
    <w:rsid w:val="00935ADA"/>
    <w:rsid w:val="00936D65"/>
    <w:rsid w:val="00946B6C"/>
    <w:rsid w:val="00955A71"/>
    <w:rsid w:val="0096108F"/>
    <w:rsid w:val="009C13B9"/>
    <w:rsid w:val="009D01A2"/>
    <w:rsid w:val="009F5923"/>
    <w:rsid w:val="00A07294"/>
    <w:rsid w:val="00A13253"/>
    <w:rsid w:val="00A403BB"/>
    <w:rsid w:val="00A674DF"/>
    <w:rsid w:val="00A83AA6"/>
    <w:rsid w:val="00AE1809"/>
    <w:rsid w:val="00B32078"/>
    <w:rsid w:val="00B372FB"/>
    <w:rsid w:val="00B41DAC"/>
    <w:rsid w:val="00B46F2C"/>
    <w:rsid w:val="00B80D76"/>
    <w:rsid w:val="00B85006"/>
    <w:rsid w:val="00BA2105"/>
    <w:rsid w:val="00BA7E06"/>
    <w:rsid w:val="00BB43B5"/>
    <w:rsid w:val="00BB6219"/>
    <w:rsid w:val="00BD290F"/>
    <w:rsid w:val="00C1435C"/>
    <w:rsid w:val="00C14CC4"/>
    <w:rsid w:val="00C33C52"/>
    <w:rsid w:val="00C40D8B"/>
    <w:rsid w:val="00C8407A"/>
    <w:rsid w:val="00C8488C"/>
    <w:rsid w:val="00C86E91"/>
    <w:rsid w:val="00CA2650"/>
    <w:rsid w:val="00CB1078"/>
    <w:rsid w:val="00CB295C"/>
    <w:rsid w:val="00CC6FAF"/>
    <w:rsid w:val="00D24698"/>
    <w:rsid w:val="00D6383F"/>
    <w:rsid w:val="00D71221"/>
    <w:rsid w:val="00D97DB9"/>
    <w:rsid w:val="00DB344C"/>
    <w:rsid w:val="00DB59D0"/>
    <w:rsid w:val="00DC33D3"/>
    <w:rsid w:val="00DC446B"/>
    <w:rsid w:val="00E2594A"/>
    <w:rsid w:val="00E26329"/>
    <w:rsid w:val="00E40B50"/>
    <w:rsid w:val="00E50293"/>
    <w:rsid w:val="00E55CAE"/>
    <w:rsid w:val="00E65FFC"/>
    <w:rsid w:val="00E749EA"/>
    <w:rsid w:val="00E80951"/>
    <w:rsid w:val="00E854FE"/>
    <w:rsid w:val="00E86CC6"/>
    <w:rsid w:val="00EA2C4C"/>
    <w:rsid w:val="00EB1B55"/>
    <w:rsid w:val="00EB56B3"/>
    <w:rsid w:val="00ED6492"/>
    <w:rsid w:val="00EF2095"/>
    <w:rsid w:val="00F06866"/>
    <w:rsid w:val="00F15956"/>
    <w:rsid w:val="00F24CFC"/>
    <w:rsid w:val="00F3170F"/>
    <w:rsid w:val="00F4017B"/>
    <w:rsid w:val="00F45E35"/>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8D1DC50"/>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1188</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Vice, Rudith (CDC/NCEZID/OD)</cp:lastModifiedBy>
  <cp:revision>5</cp:revision>
  <cp:lastPrinted>2012-08-06T16:52:00Z</cp:lastPrinted>
  <dcterms:created xsi:type="dcterms:W3CDTF">2024-11-25T17:36:00Z</dcterms:created>
  <dcterms:modified xsi:type="dcterms:W3CDTF">2024-11-25T19:48:00Z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af2d55a8-56a1-4294-b06e-6de048a7385e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2024-11-25T17:37:01Z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