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AF3" w14:paraId="2FFB9FC3" w14:textId="77777777">
      <w:pPr>
        <w:spacing w:line="276" w:lineRule="auto"/>
        <w:jc w:val="center"/>
        <w:rPr>
          <w:b/>
          <w:sz w:val="32"/>
          <w:szCs w:val="32"/>
        </w:rPr>
      </w:pPr>
      <w:r>
        <w:rPr>
          <w:b/>
          <w:sz w:val="32"/>
          <w:szCs w:val="32"/>
        </w:rPr>
        <w:t>GenIC</w:t>
      </w:r>
      <w:r>
        <w:rPr>
          <w:b/>
          <w:sz w:val="32"/>
          <w:szCs w:val="32"/>
        </w:rPr>
        <w:t xml:space="preserve"> Clearance for CDC/ATSDR</w:t>
      </w:r>
    </w:p>
    <w:p w:rsidR="00505AF3" w14:paraId="632CB96E" w14:textId="77777777">
      <w:pPr>
        <w:spacing w:after="200" w:line="276" w:lineRule="auto"/>
        <w:jc w:val="center"/>
        <w:rPr>
          <w:b/>
          <w:sz w:val="32"/>
          <w:szCs w:val="32"/>
        </w:rPr>
      </w:pPr>
      <w:r>
        <w:rPr>
          <w:b/>
          <w:sz w:val="32"/>
          <w:szCs w:val="32"/>
        </w:rPr>
        <w:t>Formative Research and Tool Development</w:t>
      </w:r>
    </w:p>
    <w:p w:rsidR="00505AF3" w14:paraId="45D296A3" w14:textId="77777777">
      <w:pPr>
        <w:spacing w:after="200" w:line="276" w:lineRule="auto"/>
      </w:pPr>
    </w:p>
    <w:p w:rsidR="00505AF3" w14:paraId="3AE9D7B6" w14:textId="77777777">
      <w:pPr>
        <w:jc w:val="center"/>
        <w:rPr>
          <w:b/>
          <w:color w:val="222222"/>
          <w:sz w:val="48"/>
          <w:szCs w:val="48"/>
          <w:highlight w:val="white"/>
        </w:rPr>
      </w:pPr>
      <w:r>
        <w:rPr>
          <w:b/>
          <w:color w:val="222222"/>
          <w:sz w:val="48"/>
          <w:szCs w:val="48"/>
          <w:highlight w:val="white"/>
        </w:rPr>
        <w:t xml:space="preserve">Formative Research for Spanish-Language </w:t>
      </w:r>
    </w:p>
    <w:p w:rsidR="00505AF3" w14:paraId="38053B8E" w14:textId="77777777">
      <w:pPr>
        <w:jc w:val="center"/>
        <w:rPr>
          <w:b/>
          <w:sz w:val="48"/>
          <w:szCs w:val="48"/>
        </w:rPr>
      </w:pPr>
      <w:r>
        <w:rPr>
          <w:b/>
          <w:color w:val="222222"/>
          <w:sz w:val="48"/>
          <w:szCs w:val="48"/>
          <w:highlight w:val="white"/>
        </w:rPr>
        <w:t>Drug Overdose Messages</w:t>
      </w:r>
      <w:r>
        <w:rPr>
          <w:b/>
          <w:sz w:val="48"/>
          <w:szCs w:val="48"/>
        </w:rPr>
        <w:t xml:space="preserve"> </w:t>
      </w:r>
    </w:p>
    <w:p w:rsidR="00505AF3" w14:paraId="3BCA99A4" w14:textId="77777777">
      <w:pPr>
        <w:jc w:val="center"/>
        <w:rPr>
          <w:b/>
          <w:sz w:val="48"/>
          <w:szCs w:val="48"/>
        </w:rPr>
      </w:pPr>
    </w:p>
    <w:p w:rsidR="00505AF3" w14:paraId="6675075C" w14:textId="77777777">
      <w:pPr>
        <w:jc w:val="center"/>
        <w:rPr>
          <w:b/>
          <w:sz w:val="48"/>
          <w:szCs w:val="48"/>
        </w:rPr>
      </w:pPr>
    </w:p>
    <w:p w:rsidR="00505AF3" w14:paraId="32A84C02" w14:textId="77777777">
      <w:pPr>
        <w:jc w:val="center"/>
        <w:rPr>
          <w:b/>
          <w:sz w:val="48"/>
          <w:szCs w:val="48"/>
        </w:rPr>
      </w:pPr>
    </w:p>
    <w:p w:rsidR="00505AF3" w14:paraId="7D78BEAA" w14:textId="77777777">
      <w:pPr>
        <w:jc w:val="center"/>
        <w:rPr>
          <w:b/>
        </w:rPr>
      </w:pPr>
    </w:p>
    <w:p w:rsidR="00505AF3" w14:paraId="1C378D13" w14:textId="77777777">
      <w:pPr>
        <w:jc w:val="center"/>
        <w:rPr>
          <w:b/>
        </w:rPr>
      </w:pPr>
    </w:p>
    <w:p w:rsidR="00505AF3" w14:paraId="1A2BDB8F" w14:textId="77777777">
      <w:pPr>
        <w:spacing w:after="200" w:line="276" w:lineRule="auto"/>
      </w:pPr>
    </w:p>
    <w:p w:rsidR="00505AF3" w14:paraId="1F92C5A2" w14:textId="77777777">
      <w:pPr>
        <w:spacing w:after="200" w:line="276" w:lineRule="auto"/>
      </w:pPr>
    </w:p>
    <w:p w:rsidR="00505AF3" w14:paraId="5CB492AB" w14:textId="77777777">
      <w:pPr>
        <w:spacing w:after="200" w:line="276" w:lineRule="auto"/>
      </w:pPr>
    </w:p>
    <w:p w:rsidR="00505AF3" w14:paraId="166B9A84" w14:textId="77777777">
      <w:pPr>
        <w:jc w:val="center"/>
        <w:rPr>
          <w:b/>
        </w:rPr>
      </w:pPr>
    </w:p>
    <w:p w:rsidR="00505AF3" w14:paraId="39137F1D" w14:textId="77777777">
      <w:pPr>
        <w:pStyle w:val="Heading4"/>
        <w:keepNext w:val="0"/>
        <w:keepLines w:val="0"/>
        <w:spacing w:before="0"/>
        <w:jc w:val="center"/>
        <w:rPr>
          <w:rFonts w:ascii="Times New Roman" w:eastAsia="Times New Roman" w:hAnsi="Times New Roman" w:cs="Times New Roman"/>
          <w:b/>
          <w:i w:val="0"/>
          <w:sz w:val="24"/>
          <w:szCs w:val="24"/>
        </w:rPr>
      </w:pPr>
      <w:bookmarkStart w:id="0" w:name="_heading=h.yl3974hhu4zn" w:colFirst="0" w:colLast="0"/>
      <w:bookmarkEnd w:id="0"/>
      <w:r>
        <w:rPr>
          <w:rFonts w:ascii="Times New Roman" w:eastAsia="Times New Roman" w:hAnsi="Times New Roman" w:cs="Times New Roman"/>
          <w:b/>
          <w:i w:val="0"/>
          <w:sz w:val="24"/>
          <w:szCs w:val="24"/>
        </w:rPr>
        <w:t xml:space="preserve">Request for </w:t>
      </w:r>
      <w:r>
        <w:rPr>
          <w:rFonts w:ascii="Times New Roman" w:eastAsia="Times New Roman" w:hAnsi="Times New Roman" w:cs="Times New Roman"/>
          <w:b/>
          <w:i w:val="0"/>
          <w:sz w:val="24"/>
          <w:szCs w:val="24"/>
        </w:rPr>
        <w:t>GenIC</w:t>
      </w:r>
      <w:r>
        <w:rPr>
          <w:rFonts w:ascii="Times New Roman" w:eastAsia="Times New Roman" w:hAnsi="Times New Roman" w:cs="Times New Roman"/>
          <w:b/>
          <w:i w:val="0"/>
          <w:sz w:val="24"/>
          <w:szCs w:val="24"/>
        </w:rPr>
        <w:t xml:space="preserve"> Approval</w:t>
      </w:r>
    </w:p>
    <w:p w:rsidR="00505AF3" w14:paraId="3C00481D" w14:textId="77777777">
      <w:pPr>
        <w:rPr>
          <w:b/>
        </w:rPr>
      </w:pPr>
    </w:p>
    <w:p w:rsidR="00505AF3" w14:paraId="71DB4C6F" w14:textId="77777777">
      <w:pPr>
        <w:rPr>
          <w:b/>
        </w:rPr>
      </w:pPr>
    </w:p>
    <w:p w:rsidR="00505AF3" w14:paraId="05103E9B" w14:textId="77777777">
      <w:pPr>
        <w:rPr>
          <w:b/>
        </w:rPr>
      </w:pPr>
    </w:p>
    <w:p w:rsidR="00505AF3" w14:paraId="5B3E7296" w14:textId="77777777">
      <w:pPr>
        <w:rPr>
          <w:b/>
        </w:rPr>
      </w:pPr>
    </w:p>
    <w:p w:rsidR="00505AF3" w14:paraId="05BEB9C4" w14:textId="77777777">
      <w:pPr>
        <w:rPr>
          <w:b/>
        </w:rPr>
      </w:pPr>
    </w:p>
    <w:p w:rsidR="00505AF3" w14:paraId="00E93C72" w14:textId="77777777">
      <w:pPr>
        <w:rPr>
          <w:b/>
        </w:rPr>
      </w:pPr>
    </w:p>
    <w:p w:rsidR="00505AF3" w14:paraId="0EC08349" w14:textId="77777777">
      <w:pPr>
        <w:rPr>
          <w:b/>
        </w:rPr>
      </w:pPr>
    </w:p>
    <w:p w:rsidR="00505AF3" w14:paraId="0A793EE5" w14:textId="77777777">
      <w:pPr>
        <w:rPr>
          <w:b/>
        </w:rPr>
      </w:pPr>
    </w:p>
    <w:p w:rsidR="00505AF3" w14:paraId="686E9F15" w14:textId="77777777">
      <w:pPr>
        <w:rPr>
          <w:b/>
        </w:rPr>
      </w:pPr>
    </w:p>
    <w:p w:rsidR="00505AF3" w14:paraId="76D9E08C" w14:textId="77777777">
      <w:pPr>
        <w:rPr>
          <w:b/>
        </w:rPr>
      </w:pPr>
    </w:p>
    <w:p w:rsidR="00505AF3" w14:paraId="1F886362" w14:textId="77777777">
      <w:pPr>
        <w:rPr>
          <w:b/>
        </w:rPr>
      </w:pPr>
    </w:p>
    <w:p w:rsidR="00505AF3" w14:paraId="4E595847" w14:textId="77777777">
      <w:pPr>
        <w:rPr>
          <w:b/>
        </w:rPr>
      </w:pPr>
    </w:p>
    <w:p w:rsidR="00505AF3" w14:paraId="549C860A" w14:textId="77777777">
      <w:pPr>
        <w:rPr>
          <w:b/>
        </w:rPr>
      </w:pPr>
    </w:p>
    <w:p w:rsidR="00505AF3" w14:paraId="13CF1D34" w14:textId="77777777">
      <w:pPr>
        <w:rPr>
          <w:b/>
        </w:rPr>
      </w:pPr>
      <w:r>
        <w:rPr>
          <w:b/>
        </w:rPr>
        <w:t>Contact: Brittany Curtis, MBA</w:t>
      </w:r>
    </w:p>
    <w:p w:rsidR="00505AF3" w14:paraId="0BA01921" w14:textId="77777777">
      <w:r>
        <w:t>Communication Branch</w:t>
      </w:r>
    </w:p>
    <w:p w:rsidR="00505AF3" w14:paraId="17F0B42C" w14:textId="77777777">
      <w:r>
        <w:t>Division of Overdose Prevention (DOP)</w:t>
      </w:r>
    </w:p>
    <w:p w:rsidR="00505AF3" w14:paraId="083CC3C5" w14:textId="77777777">
      <w:r>
        <w:t>National Center for Injury Prevention and Control (NCIPC)</w:t>
      </w:r>
    </w:p>
    <w:p w:rsidR="00505AF3" w14:paraId="1E2F107E" w14:textId="77777777">
      <w:r>
        <w:t>Centers for Disease Control and Prevention (CDC)</w:t>
      </w:r>
    </w:p>
    <w:p w:rsidR="00505AF3" w14:paraId="0E9886E5" w14:textId="77777777">
      <w:r>
        <w:t>4770 Buford Hwy NE, MS S106</w:t>
      </w:r>
    </w:p>
    <w:p w:rsidR="00505AF3" w14:paraId="0C7BBFDC" w14:textId="77777777">
      <w:r>
        <w:t>Atlanta, Georgia 30341</w:t>
      </w:r>
    </w:p>
    <w:p w:rsidR="00505AF3" w14:paraId="027C0509" w14:textId="77777777">
      <w:r>
        <w:t>Phone: 770-488-5423</w:t>
      </w:r>
    </w:p>
    <w:p w:rsidR="00505AF3" w14:paraId="6AD9E0E4" w14:textId="77777777">
      <w:pPr>
        <w:rPr>
          <w:b/>
        </w:rPr>
      </w:pPr>
      <w:r>
        <w:t>Email: gnk2@cdc.gov</w:t>
      </w:r>
    </w:p>
    <w:p w:rsidR="00505AF3" w14:paraId="439574A1" w14:textId="77777777">
      <w:pPr>
        <w:rPr>
          <w:sz w:val="22"/>
          <w:szCs w:val="22"/>
        </w:rPr>
      </w:pPr>
      <w:r>
        <w:rPr>
          <w:b/>
          <w:sz w:val="22"/>
          <w:szCs w:val="22"/>
        </w:rPr>
        <w:t xml:space="preserve">CIO: </w:t>
      </w:r>
      <w:r>
        <w:rPr>
          <w:sz w:val="22"/>
          <w:szCs w:val="22"/>
        </w:rPr>
        <w:t xml:space="preserve">National Center for Injury Prevention and Control </w:t>
      </w:r>
    </w:p>
    <w:p w:rsidR="00505AF3" w14:paraId="57A82153" w14:textId="77777777">
      <w:pPr>
        <w:rPr>
          <w:b/>
          <w:sz w:val="22"/>
          <w:szCs w:val="22"/>
        </w:rPr>
      </w:pPr>
    </w:p>
    <w:p w:rsidR="00505AF3" w14:paraId="68134903" w14:textId="77777777">
      <w:pPr>
        <w:rPr>
          <w:sz w:val="22"/>
          <w:szCs w:val="22"/>
        </w:rPr>
      </w:pPr>
      <w:r>
        <w:rPr>
          <w:b/>
          <w:sz w:val="22"/>
          <w:szCs w:val="22"/>
        </w:rPr>
        <w:t>PROJECT TITLE:</w:t>
      </w:r>
      <w:r>
        <w:rPr>
          <w:sz w:val="22"/>
          <w:szCs w:val="22"/>
        </w:rPr>
        <w:t xml:space="preserve"> Formative Research for Spanish-Language Drug Overdose Messages </w:t>
      </w:r>
    </w:p>
    <w:p w:rsidR="00505AF3" w14:paraId="46E4EC74" w14:textId="77777777">
      <w:pPr>
        <w:rPr>
          <w:sz w:val="22"/>
          <w:szCs w:val="22"/>
        </w:rPr>
      </w:pPr>
    </w:p>
    <w:p w:rsidR="00505AF3" w14:paraId="574FFB5A" w14:textId="77777777">
      <w:pPr>
        <w:rPr>
          <w:b/>
          <w:sz w:val="22"/>
          <w:szCs w:val="22"/>
        </w:rPr>
      </w:pPr>
    </w:p>
    <w:p w:rsidR="00505AF3" w14:paraId="326A8409" w14:textId="77777777">
      <w:pPr>
        <w:rPr>
          <w:sz w:val="22"/>
          <w:szCs w:val="22"/>
        </w:rPr>
      </w:pPr>
      <w:r>
        <w:rPr>
          <w:b/>
          <w:sz w:val="22"/>
          <w:szCs w:val="22"/>
        </w:rPr>
        <w:t>PURPOSE AND USE OF COLLECTION:</w:t>
      </w:r>
    </w:p>
    <w:p w:rsidR="00505AF3" w14:paraId="3B582D07" w14:textId="77777777">
      <w:pPr>
        <w:rPr>
          <w:rFonts w:ascii="Calibri" w:eastAsia="Calibri" w:hAnsi="Calibri" w:cs="Calibri"/>
          <w:color w:val="000000"/>
        </w:rPr>
      </w:pPr>
      <w:bookmarkStart w:id="1" w:name="_heading=h.z745tcvydipx" w:colFirst="0" w:colLast="0"/>
      <w:bookmarkEnd w:id="1"/>
    </w:p>
    <w:p w:rsidR="00505AF3" w14:paraId="40C444A1" w14:textId="77777777">
      <w:pPr>
        <w:rPr>
          <w:sz w:val="22"/>
          <w:szCs w:val="22"/>
        </w:rPr>
      </w:pPr>
      <w:r>
        <w:rPr>
          <w:color w:val="000000"/>
        </w:rPr>
        <w:t xml:space="preserve">The </w:t>
      </w:r>
      <w:r>
        <w:rPr>
          <w:sz w:val="22"/>
          <w:szCs w:val="22"/>
        </w:rPr>
        <w:t>National Center for Injury Prevention and Control (NCIPC),</w:t>
      </w:r>
      <w:r>
        <w:rPr>
          <w:color w:val="000000"/>
        </w:rPr>
        <w:t xml:space="preserve"> </w:t>
      </w:r>
      <w:r>
        <w:rPr>
          <w:sz w:val="22"/>
          <w:szCs w:val="22"/>
        </w:rPr>
        <w:t xml:space="preserve">Division of Overdose Prevention (DOP) </w:t>
      </w:r>
      <w:r>
        <w:rPr>
          <w:color w:val="000000"/>
        </w:rPr>
        <w:t>has a need for tailored communications around drug use, misuse, and overdose for Hispanic/Latinx Spanish-speaking and bilingual individuals. In 2021, to support drug overdose prevention, DOP launched four</w:t>
      </w:r>
      <w:hyperlink r:id="rId5">
        <w:r>
          <w:rPr>
            <w:i/>
            <w:color w:val="1155CC"/>
            <w:u w:val="single"/>
          </w:rPr>
          <w:t xml:space="preserve"> campaigns </w:t>
        </w:r>
      </w:hyperlink>
      <w:r>
        <w:rPr>
          <w:color w:val="000000"/>
        </w:rPr>
        <w:t>focused on polysubstance use, fentanyl, naloxone, and stigma/recovery. Messages and concepts were developed primarily with and for English-speaking audiences.</w:t>
      </w:r>
    </w:p>
    <w:p w:rsidR="00505AF3" w14:paraId="44899B38" w14:textId="77777777"/>
    <w:p w:rsidR="00505AF3" w14:paraId="6E149F2A" w14:textId="77777777">
      <w:r>
        <w:rPr>
          <w:color w:val="000000"/>
        </w:rPr>
        <w:t>Drug overdose deaths are increasing in Hispanic populations, yet little is known about how the drug overdose epidemic is impacting Hispanic/Latinx communities. Overall, overdose mortality rates have increased steadily since 2015, with Hispanic/Latinx individuals experiencing a large increase in drug overdose rates from 2019-2020 (40.1%), from 9.5 deaths per 100,000 people to 13.7 deaths per 100,000 people.</w:t>
      </w:r>
      <w:r>
        <w:rPr>
          <w:color w:val="000000"/>
          <w:vertAlign w:val="superscript"/>
        </w:rPr>
        <w:t>1,2</w:t>
      </w:r>
      <w:r>
        <w:rPr>
          <w:color w:val="000000"/>
          <w:sz w:val="14"/>
          <w:szCs w:val="14"/>
          <w:vertAlign w:val="superscript"/>
        </w:rPr>
        <w:t>,</w:t>
      </w:r>
      <w:r>
        <w:rPr>
          <w:color w:val="000000"/>
        </w:rPr>
        <w:t> </w:t>
      </w:r>
    </w:p>
    <w:p w:rsidR="00505AF3" w14:paraId="282AF6B6" w14:textId="77777777"/>
    <w:p w:rsidR="00505AF3" w14:paraId="13475FB0" w14:textId="77777777">
      <w:r>
        <w:rPr>
          <w:color w:val="000000"/>
        </w:rPr>
        <w:t>Multiple determinants contribute to increased risk for drug overdose and create barriers to recovery for Hispanic/Latinx individuals. Social and cultural factors include stigma in the Hispanic community linked to mental illness, and physicians</w:t>
      </w:r>
      <w:r>
        <w:t>’</w:t>
      </w:r>
      <w:r>
        <w:rPr>
          <w:color w:val="000000"/>
        </w:rPr>
        <w:t xml:space="preserve"> negative attitudes toward individuals with substance use disorders may prevent Hispanics from seeking care.</w:t>
      </w:r>
      <w:r>
        <w:rPr>
          <w:color w:val="000000"/>
          <w:vertAlign w:val="superscript"/>
        </w:rPr>
        <w:t xml:space="preserve">3 </w:t>
      </w:r>
      <w:r>
        <w:rPr>
          <w:color w:val="000000"/>
        </w:rPr>
        <w:t>These stigmas are likely exacerbated by the cultural, linguistic, access, and communication challenges Hispanic/Latinx populations experience in healthcare.</w:t>
      </w:r>
    </w:p>
    <w:p w:rsidR="00505AF3" w14:paraId="342EA5ED" w14:textId="77777777"/>
    <w:p w:rsidR="00505AF3" w14:paraId="7CA03768" w14:textId="77777777">
      <w:r>
        <w:rPr>
          <w:color w:val="000000"/>
        </w:rPr>
        <w:t>Even as overdose deaths increase in racial and ethnic minority groups, most opioid research has focused on white populations. Existing research on Hispanic/Latinx populations and drug use has identified gaps in opioid knowledge.</w:t>
      </w:r>
      <w:r>
        <w:rPr>
          <w:color w:val="000000"/>
          <w:vertAlign w:val="superscript"/>
        </w:rPr>
        <w:t>4</w:t>
      </w:r>
      <w:r>
        <w:rPr>
          <w:color w:val="000000"/>
        </w:rPr>
        <w:t xml:space="preserve"> Additionally, recent patterns in drug overdose deaths suggest disparities in the Hispanic/Latinx </w:t>
      </w:r>
      <w:r>
        <w:t>communities</w:t>
      </w:r>
      <w:r>
        <w:rPr>
          <w:color w:val="000000"/>
        </w:rPr>
        <w:t xml:space="preserve"> associated with gender, generation, and country or region of ethnicity.</w:t>
      </w:r>
      <w:r>
        <w:rPr>
          <w:color w:val="000000"/>
          <w:vertAlign w:val="superscript"/>
        </w:rPr>
        <w:t>5</w:t>
      </w:r>
      <w:r>
        <w:rPr>
          <w:color w:val="000000"/>
        </w:rPr>
        <w:t> Given the social, cultural, and linguistic nuances of Hispanic/Latinx audiences, message and concept testing is critical to ensure drug overdose prevention messages are clear, culturally appropriate, and impactful.</w:t>
      </w:r>
    </w:p>
    <w:p w:rsidR="00505AF3" w14:paraId="297A8778" w14:textId="77777777"/>
    <w:p w:rsidR="00505AF3" w14:paraId="5CABD5A4" w14:textId="77777777">
      <w:r>
        <w:rPr>
          <w:color w:val="000000"/>
        </w:rPr>
        <w:t>The data collected will be used to:</w:t>
      </w:r>
    </w:p>
    <w:p w:rsidR="00505AF3" w14:paraId="472FE69E" w14:textId="77777777">
      <w:pPr>
        <w:numPr>
          <w:ilvl w:val="0"/>
          <w:numId w:val="7"/>
        </w:numPr>
        <w:rPr>
          <w:color w:val="000000"/>
        </w:rPr>
      </w:pPr>
      <w:r>
        <w:rPr>
          <w:color w:val="000000"/>
        </w:rPr>
        <w:t>Refine messages for the drug overdose prevention campaigns for Hispanic/Latinx audiences.</w:t>
      </w:r>
    </w:p>
    <w:p w:rsidR="00505AF3" w14:paraId="13AF26C6" w14:textId="77777777">
      <w:pPr>
        <w:numPr>
          <w:ilvl w:val="0"/>
          <w:numId w:val="7"/>
        </w:numPr>
        <w:rPr>
          <w:color w:val="000000"/>
        </w:rPr>
      </w:pPr>
      <w:r>
        <w:rPr>
          <w:color w:val="000000"/>
        </w:rPr>
        <w:t>Support the development of culturally and linguistically tailored products for Hispanic/Latinx audiences. </w:t>
      </w:r>
    </w:p>
    <w:p w:rsidR="00505AF3" w14:paraId="416F3892" w14:textId="77777777">
      <w:pPr>
        <w:numPr>
          <w:ilvl w:val="0"/>
          <w:numId w:val="7"/>
        </w:numPr>
        <w:rPr>
          <w:color w:val="000000"/>
        </w:rPr>
      </w:pPr>
      <w:r>
        <w:rPr>
          <w:color w:val="000000"/>
        </w:rPr>
        <w:t xml:space="preserve">Ensure </w:t>
      </w:r>
      <w:r>
        <w:t>Spanish</w:t>
      </w:r>
      <w:r>
        <w:rPr>
          <w:color w:val="000000"/>
        </w:rPr>
        <w:t xml:space="preserve"> products meet the needs </w:t>
      </w:r>
      <w:r>
        <w:t>of</w:t>
      </w:r>
      <w:r>
        <w:rPr>
          <w:color w:val="000000"/>
        </w:rPr>
        <w:t xml:space="preserve"> Hispanic </w:t>
      </w:r>
      <w:r>
        <w:t>Spanish</w:t>
      </w:r>
      <w:r>
        <w:rPr>
          <w:color w:val="000000"/>
        </w:rPr>
        <w:t>-speaking monolingual and bilingual audiences</w:t>
      </w:r>
      <w:r>
        <w:t xml:space="preserve"> and</w:t>
      </w:r>
      <w:r>
        <w:rPr>
          <w:color w:val="000000"/>
        </w:rPr>
        <w:t xml:space="preserve"> inform the development of tailored Spanish products.</w:t>
      </w:r>
    </w:p>
    <w:p w:rsidR="00505AF3" w14:paraId="62DA0D2F" w14:textId="77777777"/>
    <w:p w:rsidR="00505AF3" w14:paraId="62389D3D" w14:textId="77777777">
      <w:r>
        <w:rPr>
          <w:color w:val="000000"/>
        </w:rPr>
        <w:t>The purpose of this project is to:</w:t>
      </w:r>
    </w:p>
    <w:p w:rsidR="00505AF3" w14:paraId="30F50CD8" w14:textId="77777777">
      <w:pPr>
        <w:numPr>
          <w:ilvl w:val="0"/>
          <w:numId w:val="8"/>
        </w:numPr>
        <w:rPr>
          <w:color w:val="000000"/>
        </w:rPr>
      </w:pPr>
      <w:r>
        <w:rPr>
          <w:color w:val="000000"/>
        </w:rPr>
        <w:t>Collect data about knowledge, attitudes, and beliefs of Hispanic/Latinx populations around drug use, misuse, and overdose.</w:t>
      </w:r>
    </w:p>
    <w:p w:rsidR="00505AF3" w14:paraId="43FA9296" w14:textId="77777777">
      <w:pPr>
        <w:numPr>
          <w:ilvl w:val="0"/>
          <w:numId w:val="8"/>
        </w:numPr>
        <w:rPr>
          <w:color w:val="000000"/>
        </w:rPr>
      </w:pPr>
      <w:r>
        <w:rPr>
          <w:color w:val="000000"/>
        </w:rPr>
        <w:t>Identify informational needs for materials, resources, and messaging, as well as optimal channels, trusted messengers, and touchpoints for receiving information.</w:t>
      </w:r>
    </w:p>
    <w:p w:rsidR="00505AF3" w14:paraId="7ED64F58" w14:textId="77777777">
      <w:pPr>
        <w:numPr>
          <w:ilvl w:val="0"/>
          <w:numId w:val="8"/>
        </w:numPr>
        <w:rPr>
          <w:rFonts w:ascii="Calibri" w:eastAsia="Calibri" w:hAnsi="Calibri" w:cs="Calibri"/>
          <w:color w:val="000000"/>
        </w:rPr>
      </w:pPr>
      <w:r>
        <w:rPr>
          <w:color w:val="000000"/>
        </w:rPr>
        <w:t>Test messages and concepts from DOP’s four campaigns.</w:t>
      </w:r>
      <w:r>
        <w:br/>
      </w:r>
      <w:r>
        <w:br/>
      </w:r>
    </w:p>
    <w:p w:rsidR="00505AF3" w14:paraId="7EAECE6A" w14:textId="77777777">
      <w:pPr>
        <w:widowControl w:val="0"/>
        <w:pBdr>
          <w:top w:val="nil"/>
          <w:left w:val="nil"/>
          <w:bottom w:val="nil"/>
          <w:right w:val="nil"/>
          <w:between w:val="nil"/>
        </w:pBdr>
        <w:tabs>
          <w:tab w:val="center" w:pos="4320"/>
          <w:tab w:val="right" w:pos="8640"/>
        </w:tabs>
        <w:rPr>
          <w:color w:val="000000"/>
          <w:sz w:val="22"/>
          <w:szCs w:val="22"/>
        </w:rPr>
      </w:pPr>
      <w:r>
        <w:rPr>
          <w:b/>
          <w:color w:val="000000"/>
          <w:sz w:val="22"/>
          <w:szCs w:val="22"/>
        </w:rPr>
        <w:t>DESCRIPTION OF RESPONDENTS</w:t>
      </w:r>
      <w:r>
        <w:rPr>
          <w:color w:val="000000"/>
          <w:sz w:val="22"/>
          <w:szCs w:val="22"/>
        </w:rPr>
        <w:t>:</w:t>
      </w:r>
    </w:p>
    <w:p w:rsidR="00505AF3" w14:paraId="1331A4A2" w14:textId="77777777">
      <w:pPr>
        <w:spacing w:line="276" w:lineRule="auto"/>
        <w:rPr>
          <w:sz w:val="22"/>
          <w:szCs w:val="22"/>
        </w:rPr>
      </w:pPr>
      <w:r>
        <w:rPr>
          <w:sz w:val="22"/>
          <w:szCs w:val="22"/>
        </w:rPr>
        <w:t>The primary audience is U.S. adults ages 18–64, who identify their ethnicity as Hispanic, are monolingual in Spanish or bilingual (English and Spanish). Participants will consist of general Hispanic audiences 18-64, Hispanic individuals ages 18-34 who use drugs, and Hispanic individuals who have family or friends who use drugs. This is a mixed-methods project and respondents will respond to either an online survey (N=1,000), an interview (N=10), or participate in a focus group (N=32). During focus groups, participants will be further segmented by preferred language usage.</w:t>
      </w:r>
    </w:p>
    <w:p w:rsidR="00505AF3" w14:paraId="72859285" w14:textId="77777777">
      <w:pPr>
        <w:spacing w:line="276" w:lineRule="auto"/>
        <w:rPr>
          <w:sz w:val="22"/>
          <w:szCs w:val="22"/>
        </w:rPr>
      </w:pPr>
    </w:p>
    <w:p w:rsidR="00505AF3" w14:paraId="0952F6F3" w14:textId="77777777">
      <w:pPr>
        <w:rPr>
          <w:b/>
          <w:sz w:val="22"/>
          <w:szCs w:val="22"/>
        </w:rPr>
      </w:pPr>
      <w:r>
        <w:rPr>
          <w:b/>
          <w:sz w:val="22"/>
          <w:szCs w:val="22"/>
        </w:rPr>
        <w:t xml:space="preserve">CERTIFICATION: </w:t>
      </w:r>
    </w:p>
    <w:p w:rsidR="00505AF3" w14:paraId="4ED87ADA" w14:textId="77777777">
      <w:pPr>
        <w:rPr>
          <w:color w:val="17365D"/>
          <w:sz w:val="22"/>
          <w:szCs w:val="22"/>
        </w:rPr>
      </w:pPr>
      <w:r>
        <w:rPr>
          <w:color w:val="17365D"/>
          <w:sz w:val="22"/>
          <w:szCs w:val="22"/>
        </w:rPr>
        <w:t xml:space="preserve">I certify the following to be true: </w:t>
      </w:r>
    </w:p>
    <w:p w:rsidR="00505AF3" w14:paraId="61EDEE56" w14:textId="77777777">
      <w:pPr>
        <w:numPr>
          <w:ilvl w:val="0"/>
          <w:numId w:val="5"/>
        </w:numPr>
        <w:pBdr>
          <w:top w:val="nil"/>
          <w:left w:val="nil"/>
          <w:bottom w:val="nil"/>
          <w:right w:val="nil"/>
          <w:between w:val="nil"/>
        </w:pBdr>
        <w:rPr>
          <w:color w:val="000000"/>
          <w:sz w:val="22"/>
          <w:szCs w:val="22"/>
        </w:rPr>
      </w:pPr>
      <w:r>
        <w:rPr>
          <w:color w:val="000000"/>
          <w:sz w:val="22"/>
          <w:szCs w:val="22"/>
        </w:rPr>
        <w:t xml:space="preserve">The collection is voluntary. </w:t>
      </w:r>
    </w:p>
    <w:p w:rsidR="00505AF3" w14:paraId="7FDD3DB8" w14:textId="77777777">
      <w:pPr>
        <w:numPr>
          <w:ilvl w:val="0"/>
          <w:numId w:val="5"/>
        </w:numPr>
        <w:pBdr>
          <w:top w:val="nil"/>
          <w:left w:val="nil"/>
          <w:bottom w:val="nil"/>
          <w:right w:val="nil"/>
          <w:between w:val="nil"/>
        </w:pBdr>
        <w:rPr>
          <w:color w:val="000000"/>
          <w:sz w:val="22"/>
          <w:szCs w:val="22"/>
        </w:rPr>
      </w:pPr>
      <w:r>
        <w:rPr>
          <w:color w:val="000000"/>
          <w:sz w:val="22"/>
          <w:szCs w:val="22"/>
        </w:rPr>
        <w:t>The collection is low burden for respondents and low-cost for the Federal Government.</w:t>
      </w:r>
    </w:p>
    <w:p w:rsidR="00505AF3" w14:paraId="6595ABEF" w14:textId="77777777">
      <w:pPr>
        <w:numPr>
          <w:ilvl w:val="0"/>
          <w:numId w:val="5"/>
        </w:numPr>
        <w:pBdr>
          <w:top w:val="nil"/>
          <w:left w:val="nil"/>
          <w:bottom w:val="nil"/>
          <w:right w:val="nil"/>
          <w:between w:val="nil"/>
        </w:pBdr>
        <w:rPr>
          <w:color w:val="000000"/>
          <w:sz w:val="22"/>
          <w:szCs w:val="22"/>
        </w:rPr>
      </w:pPr>
      <w:r>
        <w:rPr>
          <w:color w:val="000000"/>
          <w:sz w:val="22"/>
          <w:szCs w:val="22"/>
        </w:rPr>
        <w:t xml:space="preserve">The collection is non-controversial and does </w:t>
      </w:r>
      <w:r>
        <w:rPr>
          <w:color w:val="000000"/>
          <w:sz w:val="22"/>
          <w:szCs w:val="22"/>
          <w:u w:val="single"/>
        </w:rPr>
        <w:t>not</w:t>
      </w:r>
      <w:r>
        <w:rPr>
          <w:color w:val="000000"/>
          <w:sz w:val="22"/>
          <w:szCs w:val="22"/>
        </w:rPr>
        <w:t xml:space="preserve"> raise issues of concern to other federal agencies.</w:t>
      </w:r>
    </w:p>
    <w:p w:rsidR="00505AF3" w14:paraId="39F1E5D6" w14:textId="77777777">
      <w:pPr>
        <w:numPr>
          <w:ilvl w:val="0"/>
          <w:numId w:val="5"/>
        </w:numPr>
        <w:pBdr>
          <w:top w:val="nil"/>
          <w:left w:val="nil"/>
          <w:bottom w:val="nil"/>
          <w:right w:val="nil"/>
          <w:between w:val="nil"/>
        </w:pBdr>
        <w:rPr>
          <w:color w:val="000000"/>
          <w:sz w:val="22"/>
          <w:szCs w:val="22"/>
        </w:rPr>
      </w:pPr>
      <w:r>
        <w:rPr>
          <w:color w:val="000000"/>
          <w:sz w:val="22"/>
          <w:szCs w:val="22"/>
        </w:rPr>
        <w:t xml:space="preserve">Information gathered will not be used to substantially inform influential policy decisions. </w:t>
      </w:r>
    </w:p>
    <w:p w:rsidR="00505AF3" w14:paraId="100B1FCE" w14:textId="77777777">
      <w:pPr>
        <w:numPr>
          <w:ilvl w:val="0"/>
          <w:numId w:val="5"/>
        </w:numPr>
        <w:pBdr>
          <w:top w:val="nil"/>
          <w:left w:val="nil"/>
          <w:bottom w:val="nil"/>
          <w:right w:val="nil"/>
          <w:between w:val="nil"/>
        </w:pBdr>
        <w:rPr>
          <w:color w:val="000000"/>
          <w:sz w:val="22"/>
          <w:szCs w:val="22"/>
        </w:rPr>
      </w:pPr>
      <w:r>
        <w:rPr>
          <w:color w:val="000000"/>
          <w:sz w:val="22"/>
          <w:szCs w:val="22"/>
        </w:rPr>
        <w:t>The study is not intended to produce results that can be generalized beyond its scope.</w:t>
      </w:r>
    </w:p>
    <w:p w:rsidR="00505AF3" w14:paraId="15CFEC3E" w14:textId="77777777">
      <w:pPr>
        <w:rPr>
          <w:sz w:val="22"/>
          <w:szCs w:val="22"/>
        </w:rPr>
      </w:pPr>
      <w:r>
        <w:t xml:space="preserve">     </w:t>
      </w:r>
      <w:r>
        <w:rPr>
          <w:sz w:val="22"/>
          <w:szCs w:val="22"/>
        </w:rPr>
        <w:t>Name: ___</w:t>
      </w:r>
      <w:r>
        <w:rPr>
          <w:rFonts w:ascii="Baguet Script" w:eastAsia="Baguet Script" w:hAnsi="Baguet Script" w:cs="Baguet Script"/>
          <w:color w:val="366091"/>
          <w:sz w:val="22"/>
          <w:szCs w:val="22"/>
        </w:rPr>
        <w:t>Brittany Curtis</w:t>
      </w:r>
      <w:r>
        <w:rPr>
          <w:color w:val="366091"/>
          <w:sz w:val="22"/>
          <w:szCs w:val="22"/>
        </w:rPr>
        <w:t xml:space="preserve"> </w:t>
      </w:r>
      <w:r>
        <w:rPr>
          <w:sz w:val="22"/>
          <w:szCs w:val="22"/>
        </w:rPr>
        <w:t>_________________________________</w:t>
      </w:r>
    </w:p>
    <w:p w:rsidR="00505AF3" w14:paraId="64A6C829" w14:textId="77777777">
      <w:pPr>
        <w:rPr>
          <w:sz w:val="22"/>
          <w:szCs w:val="22"/>
        </w:rPr>
      </w:pPr>
      <w:r>
        <w:rPr>
          <w:sz w:val="22"/>
          <w:szCs w:val="22"/>
        </w:rPr>
        <w:t>To assist review, please answer the following questions:</w:t>
      </w:r>
    </w:p>
    <w:p w:rsidR="00505AF3" w14:paraId="6D59AB3A" w14:textId="77777777">
      <w:pPr>
        <w:rPr>
          <w:b/>
          <w:sz w:val="22"/>
          <w:szCs w:val="22"/>
        </w:rPr>
      </w:pPr>
    </w:p>
    <w:p w:rsidR="00505AF3" w14:paraId="240AC436" w14:textId="77777777">
      <w:pPr>
        <w:rPr>
          <w:b/>
          <w:sz w:val="22"/>
          <w:szCs w:val="22"/>
        </w:rPr>
      </w:pPr>
      <w:r>
        <w:rPr>
          <w:b/>
          <w:sz w:val="22"/>
          <w:szCs w:val="22"/>
        </w:rPr>
        <w:t>Personally Identifiable Information:</w:t>
      </w:r>
    </w:p>
    <w:p w:rsidR="00505AF3" w14:paraId="4C161413" w14:textId="77777777">
      <w:pPr>
        <w:numPr>
          <w:ilvl w:val="0"/>
          <w:numId w:val="3"/>
        </w:numPr>
        <w:pBdr>
          <w:top w:val="nil"/>
          <w:left w:val="nil"/>
          <w:bottom w:val="nil"/>
          <w:right w:val="nil"/>
          <w:between w:val="nil"/>
        </w:pBdr>
        <w:rPr>
          <w:color w:val="000000"/>
          <w:sz w:val="22"/>
          <w:szCs w:val="22"/>
        </w:rPr>
      </w:pPr>
      <w:r>
        <w:rPr>
          <w:color w:val="000000"/>
          <w:sz w:val="22"/>
          <w:szCs w:val="22"/>
        </w:rPr>
        <w:t>Is personally identifiable information (PII) collected?  [</w:t>
      </w:r>
      <w:r>
        <w:rPr>
          <w:color w:val="000000"/>
          <w:sz w:val="22"/>
          <w:szCs w:val="22"/>
        </w:rPr>
        <w:t>X ]</w:t>
      </w:r>
      <w:r>
        <w:rPr>
          <w:color w:val="000000"/>
          <w:sz w:val="22"/>
          <w:szCs w:val="22"/>
        </w:rPr>
        <w:t xml:space="preserve"> Yes  [ ]  No </w:t>
      </w:r>
    </w:p>
    <w:p w:rsidR="00505AF3" w14:paraId="060CE92F" w14:textId="77777777">
      <w:pPr>
        <w:numPr>
          <w:ilvl w:val="0"/>
          <w:numId w:val="3"/>
        </w:numPr>
        <w:pBdr>
          <w:top w:val="nil"/>
          <w:left w:val="nil"/>
          <w:bottom w:val="nil"/>
          <w:right w:val="nil"/>
          <w:between w:val="nil"/>
        </w:pBdr>
        <w:rPr>
          <w:color w:val="000000"/>
          <w:sz w:val="22"/>
          <w:szCs w:val="22"/>
        </w:rPr>
      </w:pPr>
      <w:r>
        <w:rPr>
          <w:color w:val="000000"/>
          <w:sz w:val="22"/>
          <w:szCs w:val="22"/>
        </w:rPr>
        <w:t xml:space="preserve">If </w:t>
      </w:r>
      <w:r>
        <w:rPr>
          <w:color w:val="000000"/>
          <w:sz w:val="22"/>
          <w:szCs w:val="22"/>
        </w:rPr>
        <w:t>Yes</w:t>
      </w:r>
      <w:r>
        <w:rPr>
          <w:color w:val="000000"/>
          <w:sz w:val="22"/>
          <w:szCs w:val="22"/>
        </w:rPr>
        <w:t xml:space="preserve">, is the information that will be collected included in records that are subject to the Privacy Act of 1974?   </w:t>
      </w:r>
      <w:r>
        <w:rPr>
          <w:color w:val="000000"/>
          <w:sz w:val="22"/>
          <w:szCs w:val="22"/>
        </w:rPr>
        <w:t>[  ]</w:t>
      </w:r>
      <w:r>
        <w:rPr>
          <w:color w:val="000000"/>
          <w:sz w:val="22"/>
          <w:szCs w:val="22"/>
        </w:rPr>
        <w:t xml:space="preserve"> Yes [ X ] No  </w:t>
      </w:r>
    </w:p>
    <w:p w:rsidR="00505AF3" w14:paraId="385A601B" w14:textId="77777777">
      <w:pPr>
        <w:numPr>
          <w:ilvl w:val="0"/>
          <w:numId w:val="3"/>
        </w:numPr>
        <w:pBdr>
          <w:top w:val="nil"/>
          <w:left w:val="nil"/>
          <w:bottom w:val="nil"/>
          <w:right w:val="nil"/>
          <w:between w:val="nil"/>
        </w:pBdr>
        <w:rPr>
          <w:color w:val="000000"/>
          <w:sz w:val="22"/>
          <w:szCs w:val="22"/>
        </w:rPr>
      </w:pPr>
      <w:r>
        <w:rPr>
          <w:color w:val="000000"/>
          <w:sz w:val="22"/>
          <w:szCs w:val="22"/>
        </w:rPr>
        <w:t xml:space="preserve">If Applicable, has a System or Records Notice been published?  </w:t>
      </w:r>
      <w:r>
        <w:rPr>
          <w:color w:val="000000"/>
          <w:sz w:val="22"/>
          <w:szCs w:val="22"/>
        </w:rPr>
        <w:t>[  ]</w:t>
      </w:r>
      <w:r>
        <w:rPr>
          <w:color w:val="000000"/>
          <w:sz w:val="22"/>
          <w:szCs w:val="22"/>
        </w:rPr>
        <w:t xml:space="preserve"> Yes [ </w:t>
      </w:r>
      <w:r>
        <w:rPr>
          <w:sz w:val="22"/>
          <w:szCs w:val="22"/>
        </w:rPr>
        <w:t>X</w:t>
      </w:r>
      <w:r>
        <w:rPr>
          <w:color w:val="000000"/>
          <w:sz w:val="22"/>
          <w:szCs w:val="22"/>
        </w:rPr>
        <w:t xml:space="preserve"> ] No</w:t>
      </w:r>
    </w:p>
    <w:p w:rsidR="00505AF3" w14:paraId="7E25AFD7" w14:textId="77777777">
      <w:pPr>
        <w:pBdr>
          <w:top w:val="nil"/>
          <w:left w:val="nil"/>
          <w:bottom w:val="nil"/>
          <w:right w:val="nil"/>
          <w:between w:val="nil"/>
        </w:pBdr>
        <w:rPr>
          <w:b/>
          <w:color w:val="000000"/>
          <w:sz w:val="22"/>
          <w:szCs w:val="22"/>
        </w:rPr>
      </w:pPr>
    </w:p>
    <w:p w:rsidR="00505AF3" w14:paraId="06D7C89D" w14:textId="77777777">
      <w:pPr>
        <w:pBdr>
          <w:top w:val="nil"/>
          <w:left w:val="nil"/>
          <w:bottom w:val="nil"/>
          <w:right w:val="nil"/>
          <w:between w:val="nil"/>
        </w:pBdr>
        <w:rPr>
          <w:b/>
          <w:color w:val="000000"/>
          <w:sz w:val="22"/>
          <w:szCs w:val="22"/>
        </w:rPr>
      </w:pPr>
      <w:r>
        <w:rPr>
          <w:b/>
          <w:color w:val="000000"/>
          <w:sz w:val="22"/>
          <w:szCs w:val="22"/>
        </w:rPr>
        <w:t>Gifts or Payments:</w:t>
      </w:r>
    </w:p>
    <w:p w:rsidR="00505AF3" w14:paraId="1F37EC1B" w14:textId="77777777">
      <w:pPr>
        <w:rPr>
          <w:sz w:val="22"/>
          <w:szCs w:val="22"/>
        </w:rPr>
      </w:pPr>
      <w:r>
        <w:rPr>
          <w:sz w:val="22"/>
          <w:szCs w:val="22"/>
        </w:rPr>
        <w:t xml:space="preserve">Is an incentive (e.g., money or reimbursement of expenses, token of appreciation) provided to participants?  [ </w:t>
      </w:r>
      <w:r>
        <w:rPr>
          <w:sz w:val="22"/>
          <w:szCs w:val="22"/>
        </w:rPr>
        <w:t>X ]</w:t>
      </w:r>
      <w:r>
        <w:rPr>
          <w:sz w:val="22"/>
          <w:szCs w:val="22"/>
        </w:rPr>
        <w:t xml:space="preserve"> Yes [  ] No</w:t>
      </w:r>
    </w:p>
    <w:p w:rsidR="00505AF3" w14:paraId="3F697CB5" w14:textId="77777777">
      <w:pPr>
        <w:rPr>
          <w:sz w:val="22"/>
          <w:szCs w:val="22"/>
        </w:rPr>
      </w:pPr>
    </w:p>
    <w:p w:rsidR="00505AF3" w14:paraId="4CE20EBC" w14:textId="77777777">
      <w:pPr>
        <w:spacing w:after="200" w:line="276" w:lineRule="auto"/>
        <w:rPr>
          <w:sz w:val="22"/>
          <w:szCs w:val="22"/>
        </w:rPr>
      </w:pPr>
      <w:r>
        <w:rPr>
          <w:sz w:val="22"/>
          <w:szCs w:val="22"/>
        </w:rPr>
        <w:t>This project consists of both quantitative and qualitative data collection. Participants in each will receive a token of appreciation to participants.</w:t>
      </w:r>
    </w:p>
    <w:p w:rsidR="00505AF3" w14:paraId="175C1A1E" w14:textId="77777777">
      <w:pPr>
        <w:spacing w:after="200" w:line="276" w:lineRule="auto"/>
        <w:rPr>
          <w:sz w:val="22"/>
          <w:szCs w:val="22"/>
        </w:rPr>
      </w:pPr>
      <w:r>
        <w:rPr>
          <w:sz w:val="22"/>
          <w:szCs w:val="22"/>
        </w:rPr>
        <w:t xml:space="preserve">For the online survey, no tokens of appreciation will be provided directly through this project. The surveys will be conducted through survey panels by a vendor, SurveyMonkey. As part of Survey Monkey’s panel program, they provide respondents with tokens of appreciation in two ways, offering a charity donation or credits toward an Amazon gift card. </w:t>
      </w:r>
    </w:p>
    <w:p w:rsidR="00505AF3" w14:paraId="43629FE1" w14:textId="00404B77">
      <w:pPr>
        <w:spacing w:after="200" w:line="276" w:lineRule="auto"/>
        <w:rPr>
          <w:sz w:val="22"/>
          <w:szCs w:val="22"/>
        </w:rPr>
      </w:pPr>
      <w:r>
        <w:rPr>
          <w:sz w:val="22"/>
          <w:szCs w:val="22"/>
        </w:rPr>
        <w:t>For the qualitative data collection, the project team will conduct 10, 60-minute interviews with individuals who use drugs and four (4) 90-minute focus groups. Participants of focus groups will receive a $1</w:t>
      </w:r>
      <w:r w:rsidR="005F0A20">
        <w:rPr>
          <w:sz w:val="22"/>
          <w:szCs w:val="22"/>
        </w:rPr>
        <w:t>00</w:t>
      </w:r>
      <w:r>
        <w:rPr>
          <w:sz w:val="22"/>
          <w:szCs w:val="22"/>
        </w:rPr>
        <w:t xml:space="preserve"> token of appreciation and interviewees will receive a $</w:t>
      </w:r>
      <w:r w:rsidR="005F0A20">
        <w:t>1</w:t>
      </w:r>
      <w:r>
        <w:t>00</w:t>
      </w:r>
      <w:r>
        <w:rPr>
          <w:sz w:val="22"/>
          <w:szCs w:val="22"/>
        </w:rPr>
        <w:t xml:space="preserve"> token of appreciation. Multiple studies using a variety of data collection methodologies have shown that offering incentives increases participation rates. (See References 6-12.) </w:t>
      </w:r>
    </w:p>
    <w:p w:rsidR="00505AF3" w14:paraId="399C504F" w14:textId="77777777">
      <w:pPr>
        <w:spacing w:after="200" w:line="276" w:lineRule="auto"/>
        <w:rPr>
          <w:sz w:val="22"/>
          <w:szCs w:val="22"/>
        </w:rPr>
      </w:pPr>
      <w:r>
        <w:rPr>
          <w:sz w:val="22"/>
          <w:szCs w:val="22"/>
        </w:rPr>
        <w:t xml:space="preserve">Based on our experience with this audience and this topic, this amount of incentive is necessary for recruitment. Illegal drug use is a highly sensitive topic, particularly among Hispanic/Latinx individuals, and this incentive will be necessary to recruit sufficient Spanish-speaking and bilingual individuals. In the contractor’s experience recruiting Hispanic/Latinx populations, negative social </w:t>
      </w:r>
      <w:r>
        <w:rPr>
          <w:sz w:val="22"/>
          <w:szCs w:val="22"/>
        </w:rPr>
        <w:t>factors</w:t>
      </w:r>
      <w:r>
        <w:rPr>
          <w:sz w:val="22"/>
          <w:szCs w:val="22"/>
        </w:rPr>
        <w:t xml:space="preserve"> and perceptions, </w:t>
      </w:r>
      <w:r>
        <w:rPr>
          <w:sz w:val="22"/>
          <w:szCs w:val="22"/>
        </w:rPr>
        <w:t>including concerns around immigration status, cultural stigma, and fear of sharing information with or reprisals from government entities or legal authorities often deter participation in such projects.</w:t>
      </w:r>
    </w:p>
    <w:p w:rsidR="00505AF3" w14:paraId="3CC1AACF" w14:textId="77777777">
      <w:pPr>
        <w:spacing w:after="200" w:line="276" w:lineRule="auto"/>
        <w:rPr>
          <w:sz w:val="22"/>
          <w:szCs w:val="22"/>
        </w:rPr>
      </w:pPr>
      <w:r>
        <w:rPr>
          <w:sz w:val="22"/>
          <w:szCs w:val="22"/>
        </w:rPr>
        <w:t>Reviewed literature revealed the use of tokens can provide significant advantages to the government in terms of direct cost savings and improved data quality. (See References 6-12) It also should be noted that message testing is a marketing technique, and it is a standard practice among commercial market researchers to offer incentives as part of respondent recruitment. Previous experience has shown that lower incentive levels can lead to difficult recruitment within the timeframe available for the research, resulting in lower-than-desired participation numbers. In response to offering this incentive level, respondents are much more likely to honor their commitment to participating in the focus groups. Lower incentive amounts could lead to inadequate participation, delayed results, and/or higher recruiting costs and burden to the public due to the need for additional screening.</w:t>
      </w:r>
    </w:p>
    <w:p w:rsidR="00505AF3" w14:paraId="6CC2A54F" w14:textId="77777777">
      <w:pPr>
        <w:spacing w:after="200" w:line="276" w:lineRule="auto"/>
      </w:pPr>
      <w:r>
        <w:rPr>
          <w:sz w:val="22"/>
          <w:szCs w:val="22"/>
        </w:rPr>
        <w:t>The provision of</w:t>
      </w:r>
      <w:r>
        <w:t xml:space="preserve"> appropriate tokens of appreciation also addresses health equity in this project by improving the chances for underserved populations, in this case, Hispanic/Latinx Spanish-speaking and bilingual populations to participate in such research projects. Improving participation also increases the government's efficiency in data collection, reduces redundancies for future efforts, and advances health equity goals. Factors that contribute to the inability for Hispanic populations to participate in such projects are </w:t>
      </w:r>
      <w:r>
        <w:t>similar to</w:t>
      </w:r>
      <w:r>
        <w:t xml:space="preserve"> the factors that contribute to drug use and reduced use of drug treatment or recovery services: Hispanics are more likely to be of low socioeconomic status and they experience unique cultural and language barriers, challenges round citizenship status, and stigma around drugs. Having insufficient representation from this subgroup of Hispanic audiences on these critical topics means their perspectives are not included in message development and results in a lack of effective messaging for Hispanic Americans to help reduce deaths from overdose.</w:t>
      </w:r>
    </w:p>
    <w:p w:rsidR="00505AF3" w14:paraId="024CA6F0" w14:textId="77777777">
      <w:pPr>
        <w:spacing w:after="200" w:line="276" w:lineRule="auto"/>
      </w:pPr>
      <w:r>
        <w:t xml:space="preserve">The stated tokens of appreciation are appropriate because, for low-income groups, their social-economic situation makes it harder for them to take off from or miss work to participate in such projects. And though the groups are virtual, U.S. Bureau of Labor finds that less than 1 in 6 (16%) Hispanics </w:t>
      </w:r>
      <w:r>
        <w:t>are able to</w:t>
      </w:r>
      <w:r>
        <w:t xml:space="preserve"> work from home as compared to 3 in 10 (30%) of their white counterparts; and high-wage workers are six times as likely to work from home as low-wage workers (Reference 13).</w:t>
      </w:r>
    </w:p>
    <w:p w:rsidR="00505AF3" w14:paraId="51ACF391" w14:textId="77777777">
      <w:pPr>
        <w:rPr>
          <w:sz w:val="22"/>
          <w:szCs w:val="22"/>
        </w:rPr>
      </w:pPr>
      <w:r>
        <w:rPr>
          <w:b/>
          <w:sz w:val="22"/>
          <w:szCs w:val="22"/>
        </w:rPr>
        <w:t>BURDEN HOURS</w:t>
      </w:r>
    </w:p>
    <w:p w:rsidR="00505AF3" w14:paraId="7308EC39" w14:textId="77777777">
      <w:pPr>
        <w:rPr>
          <w:i/>
          <w:sz w:val="22"/>
          <w:szCs w:val="22"/>
        </w:rPr>
      </w:pPr>
    </w:p>
    <w:tbl>
      <w:tblPr>
        <w:tblStyle w:val="a7"/>
        <w:tblW w:w="8250" w:type="dxa"/>
        <w:tblBorders>
          <w:top w:val="nil"/>
          <w:left w:val="nil"/>
          <w:bottom w:val="nil"/>
          <w:right w:val="nil"/>
          <w:insideH w:val="nil"/>
          <w:insideV w:val="nil"/>
        </w:tblBorders>
        <w:tblLayout w:type="fixed"/>
        <w:tblLook w:val="0600"/>
      </w:tblPr>
      <w:tblGrid>
        <w:gridCol w:w="1500"/>
        <w:gridCol w:w="2100"/>
        <w:gridCol w:w="1500"/>
        <w:gridCol w:w="1500"/>
        <w:gridCol w:w="1650"/>
      </w:tblGrid>
      <w:tr w14:paraId="5F5556DB" w14:textId="77777777">
        <w:tblPrEx>
          <w:tblW w:w="8250" w:type="dxa"/>
          <w:tblBorders>
            <w:top w:val="nil"/>
            <w:left w:val="nil"/>
            <w:bottom w:val="nil"/>
            <w:right w:val="nil"/>
            <w:insideH w:val="nil"/>
            <w:insideV w:val="nil"/>
          </w:tblBorders>
          <w:tblLayout w:type="fixed"/>
          <w:tblLook w:val="0600"/>
        </w:tblPrEx>
        <w:trPr>
          <w:trHeight w:val="915"/>
        </w:trPr>
        <w:tc>
          <w:tcPr>
            <w:tcW w:w="1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385B42CA" w14:textId="6129D545">
            <w:pPr>
              <w:widowControl w:val="0"/>
              <w:spacing w:line="276" w:lineRule="auto"/>
              <w:rPr>
                <w:rFonts w:ascii="Arial" w:eastAsia="Arial" w:hAnsi="Arial" w:cs="Arial"/>
                <w:sz w:val="20"/>
                <w:szCs w:val="20"/>
              </w:rPr>
            </w:pPr>
            <w:r>
              <w:rPr>
                <w:b/>
              </w:rPr>
              <w:t>Category of Respondent</w:t>
            </w:r>
          </w:p>
        </w:tc>
        <w:tc>
          <w:tcPr>
            <w:tcW w:w="21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201E116E" w14:textId="6F627061">
            <w:pPr>
              <w:widowControl w:val="0"/>
              <w:spacing w:line="276" w:lineRule="auto"/>
              <w:rPr>
                <w:rFonts w:ascii="Arial" w:eastAsia="Arial" w:hAnsi="Arial" w:cs="Arial"/>
                <w:sz w:val="20"/>
                <w:szCs w:val="20"/>
              </w:rPr>
            </w:pPr>
            <w:r>
              <w:rPr>
                <w:b/>
              </w:rPr>
              <w:t>Form Name</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3C8F7ED4" w14:textId="43185D40">
            <w:pPr>
              <w:widowControl w:val="0"/>
              <w:spacing w:line="276" w:lineRule="auto"/>
              <w:rPr>
                <w:rFonts w:ascii="Arial" w:eastAsia="Arial" w:hAnsi="Arial" w:cs="Arial"/>
                <w:sz w:val="20"/>
                <w:szCs w:val="20"/>
              </w:rPr>
            </w:pPr>
            <w:r>
              <w:rPr>
                <w:b/>
              </w:rPr>
              <w:t>No. of Respondents</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68016AFF" w14:textId="59A22ADE">
            <w:pPr>
              <w:widowControl w:val="0"/>
              <w:spacing w:line="276" w:lineRule="auto"/>
              <w:rPr>
                <w:rFonts w:ascii="Arial" w:eastAsia="Arial" w:hAnsi="Arial" w:cs="Arial"/>
                <w:sz w:val="20"/>
                <w:szCs w:val="20"/>
              </w:rPr>
            </w:pPr>
            <w:r>
              <w:rPr>
                <w:b/>
              </w:rPr>
              <w:t>Participation Time (minutes)</w:t>
            </w:r>
          </w:p>
        </w:tc>
        <w:tc>
          <w:tcPr>
            <w:tcW w:w="16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1972ACA1" w14:textId="2F98E9A5">
            <w:pPr>
              <w:widowControl w:val="0"/>
              <w:spacing w:line="276" w:lineRule="auto"/>
              <w:rPr>
                <w:rFonts w:ascii="Arial" w:eastAsia="Arial" w:hAnsi="Arial" w:cs="Arial"/>
                <w:sz w:val="20"/>
                <w:szCs w:val="20"/>
              </w:rPr>
            </w:pPr>
            <w:r>
              <w:t>Burden in Hours</w:t>
            </w:r>
          </w:p>
        </w:tc>
      </w:tr>
      <w:tr w14:paraId="66E89593" w14:textId="77777777">
        <w:tblPrEx>
          <w:tblW w:w="8250" w:type="dxa"/>
          <w:tblLayout w:type="fixed"/>
          <w:tblLook w:val="0600"/>
        </w:tblPrEx>
        <w:trPr>
          <w:trHeight w:val="36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67F1FC81" w14:textId="010A7A21">
            <w:pPr>
              <w:widowControl w:val="0"/>
              <w:spacing w:line="276" w:lineRule="auto"/>
              <w:rPr>
                <w:rFonts w:ascii="Arial" w:eastAsia="Arial" w:hAnsi="Arial" w:cs="Arial"/>
                <w:sz w:val="20"/>
                <w:szCs w:val="20"/>
              </w:rPr>
            </w:pPr>
            <w:r>
              <w:t>Individual</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4970BEC0" w14:textId="7E81711C">
            <w:pPr>
              <w:widowControl w:val="0"/>
              <w:spacing w:line="276" w:lineRule="auto"/>
              <w:rPr>
                <w:rFonts w:ascii="Arial" w:eastAsia="Arial" w:hAnsi="Arial" w:cs="Arial"/>
                <w:sz w:val="20"/>
                <w:szCs w:val="20"/>
              </w:rPr>
            </w:pPr>
            <w:r>
              <w:t>Invitation to Survey</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05AF3" w14:paraId="05529615" w14:textId="358F70FF">
            <w:pPr>
              <w:widowControl w:val="0"/>
              <w:spacing w:line="276" w:lineRule="auto"/>
              <w:rPr>
                <w:rFonts w:ascii="Arial" w:eastAsia="Arial" w:hAnsi="Arial" w:cs="Arial"/>
                <w:sz w:val="20"/>
                <w:szCs w:val="20"/>
              </w:rPr>
            </w:pPr>
            <w:r>
              <w:t>1,250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4C545E4C" w14:textId="7F1256A1">
            <w:pPr>
              <w:widowControl w:val="0"/>
              <w:spacing w:line="276" w:lineRule="auto"/>
              <w:rPr>
                <w:rFonts w:ascii="Arial" w:eastAsia="Arial" w:hAnsi="Arial" w:cs="Arial"/>
                <w:sz w:val="20"/>
                <w:szCs w:val="20"/>
              </w:rPr>
            </w:pPr>
            <w:r>
              <w:t>1/60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5BB26C10" w14:textId="25BFC744">
            <w:pPr>
              <w:widowControl w:val="0"/>
              <w:spacing w:line="276" w:lineRule="auto"/>
              <w:jc w:val="right"/>
              <w:rPr>
                <w:rFonts w:ascii="Arial" w:eastAsia="Arial" w:hAnsi="Arial" w:cs="Arial"/>
                <w:sz w:val="20"/>
                <w:szCs w:val="20"/>
              </w:rPr>
            </w:pPr>
            <w:r>
              <w:t>21</w:t>
            </w:r>
          </w:p>
        </w:tc>
      </w:tr>
      <w:tr w14:paraId="48CD80FF" w14:textId="77777777">
        <w:tblPrEx>
          <w:tblW w:w="8250" w:type="dxa"/>
          <w:tblLayout w:type="fixed"/>
          <w:tblLook w:val="0600"/>
        </w:tblPrEx>
        <w:trPr>
          <w:trHeight w:val="36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03BF1A99" w14:textId="60DDFEF3">
            <w:pPr>
              <w:widowControl w:val="0"/>
              <w:spacing w:line="276" w:lineRule="auto"/>
              <w:rPr>
                <w:rFonts w:ascii="Arial" w:eastAsia="Arial" w:hAnsi="Arial" w:cs="Arial"/>
                <w:sz w:val="20"/>
                <w:szCs w:val="20"/>
              </w:rPr>
            </w:pPr>
            <w:r>
              <w:t>Individual</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556C0C2A" w14:textId="5719F42F">
            <w:pPr>
              <w:widowControl w:val="0"/>
              <w:spacing w:line="276" w:lineRule="auto"/>
              <w:rPr>
                <w:rFonts w:ascii="Arial" w:eastAsia="Arial" w:hAnsi="Arial" w:cs="Arial"/>
                <w:sz w:val="20"/>
                <w:szCs w:val="20"/>
              </w:rPr>
            </w:pPr>
            <w:r>
              <w:t>Online Survey</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2D1B8405" w14:textId="26213300">
            <w:pPr>
              <w:widowControl w:val="0"/>
              <w:spacing w:line="276" w:lineRule="auto"/>
              <w:rPr>
                <w:rFonts w:ascii="Arial" w:eastAsia="Arial" w:hAnsi="Arial" w:cs="Arial"/>
                <w:sz w:val="20"/>
                <w:szCs w:val="20"/>
              </w:rPr>
            </w:pPr>
            <w:r>
              <w:t>1,000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13A488B7" w14:textId="0F7D8279">
            <w:pPr>
              <w:widowControl w:val="0"/>
              <w:spacing w:line="276" w:lineRule="auto"/>
              <w:rPr>
                <w:rFonts w:ascii="Arial" w:eastAsia="Arial" w:hAnsi="Arial" w:cs="Arial"/>
                <w:sz w:val="20"/>
                <w:szCs w:val="20"/>
              </w:rPr>
            </w:pPr>
            <w:r>
              <w:t>15/60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2A1D803E" w14:textId="68A5E26B">
            <w:pPr>
              <w:widowControl w:val="0"/>
              <w:spacing w:line="276" w:lineRule="auto"/>
              <w:jc w:val="right"/>
              <w:rPr>
                <w:rFonts w:ascii="Arial" w:eastAsia="Arial" w:hAnsi="Arial" w:cs="Arial"/>
                <w:sz w:val="20"/>
                <w:szCs w:val="20"/>
              </w:rPr>
            </w:pPr>
            <w:r>
              <w:t>250</w:t>
            </w:r>
          </w:p>
        </w:tc>
      </w:tr>
      <w:tr w14:paraId="6F825C6C" w14:textId="77777777">
        <w:tblPrEx>
          <w:tblW w:w="8250" w:type="dxa"/>
          <w:tblLayout w:type="fixed"/>
          <w:tblLook w:val="0600"/>
        </w:tblPrEx>
        <w:trPr>
          <w:trHeight w:val="63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0EDA9281" w14:textId="17D8F4B0">
            <w:pPr>
              <w:widowControl w:val="0"/>
              <w:spacing w:line="276" w:lineRule="auto"/>
              <w:rPr>
                <w:rFonts w:ascii="Arial" w:eastAsia="Arial" w:hAnsi="Arial" w:cs="Arial"/>
                <w:sz w:val="20"/>
                <w:szCs w:val="20"/>
              </w:rPr>
            </w:pPr>
            <w:r>
              <w:t>Individual</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7233067F" w14:textId="29A1D51F">
            <w:pPr>
              <w:widowControl w:val="0"/>
              <w:spacing w:line="276" w:lineRule="auto"/>
              <w:rPr>
                <w:rFonts w:ascii="Arial" w:eastAsia="Arial" w:hAnsi="Arial" w:cs="Arial"/>
                <w:sz w:val="20"/>
                <w:szCs w:val="20"/>
              </w:rPr>
            </w:pPr>
            <w:r>
              <w:t xml:space="preserve">Eligibility </w:t>
            </w:r>
            <w:r>
              <w:t>Screener_Qual</w:t>
            </w:r>
            <w:r w:rsidR="00F806AB">
              <w:t xml:space="preserve"> </w:t>
            </w:r>
            <w:r w:rsidRPr="004172E2" w:rsidR="00F806AB">
              <w:t>(</w:t>
            </w:r>
            <w:r w:rsidRPr="004172E2" w:rsidR="00CE39C1">
              <w:t xml:space="preserve">Completed Online, </w:t>
            </w:r>
            <w:r w:rsidRPr="004172E2" w:rsidR="00CE39C1">
              <w:t>i</w:t>
            </w:r>
            <w:r w:rsidRPr="004172E2" w:rsidR="00F806AB">
              <w:t>tems 1-11</w:t>
            </w:r>
            <w:r w:rsidRPr="004172E2" w:rsidR="00CE39C1">
              <w:t>)</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2A8D39B6" w14:textId="2AB69EBF">
            <w:pPr>
              <w:widowControl w:val="0"/>
              <w:spacing w:line="276" w:lineRule="auto"/>
              <w:rPr>
                <w:rFonts w:ascii="Arial" w:eastAsia="Arial" w:hAnsi="Arial" w:cs="Arial"/>
                <w:sz w:val="20"/>
                <w:szCs w:val="20"/>
              </w:rPr>
            </w:pPr>
            <w:r>
              <w:t>250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06EBD376" w14:textId="217096C3">
            <w:pPr>
              <w:widowControl w:val="0"/>
              <w:spacing w:line="276" w:lineRule="auto"/>
              <w:rPr>
                <w:rFonts w:ascii="Arial" w:eastAsia="Arial" w:hAnsi="Arial" w:cs="Arial"/>
                <w:sz w:val="20"/>
                <w:szCs w:val="20"/>
              </w:rPr>
            </w:pPr>
            <w:r>
              <w:t>5/60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201C0F44" w14:textId="5FC9FC3A">
            <w:pPr>
              <w:widowControl w:val="0"/>
              <w:spacing w:line="276" w:lineRule="auto"/>
              <w:jc w:val="right"/>
              <w:rPr>
                <w:rFonts w:ascii="Arial" w:eastAsia="Arial" w:hAnsi="Arial" w:cs="Arial"/>
                <w:sz w:val="20"/>
                <w:szCs w:val="20"/>
              </w:rPr>
            </w:pPr>
            <w:r>
              <w:t>21</w:t>
            </w:r>
          </w:p>
        </w:tc>
      </w:tr>
      <w:tr w14:paraId="1441C6C1" w14:textId="77777777">
        <w:tblPrEx>
          <w:tblW w:w="8250" w:type="dxa"/>
          <w:tblLayout w:type="fixed"/>
          <w:tblLook w:val="0600"/>
        </w:tblPrEx>
        <w:trPr>
          <w:trHeight w:val="63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77208854" w14:textId="11242B29">
            <w:pPr>
              <w:widowControl w:val="0"/>
              <w:spacing w:line="276" w:lineRule="auto"/>
              <w:rPr>
                <w:rFonts w:ascii="Arial" w:eastAsia="Arial" w:hAnsi="Arial" w:cs="Arial"/>
                <w:sz w:val="20"/>
                <w:szCs w:val="20"/>
              </w:rPr>
            </w:pPr>
            <w:r>
              <w:t>Individual</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361AEA57" w14:textId="6C8C6EC8">
            <w:pPr>
              <w:widowControl w:val="0"/>
              <w:spacing w:line="276" w:lineRule="auto"/>
              <w:rPr>
                <w:rFonts w:ascii="Arial" w:eastAsia="Arial" w:hAnsi="Arial" w:cs="Arial"/>
                <w:sz w:val="20"/>
                <w:szCs w:val="20"/>
              </w:rPr>
            </w:pPr>
            <w:r>
              <w:t xml:space="preserve">Eligibility </w:t>
            </w:r>
            <w:r>
              <w:t>Screener_Qual</w:t>
            </w:r>
            <w:r w:rsidR="00F806AB">
              <w:t xml:space="preserve"> </w:t>
            </w:r>
            <w:r w:rsidRPr="004172E2" w:rsidR="00F806AB">
              <w:t>(</w:t>
            </w:r>
            <w:r w:rsidRPr="004172E2" w:rsidR="00CE39C1">
              <w:t>Completed by Phone, i</w:t>
            </w:r>
            <w:r w:rsidRPr="004172E2" w:rsidR="00F806AB">
              <w:t>tems 12-T6)</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419CCDC4" w14:textId="4609F386">
            <w:pPr>
              <w:widowControl w:val="0"/>
              <w:spacing w:line="276" w:lineRule="auto"/>
              <w:rPr>
                <w:rFonts w:ascii="Arial" w:eastAsia="Arial" w:hAnsi="Arial" w:cs="Arial"/>
                <w:sz w:val="20"/>
                <w:szCs w:val="20"/>
              </w:rPr>
            </w:pPr>
            <w:r>
              <w:t>100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378EC0F4" w14:textId="7CF4BA90">
            <w:pPr>
              <w:widowControl w:val="0"/>
              <w:spacing w:line="276" w:lineRule="auto"/>
              <w:rPr>
                <w:rFonts w:ascii="Arial" w:eastAsia="Arial" w:hAnsi="Arial" w:cs="Arial"/>
                <w:sz w:val="20"/>
                <w:szCs w:val="20"/>
              </w:rPr>
            </w:pPr>
            <w:r>
              <w:t>6/60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7A8D27EE" w14:textId="03882CB5">
            <w:pPr>
              <w:widowControl w:val="0"/>
              <w:spacing w:line="276" w:lineRule="auto"/>
              <w:jc w:val="right"/>
              <w:rPr>
                <w:rFonts w:ascii="Arial" w:eastAsia="Arial" w:hAnsi="Arial" w:cs="Arial"/>
                <w:sz w:val="20"/>
                <w:szCs w:val="20"/>
              </w:rPr>
            </w:pPr>
            <w:r>
              <w:t>10</w:t>
            </w:r>
          </w:p>
        </w:tc>
      </w:tr>
      <w:tr w14:paraId="700BA72F" w14:textId="77777777">
        <w:tblPrEx>
          <w:tblW w:w="8250" w:type="dxa"/>
          <w:tblLayout w:type="fixed"/>
          <w:tblLook w:val="0600"/>
        </w:tblPrEx>
        <w:trPr>
          <w:trHeight w:val="63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3A72A62B" w14:textId="23B0E7F5">
            <w:pPr>
              <w:widowControl w:val="0"/>
              <w:spacing w:line="276" w:lineRule="auto"/>
              <w:rPr>
                <w:rFonts w:ascii="Arial" w:eastAsia="Arial" w:hAnsi="Arial" w:cs="Arial"/>
                <w:sz w:val="20"/>
                <w:szCs w:val="20"/>
              </w:rPr>
            </w:pPr>
            <w:r>
              <w:t>Individual</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5B5D811B" w14:textId="109F6360">
            <w:pPr>
              <w:widowControl w:val="0"/>
              <w:spacing w:line="276" w:lineRule="auto"/>
              <w:rPr>
                <w:rFonts w:ascii="Arial" w:eastAsia="Arial" w:hAnsi="Arial" w:cs="Arial"/>
                <w:sz w:val="20"/>
                <w:szCs w:val="20"/>
              </w:rPr>
            </w:pPr>
            <w:r>
              <w:t>Focus Group Discussion Guide</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2D2EDF92" w14:textId="153F4C41">
            <w:pPr>
              <w:widowControl w:val="0"/>
              <w:spacing w:line="276" w:lineRule="auto"/>
              <w:rPr>
                <w:rFonts w:ascii="Arial" w:eastAsia="Arial" w:hAnsi="Arial" w:cs="Arial"/>
                <w:sz w:val="20"/>
                <w:szCs w:val="20"/>
              </w:rPr>
            </w:pPr>
            <w:r>
              <w:t>32</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7A43BA0E" w14:textId="1FCEC8E0">
            <w:pPr>
              <w:widowControl w:val="0"/>
              <w:spacing w:line="276" w:lineRule="auto"/>
              <w:rPr>
                <w:rFonts w:ascii="Arial" w:eastAsia="Arial" w:hAnsi="Arial" w:cs="Arial"/>
                <w:sz w:val="20"/>
                <w:szCs w:val="20"/>
              </w:rPr>
            </w:pPr>
            <w:r>
              <w:t>90/60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13459902" w14:textId="117BA5BB">
            <w:pPr>
              <w:widowControl w:val="0"/>
              <w:spacing w:line="276" w:lineRule="auto"/>
              <w:jc w:val="right"/>
              <w:rPr>
                <w:rFonts w:ascii="Arial" w:eastAsia="Arial" w:hAnsi="Arial" w:cs="Arial"/>
                <w:sz w:val="20"/>
                <w:szCs w:val="20"/>
              </w:rPr>
            </w:pPr>
            <w:r>
              <w:t>48</w:t>
            </w:r>
          </w:p>
        </w:tc>
      </w:tr>
      <w:tr w14:paraId="6AE8AE21" w14:textId="77777777">
        <w:tblPrEx>
          <w:tblW w:w="8250" w:type="dxa"/>
          <w:tblLayout w:type="fixed"/>
          <w:tblLook w:val="0600"/>
        </w:tblPrEx>
        <w:trPr>
          <w:trHeight w:val="36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0A199E87" w14:textId="67C9CF2E">
            <w:pPr>
              <w:widowControl w:val="0"/>
              <w:spacing w:line="276" w:lineRule="auto"/>
              <w:rPr>
                <w:rFonts w:ascii="Arial" w:eastAsia="Arial" w:hAnsi="Arial" w:cs="Arial"/>
                <w:sz w:val="20"/>
                <w:szCs w:val="20"/>
              </w:rPr>
            </w:pPr>
            <w:r>
              <w:t>Individual</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13E35C9D" w14:textId="17AF40F1">
            <w:pPr>
              <w:widowControl w:val="0"/>
              <w:spacing w:line="276" w:lineRule="auto"/>
              <w:rPr>
                <w:rFonts w:ascii="Arial" w:eastAsia="Arial" w:hAnsi="Arial" w:cs="Arial"/>
                <w:sz w:val="20"/>
                <w:szCs w:val="20"/>
              </w:rPr>
            </w:pPr>
            <w:r>
              <w:t>Interview Guide</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1464B606" w14:textId="7FA6E6B0">
            <w:pPr>
              <w:widowControl w:val="0"/>
              <w:spacing w:line="276" w:lineRule="auto"/>
              <w:rPr>
                <w:rFonts w:ascii="Arial" w:eastAsia="Arial" w:hAnsi="Arial" w:cs="Arial"/>
                <w:sz w:val="20"/>
                <w:szCs w:val="20"/>
              </w:rPr>
            </w:pPr>
            <w:r>
              <w:t>10</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76A7C67D" w14:textId="40DABAEC">
            <w:pPr>
              <w:widowControl w:val="0"/>
              <w:spacing w:line="276" w:lineRule="auto"/>
              <w:rPr>
                <w:rFonts w:ascii="Arial" w:eastAsia="Arial" w:hAnsi="Arial" w:cs="Arial"/>
                <w:sz w:val="20"/>
                <w:szCs w:val="20"/>
              </w:rPr>
            </w:pPr>
            <w:r>
              <w:t>60/60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1D76A019" w14:textId="3E2848A0">
            <w:pPr>
              <w:widowControl w:val="0"/>
              <w:spacing w:line="276" w:lineRule="auto"/>
              <w:jc w:val="right"/>
              <w:rPr>
                <w:rFonts w:ascii="Arial" w:eastAsia="Arial" w:hAnsi="Arial" w:cs="Arial"/>
                <w:sz w:val="20"/>
                <w:szCs w:val="20"/>
              </w:rPr>
            </w:pPr>
            <w:r>
              <w:t>10</w:t>
            </w:r>
          </w:p>
        </w:tc>
      </w:tr>
      <w:tr w14:paraId="2A4ABFFE" w14:textId="77777777">
        <w:tblPrEx>
          <w:tblW w:w="8250" w:type="dxa"/>
          <w:tblLayout w:type="fixed"/>
          <w:tblLook w:val="0600"/>
        </w:tblPrEx>
        <w:trPr>
          <w:trHeight w:val="63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7B6D1A07" w14:textId="2567D90C">
            <w:pPr>
              <w:widowControl w:val="0"/>
              <w:spacing w:line="276" w:lineRule="auto"/>
              <w:rPr>
                <w:rFonts w:ascii="Arial" w:eastAsia="Arial" w:hAnsi="Arial" w:cs="Arial"/>
                <w:sz w:val="20"/>
                <w:szCs w:val="20"/>
              </w:rPr>
            </w:pPr>
            <w:r>
              <w:t>Individual</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238C6A11" w14:textId="59E6079B">
            <w:pPr>
              <w:widowControl w:val="0"/>
              <w:spacing w:line="276" w:lineRule="auto"/>
              <w:rPr>
                <w:rFonts w:ascii="Arial" w:eastAsia="Arial" w:hAnsi="Arial" w:cs="Arial"/>
                <w:sz w:val="20"/>
                <w:szCs w:val="20"/>
              </w:rPr>
            </w:pPr>
            <w:r>
              <w:t>Consent and Confirmation</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5CCDDAD3" w14:textId="5D795A9F">
            <w:pPr>
              <w:widowControl w:val="0"/>
              <w:spacing w:line="276" w:lineRule="auto"/>
              <w:rPr>
                <w:rFonts w:ascii="Arial" w:eastAsia="Arial" w:hAnsi="Arial" w:cs="Arial"/>
                <w:sz w:val="20"/>
                <w:szCs w:val="20"/>
              </w:rPr>
            </w:pPr>
            <w:r>
              <w:t>1,042</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6050C9E2" w14:textId="69D9F1F4">
            <w:pPr>
              <w:widowControl w:val="0"/>
              <w:spacing w:line="276" w:lineRule="auto"/>
              <w:rPr>
                <w:rFonts w:ascii="Arial" w:eastAsia="Arial" w:hAnsi="Arial" w:cs="Arial"/>
                <w:sz w:val="20"/>
                <w:szCs w:val="20"/>
              </w:rPr>
            </w:pPr>
            <w:r>
              <w:t>3/60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165DDF43" w14:textId="26673EFB">
            <w:pPr>
              <w:widowControl w:val="0"/>
              <w:spacing w:line="276" w:lineRule="auto"/>
              <w:jc w:val="right"/>
              <w:rPr>
                <w:rFonts w:ascii="Arial" w:eastAsia="Arial" w:hAnsi="Arial" w:cs="Arial"/>
                <w:sz w:val="20"/>
                <w:szCs w:val="20"/>
              </w:rPr>
            </w:pPr>
            <w:r>
              <w:t>52</w:t>
            </w:r>
          </w:p>
        </w:tc>
      </w:tr>
      <w:tr w14:paraId="66C0D4D8" w14:textId="77777777">
        <w:tblPrEx>
          <w:tblW w:w="8250" w:type="dxa"/>
          <w:tblLayout w:type="fixed"/>
          <w:tblLook w:val="0600"/>
        </w:tblPrEx>
        <w:trPr>
          <w:trHeight w:val="36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10B44506" w14:textId="48CDE0D7">
            <w:pPr>
              <w:widowControl w:val="0"/>
              <w:spacing w:line="276" w:lineRule="auto"/>
              <w:rPr>
                <w:rFonts w:ascii="Arial" w:eastAsia="Arial" w:hAnsi="Arial" w:cs="Arial"/>
                <w:sz w:val="20"/>
                <w:szCs w:val="20"/>
              </w:rPr>
            </w:pPr>
            <w:r>
              <w:t>Individual</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6EC8B12C" w14:textId="0F5CA41F">
            <w:pPr>
              <w:widowControl w:val="0"/>
              <w:spacing w:line="276" w:lineRule="auto"/>
              <w:rPr>
                <w:rFonts w:ascii="Arial" w:eastAsia="Arial" w:hAnsi="Arial" w:cs="Arial"/>
                <w:sz w:val="20"/>
                <w:szCs w:val="20"/>
              </w:rPr>
            </w:pPr>
            <w:r>
              <w:t>Follow up Emails</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2441D574" w14:textId="61D1040C">
            <w:pPr>
              <w:widowControl w:val="0"/>
              <w:spacing w:line="276" w:lineRule="auto"/>
              <w:rPr>
                <w:rFonts w:ascii="Arial" w:eastAsia="Arial" w:hAnsi="Arial" w:cs="Arial"/>
                <w:sz w:val="20"/>
                <w:szCs w:val="20"/>
              </w:rPr>
            </w:pPr>
            <w:r>
              <w:t>1,042</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0CA68F59" w14:textId="5AF2C75D">
            <w:pPr>
              <w:widowControl w:val="0"/>
              <w:spacing w:line="276" w:lineRule="auto"/>
              <w:rPr>
                <w:rFonts w:ascii="Arial" w:eastAsia="Arial" w:hAnsi="Arial" w:cs="Arial"/>
                <w:sz w:val="20"/>
                <w:szCs w:val="20"/>
              </w:rPr>
            </w:pPr>
            <w:r>
              <w:t>2/60</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6CD5F264" w14:textId="683C6EF7">
            <w:pPr>
              <w:widowControl w:val="0"/>
              <w:spacing w:line="276" w:lineRule="auto"/>
              <w:jc w:val="right"/>
              <w:rPr>
                <w:rFonts w:ascii="Arial" w:eastAsia="Arial" w:hAnsi="Arial" w:cs="Arial"/>
                <w:sz w:val="20"/>
                <w:szCs w:val="20"/>
              </w:rPr>
            </w:pPr>
            <w:r>
              <w:t>35</w:t>
            </w:r>
          </w:p>
        </w:tc>
      </w:tr>
      <w:tr w14:paraId="542B93DF" w14:textId="77777777">
        <w:tblPrEx>
          <w:tblW w:w="8250" w:type="dxa"/>
          <w:tblLayout w:type="fixed"/>
          <w:tblLook w:val="0600"/>
        </w:tblPrEx>
        <w:trPr>
          <w:trHeight w:val="360"/>
        </w:trPr>
        <w:tc>
          <w:tcPr>
            <w:tcW w:w="1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05AF3" w14:paraId="0EB25FAD" w14:textId="0CB1ECE9">
            <w:pPr>
              <w:widowControl w:val="0"/>
              <w:spacing w:line="276" w:lineRule="auto"/>
              <w:rPr>
                <w:rFonts w:ascii="Arial" w:eastAsia="Arial" w:hAnsi="Arial" w:cs="Arial"/>
                <w:sz w:val="20"/>
                <w:szCs w:val="20"/>
              </w:rPr>
            </w:pPr>
            <w:r>
              <w:rPr>
                <w:b/>
              </w:rPr>
              <w:t>Totals</w:t>
            </w:r>
          </w:p>
        </w:tc>
        <w:tc>
          <w:tcPr>
            <w:tcW w:w="21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05AF3" w14:paraId="6C0D3754" w14:textId="3B570B7D">
            <w:pPr>
              <w:widowControl w:val="0"/>
              <w:spacing w:line="276" w:lineRule="auto"/>
              <w:rPr>
                <w:rFonts w:ascii="Arial" w:eastAsia="Arial" w:hAnsi="Arial" w:cs="Arial"/>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05AF3" w14:paraId="5210764B" w14:textId="3C08D75F">
            <w:pPr>
              <w:widowControl w:val="0"/>
              <w:spacing w:line="276" w:lineRule="auto"/>
              <w:rPr>
                <w:rFonts w:ascii="Arial" w:eastAsia="Arial" w:hAnsi="Arial" w:cs="Arial"/>
                <w:b/>
                <w:sz w:val="20"/>
                <w:szCs w:val="20"/>
              </w:rPr>
            </w:pPr>
            <w:r>
              <w:rPr>
                <w:rFonts w:ascii="Arial" w:eastAsia="Arial" w:hAnsi="Arial" w:cs="Arial"/>
                <w:b/>
                <w:sz w:val="20"/>
                <w:szCs w:val="20"/>
              </w:rPr>
              <w:t>4,726</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505AF3" w14:paraId="5C9700EC" w14:textId="65D4DD48">
            <w:pPr>
              <w:widowControl w:val="0"/>
              <w:spacing w:line="276" w:lineRule="auto"/>
              <w:rPr>
                <w:rFonts w:ascii="Arial" w:eastAsia="Arial" w:hAnsi="Arial" w:cs="Arial"/>
                <w:sz w:val="20"/>
                <w:szCs w:val="20"/>
              </w:rPr>
            </w:pP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505AF3" w14:paraId="280B4A3B" w14:textId="4C489C43">
            <w:pPr>
              <w:widowControl w:val="0"/>
              <w:spacing w:line="276" w:lineRule="auto"/>
              <w:jc w:val="right"/>
              <w:rPr>
                <w:rFonts w:ascii="Arial" w:eastAsia="Arial" w:hAnsi="Arial" w:cs="Arial"/>
                <w:sz w:val="20"/>
                <w:szCs w:val="20"/>
              </w:rPr>
            </w:pPr>
            <w:r>
              <w:rPr>
                <w:b/>
              </w:rPr>
              <w:t>447</w:t>
            </w:r>
          </w:p>
        </w:tc>
      </w:tr>
    </w:tbl>
    <w:p w:rsidR="00505AF3" w14:paraId="26D4B512" w14:textId="77777777">
      <w:pPr>
        <w:rPr>
          <w:i/>
          <w:sz w:val="22"/>
          <w:szCs w:val="22"/>
        </w:rPr>
      </w:pPr>
      <w:r>
        <w:rPr>
          <w:sz w:val="22"/>
          <w:szCs w:val="22"/>
        </w:rPr>
        <w:t xml:space="preserve"> </w:t>
      </w:r>
    </w:p>
    <w:p w:rsidR="00505AF3" w14:paraId="49332BF6" w14:textId="6AF2BF56">
      <w:pPr>
        <w:rPr>
          <w:b/>
          <w:sz w:val="22"/>
          <w:szCs w:val="22"/>
          <w:u w:val="single"/>
        </w:rPr>
      </w:pPr>
      <w:r>
        <w:rPr>
          <w:b/>
          <w:sz w:val="22"/>
          <w:szCs w:val="22"/>
        </w:rPr>
        <w:t xml:space="preserve">FEDERAL COST:  </w:t>
      </w:r>
      <w:r>
        <w:rPr>
          <w:sz w:val="22"/>
          <w:szCs w:val="22"/>
        </w:rPr>
        <w:t xml:space="preserve">The estimated annual cost to the Federal government is   </w:t>
      </w:r>
      <w:r>
        <w:t xml:space="preserve">$ </w:t>
      </w:r>
      <w:r>
        <w:rPr>
          <w:sz w:val="22"/>
          <w:szCs w:val="22"/>
        </w:rPr>
        <w:t>_</w:t>
      </w:r>
      <w:r>
        <w:rPr>
          <w:rFonts w:ascii="Arial" w:eastAsia="Arial" w:hAnsi="Arial" w:cs="Arial"/>
          <w:b/>
          <w:sz w:val="20"/>
          <w:szCs w:val="20"/>
        </w:rPr>
        <w:t>$</w:t>
      </w:r>
      <w:r w:rsidR="005F0A20">
        <w:rPr>
          <w:rFonts w:ascii="Arial" w:eastAsia="Arial" w:hAnsi="Arial" w:cs="Arial"/>
          <w:b/>
          <w:sz w:val="20"/>
          <w:szCs w:val="20"/>
        </w:rPr>
        <w:t>163,310</w:t>
      </w:r>
      <w:r>
        <w:rPr>
          <w:rFonts w:ascii="Arial" w:eastAsia="Arial" w:hAnsi="Arial" w:cs="Arial"/>
          <w:b/>
          <w:sz w:val="20"/>
          <w:szCs w:val="20"/>
        </w:rPr>
        <w:t>.</w:t>
      </w:r>
      <w:r w:rsidR="005F0A20">
        <w:rPr>
          <w:rFonts w:ascii="Arial" w:eastAsia="Arial" w:hAnsi="Arial" w:cs="Arial"/>
          <w:b/>
          <w:sz w:val="20"/>
          <w:szCs w:val="20"/>
        </w:rPr>
        <w:t>7</w:t>
      </w:r>
      <w:r>
        <w:rPr>
          <w:rFonts w:ascii="Arial" w:eastAsia="Arial" w:hAnsi="Arial" w:cs="Arial"/>
          <w:b/>
          <w:sz w:val="20"/>
          <w:szCs w:val="20"/>
        </w:rPr>
        <w:t>7</w:t>
      </w:r>
      <w:r>
        <w:rPr>
          <w:sz w:val="22"/>
          <w:szCs w:val="22"/>
        </w:rPr>
        <w:t>______</w:t>
      </w:r>
    </w:p>
    <w:p w:rsidR="00505AF3" w14:paraId="4B2A4D97" w14:textId="77777777">
      <w:pPr>
        <w:rPr>
          <w:b/>
          <w:sz w:val="22"/>
          <w:szCs w:val="22"/>
        </w:rPr>
      </w:pPr>
      <w:r>
        <w:rPr>
          <w:b/>
          <w:sz w:val="22"/>
          <w:szCs w:val="22"/>
        </w:rPr>
        <w:t>If you are conducting a focus group, survey, or plan to employ statistical methods, please provide answers to the following questions:</w:t>
      </w:r>
    </w:p>
    <w:p w:rsidR="00505AF3" w14:paraId="30EF6FCD" w14:textId="77777777">
      <w:pPr>
        <w:rPr>
          <w:b/>
          <w:sz w:val="22"/>
          <w:szCs w:val="22"/>
        </w:rPr>
      </w:pPr>
    </w:p>
    <w:p w:rsidR="00505AF3" w14:paraId="6CA0CC0F" w14:textId="77777777">
      <w:pPr>
        <w:rPr>
          <w:b/>
          <w:sz w:val="22"/>
          <w:szCs w:val="22"/>
        </w:rPr>
      </w:pPr>
      <w:r>
        <w:rPr>
          <w:b/>
          <w:sz w:val="22"/>
          <w:szCs w:val="22"/>
        </w:rPr>
        <w:t>The selection of your targeted respondents</w:t>
      </w:r>
    </w:p>
    <w:p w:rsidR="00505AF3" w14:paraId="6FC14B51" w14:textId="77777777">
      <w:pPr>
        <w:numPr>
          <w:ilvl w:val="0"/>
          <w:numId w:val="1"/>
        </w:numPr>
        <w:pBdr>
          <w:top w:val="nil"/>
          <w:left w:val="nil"/>
          <w:bottom w:val="nil"/>
          <w:right w:val="nil"/>
          <w:between w:val="nil"/>
        </w:pBdr>
        <w:rPr>
          <w:rFonts w:ascii="Arial" w:eastAsia="Arial" w:hAnsi="Arial" w:cs="Arial"/>
          <w:color w:val="000000"/>
          <w:sz w:val="22"/>
          <w:szCs w:val="22"/>
        </w:rPr>
      </w:pPr>
      <w:r>
        <w:rPr>
          <w:color w:val="000000"/>
          <w:sz w:val="22"/>
          <w:szCs w:val="22"/>
        </w:rPr>
        <w:t>Do you have a customer list or something similar that defines the universe of potential respondents and do you have a sampling plan for selecting from this universe?</w:t>
      </w:r>
      <w:r>
        <w:rPr>
          <w:sz w:val="22"/>
          <w:szCs w:val="22"/>
        </w:rPr>
        <w:tab/>
      </w:r>
    </w:p>
    <w:p w:rsidR="00505AF3" w14:paraId="6573439B" w14:textId="77777777">
      <w:pPr>
        <w:pBdr>
          <w:top w:val="nil"/>
          <w:left w:val="nil"/>
          <w:bottom w:val="nil"/>
          <w:right w:val="nil"/>
          <w:between w:val="nil"/>
        </w:pBdr>
        <w:ind w:left="360"/>
        <w:rPr>
          <w:sz w:val="22"/>
          <w:szCs w:val="22"/>
        </w:rPr>
      </w:pPr>
      <w:r>
        <w:rPr>
          <w:color w:val="000000"/>
          <w:sz w:val="22"/>
          <w:szCs w:val="22"/>
        </w:rPr>
        <w:t>[ X] Yes</w:t>
      </w:r>
      <w:r>
        <w:rPr>
          <w:sz w:val="22"/>
          <w:szCs w:val="22"/>
        </w:rPr>
        <w:tab/>
      </w:r>
      <w:r>
        <w:rPr>
          <w:color w:val="000000"/>
          <w:sz w:val="22"/>
          <w:szCs w:val="22"/>
        </w:rPr>
        <w:t>[  ]</w:t>
      </w:r>
      <w:r>
        <w:rPr>
          <w:color w:val="000000"/>
          <w:sz w:val="22"/>
          <w:szCs w:val="22"/>
        </w:rPr>
        <w:t xml:space="preserve"> No</w:t>
      </w:r>
    </w:p>
    <w:p w:rsidR="00505AF3" w14:paraId="11F581C7" w14:textId="77777777">
      <w:pPr>
        <w:rPr>
          <w:sz w:val="22"/>
          <w:szCs w:val="22"/>
        </w:rPr>
      </w:pPr>
    </w:p>
    <w:p w:rsidR="00505AF3" w14:paraId="12807B6C" w14:textId="77777777">
      <w:pPr>
        <w:rPr>
          <w:sz w:val="22"/>
          <w:szCs w:val="22"/>
        </w:rPr>
      </w:pPr>
      <w:r>
        <w:rPr>
          <w:sz w:val="22"/>
          <w:szCs w:val="22"/>
        </w:rPr>
        <w:t xml:space="preserve">For the survey, the project team is working with SurveyMonkey, a vendor that has survey panels with existing national samples of survey participants. The project team will request two survey panels of 500 Hispanic individuals each (N=1,000) and SurveyMonkey will make the survey available only to those who speak Spanish as their primary language or are bilingual. We will collect feedback in two surveys of 500 because the data collection system has a limit of 50-items surveys, and we are testing four campaigns. Implementing two surveys of n=500 each will allow us to test two campaigns per survey with sufficient data for analysis. Using two surveys also reduces the cognitive burden on participants by only testing two campaigns per survey instead of four campaigns. Individuals must meet the eligibility criteria outlined in the Inclusion Criteria Table below. </w:t>
      </w:r>
    </w:p>
    <w:p w:rsidR="00505AF3" w14:paraId="660BA6B0" w14:textId="77777777">
      <w:pPr>
        <w:rPr>
          <w:sz w:val="22"/>
          <w:szCs w:val="22"/>
        </w:rPr>
      </w:pPr>
    </w:p>
    <w:p w:rsidR="00505AF3" w14:paraId="6806A093" w14:textId="69943B04">
      <w:pPr>
        <w:rPr>
          <w:sz w:val="22"/>
          <w:szCs w:val="22"/>
        </w:rPr>
      </w:pPr>
      <w:r>
        <w:rPr>
          <w:sz w:val="22"/>
          <w:szCs w:val="22"/>
        </w:rPr>
        <w:t xml:space="preserve">For the focus groups (N=32) and interviews (N=10), the project team will work with a recruitment vendor, Research American, which has a nationwide database of individuals. We will recruit 20% more to account for no-shows and cancellations of 10 additional potential participants (2 for focus groups and 8 for interviews). Research American will use a screening tool developed with CDC to ensure that potential focus group participants meet the necessary criteria (See Inclusion Criteria Table). The vendor will use recruitment email messages and phone calls to recruit from its proprietary database. To supplement recruiting and selecting of participants they may use online advertisements (i.e., social media posts, Craigslist) to </w:t>
      </w:r>
      <w:r>
        <w:rPr>
          <w:sz w:val="22"/>
          <w:szCs w:val="22"/>
        </w:rPr>
        <w:t>recruit  (</w:t>
      </w:r>
      <w:r>
        <w:rPr>
          <w:sz w:val="22"/>
          <w:szCs w:val="22"/>
        </w:rPr>
        <w:t>See Attachment 11). We will conduct daily monitoring of the recruitment vendor’s screening and recruiting progress, and the project team will work together to select the desired sample for the groups prior to inviting and scheduling eligible participants.</w:t>
      </w:r>
    </w:p>
    <w:p w:rsidR="00505AF3" w14:paraId="614B2428" w14:textId="77777777">
      <w:pPr>
        <w:rPr>
          <w:sz w:val="22"/>
          <w:szCs w:val="22"/>
        </w:rPr>
      </w:pPr>
    </w:p>
    <w:p w:rsidR="00505AF3" w14:paraId="1AB6FCEF" w14:textId="77777777">
      <w:pPr>
        <w:rPr>
          <w:b/>
          <w:sz w:val="22"/>
          <w:szCs w:val="22"/>
        </w:rPr>
      </w:pPr>
      <w:r>
        <w:rPr>
          <w:b/>
          <w:sz w:val="22"/>
          <w:szCs w:val="22"/>
        </w:rPr>
        <w:t>Inclusion Criteria Table</w:t>
      </w:r>
    </w:p>
    <w:tbl>
      <w:tblPr>
        <w:tblStyle w:val="a8"/>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50"/>
        <w:gridCol w:w="7020"/>
      </w:tblGrid>
      <w:tr w14:paraId="63984E6A" w14:textId="77777777">
        <w:tblPrEx>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550" w:type="dxa"/>
            <w:shd w:val="clear" w:color="auto" w:fill="B7B7B7"/>
            <w:tcMar>
              <w:top w:w="100" w:type="dxa"/>
              <w:left w:w="100" w:type="dxa"/>
              <w:bottom w:w="100" w:type="dxa"/>
              <w:right w:w="100" w:type="dxa"/>
            </w:tcMar>
          </w:tcPr>
          <w:p w:rsidR="00505AF3" w14:paraId="79120D99" w14:textId="77777777">
            <w:pPr>
              <w:widowControl w:val="0"/>
              <w:rPr>
                <w:rFonts w:ascii="Arial" w:eastAsia="Arial" w:hAnsi="Arial" w:cs="Arial"/>
                <w:b/>
                <w:sz w:val="22"/>
                <w:szCs w:val="22"/>
              </w:rPr>
            </w:pPr>
            <w:r>
              <w:rPr>
                <w:rFonts w:ascii="Arial" w:eastAsia="Arial" w:hAnsi="Arial" w:cs="Arial"/>
                <w:b/>
                <w:sz w:val="22"/>
                <w:szCs w:val="22"/>
              </w:rPr>
              <w:t>Data Collection Method (# participants)</w:t>
            </w:r>
          </w:p>
        </w:tc>
        <w:tc>
          <w:tcPr>
            <w:tcW w:w="7020" w:type="dxa"/>
            <w:shd w:val="clear" w:color="auto" w:fill="B7B7B7"/>
            <w:tcMar>
              <w:top w:w="100" w:type="dxa"/>
              <w:left w:w="100" w:type="dxa"/>
              <w:bottom w:w="100" w:type="dxa"/>
              <w:right w:w="100" w:type="dxa"/>
            </w:tcMar>
          </w:tcPr>
          <w:p w:rsidR="00505AF3" w14:paraId="44A0B04D" w14:textId="77777777">
            <w:pPr>
              <w:widowControl w:val="0"/>
              <w:rPr>
                <w:rFonts w:ascii="Arial" w:eastAsia="Arial" w:hAnsi="Arial" w:cs="Arial"/>
                <w:b/>
                <w:sz w:val="22"/>
                <w:szCs w:val="22"/>
              </w:rPr>
            </w:pPr>
            <w:r>
              <w:rPr>
                <w:rFonts w:ascii="Arial" w:eastAsia="Arial" w:hAnsi="Arial" w:cs="Arial"/>
                <w:b/>
                <w:sz w:val="22"/>
                <w:szCs w:val="22"/>
              </w:rPr>
              <w:t>Inclusion Criteria</w:t>
            </w:r>
          </w:p>
        </w:tc>
      </w:tr>
      <w:tr w14:paraId="10BE58CC" w14:textId="77777777">
        <w:tblPrEx>
          <w:tblW w:w="9570" w:type="dxa"/>
          <w:tblLayout w:type="fixed"/>
          <w:tblLook w:val="0600"/>
        </w:tblPrEx>
        <w:trPr>
          <w:trHeight w:val="400"/>
        </w:trPr>
        <w:tc>
          <w:tcPr>
            <w:tcW w:w="2550" w:type="dxa"/>
            <w:shd w:val="clear" w:color="auto" w:fill="B7B7B7"/>
            <w:tcMar>
              <w:top w:w="100" w:type="dxa"/>
              <w:left w:w="100" w:type="dxa"/>
              <w:bottom w:w="100" w:type="dxa"/>
              <w:right w:w="100" w:type="dxa"/>
            </w:tcMar>
          </w:tcPr>
          <w:p w:rsidR="00505AF3" w14:paraId="65052D8B" w14:textId="77777777">
            <w:pPr>
              <w:widowControl w:val="0"/>
              <w:rPr>
                <w:rFonts w:ascii="Arial" w:eastAsia="Arial" w:hAnsi="Arial" w:cs="Arial"/>
                <w:b/>
              </w:rPr>
            </w:pPr>
            <w:r>
              <w:rPr>
                <w:rFonts w:ascii="Arial" w:eastAsia="Arial" w:hAnsi="Arial" w:cs="Arial"/>
                <w:b/>
              </w:rPr>
              <w:t>Online Survey (N=1,000)</w:t>
            </w:r>
          </w:p>
          <w:p w:rsidR="00505AF3" w14:paraId="12B12310" w14:textId="77777777">
            <w:pPr>
              <w:widowControl w:val="0"/>
              <w:rPr>
                <w:rFonts w:ascii="Arial" w:eastAsia="Arial" w:hAnsi="Arial" w:cs="Arial"/>
                <w:b/>
              </w:rPr>
            </w:pPr>
          </w:p>
        </w:tc>
        <w:tc>
          <w:tcPr>
            <w:tcW w:w="7020" w:type="dxa"/>
            <w:vMerge w:val="restart"/>
            <w:shd w:val="clear" w:color="auto" w:fill="auto"/>
            <w:tcMar>
              <w:top w:w="100" w:type="dxa"/>
              <w:left w:w="100" w:type="dxa"/>
              <w:bottom w:w="100" w:type="dxa"/>
              <w:right w:w="100" w:type="dxa"/>
            </w:tcMar>
          </w:tcPr>
          <w:p w:rsidR="00505AF3" w14:paraId="309AD011" w14:textId="77777777">
            <w:pPr>
              <w:widowControl w:val="0"/>
              <w:numPr>
                <w:ilvl w:val="0"/>
                <w:numId w:val="4"/>
              </w:numPr>
              <w:rPr>
                <w:rFonts w:ascii="Arial" w:eastAsia="Arial" w:hAnsi="Arial" w:cs="Arial"/>
              </w:rPr>
            </w:pPr>
            <w:r>
              <w:rPr>
                <w:rFonts w:ascii="Arial" w:eastAsia="Arial" w:hAnsi="Arial" w:cs="Arial"/>
              </w:rPr>
              <w:t>Between ages 18-64</w:t>
            </w:r>
          </w:p>
          <w:p w:rsidR="00505AF3" w14:paraId="3E2CD8F1" w14:textId="77777777">
            <w:pPr>
              <w:widowControl w:val="0"/>
              <w:numPr>
                <w:ilvl w:val="0"/>
                <w:numId w:val="4"/>
              </w:numPr>
              <w:rPr>
                <w:rFonts w:ascii="Arial" w:eastAsia="Arial" w:hAnsi="Arial" w:cs="Arial"/>
              </w:rPr>
            </w:pPr>
            <w:r>
              <w:rPr>
                <w:rFonts w:ascii="Arial" w:eastAsia="Arial" w:hAnsi="Arial" w:cs="Arial"/>
              </w:rPr>
              <w:t>Identifies ethnicity as Hispanic</w:t>
            </w:r>
          </w:p>
          <w:p w:rsidR="00505AF3" w14:paraId="598B7B4D" w14:textId="77777777">
            <w:pPr>
              <w:widowControl w:val="0"/>
              <w:numPr>
                <w:ilvl w:val="0"/>
                <w:numId w:val="4"/>
              </w:numPr>
              <w:rPr>
                <w:rFonts w:ascii="Arial" w:eastAsia="Arial" w:hAnsi="Arial" w:cs="Arial"/>
              </w:rPr>
            </w:pPr>
            <w:r>
              <w:rPr>
                <w:rFonts w:ascii="Arial" w:eastAsia="Arial" w:hAnsi="Arial" w:cs="Arial"/>
              </w:rPr>
              <w:t>Is monolingual or bilingual in Spanish</w:t>
            </w:r>
          </w:p>
          <w:p w:rsidR="00505AF3" w14:paraId="57062C70" w14:textId="77777777">
            <w:pPr>
              <w:widowControl w:val="0"/>
              <w:numPr>
                <w:ilvl w:val="0"/>
                <w:numId w:val="4"/>
              </w:numPr>
              <w:rPr>
                <w:rFonts w:ascii="Arial" w:eastAsia="Arial" w:hAnsi="Arial" w:cs="Arial"/>
              </w:rPr>
            </w:pPr>
            <w:r>
              <w:rPr>
                <w:rFonts w:ascii="Arial" w:eastAsia="Arial" w:hAnsi="Arial" w:cs="Arial"/>
              </w:rPr>
              <w:t>Can read in Spanish</w:t>
            </w:r>
          </w:p>
          <w:p w:rsidR="00505AF3" w14:paraId="22E39B02" w14:textId="77777777">
            <w:pPr>
              <w:widowControl w:val="0"/>
              <w:numPr>
                <w:ilvl w:val="0"/>
                <w:numId w:val="4"/>
              </w:numPr>
              <w:rPr>
                <w:rFonts w:ascii="Arial" w:eastAsia="Arial" w:hAnsi="Arial" w:cs="Arial"/>
              </w:rPr>
            </w:pPr>
            <w:r>
              <w:rPr>
                <w:rFonts w:ascii="Arial" w:eastAsia="Arial" w:hAnsi="Arial" w:cs="Arial"/>
              </w:rPr>
              <w:t>Has reliable internet connection</w:t>
            </w:r>
          </w:p>
        </w:tc>
      </w:tr>
      <w:tr w14:paraId="35C981A5" w14:textId="77777777">
        <w:tblPrEx>
          <w:tblW w:w="9570" w:type="dxa"/>
          <w:tblLayout w:type="fixed"/>
          <w:tblLook w:val="0600"/>
        </w:tblPrEx>
        <w:trPr>
          <w:trHeight w:val="400"/>
        </w:trPr>
        <w:tc>
          <w:tcPr>
            <w:tcW w:w="2550" w:type="dxa"/>
            <w:shd w:val="clear" w:color="auto" w:fill="B7B7B7"/>
            <w:tcMar>
              <w:top w:w="100" w:type="dxa"/>
              <w:left w:w="100" w:type="dxa"/>
              <w:bottom w:w="100" w:type="dxa"/>
              <w:right w:w="100" w:type="dxa"/>
            </w:tcMar>
          </w:tcPr>
          <w:p w:rsidR="00505AF3" w14:paraId="71613F02" w14:textId="77777777">
            <w:pPr>
              <w:widowControl w:val="0"/>
              <w:rPr>
                <w:rFonts w:ascii="Arial" w:eastAsia="Arial" w:hAnsi="Arial" w:cs="Arial"/>
                <w:b/>
              </w:rPr>
            </w:pPr>
            <w:r>
              <w:rPr>
                <w:rFonts w:ascii="Arial" w:eastAsia="Arial" w:hAnsi="Arial" w:cs="Arial"/>
                <w:b/>
              </w:rPr>
              <w:t xml:space="preserve">Focus </w:t>
            </w:r>
            <w:r>
              <w:rPr>
                <w:rFonts w:ascii="Arial" w:eastAsia="Arial" w:hAnsi="Arial" w:cs="Arial"/>
                <w:b/>
              </w:rPr>
              <w:t>Groups  (</w:t>
            </w:r>
            <w:r>
              <w:rPr>
                <w:rFonts w:ascii="Arial" w:eastAsia="Arial" w:hAnsi="Arial" w:cs="Arial"/>
                <w:b/>
              </w:rPr>
              <w:t>N=32)</w:t>
            </w:r>
          </w:p>
        </w:tc>
        <w:tc>
          <w:tcPr>
            <w:tcW w:w="7020" w:type="dxa"/>
            <w:vMerge/>
            <w:shd w:val="clear" w:color="auto" w:fill="auto"/>
            <w:tcMar>
              <w:top w:w="100" w:type="dxa"/>
              <w:left w:w="100" w:type="dxa"/>
              <w:bottom w:w="100" w:type="dxa"/>
              <w:right w:w="100" w:type="dxa"/>
            </w:tcMar>
          </w:tcPr>
          <w:p w:rsidR="00505AF3" w14:paraId="3ABB12B5" w14:textId="77777777">
            <w:pPr>
              <w:widowControl w:val="0"/>
              <w:pBdr>
                <w:top w:val="nil"/>
                <w:left w:val="nil"/>
                <w:bottom w:val="nil"/>
                <w:right w:val="nil"/>
                <w:between w:val="nil"/>
              </w:pBdr>
              <w:spacing w:line="276" w:lineRule="auto"/>
              <w:rPr>
                <w:rFonts w:ascii="Arial" w:eastAsia="Arial" w:hAnsi="Arial" w:cs="Arial"/>
                <w:b/>
              </w:rPr>
            </w:pPr>
          </w:p>
        </w:tc>
      </w:tr>
      <w:tr w14:paraId="24DB119C" w14:textId="77777777">
        <w:tblPrEx>
          <w:tblW w:w="9570" w:type="dxa"/>
          <w:tblLayout w:type="fixed"/>
          <w:tblLook w:val="0600"/>
        </w:tblPrEx>
        <w:tc>
          <w:tcPr>
            <w:tcW w:w="2550" w:type="dxa"/>
            <w:shd w:val="clear" w:color="auto" w:fill="B7B7B7"/>
            <w:tcMar>
              <w:top w:w="100" w:type="dxa"/>
              <w:left w:w="100" w:type="dxa"/>
              <w:bottom w:w="100" w:type="dxa"/>
              <w:right w:w="100" w:type="dxa"/>
            </w:tcMar>
          </w:tcPr>
          <w:p w:rsidR="00505AF3" w14:paraId="0E7F7342" w14:textId="77777777">
            <w:pPr>
              <w:widowControl w:val="0"/>
              <w:rPr>
                <w:rFonts w:ascii="Arial" w:eastAsia="Arial" w:hAnsi="Arial" w:cs="Arial"/>
                <w:b/>
              </w:rPr>
            </w:pPr>
            <w:r>
              <w:rPr>
                <w:rFonts w:ascii="Arial" w:eastAsia="Arial" w:hAnsi="Arial" w:cs="Arial"/>
                <w:b/>
              </w:rPr>
              <w:t>In Depth Interviews (N=10)</w:t>
            </w:r>
          </w:p>
          <w:p w:rsidR="00505AF3" w14:paraId="4A75560F" w14:textId="77777777">
            <w:pPr>
              <w:widowControl w:val="0"/>
              <w:rPr>
                <w:rFonts w:ascii="Arial" w:eastAsia="Arial" w:hAnsi="Arial" w:cs="Arial"/>
                <w:b/>
              </w:rPr>
            </w:pPr>
            <w:r>
              <w:rPr>
                <w:rFonts w:ascii="Arial" w:eastAsia="Arial" w:hAnsi="Arial" w:cs="Arial"/>
                <w:b/>
              </w:rPr>
              <w:t>(People who use drugs)</w:t>
            </w:r>
          </w:p>
        </w:tc>
        <w:tc>
          <w:tcPr>
            <w:tcW w:w="7020" w:type="dxa"/>
            <w:shd w:val="clear" w:color="auto" w:fill="auto"/>
            <w:tcMar>
              <w:top w:w="100" w:type="dxa"/>
              <w:left w:w="100" w:type="dxa"/>
              <w:bottom w:w="100" w:type="dxa"/>
              <w:right w:w="100" w:type="dxa"/>
            </w:tcMar>
          </w:tcPr>
          <w:p w:rsidR="00505AF3" w14:paraId="1273684D" w14:textId="77777777">
            <w:pPr>
              <w:widowControl w:val="0"/>
              <w:numPr>
                <w:ilvl w:val="0"/>
                <w:numId w:val="6"/>
              </w:numPr>
              <w:rPr>
                <w:rFonts w:ascii="Arial" w:eastAsia="Arial" w:hAnsi="Arial" w:cs="Arial"/>
              </w:rPr>
            </w:pPr>
            <w:r>
              <w:rPr>
                <w:rFonts w:ascii="Arial" w:eastAsia="Arial" w:hAnsi="Arial" w:cs="Arial"/>
              </w:rPr>
              <w:t xml:space="preserve">Between ages 18-34 </w:t>
            </w:r>
          </w:p>
          <w:p w:rsidR="00505AF3" w14:paraId="70750632" w14:textId="77777777">
            <w:pPr>
              <w:widowControl w:val="0"/>
              <w:numPr>
                <w:ilvl w:val="0"/>
                <w:numId w:val="6"/>
              </w:numPr>
              <w:rPr>
                <w:rFonts w:ascii="Arial" w:eastAsia="Arial" w:hAnsi="Arial" w:cs="Arial"/>
              </w:rPr>
            </w:pPr>
            <w:r>
              <w:rPr>
                <w:rFonts w:ascii="Arial" w:eastAsia="Arial" w:hAnsi="Arial" w:cs="Arial"/>
              </w:rPr>
              <w:t>Identifies ethnicity as Hispanic</w:t>
            </w:r>
          </w:p>
          <w:p w:rsidR="00505AF3" w14:paraId="547B9D28" w14:textId="77777777">
            <w:pPr>
              <w:widowControl w:val="0"/>
              <w:numPr>
                <w:ilvl w:val="0"/>
                <w:numId w:val="6"/>
              </w:numPr>
              <w:rPr>
                <w:rFonts w:ascii="Arial" w:eastAsia="Arial" w:hAnsi="Arial" w:cs="Arial"/>
              </w:rPr>
            </w:pPr>
            <w:r>
              <w:rPr>
                <w:rFonts w:ascii="Arial" w:eastAsia="Arial" w:hAnsi="Arial" w:cs="Arial"/>
              </w:rPr>
              <w:t xml:space="preserve">Self-reports having used illicit drugs (not including alcohol or marijuana unless used in combination with other illicit substances) or misused prescription opioids at least once in the last 3 months  </w:t>
            </w:r>
          </w:p>
          <w:p w:rsidR="00505AF3" w14:paraId="2548DE13" w14:textId="77777777">
            <w:pPr>
              <w:widowControl w:val="0"/>
              <w:numPr>
                <w:ilvl w:val="0"/>
                <w:numId w:val="6"/>
              </w:numPr>
              <w:rPr>
                <w:rFonts w:ascii="Arial" w:eastAsia="Arial" w:hAnsi="Arial" w:cs="Arial"/>
              </w:rPr>
            </w:pPr>
            <w:r>
              <w:rPr>
                <w:rFonts w:ascii="Arial" w:eastAsia="Arial" w:hAnsi="Arial" w:cs="Arial"/>
              </w:rPr>
              <w:t>Is monolingual or bilingual in Spanish</w:t>
            </w:r>
          </w:p>
          <w:p w:rsidR="00505AF3" w14:paraId="777C50DF" w14:textId="77777777">
            <w:pPr>
              <w:widowControl w:val="0"/>
              <w:numPr>
                <w:ilvl w:val="0"/>
                <w:numId w:val="6"/>
              </w:numPr>
              <w:rPr>
                <w:rFonts w:ascii="Arial" w:eastAsia="Arial" w:hAnsi="Arial" w:cs="Arial"/>
              </w:rPr>
            </w:pPr>
            <w:r>
              <w:rPr>
                <w:rFonts w:ascii="Arial" w:eastAsia="Arial" w:hAnsi="Arial" w:cs="Arial"/>
              </w:rPr>
              <w:t>Can read in Spanish</w:t>
            </w:r>
          </w:p>
          <w:p w:rsidR="00505AF3" w14:paraId="77377045" w14:textId="77777777">
            <w:pPr>
              <w:widowControl w:val="0"/>
              <w:numPr>
                <w:ilvl w:val="0"/>
                <w:numId w:val="6"/>
              </w:numPr>
              <w:rPr>
                <w:rFonts w:ascii="Arial" w:eastAsia="Arial" w:hAnsi="Arial" w:cs="Arial"/>
              </w:rPr>
            </w:pPr>
            <w:r>
              <w:rPr>
                <w:rFonts w:ascii="Arial" w:eastAsia="Arial" w:hAnsi="Arial" w:cs="Arial"/>
              </w:rPr>
              <w:t>Has reliable internet connection</w:t>
            </w:r>
          </w:p>
        </w:tc>
      </w:tr>
    </w:tbl>
    <w:p w:rsidR="00505AF3" w14:paraId="033F61F8" w14:textId="77777777">
      <w:pPr>
        <w:rPr>
          <w:sz w:val="22"/>
          <w:szCs w:val="22"/>
        </w:rPr>
      </w:pPr>
    </w:p>
    <w:p w:rsidR="00505AF3" w14:paraId="319E27D5" w14:textId="77777777">
      <w:pPr>
        <w:rPr>
          <w:sz w:val="22"/>
          <w:szCs w:val="22"/>
        </w:rPr>
      </w:pPr>
    </w:p>
    <w:p w:rsidR="00505AF3" w14:paraId="1B6AEDD3" w14:textId="77777777">
      <w:pPr>
        <w:rPr>
          <w:b/>
          <w:sz w:val="22"/>
          <w:szCs w:val="22"/>
        </w:rPr>
      </w:pPr>
    </w:p>
    <w:p w:rsidR="00505AF3" w14:paraId="70328128" w14:textId="77777777">
      <w:pPr>
        <w:rPr>
          <w:b/>
          <w:sz w:val="22"/>
          <w:szCs w:val="22"/>
        </w:rPr>
      </w:pPr>
      <w:r>
        <w:rPr>
          <w:b/>
          <w:sz w:val="22"/>
          <w:szCs w:val="22"/>
        </w:rPr>
        <w:t>Administration of the Instrument</w:t>
      </w:r>
    </w:p>
    <w:p w:rsidR="00505AF3" w14:paraId="5C91BCA3" w14:textId="77777777">
      <w:pPr>
        <w:numPr>
          <w:ilvl w:val="0"/>
          <w:numId w:val="2"/>
        </w:numPr>
        <w:pBdr>
          <w:top w:val="nil"/>
          <w:left w:val="nil"/>
          <w:bottom w:val="nil"/>
          <w:right w:val="nil"/>
          <w:between w:val="nil"/>
        </w:pBdr>
        <w:rPr>
          <w:color w:val="000000"/>
          <w:sz w:val="22"/>
          <w:szCs w:val="22"/>
        </w:rPr>
      </w:pPr>
      <w:r>
        <w:rPr>
          <w:color w:val="000000"/>
          <w:sz w:val="22"/>
          <w:szCs w:val="22"/>
        </w:rPr>
        <w:t>How will you collect the information? (Check all that apply)</w:t>
      </w:r>
    </w:p>
    <w:p w:rsidR="00505AF3" w14:paraId="5DFEA2A3" w14:textId="77777777">
      <w:pPr>
        <w:ind w:left="720"/>
        <w:rPr>
          <w:sz w:val="22"/>
          <w:szCs w:val="22"/>
        </w:rPr>
      </w:pPr>
      <w:r>
        <w:rPr>
          <w:sz w:val="22"/>
          <w:szCs w:val="22"/>
        </w:rPr>
        <w:t xml:space="preserve">[ </w:t>
      </w:r>
      <w:r>
        <w:rPr>
          <w:sz w:val="22"/>
          <w:szCs w:val="22"/>
        </w:rPr>
        <w:t>X ]</w:t>
      </w:r>
      <w:r>
        <w:rPr>
          <w:sz w:val="22"/>
          <w:szCs w:val="22"/>
        </w:rPr>
        <w:t xml:space="preserve"> Web-based or other forms of social media </w:t>
      </w:r>
    </w:p>
    <w:p w:rsidR="00505AF3" w14:paraId="0CB236DD" w14:textId="77777777">
      <w:pPr>
        <w:ind w:left="720"/>
        <w:rPr>
          <w:sz w:val="22"/>
          <w:szCs w:val="22"/>
        </w:rPr>
      </w:pPr>
      <w:r>
        <w:rPr>
          <w:sz w:val="22"/>
          <w:szCs w:val="22"/>
        </w:rPr>
        <w:t>[  ]</w:t>
      </w:r>
      <w:r>
        <w:rPr>
          <w:sz w:val="22"/>
          <w:szCs w:val="22"/>
        </w:rPr>
        <w:t xml:space="preserve"> Telephone</w:t>
      </w:r>
      <w:r>
        <w:rPr>
          <w:sz w:val="22"/>
          <w:szCs w:val="22"/>
        </w:rPr>
        <w:tab/>
      </w:r>
    </w:p>
    <w:p w:rsidR="00505AF3" w14:paraId="2BEF6220" w14:textId="77777777">
      <w:pPr>
        <w:ind w:left="720"/>
        <w:rPr>
          <w:sz w:val="22"/>
          <w:szCs w:val="22"/>
        </w:rPr>
      </w:pPr>
      <w:r>
        <w:rPr>
          <w:sz w:val="22"/>
          <w:szCs w:val="22"/>
        </w:rPr>
        <w:t>[  ]</w:t>
      </w:r>
      <w:r>
        <w:rPr>
          <w:sz w:val="22"/>
          <w:szCs w:val="22"/>
        </w:rPr>
        <w:t xml:space="preserve"> In-person</w:t>
      </w:r>
      <w:r>
        <w:rPr>
          <w:sz w:val="22"/>
          <w:szCs w:val="22"/>
        </w:rPr>
        <w:tab/>
      </w:r>
    </w:p>
    <w:p w:rsidR="00505AF3" w14:paraId="1994350D" w14:textId="77777777">
      <w:pPr>
        <w:ind w:left="720"/>
        <w:rPr>
          <w:sz w:val="22"/>
          <w:szCs w:val="22"/>
        </w:rPr>
      </w:pPr>
      <w:r>
        <w:rPr>
          <w:sz w:val="22"/>
          <w:szCs w:val="22"/>
        </w:rPr>
        <w:t>[  ]</w:t>
      </w:r>
      <w:r>
        <w:rPr>
          <w:sz w:val="22"/>
          <w:szCs w:val="22"/>
        </w:rPr>
        <w:t xml:space="preserve"> Mail </w:t>
      </w:r>
    </w:p>
    <w:p w:rsidR="00505AF3" w14:paraId="65C3FBE0" w14:textId="77777777">
      <w:pPr>
        <w:ind w:left="720"/>
        <w:rPr>
          <w:sz w:val="22"/>
          <w:szCs w:val="22"/>
        </w:rPr>
      </w:pPr>
      <w:r>
        <w:rPr>
          <w:sz w:val="22"/>
          <w:szCs w:val="22"/>
        </w:rPr>
        <w:t>[  ]</w:t>
      </w:r>
      <w:r>
        <w:rPr>
          <w:sz w:val="22"/>
          <w:szCs w:val="22"/>
        </w:rPr>
        <w:t xml:space="preserve"> Other, Explain</w:t>
      </w:r>
    </w:p>
    <w:p w:rsidR="00505AF3" w14:paraId="2AA2BD82" w14:textId="77777777">
      <w:pPr>
        <w:numPr>
          <w:ilvl w:val="0"/>
          <w:numId w:val="2"/>
        </w:numPr>
        <w:pBdr>
          <w:top w:val="nil"/>
          <w:left w:val="nil"/>
          <w:bottom w:val="nil"/>
          <w:right w:val="nil"/>
          <w:between w:val="nil"/>
        </w:pBdr>
        <w:rPr>
          <w:color w:val="000000"/>
          <w:sz w:val="22"/>
          <w:szCs w:val="22"/>
        </w:rPr>
      </w:pPr>
      <w:r>
        <w:rPr>
          <w:color w:val="000000"/>
          <w:sz w:val="22"/>
          <w:szCs w:val="22"/>
        </w:rPr>
        <w:t xml:space="preserve">Will interviewers or facilitators be used?  [ </w:t>
      </w:r>
      <w:r>
        <w:rPr>
          <w:sz w:val="22"/>
          <w:szCs w:val="22"/>
        </w:rPr>
        <w:t>X</w:t>
      </w:r>
      <w:r>
        <w:rPr>
          <w:color w:val="000000"/>
          <w:sz w:val="22"/>
          <w:szCs w:val="22"/>
        </w:rPr>
        <w:t xml:space="preserve"> ]</w:t>
      </w:r>
      <w:r>
        <w:rPr>
          <w:color w:val="000000"/>
          <w:sz w:val="22"/>
          <w:szCs w:val="22"/>
        </w:rPr>
        <w:t xml:space="preserve"> Yes [  ] No</w:t>
      </w:r>
    </w:p>
    <w:p w:rsidR="00505AF3" w14:paraId="404CE4BD" w14:textId="77777777">
      <w:pPr>
        <w:pBdr>
          <w:top w:val="nil"/>
          <w:left w:val="nil"/>
          <w:bottom w:val="nil"/>
          <w:right w:val="nil"/>
          <w:between w:val="nil"/>
        </w:pBdr>
        <w:ind w:left="360"/>
        <w:rPr>
          <w:sz w:val="22"/>
          <w:szCs w:val="22"/>
        </w:rPr>
      </w:pPr>
      <w:r>
        <w:rPr>
          <w:color w:val="000000"/>
          <w:sz w:val="22"/>
          <w:szCs w:val="22"/>
        </w:rPr>
        <w:t xml:space="preserve"> </w:t>
      </w:r>
    </w:p>
    <w:p w:rsidR="00505AF3" w14:paraId="60F00F8F" w14:textId="77777777">
      <w:pPr>
        <w:pBdr>
          <w:top w:val="nil"/>
          <w:left w:val="nil"/>
          <w:bottom w:val="nil"/>
          <w:right w:val="nil"/>
          <w:between w:val="nil"/>
        </w:pBdr>
        <w:rPr>
          <w:sz w:val="22"/>
          <w:szCs w:val="22"/>
        </w:rPr>
      </w:pPr>
    </w:p>
    <w:p w:rsidR="00505AF3" w14:paraId="7491C62D" w14:textId="77777777">
      <w:pPr>
        <w:rPr>
          <w:sz w:val="22"/>
          <w:szCs w:val="22"/>
        </w:rPr>
      </w:pPr>
    </w:p>
    <w:p w:rsidR="00505AF3" w14:paraId="176C9566" w14:textId="77777777">
      <w:pPr>
        <w:rPr>
          <w:sz w:val="22"/>
          <w:szCs w:val="22"/>
        </w:rPr>
      </w:pPr>
      <w:r>
        <w:rPr>
          <w:sz w:val="22"/>
          <w:szCs w:val="22"/>
        </w:rPr>
        <w:t>References</w:t>
      </w:r>
    </w:p>
    <w:p w:rsidR="00505AF3" w14:paraId="3BAC3702" w14:textId="77777777">
      <w:pPr>
        <w:keepLines/>
        <w:numPr>
          <w:ilvl w:val="0"/>
          <w:numId w:val="9"/>
        </w:numPr>
        <w:rPr>
          <w:sz w:val="22"/>
          <w:szCs w:val="22"/>
        </w:rPr>
      </w:pPr>
      <w:r>
        <w:rPr>
          <w:sz w:val="22"/>
          <w:szCs w:val="22"/>
        </w:rPr>
        <w:t xml:space="preserve"> </w:t>
      </w:r>
      <w:hyperlink r:id="rId6">
        <w:r>
          <w:rPr>
            <w:color w:val="0000FF"/>
            <w:sz w:val="22"/>
            <w:szCs w:val="22"/>
            <w:u w:val="single"/>
          </w:rPr>
          <w:t>NCHS Data Brief, Number 428, December 2021</w:t>
        </w:r>
      </w:hyperlink>
    </w:p>
    <w:p w:rsidR="00505AF3" w14:paraId="58C7101B" w14:textId="77777777">
      <w:pPr>
        <w:numPr>
          <w:ilvl w:val="0"/>
          <w:numId w:val="9"/>
        </w:numPr>
        <w:rPr>
          <w:sz w:val="22"/>
          <w:szCs w:val="22"/>
        </w:rPr>
      </w:pPr>
      <w:r>
        <w:rPr>
          <w:color w:val="222222"/>
          <w:sz w:val="22"/>
          <w:szCs w:val="22"/>
          <w:highlight w:val="white"/>
        </w:rPr>
        <w:t xml:space="preserve">Friedman, J. R., &amp; Hansen, H. (2022). Evaluation of increases in drug overdose mortality rates in the US by race and ethnicity before and during the COVID-19 pandemic. </w:t>
      </w:r>
      <w:r>
        <w:rPr>
          <w:i/>
          <w:color w:val="222222"/>
          <w:sz w:val="22"/>
          <w:szCs w:val="22"/>
          <w:highlight w:val="white"/>
        </w:rPr>
        <w:t>JAMA psychiatry</w:t>
      </w:r>
      <w:r>
        <w:rPr>
          <w:color w:val="222222"/>
          <w:sz w:val="22"/>
          <w:szCs w:val="22"/>
          <w:highlight w:val="white"/>
        </w:rPr>
        <w:t>.</w:t>
      </w:r>
    </w:p>
    <w:p w:rsidR="00505AF3" w14:paraId="67C1C77A" w14:textId="77777777">
      <w:pPr>
        <w:numPr>
          <w:ilvl w:val="0"/>
          <w:numId w:val="9"/>
        </w:numPr>
        <w:rPr>
          <w:sz w:val="22"/>
          <w:szCs w:val="22"/>
        </w:rPr>
      </w:pPr>
      <w:r>
        <w:rPr>
          <w:color w:val="222222"/>
          <w:sz w:val="22"/>
          <w:szCs w:val="22"/>
          <w:highlight w:val="white"/>
        </w:rPr>
        <w:t>Brenes</w:t>
      </w:r>
      <w:r>
        <w:rPr>
          <w:color w:val="222222"/>
          <w:sz w:val="22"/>
          <w:szCs w:val="22"/>
          <w:highlight w:val="white"/>
        </w:rPr>
        <w:t xml:space="preserve">, F., &amp; Henriquez, F. (2020). Hispanics, addictions, and the opioid epidemic: brief report. </w:t>
      </w:r>
      <w:r>
        <w:rPr>
          <w:i/>
          <w:color w:val="222222"/>
          <w:sz w:val="22"/>
          <w:szCs w:val="22"/>
          <w:highlight w:val="white"/>
        </w:rPr>
        <w:t>Hispanic Health Care International</w:t>
      </w:r>
      <w:r>
        <w:rPr>
          <w:color w:val="222222"/>
          <w:sz w:val="22"/>
          <w:szCs w:val="22"/>
          <w:highlight w:val="white"/>
        </w:rPr>
        <w:t xml:space="preserve">, </w:t>
      </w:r>
      <w:r>
        <w:rPr>
          <w:i/>
          <w:color w:val="222222"/>
          <w:sz w:val="22"/>
          <w:szCs w:val="22"/>
          <w:highlight w:val="white"/>
        </w:rPr>
        <w:t>18</w:t>
      </w:r>
      <w:r>
        <w:rPr>
          <w:color w:val="222222"/>
          <w:sz w:val="22"/>
          <w:szCs w:val="22"/>
          <w:highlight w:val="white"/>
        </w:rPr>
        <w:t>(1), 40-43.</w:t>
      </w:r>
    </w:p>
    <w:p w:rsidR="00505AF3" w14:paraId="100E9433" w14:textId="77777777">
      <w:pPr>
        <w:numPr>
          <w:ilvl w:val="0"/>
          <w:numId w:val="9"/>
        </w:numPr>
        <w:rPr>
          <w:sz w:val="22"/>
          <w:szCs w:val="22"/>
        </w:rPr>
      </w:pPr>
      <w:r>
        <w:rPr>
          <w:color w:val="222222"/>
          <w:sz w:val="22"/>
          <w:szCs w:val="22"/>
          <w:highlight w:val="white"/>
        </w:rPr>
        <w:t xml:space="preserve">Unger, J. B., Molina, G. B., &amp; Baron, M. F. (2021). Opioid knowledge and perceptions among Hispanic/Latino residents in Los Angeles. </w:t>
      </w:r>
      <w:r>
        <w:rPr>
          <w:i/>
          <w:color w:val="222222"/>
          <w:sz w:val="22"/>
          <w:szCs w:val="22"/>
          <w:highlight w:val="white"/>
        </w:rPr>
        <w:t>Substance Abuse</w:t>
      </w:r>
      <w:r>
        <w:rPr>
          <w:color w:val="222222"/>
          <w:sz w:val="22"/>
          <w:szCs w:val="22"/>
          <w:highlight w:val="white"/>
        </w:rPr>
        <w:t xml:space="preserve">, </w:t>
      </w:r>
      <w:r>
        <w:rPr>
          <w:i/>
          <w:color w:val="222222"/>
          <w:sz w:val="22"/>
          <w:szCs w:val="22"/>
          <w:highlight w:val="white"/>
        </w:rPr>
        <w:t>42</w:t>
      </w:r>
      <w:r>
        <w:rPr>
          <w:color w:val="222222"/>
          <w:sz w:val="22"/>
          <w:szCs w:val="22"/>
          <w:highlight w:val="white"/>
        </w:rPr>
        <w:t>(4), 603-609.</w:t>
      </w:r>
    </w:p>
    <w:p w:rsidR="00505AF3" w14:paraId="1A582C31" w14:textId="77777777">
      <w:pPr>
        <w:numPr>
          <w:ilvl w:val="0"/>
          <w:numId w:val="9"/>
        </w:numPr>
        <w:rPr>
          <w:sz w:val="22"/>
          <w:szCs w:val="22"/>
        </w:rPr>
      </w:pPr>
      <w:r>
        <w:rPr>
          <w:color w:val="222222"/>
          <w:sz w:val="22"/>
          <w:szCs w:val="22"/>
          <w:highlight w:val="white"/>
        </w:rPr>
        <w:t xml:space="preserve">Cano, M. (2020). Drug Overdose deaths among US Hispanics: trends (2000–2017) and recent patterns. </w:t>
      </w:r>
      <w:r>
        <w:rPr>
          <w:i/>
          <w:color w:val="222222"/>
          <w:sz w:val="22"/>
          <w:szCs w:val="22"/>
          <w:highlight w:val="white"/>
        </w:rPr>
        <w:t>Substance Use &amp; Misuse</w:t>
      </w:r>
      <w:r>
        <w:rPr>
          <w:color w:val="222222"/>
          <w:sz w:val="22"/>
          <w:szCs w:val="22"/>
          <w:highlight w:val="white"/>
        </w:rPr>
        <w:t xml:space="preserve">, </w:t>
      </w:r>
      <w:r>
        <w:rPr>
          <w:i/>
          <w:color w:val="222222"/>
          <w:sz w:val="22"/>
          <w:szCs w:val="22"/>
          <w:highlight w:val="white"/>
        </w:rPr>
        <w:t>55</w:t>
      </w:r>
      <w:r>
        <w:rPr>
          <w:color w:val="222222"/>
          <w:sz w:val="22"/>
          <w:szCs w:val="22"/>
          <w:highlight w:val="white"/>
        </w:rPr>
        <w:t>(13), 2138-2147.</w:t>
      </w:r>
    </w:p>
    <w:p w:rsidR="00505AF3" w14:paraId="43A4081A" w14:textId="77777777">
      <w:pPr>
        <w:keepLines/>
        <w:numPr>
          <w:ilvl w:val="0"/>
          <w:numId w:val="9"/>
        </w:numPr>
        <w:rPr>
          <w:sz w:val="22"/>
          <w:szCs w:val="22"/>
        </w:rPr>
      </w:pPr>
      <w:r>
        <w:rPr>
          <w:sz w:val="22"/>
          <w:szCs w:val="22"/>
        </w:rPr>
        <w:t xml:space="preserve">Abreu, D.A., &amp; Winters, F. (1999). Using monetary incentives to reduce attrition in the survey of income and program participation. </w:t>
      </w:r>
      <w:r>
        <w:rPr>
          <w:i/>
          <w:sz w:val="22"/>
          <w:szCs w:val="22"/>
        </w:rPr>
        <w:t>Proceedings of the Survey Research Methods Section of the American Statistical Association</w:t>
      </w:r>
      <w:r>
        <w:rPr>
          <w:sz w:val="22"/>
          <w:szCs w:val="22"/>
        </w:rPr>
        <w:t>.</w:t>
      </w:r>
    </w:p>
    <w:p w:rsidR="00505AF3" w14:paraId="06D79F0C" w14:textId="77777777">
      <w:pPr>
        <w:numPr>
          <w:ilvl w:val="0"/>
          <w:numId w:val="9"/>
        </w:numPr>
        <w:spacing w:line="276" w:lineRule="auto"/>
        <w:rPr>
          <w:color w:val="222222"/>
          <w:sz w:val="22"/>
          <w:szCs w:val="22"/>
          <w:highlight w:val="white"/>
        </w:rPr>
      </w:pPr>
      <w:r>
        <w:rPr>
          <w:color w:val="222222"/>
          <w:sz w:val="22"/>
          <w:szCs w:val="22"/>
          <w:highlight w:val="white"/>
        </w:rPr>
        <w:t>Bonevski</w:t>
      </w:r>
      <w:r>
        <w:rPr>
          <w:color w:val="222222"/>
          <w:sz w:val="22"/>
          <w:szCs w:val="22"/>
          <w:highlight w:val="white"/>
        </w:rPr>
        <w:t xml:space="preserve">, B., Randell, M., Paul, C., Chapman, K., Twyman, L., Bryant, J., ... &amp; Hughes, C. (2014). Reaching the hard-to-reach: a systematic review of strategies for improving health and medical research with socially disadvantaged groups. </w:t>
      </w:r>
      <w:r>
        <w:rPr>
          <w:i/>
          <w:color w:val="222222"/>
          <w:sz w:val="22"/>
          <w:szCs w:val="22"/>
          <w:highlight w:val="white"/>
        </w:rPr>
        <w:t>BMC medical research methodology</w:t>
      </w:r>
      <w:r>
        <w:rPr>
          <w:color w:val="222222"/>
          <w:sz w:val="22"/>
          <w:szCs w:val="22"/>
          <w:highlight w:val="white"/>
        </w:rPr>
        <w:t xml:space="preserve">, </w:t>
      </w:r>
      <w:r>
        <w:rPr>
          <w:i/>
          <w:color w:val="222222"/>
          <w:sz w:val="22"/>
          <w:szCs w:val="22"/>
          <w:highlight w:val="white"/>
        </w:rPr>
        <w:t>14</w:t>
      </w:r>
      <w:r>
        <w:rPr>
          <w:color w:val="222222"/>
          <w:sz w:val="22"/>
          <w:szCs w:val="22"/>
          <w:highlight w:val="white"/>
        </w:rPr>
        <w:t>(1), 1-29.</w:t>
      </w:r>
    </w:p>
    <w:p w:rsidR="00505AF3" w14:paraId="18FD3B6C" w14:textId="77777777">
      <w:pPr>
        <w:numPr>
          <w:ilvl w:val="0"/>
          <w:numId w:val="9"/>
        </w:numPr>
        <w:spacing w:line="276" w:lineRule="auto"/>
        <w:rPr>
          <w:color w:val="222222"/>
          <w:sz w:val="22"/>
          <w:szCs w:val="22"/>
          <w:highlight w:val="white"/>
        </w:rPr>
      </w:pPr>
      <w:r>
        <w:rPr>
          <w:color w:val="222222"/>
          <w:sz w:val="22"/>
          <w:szCs w:val="22"/>
          <w:highlight w:val="white"/>
        </w:rPr>
        <w:t xml:space="preserve">Krueger, R. and Casey, M. (2009) </w:t>
      </w:r>
      <w:r>
        <w:rPr>
          <w:i/>
          <w:color w:val="222222"/>
          <w:sz w:val="22"/>
          <w:szCs w:val="22"/>
          <w:highlight w:val="white"/>
        </w:rPr>
        <w:t>Focus Groups: A Practical Guide for Applied Research</w:t>
      </w:r>
      <w:r>
        <w:rPr>
          <w:color w:val="222222"/>
          <w:sz w:val="22"/>
          <w:szCs w:val="22"/>
          <w:highlight w:val="white"/>
        </w:rPr>
        <w:t xml:space="preserve">. Sage Publications: Thousand Oaks, </w:t>
      </w:r>
      <w:r>
        <w:rPr>
          <w:color w:val="222222"/>
          <w:sz w:val="22"/>
          <w:szCs w:val="22"/>
          <w:highlight w:val="white"/>
        </w:rPr>
        <w:t>CA.Robinson</w:t>
      </w:r>
      <w:r>
        <w:rPr>
          <w:color w:val="222222"/>
          <w:sz w:val="22"/>
          <w:szCs w:val="22"/>
          <w:highlight w:val="white"/>
        </w:rPr>
        <w:t xml:space="preserve">, K.A., Dennison, C.R., Wayman, D.M. </w:t>
      </w:r>
    </w:p>
    <w:p w:rsidR="00505AF3" w14:paraId="45DD4A38" w14:textId="77777777">
      <w:pPr>
        <w:numPr>
          <w:ilvl w:val="0"/>
          <w:numId w:val="9"/>
        </w:numPr>
        <w:spacing w:line="276" w:lineRule="auto"/>
        <w:rPr>
          <w:color w:val="222222"/>
          <w:sz w:val="22"/>
          <w:szCs w:val="22"/>
          <w:highlight w:val="white"/>
        </w:rPr>
      </w:pPr>
      <w:r>
        <w:rPr>
          <w:color w:val="222222"/>
          <w:sz w:val="22"/>
          <w:szCs w:val="22"/>
          <w:highlight w:val="white"/>
        </w:rPr>
        <w:t xml:space="preserve">Pronovost, P.J., and Needham, D.M. (2007). Systematic review identifies </w:t>
      </w:r>
      <w:r>
        <w:rPr>
          <w:color w:val="222222"/>
          <w:sz w:val="22"/>
          <w:szCs w:val="22"/>
          <w:highlight w:val="white"/>
        </w:rPr>
        <w:t>a number of</w:t>
      </w:r>
      <w:r>
        <w:rPr>
          <w:color w:val="222222"/>
          <w:sz w:val="22"/>
          <w:szCs w:val="22"/>
          <w:highlight w:val="white"/>
        </w:rPr>
        <w:t xml:space="preserve"> strategies important for retaining study participants. </w:t>
      </w:r>
      <w:r>
        <w:rPr>
          <w:i/>
          <w:color w:val="222222"/>
          <w:sz w:val="22"/>
          <w:szCs w:val="22"/>
          <w:highlight w:val="white"/>
        </w:rPr>
        <w:t>Journal Clin Epidemiology 60</w:t>
      </w:r>
      <w:r>
        <w:rPr>
          <w:color w:val="222222"/>
          <w:sz w:val="22"/>
          <w:szCs w:val="22"/>
          <w:highlight w:val="white"/>
        </w:rPr>
        <w:t>(8), 757-765.</w:t>
      </w:r>
    </w:p>
    <w:p w:rsidR="00505AF3" w14:paraId="557511B8" w14:textId="77777777">
      <w:pPr>
        <w:numPr>
          <w:ilvl w:val="0"/>
          <w:numId w:val="9"/>
        </w:numPr>
        <w:spacing w:line="276" w:lineRule="auto"/>
        <w:rPr>
          <w:color w:val="222222"/>
          <w:sz w:val="22"/>
          <w:szCs w:val="22"/>
          <w:highlight w:val="white"/>
        </w:rPr>
      </w:pPr>
      <w:r>
        <w:rPr>
          <w:sz w:val="22"/>
          <w:szCs w:val="22"/>
        </w:rPr>
        <w:t>Shettle</w:t>
      </w:r>
      <w:r>
        <w:rPr>
          <w:sz w:val="22"/>
          <w:szCs w:val="22"/>
        </w:rPr>
        <w:t xml:space="preserve">, C., &amp; Mooney, G. (1999). Monetary incentives in U.S. government surveys. </w:t>
      </w:r>
      <w:r>
        <w:rPr>
          <w:i/>
          <w:sz w:val="22"/>
          <w:szCs w:val="22"/>
        </w:rPr>
        <w:t>Journal of Official Statistics, 15</w:t>
      </w:r>
      <w:r>
        <w:rPr>
          <w:sz w:val="22"/>
          <w:szCs w:val="22"/>
        </w:rPr>
        <w:t>, 231–250.</w:t>
      </w:r>
    </w:p>
    <w:p w:rsidR="00505AF3" w14:paraId="0735B5B6" w14:textId="77777777">
      <w:pPr>
        <w:numPr>
          <w:ilvl w:val="0"/>
          <w:numId w:val="9"/>
        </w:numPr>
        <w:spacing w:line="276" w:lineRule="auto"/>
        <w:rPr>
          <w:color w:val="222222"/>
          <w:sz w:val="22"/>
          <w:szCs w:val="22"/>
          <w:highlight w:val="white"/>
        </w:rPr>
      </w:pPr>
      <w:r>
        <w:rPr>
          <w:color w:val="222222"/>
          <w:sz w:val="22"/>
          <w:szCs w:val="22"/>
          <w:highlight w:val="white"/>
        </w:rPr>
        <w:t xml:space="preserve">Singer, E., N. </w:t>
      </w:r>
      <w:r>
        <w:rPr>
          <w:color w:val="222222"/>
          <w:sz w:val="22"/>
          <w:szCs w:val="22"/>
          <w:highlight w:val="white"/>
        </w:rPr>
        <w:t>Gelber</w:t>
      </w:r>
      <w:r>
        <w:rPr>
          <w:color w:val="222222"/>
          <w:sz w:val="22"/>
          <w:szCs w:val="22"/>
          <w:highlight w:val="white"/>
        </w:rPr>
        <w:t xml:space="preserve">, J. Van </w:t>
      </w:r>
      <w:r>
        <w:rPr>
          <w:color w:val="222222"/>
          <w:sz w:val="22"/>
          <w:szCs w:val="22"/>
          <w:highlight w:val="white"/>
        </w:rPr>
        <w:t>Hoewyk</w:t>
      </w:r>
      <w:r>
        <w:rPr>
          <w:color w:val="222222"/>
          <w:sz w:val="22"/>
          <w:szCs w:val="22"/>
          <w:highlight w:val="white"/>
        </w:rPr>
        <w:t xml:space="preserve">, and J. Brown (1997). </w:t>
      </w:r>
      <w:r>
        <w:rPr>
          <w:i/>
          <w:color w:val="222222"/>
          <w:sz w:val="22"/>
          <w:szCs w:val="22"/>
          <w:highlight w:val="white"/>
        </w:rPr>
        <w:t xml:space="preserve">Does $10 Equal $10? The Effect </w:t>
      </w:r>
      <w:r>
        <w:rPr>
          <w:i/>
          <w:color w:val="222222"/>
          <w:sz w:val="22"/>
          <w:szCs w:val="22"/>
          <w:highlight w:val="white"/>
        </w:rPr>
        <w:t>of  Framing</w:t>
      </w:r>
      <w:r>
        <w:rPr>
          <w:i/>
          <w:color w:val="222222"/>
          <w:sz w:val="22"/>
          <w:szCs w:val="22"/>
          <w:highlight w:val="white"/>
        </w:rPr>
        <w:t xml:space="preserve"> on the Impact of Incentives</w:t>
      </w:r>
      <w:r>
        <w:rPr>
          <w:color w:val="222222"/>
          <w:sz w:val="22"/>
          <w:szCs w:val="22"/>
          <w:highlight w:val="white"/>
        </w:rPr>
        <w:t xml:space="preserve">. Paper presented at the American Association for Public </w:t>
      </w:r>
      <w:r>
        <w:rPr>
          <w:color w:val="222222"/>
          <w:sz w:val="22"/>
          <w:szCs w:val="22"/>
          <w:highlight w:val="white"/>
        </w:rPr>
        <w:t>Opinion;</w:t>
      </w:r>
      <w:r>
        <w:rPr>
          <w:color w:val="222222"/>
          <w:sz w:val="22"/>
          <w:szCs w:val="22"/>
          <w:highlight w:val="white"/>
        </w:rPr>
        <w:t xml:space="preserve"> Norfolk, VA.</w:t>
      </w:r>
    </w:p>
    <w:p w:rsidR="00505AF3" w14:paraId="3288AFE1" w14:textId="77777777">
      <w:pPr>
        <w:numPr>
          <w:ilvl w:val="0"/>
          <w:numId w:val="9"/>
        </w:numPr>
        <w:spacing w:after="60" w:line="276" w:lineRule="auto"/>
        <w:rPr>
          <w:rFonts w:ascii="Arial" w:eastAsia="Arial" w:hAnsi="Arial" w:cs="Arial"/>
          <w:color w:val="333333"/>
          <w:sz w:val="19"/>
          <w:szCs w:val="19"/>
          <w:highlight w:val="white"/>
        </w:rPr>
      </w:pPr>
      <w:r>
        <w:rPr>
          <w:color w:val="222222"/>
          <w:sz w:val="22"/>
          <w:szCs w:val="22"/>
          <w:highlight w:val="white"/>
        </w:rPr>
        <w:t xml:space="preserve">Singer, E., Van </w:t>
      </w:r>
      <w:r>
        <w:rPr>
          <w:color w:val="222222"/>
          <w:sz w:val="22"/>
          <w:szCs w:val="22"/>
          <w:highlight w:val="white"/>
        </w:rPr>
        <w:t>Hoewyk</w:t>
      </w:r>
      <w:r>
        <w:rPr>
          <w:color w:val="222222"/>
          <w:sz w:val="22"/>
          <w:szCs w:val="22"/>
          <w:highlight w:val="white"/>
        </w:rPr>
        <w:t xml:space="preserve">, J., and Maher, M.P. (2000). Experiments with Incentives in Telephone Surveys. </w:t>
      </w:r>
      <w:r>
        <w:rPr>
          <w:i/>
          <w:color w:val="222222"/>
          <w:sz w:val="22"/>
          <w:szCs w:val="22"/>
          <w:highlight w:val="white"/>
        </w:rPr>
        <w:t>Public Opinion Quarterly 64</w:t>
      </w:r>
      <w:r>
        <w:rPr>
          <w:color w:val="222222"/>
          <w:sz w:val="22"/>
          <w:szCs w:val="22"/>
          <w:highlight w:val="white"/>
        </w:rPr>
        <w:t>(3):171-188</w:t>
      </w:r>
      <w:r>
        <w:rPr>
          <w:rFonts w:ascii="Arial" w:eastAsia="Arial" w:hAnsi="Arial" w:cs="Arial"/>
          <w:b/>
          <w:color w:val="333333"/>
          <w:sz w:val="22"/>
          <w:szCs w:val="22"/>
          <w:highlight w:val="white"/>
        </w:rPr>
        <w:t>.</w:t>
      </w:r>
    </w:p>
    <w:p w:rsidR="00505AF3" w14:paraId="40D01D62" w14:textId="77777777">
      <w:pPr>
        <w:numPr>
          <w:ilvl w:val="0"/>
          <w:numId w:val="9"/>
        </w:numPr>
        <w:spacing w:after="60" w:line="276" w:lineRule="auto"/>
        <w:rPr>
          <w:color w:val="222222"/>
          <w:sz w:val="22"/>
          <w:szCs w:val="22"/>
          <w:highlight w:val="white"/>
        </w:rPr>
      </w:pPr>
      <w:r>
        <w:rPr>
          <w:color w:val="333333"/>
          <w:sz w:val="22"/>
          <w:szCs w:val="22"/>
          <w:highlight w:val="white"/>
        </w:rPr>
        <w:t> U.S. Bureau of Labor Statistics, </w:t>
      </w:r>
      <w:hyperlink r:id="rId7">
        <w:r>
          <w:rPr>
            <w:color w:val="BE1E2E"/>
            <w:sz w:val="22"/>
            <w:szCs w:val="22"/>
            <w:highlight w:val="white"/>
            <w:u w:val="single"/>
          </w:rPr>
          <w:t>Job Flexibilities and Work Schedules — 2017–2018 Data from the American Time Use Survey</w:t>
        </w:r>
      </w:hyperlink>
    </w:p>
    <w:p w:rsidR="00505AF3" w14:paraId="0B041FDB" w14:textId="77777777">
      <w:pPr>
        <w:rPr>
          <w:rFonts w:ascii="Arial" w:eastAsia="Arial" w:hAnsi="Arial" w:cs="Arial"/>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4F7BDBB5"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AA359F">
      <w:rPr>
        <w:color w:val="000000"/>
      </w:rPr>
      <w:fldChar w:fldCharType="separate"/>
    </w:r>
    <w:r>
      <w:rPr>
        <w:color w:val="000000"/>
      </w:rPr>
      <w:fldChar w:fldCharType="end"/>
    </w:r>
  </w:p>
  <w:p w:rsidR="00505AF3" w14:paraId="5DA87DCD"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25CC73F7" w14:textId="4EA88DB4">
    <w:pPr>
      <w:pBdr>
        <w:top w:val="nil"/>
        <w:left w:val="nil"/>
        <w:bottom w:val="nil"/>
        <w:right w:val="nil"/>
        <w:between w:val="nil"/>
      </w:pBdr>
      <w:tabs>
        <w:tab w:val="center" w:pos="4320"/>
        <w:tab w:val="right" w:pos="8640"/>
      </w:tabs>
      <w:jc w:val="right"/>
      <w:rPr>
        <w:color w:val="000000"/>
      </w:rPr>
    </w:pPr>
    <w:r>
      <w:rPr>
        <w:noProof/>
        <w:color w:val="000000"/>
        <w:sz w:val="22"/>
        <w:szCs w:val="22"/>
      </w:rPr>
      <mc:AlternateContent>
        <mc:Choice Requires="wps">
          <w:drawing>
            <wp:anchor distT="0" distB="0" distL="114300" distR="114300" simplePos="0" relativeHeight="251668480"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3d3447859ea251dfe0bc92dd"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172E2" w:rsidRPr="004172E2" w:rsidP="004172E2" w14:textId="135AE6E4">
                          <w:pPr>
                            <w:rPr>
                              <w:rFonts w:ascii="Calibri" w:hAnsi="Calibri" w:cs="Calibri"/>
                              <w:color w:val="000000"/>
                              <w:sz w:val="20"/>
                            </w:rPr>
                          </w:pPr>
                          <w:r w:rsidRPr="004172E2">
                            <w:rPr>
                              <w:rFonts w:ascii="Calibri" w:hAnsi="Calibri" w:cs="Calibri"/>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3d3447859ea251dfe0bc92dd" o:spid="_x0000_s2049" type="#_x0000_t202" alt="{&quot;HashCode&quot;:-1089082050,&quot;Height&quot;:792.0,&quot;Width&quot;:612.0,&quot;Placement&quot;:&quot;Footer&quot;,&quot;Index&quot;:&quot;Primary&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69504" o:allowincell="f" filled="f" stroked="f" strokeweight="0.5pt">
              <v:fill o:detectmouseclick="t"/>
              <v:textbox inset="20pt,0,,0">
                <w:txbxContent>
                  <w:p w:rsidR="004172E2" w:rsidRPr="004172E2" w:rsidP="004172E2" w14:paraId="3D646B8E" w14:textId="135AE6E4">
                    <w:pPr>
                      <w:rPr>
                        <w:rFonts w:ascii="Calibri" w:hAnsi="Calibri" w:cs="Calibri"/>
                        <w:color w:val="000000"/>
                        <w:sz w:val="20"/>
                      </w:rPr>
                    </w:pPr>
                    <w:r w:rsidRPr="004172E2">
                      <w:rPr>
                        <w:rFonts w:ascii="Calibri" w:hAnsi="Calibri" w:cs="Calibri"/>
                        <w:color w:val="000000"/>
                        <w:sz w:val="20"/>
                      </w:rPr>
                      <w:t>Restricted Use/Any User (No encryption)</w:t>
                    </w:r>
                  </w:p>
                </w:txbxContent>
              </v:textbox>
            </v:shape>
          </w:pict>
        </mc:Fallback>
      </mc:AlternateContent>
    </w:r>
    <w:r w:rsidR="00E7491E">
      <w:rPr>
        <w:color w:val="000000"/>
        <w:sz w:val="22"/>
        <w:szCs w:val="22"/>
      </w:rPr>
      <w:fldChar w:fldCharType="begin"/>
    </w:r>
    <w:r w:rsidR="00E7491E">
      <w:rPr>
        <w:color w:val="000000"/>
        <w:sz w:val="22"/>
        <w:szCs w:val="22"/>
      </w:rPr>
      <w:instrText>PAGE</w:instrText>
    </w:r>
    <w:r w:rsidR="00E7491E">
      <w:rPr>
        <w:color w:val="000000"/>
        <w:sz w:val="22"/>
        <w:szCs w:val="22"/>
      </w:rPr>
      <w:fldChar w:fldCharType="separate"/>
    </w:r>
    <w:r w:rsidR="009951E3">
      <w:rPr>
        <w:noProof/>
        <w:color w:val="000000"/>
        <w:sz w:val="22"/>
        <w:szCs w:val="22"/>
      </w:rPr>
      <w:t>2</w:t>
    </w:r>
    <w:r w:rsidR="00E7491E">
      <w:rPr>
        <w:color w:val="000000"/>
        <w:sz w:val="22"/>
        <w:szCs w:val="22"/>
      </w:rPr>
      <w:fldChar w:fldCharType="end"/>
    </w:r>
    <w:r w:rsidR="00E7491E">
      <w:rPr>
        <w:noProof/>
      </w:rPr>
      <mc:AlternateContent>
        <mc:Choice Requires="wps">
          <w:drawing>
            <wp:anchor distT="0" distB="0" distL="114300" distR="114300" simplePos="0" relativeHeight="251659264" behindDoc="0" locked="0" layoutInCell="1" allowOverlap="1">
              <wp:simplePos x="0" y="0"/>
              <wp:positionH relativeFrom="column">
                <wp:posOffset>-914399</wp:posOffset>
              </wp:positionH>
              <wp:positionV relativeFrom="paragraph">
                <wp:posOffset>9563100</wp:posOffset>
              </wp:positionV>
              <wp:extent cx="7800975" cy="301625"/>
              <wp:effectExtent l="0" t="0" r="0" b="0"/>
              <wp:wrapNone/>
              <wp:docPr id="13" name="Rectangle 13"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505AF3"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 id="Rectangle 13" o:spid="_x0000_s2050" type="#_x0000_t202" alt="{&quot;HashCode&quot;:-1089082050,&quot;Height&quot;:792.0,&quot;Width&quot;:612.0,&quot;Placement&quot;:&quot;Footer&quot;,&quot;Index&quot;:&quot;Primary&quot;,&quot;Section&quot;:1,&quot;Top&quot;:0.0,&quot;Left&quot;:0.0}" style="width:614.25pt;height:23.75pt;margin-top:753pt;margin-left:-72pt;mso-wrap-distance-bottom:0;mso-wrap-distance-left:9pt;mso-wrap-distance-right:9pt;mso-wrap-distance-top:0;position:absolute;v-text-anchor:bottom;z-index:251658240" filled="f" fillcolor="this" stroked="f">
              <v:textbox inset="20pt,0,7.2pt,0">
                <w:txbxContent>
                  <w:p w:rsidR="00505AF3" w14:paraId="298DBBFD" w14:textId="77777777">
                    <w:r>
                      <w:rPr>
                        <w:color w:val="000000"/>
                        <w:sz w:val="20"/>
                      </w:rPr>
                      <w:t>Restricted Use/Any User (No encryption)</w:t>
                    </w:r>
                  </w:p>
                </w:txbxContent>
              </v:textbox>
            </v:shape>
          </w:pict>
        </mc:Fallback>
      </mc:AlternateContent>
    </w:r>
    <w:r w:rsidR="00E7491E">
      <w:rPr>
        <w:noProof/>
      </w:rPr>
      <mc:AlternateContent>
        <mc:Choice Requires="wps">
          <w:drawing>
            <wp:anchor distT="0" distB="0" distL="114300" distR="114300" simplePos="0" relativeHeight="251661312"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7" name="Rectangle 17"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505AF3"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shape id="Rectangle 17" o:spid="_x0000_s2051" type="#_x0000_t202" alt="{&quot;HashCode&quot;:-1089082050,&quot;Height&quot;:792.0,&quot;Width&quot;:612.0,&quot;Placement&quot;:&quot;Footer&quot;,&quot;Index&quot;:&quot;Primary&quot;,&quot;Section&quot;:1,&quot;Top&quot;:0.0,&quot;Left&quot;:0.0}" style="width:612.75pt;height:22.25pt;margin-top:755pt;margin-left:-72pt;mso-wrap-distance-bottom:0;mso-wrap-distance-left:9pt;mso-wrap-distance-right:9pt;mso-wrap-distance-top:0;position:absolute;v-text-anchor:bottom;z-index:251660288" filled="f" fillcolor="this" stroked="f">
              <v:textbox inset="20pt,0,7.2pt,0">
                <w:txbxContent>
                  <w:p w:rsidR="00505AF3" w14:paraId="4A4B6ACE" w14:textId="77777777">
                    <w:r>
                      <w:rPr>
                        <w:rFonts w:ascii="Calibri" w:eastAsia="Calibri" w:hAnsi="Calibri" w:cs="Calibri"/>
                        <w:color w:val="000000"/>
                        <w:sz w:val="20"/>
                      </w:rPr>
                      <w:t>Restricted Use/Any User (No encryption)</w:t>
                    </w:r>
                  </w:p>
                </w:txbxContent>
              </v:textbox>
            </v:shape>
          </w:pict>
        </mc:Fallback>
      </mc:AlternateContent>
    </w:r>
  </w:p>
  <w:p w:rsidR="00505AF3" w14:paraId="2F89895F" w14:textId="77777777">
    <w:pPr>
      <w:pBdr>
        <w:top w:val="nil"/>
        <w:left w:val="nil"/>
        <w:bottom w:val="nil"/>
        <w:right w:val="nil"/>
        <w:between w:val="nil"/>
      </w:pBdr>
      <w:tabs>
        <w:tab w:val="center" w:pos="4320"/>
        <w:tab w:val="right" w:pos="8640"/>
        <w:tab w:val="right" w:pos="9000"/>
      </w:tabs>
      <w:ind w:right="360"/>
      <w:jc w:val="center"/>
      <w:rPr>
        <w:color w:val="000000"/>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-914399</wp:posOffset>
              </wp:positionH>
              <wp:positionV relativeFrom="paragraph">
                <wp:posOffset>9525000</wp:posOffset>
              </wp:positionV>
              <wp:extent cx="7829550" cy="330200"/>
              <wp:effectExtent l="0" t="0" r="0" b="0"/>
              <wp:wrapNone/>
              <wp:docPr id="14" name="Rectangle 14"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9550" cy="330200"/>
                      </a:xfrm>
                      <a:prstGeom prst="rect">
                        <a:avLst/>
                      </a:prstGeom>
                      <a:noFill/>
                      <a:ln>
                        <a:noFill/>
                      </a:ln>
                    </wps:spPr>
                    <wps:txbx>
                      <w:txbxContent>
                        <w:p w:rsidR="00505AF3"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 id="Rectangle 14" o:spid="_x0000_s2052" type="#_x0000_t202" alt="{&quot;HashCode&quot;:-1089082050,&quot;Height&quot;:792.0,&quot;Width&quot;:612.0,&quot;Placement&quot;:&quot;Footer&quot;,&quot;Index&quot;:&quot;Primary&quot;,&quot;Section&quot;:1,&quot;Top&quot;:0.0,&quot;Left&quot;:0.0}" style="width:616.5pt;height:26pt;margin-top:750pt;margin-left:-72pt;mso-wrap-distance-bottom:0;mso-wrap-distance-left:9pt;mso-wrap-distance-right:9pt;mso-wrap-distance-top:0;position:absolute;v-text-anchor:bottom;z-index:251662336" filled="f" fillcolor="this" stroked="f">
              <v:textbox inset="20pt,0,7.2pt,0">
                <w:txbxContent>
                  <w:p w:rsidR="00505AF3" w14:paraId="11E77878" w14:textId="77777777">
                    <w:r>
                      <w:rPr>
                        <w:color w:val="000000"/>
                        <w:sz w:val="20"/>
                      </w:rPr>
                      <w:t>Restricted Use/Any User (No encryption)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38DFA922" w14:textId="62BD6A41">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70528"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2" name="MSIPCM91544a49b46e99882b4e1911"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172E2" w:rsidRPr="004172E2" w:rsidP="004172E2" w14:textId="013C9EBF">
                          <w:pPr>
                            <w:rPr>
                              <w:rFonts w:ascii="Calibri" w:hAnsi="Calibri" w:cs="Calibri"/>
                              <w:color w:val="000000"/>
                              <w:sz w:val="20"/>
                            </w:rPr>
                          </w:pPr>
                          <w:r w:rsidRPr="004172E2">
                            <w:rPr>
                              <w:rFonts w:ascii="Calibri" w:hAnsi="Calibri" w:cs="Calibri"/>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91544a49b46e99882b4e1911" o:spid="_x0000_s2053" type="#_x0000_t202" alt="{&quot;HashCode&quot;:-1089082050,&quot;Height&quot;:792.0,&quot;Width&quot;:612.0,&quot;Placement&quot;:&quot;Footer&quot;,&quot;Index&quot;:&quot;FirstPage&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71552" o:allowincell="f" filled="f" stroked="f" strokeweight="0.5pt">
              <v:fill o:detectmouseclick="t"/>
              <v:textbox inset="20pt,0,,0">
                <w:txbxContent>
                  <w:p w:rsidR="004172E2" w:rsidRPr="004172E2" w:rsidP="004172E2" w14:paraId="14281E22" w14:textId="013C9EBF">
                    <w:pPr>
                      <w:rPr>
                        <w:rFonts w:ascii="Calibri" w:hAnsi="Calibri" w:cs="Calibri"/>
                        <w:color w:val="000000"/>
                        <w:sz w:val="20"/>
                      </w:rPr>
                    </w:pPr>
                    <w:r w:rsidRPr="004172E2">
                      <w:rPr>
                        <w:rFonts w:ascii="Calibri" w:hAnsi="Calibri" w:cs="Calibri"/>
                        <w:color w:val="000000"/>
                        <w:sz w:val="20"/>
                      </w:rPr>
                      <w:t>Restricted Use/Any User (No encryption)</w:t>
                    </w:r>
                  </w:p>
                </w:txbxContent>
              </v:textbox>
            </v:shape>
          </w:pict>
        </mc:Fallback>
      </mc:AlternateContent>
    </w:r>
    <w:r w:rsidR="00E7491E">
      <w:rPr>
        <w:noProof/>
      </w:rPr>
      <mc:AlternateContent>
        <mc:Choice Requires="wps">
          <w:drawing>
            <wp:anchor distT="0" distB="0" distL="114300" distR="114300" simplePos="0" relativeHeight="251665408" behindDoc="0" locked="0" layoutInCell="1" allowOverlap="1">
              <wp:simplePos x="0" y="0"/>
              <wp:positionH relativeFrom="column">
                <wp:posOffset>-914399</wp:posOffset>
              </wp:positionH>
              <wp:positionV relativeFrom="paragraph">
                <wp:posOffset>9563100</wp:posOffset>
              </wp:positionV>
              <wp:extent cx="7800975" cy="301625"/>
              <wp:effectExtent l="0" t="0" r="0" b="0"/>
              <wp:wrapNone/>
              <wp:docPr id="15" name="Rectangle 15"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505AF3"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 id="Rectangle 15" o:spid="_x0000_s2054" type="#_x0000_t202" alt="{&quot;HashCode&quot;:-1089082050,&quot;Height&quot;:792.0,&quot;Width&quot;:612.0,&quot;Placement&quot;:&quot;Footer&quot;,&quot;Index&quot;:&quot;FirstPage&quot;,&quot;Section&quot;:1,&quot;Top&quot;:0.0,&quot;Left&quot;:0.0}" style="width:614.25pt;height:23.75pt;margin-top:753pt;margin-left:-72pt;mso-wrap-distance-bottom:0;mso-wrap-distance-left:9pt;mso-wrap-distance-right:9pt;mso-wrap-distance-top:0;position:absolute;v-text-anchor:bottom;z-index:251664384" filled="f" fillcolor="this" stroked="f">
              <v:textbox inset="20pt,0,7.2pt,0">
                <w:txbxContent>
                  <w:p w:rsidR="00505AF3" w14:paraId="7D8FCEB1" w14:textId="77777777">
                    <w:r>
                      <w:rPr>
                        <w:color w:val="000000"/>
                        <w:sz w:val="20"/>
                      </w:rPr>
                      <w:t>Restricted Use/Any User (No encryption)</w:t>
                    </w:r>
                  </w:p>
                </w:txbxContent>
              </v:textbox>
            </v:shape>
          </w:pict>
        </mc:Fallback>
      </mc:AlternateContent>
    </w:r>
    <w:r w:rsidR="00E7491E">
      <w:rPr>
        <w:noProof/>
      </w:rPr>
      <mc:AlternateContent>
        <mc:Choice Requires="wps">
          <w:drawing>
            <wp:anchor distT="0" distB="0" distL="114300" distR="114300" simplePos="0" relativeHeight="251667456"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6" name="Rectangle 16"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505AF3"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shape id="Rectangle 16" o:spid="_x0000_s2055" type="#_x0000_t202" alt="{&quot;HashCode&quot;:-1089082050,&quot;Height&quot;:792.0,&quot;Width&quot;:612.0,&quot;Placement&quot;:&quot;Footer&quot;,&quot;Index&quot;:&quot;FirstPage&quot;,&quot;Section&quot;:1,&quot;Top&quot;:0.0,&quot;Left&quot;:0.0}" style="width:612.75pt;height:22.25pt;margin-top:755pt;margin-left:-72pt;mso-wrap-distance-bottom:0;mso-wrap-distance-left:9pt;mso-wrap-distance-right:9pt;mso-wrap-distance-top:0;position:absolute;v-text-anchor:bottom;z-index:251666432" filled="f" fillcolor="this" stroked="f">
              <v:textbox inset="20pt,0,7.2pt,0">
                <w:txbxContent>
                  <w:p w:rsidR="00505AF3" w14:paraId="46DAAF94" w14:textId="77777777">
                    <w:r>
                      <w:rPr>
                        <w:rFonts w:ascii="Calibri" w:eastAsia="Calibri" w:hAnsi="Calibri" w:cs="Calibri"/>
                        <w:color w:val="000000"/>
                        <w:sz w:val="20"/>
                      </w:rPr>
                      <w:t>Restricted Use/Any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13CA6363" w14:textId="77777777">
    <w:pPr>
      <w:widowControl w:val="0"/>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5DA9B2C1" w14:textId="77777777">
    <w:pPr>
      <w:widowControl w:val="0"/>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0C7C6733" w14:textId="77777777">
    <w:pPr>
      <w:jc w:val="right"/>
    </w:pPr>
    <w:r>
      <w:t>OMB No. 0920-1154</w:t>
    </w:r>
  </w:p>
  <w:p w:rsidR="00505AF3" w14:paraId="1B8FC8DA"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870EC"/>
    <w:multiLevelType w:val="multilevel"/>
    <w:tmpl w:val="A4060D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EE2E44"/>
    <w:multiLevelType w:val="multilevel"/>
    <w:tmpl w:val="5FF49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1924C93"/>
    <w:multiLevelType w:val="multilevel"/>
    <w:tmpl w:val="DD825F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4DB1CD7"/>
    <w:multiLevelType w:val="multilevel"/>
    <w:tmpl w:val="2F9A74C2"/>
    <w:lvl w:ilvl="0">
      <w:start w:val="1"/>
      <w:numFmt w:val="bullet"/>
      <w:lvlText w:val="●"/>
      <w:lvlJc w:val="left"/>
      <w:pPr>
        <w:ind w:left="720" w:hanging="360"/>
      </w:pPr>
      <w:rPr>
        <w:rFonts w:ascii="Noto Sans Symbols" w:eastAsia="Noto Sans Symbols" w:hAnsi="Noto Sans Symbols" w:cs="Noto Sans Symbols"/>
        <w:sz w:val="20"/>
        <w:szCs w:val="20"/>
      </w:rPr>
    </w:lvl>
    <w:lvl w:ilvl="1">
      <w:start w:val="0"/>
      <w:numFmt w:val="bullet"/>
      <w:lvlText w:val="o"/>
      <w:lvlJc w:val="left"/>
      <w:pPr>
        <w:ind w:left="1440" w:hanging="360"/>
      </w:pPr>
      <w:rPr>
        <w:rFonts w:ascii="Courier New" w:eastAsia="Courier New" w:hAnsi="Courier New" w:cs="Courier New"/>
        <w:sz w:val="20"/>
        <w:szCs w:val="20"/>
      </w:rPr>
    </w:lvl>
    <w:lvl w:ilvl="2">
      <w:start w:val="0"/>
      <w:numFmt w:val="bullet"/>
      <w:lvlText w:val="▪"/>
      <w:lvlJc w:val="left"/>
      <w:pPr>
        <w:ind w:left="2160" w:hanging="360"/>
      </w:pPr>
      <w:rPr>
        <w:rFonts w:ascii="Noto Sans Symbols" w:eastAsia="Noto Sans Symbols" w:hAnsi="Noto Sans Symbols" w:cs="Noto Sans Symbols"/>
        <w:sz w:val="20"/>
        <w:szCs w:val="20"/>
      </w:rPr>
    </w:lvl>
    <w:lvl w:ilvl="3">
      <w:start w:val="0"/>
      <w:numFmt w:val="bullet"/>
      <w:lvlText w:val="▪"/>
      <w:lvlJc w:val="left"/>
      <w:pPr>
        <w:ind w:left="2880" w:hanging="360"/>
      </w:pPr>
      <w:rPr>
        <w:rFonts w:ascii="Noto Sans Symbols" w:eastAsia="Noto Sans Symbols" w:hAnsi="Noto Sans Symbols" w:cs="Noto Sans Symbols"/>
        <w:sz w:val="20"/>
        <w:szCs w:val="20"/>
      </w:rPr>
    </w:lvl>
    <w:lvl w:ilvl="4">
      <w:start w:val="0"/>
      <w:numFmt w:val="bullet"/>
      <w:lvlText w:val="▪"/>
      <w:lvlJc w:val="left"/>
      <w:pPr>
        <w:ind w:left="3600" w:hanging="360"/>
      </w:pPr>
      <w:rPr>
        <w:rFonts w:ascii="Noto Sans Symbols" w:eastAsia="Noto Sans Symbols" w:hAnsi="Noto Sans Symbols" w:cs="Noto Sans Symbols"/>
        <w:sz w:val="20"/>
        <w:szCs w:val="20"/>
      </w:rPr>
    </w:lvl>
    <w:lvl w:ilvl="5">
      <w:start w:val="0"/>
      <w:numFmt w:val="bullet"/>
      <w:lvlText w:val="▪"/>
      <w:lvlJc w:val="left"/>
      <w:pPr>
        <w:ind w:left="4320" w:hanging="360"/>
      </w:pPr>
      <w:rPr>
        <w:rFonts w:ascii="Noto Sans Symbols" w:eastAsia="Noto Sans Symbols" w:hAnsi="Noto Sans Symbols" w:cs="Noto Sans Symbols"/>
        <w:sz w:val="20"/>
        <w:szCs w:val="20"/>
      </w:rPr>
    </w:lvl>
    <w:lvl w:ilvl="6">
      <w:start w:val="0"/>
      <w:numFmt w:val="bullet"/>
      <w:lvlText w:val="▪"/>
      <w:lvlJc w:val="left"/>
      <w:pPr>
        <w:ind w:left="5040" w:hanging="360"/>
      </w:pPr>
      <w:rPr>
        <w:rFonts w:ascii="Noto Sans Symbols" w:eastAsia="Noto Sans Symbols" w:hAnsi="Noto Sans Symbols" w:cs="Noto Sans Symbols"/>
        <w:sz w:val="20"/>
        <w:szCs w:val="20"/>
      </w:rPr>
    </w:lvl>
    <w:lvl w:ilvl="7">
      <w:start w:val="0"/>
      <w:numFmt w:val="bullet"/>
      <w:lvlText w:val="▪"/>
      <w:lvlJc w:val="left"/>
      <w:pPr>
        <w:ind w:left="5760" w:hanging="360"/>
      </w:pPr>
      <w:rPr>
        <w:rFonts w:ascii="Noto Sans Symbols" w:eastAsia="Noto Sans Symbols" w:hAnsi="Noto Sans Symbols" w:cs="Noto Sans Symbols"/>
        <w:sz w:val="20"/>
        <w:szCs w:val="20"/>
      </w:rPr>
    </w:lvl>
    <w:lvl w:ilvl="8">
      <w:start w:val="0"/>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55195630"/>
    <w:multiLevelType w:val="multilevel"/>
    <w:tmpl w:val="7F125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E9B333D"/>
    <w:multiLevelType w:val="multilevel"/>
    <w:tmpl w:val="CE5090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B4A542F"/>
    <w:multiLevelType w:val="multilevel"/>
    <w:tmpl w:val="BB868AAE"/>
    <w:lvl w:ilvl="0">
      <w:start w:val="1"/>
      <w:numFmt w:val="decimal"/>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abstractNum w:abstractNumId="7">
    <w:nsid w:val="6DE07628"/>
    <w:multiLevelType w:val="multilevel"/>
    <w:tmpl w:val="3A206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FB824FF"/>
    <w:multiLevelType w:val="multilevel"/>
    <w:tmpl w:val="EDCC4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118560">
    <w:abstractNumId w:val="7"/>
  </w:num>
  <w:num w:numId="2" w16cid:durableId="581917083">
    <w:abstractNumId w:val="5"/>
  </w:num>
  <w:num w:numId="3" w16cid:durableId="561990780">
    <w:abstractNumId w:val="2"/>
  </w:num>
  <w:num w:numId="4" w16cid:durableId="224069479">
    <w:abstractNumId w:val="8"/>
  </w:num>
  <w:num w:numId="5" w16cid:durableId="1734228926">
    <w:abstractNumId w:val="0"/>
  </w:num>
  <w:num w:numId="6" w16cid:durableId="1446583603">
    <w:abstractNumId w:val="1"/>
  </w:num>
  <w:num w:numId="7" w16cid:durableId="1097948954">
    <w:abstractNumId w:val="3"/>
  </w:num>
  <w:num w:numId="8" w16cid:durableId="1326517333">
    <w:abstractNumId w:val="6"/>
  </w:num>
  <w:num w:numId="9" w16cid:durableId="322785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F3"/>
    <w:rsid w:val="002D7AF2"/>
    <w:rsid w:val="004172E2"/>
    <w:rsid w:val="00505AF3"/>
    <w:rsid w:val="005F0A20"/>
    <w:rsid w:val="00672EDD"/>
    <w:rsid w:val="009951E3"/>
    <w:rsid w:val="00AA359F"/>
    <w:rsid w:val="00CE39C1"/>
    <w:rsid w:val="00E371D7"/>
    <w:rsid w:val="00E7491E"/>
    <w:rsid w:val="00F806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F9A0C3"/>
  <w15:docId w15:val="{4710886E-226D-6046-8406-8C1BE986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4C1"/>
  </w:style>
  <w:style w:type="paragraph" w:styleId="Heading1">
    <w:name w:val="heading 1"/>
    <w:basedOn w:val="Normal"/>
    <w:next w:val="Normal"/>
    <w:link w:val="Heading1Char"/>
    <w:uiPriority w:val="9"/>
    <w:qFormat/>
    <w:rsid w:val="00EA2C4C"/>
    <w:pPr>
      <w:keepNext/>
      <w:keepLines/>
      <w:spacing w:before="320" w:after="80"/>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A2C4C"/>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A2C4C"/>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locked/>
    <w:rsid w:val="00EA2C4C"/>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2C4C"/>
    <w:pPr>
      <w:pBdr>
        <w:top w:val="single" w:sz="6" w:space="8" w:color="9BBB59" w:themeColor="accent3"/>
        <w:bottom w:val="single" w:sz="6" w:space="8" w:color="9BBB59" w:themeColor="accent3"/>
      </w:pBdr>
      <w:spacing w:after="400"/>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rPr>
      <w:b/>
      <w:bCs/>
      <w:color w:val="404040" w:themeColor="text1" w:themeTint="BF"/>
      <w:sz w:val="16"/>
      <w:szCs w:val="16"/>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pPr>
      <w:jc w:val="center"/>
    </w:pPr>
    <w:rPr>
      <w:color w:val="1F497D"/>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rPr>
      <w:sz w:val="20"/>
      <w:szCs w:val="20"/>
    </w:rPr>
    <w:tblPr>
      <w:tblStyleRowBandSize w:val="1"/>
      <w:tblStyleColBandSize w:val="1"/>
      <w:tblCellMar>
        <w:left w:w="115" w:type="dxa"/>
        <w:right w:w="115" w:type="dxa"/>
      </w:tblCellMar>
    </w:tblPr>
  </w:style>
  <w:style w:type="table" w:customStyle="1" w:styleId="a1">
    <w:name w:val="a1"/>
    <w:basedOn w:val="TableNormal"/>
    <w:rPr>
      <w:sz w:val="20"/>
      <w:szCs w:val="20"/>
    </w:rPr>
    <w:tblPr>
      <w:tblStyleRowBandSize w:val="1"/>
      <w:tblStyleColBandSize w:val="1"/>
      <w:tblCellMar>
        <w:left w:w="115" w:type="dxa"/>
        <w:right w:w="115" w:type="dxa"/>
      </w:tblCellMar>
    </w:tblPr>
  </w:style>
  <w:style w:type="table" w:customStyle="1" w:styleId="a2">
    <w:name w:val="a2"/>
    <w:basedOn w:val="TableNormal"/>
    <w:rPr>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D534C1"/>
    <w:rPr>
      <w:color w:val="0000FF"/>
      <w:u w:val="single"/>
    </w:r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A59B2"/>
  </w:style>
  <w:style w:type="character" w:styleId="FollowedHyperlink">
    <w:name w:val="FollowedHyperlink"/>
    <w:basedOn w:val="DefaultParagraphFont"/>
    <w:uiPriority w:val="99"/>
    <w:semiHidden/>
    <w:unhideWhenUsed/>
    <w:rsid w:val="00891BED"/>
    <w:rPr>
      <w:color w:val="800080" w:themeColor="followedHyperlink"/>
      <w:u w:val="single"/>
    </w:r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cdc.gov/stopoverdose." TargetMode="External" /><Relationship Id="rId6" Type="http://schemas.openxmlformats.org/officeDocument/2006/relationships/hyperlink" Target="https://www.cdc.gov/nchs/data/databriefs/db428.pdf" TargetMode="External" /><Relationship Id="rId7" Type="http://schemas.openxmlformats.org/officeDocument/2006/relationships/hyperlink" Target="https://www.bls.gov/news.release/pdf/flex2.pdf"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6zkEvYKRdu4Wd38Q9M+6lnT/jQ==">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Joyce, Kevin J. (CDC/DDPHSS/OS/OSI)</cp:lastModifiedBy>
  <cp:revision>3</cp:revision>
  <dcterms:created xsi:type="dcterms:W3CDTF">2023-03-16T18:26:00Z</dcterms:created>
  <dcterms:modified xsi:type="dcterms:W3CDTF">2023-03-16T18:27:00Z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0x01010027FE001747C10E40A83A15042A6D94AF</vt:lpwstr>
  </property>
  <property fmtid="{D5CDD505-2E9C-101B-9397-08002B2CF9AE}" pid="3" name="MSIP_Label_c01c683a-a56a-4e24-80b4-f9e796206719_ActionId">
    <vt:lpwstr>13769b7a-2977-4040-a6ee-32ae0ab50955</vt:lpwstr>
  </property>
  <property fmtid="{D5CDD505-2E9C-101B-9397-08002B2CF9AE}" pid="4" name="MSIP_Label_c01c683a-a56a-4e24-80b4-f9e796206719_ContentBits">
    <vt:lpwstr>2</vt:lpwstr>
  </property>
  <property fmtid="{D5CDD505-2E9C-101B-9397-08002B2CF9AE}" pid="5" name="MSIP_Label_c01c683a-a56a-4e24-80b4-f9e796206719_Enabled">
    <vt:lpwstr>true</vt:lpwstr>
  </property>
  <property fmtid="{D5CDD505-2E9C-101B-9397-08002B2CF9AE}" pid="6" name="MSIP_Label_c01c683a-a56a-4e24-80b4-f9e796206719_Method">
    <vt:lpwstr>Privileged</vt:lpwstr>
  </property>
  <property fmtid="{D5CDD505-2E9C-101B-9397-08002B2CF9AE}" pid="7" name="MSIP_Label_c01c683a-a56a-4e24-80b4-f9e796206719_Name">
    <vt:lpwstr>c01c683a-a56a-4e24-80b4-f9e796206719</vt:lpwstr>
  </property>
  <property fmtid="{D5CDD505-2E9C-101B-9397-08002B2CF9AE}" pid="8" name="MSIP_Label_c01c683a-a56a-4e24-80b4-f9e796206719_SetDate">
    <vt:lpwstr>2023-03-16T18:27:44Z</vt:lpwstr>
  </property>
  <property fmtid="{D5CDD505-2E9C-101B-9397-08002B2CF9AE}" pid="9" name="MSIP_Label_c01c683a-a56a-4e24-80b4-f9e796206719_SiteId">
    <vt:lpwstr>9ce70869-60db-44fd-abe8-d2767077fc8f</vt:lpwstr>
  </property>
</Properties>
</file>