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054" w:rsidRPr="009332D2" w:rsidP="00B47B1C" w14:paraId="10584729" w14:textId="77777777">
      <w:pPr>
        <w:jc w:val="center"/>
        <w:rPr>
          <w:rFonts w:asciiTheme="minorHAnsi" w:hAnsiTheme="minorHAnsi" w:cstheme="minorHAnsi"/>
          <w:b/>
        </w:rPr>
      </w:pPr>
    </w:p>
    <w:p w:rsidR="00F03054" w:rsidRPr="00FC782A" w:rsidP="00FC782A" w14:paraId="25AEAE63" w14:textId="77777777">
      <w:pPr>
        <w:pStyle w:val="Title"/>
        <w:jc w:val="center"/>
        <w:rPr>
          <w:rFonts w:asciiTheme="minorHAnsi" w:hAnsiTheme="minorHAnsi" w:cstheme="minorHAnsi"/>
          <w:b/>
          <w:bCs/>
          <w:sz w:val="24"/>
          <w:szCs w:val="24"/>
        </w:rPr>
      </w:pPr>
      <w:r w:rsidRPr="00FC782A">
        <w:rPr>
          <w:rFonts w:asciiTheme="minorHAnsi" w:hAnsiTheme="minorHAnsi" w:cstheme="minorHAnsi"/>
          <w:b/>
          <w:bCs/>
          <w:sz w:val="24"/>
          <w:szCs w:val="24"/>
        </w:rPr>
        <w:t>Generic Clearance</w:t>
      </w:r>
      <w:r w:rsidRPr="00FC782A" w:rsidR="00330F92">
        <w:rPr>
          <w:rFonts w:asciiTheme="minorHAnsi" w:hAnsiTheme="minorHAnsi" w:cstheme="minorHAnsi"/>
          <w:b/>
          <w:bCs/>
          <w:sz w:val="24"/>
          <w:szCs w:val="24"/>
        </w:rPr>
        <w:t xml:space="preserve"> for CDC/ATSDR</w:t>
      </w:r>
    </w:p>
    <w:p w:rsidR="005B26E9" w:rsidRPr="00FC782A" w:rsidP="00FC782A" w14:paraId="65C97FE7" w14:textId="77777777">
      <w:pPr>
        <w:pStyle w:val="Title"/>
        <w:jc w:val="center"/>
        <w:rPr>
          <w:rFonts w:asciiTheme="minorHAnsi" w:hAnsiTheme="minorHAnsi" w:cstheme="minorHAnsi"/>
          <w:b/>
          <w:bCs/>
          <w:sz w:val="24"/>
          <w:szCs w:val="24"/>
        </w:rPr>
      </w:pPr>
    </w:p>
    <w:p w:rsidR="009E3AC6" w:rsidRPr="00FC782A" w:rsidP="00FC782A" w14:paraId="6BDFC364" w14:textId="02FAACF2">
      <w:pPr>
        <w:pStyle w:val="Title"/>
        <w:jc w:val="center"/>
        <w:rPr>
          <w:rFonts w:asciiTheme="minorHAnsi" w:hAnsiTheme="minorHAnsi" w:cstheme="minorHAnsi"/>
          <w:b/>
          <w:bCs/>
          <w:sz w:val="24"/>
          <w:szCs w:val="24"/>
        </w:rPr>
      </w:pPr>
      <w:r w:rsidRPr="00FC782A">
        <w:rPr>
          <w:rFonts w:asciiTheme="minorHAnsi" w:hAnsiTheme="minorHAnsi" w:cstheme="minorHAnsi"/>
          <w:b/>
          <w:bCs/>
          <w:sz w:val="24"/>
          <w:szCs w:val="24"/>
        </w:rPr>
        <w:t xml:space="preserve">Formative Needs Assessment for </w:t>
      </w:r>
      <w:r w:rsidRPr="00FC782A" w:rsidR="002B1C1F">
        <w:rPr>
          <w:rFonts w:asciiTheme="minorHAnsi" w:hAnsiTheme="minorHAnsi" w:cstheme="minorHAnsi"/>
          <w:b/>
          <w:bCs/>
          <w:sz w:val="24"/>
          <w:szCs w:val="24"/>
        </w:rPr>
        <w:t>Regional Worker Health Monitoring in a Rural Oil and Gas Basin: A Pilot</w:t>
      </w:r>
    </w:p>
    <w:p w:rsidR="005B26E9" w:rsidRPr="00FC782A" w:rsidP="00FC782A" w14:paraId="76BC2521" w14:textId="77777777">
      <w:pPr>
        <w:pStyle w:val="Title"/>
        <w:jc w:val="center"/>
        <w:rPr>
          <w:rFonts w:asciiTheme="minorHAnsi" w:hAnsiTheme="minorHAnsi" w:cstheme="minorHAnsi"/>
          <w:b/>
          <w:bCs/>
          <w:sz w:val="24"/>
          <w:szCs w:val="24"/>
        </w:rPr>
      </w:pPr>
    </w:p>
    <w:p w:rsidR="009E3AC6" w:rsidRPr="00FC782A" w:rsidP="00FC782A" w14:paraId="0257B244" w14:textId="7E3C9F67">
      <w:pPr>
        <w:pStyle w:val="Title"/>
        <w:jc w:val="center"/>
        <w:rPr>
          <w:rFonts w:asciiTheme="minorHAnsi" w:hAnsiTheme="minorHAnsi" w:cstheme="minorHAnsi"/>
          <w:b/>
          <w:bCs/>
          <w:sz w:val="24"/>
          <w:szCs w:val="24"/>
        </w:rPr>
      </w:pPr>
      <w:r w:rsidRPr="00FC782A">
        <w:rPr>
          <w:rFonts w:asciiTheme="minorHAnsi" w:hAnsiTheme="minorHAnsi" w:cstheme="minorHAnsi"/>
          <w:b/>
          <w:bCs/>
          <w:sz w:val="24"/>
          <w:szCs w:val="24"/>
        </w:rPr>
        <w:t>0920-1154</w:t>
      </w:r>
    </w:p>
    <w:p w:rsidR="00662F81" w:rsidRPr="009332D2" w:rsidP="00B47B1C" w14:paraId="795E9392" w14:textId="77777777">
      <w:pPr>
        <w:rPr>
          <w:rFonts w:asciiTheme="minorHAnsi" w:hAnsiTheme="minorHAnsi" w:cstheme="minorHAnsi"/>
        </w:rPr>
      </w:pPr>
    </w:p>
    <w:p w:rsidR="00662F81" w:rsidRPr="009332D2" w:rsidP="00662F81" w14:paraId="3C50431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color w:val="000000"/>
        </w:rPr>
      </w:pPr>
    </w:p>
    <w:p w:rsidR="00F03054" w:rsidRPr="009332D2" w:rsidP="00B47B1C" w14:paraId="6E2A0432" w14:textId="77777777">
      <w:pPr>
        <w:jc w:val="center"/>
        <w:rPr>
          <w:rFonts w:asciiTheme="minorHAnsi" w:hAnsiTheme="minorHAnsi" w:cstheme="minorHAnsi"/>
          <w:lang w:val="fr-FR"/>
        </w:rPr>
      </w:pPr>
    </w:p>
    <w:p w:rsidR="00F03054" w:rsidRPr="009332D2" w:rsidP="00B47B1C" w14:paraId="5CEFD944" w14:textId="77777777">
      <w:pPr>
        <w:jc w:val="center"/>
        <w:rPr>
          <w:rFonts w:asciiTheme="minorHAnsi" w:hAnsiTheme="minorHAnsi" w:cstheme="minorHAnsi"/>
          <w:lang w:val="fr-FR"/>
        </w:rPr>
      </w:pPr>
    </w:p>
    <w:p w:rsidR="00F03054" w:rsidRPr="009332D2" w:rsidP="00B47B1C" w14:paraId="786EDD24" w14:textId="77777777">
      <w:pPr>
        <w:jc w:val="center"/>
        <w:rPr>
          <w:rFonts w:asciiTheme="minorHAnsi" w:hAnsiTheme="minorHAnsi" w:cstheme="minorHAnsi"/>
          <w:lang w:val="fr-FR"/>
        </w:rPr>
      </w:pPr>
    </w:p>
    <w:p w:rsidR="00F03054" w:rsidRPr="009332D2" w:rsidP="00B47B1C" w14:paraId="5026AD4E" w14:textId="0D47178E">
      <w:pPr>
        <w:jc w:val="center"/>
        <w:rPr>
          <w:rFonts w:asciiTheme="minorHAnsi" w:hAnsiTheme="minorHAnsi" w:cstheme="minorHAnsi"/>
          <w:lang w:val="fr-FR"/>
        </w:rPr>
      </w:pPr>
      <w:r>
        <w:rPr>
          <w:rFonts w:asciiTheme="minorHAnsi" w:hAnsiTheme="minorHAnsi" w:cstheme="minorHAnsi"/>
          <w:lang w:val="fr-FR"/>
        </w:rPr>
        <w:t>February</w:t>
      </w:r>
      <w:r>
        <w:rPr>
          <w:rFonts w:asciiTheme="minorHAnsi" w:hAnsiTheme="minorHAnsi" w:cstheme="minorHAnsi"/>
          <w:lang w:val="fr-FR"/>
        </w:rPr>
        <w:t xml:space="preserve"> 24</w:t>
      </w:r>
      <w:r w:rsidR="00DE5A1F">
        <w:rPr>
          <w:rFonts w:asciiTheme="minorHAnsi" w:hAnsiTheme="minorHAnsi" w:cstheme="minorHAnsi"/>
          <w:lang w:val="fr-FR"/>
        </w:rPr>
        <w:t>, 2025</w:t>
      </w:r>
    </w:p>
    <w:p w:rsidR="00F03054" w:rsidRPr="009332D2" w:rsidP="00B47B1C" w14:paraId="76D373A8" w14:textId="77777777">
      <w:pPr>
        <w:jc w:val="center"/>
        <w:rPr>
          <w:rFonts w:asciiTheme="minorHAnsi" w:hAnsiTheme="minorHAnsi" w:cstheme="minorHAnsi"/>
          <w:lang w:val="fr-FR"/>
        </w:rPr>
      </w:pPr>
    </w:p>
    <w:p w:rsidR="00F03054" w:rsidRPr="009332D2" w:rsidP="00B47B1C" w14:paraId="2908EA92" w14:textId="77777777">
      <w:pPr>
        <w:jc w:val="center"/>
        <w:rPr>
          <w:rFonts w:asciiTheme="minorHAnsi" w:hAnsiTheme="minorHAnsi" w:cstheme="minorHAnsi"/>
          <w:lang w:val="fr-FR"/>
        </w:rPr>
      </w:pPr>
    </w:p>
    <w:p w:rsidR="00F03054" w:rsidRPr="009332D2" w:rsidP="00B47B1C" w14:paraId="561BA44D" w14:textId="77777777">
      <w:pPr>
        <w:jc w:val="center"/>
        <w:rPr>
          <w:rFonts w:asciiTheme="minorHAnsi" w:hAnsiTheme="minorHAnsi" w:cstheme="minorHAnsi"/>
          <w:lang w:val="fr-FR"/>
        </w:rPr>
      </w:pPr>
    </w:p>
    <w:p w:rsidR="00F03054" w:rsidRPr="009332D2" w:rsidP="00B47B1C" w14:paraId="7D7AFFD3" w14:textId="77777777">
      <w:pPr>
        <w:jc w:val="center"/>
        <w:rPr>
          <w:rFonts w:asciiTheme="minorHAnsi" w:hAnsiTheme="minorHAnsi" w:cstheme="minorHAnsi"/>
          <w:lang w:val="fr-FR"/>
        </w:rPr>
      </w:pPr>
    </w:p>
    <w:p w:rsidR="00662F81" w:rsidRPr="009332D2" w:rsidP="00B47B1C" w14:paraId="72B54A65" w14:textId="77777777">
      <w:pPr>
        <w:jc w:val="center"/>
        <w:rPr>
          <w:rFonts w:asciiTheme="minorHAnsi" w:hAnsiTheme="minorHAnsi" w:cstheme="minorHAnsi"/>
          <w:lang w:val="fr-FR"/>
        </w:rPr>
      </w:pPr>
      <w:r w:rsidRPr="009332D2">
        <w:rPr>
          <w:rFonts w:asciiTheme="minorHAnsi" w:hAnsiTheme="minorHAnsi" w:cstheme="minorHAnsi"/>
          <w:lang w:val="fr-FR"/>
        </w:rPr>
        <w:t xml:space="preserve">Contact </w:t>
      </w:r>
      <w:r w:rsidRPr="009332D2">
        <w:rPr>
          <w:rFonts w:asciiTheme="minorHAnsi" w:hAnsiTheme="minorHAnsi" w:cstheme="minorHAnsi"/>
          <w:lang w:val="fr-FR"/>
        </w:rPr>
        <w:t>Information:</w:t>
      </w:r>
    </w:p>
    <w:p w:rsidR="00662F81" w:rsidRPr="009332D2" w:rsidP="00B47B1C" w14:paraId="2FF3F190" w14:textId="77777777">
      <w:pPr>
        <w:jc w:val="center"/>
        <w:rPr>
          <w:rFonts w:asciiTheme="minorHAnsi" w:hAnsiTheme="minorHAnsi" w:cstheme="minorHAnsi"/>
          <w:lang w:val="fr-FR"/>
        </w:rPr>
      </w:pPr>
    </w:p>
    <w:p w:rsidR="00C6416D" w:rsidRPr="009332D2" w:rsidP="00AD3B70" w14:paraId="3C86F84E" w14:textId="6FD44B99">
      <w:pPr>
        <w:spacing w:after="60"/>
        <w:jc w:val="center"/>
        <w:rPr>
          <w:rFonts w:asciiTheme="minorHAnsi" w:hAnsiTheme="minorHAnsi" w:cstheme="minorHAnsi"/>
        </w:rPr>
      </w:pPr>
      <w:r w:rsidRPr="009332D2">
        <w:rPr>
          <w:rFonts w:asciiTheme="minorHAnsi" w:hAnsiTheme="minorHAnsi" w:cstheme="minorHAnsi"/>
        </w:rPr>
        <w:t>Kenneth A. Scott, MPH, PhD</w:t>
      </w:r>
    </w:p>
    <w:p w:rsidR="002B1C1F" w:rsidRPr="009332D2" w:rsidP="00AD3B70" w14:paraId="1AC01F6E" w14:textId="77777777">
      <w:pPr>
        <w:spacing w:after="60"/>
        <w:jc w:val="center"/>
        <w:rPr>
          <w:rFonts w:asciiTheme="minorHAnsi" w:hAnsiTheme="minorHAnsi" w:cstheme="minorHAnsi"/>
        </w:rPr>
      </w:pPr>
      <w:r w:rsidRPr="009332D2">
        <w:rPr>
          <w:rFonts w:asciiTheme="minorHAnsi" w:hAnsiTheme="minorHAnsi" w:cstheme="minorHAnsi"/>
        </w:rPr>
        <w:t>Research Epidemiologist</w:t>
      </w:r>
    </w:p>
    <w:p w:rsidR="00C6416D" w:rsidRPr="009332D2" w:rsidP="00AD3B70" w14:paraId="20F09DC2" w14:textId="614C89E9">
      <w:pPr>
        <w:spacing w:after="60"/>
        <w:jc w:val="center"/>
        <w:rPr>
          <w:rFonts w:asciiTheme="minorHAnsi" w:hAnsiTheme="minorHAnsi" w:cstheme="minorHAnsi"/>
        </w:rPr>
      </w:pPr>
      <w:r w:rsidRPr="009332D2">
        <w:rPr>
          <w:rFonts w:asciiTheme="minorHAnsi" w:hAnsiTheme="minorHAnsi" w:cstheme="minorHAnsi"/>
        </w:rPr>
        <w:t>Western States Division</w:t>
      </w:r>
      <w:r w:rsidRPr="009332D2" w:rsidR="00CA572A">
        <w:rPr>
          <w:rFonts w:asciiTheme="minorHAnsi" w:hAnsiTheme="minorHAnsi" w:cstheme="minorHAnsi"/>
        </w:rPr>
        <w:t xml:space="preserve"> </w:t>
      </w:r>
      <w:r w:rsidRPr="009332D2">
        <w:rPr>
          <w:rFonts w:asciiTheme="minorHAnsi" w:hAnsiTheme="minorHAnsi" w:cstheme="minorHAnsi"/>
        </w:rPr>
        <w:t>(WSD)</w:t>
      </w:r>
    </w:p>
    <w:p w:rsidR="002B1C1F" w:rsidRPr="009332D2" w:rsidP="00AD3B70" w14:paraId="50539074" w14:textId="5809FEE5">
      <w:pPr>
        <w:spacing w:after="60"/>
        <w:jc w:val="center"/>
        <w:rPr>
          <w:rFonts w:asciiTheme="minorHAnsi" w:hAnsiTheme="minorHAnsi" w:cstheme="minorHAnsi"/>
        </w:rPr>
      </w:pPr>
      <w:r w:rsidRPr="009332D2">
        <w:rPr>
          <w:rFonts w:asciiTheme="minorHAnsi" w:hAnsiTheme="minorHAnsi" w:cstheme="minorHAnsi"/>
        </w:rPr>
        <w:t>National Institute for Occupational Safety and Health (NIOSH)</w:t>
      </w:r>
    </w:p>
    <w:p w:rsidR="00662F81" w:rsidRPr="009332D2" w:rsidP="00AD3B70" w14:paraId="49E0D1A6" w14:textId="77777777">
      <w:pPr>
        <w:spacing w:after="60"/>
        <w:jc w:val="center"/>
        <w:rPr>
          <w:rFonts w:asciiTheme="minorHAnsi" w:hAnsiTheme="minorHAnsi" w:cstheme="minorHAnsi"/>
        </w:rPr>
      </w:pPr>
      <w:r w:rsidRPr="009332D2">
        <w:rPr>
          <w:rFonts w:asciiTheme="minorHAnsi" w:hAnsiTheme="minorHAnsi" w:cstheme="minorHAnsi"/>
        </w:rPr>
        <w:t>Centers for Disease Control and Prevention (CDC)</w:t>
      </w:r>
    </w:p>
    <w:p w:rsidR="00330F92" w:rsidRPr="009332D2" w:rsidP="00AD3B70" w14:paraId="50D7B3A8" w14:textId="43968F7B">
      <w:pPr>
        <w:spacing w:after="60"/>
        <w:jc w:val="center"/>
        <w:rPr>
          <w:rFonts w:asciiTheme="minorHAnsi" w:hAnsiTheme="minorHAnsi" w:cstheme="minorHAnsi"/>
        </w:rPr>
      </w:pPr>
      <w:r w:rsidRPr="009332D2">
        <w:rPr>
          <w:rFonts w:asciiTheme="minorHAnsi" w:hAnsiTheme="minorHAnsi" w:cstheme="minorHAnsi"/>
        </w:rPr>
        <w:t>303-236-0502</w:t>
      </w:r>
      <w:r w:rsidRPr="009332D2">
        <w:rPr>
          <w:rFonts w:asciiTheme="minorHAnsi" w:hAnsiTheme="minorHAnsi" w:cstheme="minorHAnsi"/>
        </w:rPr>
        <w:tab/>
      </w:r>
      <w:r w:rsidRPr="009332D2">
        <w:rPr>
          <w:rFonts w:asciiTheme="minorHAnsi" w:hAnsiTheme="minorHAnsi" w:cstheme="minorHAnsi"/>
        </w:rPr>
        <w:tab/>
        <w:t>kscott4@cdc.gov</w:t>
      </w:r>
    </w:p>
    <w:p w:rsidR="00C6416D" w:rsidRPr="009332D2" w:rsidP="00AD3B70" w14:paraId="7E141283" w14:textId="77777777">
      <w:pPr>
        <w:spacing w:after="60"/>
        <w:jc w:val="center"/>
        <w:rPr>
          <w:rFonts w:asciiTheme="minorHAnsi" w:hAnsiTheme="minorHAnsi" w:cstheme="minorHAnsi"/>
        </w:rPr>
      </w:pPr>
      <w:r w:rsidRPr="009332D2">
        <w:rPr>
          <w:rFonts w:asciiTheme="minorHAnsi" w:hAnsiTheme="minorHAnsi" w:cstheme="minorHAnsi"/>
        </w:rPr>
        <w:br w:type="page"/>
      </w:r>
    </w:p>
    <w:p w:rsidR="000B3F98" w:rsidRPr="009332D2" w:rsidP="009332D2" w14:paraId="63172DAA" w14:textId="77777777">
      <w:pPr>
        <w:pStyle w:val="Heading1"/>
      </w:pPr>
      <w:r w:rsidRPr="009332D2">
        <w:t>Table of Contents</w:t>
      </w:r>
    </w:p>
    <w:p w:rsidR="000B3F98" w:rsidRPr="009332D2" w:rsidP="009332D2" w14:paraId="0B3FB930" w14:textId="77777777">
      <w:pPr>
        <w:pStyle w:val="Heading2"/>
      </w:pPr>
      <w:r w:rsidRPr="009332D2">
        <w:t>Section</w:t>
      </w:r>
      <w:r w:rsidRPr="009332D2">
        <w:tab/>
      </w:r>
    </w:p>
    <w:p w:rsidR="000B3F98" w:rsidRPr="009332D2" w:rsidP="009332D2" w14:paraId="26B02587" w14:textId="77777777">
      <w:pPr>
        <w:pStyle w:val="Heading3"/>
      </w:pPr>
      <w:r w:rsidRPr="009332D2">
        <w:t>A.</w:t>
      </w:r>
      <w:r w:rsidRPr="009332D2">
        <w:tab/>
        <w:t>Justification</w:t>
      </w:r>
    </w:p>
    <w:p w:rsidR="00AD3B70" w:rsidRPr="009332D2" w:rsidP="00B06EB4" w14:paraId="4E9C83A2"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Circumstances Making the Collection of Information Necessary</w:t>
      </w:r>
    </w:p>
    <w:p w:rsidR="00AD3B70" w:rsidRPr="009332D2" w:rsidP="00B06EB4" w14:paraId="6572C4A7"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Purpose and Use of the Information Collection</w:t>
      </w:r>
    </w:p>
    <w:p w:rsidR="00AD3B70" w:rsidRPr="009332D2" w:rsidP="00B06EB4" w14:paraId="7EEF1C99"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Use of Improved Information Technology and Burden Reduction</w:t>
      </w:r>
    </w:p>
    <w:p w:rsidR="00AD3B70" w:rsidRPr="009332D2" w:rsidP="00B06EB4" w14:paraId="362902EF"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Efforts to Identify Duplication and Use of Similar Information</w:t>
      </w:r>
    </w:p>
    <w:p w:rsidR="00AD3B70" w:rsidRPr="009332D2" w:rsidP="00B06EB4" w14:paraId="5E624D49"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Impact on Small Businesses or Other Small Entities</w:t>
      </w:r>
    </w:p>
    <w:p w:rsidR="00AD3B70" w:rsidRPr="009332D2" w:rsidP="00B06EB4" w14:paraId="7C3BC7C7"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Consequences of Collecting the Information Less Frequently</w:t>
      </w:r>
    </w:p>
    <w:p w:rsidR="00AD3B70" w:rsidRPr="009332D2" w:rsidP="00B06EB4" w14:paraId="1C6C0A77"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Special Circumstances Relating to the Guidelines of 5 CFR 1320.5</w:t>
      </w:r>
    </w:p>
    <w:p w:rsidR="00AD3B70" w:rsidRPr="009332D2" w:rsidP="00B06EB4" w14:paraId="77DA43BB"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Comments in Response to the Federal Register Notice and Efforts to Consult Outside the Agency</w:t>
      </w:r>
    </w:p>
    <w:p w:rsidR="00AD3B70" w:rsidRPr="009332D2" w:rsidP="00B06EB4" w14:paraId="0B65483C"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Explanation of Any Payment or Gift to Respondents</w:t>
      </w:r>
    </w:p>
    <w:p w:rsidR="00AD3B70" w:rsidRPr="009332D2" w:rsidP="00B06EB4" w14:paraId="4790DD78"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 xml:space="preserve">Protection of the Privacy and Confidentiality of Information Provided </w:t>
      </w:r>
      <w:r w:rsidRPr="009332D2" w:rsidR="00C6416D">
        <w:rPr>
          <w:rFonts w:asciiTheme="minorHAnsi" w:hAnsiTheme="minorHAnsi" w:cstheme="minorHAnsi"/>
          <w:bCs/>
        </w:rPr>
        <w:t>to</w:t>
      </w:r>
      <w:r w:rsidRPr="009332D2">
        <w:rPr>
          <w:rFonts w:asciiTheme="minorHAnsi" w:hAnsiTheme="minorHAnsi" w:cstheme="minorHAnsi"/>
          <w:bCs/>
        </w:rPr>
        <w:t xml:space="preserve"> Respondents</w:t>
      </w:r>
    </w:p>
    <w:p w:rsidR="00AD3B70" w:rsidRPr="009332D2" w:rsidP="00B06EB4" w14:paraId="1B8D1CDD"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Institutional Review Board (IRB) and Justification for Sensitive Questions</w:t>
      </w:r>
    </w:p>
    <w:p w:rsidR="00AD3B70" w:rsidRPr="009332D2" w:rsidP="00B06EB4" w14:paraId="0F98FCB7"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Estimates of Annualized Burden Hours and Costs</w:t>
      </w:r>
    </w:p>
    <w:p w:rsidR="00AD3B70" w:rsidRPr="009332D2" w:rsidP="00B06EB4" w14:paraId="7B23B552"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Estimates of Other Total Annual Cost Burden to Respondents and Record Keepers</w:t>
      </w:r>
    </w:p>
    <w:p w:rsidR="00AD3B70" w:rsidRPr="009332D2" w:rsidP="00B06EB4" w14:paraId="23EFF783"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Annualized Cost to the Federal Government</w:t>
      </w:r>
    </w:p>
    <w:p w:rsidR="00AD3B70" w:rsidRPr="009332D2" w:rsidP="00B06EB4" w14:paraId="47F725A5"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Explanation for Program Changes or Adjustments</w:t>
      </w:r>
    </w:p>
    <w:p w:rsidR="00AD3B70" w:rsidRPr="009332D2" w:rsidP="00B06EB4" w14:paraId="6F6C0899"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Plans for Tabulation and Publication and Project Time Schedule</w:t>
      </w:r>
    </w:p>
    <w:p w:rsidR="00AD3B70" w:rsidRPr="009332D2" w:rsidP="00B06EB4" w14:paraId="1E92D7BC"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Reason(s) Display of OMB Expiration Date is Inappropriate</w:t>
      </w:r>
    </w:p>
    <w:p w:rsidR="00AD3B70" w:rsidRPr="009332D2" w:rsidP="00B06EB4" w14:paraId="026B0E68" w14:textId="77777777">
      <w:pPr>
        <w:numPr>
          <w:ilvl w:val="0"/>
          <w:numId w:val="38"/>
        </w:numPr>
        <w:spacing w:after="0"/>
        <w:rPr>
          <w:rFonts w:asciiTheme="minorHAnsi" w:hAnsiTheme="minorHAnsi" w:cstheme="minorHAnsi"/>
          <w:bCs/>
        </w:rPr>
      </w:pPr>
      <w:r w:rsidRPr="009332D2">
        <w:rPr>
          <w:rFonts w:asciiTheme="minorHAnsi" w:hAnsiTheme="minorHAnsi" w:cstheme="minorHAnsi"/>
          <w:bCs/>
        </w:rPr>
        <w:t>Exceptions to Certification for Paperwork Reduction Act Submissions</w:t>
      </w:r>
    </w:p>
    <w:p w:rsidR="000B3F98" w:rsidRPr="009332D2" w:rsidP="00AD3B70" w14:paraId="60146DB7" w14:textId="77777777">
      <w:pPr>
        <w:spacing w:after="0"/>
        <w:rPr>
          <w:rFonts w:asciiTheme="minorHAnsi" w:hAnsiTheme="minorHAnsi" w:cstheme="minorHAnsi"/>
        </w:rPr>
      </w:pPr>
      <w:r w:rsidRPr="009332D2">
        <w:rPr>
          <w:rFonts w:asciiTheme="minorHAnsi" w:hAnsiTheme="minorHAnsi" w:cstheme="minorHAnsi"/>
        </w:rPr>
        <w:fldChar w:fldCharType="begin"/>
      </w:r>
      <w:r w:rsidRPr="009332D2">
        <w:rPr>
          <w:rFonts w:asciiTheme="minorHAnsi" w:hAnsiTheme="minorHAnsi" w:cstheme="minorHAnsi"/>
        </w:rPr>
        <w:instrText xml:space="preserve"> TOC \t "Exhibit Title,5" </w:instrText>
      </w:r>
      <w:r w:rsidRPr="009332D2">
        <w:rPr>
          <w:rFonts w:asciiTheme="minorHAnsi" w:hAnsiTheme="minorHAnsi" w:cstheme="minorHAnsi"/>
        </w:rPr>
        <w:fldChar w:fldCharType="separate"/>
      </w:r>
    </w:p>
    <w:p w:rsidR="00465034" w:rsidRPr="009332D2" w:rsidP="00AD3B70" w14:paraId="0AC1FFB2" w14:textId="77777777">
      <w:pPr>
        <w:spacing w:after="0"/>
        <w:rPr>
          <w:rFonts w:asciiTheme="minorHAnsi" w:hAnsiTheme="minorHAnsi" w:cstheme="minorHAnsi"/>
          <w:b/>
        </w:rPr>
      </w:pPr>
      <w:r w:rsidRPr="009332D2">
        <w:rPr>
          <w:rFonts w:asciiTheme="minorHAnsi" w:hAnsiTheme="minorHAnsi" w:cstheme="minorHAnsi"/>
          <w:b/>
        </w:rPr>
        <w:t>Attachments</w:t>
      </w:r>
      <w:r w:rsidRPr="009332D2">
        <w:rPr>
          <w:rFonts w:asciiTheme="minorHAnsi" w:hAnsiTheme="minorHAnsi" w:cstheme="minorHAnsi"/>
          <w:b/>
        </w:rPr>
        <w:tab/>
      </w:r>
      <w:r w:rsidRPr="009332D2">
        <w:rPr>
          <w:rFonts w:asciiTheme="minorHAnsi" w:hAnsiTheme="minorHAnsi" w:cstheme="minorHAnsi"/>
          <w:b/>
        </w:rPr>
        <w:tab/>
      </w:r>
    </w:p>
    <w:p w:rsidR="00465034" w:rsidRPr="009332D2" w:rsidP="00AD3B70" w14:paraId="4F7AFD98" w14:textId="77777777">
      <w:pPr>
        <w:spacing w:after="0"/>
        <w:rPr>
          <w:rFonts w:asciiTheme="minorHAnsi" w:hAnsiTheme="minorHAnsi" w:cstheme="minorHAnsi"/>
        </w:rPr>
      </w:pPr>
    </w:p>
    <w:p w:rsidR="00465034" w:rsidRPr="009332D2" w:rsidP="00AD3B70" w14:paraId="3C5F9752" w14:textId="3DD352CC">
      <w:pPr>
        <w:spacing w:after="0"/>
        <w:rPr>
          <w:rFonts w:asciiTheme="minorHAnsi" w:hAnsiTheme="minorHAnsi" w:cstheme="minorHAnsi"/>
        </w:rPr>
      </w:pPr>
      <w:r w:rsidRPr="009332D2">
        <w:rPr>
          <w:rFonts w:asciiTheme="minorHAnsi" w:hAnsiTheme="minorHAnsi" w:cstheme="minorHAnsi"/>
        </w:rPr>
        <w:t>Att 1</w:t>
      </w:r>
      <w:r w:rsidRPr="009332D2">
        <w:rPr>
          <w:rFonts w:asciiTheme="minorHAnsi" w:hAnsiTheme="minorHAnsi" w:cstheme="minorHAnsi"/>
        </w:rPr>
        <w:tab/>
        <w:t>Authorizing Legislation</w:t>
      </w:r>
      <w:r w:rsidR="00FC4D94">
        <w:rPr>
          <w:rFonts w:asciiTheme="minorHAnsi" w:hAnsiTheme="minorHAnsi" w:cstheme="minorHAnsi"/>
        </w:rPr>
        <w:t xml:space="preserve">: </w:t>
      </w:r>
      <w:r w:rsidRPr="00FC4D94" w:rsidR="00FC4D94">
        <w:rPr>
          <w:rFonts w:asciiTheme="minorHAnsi" w:hAnsiTheme="minorHAnsi" w:cstheme="minorHAnsi"/>
        </w:rPr>
        <w:t>42 USC CHAPTER 6A, SUBCHAPTER II, Part A: Research and Investigations</w:t>
      </w:r>
    </w:p>
    <w:p w:rsidR="00465034" w:rsidRPr="009332D2" w:rsidP="00AD3B70" w14:paraId="3A3CFC3B" w14:textId="2E3C219E">
      <w:pPr>
        <w:spacing w:after="0"/>
        <w:rPr>
          <w:rFonts w:asciiTheme="minorHAnsi" w:hAnsiTheme="minorHAnsi" w:cstheme="minorHAnsi"/>
        </w:rPr>
      </w:pPr>
      <w:r w:rsidRPr="009332D2">
        <w:rPr>
          <w:rFonts w:asciiTheme="minorHAnsi" w:hAnsiTheme="minorHAnsi" w:cstheme="minorHAnsi"/>
        </w:rPr>
        <w:t>Att 2</w:t>
      </w:r>
      <w:r w:rsidRPr="009332D2">
        <w:rPr>
          <w:rFonts w:asciiTheme="minorHAnsi" w:hAnsiTheme="minorHAnsi" w:cstheme="minorHAnsi"/>
        </w:rPr>
        <w:tab/>
      </w:r>
      <w:r w:rsidR="00EC1F26">
        <w:rPr>
          <w:rFonts w:asciiTheme="minorHAnsi" w:hAnsiTheme="minorHAnsi" w:cstheme="minorHAnsi"/>
        </w:rPr>
        <w:t xml:space="preserve">Authorizing Legislation: </w:t>
      </w:r>
      <w:r w:rsidRPr="00EC1F26" w:rsidR="00EC1F26">
        <w:rPr>
          <w:rFonts w:asciiTheme="minorHAnsi" w:hAnsiTheme="minorHAnsi" w:cstheme="minorHAnsi"/>
        </w:rPr>
        <w:t>29 USC 669: Research and related activities</w:t>
      </w:r>
    </w:p>
    <w:p w:rsidR="00465034" w:rsidP="00465034" w14:paraId="50A53C4C" w14:textId="551241A4">
      <w:pPr>
        <w:rPr>
          <w:rFonts w:asciiTheme="minorHAnsi" w:hAnsiTheme="minorHAnsi" w:cstheme="minorHAnsi"/>
        </w:rPr>
      </w:pPr>
      <w:r w:rsidRPr="009332D2">
        <w:rPr>
          <w:rFonts w:asciiTheme="minorHAnsi" w:hAnsiTheme="minorHAnsi" w:cstheme="minorHAnsi"/>
        </w:rPr>
        <w:t>Att 3</w:t>
      </w:r>
      <w:r w:rsidRPr="009332D2">
        <w:rPr>
          <w:rFonts w:asciiTheme="minorHAnsi" w:hAnsiTheme="minorHAnsi" w:cstheme="minorHAnsi"/>
        </w:rPr>
        <w:tab/>
      </w:r>
      <w:r w:rsidR="007C6624">
        <w:rPr>
          <w:rFonts w:asciiTheme="minorHAnsi" w:hAnsiTheme="minorHAnsi" w:cstheme="minorHAnsi"/>
        </w:rPr>
        <w:t xml:space="preserve">Interview Guide: </w:t>
      </w:r>
      <w:r w:rsidR="005D5993">
        <w:rPr>
          <w:rFonts w:asciiTheme="minorHAnsi" w:hAnsiTheme="minorHAnsi" w:cstheme="minorHAnsi"/>
        </w:rPr>
        <w:t>Motor</w:t>
      </w:r>
      <w:r w:rsidR="007C6624">
        <w:rPr>
          <w:rFonts w:asciiTheme="minorHAnsi" w:hAnsiTheme="minorHAnsi" w:cstheme="minorHAnsi"/>
        </w:rPr>
        <w:t xml:space="preserve"> Safety Priorities</w:t>
      </w:r>
    </w:p>
    <w:p w:rsidR="007C6624" w:rsidP="00465034" w14:paraId="2F26D231" w14:textId="776A2FC0">
      <w:pPr>
        <w:rPr>
          <w:rFonts w:asciiTheme="minorHAnsi" w:hAnsiTheme="minorHAnsi" w:cstheme="minorHAnsi"/>
        </w:rPr>
      </w:pPr>
      <w:r>
        <w:rPr>
          <w:rFonts w:asciiTheme="minorHAnsi" w:hAnsiTheme="minorHAnsi" w:cstheme="minorHAnsi"/>
        </w:rPr>
        <w:t>Att 4</w:t>
      </w:r>
      <w:r>
        <w:rPr>
          <w:rFonts w:asciiTheme="minorHAnsi" w:hAnsiTheme="minorHAnsi" w:cstheme="minorHAnsi"/>
        </w:rPr>
        <w:tab/>
      </w:r>
      <w:r w:rsidR="00120E13">
        <w:rPr>
          <w:rFonts w:asciiTheme="minorHAnsi" w:hAnsiTheme="minorHAnsi" w:cstheme="minorHAnsi"/>
        </w:rPr>
        <w:t>Interview Guide: In-Vehicle Monitoring Systems Questionnaire</w:t>
      </w:r>
    </w:p>
    <w:p w:rsidR="002305C5" w:rsidP="00465034" w14:paraId="6AD5CBC4" w14:textId="742C3B9B">
      <w:pPr>
        <w:rPr>
          <w:rFonts w:asciiTheme="minorHAnsi" w:hAnsiTheme="minorHAnsi" w:cstheme="minorHAnsi"/>
        </w:rPr>
      </w:pPr>
      <w:r>
        <w:rPr>
          <w:rFonts w:asciiTheme="minorHAnsi" w:hAnsiTheme="minorHAnsi" w:cstheme="minorHAnsi"/>
        </w:rPr>
        <w:t>Att</w:t>
      </w:r>
      <w:r>
        <w:rPr>
          <w:rFonts w:asciiTheme="minorHAnsi" w:hAnsiTheme="minorHAnsi" w:cstheme="minorHAnsi"/>
        </w:rPr>
        <w:t xml:space="preserve"> 5</w:t>
      </w:r>
      <w:r>
        <w:rPr>
          <w:rFonts w:asciiTheme="minorHAnsi" w:hAnsiTheme="minorHAnsi" w:cstheme="minorHAnsi"/>
        </w:rPr>
        <w:tab/>
      </w:r>
      <w:r w:rsidR="00333A56">
        <w:rPr>
          <w:rFonts w:asciiTheme="minorHAnsi" w:hAnsiTheme="minorHAnsi" w:cstheme="minorHAnsi"/>
        </w:rPr>
        <w:t xml:space="preserve">Draft </w:t>
      </w:r>
      <w:r>
        <w:rPr>
          <w:rFonts w:asciiTheme="minorHAnsi" w:hAnsiTheme="minorHAnsi" w:cstheme="minorHAnsi"/>
        </w:rPr>
        <w:t>Questionnaire</w:t>
      </w:r>
      <w:r w:rsidR="00261F08">
        <w:rPr>
          <w:rFonts w:asciiTheme="minorHAnsi" w:hAnsiTheme="minorHAnsi" w:cstheme="minorHAnsi"/>
        </w:rPr>
        <w:t xml:space="preserve"> on In-Vehicle Monitoring Systems Implementation</w:t>
      </w:r>
    </w:p>
    <w:p w:rsidR="00F61A44" w:rsidRPr="009332D2" w:rsidP="00465034" w14:paraId="6E0719C8" w14:textId="239E52C7">
      <w:pPr>
        <w:rPr>
          <w:rFonts w:asciiTheme="minorHAnsi" w:hAnsiTheme="minorHAnsi" w:cstheme="minorHAnsi"/>
        </w:rPr>
      </w:pPr>
      <w:r>
        <w:rPr>
          <w:rFonts w:asciiTheme="minorHAnsi" w:hAnsiTheme="minorHAnsi" w:cstheme="minorHAnsi"/>
        </w:rPr>
        <w:t>Att 6</w:t>
      </w:r>
      <w:r>
        <w:rPr>
          <w:rFonts w:asciiTheme="minorHAnsi" w:hAnsiTheme="minorHAnsi" w:cstheme="minorHAnsi"/>
        </w:rPr>
        <w:tab/>
      </w:r>
      <w:r w:rsidR="0015404E">
        <w:rPr>
          <w:rFonts w:asciiTheme="minorHAnsi" w:hAnsiTheme="minorHAnsi" w:cstheme="minorHAnsi"/>
        </w:rPr>
        <w:t xml:space="preserve"> </w:t>
      </w:r>
      <w:r w:rsidRPr="00821CC6" w:rsidR="00821CC6">
        <w:rPr>
          <w:rFonts w:asciiTheme="minorHAnsi" w:hAnsiTheme="minorHAnsi" w:cstheme="minorHAnsi"/>
        </w:rPr>
        <w:t>Interview Guide: Information System</w:t>
      </w:r>
      <w:r w:rsidRPr="009332D2" w:rsidR="005507F9">
        <w:rPr>
          <w:rFonts w:asciiTheme="minorHAnsi" w:hAnsiTheme="minorHAnsi" w:cstheme="minorHAnsi"/>
        </w:rPr>
        <w:br w:type="page"/>
      </w:r>
    </w:p>
    <w:p w:rsidR="00465034" w:rsidRPr="009332D2" w:rsidP="00465034" w14:paraId="2174F642" w14:textId="77777777">
      <w:pPr>
        <w:rPr>
          <w:rFonts w:asciiTheme="minorHAnsi" w:hAnsiTheme="minorHAnsi" w:cstheme="minorHAnsi"/>
        </w:rPr>
      </w:pPr>
    </w:p>
    <w:p w:rsidR="0092767B" w:rsidRPr="009332D2" w:rsidP="007272EC" w14:paraId="1F180B55" w14:textId="77777777">
      <w:pPr>
        <w:jc w:val="center"/>
        <w:rPr>
          <w:rFonts w:asciiTheme="minorHAnsi" w:hAnsiTheme="minorHAnsi" w:cstheme="minorHAnsi"/>
          <w:b/>
        </w:rPr>
      </w:pPr>
      <w:r w:rsidRPr="009332D2">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167640</wp:posOffset>
                </wp:positionV>
                <wp:extent cx="6490335" cy="6523355"/>
                <wp:effectExtent l="0" t="0" r="24765" b="1079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0335" cy="6523355"/>
                        </a:xfrm>
                        <a:prstGeom prst="rect">
                          <a:avLst/>
                        </a:prstGeom>
                        <a:solidFill>
                          <a:srgbClr val="FFFFFF"/>
                        </a:solidFill>
                        <a:ln w="9525">
                          <a:solidFill>
                            <a:srgbClr val="000000"/>
                          </a:solidFill>
                          <a:miter lim="800000"/>
                          <a:headEnd/>
                          <a:tailEnd/>
                        </a:ln>
                      </wps:spPr>
                      <wps:txbx>
                        <w:txbxContent>
                          <w:p w:rsidR="002F5077" w:rsidRPr="009332D2" w:rsidP="00896231" w14:textId="10A2A736">
                            <w:pPr>
                              <w:pStyle w:val="ListParagraph"/>
                              <w:numPr>
                                <w:ilvl w:val="0"/>
                                <w:numId w:val="34"/>
                              </w:numPr>
                              <w:spacing w:before="120"/>
                              <w:contextualSpacing w:val="0"/>
                              <w:rPr>
                                <w:rFonts w:asciiTheme="minorHAnsi" w:hAnsiTheme="minorHAnsi" w:cstheme="minorHAnsi"/>
                                <w:sz w:val="22"/>
                                <w:szCs w:val="22"/>
                              </w:rPr>
                            </w:pPr>
                            <w:r w:rsidRPr="009332D2">
                              <w:rPr>
                                <w:rFonts w:asciiTheme="minorHAnsi" w:hAnsiTheme="minorHAnsi" w:cstheme="minorHAnsi"/>
                                <w:sz w:val="22"/>
                                <w:szCs w:val="22"/>
                              </w:rPr>
                              <w:t>The goal of thi</w:t>
                            </w:r>
                            <w:r w:rsidRPr="009332D2" w:rsidR="007450D3">
                              <w:rPr>
                                <w:rFonts w:asciiTheme="minorHAnsi" w:hAnsiTheme="minorHAnsi" w:cstheme="minorHAnsi"/>
                                <w:sz w:val="22"/>
                                <w:szCs w:val="22"/>
                              </w:rPr>
                              <w:t xml:space="preserve">s </w:t>
                            </w:r>
                            <w:r w:rsidRPr="009332D2">
                              <w:rPr>
                                <w:rFonts w:asciiTheme="minorHAnsi" w:hAnsiTheme="minorHAnsi" w:cstheme="minorHAnsi"/>
                                <w:sz w:val="22"/>
                                <w:szCs w:val="22"/>
                              </w:rPr>
                              <w:t xml:space="preserve">generic information collection request is to enable </w:t>
                            </w:r>
                            <w:r w:rsidRPr="009332D2" w:rsidR="002B1C1F">
                              <w:rPr>
                                <w:rFonts w:asciiTheme="minorHAnsi" w:hAnsiTheme="minorHAnsi" w:cstheme="minorHAnsi"/>
                                <w:sz w:val="22"/>
                                <w:szCs w:val="22"/>
                              </w:rPr>
                              <w:t>NIOSH/</w:t>
                            </w:r>
                            <w:r w:rsidRPr="009332D2">
                              <w:rPr>
                                <w:rFonts w:asciiTheme="minorHAnsi" w:hAnsiTheme="minorHAnsi" w:cstheme="minorHAnsi"/>
                                <w:sz w:val="22"/>
                                <w:szCs w:val="22"/>
                              </w:rPr>
                              <w:t xml:space="preserve">CDC to conduct formative research </w:t>
                            </w:r>
                            <w:r w:rsidRPr="009332D2" w:rsidR="002B1C1F">
                              <w:rPr>
                                <w:rFonts w:asciiTheme="minorHAnsi" w:hAnsiTheme="minorHAnsi" w:cstheme="minorHAnsi"/>
                                <w:sz w:val="22"/>
                                <w:szCs w:val="22"/>
                              </w:rPr>
                              <w:t>that informs the development of new</w:t>
                            </w:r>
                            <w:r w:rsidRPr="009332D2">
                              <w:rPr>
                                <w:rFonts w:asciiTheme="minorHAnsi" w:hAnsiTheme="minorHAnsi" w:cstheme="minorHAnsi"/>
                                <w:sz w:val="22"/>
                                <w:szCs w:val="22"/>
                              </w:rPr>
                              <w:t xml:space="preserve"> tools and methodologies </w:t>
                            </w:r>
                            <w:r w:rsidRPr="009332D2" w:rsidR="00F61A44">
                              <w:rPr>
                                <w:rFonts w:asciiTheme="minorHAnsi" w:hAnsiTheme="minorHAnsi" w:cstheme="minorHAnsi"/>
                                <w:sz w:val="22"/>
                                <w:szCs w:val="22"/>
                              </w:rPr>
                              <w:t>supporting</w:t>
                            </w:r>
                            <w:r w:rsidRPr="009332D2">
                              <w:rPr>
                                <w:rFonts w:asciiTheme="minorHAnsi" w:hAnsiTheme="minorHAnsi" w:cstheme="minorHAnsi"/>
                                <w:sz w:val="22"/>
                                <w:szCs w:val="22"/>
                              </w:rPr>
                              <w:t xml:space="preserve"> </w:t>
                            </w:r>
                            <w:r w:rsidRPr="009332D2" w:rsidR="002B1C1F">
                              <w:rPr>
                                <w:rFonts w:asciiTheme="minorHAnsi" w:hAnsiTheme="minorHAnsi" w:cstheme="minorHAnsi"/>
                                <w:sz w:val="22"/>
                                <w:szCs w:val="22"/>
                              </w:rPr>
                              <w:t>NIOSH/</w:t>
                            </w:r>
                            <w:r w:rsidRPr="009332D2" w:rsidR="00F61A44">
                              <w:rPr>
                                <w:rFonts w:asciiTheme="minorHAnsi" w:hAnsiTheme="minorHAnsi" w:cstheme="minorHAnsi"/>
                                <w:sz w:val="22"/>
                                <w:szCs w:val="22"/>
                              </w:rPr>
                              <w:t xml:space="preserve">CDC’s surveillance and program evaluation activities. </w:t>
                            </w:r>
                            <w:r w:rsidRPr="009332D2" w:rsidR="00867875">
                              <w:rPr>
                                <w:rFonts w:asciiTheme="minorHAnsi" w:hAnsiTheme="minorHAnsi" w:cstheme="minorHAnsi"/>
                                <w:sz w:val="22"/>
                                <w:szCs w:val="22"/>
                              </w:rPr>
                              <w:t xml:space="preserve">The information </w:t>
                            </w:r>
                            <w:r w:rsidRPr="009332D2" w:rsidR="00F61A44">
                              <w:rPr>
                                <w:rFonts w:asciiTheme="minorHAnsi" w:hAnsiTheme="minorHAnsi" w:cstheme="minorHAnsi"/>
                                <w:sz w:val="22"/>
                                <w:szCs w:val="22"/>
                              </w:rPr>
                              <w:t xml:space="preserve">collection will </w:t>
                            </w:r>
                            <w:r w:rsidRPr="009332D2">
                              <w:rPr>
                                <w:rFonts w:asciiTheme="minorHAnsi" w:hAnsiTheme="minorHAnsi" w:cstheme="minorHAnsi"/>
                                <w:sz w:val="22"/>
                                <w:szCs w:val="22"/>
                              </w:rPr>
                              <w:t>includ</w:t>
                            </w:r>
                            <w:r w:rsidRPr="009332D2" w:rsidR="00F61A44">
                              <w:rPr>
                                <w:rFonts w:asciiTheme="minorHAnsi" w:hAnsiTheme="minorHAnsi" w:cstheme="minorHAnsi"/>
                                <w:sz w:val="22"/>
                                <w:szCs w:val="22"/>
                              </w:rPr>
                              <w:t>e</w:t>
                            </w:r>
                            <w:r w:rsidRPr="009332D2">
                              <w:rPr>
                                <w:rFonts w:asciiTheme="minorHAnsi" w:hAnsiTheme="minorHAnsi" w:cstheme="minorHAnsi"/>
                                <w:sz w:val="22"/>
                                <w:szCs w:val="22"/>
                              </w:rPr>
                              <w:t xml:space="preserve"> </w:t>
                            </w:r>
                            <w:r w:rsidRPr="009332D2" w:rsidR="002B1C1F">
                              <w:rPr>
                                <w:rFonts w:asciiTheme="minorHAnsi" w:hAnsiTheme="minorHAnsi" w:cstheme="minorHAnsi"/>
                                <w:sz w:val="22"/>
                                <w:szCs w:val="22"/>
                              </w:rPr>
                              <w:t xml:space="preserve">qualitative </w:t>
                            </w:r>
                            <w:r w:rsidRPr="009332D2" w:rsidR="00CD6642">
                              <w:rPr>
                                <w:rFonts w:asciiTheme="minorHAnsi" w:hAnsiTheme="minorHAnsi" w:cstheme="minorHAnsi"/>
                                <w:sz w:val="22"/>
                                <w:szCs w:val="22"/>
                              </w:rPr>
                              <w:t>data collection and analysis</w:t>
                            </w:r>
                            <w:r w:rsidRPr="009332D2" w:rsidR="002B1C1F">
                              <w:rPr>
                                <w:rFonts w:asciiTheme="minorHAnsi" w:hAnsiTheme="minorHAnsi" w:cstheme="minorHAnsi"/>
                                <w:sz w:val="22"/>
                                <w:szCs w:val="22"/>
                              </w:rPr>
                              <w:t xml:space="preserve"> (e.g., </w:t>
                            </w:r>
                            <w:r w:rsidRPr="009332D2" w:rsidR="00CD6642">
                              <w:rPr>
                                <w:rFonts w:asciiTheme="minorHAnsi" w:hAnsiTheme="minorHAnsi" w:cstheme="minorHAnsi"/>
                                <w:sz w:val="22"/>
                                <w:szCs w:val="22"/>
                              </w:rPr>
                              <w:t>key informant interviews</w:t>
                            </w:r>
                            <w:r w:rsidRPr="009332D2" w:rsidR="002B1C1F">
                              <w:rPr>
                                <w:rFonts w:asciiTheme="minorHAnsi" w:hAnsiTheme="minorHAnsi" w:cstheme="minorHAnsi"/>
                                <w:sz w:val="22"/>
                                <w:szCs w:val="22"/>
                              </w:rPr>
                              <w:t xml:space="preserve">) to </w:t>
                            </w:r>
                            <w:r w:rsidR="00014DB3">
                              <w:rPr>
                                <w:rFonts w:asciiTheme="minorHAnsi" w:hAnsiTheme="minorHAnsi" w:cstheme="minorHAnsi"/>
                                <w:sz w:val="22"/>
                                <w:szCs w:val="22"/>
                              </w:rPr>
                              <w:t xml:space="preserve">understand </w:t>
                            </w:r>
                            <w:r w:rsidR="000E1148">
                              <w:rPr>
                                <w:rFonts w:asciiTheme="minorHAnsi" w:hAnsiTheme="minorHAnsi" w:cstheme="minorHAnsi"/>
                                <w:sz w:val="22"/>
                                <w:szCs w:val="22"/>
                              </w:rPr>
                              <w:t>occupational safety and health professionals’ information needs in</w:t>
                            </w:r>
                            <w:r w:rsidRPr="009332D2" w:rsidR="00CD6642">
                              <w:rPr>
                                <w:rFonts w:asciiTheme="minorHAnsi" w:hAnsiTheme="minorHAnsi" w:cstheme="minorHAnsi"/>
                                <w:sz w:val="22"/>
                                <w:szCs w:val="22"/>
                              </w:rPr>
                              <w:t xml:space="preserve"> a defined</w:t>
                            </w:r>
                            <w:r w:rsidRPr="009332D2" w:rsidR="002B1C1F">
                              <w:rPr>
                                <w:rFonts w:asciiTheme="minorHAnsi" w:hAnsiTheme="minorHAnsi" w:cstheme="minorHAnsi"/>
                                <w:sz w:val="22"/>
                                <w:szCs w:val="22"/>
                              </w:rPr>
                              <w:t xml:space="preserve"> multi-jurisdiction region</w:t>
                            </w:r>
                            <w:r w:rsidRPr="009332D2">
                              <w:rPr>
                                <w:rFonts w:asciiTheme="minorHAnsi" w:hAnsiTheme="minorHAnsi" w:cstheme="minorHAnsi"/>
                                <w:sz w:val="22"/>
                                <w:szCs w:val="22"/>
                              </w:rPr>
                              <w:t>.</w:t>
                            </w:r>
                          </w:p>
                          <w:p w:rsidR="002F5077" w:rsidRPr="009332D2" w:rsidP="00896231" w14:textId="4701534A">
                            <w:pPr>
                              <w:pStyle w:val="ListParagraph"/>
                              <w:numPr>
                                <w:ilvl w:val="0"/>
                                <w:numId w:val="34"/>
                              </w:numPr>
                              <w:spacing w:before="120"/>
                              <w:contextualSpacing w:val="0"/>
                              <w:rPr>
                                <w:rFonts w:asciiTheme="minorHAnsi" w:hAnsiTheme="minorHAnsi" w:cstheme="minorHAnsi"/>
                                <w:sz w:val="22"/>
                                <w:szCs w:val="22"/>
                              </w:rPr>
                            </w:pPr>
                            <w:r w:rsidRPr="009332D2">
                              <w:rPr>
                                <w:rFonts w:asciiTheme="minorHAnsi" w:hAnsiTheme="minorHAnsi" w:cstheme="minorHAnsi"/>
                                <w:sz w:val="22"/>
                                <w:szCs w:val="22"/>
                              </w:rPr>
                              <w:t xml:space="preserve">The resulting data will benefit the federal government in the development of </w:t>
                            </w:r>
                            <w:r w:rsidRPr="009332D2" w:rsidR="00CD6642">
                              <w:rPr>
                                <w:rFonts w:asciiTheme="minorHAnsi" w:hAnsiTheme="minorHAnsi" w:cstheme="minorHAnsi"/>
                                <w:sz w:val="22"/>
                                <w:szCs w:val="22"/>
                              </w:rPr>
                              <w:t>surveillance systems that account for geographic variation in priorities</w:t>
                            </w:r>
                            <w:r w:rsidR="000C0B3F">
                              <w:rPr>
                                <w:rFonts w:asciiTheme="minorHAnsi" w:hAnsiTheme="minorHAnsi" w:cstheme="minorHAnsi"/>
                                <w:sz w:val="22"/>
                                <w:szCs w:val="22"/>
                              </w:rPr>
                              <w:t>;</w:t>
                            </w:r>
                            <w:r w:rsidRPr="009332D2" w:rsidR="00CD6642">
                              <w:rPr>
                                <w:rFonts w:asciiTheme="minorHAnsi" w:hAnsiTheme="minorHAnsi" w:cstheme="minorHAnsi"/>
                                <w:sz w:val="22"/>
                                <w:szCs w:val="22"/>
                              </w:rPr>
                              <w:t xml:space="preserve"> </w:t>
                            </w:r>
                            <w:r w:rsidR="00E0239D">
                              <w:rPr>
                                <w:rFonts w:asciiTheme="minorHAnsi" w:hAnsiTheme="minorHAnsi" w:cstheme="minorHAnsi"/>
                                <w:sz w:val="22"/>
                                <w:szCs w:val="22"/>
                              </w:rPr>
                              <w:t>values</w:t>
                            </w:r>
                            <w:r w:rsidR="000C0B3F">
                              <w:rPr>
                                <w:rFonts w:asciiTheme="minorHAnsi" w:hAnsiTheme="minorHAnsi" w:cstheme="minorHAnsi"/>
                                <w:sz w:val="22"/>
                                <w:szCs w:val="22"/>
                              </w:rPr>
                              <w:t>;</w:t>
                            </w:r>
                            <w:r w:rsidR="00E0239D">
                              <w:rPr>
                                <w:rFonts w:asciiTheme="minorHAnsi" w:hAnsiTheme="minorHAnsi" w:cstheme="minorHAnsi"/>
                                <w:sz w:val="22"/>
                                <w:szCs w:val="22"/>
                              </w:rPr>
                              <w:t xml:space="preserve"> and </w:t>
                            </w:r>
                            <w:r w:rsidRPr="009332D2" w:rsidR="00CD6642">
                              <w:rPr>
                                <w:rFonts w:asciiTheme="minorHAnsi" w:hAnsiTheme="minorHAnsi" w:cstheme="minorHAnsi"/>
                                <w:sz w:val="22"/>
                                <w:szCs w:val="22"/>
                              </w:rPr>
                              <w:t xml:space="preserve">infrastructure, </w:t>
                            </w:r>
                            <w:r w:rsidR="00E0239D">
                              <w:rPr>
                                <w:rFonts w:asciiTheme="minorHAnsi" w:hAnsiTheme="minorHAnsi" w:cstheme="minorHAnsi"/>
                                <w:sz w:val="22"/>
                                <w:szCs w:val="22"/>
                              </w:rPr>
                              <w:t>such as</w:t>
                            </w:r>
                            <w:r w:rsidRPr="009332D2" w:rsidR="00CD6642">
                              <w:rPr>
                                <w:rFonts w:asciiTheme="minorHAnsi" w:hAnsiTheme="minorHAnsi" w:cstheme="minorHAnsi"/>
                                <w:sz w:val="22"/>
                                <w:szCs w:val="22"/>
                              </w:rPr>
                              <w:t xml:space="preserve"> </w:t>
                            </w:r>
                            <w:r w:rsidR="00E0239D">
                              <w:rPr>
                                <w:rFonts w:asciiTheme="minorHAnsi" w:hAnsiTheme="minorHAnsi" w:cstheme="minorHAnsi"/>
                                <w:sz w:val="22"/>
                                <w:szCs w:val="22"/>
                              </w:rPr>
                              <w:t>information</w:t>
                            </w:r>
                            <w:r w:rsidRPr="009332D2" w:rsidR="00CD6642">
                              <w:rPr>
                                <w:rFonts w:asciiTheme="minorHAnsi" w:hAnsiTheme="minorHAnsi" w:cstheme="minorHAnsi"/>
                                <w:sz w:val="22"/>
                                <w:szCs w:val="22"/>
                              </w:rPr>
                              <w:t xml:space="preserve"> systems</w:t>
                            </w:r>
                            <w:r w:rsidRPr="009332D2" w:rsidR="000901A5">
                              <w:rPr>
                                <w:rFonts w:asciiTheme="minorHAnsi" w:hAnsiTheme="minorHAnsi" w:cstheme="minorHAnsi"/>
                                <w:sz w:val="22"/>
                                <w:szCs w:val="22"/>
                              </w:rPr>
                              <w:t xml:space="preserve">.  </w:t>
                            </w:r>
                          </w:p>
                          <w:p w:rsidR="002F5077" w:rsidRPr="009332D2" w:rsidP="00896231" w14:textId="1A9B4DD9">
                            <w:pPr>
                              <w:pStyle w:val="ListParagraph"/>
                              <w:numPr>
                                <w:ilvl w:val="0"/>
                                <w:numId w:val="34"/>
                              </w:numPr>
                              <w:spacing w:before="120"/>
                              <w:contextualSpacing w:val="0"/>
                              <w:rPr>
                                <w:rFonts w:asciiTheme="minorHAnsi" w:hAnsiTheme="minorHAnsi" w:cstheme="minorHAnsi"/>
                                <w:sz w:val="22"/>
                                <w:szCs w:val="22"/>
                              </w:rPr>
                            </w:pPr>
                            <w:r w:rsidRPr="009332D2">
                              <w:rPr>
                                <w:rFonts w:asciiTheme="minorHAnsi" w:hAnsiTheme="minorHAnsi" w:cstheme="minorHAnsi"/>
                                <w:sz w:val="22"/>
                                <w:szCs w:val="22"/>
                              </w:rPr>
                              <w:t>The methods used to collect the information will include qualitative interviews</w:t>
                            </w:r>
                            <w:r w:rsidR="002A6D69">
                              <w:rPr>
                                <w:rFonts w:asciiTheme="minorHAnsi" w:hAnsiTheme="minorHAnsi" w:cstheme="minorHAnsi"/>
                                <w:sz w:val="22"/>
                                <w:szCs w:val="22"/>
                              </w:rPr>
                              <w:t xml:space="preserve"> at the individual and focus group levels </w:t>
                            </w:r>
                            <w:r w:rsidRPr="009332D2" w:rsidR="00CD6642">
                              <w:rPr>
                                <w:rFonts w:asciiTheme="minorHAnsi" w:hAnsiTheme="minorHAnsi" w:cstheme="minorHAnsi"/>
                                <w:sz w:val="22"/>
                                <w:szCs w:val="22"/>
                              </w:rPr>
                              <w:t>among</w:t>
                            </w:r>
                            <w:r w:rsidRPr="009332D2">
                              <w:rPr>
                                <w:rFonts w:asciiTheme="minorHAnsi" w:hAnsiTheme="minorHAnsi" w:cstheme="minorHAnsi"/>
                                <w:sz w:val="22"/>
                                <w:szCs w:val="22"/>
                              </w:rPr>
                              <w:t xml:space="preserve"> the consumer clients </w:t>
                            </w:r>
                            <w:r w:rsidRPr="009332D2" w:rsidR="00CD6642">
                              <w:rPr>
                                <w:rFonts w:asciiTheme="minorHAnsi" w:hAnsiTheme="minorHAnsi" w:cstheme="minorHAnsi"/>
                                <w:sz w:val="22"/>
                                <w:szCs w:val="22"/>
                              </w:rPr>
                              <w:t xml:space="preserve">(occupational safety and health practitioners) </w:t>
                            </w:r>
                            <w:r w:rsidRPr="009332D2" w:rsidR="000B1E1A">
                              <w:rPr>
                                <w:rFonts w:asciiTheme="minorHAnsi" w:hAnsiTheme="minorHAnsi" w:cstheme="minorHAnsi"/>
                                <w:sz w:val="22"/>
                                <w:szCs w:val="22"/>
                              </w:rPr>
                              <w:t>and</w:t>
                            </w:r>
                            <w:r w:rsidRPr="009332D2">
                              <w:rPr>
                                <w:rFonts w:asciiTheme="minorHAnsi" w:hAnsiTheme="minorHAnsi" w:cstheme="minorHAnsi"/>
                                <w:sz w:val="22"/>
                                <w:szCs w:val="22"/>
                              </w:rPr>
                              <w:t xml:space="preserve"> the implementers </w:t>
                            </w:r>
                            <w:r w:rsidRPr="009332D2" w:rsidR="00CD6642">
                              <w:rPr>
                                <w:rFonts w:asciiTheme="minorHAnsi" w:hAnsiTheme="minorHAnsi" w:cstheme="minorHAnsi"/>
                                <w:sz w:val="22"/>
                                <w:szCs w:val="22"/>
                              </w:rPr>
                              <w:t>(</w:t>
                            </w:r>
                            <w:r w:rsidRPr="009332D2" w:rsidR="000B1E1A">
                              <w:rPr>
                                <w:rFonts w:asciiTheme="minorHAnsi" w:hAnsiTheme="minorHAnsi" w:cstheme="minorHAnsi"/>
                                <w:sz w:val="22"/>
                                <w:szCs w:val="22"/>
                              </w:rPr>
                              <w:t>computer and information systems managers</w:t>
                            </w:r>
                            <w:r w:rsidR="002A6D69">
                              <w:rPr>
                                <w:rFonts w:asciiTheme="minorHAnsi" w:hAnsiTheme="minorHAnsi" w:cstheme="minorHAnsi"/>
                                <w:sz w:val="22"/>
                                <w:szCs w:val="22"/>
                              </w:rPr>
                              <w:t>)</w:t>
                            </w:r>
                            <w:r w:rsidRPr="009332D2">
                              <w:rPr>
                                <w:rFonts w:asciiTheme="minorHAnsi" w:hAnsiTheme="minorHAnsi" w:cstheme="minorHAnsi"/>
                                <w:sz w:val="22"/>
                                <w:szCs w:val="22"/>
                              </w:rPr>
                              <w:t>.</w:t>
                            </w:r>
                          </w:p>
                          <w:p w:rsidR="002F5077" w:rsidRPr="009332D2" w:rsidP="007A3CF4" w14:textId="7157E16D">
                            <w:pPr>
                              <w:pStyle w:val="ListParagraph"/>
                              <w:numPr>
                                <w:ilvl w:val="0"/>
                                <w:numId w:val="34"/>
                              </w:numPr>
                              <w:spacing w:before="120"/>
                              <w:contextualSpacing w:val="0"/>
                              <w:rPr>
                                <w:rFonts w:asciiTheme="minorHAnsi" w:hAnsiTheme="minorHAnsi" w:cstheme="minorHAnsi"/>
                                <w:sz w:val="22"/>
                                <w:szCs w:val="22"/>
                              </w:rPr>
                            </w:pPr>
                            <w:r w:rsidRPr="009332D2">
                              <w:rPr>
                                <w:rFonts w:asciiTheme="minorHAnsi" w:hAnsiTheme="minorHAnsi" w:cstheme="minorHAnsi"/>
                                <w:sz w:val="22"/>
                                <w:szCs w:val="22"/>
                              </w:rPr>
                              <w:t>Respondents include persons from specific subpopulations</w:t>
                            </w:r>
                            <w:r w:rsidRPr="009332D2" w:rsidR="000B1E1A">
                              <w:rPr>
                                <w:rFonts w:asciiTheme="minorHAnsi" w:hAnsiTheme="minorHAnsi" w:cstheme="minorHAnsi"/>
                                <w:sz w:val="22"/>
                                <w:szCs w:val="22"/>
                              </w:rPr>
                              <w:t xml:space="preserve"> of the general population, including occupational safety and health practitioners, computer and information systems </w:t>
                            </w:r>
                            <w:r w:rsidR="00373E87">
                              <w:rPr>
                                <w:rFonts w:asciiTheme="minorHAnsi" w:hAnsiTheme="minorHAnsi" w:cstheme="minorHAnsi"/>
                                <w:sz w:val="22"/>
                                <w:szCs w:val="22"/>
                              </w:rPr>
                              <w:t>professionals</w:t>
                            </w:r>
                            <w:r w:rsidRPr="009332D2" w:rsidR="000B1E1A">
                              <w:rPr>
                                <w:rFonts w:asciiTheme="minorHAnsi" w:hAnsiTheme="minorHAnsi" w:cstheme="minorHAnsi"/>
                                <w:sz w:val="22"/>
                                <w:szCs w:val="22"/>
                              </w:rPr>
                              <w:t xml:space="preserve">, and </w:t>
                            </w:r>
                            <w:r w:rsidRPr="009332D2">
                              <w:rPr>
                                <w:rFonts w:asciiTheme="minorHAnsi" w:hAnsiTheme="minorHAnsi" w:cstheme="minorHAnsi"/>
                                <w:sz w:val="22"/>
                                <w:szCs w:val="22"/>
                              </w:rPr>
                              <w:t>persons residing in</w:t>
                            </w:r>
                            <w:r w:rsidR="00CA068D">
                              <w:rPr>
                                <w:rFonts w:asciiTheme="minorHAnsi" w:hAnsiTheme="minorHAnsi" w:cstheme="minorHAnsi"/>
                                <w:sz w:val="22"/>
                                <w:szCs w:val="22"/>
                              </w:rPr>
                              <w:t xml:space="preserve"> a</w:t>
                            </w:r>
                            <w:r w:rsidRPr="009332D2" w:rsidR="000B1E1A">
                              <w:rPr>
                                <w:rFonts w:asciiTheme="minorHAnsi" w:hAnsiTheme="minorHAnsi" w:cstheme="minorHAnsi"/>
                                <w:sz w:val="22"/>
                                <w:szCs w:val="22"/>
                              </w:rPr>
                              <w:t xml:space="preserve"> specific</w:t>
                            </w:r>
                            <w:r w:rsidRPr="009332D2">
                              <w:rPr>
                                <w:rFonts w:asciiTheme="minorHAnsi" w:hAnsiTheme="minorHAnsi" w:cstheme="minorHAnsi"/>
                                <w:sz w:val="22"/>
                                <w:szCs w:val="22"/>
                              </w:rPr>
                              <w:t xml:space="preserve"> rural </w:t>
                            </w:r>
                            <w:r w:rsidRPr="009332D2" w:rsidR="000B1E1A">
                              <w:rPr>
                                <w:rFonts w:asciiTheme="minorHAnsi" w:hAnsiTheme="minorHAnsi" w:cstheme="minorHAnsi"/>
                                <w:sz w:val="22"/>
                                <w:szCs w:val="22"/>
                              </w:rPr>
                              <w:t>region with oil and gas extraction activity</w:t>
                            </w:r>
                            <w:r w:rsidRPr="009332D2">
                              <w:rPr>
                                <w:rFonts w:asciiTheme="minorHAnsi" w:hAnsiTheme="minorHAnsi" w:cstheme="minorHAnsi"/>
                                <w:sz w:val="22"/>
                                <w:szCs w:val="22"/>
                              </w:rPr>
                              <w:t xml:space="preserve">.  </w:t>
                            </w:r>
                          </w:p>
                          <w:p w:rsidR="000B5579" w:rsidRPr="007205FE" w:rsidP="000B5579" w14:textId="314D08D7">
                            <w:pPr>
                              <w:pStyle w:val="ListParagraph"/>
                              <w:numPr>
                                <w:ilvl w:val="0"/>
                                <w:numId w:val="34"/>
                              </w:numPr>
                              <w:spacing w:before="120"/>
                              <w:contextualSpacing w:val="0"/>
                              <w:rPr>
                                <w:rFonts w:asciiTheme="minorHAnsi" w:hAnsiTheme="minorHAnsi" w:cstheme="minorHAnsi"/>
                              </w:rPr>
                            </w:pPr>
                            <w:r w:rsidRPr="007205FE">
                              <w:rPr>
                                <w:rFonts w:asciiTheme="minorHAnsi" w:hAnsiTheme="minorHAnsi" w:cstheme="minorHAnsi"/>
                                <w:sz w:val="22"/>
                                <w:szCs w:val="22"/>
                              </w:rPr>
                              <w:t xml:space="preserve">The data will be analyzed using </w:t>
                            </w:r>
                            <w:r w:rsidR="00171595">
                              <w:rPr>
                                <w:rFonts w:asciiTheme="minorHAnsi" w:hAnsiTheme="minorHAnsi" w:cstheme="minorHAnsi"/>
                                <w:sz w:val="22"/>
                                <w:szCs w:val="22"/>
                              </w:rPr>
                              <w:t>established</w:t>
                            </w:r>
                            <w:r w:rsidRPr="007205FE" w:rsidR="007205FE">
                              <w:rPr>
                                <w:rFonts w:asciiTheme="minorHAnsi" w:hAnsiTheme="minorHAnsi" w:cstheme="minorHAnsi"/>
                                <w:sz w:val="22"/>
                                <w:szCs w:val="22"/>
                              </w:rPr>
                              <w:t xml:space="preserve"> qualitative data analysis techniques</w:t>
                            </w:r>
                            <w:r w:rsidRPr="007205FE">
                              <w:rPr>
                                <w:rFonts w:asciiTheme="minorHAnsi" w:hAnsiTheme="minorHAnsi" w:cstheme="minorHAnsi"/>
                                <w:sz w:val="22"/>
                                <w:szCs w:val="22"/>
                              </w:rPr>
                              <w:t>.</w:t>
                            </w:r>
                          </w:p>
                          <w:p w:rsidR="00AF084B" w:rsidRPr="009332D2" w:rsidP="000B5579" w14:textId="45B7F3BA">
                            <w:pPr>
                              <w:pStyle w:val="ListParagraph"/>
                              <w:numPr>
                                <w:ilvl w:val="0"/>
                                <w:numId w:val="34"/>
                              </w:numPr>
                              <w:spacing w:before="120"/>
                              <w:contextualSpacing w:val="0"/>
                              <w:rPr>
                                <w:rFonts w:asciiTheme="minorHAnsi" w:hAnsiTheme="minorHAnsi" w:cstheme="minorHAnsi"/>
                              </w:rPr>
                            </w:pPr>
                            <w:r w:rsidRPr="009332D2">
                              <w:rPr>
                                <w:rFonts w:asciiTheme="minorHAnsi" w:hAnsiTheme="minorHAnsi" w:cstheme="minorHAnsi"/>
                                <w:sz w:val="22"/>
                                <w:szCs w:val="22"/>
                              </w:rPr>
                              <w:t xml:space="preserve">In addition to submission of the instruments utilized, </w:t>
                            </w:r>
                            <w:r w:rsidR="00DF05ED">
                              <w:rPr>
                                <w:rFonts w:asciiTheme="minorHAnsi" w:hAnsiTheme="minorHAnsi" w:cstheme="minorHAnsi"/>
                                <w:sz w:val="22"/>
                                <w:szCs w:val="22"/>
                              </w:rPr>
                              <w:t>this collection submitted under the</w:t>
                            </w:r>
                            <w:r w:rsidRPr="009332D2">
                              <w:rPr>
                                <w:rFonts w:asciiTheme="minorHAnsi" w:hAnsiTheme="minorHAnsi" w:cstheme="minorHAnsi"/>
                                <w:sz w:val="22"/>
                                <w:szCs w:val="22"/>
                              </w:rPr>
                              <w:t xml:space="preserve"> generic pathway also include</w:t>
                            </w:r>
                            <w:r w:rsidR="00DF05ED">
                              <w:rPr>
                                <w:rFonts w:asciiTheme="minorHAnsi" w:hAnsiTheme="minorHAnsi" w:cstheme="minorHAnsi"/>
                                <w:sz w:val="22"/>
                                <w:szCs w:val="22"/>
                              </w:rPr>
                              <w:t>s</w:t>
                            </w:r>
                            <w:r w:rsidRPr="009332D2">
                              <w:rPr>
                                <w:rFonts w:asciiTheme="minorHAnsi" w:hAnsiTheme="minorHAnsi" w:cstheme="minorHAnsi"/>
                                <w:sz w:val="22"/>
                                <w:szCs w:val="22"/>
                              </w:rPr>
                              <w:t xml:space="preserve"> a full supporting statement Part A that describes the tool/method/intervention under development, identifies the targeted respondent populations, assesses </w:t>
                            </w:r>
                            <w:r w:rsidRPr="009332D2" w:rsidR="00867875">
                              <w:rPr>
                                <w:rFonts w:asciiTheme="minorHAnsi" w:hAnsiTheme="minorHAnsi" w:cstheme="minorHAnsi"/>
                                <w:sz w:val="22"/>
                                <w:szCs w:val="22"/>
                              </w:rPr>
                              <w:t xml:space="preserve">the </w:t>
                            </w:r>
                            <w:r w:rsidRPr="009332D2">
                              <w:rPr>
                                <w:rFonts w:asciiTheme="minorHAnsi" w:hAnsiTheme="minorHAnsi" w:cstheme="minorHAnsi"/>
                                <w:sz w:val="22"/>
                                <w:szCs w:val="22"/>
                              </w:rPr>
                              <w:t>applicability of the Privacy Act and includ</w:t>
                            </w:r>
                            <w:r w:rsidRPr="009332D2" w:rsidR="00867875">
                              <w:rPr>
                                <w:rFonts w:asciiTheme="minorHAnsi" w:hAnsiTheme="minorHAnsi" w:cstheme="minorHAnsi"/>
                                <w:sz w:val="22"/>
                                <w:szCs w:val="22"/>
                              </w:rPr>
                              <w:t>ing</w:t>
                            </w:r>
                            <w:r w:rsidRPr="009332D2">
                              <w:rPr>
                                <w:rFonts w:asciiTheme="minorHAnsi" w:hAnsiTheme="minorHAnsi" w:cstheme="minorHAnsi"/>
                                <w:sz w:val="22"/>
                                <w:szCs w:val="22"/>
                              </w:rPr>
                              <w:t xml:space="preserve"> a </w:t>
                            </w:r>
                            <w:r w:rsidRPr="009332D2" w:rsidR="00867875">
                              <w:rPr>
                                <w:rFonts w:asciiTheme="minorHAnsi" w:hAnsiTheme="minorHAnsi" w:cstheme="minorHAnsi"/>
                                <w:sz w:val="22"/>
                                <w:szCs w:val="22"/>
                              </w:rPr>
                              <w:t xml:space="preserve">comprehensive </w:t>
                            </w:r>
                            <w:r w:rsidRPr="009332D2">
                              <w:rPr>
                                <w:rFonts w:asciiTheme="minorHAnsi" w:hAnsiTheme="minorHAnsi" w:cstheme="minorHAnsi"/>
                                <w:sz w:val="22"/>
                                <w:szCs w:val="22"/>
                              </w:rPr>
                              <w:t xml:space="preserve">Privacy Impact Assessment if necessary. </w:t>
                            </w:r>
                          </w:p>
                          <w:p w:rsidR="000B5579" w:rsidRPr="009332D2" w:rsidP="000B5579" w14:textId="43896AAA">
                            <w:pPr>
                              <w:pStyle w:val="ListParagraph"/>
                              <w:numPr>
                                <w:ilvl w:val="0"/>
                                <w:numId w:val="34"/>
                              </w:numPr>
                              <w:spacing w:before="120"/>
                              <w:contextualSpacing w:val="0"/>
                              <w:rPr>
                                <w:rFonts w:asciiTheme="minorHAnsi" w:hAnsiTheme="minorHAnsi" w:cstheme="minorHAnsi"/>
                              </w:rPr>
                            </w:pPr>
                            <w:r w:rsidRPr="009332D2">
                              <w:rPr>
                                <w:rFonts w:asciiTheme="minorHAnsi" w:hAnsiTheme="minorHAnsi" w:cstheme="minorHAnsi"/>
                              </w:rPr>
                              <w:t>O</w:t>
                            </w:r>
                            <w:r w:rsidRPr="009332D2">
                              <w:rPr>
                                <w:rFonts w:asciiTheme="minorHAnsi" w:hAnsiTheme="minorHAnsi" w:cstheme="minorHAnsi"/>
                                <w:sz w:val="22"/>
                                <w:szCs w:val="22"/>
                              </w:rPr>
                              <w:t xml:space="preserve">utcomes collected under this generic pathway are intended for internal </w:t>
                            </w:r>
                            <w:r w:rsidRPr="009332D2" w:rsidR="00AF084B">
                              <w:rPr>
                                <w:rFonts w:asciiTheme="minorHAnsi" w:hAnsiTheme="minorHAnsi" w:cstheme="minorHAnsi"/>
                                <w:sz w:val="22"/>
                                <w:szCs w:val="22"/>
                              </w:rPr>
                              <w:t>CDC/</w:t>
                            </w:r>
                            <w:r w:rsidRPr="009332D2">
                              <w:rPr>
                                <w:rFonts w:asciiTheme="minorHAnsi" w:hAnsiTheme="minorHAnsi" w:cstheme="minorHAnsi"/>
                                <w:sz w:val="22"/>
                                <w:szCs w:val="22"/>
                              </w:rPr>
                              <w:t xml:space="preserve">ATSDR use only and will not be generalized beyond the scope of </w:t>
                            </w:r>
                            <w:r w:rsidRPr="009332D2" w:rsidR="000B1E1A">
                              <w:rPr>
                                <w:rFonts w:asciiTheme="minorHAnsi" w:hAnsiTheme="minorHAnsi" w:cstheme="minorHAnsi"/>
                                <w:sz w:val="22"/>
                                <w:szCs w:val="22"/>
                              </w:rPr>
                              <w:t>the</w:t>
                            </w:r>
                            <w:r w:rsidRPr="009332D2">
                              <w:rPr>
                                <w:rFonts w:asciiTheme="minorHAnsi" w:hAnsiTheme="minorHAnsi" w:cstheme="minorHAnsi"/>
                                <w:sz w:val="22"/>
                                <w:szCs w:val="22"/>
                              </w:rPr>
                              <w:t xml:space="preserve"> study or to broader populations.</w:t>
                            </w:r>
                          </w:p>
                          <w:p w:rsidR="002F5077" w:rsidRPr="00896231" w:rsidP="00AF084B" w14:textId="77777777">
                            <w:pPr>
                              <w:pStyle w:val="ListParagraph"/>
                              <w:spacing w:before="120"/>
                              <w:ind w:left="360" w:firstLine="0"/>
                              <w:contextualSpacing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05pt;height:513.65pt;margin-top:13.2pt;margin-left:-25.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2F5077" w:rsidRPr="009332D2" w:rsidP="00896231" w14:paraId="685A909D" w14:textId="10A2A736">
                      <w:pPr>
                        <w:pStyle w:val="ListParagraph"/>
                        <w:numPr>
                          <w:ilvl w:val="0"/>
                          <w:numId w:val="34"/>
                        </w:numPr>
                        <w:spacing w:before="120"/>
                        <w:contextualSpacing w:val="0"/>
                        <w:rPr>
                          <w:rFonts w:asciiTheme="minorHAnsi" w:hAnsiTheme="minorHAnsi" w:cstheme="minorHAnsi"/>
                          <w:sz w:val="22"/>
                          <w:szCs w:val="22"/>
                        </w:rPr>
                      </w:pPr>
                      <w:r w:rsidRPr="009332D2">
                        <w:rPr>
                          <w:rFonts w:asciiTheme="minorHAnsi" w:hAnsiTheme="minorHAnsi" w:cstheme="minorHAnsi"/>
                          <w:sz w:val="22"/>
                          <w:szCs w:val="22"/>
                        </w:rPr>
                        <w:t>The goal of thi</w:t>
                      </w:r>
                      <w:r w:rsidRPr="009332D2" w:rsidR="007450D3">
                        <w:rPr>
                          <w:rFonts w:asciiTheme="minorHAnsi" w:hAnsiTheme="minorHAnsi" w:cstheme="minorHAnsi"/>
                          <w:sz w:val="22"/>
                          <w:szCs w:val="22"/>
                        </w:rPr>
                        <w:t xml:space="preserve">s </w:t>
                      </w:r>
                      <w:r w:rsidRPr="009332D2">
                        <w:rPr>
                          <w:rFonts w:asciiTheme="minorHAnsi" w:hAnsiTheme="minorHAnsi" w:cstheme="minorHAnsi"/>
                          <w:sz w:val="22"/>
                          <w:szCs w:val="22"/>
                        </w:rPr>
                        <w:t xml:space="preserve">generic information collection request is to enable </w:t>
                      </w:r>
                      <w:r w:rsidRPr="009332D2" w:rsidR="002B1C1F">
                        <w:rPr>
                          <w:rFonts w:asciiTheme="minorHAnsi" w:hAnsiTheme="minorHAnsi" w:cstheme="minorHAnsi"/>
                          <w:sz w:val="22"/>
                          <w:szCs w:val="22"/>
                        </w:rPr>
                        <w:t>NIOSH/</w:t>
                      </w:r>
                      <w:r w:rsidRPr="009332D2">
                        <w:rPr>
                          <w:rFonts w:asciiTheme="minorHAnsi" w:hAnsiTheme="minorHAnsi" w:cstheme="minorHAnsi"/>
                          <w:sz w:val="22"/>
                          <w:szCs w:val="22"/>
                        </w:rPr>
                        <w:t xml:space="preserve">CDC to conduct formative research </w:t>
                      </w:r>
                      <w:r w:rsidRPr="009332D2" w:rsidR="002B1C1F">
                        <w:rPr>
                          <w:rFonts w:asciiTheme="minorHAnsi" w:hAnsiTheme="minorHAnsi" w:cstheme="minorHAnsi"/>
                          <w:sz w:val="22"/>
                          <w:szCs w:val="22"/>
                        </w:rPr>
                        <w:t>that informs the development of new</w:t>
                      </w:r>
                      <w:r w:rsidRPr="009332D2">
                        <w:rPr>
                          <w:rFonts w:asciiTheme="minorHAnsi" w:hAnsiTheme="minorHAnsi" w:cstheme="minorHAnsi"/>
                          <w:sz w:val="22"/>
                          <w:szCs w:val="22"/>
                        </w:rPr>
                        <w:t xml:space="preserve"> tools and methodologies </w:t>
                      </w:r>
                      <w:r w:rsidRPr="009332D2" w:rsidR="00F61A44">
                        <w:rPr>
                          <w:rFonts w:asciiTheme="minorHAnsi" w:hAnsiTheme="minorHAnsi" w:cstheme="minorHAnsi"/>
                          <w:sz w:val="22"/>
                          <w:szCs w:val="22"/>
                        </w:rPr>
                        <w:t>supporting</w:t>
                      </w:r>
                      <w:r w:rsidRPr="009332D2">
                        <w:rPr>
                          <w:rFonts w:asciiTheme="minorHAnsi" w:hAnsiTheme="minorHAnsi" w:cstheme="minorHAnsi"/>
                          <w:sz w:val="22"/>
                          <w:szCs w:val="22"/>
                        </w:rPr>
                        <w:t xml:space="preserve"> </w:t>
                      </w:r>
                      <w:r w:rsidRPr="009332D2" w:rsidR="002B1C1F">
                        <w:rPr>
                          <w:rFonts w:asciiTheme="minorHAnsi" w:hAnsiTheme="minorHAnsi" w:cstheme="minorHAnsi"/>
                          <w:sz w:val="22"/>
                          <w:szCs w:val="22"/>
                        </w:rPr>
                        <w:t>NIOSH/</w:t>
                      </w:r>
                      <w:r w:rsidRPr="009332D2" w:rsidR="00F61A44">
                        <w:rPr>
                          <w:rFonts w:asciiTheme="minorHAnsi" w:hAnsiTheme="minorHAnsi" w:cstheme="minorHAnsi"/>
                          <w:sz w:val="22"/>
                          <w:szCs w:val="22"/>
                        </w:rPr>
                        <w:t xml:space="preserve">CDC’s surveillance and program evaluation activities. </w:t>
                      </w:r>
                      <w:r w:rsidRPr="009332D2" w:rsidR="00867875">
                        <w:rPr>
                          <w:rFonts w:asciiTheme="minorHAnsi" w:hAnsiTheme="minorHAnsi" w:cstheme="minorHAnsi"/>
                          <w:sz w:val="22"/>
                          <w:szCs w:val="22"/>
                        </w:rPr>
                        <w:t xml:space="preserve">The information </w:t>
                      </w:r>
                      <w:r w:rsidRPr="009332D2" w:rsidR="00F61A44">
                        <w:rPr>
                          <w:rFonts w:asciiTheme="minorHAnsi" w:hAnsiTheme="minorHAnsi" w:cstheme="minorHAnsi"/>
                          <w:sz w:val="22"/>
                          <w:szCs w:val="22"/>
                        </w:rPr>
                        <w:t xml:space="preserve">collection will </w:t>
                      </w:r>
                      <w:r w:rsidRPr="009332D2">
                        <w:rPr>
                          <w:rFonts w:asciiTheme="minorHAnsi" w:hAnsiTheme="minorHAnsi" w:cstheme="minorHAnsi"/>
                          <w:sz w:val="22"/>
                          <w:szCs w:val="22"/>
                        </w:rPr>
                        <w:t>includ</w:t>
                      </w:r>
                      <w:r w:rsidRPr="009332D2" w:rsidR="00F61A44">
                        <w:rPr>
                          <w:rFonts w:asciiTheme="minorHAnsi" w:hAnsiTheme="minorHAnsi" w:cstheme="minorHAnsi"/>
                          <w:sz w:val="22"/>
                          <w:szCs w:val="22"/>
                        </w:rPr>
                        <w:t>e</w:t>
                      </w:r>
                      <w:r w:rsidRPr="009332D2">
                        <w:rPr>
                          <w:rFonts w:asciiTheme="minorHAnsi" w:hAnsiTheme="minorHAnsi" w:cstheme="minorHAnsi"/>
                          <w:sz w:val="22"/>
                          <w:szCs w:val="22"/>
                        </w:rPr>
                        <w:t xml:space="preserve"> </w:t>
                      </w:r>
                      <w:r w:rsidRPr="009332D2" w:rsidR="002B1C1F">
                        <w:rPr>
                          <w:rFonts w:asciiTheme="minorHAnsi" w:hAnsiTheme="minorHAnsi" w:cstheme="minorHAnsi"/>
                          <w:sz w:val="22"/>
                          <w:szCs w:val="22"/>
                        </w:rPr>
                        <w:t xml:space="preserve">qualitative </w:t>
                      </w:r>
                      <w:r w:rsidRPr="009332D2" w:rsidR="00CD6642">
                        <w:rPr>
                          <w:rFonts w:asciiTheme="minorHAnsi" w:hAnsiTheme="minorHAnsi" w:cstheme="minorHAnsi"/>
                          <w:sz w:val="22"/>
                          <w:szCs w:val="22"/>
                        </w:rPr>
                        <w:t>data collection and analysis</w:t>
                      </w:r>
                      <w:r w:rsidRPr="009332D2" w:rsidR="002B1C1F">
                        <w:rPr>
                          <w:rFonts w:asciiTheme="minorHAnsi" w:hAnsiTheme="minorHAnsi" w:cstheme="minorHAnsi"/>
                          <w:sz w:val="22"/>
                          <w:szCs w:val="22"/>
                        </w:rPr>
                        <w:t xml:space="preserve"> (e.g., </w:t>
                      </w:r>
                      <w:r w:rsidRPr="009332D2" w:rsidR="00CD6642">
                        <w:rPr>
                          <w:rFonts w:asciiTheme="minorHAnsi" w:hAnsiTheme="minorHAnsi" w:cstheme="minorHAnsi"/>
                          <w:sz w:val="22"/>
                          <w:szCs w:val="22"/>
                        </w:rPr>
                        <w:t>key informant interviews</w:t>
                      </w:r>
                      <w:r w:rsidRPr="009332D2" w:rsidR="002B1C1F">
                        <w:rPr>
                          <w:rFonts w:asciiTheme="minorHAnsi" w:hAnsiTheme="minorHAnsi" w:cstheme="minorHAnsi"/>
                          <w:sz w:val="22"/>
                          <w:szCs w:val="22"/>
                        </w:rPr>
                        <w:t xml:space="preserve">) to </w:t>
                      </w:r>
                      <w:r w:rsidR="00014DB3">
                        <w:rPr>
                          <w:rFonts w:asciiTheme="minorHAnsi" w:hAnsiTheme="minorHAnsi" w:cstheme="minorHAnsi"/>
                          <w:sz w:val="22"/>
                          <w:szCs w:val="22"/>
                        </w:rPr>
                        <w:t xml:space="preserve">understand </w:t>
                      </w:r>
                      <w:r w:rsidR="000E1148">
                        <w:rPr>
                          <w:rFonts w:asciiTheme="minorHAnsi" w:hAnsiTheme="minorHAnsi" w:cstheme="minorHAnsi"/>
                          <w:sz w:val="22"/>
                          <w:szCs w:val="22"/>
                        </w:rPr>
                        <w:t>occupational safety and health professionals’ information needs in</w:t>
                      </w:r>
                      <w:r w:rsidRPr="009332D2" w:rsidR="00CD6642">
                        <w:rPr>
                          <w:rFonts w:asciiTheme="minorHAnsi" w:hAnsiTheme="minorHAnsi" w:cstheme="minorHAnsi"/>
                          <w:sz w:val="22"/>
                          <w:szCs w:val="22"/>
                        </w:rPr>
                        <w:t xml:space="preserve"> a defined</w:t>
                      </w:r>
                      <w:r w:rsidRPr="009332D2" w:rsidR="002B1C1F">
                        <w:rPr>
                          <w:rFonts w:asciiTheme="minorHAnsi" w:hAnsiTheme="minorHAnsi" w:cstheme="minorHAnsi"/>
                          <w:sz w:val="22"/>
                          <w:szCs w:val="22"/>
                        </w:rPr>
                        <w:t xml:space="preserve"> multi-jurisdiction region</w:t>
                      </w:r>
                      <w:r w:rsidRPr="009332D2">
                        <w:rPr>
                          <w:rFonts w:asciiTheme="minorHAnsi" w:hAnsiTheme="minorHAnsi" w:cstheme="minorHAnsi"/>
                          <w:sz w:val="22"/>
                          <w:szCs w:val="22"/>
                        </w:rPr>
                        <w:t>.</w:t>
                      </w:r>
                    </w:p>
                    <w:p w:rsidR="002F5077" w:rsidRPr="009332D2" w:rsidP="00896231" w14:paraId="756AB405" w14:textId="4701534A">
                      <w:pPr>
                        <w:pStyle w:val="ListParagraph"/>
                        <w:numPr>
                          <w:ilvl w:val="0"/>
                          <w:numId w:val="34"/>
                        </w:numPr>
                        <w:spacing w:before="120"/>
                        <w:contextualSpacing w:val="0"/>
                        <w:rPr>
                          <w:rFonts w:asciiTheme="minorHAnsi" w:hAnsiTheme="minorHAnsi" w:cstheme="minorHAnsi"/>
                          <w:sz w:val="22"/>
                          <w:szCs w:val="22"/>
                        </w:rPr>
                      </w:pPr>
                      <w:r w:rsidRPr="009332D2">
                        <w:rPr>
                          <w:rFonts w:asciiTheme="minorHAnsi" w:hAnsiTheme="minorHAnsi" w:cstheme="minorHAnsi"/>
                          <w:sz w:val="22"/>
                          <w:szCs w:val="22"/>
                        </w:rPr>
                        <w:t xml:space="preserve">The resulting data will benefit the federal government in the development of </w:t>
                      </w:r>
                      <w:r w:rsidRPr="009332D2" w:rsidR="00CD6642">
                        <w:rPr>
                          <w:rFonts w:asciiTheme="minorHAnsi" w:hAnsiTheme="minorHAnsi" w:cstheme="minorHAnsi"/>
                          <w:sz w:val="22"/>
                          <w:szCs w:val="22"/>
                        </w:rPr>
                        <w:t>surveillance systems that account for geographic variation in priorities</w:t>
                      </w:r>
                      <w:r w:rsidR="000C0B3F">
                        <w:rPr>
                          <w:rFonts w:asciiTheme="minorHAnsi" w:hAnsiTheme="minorHAnsi" w:cstheme="minorHAnsi"/>
                          <w:sz w:val="22"/>
                          <w:szCs w:val="22"/>
                        </w:rPr>
                        <w:t>;</w:t>
                      </w:r>
                      <w:r w:rsidRPr="009332D2" w:rsidR="00CD6642">
                        <w:rPr>
                          <w:rFonts w:asciiTheme="minorHAnsi" w:hAnsiTheme="minorHAnsi" w:cstheme="minorHAnsi"/>
                          <w:sz w:val="22"/>
                          <w:szCs w:val="22"/>
                        </w:rPr>
                        <w:t xml:space="preserve"> </w:t>
                      </w:r>
                      <w:r w:rsidR="00E0239D">
                        <w:rPr>
                          <w:rFonts w:asciiTheme="minorHAnsi" w:hAnsiTheme="minorHAnsi" w:cstheme="minorHAnsi"/>
                          <w:sz w:val="22"/>
                          <w:szCs w:val="22"/>
                        </w:rPr>
                        <w:t>values</w:t>
                      </w:r>
                      <w:r w:rsidR="000C0B3F">
                        <w:rPr>
                          <w:rFonts w:asciiTheme="minorHAnsi" w:hAnsiTheme="minorHAnsi" w:cstheme="minorHAnsi"/>
                          <w:sz w:val="22"/>
                          <w:szCs w:val="22"/>
                        </w:rPr>
                        <w:t>;</w:t>
                      </w:r>
                      <w:r w:rsidR="00E0239D">
                        <w:rPr>
                          <w:rFonts w:asciiTheme="minorHAnsi" w:hAnsiTheme="minorHAnsi" w:cstheme="minorHAnsi"/>
                          <w:sz w:val="22"/>
                          <w:szCs w:val="22"/>
                        </w:rPr>
                        <w:t xml:space="preserve"> and </w:t>
                      </w:r>
                      <w:r w:rsidRPr="009332D2" w:rsidR="00CD6642">
                        <w:rPr>
                          <w:rFonts w:asciiTheme="minorHAnsi" w:hAnsiTheme="minorHAnsi" w:cstheme="minorHAnsi"/>
                          <w:sz w:val="22"/>
                          <w:szCs w:val="22"/>
                        </w:rPr>
                        <w:t xml:space="preserve">infrastructure, </w:t>
                      </w:r>
                      <w:r w:rsidR="00E0239D">
                        <w:rPr>
                          <w:rFonts w:asciiTheme="minorHAnsi" w:hAnsiTheme="minorHAnsi" w:cstheme="minorHAnsi"/>
                          <w:sz w:val="22"/>
                          <w:szCs w:val="22"/>
                        </w:rPr>
                        <w:t>such as</w:t>
                      </w:r>
                      <w:r w:rsidRPr="009332D2" w:rsidR="00CD6642">
                        <w:rPr>
                          <w:rFonts w:asciiTheme="minorHAnsi" w:hAnsiTheme="minorHAnsi" w:cstheme="minorHAnsi"/>
                          <w:sz w:val="22"/>
                          <w:szCs w:val="22"/>
                        </w:rPr>
                        <w:t xml:space="preserve"> </w:t>
                      </w:r>
                      <w:r w:rsidR="00E0239D">
                        <w:rPr>
                          <w:rFonts w:asciiTheme="minorHAnsi" w:hAnsiTheme="minorHAnsi" w:cstheme="minorHAnsi"/>
                          <w:sz w:val="22"/>
                          <w:szCs w:val="22"/>
                        </w:rPr>
                        <w:t>information</w:t>
                      </w:r>
                      <w:r w:rsidRPr="009332D2" w:rsidR="00CD6642">
                        <w:rPr>
                          <w:rFonts w:asciiTheme="minorHAnsi" w:hAnsiTheme="minorHAnsi" w:cstheme="minorHAnsi"/>
                          <w:sz w:val="22"/>
                          <w:szCs w:val="22"/>
                        </w:rPr>
                        <w:t xml:space="preserve"> systems</w:t>
                      </w:r>
                      <w:r w:rsidRPr="009332D2" w:rsidR="000901A5">
                        <w:rPr>
                          <w:rFonts w:asciiTheme="minorHAnsi" w:hAnsiTheme="minorHAnsi" w:cstheme="minorHAnsi"/>
                          <w:sz w:val="22"/>
                          <w:szCs w:val="22"/>
                        </w:rPr>
                        <w:t xml:space="preserve">.  </w:t>
                      </w:r>
                    </w:p>
                    <w:p w:rsidR="002F5077" w:rsidRPr="009332D2" w:rsidP="00896231" w14:paraId="19890D9E" w14:textId="1A9B4DD9">
                      <w:pPr>
                        <w:pStyle w:val="ListParagraph"/>
                        <w:numPr>
                          <w:ilvl w:val="0"/>
                          <w:numId w:val="34"/>
                        </w:numPr>
                        <w:spacing w:before="120"/>
                        <w:contextualSpacing w:val="0"/>
                        <w:rPr>
                          <w:rFonts w:asciiTheme="minorHAnsi" w:hAnsiTheme="minorHAnsi" w:cstheme="minorHAnsi"/>
                          <w:sz w:val="22"/>
                          <w:szCs w:val="22"/>
                        </w:rPr>
                      </w:pPr>
                      <w:r w:rsidRPr="009332D2">
                        <w:rPr>
                          <w:rFonts w:asciiTheme="minorHAnsi" w:hAnsiTheme="minorHAnsi" w:cstheme="minorHAnsi"/>
                          <w:sz w:val="22"/>
                          <w:szCs w:val="22"/>
                        </w:rPr>
                        <w:t>The methods used to collect the information will include qualitative interviews</w:t>
                      </w:r>
                      <w:r w:rsidR="002A6D69">
                        <w:rPr>
                          <w:rFonts w:asciiTheme="minorHAnsi" w:hAnsiTheme="minorHAnsi" w:cstheme="minorHAnsi"/>
                          <w:sz w:val="22"/>
                          <w:szCs w:val="22"/>
                        </w:rPr>
                        <w:t xml:space="preserve"> at the individual and focus group levels </w:t>
                      </w:r>
                      <w:r w:rsidRPr="009332D2" w:rsidR="00CD6642">
                        <w:rPr>
                          <w:rFonts w:asciiTheme="minorHAnsi" w:hAnsiTheme="minorHAnsi" w:cstheme="minorHAnsi"/>
                          <w:sz w:val="22"/>
                          <w:szCs w:val="22"/>
                        </w:rPr>
                        <w:t>among</w:t>
                      </w:r>
                      <w:r w:rsidRPr="009332D2">
                        <w:rPr>
                          <w:rFonts w:asciiTheme="minorHAnsi" w:hAnsiTheme="minorHAnsi" w:cstheme="minorHAnsi"/>
                          <w:sz w:val="22"/>
                          <w:szCs w:val="22"/>
                        </w:rPr>
                        <w:t xml:space="preserve"> the consumer clients </w:t>
                      </w:r>
                      <w:r w:rsidRPr="009332D2" w:rsidR="00CD6642">
                        <w:rPr>
                          <w:rFonts w:asciiTheme="minorHAnsi" w:hAnsiTheme="minorHAnsi" w:cstheme="minorHAnsi"/>
                          <w:sz w:val="22"/>
                          <w:szCs w:val="22"/>
                        </w:rPr>
                        <w:t xml:space="preserve">(occupational safety and health practitioners) </w:t>
                      </w:r>
                      <w:r w:rsidRPr="009332D2" w:rsidR="000B1E1A">
                        <w:rPr>
                          <w:rFonts w:asciiTheme="minorHAnsi" w:hAnsiTheme="minorHAnsi" w:cstheme="minorHAnsi"/>
                          <w:sz w:val="22"/>
                          <w:szCs w:val="22"/>
                        </w:rPr>
                        <w:t>and</w:t>
                      </w:r>
                      <w:r w:rsidRPr="009332D2">
                        <w:rPr>
                          <w:rFonts w:asciiTheme="minorHAnsi" w:hAnsiTheme="minorHAnsi" w:cstheme="minorHAnsi"/>
                          <w:sz w:val="22"/>
                          <w:szCs w:val="22"/>
                        </w:rPr>
                        <w:t xml:space="preserve"> the implementers </w:t>
                      </w:r>
                      <w:r w:rsidRPr="009332D2" w:rsidR="00CD6642">
                        <w:rPr>
                          <w:rFonts w:asciiTheme="minorHAnsi" w:hAnsiTheme="minorHAnsi" w:cstheme="minorHAnsi"/>
                          <w:sz w:val="22"/>
                          <w:szCs w:val="22"/>
                        </w:rPr>
                        <w:t>(</w:t>
                      </w:r>
                      <w:r w:rsidRPr="009332D2" w:rsidR="000B1E1A">
                        <w:rPr>
                          <w:rFonts w:asciiTheme="minorHAnsi" w:hAnsiTheme="minorHAnsi" w:cstheme="minorHAnsi"/>
                          <w:sz w:val="22"/>
                          <w:szCs w:val="22"/>
                        </w:rPr>
                        <w:t>computer and information systems managers</w:t>
                      </w:r>
                      <w:r w:rsidR="002A6D69">
                        <w:rPr>
                          <w:rFonts w:asciiTheme="minorHAnsi" w:hAnsiTheme="minorHAnsi" w:cstheme="minorHAnsi"/>
                          <w:sz w:val="22"/>
                          <w:szCs w:val="22"/>
                        </w:rPr>
                        <w:t>)</w:t>
                      </w:r>
                      <w:r w:rsidRPr="009332D2">
                        <w:rPr>
                          <w:rFonts w:asciiTheme="minorHAnsi" w:hAnsiTheme="minorHAnsi" w:cstheme="minorHAnsi"/>
                          <w:sz w:val="22"/>
                          <w:szCs w:val="22"/>
                        </w:rPr>
                        <w:t>.</w:t>
                      </w:r>
                    </w:p>
                    <w:p w:rsidR="002F5077" w:rsidRPr="009332D2" w:rsidP="007A3CF4" w14:paraId="39DC2C28" w14:textId="7157E16D">
                      <w:pPr>
                        <w:pStyle w:val="ListParagraph"/>
                        <w:numPr>
                          <w:ilvl w:val="0"/>
                          <w:numId w:val="34"/>
                        </w:numPr>
                        <w:spacing w:before="120"/>
                        <w:contextualSpacing w:val="0"/>
                        <w:rPr>
                          <w:rFonts w:asciiTheme="minorHAnsi" w:hAnsiTheme="minorHAnsi" w:cstheme="minorHAnsi"/>
                          <w:sz w:val="22"/>
                          <w:szCs w:val="22"/>
                        </w:rPr>
                      </w:pPr>
                      <w:r w:rsidRPr="009332D2">
                        <w:rPr>
                          <w:rFonts w:asciiTheme="minorHAnsi" w:hAnsiTheme="minorHAnsi" w:cstheme="minorHAnsi"/>
                          <w:sz w:val="22"/>
                          <w:szCs w:val="22"/>
                        </w:rPr>
                        <w:t>Respondents include persons from specific subpopulations</w:t>
                      </w:r>
                      <w:r w:rsidRPr="009332D2" w:rsidR="000B1E1A">
                        <w:rPr>
                          <w:rFonts w:asciiTheme="minorHAnsi" w:hAnsiTheme="minorHAnsi" w:cstheme="minorHAnsi"/>
                          <w:sz w:val="22"/>
                          <w:szCs w:val="22"/>
                        </w:rPr>
                        <w:t xml:space="preserve"> of the general population, including occupational safety and health practitioners, computer and information systems </w:t>
                      </w:r>
                      <w:r w:rsidR="00373E87">
                        <w:rPr>
                          <w:rFonts w:asciiTheme="minorHAnsi" w:hAnsiTheme="minorHAnsi" w:cstheme="minorHAnsi"/>
                          <w:sz w:val="22"/>
                          <w:szCs w:val="22"/>
                        </w:rPr>
                        <w:t>professionals</w:t>
                      </w:r>
                      <w:r w:rsidRPr="009332D2" w:rsidR="000B1E1A">
                        <w:rPr>
                          <w:rFonts w:asciiTheme="minorHAnsi" w:hAnsiTheme="minorHAnsi" w:cstheme="minorHAnsi"/>
                          <w:sz w:val="22"/>
                          <w:szCs w:val="22"/>
                        </w:rPr>
                        <w:t xml:space="preserve">, and </w:t>
                      </w:r>
                      <w:r w:rsidRPr="009332D2">
                        <w:rPr>
                          <w:rFonts w:asciiTheme="minorHAnsi" w:hAnsiTheme="minorHAnsi" w:cstheme="minorHAnsi"/>
                          <w:sz w:val="22"/>
                          <w:szCs w:val="22"/>
                        </w:rPr>
                        <w:t>persons residing in</w:t>
                      </w:r>
                      <w:r w:rsidR="00CA068D">
                        <w:rPr>
                          <w:rFonts w:asciiTheme="minorHAnsi" w:hAnsiTheme="minorHAnsi" w:cstheme="minorHAnsi"/>
                          <w:sz w:val="22"/>
                          <w:szCs w:val="22"/>
                        </w:rPr>
                        <w:t xml:space="preserve"> a</w:t>
                      </w:r>
                      <w:r w:rsidRPr="009332D2" w:rsidR="000B1E1A">
                        <w:rPr>
                          <w:rFonts w:asciiTheme="minorHAnsi" w:hAnsiTheme="minorHAnsi" w:cstheme="minorHAnsi"/>
                          <w:sz w:val="22"/>
                          <w:szCs w:val="22"/>
                        </w:rPr>
                        <w:t xml:space="preserve"> specific</w:t>
                      </w:r>
                      <w:r w:rsidRPr="009332D2">
                        <w:rPr>
                          <w:rFonts w:asciiTheme="minorHAnsi" w:hAnsiTheme="minorHAnsi" w:cstheme="minorHAnsi"/>
                          <w:sz w:val="22"/>
                          <w:szCs w:val="22"/>
                        </w:rPr>
                        <w:t xml:space="preserve"> rural </w:t>
                      </w:r>
                      <w:r w:rsidRPr="009332D2" w:rsidR="000B1E1A">
                        <w:rPr>
                          <w:rFonts w:asciiTheme="minorHAnsi" w:hAnsiTheme="minorHAnsi" w:cstheme="minorHAnsi"/>
                          <w:sz w:val="22"/>
                          <w:szCs w:val="22"/>
                        </w:rPr>
                        <w:t>region with oil and gas extraction activity</w:t>
                      </w:r>
                      <w:r w:rsidRPr="009332D2">
                        <w:rPr>
                          <w:rFonts w:asciiTheme="minorHAnsi" w:hAnsiTheme="minorHAnsi" w:cstheme="minorHAnsi"/>
                          <w:sz w:val="22"/>
                          <w:szCs w:val="22"/>
                        </w:rPr>
                        <w:t xml:space="preserve">.  </w:t>
                      </w:r>
                    </w:p>
                    <w:p w:rsidR="000B5579" w:rsidRPr="007205FE" w:rsidP="000B5579" w14:paraId="4E96D87E" w14:textId="314D08D7">
                      <w:pPr>
                        <w:pStyle w:val="ListParagraph"/>
                        <w:numPr>
                          <w:ilvl w:val="0"/>
                          <w:numId w:val="34"/>
                        </w:numPr>
                        <w:spacing w:before="120"/>
                        <w:contextualSpacing w:val="0"/>
                        <w:rPr>
                          <w:rFonts w:asciiTheme="minorHAnsi" w:hAnsiTheme="minorHAnsi" w:cstheme="minorHAnsi"/>
                        </w:rPr>
                      </w:pPr>
                      <w:r w:rsidRPr="007205FE">
                        <w:rPr>
                          <w:rFonts w:asciiTheme="minorHAnsi" w:hAnsiTheme="minorHAnsi" w:cstheme="minorHAnsi"/>
                          <w:sz w:val="22"/>
                          <w:szCs w:val="22"/>
                        </w:rPr>
                        <w:t xml:space="preserve">The data will be analyzed using </w:t>
                      </w:r>
                      <w:r w:rsidR="00171595">
                        <w:rPr>
                          <w:rFonts w:asciiTheme="minorHAnsi" w:hAnsiTheme="minorHAnsi" w:cstheme="minorHAnsi"/>
                          <w:sz w:val="22"/>
                          <w:szCs w:val="22"/>
                        </w:rPr>
                        <w:t>established</w:t>
                      </w:r>
                      <w:r w:rsidRPr="007205FE" w:rsidR="007205FE">
                        <w:rPr>
                          <w:rFonts w:asciiTheme="minorHAnsi" w:hAnsiTheme="minorHAnsi" w:cstheme="minorHAnsi"/>
                          <w:sz w:val="22"/>
                          <w:szCs w:val="22"/>
                        </w:rPr>
                        <w:t xml:space="preserve"> qualitative data analysis techniques</w:t>
                      </w:r>
                      <w:r w:rsidRPr="007205FE">
                        <w:rPr>
                          <w:rFonts w:asciiTheme="minorHAnsi" w:hAnsiTheme="minorHAnsi" w:cstheme="minorHAnsi"/>
                          <w:sz w:val="22"/>
                          <w:szCs w:val="22"/>
                        </w:rPr>
                        <w:t>.</w:t>
                      </w:r>
                    </w:p>
                    <w:p w:rsidR="00AF084B" w:rsidRPr="009332D2" w:rsidP="000B5579" w14:paraId="0BFC2B13" w14:textId="45B7F3BA">
                      <w:pPr>
                        <w:pStyle w:val="ListParagraph"/>
                        <w:numPr>
                          <w:ilvl w:val="0"/>
                          <w:numId w:val="34"/>
                        </w:numPr>
                        <w:spacing w:before="120"/>
                        <w:contextualSpacing w:val="0"/>
                        <w:rPr>
                          <w:rFonts w:asciiTheme="minorHAnsi" w:hAnsiTheme="minorHAnsi" w:cstheme="minorHAnsi"/>
                        </w:rPr>
                      </w:pPr>
                      <w:r w:rsidRPr="009332D2">
                        <w:rPr>
                          <w:rFonts w:asciiTheme="minorHAnsi" w:hAnsiTheme="minorHAnsi" w:cstheme="minorHAnsi"/>
                          <w:sz w:val="22"/>
                          <w:szCs w:val="22"/>
                        </w:rPr>
                        <w:t xml:space="preserve">In addition to submission of the instruments utilized, </w:t>
                      </w:r>
                      <w:r w:rsidR="00DF05ED">
                        <w:rPr>
                          <w:rFonts w:asciiTheme="minorHAnsi" w:hAnsiTheme="minorHAnsi" w:cstheme="minorHAnsi"/>
                          <w:sz w:val="22"/>
                          <w:szCs w:val="22"/>
                        </w:rPr>
                        <w:t>this collection submitted under the</w:t>
                      </w:r>
                      <w:r w:rsidRPr="009332D2">
                        <w:rPr>
                          <w:rFonts w:asciiTheme="minorHAnsi" w:hAnsiTheme="minorHAnsi" w:cstheme="minorHAnsi"/>
                          <w:sz w:val="22"/>
                          <w:szCs w:val="22"/>
                        </w:rPr>
                        <w:t xml:space="preserve"> generic pathway also include</w:t>
                      </w:r>
                      <w:r w:rsidR="00DF05ED">
                        <w:rPr>
                          <w:rFonts w:asciiTheme="minorHAnsi" w:hAnsiTheme="minorHAnsi" w:cstheme="minorHAnsi"/>
                          <w:sz w:val="22"/>
                          <w:szCs w:val="22"/>
                        </w:rPr>
                        <w:t>s</w:t>
                      </w:r>
                      <w:r w:rsidRPr="009332D2">
                        <w:rPr>
                          <w:rFonts w:asciiTheme="minorHAnsi" w:hAnsiTheme="minorHAnsi" w:cstheme="minorHAnsi"/>
                          <w:sz w:val="22"/>
                          <w:szCs w:val="22"/>
                        </w:rPr>
                        <w:t xml:space="preserve"> a full supporting statement Part A that describes the tool/method/intervention under development, identifies the targeted respondent populations, assesses </w:t>
                      </w:r>
                      <w:r w:rsidRPr="009332D2" w:rsidR="00867875">
                        <w:rPr>
                          <w:rFonts w:asciiTheme="minorHAnsi" w:hAnsiTheme="minorHAnsi" w:cstheme="minorHAnsi"/>
                          <w:sz w:val="22"/>
                          <w:szCs w:val="22"/>
                        </w:rPr>
                        <w:t xml:space="preserve">the </w:t>
                      </w:r>
                      <w:r w:rsidRPr="009332D2">
                        <w:rPr>
                          <w:rFonts w:asciiTheme="minorHAnsi" w:hAnsiTheme="minorHAnsi" w:cstheme="minorHAnsi"/>
                          <w:sz w:val="22"/>
                          <w:szCs w:val="22"/>
                        </w:rPr>
                        <w:t>applicability of the Privacy Act and includ</w:t>
                      </w:r>
                      <w:r w:rsidRPr="009332D2" w:rsidR="00867875">
                        <w:rPr>
                          <w:rFonts w:asciiTheme="minorHAnsi" w:hAnsiTheme="minorHAnsi" w:cstheme="minorHAnsi"/>
                          <w:sz w:val="22"/>
                          <w:szCs w:val="22"/>
                        </w:rPr>
                        <w:t>ing</w:t>
                      </w:r>
                      <w:r w:rsidRPr="009332D2">
                        <w:rPr>
                          <w:rFonts w:asciiTheme="minorHAnsi" w:hAnsiTheme="minorHAnsi" w:cstheme="minorHAnsi"/>
                          <w:sz w:val="22"/>
                          <w:szCs w:val="22"/>
                        </w:rPr>
                        <w:t xml:space="preserve"> a </w:t>
                      </w:r>
                      <w:r w:rsidRPr="009332D2" w:rsidR="00867875">
                        <w:rPr>
                          <w:rFonts w:asciiTheme="minorHAnsi" w:hAnsiTheme="minorHAnsi" w:cstheme="minorHAnsi"/>
                          <w:sz w:val="22"/>
                          <w:szCs w:val="22"/>
                        </w:rPr>
                        <w:t xml:space="preserve">comprehensive </w:t>
                      </w:r>
                      <w:r w:rsidRPr="009332D2">
                        <w:rPr>
                          <w:rFonts w:asciiTheme="minorHAnsi" w:hAnsiTheme="minorHAnsi" w:cstheme="minorHAnsi"/>
                          <w:sz w:val="22"/>
                          <w:szCs w:val="22"/>
                        </w:rPr>
                        <w:t xml:space="preserve">Privacy Impact Assessment if necessary. </w:t>
                      </w:r>
                    </w:p>
                    <w:p w:rsidR="000B5579" w:rsidRPr="009332D2" w:rsidP="000B5579" w14:paraId="640D2E73" w14:textId="43896AAA">
                      <w:pPr>
                        <w:pStyle w:val="ListParagraph"/>
                        <w:numPr>
                          <w:ilvl w:val="0"/>
                          <w:numId w:val="34"/>
                        </w:numPr>
                        <w:spacing w:before="120"/>
                        <w:contextualSpacing w:val="0"/>
                        <w:rPr>
                          <w:rFonts w:asciiTheme="minorHAnsi" w:hAnsiTheme="minorHAnsi" w:cstheme="minorHAnsi"/>
                        </w:rPr>
                      </w:pPr>
                      <w:r w:rsidRPr="009332D2">
                        <w:rPr>
                          <w:rFonts w:asciiTheme="minorHAnsi" w:hAnsiTheme="minorHAnsi" w:cstheme="minorHAnsi"/>
                        </w:rPr>
                        <w:t>O</w:t>
                      </w:r>
                      <w:r w:rsidRPr="009332D2">
                        <w:rPr>
                          <w:rFonts w:asciiTheme="minorHAnsi" w:hAnsiTheme="minorHAnsi" w:cstheme="minorHAnsi"/>
                          <w:sz w:val="22"/>
                          <w:szCs w:val="22"/>
                        </w:rPr>
                        <w:t xml:space="preserve">utcomes collected under this generic pathway are intended for internal </w:t>
                      </w:r>
                      <w:r w:rsidRPr="009332D2" w:rsidR="00AF084B">
                        <w:rPr>
                          <w:rFonts w:asciiTheme="minorHAnsi" w:hAnsiTheme="minorHAnsi" w:cstheme="minorHAnsi"/>
                          <w:sz w:val="22"/>
                          <w:szCs w:val="22"/>
                        </w:rPr>
                        <w:t>CDC/</w:t>
                      </w:r>
                      <w:r w:rsidRPr="009332D2">
                        <w:rPr>
                          <w:rFonts w:asciiTheme="minorHAnsi" w:hAnsiTheme="minorHAnsi" w:cstheme="minorHAnsi"/>
                          <w:sz w:val="22"/>
                          <w:szCs w:val="22"/>
                        </w:rPr>
                        <w:t xml:space="preserve">ATSDR use only and will not be generalized beyond the scope of </w:t>
                      </w:r>
                      <w:r w:rsidRPr="009332D2" w:rsidR="000B1E1A">
                        <w:rPr>
                          <w:rFonts w:asciiTheme="minorHAnsi" w:hAnsiTheme="minorHAnsi" w:cstheme="minorHAnsi"/>
                          <w:sz w:val="22"/>
                          <w:szCs w:val="22"/>
                        </w:rPr>
                        <w:t>the</w:t>
                      </w:r>
                      <w:r w:rsidRPr="009332D2">
                        <w:rPr>
                          <w:rFonts w:asciiTheme="minorHAnsi" w:hAnsiTheme="minorHAnsi" w:cstheme="minorHAnsi"/>
                          <w:sz w:val="22"/>
                          <w:szCs w:val="22"/>
                        </w:rPr>
                        <w:t xml:space="preserve"> study or to broader populations.</w:t>
                      </w:r>
                    </w:p>
                    <w:p w:rsidR="002F5077" w:rsidRPr="00896231" w:rsidP="00AF084B" w14:paraId="68BBD49B" w14:textId="77777777">
                      <w:pPr>
                        <w:pStyle w:val="ListParagraph"/>
                        <w:spacing w:before="120"/>
                        <w:ind w:left="360" w:firstLine="0"/>
                        <w:contextualSpacing w:val="0"/>
                      </w:pPr>
                    </w:p>
                  </w:txbxContent>
                </v:textbox>
              </v:shape>
            </w:pict>
          </mc:Fallback>
        </mc:AlternateContent>
      </w:r>
      <w:r w:rsidRPr="009332D2" w:rsidR="000B3F98">
        <w:rPr>
          <w:rFonts w:asciiTheme="minorHAnsi" w:hAnsiTheme="minorHAnsi" w:cstheme="minorHAnsi"/>
        </w:rPr>
        <w:fldChar w:fldCharType="end"/>
      </w:r>
    </w:p>
    <w:p w:rsidR="0092767B" w:rsidRPr="009332D2" w:rsidP="0092767B" w14:paraId="78778F0C" w14:textId="77777777">
      <w:pPr>
        <w:rPr>
          <w:rFonts w:asciiTheme="minorHAnsi" w:hAnsiTheme="minorHAnsi" w:cstheme="minorHAnsi"/>
          <w:b/>
        </w:rPr>
      </w:pPr>
    </w:p>
    <w:p w:rsidR="0092767B" w:rsidRPr="009332D2" w:rsidP="0092767B" w14:paraId="1DB7B107" w14:textId="77777777">
      <w:pPr>
        <w:rPr>
          <w:rFonts w:asciiTheme="minorHAnsi" w:hAnsiTheme="minorHAnsi" w:cstheme="minorHAnsi"/>
          <w:b/>
        </w:rPr>
      </w:pPr>
    </w:p>
    <w:p w:rsidR="0092767B" w:rsidRPr="009332D2" w:rsidP="0092767B" w14:paraId="2B0F2226" w14:textId="77777777">
      <w:pPr>
        <w:rPr>
          <w:rFonts w:asciiTheme="minorHAnsi" w:hAnsiTheme="minorHAnsi" w:cstheme="minorHAnsi"/>
          <w:b/>
        </w:rPr>
      </w:pPr>
    </w:p>
    <w:p w:rsidR="0092767B" w:rsidRPr="009332D2" w:rsidP="0092767B" w14:paraId="7E9DE604" w14:textId="77777777">
      <w:pPr>
        <w:rPr>
          <w:rFonts w:asciiTheme="minorHAnsi" w:hAnsiTheme="minorHAnsi" w:cstheme="minorHAnsi"/>
          <w:b/>
        </w:rPr>
      </w:pPr>
    </w:p>
    <w:p w:rsidR="0092767B" w:rsidRPr="009332D2" w:rsidP="0092767B" w14:paraId="0A8E1BF8" w14:textId="77777777">
      <w:pPr>
        <w:rPr>
          <w:rFonts w:asciiTheme="minorHAnsi" w:hAnsiTheme="minorHAnsi" w:cstheme="minorHAnsi"/>
          <w:b/>
        </w:rPr>
      </w:pPr>
    </w:p>
    <w:p w:rsidR="0092767B" w:rsidRPr="009332D2" w:rsidP="0092767B" w14:paraId="08D3BDF5" w14:textId="77777777">
      <w:pPr>
        <w:rPr>
          <w:rFonts w:asciiTheme="minorHAnsi" w:hAnsiTheme="minorHAnsi" w:cstheme="minorHAnsi"/>
          <w:b/>
        </w:rPr>
      </w:pPr>
    </w:p>
    <w:p w:rsidR="0092767B" w:rsidRPr="009332D2" w:rsidP="0092767B" w14:paraId="3E2B10B5" w14:textId="77777777">
      <w:pPr>
        <w:rPr>
          <w:rFonts w:asciiTheme="minorHAnsi" w:hAnsiTheme="minorHAnsi" w:cstheme="minorHAnsi"/>
          <w:b/>
        </w:rPr>
      </w:pPr>
    </w:p>
    <w:p w:rsidR="0092767B" w:rsidRPr="009332D2" w:rsidP="0092767B" w14:paraId="152CCC25" w14:textId="77777777">
      <w:pPr>
        <w:rPr>
          <w:rFonts w:asciiTheme="minorHAnsi" w:hAnsiTheme="minorHAnsi" w:cstheme="minorHAnsi"/>
          <w:b/>
        </w:rPr>
      </w:pPr>
    </w:p>
    <w:p w:rsidR="0092767B" w:rsidRPr="009332D2" w:rsidP="0092767B" w14:paraId="72A0597E" w14:textId="77777777">
      <w:pPr>
        <w:rPr>
          <w:rFonts w:asciiTheme="minorHAnsi" w:hAnsiTheme="minorHAnsi" w:cstheme="minorHAnsi"/>
          <w:b/>
        </w:rPr>
      </w:pPr>
    </w:p>
    <w:p w:rsidR="00662F81" w:rsidRPr="009332D2" w:rsidP="009332D2" w14:paraId="0C961D81" w14:textId="77777777">
      <w:pPr>
        <w:pStyle w:val="Heading1"/>
      </w:pPr>
      <w:r w:rsidRPr="009332D2">
        <w:br w:type="page"/>
      </w:r>
      <w:r w:rsidRPr="009332D2">
        <w:t>A.</w:t>
      </w:r>
      <w:r w:rsidRPr="009332D2">
        <w:tab/>
        <w:t>JUSTIFICATION</w:t>
      </w:r>
    </w:p>
    <w:p w:rsidR="00662F81" w:rsidRPr="009332D2" w:rsidP="009332D2" w14:paraId="75F69289" w14:textId="05E7CA4A">
      <w:pPr>
        <w:pStyle w:val="Heading2"/>
        <w:rPr>
          <w:u w:val="single"/>
        </w:rPr>
      </w:pPr>
      <w:r w:rsidRPr="009332D2">
        <w:t>1</w:t>
      </w:r>
      <w:r w:rsidRPr="009332D2" w:rsidR="004C5BF8">
        <w:t xml:space="preserve">. </w:t>
      </w:r>
      <w:r w:rsidRPr="009332D2">
        <w:t>Circumstances Making the Collection of Information Necessary</w:t>
      </w:r>
    </w:p>
    <w:p w:rsidR="001838DC" w:rsidRPr="009332D2" w:rsidP="006C3411" w14:paraId="616B7809" w14:textId="614B6B77">
      <w:pPr>
        <w:spacing w:after="0"/>
        <w:ind w:left="0" w:firstLine="0"/>
        <w:rPr>
          <w:rFonts w:asciiTheme="minorHAnsi" w:hAnsiTheme="minorHAnsi" w:cstheme="minorHAnsi"/>
        </w:rPr>
      </w:pPr>
      <w:bookmarkStart w:id="0" w:name="OLE_LINK5"/>
      <w:bookmarkStart w:id="1" w:name="OLE_LINK6"/>
      <w:r>
        <w:rPr>
          <w:rFonts w:asciiTheme="minorHAnsi" w:hAnsiTheme="minorHAnsi" w:cstheme="minorHAnsi"/>
        </w:rPr>
        <w:t>For</w:t>
      </w:r>
      <w:r w:rsidR="00357AD9">
        <w:rPr>
          <w:rFonts w:asciiTheme="minorHAnsi" w:hAnsiTheme="minorHAnsi" w:cstheme="minorHAnsi"/>
        </w:rPr>
        <w:t xml:space="preserve"> this project NIOSH researchers will conduct formative research </w:t>
      </w:r>
      <w:r w:rsidR="003C5538">
        <w:rPr>
          <w:rFonts w:asciiTheme="minorHAnsi" w:hAnsiTheme="minorHAnsi" w:cstheme="minorHAnsi"/>
        </w:rPr>
        <w:t>to</w:t>
      </w:r>
      <w:r w:rsidR="00D636C4">
        <w:rPr>
          <w:rFonts w:asciiTheme="minorHAnsi" w:hAnsiTheme="minorHAnsi" w:cstheme="minorHAnsi"/>
        </w:rPr>
        <w:t xml:space="preserve"> </w:t>
      </w:r>
      <w:r w:rsidR="003C5538">
        <w:rPr>
          <w:rFonts w:asciiTheme="minorHAnsi" w:hAnsiTheme="minorHAnsi" w:cstheme="minorHAnsi"/>
        </w:rPr>
        <w:t>build</w:t>
      </w:r>
      <w:r w:rsidR="00D636C4">
        <w:rPr>
          <w:rFonts w:asciiTheme="minorHAnsi" w:hAnsiTheme="minorHAnsi" w:cstheme="minorHAnsi"/>
        </w:rPr>
        <w:t xml:space="preserve"> upon existing tools and methodologies that are used </w:t>
      </w:r>
      <w:r w:rsidR="009D7078">
        <w:rPr>
          <w:rFonts w:asciiTheme="minorHAnsi" w:hAnsiTheme="minorHAnsi" w:cstheme="minorHAnsi"/>
        </w:rPr>
        <w:t xml:space="preserve">to prevent motor vehicle injuries and deaths among workers in </w:t>
      </w:r>
      <w:r w:rsidR="00934B65">
        <w:rPr>
          <w:rFonts w:asciiTheme="minorHAnsi" w:hAnsiTheme="minorHAnsi" w:cstheme="minorHAnsi"/>
        </w:rPr>
        <w:t xml:space="preserve">the oil and gas extraction (OGE) industry. The goal of this project is to understand the interests, attributes, and needs of </w:t>
      </w:r>
      <w:r w:rsidR="009D7078">
        <w:rPr>
          <w:rFonts w:asciiTheme="minorHAnsi" w:hAnsiTheme="minorHAnsi" w:cstheme="minorHAnsi"/>
        </w:rPr>
        <w:t xml:space="preserve">occupational </w:t>
      </w:r>
      <w:r w:rsidR="00A97BF0">
        <w:rPr>
          <w:rFonts w:asciiTheme="minorHAnsi" w:hAnsiTheme="minorHAnsi" w:cstheme="minorHAnsi"/>
        </w:rPr>
        <w:t>safety and health</w:t>
      </w:r>
      <w:r w:rsidR="008E3A31">
        <w:rPr>
          <w:rFonts w:asciiTheme="minorHAnsi" w:hAnsiTheme="minorHAnsi" w:cstheme="minorHAnsi"/>
        </w:rPr>
        <w:t xml:space="preserve"> </w:t>
      </w:r>
      <w:r w:rsidR="00F61948">
        <w:rPr>
          <w:rFonts w:asciiTheme="minorHAnsi" w:hAnsiTheme="minorHAnsi" w:cstheme="minorHAnsi"/>
        </w:rPr>
        <w:t xml:space="preserve">(OSH) </w:t>
      </w:r>
      <w:r w:rsidR="006366AE">
        <w:rPr>
          <w:rFonts w:asciiTheme="minorHAnsi" w:hAnsiTheme="minorHAnsi" w:cstheme="minorHAnsi"/>
        </w:rPr>
        <w:t>professionals</w:t>
      </w:r>
      <w:r w:rsidR="008E3A31">
        <w:rPr>
          <w:rFonts w:asciiTheme="minorHAnsi" w:hAnsiTheme="minorHAnsi" w:cstheme="minorHAnsi"/>
        </w:rPr>
        <w:t xml:space="preserve"> supporting </w:t>
      </w:r>
      <w:r w:rsidR="008505A7">
        <w:rPr>
          <w:rFonts w:asciiTheme="minorHAnsi" w:hAnsiTheme="minorHAnsi" w:cstheme="minorHAnsi"/>
        </w:rPr>
        <w:t xml:space="preserve">motor vehicle safety among </w:t>
      </w:r>
      <w:r w:rsidR="008E3A31">
        <w:rPr>
          <w:rFonts w:asciiTheme="minorHAnsi" w:hAnsiTheme="minorHAnsi" w:cstheme="minorHAnsi"/>
        </w:rPr>
        <w:t xml:space="preserve">OGE workers in the Permian Basin region of Texas and New Mexico. </w:t>
      </w:r>
      <w:r w:rsidR="00783B43">
        <w:rPr>
          <w:rFonts w:asciiTheme="minorHAnsi" w:hAnsiTheme="minorHAnsi" w:cstheme="minorHAnsi"/>
        </w:rPr>
        <w:t xml:space="preserve">The formative research and development </w:t>
      </w:r>
      <w:r w:rsidR="0047535A">
        <w:rPr>
          <w:rFonts w:asciiTheme="minorHAnsi" w:hAnsiTheme="minorHAnsi" w:cstheme="minorHAnsi"/>
        </w:rPr>
        <w:t>activities</w:t>
      </w:r>
      <w:r w:rsidR="00783B43">
        <w:rPr>
          <w:rFonts w:asciiTheme="minorHAnsi" w:hAnsiTheme="minorHAnsi" w:cstheme="minorHAnsi"/>
        </w:rPr>
        <w:t xml:space="preserve"> will</w:t>
      </w:r>
      <w:r w:rsidR="0041214D">
        <w:rPr>
          <w:rFonts w:asciiTheme="minorHAnsi" w:hAnsiTheme="minorHAnsi" w:cstheme="minorHAnsi"/>
        </w:rPr>
        <w:t xml:space="preserve"> </w:t>
      </w:r>
      <w:r w:rsidR="0047535A">
        <w:rPr>
          <w:rFonts w:asciiTheme="minorHAnsi" w:hAnsiTheme="minorHAnsi" w:cstheme="minorHAnsi"/>
        </w:rPr>
        <w:t>inform the</w:t>
      </w:r>
      <w:r w:rsidR="009D7078">
        <w:rPr>
          <w:rFonts w:asciiTheme="minorHAnsi" w:hAnsiTheme="minorHAnsi" w:cstheme="minorHAnsi"/>
        </w:rPr>
        <w:t xml:space="preserve"> </w:t>
      </w:r>
      <w:r w:rsidR="00091968">
        <w:rPr>
          <w:rFonts w:asciiTheme="minorHAnsi" w:hAnsiTheme="minorHAnsi" w:cstheme="minorHAnsi"/>
        </w:rPr>
        <w:t>design</w:t>
      </w:r>
      <w:r w:rsidR="0041214D">
        <w:rPr>
          <w:rFonts w:asciiTheme="minorHAnsi" w:hAnsiTheme="minorHAnsi" w:cstheme="minorHAnsi"/>
        </w:rPr>
        <w:t xml:space="preserve"> </w:t>
      </w:r>
      <w:r w:rsidR="007342A3">
        <w:rPr>
          <w:rFonts w:asciiTheme="minorHAnsi" w:hAnsiTheme="minorHAnsi" w:cstheme="minorHAnsi"/>
        </w:rPr>
        <w:t xml:space="preserve">of </w:t>
      </w:r>
      <w:r w:rsidR="0016605A">
        <w:rPr>
          <w:rFonts w:asciiTheme="minorHAnsi" w:hAnsiTheme="minorHAnsi" w:cstheme="minorHAnsi"/>
        </w:rPr>
        <w:t>information systems and</w:t>
      </w:r>
      <w:r w:rsidR="003C5538">
        <w:rPr>
          <w:rFonts w:asciiTheme="minorHAnsi" w:hAnsiTheme="minorHAnsi" w:cstheme="minorHAnsi"/>
        </w:rPr>
        <w:t xml:space="preserve"> information</w:t>
      </w:r>
      <w:r w:rsidR="0016605A">
        <w:rPr>
          <w:rFonts w:asciiTheme="minorHAnsi" w:hAnsiTheme="minorHAnsi" w:cstheme="minorHAnsi"/>
        </w:rPr>
        <w:t xml:space="preserve"> products that are tailored to the needs of professionals in the Permian Basin </w:t>
      </w:r>
      <w:r w:rsidR="0016605A">
        <w:rPr>
          <w:rFonts w:asciiTheme="minorHAnsi" w:hAnsiTheme="minorHAnsi" w:cstheme="minorHAnsi"/>
        </w:rPr>
        <w:t>in order to</w:t>
      </w:r>
      <w:r w:rsidR="0016605A">
        <w:rPr>
          <w:rFonts w:asciiTheme="minorHAnsi" w:hAnsiTheme="minorHAnsi" w:cstheme="minorHAnsi"/>
        </w:rPr>
        <w:t xml:space="preserve"> ensure </w:t>
      </w:r>
      <w:r w:rsidR="00091968">
        <w:rPr>
          <w:rFonts w:asciiTheme="minorHAnsi" w:hAnsiTheme="minorHAnsi" w:cstheme="minorHAnsi"/>
        </w:rPr>
        <w:t xml:space="preserve">information </w:t>
      </w:r>
      <w:r w:rsidR="0016605A">
        <w:rPr>
          <w:rFonts w:asciiTheme="minorHAnsi" w:hAnsiTheme="minorHAnsi" w:cstheme="minorHAnsi"/>
        </w:rPr>
        <w:t>systems and products are acceptable</w:t>
      </w:r>
      <w:r w:rsidR="00091968">
        <w:rPr>
          <w:rFonts w:asciiTheme="minorHAnsi" w:hAnsiTheme="minorHAnsi" w:cstheme="minorHAnsi"/>
        </w:rPr>
        <w:t xml:space="preserve"> to the target population</w:t>
      </w:r>
      <w:r w:rsidR="0016605A">
        <w:rPr>
          <w:rFonts w:asciiTheme="minorHAnsi" w:hAnsiTheme="minorHAnsi" w:cstheme="minorHAnsi"/>
        </w:rPr>
        <w:t xml:space="preserve"> and feasible </w:t>
      </w:r>
      <w:r w:rsidR="001D07CE">
        <w:rPr>
          <w:rFonts w:asciiTheme="minorHAnsi" w:hAnsiTheme="minorHAnsi" w:cstheme="minorHAnsi"/>
        </w:rPr>
        <w:t xml:space="preserve">before </w:t>
      </w:r>
      <w:r w:rsidR="00A64AC2">
        <w:rPr>
          <w:rFonts w:asciiTheme="minorHAnsi" w:hAnsiTheme="minorHAnsi" w:cstheme="minorHAnsi"/>
        </w:rPr>
        <w:t>any further</w:t>
      </w:r>
      <w:r w:rsidR="00091968">
        <w:rPr>
          <w:rFonts w:asciiTheme="minorHAnsi" w:hAnsiTheme="minorHAnsi" w:cstheme="minorHAnsi"/>
        </w:rPr>
        <w:t xml:space="preserve"> investment in</w:t>
      </w:r>
      <w:r w:rsidR="003C5538">
        <w:rPr>
          <w:rFonts w:asciiTheme="minorHAnsi" w:hAnsiTheme="minorHAnsi" w:cstheme="minorHAnsi"/>
        </w:rPr>
        <w:t xml:space="preserve"> information system development.</w:t>
      </w:r>
      <w:r w:rsidR="007F239E">
        <w:rPr>
          <w:rFonts w:asciiTheme="minorHAnsi" w:hAnsiTheme="minorHAnsi" w:cstheme="minorHAnsi"/>
        </w:rPr>
        <w:t xml:space="preserve"> This project will also seek to improve the relationships between </w:t>
      </w:r>
      <w:r w:rsidR="002F4249">
        <w:rPr>
          <w:rFonts w:asciiTheme="minorHAnsi" w:hAnsiTheme="minorHAnsi" w:cstheme="minorHAnsi"/>
        </w:rPr>
        <w:t>OSH</w:t>
      </w:r>
      <w:r w:rsidR="00E84A6F">
        <w:rPr>
          <w:rFonts w:asciiTheme="minorHAnsi" w:hAnsiTheme="minorHAnsi" w:cstheme="minorHAnsi"/>
        </w:rPr>
        <w:t xml:space="preserve"> professionals, companies, </w:t>
      </w:r>
      <w:r w:rsidR="00F71274">
        <w:rPr>
          <w:rFonts w:asciiTheme="minorHAnsi" w:hAnsiTheme="minorHAnsi" w:cstheme="minorHAnsi"/>
        </w:rPr>
        <w:t xml:space="preserve">and state and federal </w:t>
      </w:r>
      <w:r w:rsidR="00E84A6F">
        <w:rPr>
          <w:rFonts w:asciiTheme="minorHAnsi" w:hAnsiTheme="minorHAnsi" w:cstheme="minorHAnsi"/>
        </w:rPr>
        <w:t>agencies</w:t>
      </w:r>
      <w:r w:rsidR="00917A2C">
        <w:rPr>
          <w:rFonts w:asciiTheme="minorHAnsi" w:hAnsiTheme="minorHAnsi" w:cstheme="minorHAnsi"/>
        </w:rPr>
        <w:t>.</w:t>
      </w:r>
    </w:p>
    <w:p w:rsidR="006C3411" w:rsidP="00B12DF4" w14:paraId="57EAB3B6" w14:textId="77777777">
      <w:pPr>
        <w:spacing w:after="0"/>
        <w:ind w:left="0" w:firstLine="0"/>
        <w:rPr>
          <w:rFonts w:asciiTheme="minorHAnsi" w:hAnsiTheme="minorHAnsi" w:cstheme="minorHAnsi"/>
        </w:rPr>
      </w:pPr>
    </w:p>
    <w:p w:rsidR="006C3411" w:rsidP="00B12DF4" w14:paraId="246B4429" w14:textId="5DF33FFD">
      <w:pPr>
        <w:spacing w:after="0"/>
        <w:ind w:left="0" w:firstLine="0"/>
        <w:rPr>
          <w:rFonts w:asciiTheme="minorHAnsi" w:hAnsiTheme="minorHAnsi" w:cstheme="minorHAnsi"/>
        </w:rPr>
      </w:pPr>
      <w:r>
        <w:rPr>
          <w:rFonts w:asciiTheme="minorHAnsi" w:hAnsiTheme="minorHAnsi" w:cstheme="minorHAnsi"/>
        </w:rPr>
        <w:t>Background</w:t>
      </w:r>
    </w:p>
    <w:p w:rsidR="006C3411" w:rsidP="00B12DF4" w14:paraId="4327E1E8" w14:textId="77777777">
      <w:pPr>
        <w:spacing w:after="0"/>
        <w:ind w:left="0" w:firstLine="0"/>
        <w:rPr>
          <w:rFonts w:asciiTheme="minorHAnsi" w:hAnsiTheme="minorHAnsi" w:cstheme="minorHAnsi"/>
        </w:rPr>
      </w:pPr>
    </w:p>
    <w:p w:rsidR="00CA12A6" w:rsidP="00CA12A6" w14:paraId="76C91406" w14:textId="72F0E413">
      <w:pPr>
        <w:spacing w:after="0"/>
        <w:ind w:left="0" w:firstLine="0"/>
        <w:rPr>
          <w:rFonts w:asciiTheme="minorHAnsi" w:hAnsiTheme="minorHAnsi" w:cstheme="minorHAnsi"/>
        </w:rPr>
      </w:pPr>
      <w:r>
        <w:rPr>
          <w:rFonts w:asciiTheme="minorHAnsi" w:hAnsiTheme="minorHAnsi" w:cstheme="minorHAnsi"/>
        </w:rPr>
        <w:t xml:space="preserve">Workers in the OGE industry are at increased risk for a wide range of adverse occupational health and safety outcomes, including fatal motor vehicle injuries. </w:t>
      </w:r>
      <w:r w:rsidRPr="005B26E9">
        <w:rPr>
          <w:rFonts w:asciiTheme="minorHAnsi" w:hAnsiTheme="minorHAnsi" w:cstheme="minorHAnsi"/>
        </w:rPr>
        <w:t>In 202</w:t>
      </w:r>
      <w:r>
        <w:rPr>
          <w:rFonts w:asciiTheme="minorHAnsi" w:hAnsiTheme="minorHAnsi" w:cstheme="minorHAnsi"/>
        </w:rPr>
        <w:t>2</w:t>
      </w:r>
      <w:r w:rsidRPr="005B26E9">
        <w:rPr>
          <w:rFonts w:asciiTheme="minorHAnsi" w:hAnsiTheme="minorHAnsi" w:cstheme="minorHAnsi"/>
        </w:rPr>
        <w:t xml:space="preserve"> the fatal workplace injury rate in </w:t>
      </w:r>
      <w:r>
        <w:rPr>
          <w:rFonts w:asciiTheme="minorHAnsi" w:hAnsiTheme="minorHAnsi" w:cstheme="minorHAnsi"/>
        </w:rPr>
        <w:t>the OGE industry</w:t>
      </w:r>
      <w:r w:rsidRPr="005B26E9">
        <w:rPr>
          <w:rFonts w:asciiTheme="minorHAnsi" w:hAnsiTheme="minorHAnsi" w:cstheme="minorHAnsi"/>
        </w:rPr>
        <w:t xml:space="preserve"> was </w:t>
      </w:r>
      <w:r>
        <w:rPr>
          <w:rFonts w:asciiTheme="minorHAnsi" w:hAnsiTheme="minorHAnsi" w:cstheme="minorHAnsi"/>
        </w:rPr>
        <w:t xml:space="preserve">more than </w:t>
      </w:r>
      <w:r w:rsidR="00A64AC2">
        <w:rPr>
          <w:rFonts w:asciiTheme="minorHAnsi" w:hAnsiTheme="minorHAnsi" w:cstheme="minorHAnsi"/>
        </w:rPr>
        <w:t>five</w:t>
      </w:r>
      <w:r w:rsidRPr="005B26E9">
        <w:rPr>
          <w:rFonts w:asciiTheme="minorHAnsi" w:hAnsiTheme="minorHAnsi" w:cstheme="minorHAnsi"/>
        </w:rPr>
        <w:t xml:space="preserve"> times higher than the U.S. average.</w:t>
      </w:r>
      <w:r>
        <w:rPr>
          <w:rFonts w:asciiTheme="minorHAnsi" w:hAnsiTheme="minorHAnsi" w:cstheme="minorHAnsi"/>
        </w:rPr>
        <w:t xml:space="preserve"> </w:t>
      </w:r>
      <w:r w:rsidRPr="005B26E9">
        <w:rPr>
          <w:rFonts w:asciiTheme="minorHAnsi" w:hAnsiTheme="minorHAnsi" w:cstheme="minorHAnsi"/>
        </w:rPr>
        <w:t>Motor vehicle crashes (MVCs) are the leading cause of work-related fatality in OGE</w:t>
      </w:r>
      <w:r>
        <w:rPr>
          <w:rFonts w:asciiTheme="minorHAnsi" w:hAnsiTheme="minorHAnsi" w:cstheme="minorHAnsi"/>
        </w:rPr>
        <w:t xml:space="preserve">. Existing occupational health surveillance systems are </w:t>
      </w:r>
      <w:r w:rsidR="00BD781A">
        <w:rPr>
          <w:rFonts w:asciiTheme="minorHAnsi" w:hAnsiTheme="minorHAnsi" w:cstheme="minorHAnsi"/>
        </w:rPr>
        <w:t xml:space="preserve">insufficient </w:t>
      </w:r>
      <w:r>
        <w:rPr>
          <w:rFonts w:asciiTheme="minorHAnsi" w:hAnsiTheme="minorHAnsi" w:cstheme="minorHAnsi"/>
        </w:rPr>
        <w:t xml:space="preserve">to </w:t>
      </w:r>
      <w:r w:rsidR="00BD781A">
        <w:rPr>
          <w:rFonts w:asciiTheme="minorHAnsi" w:hAnsiTheme="minorHAnsi" w:cstheme="minorHAnsi"/>
        </w:rPr>
        <w:t>capture</w:t>
      </w:r>
      <w:r>
        <w:rPr>
          <w:rFonts w:asciiTheme="minorHAnsi" w:hAnsiTheme="minorHAnsi" w:cstheme="minorHAnsi"/>
        </w:rPr>
        <w:t xml:space="preserve"> comprehensive, detailed work-related motor vehicle safety data at the national, state, regional, or county-levels.</w:t>
      </w:r>
      <w:r w:rsidR="00DD5F53">
        <w:rPr>
          <w:rFonts w:asciiTheme="minorHAnsi" w:hAnsiTheme="minorHAnsi" w:cstheme="minorHAnsi"/>
        </w:rPr>
        <w:t xml:space="preserve"> The need for better motor vehicle safety data in OGE has been identified through multiple </w:t>
      </w:r>
      <w:r w:rsidR="00287E7B">
        <w:rPr>
          <w:rFonts w:asciiTheme="minorHAnsi" w:hAnsiTheme="minorHAnsi" w:cstheme="minorHAnsi"/>
        </w:rPr>
        <w:t>efforts, including the National Occupational Research Agenda (NORA)</w:t>
      </w:r>
      <w:r w:rsidR="00DC735D">
        <w:rPr>
          <w:rFonts w:asciiTheme="minorHAnsi" w:hAnsiTheme="minorHAnsi" w:cstheme="minorHAnsi"/>
        </w:rPr>
        <w:t>;</w:t>
      </w:r>
      <w:r w:rsidR="00287E7B">
        <w:rPr>
          <w:rFonts w:asciiTheme="minorHAnsi" w:hAnsiTheme="minorHAnsi" w:cstheme="minorHAnsi"/>
        </w:rPr>
        <w:t xml:space="preserve"> the NIOSH Strategic Plan</w:t>
      </w:r>
      <w:r w:rsidR="00DC735D">
        <w:rPr>
          <w:rFonts w:asciiTheme="minorHAnsi" w:hAnsiTheme="minorHAnsi" w:cstheme="minorHAnsi"/>
        </w:rPr>
        <w:t>;</w:t>
      </w:r>
      <w:r w:rsidR="00287E7B">
        <w:rPr>
          <w:rFonts w:asciiTheme="minorHAnsi" w:hAnsiTheme="minorHAnsi" w:cstheme="minorHAnsi"/>
        </w:rPr>
        <w:t xml:space="preserve"> a</w:t>
      </w:r>
      <w:r w:rsidRPr="00287E7B" w:rsidR="00287E7B">
        <w:rPr>
          <w:rFonts w:asciiTheme="minorHAnsi" w:hAnsiTheme="minorHAnsi" w:cstheme="minorHAnsi"/>
        </w:rPr>
        <w:t>n Ambassador Alliance Agreement between NIOSH, the Occupational Safety and Health Administration (OSHA), and the National Service, Transmission, Exploration, &amp; Production Safety (STEPS) Network</w:t>
      </w:r>
      <w:r w:rsidR="00681A42">
        <w:rPr>
          <w:rFonts w:asciiTheme="minorHAnsi" w:hAnsiTheme="minorHAnsi" w:cstheme="minorHAnsi"/>
        </w:rPr>
        <w:t xml:space="preserve">; </w:t>
      </w:r>
      <w:r w:rsidR="00DC735D">
        <w:rPr>
          <w:rFonts w:asciiTheme="minorHAnsi" w:hAnsiTheme="minorHAnsi" w:cstheme="minorHAnsi"/>
        </w:rPr>
        <w:t>a</w:t>
      </w:r>
      <w:r w:rsidRPr="00681A42" w:rsidR="00681A42">
        <w:rPr>
          <w:rFonts w:asciiTheme="minorHAnsi" w:hAnsiTheme="minorHAnsi" w:cstheme="minorHAnsi"/>
        </w:rPr>
        <w:t xml:space="preserve"> </w:t>
      </w:r>
      <w:r w:rsidR="00DC735D">
        <w:rPr>
          <w:rFonts w:asciiTheme="minorHAnsi" w:hAnsiTheme="minorHAnsi" w:cstheme="minorHAnsi"/>
        </w:rPr>
        <w:t>r</w:t>
      </w:r>
      <w:r w:rsidRPr="00681A42" w:rsidR="00681A42">
        <w:rPr>
          <w:rFonts w:asciiTheme="minorHAnsi" w:hAnsiTheme="minorHAnsi" w:cstheme="minorHAnsi"/>
        </w:rPr>
        <w:t>eport by the National Academies of Sciences, Engineering, and Medicine</w:t>
      </w:r>
      <w:r w:rsidR="00681A42">
        <w:rPr>
          <w:rFonts w:asciiTheme="minorHAnsi" w:hAnsiTheme="minorHAnsi" w:cstheme="minorHAnsi"/>
        </w:rPr>
        <w:t xml:space="preserve"> </w:t>
      </w:r>
      <w:r w:rsidRPr="00681A42" w:rsidR="00681A42">
        <w:rPr>
          <w:rFonts w:asciiTheme="minorHAnsi" w:hAnsiTheme="minorHAnsi" w:cstheme="minorHAnsi"/>
        </w:rPr>
        <w:t>titled “A Smarter National Surveillance System for Occupational Safety and Health in the 21st Century”</w:t>
      </w:r>
      <w:r w:rsidR="00681A42">
        <w:rPr>
          <w:rFonts w:asciiTheme="minorHAnsi" w:hAnsiTheme="minorHAnsi" w:cstheme="minorHAnsi"/>
        </w:rPr>
        <w:t xml:space="preserve">; </w:t>
      </w:r>
      <w:r w:rsidR="003D39DD">
        <w:rPr>
          <w:rFonts w:asciiTheme="minorHAnsi" w:hAnsiTheme="minorHAnsi" w:cstheme="minorHAnsi"/>
        </w:rPr>
        <w:t xml:space="preserve">as well as testimony from </w:t>
      </w:r>
      <w:r w:rsidR="00DF5831">
        <w:rPr>
          <w:rFonts w:asciiTheme="minorHAnsi" w:hAnsiTheme="minorHAnsi" w:cstheme="minorHAnsi"/>
        </w:rPr>
        <w:t>OSH</w:t>
      </w:r>
      <w:r w:rsidR="000B23A7">
        <w:rPr>
          <w:rFonts w:asciiTheme="minorHAnsi" w:hAnsiTheme="minorHAnsi" w:cstheme="minorHAnsi"/>
        </w:rPr>
        <w:t xml:space="preserve"> </w:t>
      </w:r>
      <w:r w:rsidR="003D39DD">
        <w:rPr>
          <w:rFonts w:asciiTheme="minorHAnsi" w:hAnsiTheme="minorHAnsi" w:cstheme="minorHAnsi"/>
        </w:rPr>
        <w:t>professionals in the industry.</w:t>
      </w:r>
    </w:p>
    <w:p w:rsidR="00CA12A6" w:rsidP="00346A02" w14:paraId="770971D0" w14:textId="77777777">
      <w:pPr>
        <w:spacing w:after="0"/>
        <w:ind w:left="0" w:firstLine="0"/>
        <w:rPr>
          <w:rFonts w:asciiTheme="minorHAnsi" w:hAnsiTheme="minorHAnsi" w:cstheme="minorHAnsi"/>
        </w:rPr>
      </w:pPr>
    </w:p>
    <w:p w:rsidR="00CA12A6" w:rsidP="00346A02" w14:paraId="20CAA789" w14:textId="10ADDE68">
      <w:pPr>
        <w:spacing w:after="0"/>
        <w:ind w:left="0" w:firstLine="0"/>
        <w:rPr>
          <w:rFonts w:asciiTheme="minorHAnsi" w:hAnsiTheme="minorHAnsi" w:cstheme="minorHAnsi"/>
        </w:rPr>
      </w:pPr>
      <w:r>
        <w:rPr>
          <w:rFonts w:asciiTheme="minorHAnsi" w:hAnsiTheme="minorHAnsi" w:cstheme="minorHAnsi"/>
        </w:rPr>
        <w:t>NIOSH</w:t>
      </w:r>
      <w:r w:rsidRPr="00AB29AE">
        <w:rPr>
          <w:rFonts w:asciiTheme="minorHAnsi" w:hAnsiTheme="minorHAnsi" w:cstheme="minorHAnsi"/>
        </w:rPr>
        <w:t xml:space="preserve"> conducts surveillance and prevention research projects as part of its response to </w:t>
      </w:r>
      <w:r w:rsidR="00CA278E">
        <w:rPr>
          <w:rFonts w:asciiTheme="minorHAnsi" w:hAnsiTheme="minorHAnsi" w:cstheme="minorHAnsi"/>
        </w:rPr>
        <w:t>OSH</w:t>
      </w:r>
      <w:r>
        <w:rPr>
          <w:rFonts w:asciiTheme="minorHAnsi" w:hAnsiTheme="minorHAnsi" w:cstheme="minorHAnsi"/>
        </w:rPr>
        <w:t xml:space="preserve"> </w:t>
      </w:r>
      <w:r w:rsidRPr="00AB29AE">
        <w:rPr>
          <w:rFonts w:asciiTheme="minorHAnsi" w:hAnsiTheme="minorHAnsi" w:cstheme="minorHAnsi"/>
        </w:rPr>
        <w:t xml:space="preserve">issues. Many of these projects provide the basis for the recommendations and guidelines </w:t>
      </w:r>
      <w:r>
        <w:rPr>
          <w:rFonts w:asciiTheme="minorHAnsi" w:hAnsiTheme="minorHAnsi" w:cstheme="minorHAnsi"/>
        </w:rPr>
        <w:t>that NIOSH</w:t>
      </w:r>
      <w:r w:rsidRPr="00AB29AE">
        <w:rPr>
          <w:rFonts w:asciiTheme="minorHAnsi" w:hAnsiTheme="minorHAnsi" w:cstheme="minorHAnsi"/>
        </w:rPr>
        <w:t xml:space="preserve"> provides. </w:t>
      </w:r>
      <w:r w:rsidRPr="006821DA" w:rsidR="006821DA">
        <w:rPr>
          <w:rFonts w:asciiTheme="minorHAnsi" w:hAnsiTheme="minorHAnsi" w:cstheme="minorHAnsi"/>
        </w:rPr>
        <w:t xml:space="preserve">To reduce the burden of </w:t>
      </w:r>
      <w:r w:rsidR="00FE2B04">
        <w:rPr>
          <w:rFonts w:asciiTheme="minorHAnsi" w:hAnsiTheme="minorHAnsi" w:cstheme="minorHAnsi"/>
        </w:rPr>
        <w:t>work-related motor vehicle crashes</w:t>
      </w:r>
      <w:r w:rsidRPr="006821DA" w:rsidR="006821DA">
        <w:rPr>
          <w:rFonts w:asciiTheme="minorHAnsi" w:hAnsiTheme="minorHAnsi" w:cstheme="minorHAnsi"/>
        </w:rPr>
        <w:t xml:space="preserve">, </w:t>
      </w:r>
      <w:r w:rsidR="006821DA">
        <w:rPr>
          <w:rFonts w:asciiTheme="minorHAnsi" w:hAnsiTheme="minorHAnsi" w:cstheme="minorHAnsi"/>
        </w:rPr>
        <w:t>NIOSH</w:t>
      </w:r>
      <w:r w:rsidRPr="006821DA" w:rsidR="006821DA">
        <w:rPr>
          <w:rFonts w:asciiTheme="minorHAnsi" w:hAnsiTheme="minorHAnsi" w:cstheme="minorHAnsi"/>
        </w:rPr>
        <w:t xml:space="preserve"> invests in </w:t>
      </w:r>
      <w:r w:rsidR="00854540">
        <w:rPr>
          <w:rFonts w:asciiTheme="minorHAnsi" w:hAnsiTheme="minorHAnsi" w:cstheme="minorHAnsi"/>
        </w:rPr>
        <w:t>public health surveillance research</w:t>
      </w:r>
      <w:r w:rsidRPr="006821DA" w:rsidR="006821DA">
        <w:rPr>
          <w:rFonts w:asciiTheme="minorHAnsi" w:hAnsiTheme="minorHAnsi" w:cstheme="minorHAnsi"/>
        </w:rPr>
        <w:t xml:space="preserve"> to </w:t>
      </w:r>
      <w:r w:rsidR="00854540">
        <w:rPr>
          <w:rFonts w:asciiTheme="minorHAnsi" w:hAnsiTheme="minorHAnsi" w:cstheme="minorHAnsi"/>
        </w:rPr>
        <w:t xml:space="preserve">inform priorities and track </w:t>
      </w:r>
      <w:r w:rsidR="00875FB8">
        <w:rPr>
          <w:rFonts w:asciiTheme="minorHAnsi" w:hAnsiTheme="minorHAnsi" w:cstheme="minorHAnsi"/>
        </w:rPr>
        <w:t xml:space="preserve">worker </w:t>
      </w:r>
      <w:r w:rsidR="00F0123D">
        <w:rPr>
          <w:rFonts w:asciiTheme="minorHAnsi" w:hAnsiTheme="minorHAnsi" w:cstheme="minorHAnsi"/>
        </w:rPr>
        <w:t>injury</w:t>
      </w:r>
      <w:r w:rsidR="007B3156">
        <w:rPr>
          <w:rFonts w:asciiTheme="minorHAnsi" w:hAnsiTheme="minorHAnsi" w:cstheme="minorHAnsi"/>
        </w:rPr>
        <w:t xml:space="preserve"> patterns over time</w:t>
      </w:r>
      <w:r w:rsidRPr="006821DA" w:rsidR="006821DA">
        <w:rPr>
          <w:rFonts w:asciiTheme="minorHAnsi" w:hAnsiTheme="minorHAnsi" w:cstheme="minorHAnsi"/>
        </w:rPr>
        <w:t xml:space="preserve">. An integrated research effort is needed to </w:t>
      </w:r>
      <w:r w:rsidR="00D95A2A">
        <w:rPr>
          <w:rFonts w:asciiTheme="minorHAnsi" w:hAnsiTheme="minorHAnsi" w:cstheme="minorHAnsi"/>
        </w:rPr>
        <w:t xml:space="preserve">identify and </w:t>
      </w:r>
      <w:r w:rsidRPr="006821DA" w:rsidR="006821DA">
        <w:rPr>
          <w:rFonts w:asciiTheme="minorHAnsi" w:hAnsiTheme="minorHAnsi" w:cstheme="minorHAnsi"/>
        </w:rPr>
        <w:t xml:space="preserve">fill gaps </w:t>
      </w:r>
      <w:r w:rsidR="00E67D7C">
        <w:rPr>
          <w:rFonts w:asciiTheme="minorHAnsi" w:hAnsiTheme="minorHAnsi" w:cstheme="minorHAnsi"/>
        </w:rPr>
        <w:t>in</w:t>
      </w:r>
      <w:r w:rsidRPr="006821DA" w:rsidR="006821DA">
        <w:rPr>
          <w:rFonts w:asciiTheme="minorHAnsi" w:hAnsiTheme="minorHAnsi" w:cstheme="minorHAnsi"/>
        </w:rPr>
        <w:t xml:space="preserve"> knowledge, </w:t>
      </w:r>
      <w:r w:rsidR="006E70F1">
        <w:rPr>
          <w:rFonts w:asciiTheme="minorHAnsi" w:hAnsiTheme="minorHAnsi" w:cstheme="minorHAnsi"/>
        </w:rPr>
        <w:t>surveillance</w:t>
      </w:r>
      <w:r w:rsidRPr="006821DA" w:rsidR="006821DA">
        <w:rPr>
          <w:rFonts w:asciiTheme="minorHAnsi" w:hAnsiTheme="minorHAnsi" w:cstheme="minorHAnsi"/>
        </w:rPr>
        <w:t xml:space="preserve">, and prevention </w:t>
      </w:r>
      <w:r w:rsidR="006E70F1">
        <w:rPr>
          <w:rFonts w:asciiTheme="minorHAnsi" w:hAnsiTheme="minorHAnsi" w:cstheme="minorHAnsi"/>
        </w:rPr>
        <w:t>programs</w:t>
      </w:r>
      <w:r w:rsidR="00D95A2A">
        <w:rPr>
          <w:rFonts w:asciiTheme="minorHAnsi" w:hAnsiTheme="minorHAnsi" w:cstheme="minorHAnsi"/>
        </w:rPr>
        <w:t xml:space="preserve"> among</w:t>
      </w:r>
      <w:r w:rsidRPr="006821DA" w:rsidR="006821DA">
        <w:rPr>
          <w:rFonts w:asciiTheme="minorHAnsi" w:hAnsiTheme="minorHAnsi" w:cstheme="minorHAnsi"/>
        </w:rPr>
        <w:t xml:space="preserve"> </w:t>
      </w:r>
      <w:r w:rsidR="006E70F1">
        <w:rPr>
          <w:rFonts w:asciiTheme="minorHAnsi" w:hAnsiTheme="minorHAnsi" w:cstheme="minorHAnsi"/>
        </w:rPr>
        <w:t>OSH professionals</w:t>
      </w:r>
      <w:r w:rsidR="00E67D7C">
        <w:rPr>
          <w:rFonts w:asciiTheme="minorHAnsi" w:hAnsiTheme="minorHAnsi" w:cstheme="minorHAnsi"/>
        </w:rPr>
        <w:t xml:space="preserve"> in OGE</w:t>
      </w:r>
      <w:r w:rsidRPr="006821DA" w:rsidR="006821DA">
        <w:rPr>
          <w:rFonts w:asciiTheme="minorHAnsi" w:hAnsiTheme="minorHAnsi" w:cstheme="minorHAnsi"/>
        </w:rPr>
        <w:t>.</w:t>
      </w:r>
      <w:r>
        <w:rPr>
          <w:rFonts w:asciiTheme="minorHAnsi" w:hAnsiTheme="minorHAnsi" w:cstheme="minorHAnsi"/>
        </w:rPr>
        <w:t xml:space="preserve"> </w:t>
      </w:r>
    </w:p>
    <w:p w:rsidR="00CA12A6" w:rsidP="00346A02" w14:paraId="5F54D6E1" w14:textId="77777777">
      <w:pPr>
        <w:spacing w:after="0"/>
        <w:ind w:left="0" w:firstLine="0"/>
        <w:rPr>
          <w:rFonts w:asciiTheme="minorHAnsi" w:hAnsiTheme="minorHAnsi" w:cstheme="minorHAnsi"/>
        </w:rPr>
      </w:pPr>
    </w:p>
    <w:p w:rsidR="006821DA" w:rsidP="006821DA" w14:paraId="0A8C74C6" w14:textId="1D2C6303">
      <w:pPr>
        <w:spacing w:after="0"/>
        <w:ind w:left="0" w:firstLine="0"/>
        <w:rPr>
          <w:rFonts w:asciiTheme="minorHAnsi" w:hAnsiTheme="minorHAnsi" w:cstheme="minorHAnsi"/>
        </w:rPr>
      </w:pPr>
      <w:r w:rsidRPr="006821DA">
        <w:rPr>
          <w:rFonts w:asciiTheme="minorHAnsi" w:hAnsiTheme="minorHAnsi" w:cstheme="minorHAnsi"/>
        </w:rPr>
        <w:t>Short-term qualitative interviews</w:t>
      </w:r>
      <w:r w:rsidR="00217F01">
        <w:rPr>
          <w:rFonts w:asciiTheme="minorHAnsi" w:hAnsiTheme="minorHAnsi" w:cstheme="minorHAnsi"/>
        </w:rPr>
        <w:t xml:space="preserve"> and </w:t>
      </w:r>
      <w:r w:rsidR="00FE5723">
        <w:rPr>
          <w:rFonts w:asciiTheme="minorHAnsi" w:hAnsiTheme="minorHAnsi" w:cstheme="minorHAnsi"/>
        </w:rPr>
        <w:t xml:space="preserve">respondent questionnaires </w:t>
      </w:r>
      <w:r w:rsidRPr="006821DA">
        <w:rPr>
          <w:rFonts w:asciiTheme="minorHAnsi" w:hAnsiTheme="minorHAnsi" w:cstheme="minorHAnsi"/>
        </w:rPr>
        <w:t xml:space="preserve">have previously proven invaluable in the development of scientifically valid and population-appropriate methods, interventions, and instruments. </w:t>
      </w:r>
      <w:r w:rsidR="006E70F1">
        <w:rPr>
          <w:rFonts w:asciiTheme="minorHAnsi" w:hAnsiTheme="minorHAnsi" w:cstheme="minorHAnsi"/>
        </w:rPr>
        <w:t>In this project, these</w:t>
      </w:r>
      <w:r w:rsidRPr="006821DA">
        <w:rPr>
          <w:rFonts w:asciiTheme="minorHAnsi" w:hAnsiTheme="minorHAnsi" w:cstheme="minorHAnsi"/>
        </w:rPr>
        <w:t xml:space="preserve"> </w:t>
      </w:r>
      <w:r w:rsidR="00203426">
        <w:rPr>
          <w:rFonts w:asciiTheme="minorHAnsi" w:hAnsiTheme="minorHAnsi" w:cstheme="minorHAnsi"/>
        </w:rPr>
        <w:t xml:space="preserve">tools </w:t>
      </w:r>
      <w:r w:rsidRPr="006821DA">
        <w:rPr>
          <w:rFonts w:asciiTheme="minorHAnsi" w:hAnsiTheme="minorHAnsi" w:cstheme="minorHAnsi"/>
        </w:rPr>
        <w:t xml:space="preserve">will be used to inform </w:t>
      </w:r>
      <w:r w:rsidR="006E70F1">
        <w:rPr>
          <w:rFonts w:asciiTheme="minorHAnsi" w:hAnsiTheme="minorHAnsi" w:cstheme="minorHAnsi"/>
        </w:rPr>
        <w:t>various</w:t>
      </w:r>
      <w:r w:rsidRPr="006821DA">
        <w:rPr>
          <w:rFonts w:asciiTheme="minorHAnsi" w:hAnsiTheme="minorHAnsi" w:cstheme="minorHAnsi"/>
        </w:rPr>
        <w:t xml:space="preserve"> aspects of surveillance </w:t>
      </w:r>
      <w:r w:rsidR="00D95A2A">
        <w:rPr>
          <w:rFonts w:asciiTheme="minorHAnsi" w:hAnsiTheme="minorHAnsi" w:cstheme="minorHAnsi"/>
        </w:rPr>
        <w:t>system</w:t>
      </w:r>
      <w:r w:rsidRPr="006821DA">
        <w:rPr>
          <w:rFonts w:asciiTheme="minorHAnsi" w:hAnsiTheme="minorHAnsi" w:cstheme="minorHAnsi"/>
        </w:rPr>
        <w:t xml:space="preserve"> </w:t>
      </w:r>
      <w:r w:rsidR="00286DF1">
        <w:rPr>
          <w:rFonts w:asciiTheme="minorHAnsi" w:hAnsiTheme="minorHAnsi" w:cstheme="minorHAnsi"/>
        </w:rPr>
        <w:t>design</w:t>
      </w:r>
      <w:r w:rsidRPr="006821DA">
        <w:rPr>
          <w:rFonts w:asciiTheme="minorHAnsi" w:hAnsiTheme="minorHAnsi" w:cstheme="minorHAnsi"/>
        </w:rPr>
        <w:t>.  The activities</w:t>
      </w:r>
      <w:r w:rsidR="006E70F1">
        <w:rPr>
          <w:rFonts w:asciiTheme="minorHAnsi" w:hAnsiTheme="minorHAnsi" w:cstheme="minorHAnsi"/>
        </w:rPr>
        <w:t xml:space="preserve"> will</w:t>
      </w:r>
      <w:r w:rsidRPr="006821DA">
        <w:rPr>
          <w:rFonts w:asciiTheme="minorHAnsi" w:hAnsiTheme="minorHAnsi" w:cstheme="minorHAnsi"/>
        </w:rPr>
        <w:t xml:space="preserve"> include </w:t>
      </w:r>
      <w:r w:rsidR="00CB0D94">
        <w:rPr>
          <w:rFonts w:asciiTheme="minorHAnsi" w:hAnsiTheme="minorHAnsi" w:cstheme="minorHAnsi"/>
        </w:rPr>
        <w:t xml:space="preserve">conducting </w:t>
      </w:r>
      <w:r w:rsidR="006E18B5">
        <w:rPr>
          <w:rFonts w:asciiTheme="minorHAnsi" w:hAnsiTheme="minorHAnsi" w:cstheme="minorHAnsi"/>
        </w:rPr>
        <w:t>interviews</w:t>
      </w:r>
      <w:r w:rsidR="00CB125B">
        <w:rPr>
          <w:rFonts w:asciiTheme="minorHAnsi" w:hAnsiTheme="minorHAnsi" w:cstheme="minorHAnsi"/>
        </w:rPr>
        <w:t xml:space="preserve"> to understand the motor vehicle priorities </w:t>
      </w:r>
      <w:r w:rsidR="00203426">
        <w:rPr>
          <w:rFonts w:asciiTheme="minorHAnsi" w:hAnsiTheme="minorHAnsi" w:cstheme="minorHAnsi"/>
        </w:rPr>
        <w:t xml:space="preserve">and practices </w:t>
      </w:r>
      <w:r w:rsidR="00CB125B">
        <w:rPr>
          <w:rFonts w:asciiTheme="minorHAnsi" w:hAnsiTheme="minorHAnsi" w:cstheme="minorHAnsi"/>
        </w:rPr>
        <w:t xml:space="preserve">of OSH professionals in OGE, </w:t>
      </w:r>
      <w:r w:rsidR="00471AD8">
        <w:rPr>
          <w:rFonts w:asciiTheme="minorHAnsi" w:hAnsiTheme="minorHAnsi" w:cstheme="minorHAnsi"/>
        </w:rPr>
        <w:t xml:space="preserve">vis a vis the information </w:t>
      </w:r>
      <w:r w:rsidR="00931D04">
        <w:rPr>
          <w:rFonts w:asciiTheme="minorHAnsi" w:hAnsiTheme="minorHAnsi" w:cstheme="minorHAnsi"/>
        </w:rPr>
        <w:t xml:space="preserve">systems </w:t>
      </w:r>
      <w:r w:rsidR="00471AD8">
        <w:rPr>
          <w:rFonts w:asciiTheme="minorHAnsi" w:hAnsiTheme="minorHAnsi" w:cstheme="minorHAnsi"/>
        </w:rPr>
        <w:t>they use</w:t>
      </w:r>
      <w:r w:rsidR="00CB0D94">
        <w:rPr>
          <w:rFonts w:asciiTheme="minorHAnsi" w:hAnsiTheme="minorHAnsi" w:cstheme="minorHAnsi"/>
        </w:rPr>
        <w:t xml:space="preserve">; </w:t>
      </w:r>
      <w:r w:rsidR="00D50E52">
        <w:rPr>
          <w:rFonts w:asciiTheme="minorHAnsi" w:hAnsiTheme="minorHAnsi" w:cstheme="minorHAnsi"/>
        </w:rPr>
        <w:t>characterizing</w:t>
      </w:r>
      <w:r w:rsidR="001F25EF">
        <w:rPr>
          <w:rFonts w:asciiTheme="minorHAnsi" w:hAnsiTheme="minorHAnsi" w:cstheme="minorHAnsi"/>
        </w:rPr>
        <w:t xml:space="preserve"> the</w:t>
      </w:r>
      <w:r w:rsidR="006E18B5">
        <w:rPr>
          <w:rFonts w:asciiTheme="minorHAnsi" w:hAnsiTheme="minorHAnsi" w:cstheme="minorHAnsi"/>
        </w:rPr>
        <w:t xml:space="preserve"> capabilities and</w:t>
      </w:r>
      <w:r w:rsidR="001F25EF">
        <w:rPr>
          <w:rFonts w:asciiTheme="minorHAnsi" w:hAnsiTheme="minorHAnsi" w:cstheme="minorHAnsi"/>
        </w:rPr>
        <w:t xml:space="preserve"> limitations of existing information systems</w:t>
      </w:r>
      <w:r w:rsidR="00CB0D94">
        <w:rPr>
          <w:rFonts w:asciiTheme="minorHAnsi" w:hAnsiTheme="minorHAnsi" w:cstheme="minorHAnsi"/>
        </w:rPr>
        <w:t>;</w:t>
      </w:r>
      <w:r w:rsidR="00732389">
        <w:rPr>
          <w:rFonts w:asciiTheme="minorHAnsi" w:hAnsiTheme="minorHAnsi" w:cstheme="minorHAnsi"/>
        </w:rPr>
        <w:t xml:space="preserve"> </w:t>
      </w:r>
      <w:r w:rsidRPr="006821DA">
        <w:rPr>
          <w:rFonts w:asciiTheme="minorHAnsi" w:hAnsiTheme="minorHAnsi" w:cstheme="minorHAnsi"/>
        </w:rPr>
        <w:t xml:space="preserve">determining the utility and acceptability of </w:t>
      </w:r>
      <w:r w:rsidR="00732389">
        <w:rPr>
          <w:rFonts w:asciiTheme="minorHAnsi" w:hAnsiTheme="minorHAnsi" w:cstheme="minorHAnsi"/>
        </w:rPr>
        <w:t>different data collection methods</w:t>
      </w:r>
      <w:r w:rsidR="00CB0D94">
        <w:rPr>
          <w:rFonts w:asciiTheme="minorHAnsi" w:hAnsiTheme="minorHAnsi" w:cstheme="minorHAnsi"/>
        </w:rPr>
        <w:t>;</w:t>
      </w:r>
      <w:r w:rsidRPr="006821DA">
        <w:rPr>
          <w:rFonts w:asciiTheme="minorHAnsi" w:hAnsiTheme="minorHAnsi" w:cstheme="minorHAnsi"/>
        </w:rPr>
        <w:t xml:space="preserve"> assessing </w:t>
      </w:r>
      <w:r w:rsidR="007E1176">
        <w:rPr>
          <w:rFonts w:asciiTheme="minorHAnsi" w:hAnsiTheme="minorHAnsi" w:cstheme="minorHAnsi"/>
        </w:rPr>
        <w:t xml:space="preserve">motor </w:t>
      </w:r>
      <w:r w:rsidR="007E1176">
        <w:rPr>
          <w:rFonts w:asciiTheme="minorHAnsi" w:hAnsiTheme="minorHAnsi" w:cstheme="minorHAnsi"/>
        </w:rPr>
        <w:t>vehicle safety programs in OGE;</w:t>
      </w:r>
      <w:r w:rsidRPr="006821DA">
        <w:rPr>
          <w:rFonts w:asciiTheme="minorHAnsi" w:hAnsiTheme="minorHAnsi" w:cstheme="minorHAnsi"/>
        </w:rPr>
        <w:t xml:space="preserve"> </w:t>
      </w:r>
      <w:r w:rsidR="00732389">
        <w:rPr>
          <w:rFonts w:asciiTheme="minorHAnsi" w:hAnsiTheme="minorHAnsi" w:cstheme="minorHAnsi"/>
        </w:rPr>
        <w:t>and</w:t>
      </w:r>
      <w:r w:rsidRPr="006821DA">
        <w:rPr>
          <w:rFonts w:asciiTheme="minorHAnsi" w:hAnsiTheme="minorHAnsi" w:cstheme="minorHAnsi"/>
        </w:rPr>
        <w:t xml:space="preserve"> </w:t>
      </w:r>
      <w:r w:rsidR="00732389">
        <w:rPr>
          <w:rFonts w:asciiTheme="minorHAnsi" w:hAnsiTheme="minorHAnsi" w:cstheme="minorHAnsi"/>
        </w:rPr>
        <w:t>developing data sharing agreements</w:t>
      </w:r>
      <w:r w:rsidRPr="006821DA">
        <w:rPr>
          <w:rFonts w:asciiTheme="minorHAnsi" w:hAnsiTheme="minorHAnsi" w:cstheme="minorHAnsi"/>
        </w:rPr>
        <w:t xml:space="preserve">.  This data collection activity benefits the Federal Government by providing </w:t>
      </w:r>
      <w:r w:rsidR="00925126">
        <w:rPr>
          <w:rFonts w:asciiTheme="minorHAnsi" w:hAnsiTheme="minorHAnsi" w:cstheme="minorHAnsi"/>
        </w:rPr>
        <w:t>NIOSH</w:t>
      </w:r>
      <w:r w:rsidRPr="006821DA">
        <w:rPr>
          <w:rFonts w:asciiTheme="minorHAnsi" w:hAnsiTheme="minorHAnsi" w:cstheme="minorHAnsi"/>
        </w:rPr>
        <w:t xml:space="preserve"> with data to determine how to best manage and improve the </w:t>
      </w:r>
      <w:r w:rsidR="00162206">
        <w:rPr>
          <w:rFonts w:asciiTheme="minorHAnsi" w:hAnsiTheme="minorHAnsi" w:cstheme="minorHAnsi"/>
        </w:rPr>
        <w:t>safety</w:t>
      </w:r>
      <w:r w:rsidRPr="006821DA">
        <w:rPr>
          <w:rFonts w:asciiTheme="minorHAnsi" w:hAnsiTheme="minorHAnsi" w:cstheme="minorHAnsi"/>
        </w:rPr>
        <w:t xml:space="preserve"> of </w:t>
      </w:r>
      <w:r w:rsidR="00925126">
        <w:rPr>
          <w:rFonts w:asciiTheme="minorHAnsi" w:hAnsiTheme="minorHAnsi" w:cstheme="minorHAnsi"/>
        </w:rPr>
        <w:t>OGE workers</w:t>
      </w:r>
      <w:r w:rsidRPr="006821DA">
        <w:rPr>
          <w:rFonts w:asciiTheme="minorHAnsi" w:hAnsiTheme="minorHAnsi" w:cstheme="minorHAnsi"/>
        </w:rPr>
        <w:t xml:space="preserve"> </w:t>
      </w:r>
      <w:r w:rsidR="00162206">
        <w:rPr>
          <w:rFonts w:asciiTheme="minorHAnsi" w:hAnsiTheme="minorHAnsi" w:cstheme="minorHAnsi"/>
        </w:rPr>
        <w:t>at risk of a motor vehicle crash</w:t>
      </w:r>
      <w:r w:rsidR="00211173">
        <w:rPr>
          <w:rFonts w:asciiTheme="minorHAnsi" w:hAnsiTheme="minorHAnsi" w:cstheme="minorHAnsi"/>
        </w:rPr>
        <w:t xml:space="preserve"> injury</w:t>
      </w:r>
      <w:r w:rsidRPr="006821DA">
        <w:rPr>
          <w:rFonts w:asciiTheme="minorHAnsi" w:hAnsiTheme="minorHAnsi" w:cstheme="minorHAnsi"/>
        </w:rPr>
        <w:t xml:space="preserve">. </w:t>
      </w:r>
    </w:p>
    <w:p w:rsidR="0034797C" w:rsidP="006821DA" w14:paraId="77C607E7" w14:textId="77777777">
      <w:pPr>
        <w:spacing w:after="0"/>
        <w:ind w:left="0" w:firstLine="0"/>
        <w:rPr>
          <w:rFonts w:asciiTheme="minorHAnsi" w:hAnsiTheme="minorHAnsi" w:cstheme="minorHAnsi"/>
        </w:rPr>
      </w:pPr>
    </w:p>
    <w:p w:rsidR="0034797C" w:rsidRPr="0034797C" w:rsidP="0034797C" w14:paraId="0CD25ABA" w14:textId="374DFFE6">
      <w:pPr>
        <w:spacing w:after="0"/>
        <w:ind w:left="0" w:firstLine="0"/>
        <w:rPr>
          <w:rFonts w:asciiTheme="minorHAnsi" w:hAnsiTheme="minorHAnsi" w:cstheme="minorHAnsi"/>
        </w:rPr>
      </w:pPr>
      <w:r w:rsidRPr="0034797C">
        <w:rPr>
          <w:rFonts w:asciiTheme="minorHAnsi" w:hAnsiTheme="minorHAnsi" w:cstheme="minorHAnsi"/>
        </w:rPr>
        <w:t>Data collection for this project is authorized under 42 U.S.C. 241, Chapter 6a - Public Health Service; Subchapter I</w:t>
      </w:r>
      <w:r w:rsidR="001B7536">
        <w:rPr>
          <w:rFonts w:asciiTheme="minorHAnsi" w:hAnsiTheme="minorHAnsi" w:cstheme="minorHAnsi"/>
        </w:rPr>
        <w:t>I</w:t>
      </w:r>
      <w:r w:rsidRPr="0034797C">
        <w:rPr>
          <w:rFonts w:asciiTheme="minorHAnsi" w:hAnsiTheme="minorHAnsi" w:cstheme="minorHAnsi"/>
        </w:rPr>
        <w:t xml:space="preserve"> - General Powers and Duties Part A - Research and Investigations (</w:t>
      </w:r>
      <w:r w:rsidRPr="00736845">
        <w:rPr>
          <w:rFonts w:asciiTheme="minorHAnsi" w:hAnsiTheme="minorHAnsi" w:cstheme="minorHAnsi"/>
          <w:b/>
          <w:bCs/>
        </w:rPr>
        <w:t>Attachment 1</w:t>
      </w:r>
      <w:r w:rsidRPr="0034797C">
        <w:rPr>
          <w:rFonts w:asciiTheme="minorHAnsi" w:hAnsiTheme="minorHAnsi" w:cstheme="minorHAnsi"/>
        </w:rPr>
        <w:t>)</w:t>
      </w:r>
      <w:r w:rsidR="001411F5">
        <w:rPr>
          <w:rFonts w:asciiTheme="minorHAnsi" w:hAnsiTheme="minorHAnsi" w:cstheme="minorHAnsi"/>
        </w:rPr>
        <w:t xml:space="preserve">, as well as </w:t>
      </w:r>
      <w:r w:rsidR="00611A5B">
        <w:rPr>
          <w:rFonts w:asciiTheme="minorHAnsi" w:hAnsiTheme="minorHAnsi" w:cstheme="minorHAnsi"/>
        </w:rPr>
        <w:t>29 U.S.C. 6</w:t>
      </w:r>
      <w:r w:rsidR="009E6548">
        <w:rPr>
          <w:rFonts w:asciiTheme="minorHAnsi" w:hAnsiTheme="minorHAnsi" w:cstheme="minorHAnsi"/>
        </w:rPr>
        <w:t>69</w:t>
      </w:r>
      <w:r w:rsidR="009E2146">
        <w:rPr>
          <w:rFonts w:asciiTheme="minorHAnsi" w:hAnsiTheme="minorHAnsi" w:cstheme="minorHAnsi"/>
        </w:rPr>
        <w:t xml:space="preserve">, </w:t>
      </w:r>
      <w:r w:rsidR="004E4E61">
        <w:rPr>
          <w:rFonts w:asciiTheme="minorHAnsi" w:hAnsiTheme="minorHAnsi" w:cstheme="minorHAnsi"/>
        </w:rPr>
        <w:t>Section 20 (</w:t>
      </w:r>
      <w:r w:rsidRPr="00736845" w:rsidR="004E4E61">
        <w:rPr>
          <w:rFonts w:asciiTheme="minorHAnsi" w:hAnsiTheme="minorHAnsi" w:cstheme="minorHAnsi"/>
          <w:b/>
          <w:bCs/>
        </w:rPr>
        <w:t>Attachment 2</w:t>
      </w:r>
      <w:r w:rsidR="004E4E61">
        <w:rPr>
          <w:rFonts w:asciiTheme="minorHAnsi" w:hAnsiTheme="minorHAnsi" w:cstheme="minorHAnsi"/>
        </w:rPr>
        <w:t>)</w:t>
      </w:r>
      <w:r w:rsidRPr="0034797C">
        <w:rPr>
          <w:rFonts w:asciiTheme="minorHAnsi" w:hAnsiTheme="minorHAnsi" w:cstheme="minorHAnsi"/>
        </w:rPr>
        <w:t xml:space="preserve">. </w:t>
      </w:r>
    </w:p>
    <w:p w:rsidR="00E9727D" w:rsidP="0034797C" w14:paraId="48B8A424" w14:textId="77777777">
      <w:pPr>
        <w:spacing w:after="0"/>
        <w:ind w:left="0" w:firstLine="0"/>
        <w:rPr>
          <w:rFonts w:asciiTheme="minorHAnsi" w:hAnsiTheme="minorHAnsi" w:cstheme="minorHAnsi"/>
        </w:rPr>
      </w:pPr>
    </w:p>
    <w:p w:rsidR="0034797C" w:rsidP="0034797C" w14:paraId="03A659F1" w14:textId="2DA86E06">
      <w:pPr>
        <w:spacing w:after="0"/>
        <w:ind w:left="0" w:firstLine="0"/>
        <w:rPr>
          <w:rFonts w:asciiTheme="minorHAnsi" w:hAnsiTheme="minorHAnsi" w:cstheme="minorHAnsi"/>
        </w:rPr>
      </w:pPr>
      <w:r w:rsidRPr="0034797C">
        <w:rPr>
          <w:rFonts w:asciiTheme="minorHAnsi" w:hAnsiTheme="minorHAnsi" w:cstheme="minorHAnsi"/>
        </w:rPr>
        <w:t xml:space="preserve">The information collection activities are limited to formative work that will result in the </w:t>
      </w:r>
      <w:r w:rsidR="00211173">
        <w:rPr>
          <w:rFonts w:asciiTheme="minorHAnsi" w:hAnsiTheme="minorHAnsi" w:cstheme="minorHAnsi"/>
        </w:rPr>
        <w:t>design of</w:t>
      </w:r>
      <w:r w:rsidRPr="0034797C">
        <w:rPr>
          <w:rFonts w:asciiTheme="minorHAnsi" w:hAnsiTheme="minorHAnsi" w:cstheme="minorHAnsi"/>
        </w:rPr>
        <w:t xml:space="preserve"> new or improved tools, concept development and/or product development and testing. The types of information collection activities included in this package are:</w:t>
      </w:r>
    </w:p>
    <w:p w:rsidR="006821DA" w:rsidP="00B12DF4" w14:paraId="496EFF7D" w14:textId="77777777">
      <w:pPr>
        <w:spacing w:after="0"/>
        <w:ind w:left="0" w:firstLine="0"/>
        <w:rPr>
          <w:rFonts w:asciiTheme="minorHAnsi" w:hAnsiTheme="minorHAnsi" w:cstheme="minorHAnsi"/>
        </w:rPr>
      </w:pPr>
    </w:p>
    <w:p w:rsidR="00014CAA" w:rsidP="00F314EE" w14:paraId="79EB22D0" w14:textId="3E8E1540">
      <w:pPr>
        <w:pStyle w:val="ListParagraph"/>
        <w:numPr>
          <w:ilvl w:val="0"/>
          <w:numId w:val="40"/>
        </w:numPr>
        <w:spacing w:after="0"/>
        <w:rPr>
          <w:rFonts w:asciiTheme="minorHAnsi" w:hAnsiTheme="minorHAnsi" w:cstheme="minorHAnsi"/>
        </w:rPr>
      </w:pPr>
      <w:r>
        <w:rPr>
          <w:rFonts w:asciiTheme="minorHAnsi" w:hAnsiTheme="minorHAnsi" w:cstheme="minorHAnsi"/>
        </w:rPr>
        <w:t xml:space="preserve">Semi-structured </w:t>
      </w:r>
      <w:r w:rsidR="00F314EE">
        <w:rPr>
          <w:rFonts w:asciiTheme="minorHAnsi" w:hAnsiTheme="minorHAnsi" w:cstheme="minorHAnsi"/>
        </w:rPr>
        <w:t>q</w:t>
      </w:r>
      <w:r w:rsidRPr="00C67422" w:rsidR="00C67422">
        <w:rPr>
          <w:rFonts w:asciiTheme="minorHAnsi" w:hAnsiTheme="minorHAnsi" w:cstheme="minorHAnsi"/>
        </w:rPr>
        <w:t>ualitative interview</w:t>
      </w:r>
      <w:r w:rsidR="00F314EE">
        <w:rPr>
          <w:rFonts w:asciiTheme="minorHAnsi" w:hAnsiTheme="minorHAnsi" w:cstheme="minorHAnsi"/>
        </w:rPr>
        <w:t>s</w:t>
      </w:r>
      <w:r w:rsidRPr="00C67422" w:rsidR="00C67422">
        <w:rPr>
          <w:rFonts w:asciiTheme="minorHAnsi" w:hAnsiTheme="minorHAnsi" w:cstheme="minorHAnsi"/>
        </w:rPr>
        <w:t xml:space="preserve"> will use volunteer respondents for exploratory and formative research to develop and</w:t>
      </w:r>
      <w:r w:rsidR="00722434">
        <w:rPr>
          <w:rFonts w:asciiTheme="minorHAnsi" w:hAnsiTheme="minorHAnsi" w:cstheme="minorHAnsi"/>
        </w:rPr>
        <w:t>/</w:t>
      </w:r>
      <w:r w:rsidRPr="00C67422" w:rsidR="00C67422">
        <w:rPr>
          <w:rFonts w:asciiTheme="minorHAnsi" w:hAnsiTheme="minorHAnsi" w:cstheme="minorHAnsi"/>
        </w:rPr>
        <w:t xml:space="preserve">or improve upon existing </w:t>
      </w:r>
      <w:r w:rsidR="007F339D">
        <w:rPr>
          <w:rFonts w:asciiTheme="minorHAnsi" w:hAnsiTheme="minorHAnsi" w:cstheme="minorHAnsi"/>
        </w:rPr>
        <w:t>surveillance</w:t>
      </w:r>
      <w:r w:rsidRPr="00C67422" w:rsidR="00C67422">
        <w:rPr>
          <w:rFonts w:asciiTheme="minorHAnsi" w:hAnsiTheme="minorHAnsi" w:cstheme="minorHAnsi"/>
        </w:rPr>
        <w:t xml:space="preserve"> methods, material</w:t>
      </w:r>
      <w:r w:rsidR="00722434">
        <w:rPr>
          <w:rFonts w:asciiTheme="minorHAnsi" w:hAnsiTheme="minorHAnsi" w:cstheme="minorHAnsi"/>
        </w:rPr>
        <w:t>s</w:t>
      </w:r>
      <w:r w:rsidRPr="00C67422" w:rsidR="00C67422">
        <w:rPr>
          <w:rFonts w:asciiTheme="minorHAnsi" w:hAnsiTheme="minorHAnsi" w:cstheme="minorHAnsi"/>
        </w:rPr>
        <w:t xml:space="preserve">, and </w:t>
      </w:r>
      <w:r w:rsidR="00AD0750">
        <w:rPr>
          <w:rFonts w:asciiTheme="minorHAnsi" w:hAnsiTheme="minorHAnsi" w:cstheme="minorHAnsi"/>
        </w:rPr>
        <w:t>information system design</w:t>
      </w:r>
      <w:r w:rsidRPr="00C67422" w:rsidR="00C67422">
        <w:rPr>
          <w:rFonts w:asciiTheme="minorHAnsi" w:hAnsiTheme="minorHAnsi" w:cstheme="minorHAnsi"/>
        </w:rPr>
        <w:t xml:space="preserve">.  Interviews </w:t>
      </w:r>
      <w:r w:rsidR="008C4077">
        <w:rPr>
          <w:rFonts w:asciiTheme="minorHAnsi" w:hAnsiTheme="minorHAnsi" w:cstheme="minorHAnsi"/>
        </w:rPr>
        <w:t>will</w:t>
      </w:r>
      <w:r w:rsidRPr="00C67422" w:rsidR="00C67422">
        <w:rPr>
          <w:rFonts w:asciiTheme="minorHAnsi" w:hAnsiTheme="minorHAnsi" w:cstheme="minorHAnsi"/>
        </w:rPr>
        <w:t xml:space="preserve"> be carried out with individuals, on the telephone, or via the internet (i.e. internet </w:t>
      </w:r>
      <w:r w:rsidR="008C4077">
        <w:rPr>
          <w:rFonts w:asciiTheme="minorHAnsi" w:hAnsiTheme="minorHAnsi" w:cstheme="minorHAnsi"/>
        </w:rPr>
        <w:t>interviews</w:t>
      </w:r>
      <w:r w:rsidRPr="00C67422" w:rsidR="00C67422">
        <w:rPr>
          <w:rFonts w:asciiTheme="minorHAnsi" w:hAnsiTheme="minorHAnsi" w:cstheme="minorHAnsi"/>
        </w:rPr>
        <w:t xml:space="preserve">). Results of qualitative interviews will be used to develop and/or improve upon population-appropriate methods, interventions, messages, </w:t>
      </w:r>
      <w:r w:rsidR="00232CF4">
        <w:rPr>
          <w:rFonts w:asciiTheme="minorHAnsi" w:hAnsiTheme="minorHAnsi" w:cstheme="minorHAnsi"/>
        </w:rPr>
        <w:t>information systems</w:t>
      </w:r>
      <w:r w:rsidRPr="00C67422" w:rsidR="00C67422">
        <w:rPr>
          <w:rFonts w:asciiTheme="minorHAnsi" w:hAnsiTheme="minorHAnsi" w:cstheme="minorHAnsi"/>
        </w:rPr>
        <w:t xml:space="preserve">, and data collection materials for current and future projects.  </w:t>
      </w:r>
    </w:p>
    <w:p w:rsidR="003C4C0A" w:rsidP="003C4C0A" w14:paraId="58D42C5D" w14:textId="705CB91E">
      <w:pPr>
        <w:pStyle w:val="ListParagraph"/>
        <w:numPr>
          <w:ilvl w:val="0"/>
          <w:numId w:val="40"/>
        </w:numPr>
        <w:spacing w:after="0"/>
        <w:rPr>
          <w:rFonts w:asciiTheme="minorHAnsi" w:hAnsiTheme="minorHAnsi" w:cstheme="minorHAnsi"/>
        </w:rPr>
      </w:pPr>
      <w:r>
        <w:rPr>
          <w:rFonts w:asciiTheme="minorHAnsi" w:hAnsiTheme="minorHAnsi" w:cstheme="minorHAnsi"/>
        </w:rPr>
        <w:t>Pilot test</w:t>
      </w:r>
      <w:r w:rsidR="006E649D">
        <w:rPr>
          <w:rFonts w:asciiTheme="minorHAnsi" w:hAnsiTheme="minorHAnsi" w:cstheme="minorHAnsi"/>
        </w:rPr>
        <w:t xml:space="preserve">s of </w:t>
      </w:r>
      <w:r w:rsidR="008A7FF8">
        <w:rPr>
          <w:rFonts w:asciiTheme="minorHAnsi" w:hAnsiTheme="minorHAnsi" w:cstheme="minorHAnsi"/>
        </w:rPr>
        <w:t>questionnaires</w:t>
      </w:r>
      <w:r w:rsidR="007A72AF">
        <w:rPr>
          <w:rFonts w:asciiTheme="minorHAnsi" w:hAnsiTheme="minorHAnsi" w:cstheme="minorHAnsi"/>
        </w:rPr>
        <w:t xml:space="preserve"> </w:t>
      </w:r>
      <w:r w:rsidRPr="00014CAA" w:rsidR="00C67422">
        <w:rPr>
          <w:rFonts w:asciiTheme="minorHAnsi" w:hAnsiTheme="minorHAnsi" w:cstheme="minorHAnsi"/>
        </w:rPr>
        <w:t xml:space="preserve">with volunteer respondents to assess the design and use </w:t>
      </w:r>
      <w:r w:rsidR="00E70C0D">
        <w:rPr>
          <w:rFonts w:asciiTheme="minorHAnsi" w:hAnsiTheme="minorHAnsi" w:cstheme="minorHAnsi"/>
        </w:rPr>
        <w:t>of</w:t>
      </w:r>
      <w:r w:rsidRPr="00014CAA" w:rsidR="00C67422">
        <w:rPr>
          <w:rFonts w:asciiTheme="minorHAnsi" w:hAnsiTheme="minorHAnsi" w:cstheme="minorHAnsi"/>
        </w:rPr>
        <w:t xml:space="preserve"> </w:t>
      </w:r>
      <w:r w:rsidR="00776D8D">
        <w:rPr>
          <w:rFonts w:asciiTheme="minorHAnsi" w:hAnsiTheme="minorHAnsi" w:cstheme="minorHAnsi"/>
        </w:rPr>
        <w:t>draft</w:t>
      </w:r>
      <w:r w:rsidRPr="00014CAA" w:rsidR="00C67422">
        <w:rPr>
          <w:rFonts w:asciiTheme="minorHAnsi" w:hAnsiTheme="minorHAnsi" w:cstheme="minorHAnsi"/>
        </w:rPr>
        <w:t xml:space="preserve"> materials. The purpose of this </w:t>
      </w:r>
      <w:r w:rsidR="006E649D">
        <w:rPr>
          <w:rFonts w:asciiTheme="minorHAnsi" w:hAnsiTheme="minorHAnsi" w:cstheme="minorHAnsi"/>
        </w:rPr>
        <w:t xml:space="preserve">pilot </w:t>
      </w:r>
      <w:r w:rsidRPr="00014CAA" w:rsidR="00C67422">
        <w:rPr>
          <w:rFonts w:asciiTheme="minorHAnsi" w:hAnsiTheme="minorHAnsi" w:cstheme="minorHAnsi"/>
        </w:rPr>
        <w:t xml:space="preserve">testing is to develop new methods that address the rapid evolution of technology, interventions, and </w:t>
      </w:r>
      <w:r>
        <w:rPr>
          <w:rFonts w:asciiTheme="minorHAnsi" w:hAnsiTheme="minorHAnsi" w:cstheme="minorHAnsi"/>
        </w:rPr>
        <w:t>data management</w:t>
      </w:r>
      <w:r w:rsidR="00E83B4C">
        <w:rPr>
          <w:rFonts w:asciiTheme="minorHAnsi" w:hAnsiTheme="minorHAnsi" w:cstheme="minorHAnsi"/>
        </w:rPr>
        <w:t xml:space="preserve"> practices</w:t>
      </w:r>
      <w:r w:rsidRPr="00014CAA" w:rsidR="00C67422">
        <w:rPr>
          <w:rFonts w:asciiTheme="minorHAnsi" w:hAnsiTheme="minorHAnsi" w:cstheme="minorHAnsi"/>
        </w:rPr>
        <w:t xml:space="preserve"> and use those </w:t>
      </w:r>
      <w:r w:rsidR="00E83B4C">
        <w:rPr>
          <w:rFonts w:asciiTheme="minorHAnsi" w:hAnsiTheme="minorHAnsi" w:cstheme="minorHAnsi"/>
        </w:rPr>
        <w:t>methods</w:t>
      </w:r>
      <w:r w:rsidRPr="00014CAA" w:rsidR="00C67422">
        <w:rPr>
          <w:rFonts w:asciiTheme="minorHAnsi" w:hAnsiTheme="minorHAnsi" w:cstheme="minorHAnsi"/>
        </w:rPr>
        <w:t xml:space="preserve"> to enhance </w:t>
      </w:r>
      <w:r w:rsidR="0065595E">
        <w:rPr>
          <w:rFonts w:asciiTheme="minorHAnsi" w:hAnsiTheme="minorHAnsi" w:cstheme="minorHAnsi"/>
        </w:rPr>
        <w:t>NIOSH</w:t>
      </w:r>
      <w:r w:rsidRPr="00014CAA" w:rsidR="00C67422">
        <w:rPr>
          <w:rFonts w:asciiTheme="minorHAnsi" w:hAnsiTheme="minorHAnsi" w:cstheme="minorHAnsi"/>
        </w:rPr>
        <w:t xml:space="preserve">’s projects and reduce burden of future data collections.  </w:t>
      </w:r>
    </w:p>
    <w:p w:rsidR="006821DA" w:rsidP="00B12DF4" w14:paraId="25BA8CB9" w14:textId="77777777">
      <w:pPr>
        <w:spacing w:after="0"/>
        <w:ind w:left="0" w:firstLine="0"/>
        <w:rPr>
          <w:rFonts w:asciiTheme="minorHAnsi" w:hAnsiTheme="minorHAnsi" w:cstheme="minorHAnsi"/>
        </w:rPr>
      </w:pPr>
    </w:p>
    <w:p w:rsidR="00852E47" w:rsidP="00852E47" w14:paraId="0093875A" w14:textId="49C52C6E">
      <w:pPr>
        <w:spacing w:after="0"/>
        <w:ind w:left="0" w:firstLine="0"/>
        <w:rPr>
          <w:rFonts w:asciiTheme="minorHAnsi" w:hAnsiTheme="minorHAnsi" w:cstheme="minorHAnsi"/>
        </w:rPr>
      </w:pPr>
      <w:r w:rsidRPr="00852E47">
        <w:rPr>
          <w:rFonts w:asciiTheme="minorHAnsi" w:hAnsiTheme="minorHAnsi" w:cstheme="minorHAnsi"/>
        </w:rPr>
        <w:t>The information collected</w:t>
      </w:r>
      <w:r w:rsidR="007536A8">
        <w:rPr>
          <w:rFonts w:asciiTheme="minorHAnsi" w:hAnsiTheme="minorHAnsi" w:cstheme="minorHAnsi"/>
        </w:rPr>
        <w:t xml:space="preserve"> to facilitate interviews and pilot tests</w:t>
      </w:r>
      <w:r w:rsidRPr="00852E47">
        <w:rPr>
          <w:rFonts w:asciiTheme="minorHAnsi" w:hAnsiTheme="minorHAnsi" w:cstheme="minorHAnsi"/>
        </w:rPr>
        <w:t xml:space="preserve"> may contain personally identifiable information </w:t>
      </w:r>
      <w:r w:rsidR="00AC2F3A">
        <w:rPr>
          <w:rFonts w:asciiTheme="minorHAnsi" w:hAnsiTheme="minorHAnsi" w:cstheme="minorHAnsi"/>
        </w:rPr>
        <w:t xml:space="preserve">(PII) </w:t>
      </w:r>
      <w:r w:rsidRPr="00852E47">
        <w:rPr>
          <w:rFonts w:asciiTheme="minorHAnsi" w:hAnsiTheme="minorHAnsi" w:cstheme="minorHAnsi"/>
        </w:rPr>
        <w:t>such as name,</w:t>
      </w:r>
      <w:r w:rsidR="009B622F">
        <w:rPr>
          <w:rFonts w:asciiTheme="minorHAnsi" w:hAnsiTheme="minorHAnsi" w:cstheme="minorHAnsi"/>
        </w:rPr>
        <w:t xml:space="preserve"> email</w:t>
      </w:r>
      <w:r w:rsidRPr="00852E47">
        <w:rPr>
          <w:rFonts w:asciiTheme="minorHAnsi" w:hAnsiTheme="minorHAnsi" w:cstheme="minorHAnsi"/>
        </w:rPr>
        <w:t xml:space="preserve"> address, etc. </w:t>
      </w:r>
      <w:r w:rsidR="00AC2F3A">
        <w:rPr>
          <w:rFonts w:asciiTheme="minorHAnsi" w:hAnsiTheme="minorHAnsi" w:cstheme="minorHAnsi"/>
        </w:rPr>
        <w:t>The collection of PII will only be to facilitate</w:t>
      </w:r>
      <w:r w:rsidR="003752AE">
        <w:rPr>
          <w:rFonts w:asciiTheme="minorHAnsi" w:hAnsiTheme="minorHAnsi" w:cstheme="minorHAnsi"/>
        </w:rPr>
        <w:t xml:space="preserve"> the administration of interviews and </w:t>
      </w:r>
      <w:r w:rsidR="007536A8">
        <w:rPr>
          <w:rFonts w:asciiTheme="minorHAnsi" w:hAnsiTheme="minorHAnsi" w:cstheme="minorHAnsi"/>
        </w:rPr>
        <w:t>pilot tests</w:t>
      </w:r>
      <w:r w:rsidR="003752AE">
        <w:rPr>
          <w:rFonts w:asciiTheme="minorHAnsi" w:hAnsiTheme="minorHAnsi" w:cstheme="minorHAnsi"/>
        </w:rPr>
        <w:t>. PII will not otherwise be used for formative research purposes</w:t>
      </w:r>
      <w:r w:rsidR="00A520AD">
        <w:rPr>
          <w:rFonts w:asciiTheme="minorHAnsi" w:hAnsiTheme="minorHAnsi" w:cstheme="minorHAnsi"/>
        </w:rPr>
        <w:t xml:space="preserve"> and </w:t>
      </w:r>
      <w:r w:rsidRPr="00852E47">
        <w:rPr>
          <w:rFonts w:asciiTheme="minorHAnsi" w:hAnsiTheme="minorHAnsi" w:cstheme="minorHAnsi"/>
        </w:rPr>
        <w:t xml:space="preserve">will be kept in a separate location and accessible only to the project-specific research staff.  This information will be destroyed when the client’s contribution to the project has ended. The information collected for </w:t>
      </w:r>
      <w:r w:rsidR="00FD609C">
        <w:rPr>
          <w:rFonts w:asciiTheme="minorHAnsi" w:hAnsiTheme="minorHAnsi" w:cstheme="minorHAnsi"/>
        </w:rPr>
        <w:t>this</w:t>
      </w:r>
      <w:r w:rsidRPr="00852E47">
        <w:rPr>
          <w:rFonts w:asciiTheme="minorHAnsi" w:hAnsiTheme="minorHAnsi" w:cstheme="minorHAnsi"/>
        </w:rPr>
        <w:t xml:space="preserve"> project will be maintained or stored locally under strict access controls limited to the local project leader/manager or his/her designate. Under no circumstances will an individual be identified using a combination of variables such as gender, race, birth date, and/or other descriptors.  </w:t>
      </w:r>
    </w:p>
    <w:p w:rsidR="00FD609C" w:rsidP="00852E47" w14:paraId="48DDC1F6" w14:textId="77777777">
      <w:pPr>
        <w:spacing w:after="0"/>
        <w:ind w:left="0" w:firstLine="0"/>
        <w:rPr>
          <w:rFonts w:asciiTheme="minorHAnsi" w:hAnsiTheme="minorHAnsi" w:cstheme="minorHAnsi"/>
        </w:rPr>
      </w:pPr>
    </w:p>
    <w:p w:rsidR="00FD609C" w:rsidP="00FD609C" w14:paraId="4FA34476" w14:textId="77777777">
      <w:pPr>
        <w:spacing w:after="0"/>
        <w:ind w:left="0" w:firstLine="0"/>
        <w:rPr>
          <w:rFonts w:asciiTheme="minorHAnsi" w:hAnsiTheme="minorHAnsi" w:cstheme="minorHAnsi"/>
        </w:rPr>
      </w:pPr>
      <w:r>
        <w:rPr>
          <w:rFonts w:asciiTheme="minorHAnsi" w:hAnsiTheme="minorHAnsi" w:cstheme="minorHAnsi"/>
        </w:rPr>
        <w:t xml:space="preserve">This project may </w:t>
      </w:r>
      <w:r w:rsidRPr="00852E47">
        <w:rPr>
          <w:rFonts w:asciiTheme="minorHAnsi" w:hAnsiTheme="minorHAnsi" w:cstheme="minorHAnsi"/>
        </w:rPr>
        <w:t xml:space="preserve">involve Respondent Driven Sampling (RDS) </w:t>
      </w:r>
      <w:r>
        <w:rPr>
          <w:rFonts w:asciiTheme="minorHAnsi" w:hAnsiTheme="minorHAnsi" w:cstheme="minorHAnsi"/>
        </w:rPr>
        <w:t xml:space="preserve">and/or purposive sampling and </w:t>
      </w:r>
      <w:r w:rsidRPr="00852E47">
        <w:rPr>
          <w:rFonts w:asciiTheme="minorHAnsi" w:hAnsiTheme="minorHAnsi" w:cstheme="minorHAnsi"/>
        </w:rPr>
        <w:t>will include personal information that the local implementers will need to provide continuity of service, follow-up of referrals, and other outreach activities.</w:t>
      </w:r>
    </w:p>
    <w:p w:rsidR="00852E47" w:rsidRPr="00852E47" w:rsidP="00852E47" w14:paraId="13F5FF25" w14:textId="77777777">
      <w:pPr>
        <w:spacing w:after="0"/>
        <w:ind w:left="0" w:firstLine="0"/>
        <w:rPr>
          <w:rFonts w:asciiTheme="minorHAnsi" w:hAnsiTheme="minorHAnsi" w:cstheme="minorHAnsi"/>
        </w:rPr>
      </w:pPr>
    </w:p>
    <w:p w:rsidR="006107E2" w:rsidP="006107E2" w14:paraId="42947FB0" w14:textId="614CCEC6">
      <w:pPr>
        <w:spacing w:after="0"/>
        <w:ind w:left="0" w:firstLine="0"/>
        <w:rPr>
          <w:rFonts w:asciiTheme="minorHAnsi" w:hAnsiTheme="minorHAnsi" w:cstheme="minorHAnsi"/>
        </w:rPr>
      </w:pPr>
      <w:r>
        <w:rPr>
          <w:rFonts w:asciiTheme="minorHAnsi" w:hAnsiTheme="minorHAnsi" w:cstheme="minorHAnsi"/>
        </w:rPr>
        <w:t>This package</w:t>
      </w:r>
      <w:r w:rsidRPr="00852E47" w:rsidR="00852E47">
        <w:rPr>
          <w:rFonts w:asciiTheme="minorHAnsi" w:hAnsiTheme="minorHAnsi" w:cstheme="minorHAnsi"/>
        </w:rPr>
        <w:t xml:space="preserve"> include</w:t>
      </w:r>
      <w:r>
        <w:rPr>
          <w:rFonts w:asciiTheme="minorHAnsi" w:hAnsiTheme="minorHAnsi" w:cstheme="minorHAnsi"/>
        </w:rPr>
        <w:t>s</w:t>
      </w:r>
      <w:r w:rsidRPr="00852E47" w:rsidR="00852E47">
        <w:rPr>
          <w:rFonts w:asciiTheme="minorHAnsi" w:hAnsiTheme="minorHAnsi" w:cstheme="minorHAnsi"/>
        </w:rPr>
        <w:t xml:space="preserve"> items of information to be collected and copies of the data collection instruments.   </w:t>
      </w:r>
      <w:bookmarkEnd w:id="0"/>
      <w:bookmarkEnd w:id="1"/>
    </w:p>
    <w:p w:rsidR="006107E2" w:rsidP="006107E2" w14:paraId="73F61311" w14:textId="77777777">
      <w:pPr>
        <w:spacing w:after="0"/>
        <w:ind w:left="0" w:firstLine="0"/>
        <w:rPr>
          <w:rFonts w:asciiTheme="minorHAnsi" w:hAnsiTheme="minorHAnsi" w:cstheme="minorHAnsi"/>
        </w:rPr>
      </w:pPr>
    </w:p>
    <w:p w:rsidR="00CA1AF9" w:rsidRPr="009332D2" w:rsidP="006107E2" w14:paraId="13B7AC02" w14:textId="55F35AFA">
      <w:pPr>
        <w:spacing w:after="0"/>
        <w:ind w:left="0" w:firstLine="0"/>
        <w:rPr>
          <w:rFonts w:asciiTheme="minorHAnsi" w:hAnsiTheme="minorHAnsi" w:cstheme="minorHAnsi"/>
          <w:b/>
          <w:bCs/>
        </w:rPr>
      </w:pPr>
      <w:r w:rsidRPr="009332D2">
        <w:rPr>
          <w:rFonts w:asciiTheme="minorHAnsi" w:hAnsiTheme="minorHAnsi" w:cstheme="minorHAnsi"/>
          <w:b/>
          <w:bCs/>
        </w:rPr>
        <w:t>2.</w:t>
      </w:r>
      <w:r w:rsidRPr="009332D2">
        <w:rPr>
          <w:rFonts w:asciiTheme="minorHAnsi" w:hAnsiTheme="minorHAnsi" w:cstheme="minorHAnsi"/>
          <w:b/>
          <w:bCs/>
        </w:rPr>
        <w:tab/>
        <w:t>Purpose and Use of Information Collection</w:t>
      </w:r>
      <w:r w:rsidRPr="009332D2" w:rsidR="00726F05">
        <w:rPr>
          <w:rFonts w:asciiTheme="minorHAnsi" w:hAnsiTheme="minorHAnsi" w:cstheme="minorHAnsi"/>
          <w:b/>
          <w:bCs/>
        </w:rPr>
        <w:t xml:space="preserve">  </w:t>
      </w:r>
    </w:p>
    <w:p w:rsidR="006107E2" w:rsidP="003C5C98" w14:paraId="2146FEB3" w14:textId="77777777">
      <w:pPr>
        <w:spacing w:after="0"/>
        <w:ind w:left="0" w:firstLine="0"/>
        <w:rPr>
          <w:rFonts w:asciiTheme="minorHAnsi" w:hAnsiTheme="minorHAnsi" w:cstheme="minorHAnsi"/>
        </w:rPr>
      </w:pPr>
    </w:p>
    <w:p w:rsidR="00B777FC" w:rsidP="00B777FC" w14:paraId="1A2E5378" w14:textId="53C41BEF">
      <w:pPr>
        <w:spacing w:after="0"/>
        <w:ind w:left="0" w:firstLine="0"/>
        <w:rPr>
          <w:rFonts w:asciiTheme="minorHAnsi" w:hAnsiTheme="minorHAnsi" w:cstheme="minorHAnsi"/>
        </w:rPr>
      </w:pPr>
      <w:r w:rsidRPr="00B12DF4">
        <w:rPr>
          <w:rFonts w:asciiTheme="minorHAnsi" w:hAnsiTheme="minorHAnsi" w:cstheme="minorHAnsi"/>
        </w:rPr>
        <w:t xml:space="preserve">This project </w:t>
      </w:r>
      <w:r w:rsidR="00A12047">
        <w:rPr>
          <w:rFonts w:asciiTheme="minorHAnsi" w:hAnsiTheme="minorHAnsi" w:cstheme="minorHAnsi"/>
        </w:rPr>
        <w:t>aims to improve</w:t>
      </w:r>
      <w:r w:rsidR="003465FD">
        <w:rPr>
          <w:rFonts w:asciiTheme="minorHAnsi" w:hAnsiTheme="minorHAnsi" w:cstheme="minorHAnsi"/>
        </w:rPr>
        <w:t xml:space="preserve"> OSH professionals’ access to motor vehicle safety information</w:t>
      </w:r>
      <w:r w:rsidRPr="00B12DF4">
        <w:rPr>
          <w:rFonts w:asciiTheme="minorHAnsi" w:hAnsiTheme="minorHAnsi" w:cstheme="minorHAnsi"/>
        </w:rPr>
        <w:t xml:space="preserve"> in a rural oil and gas basin. </w:t>
      </w:r>
      <w:r w:rsidR="00FD629D">
        <w:rPr>
          <w:rFonts w:asciiTheme="minorHAnsi" w:hAnsiTheme="minorHAnsi" w:cstheme="minorHAnsi"/>
        </w:rPr>
        <w:t>NIOSH researchers</w:t>
      </w:r>
      <w:r w:rsidRPr="00B12DF4">
        <w:rPr>
          <w:rFonts w:asciiTheme="minorHAnsi" w:hAnsiTheme="minorHAnsi" w:cstheme="minorHAnsi"/>
        </w:rPr>
        <w:t xml:space="preserve"> will engage OSH professionals in </w:t>
      </w:r>
      <w:r w:rsidR="000D2FD2">
        <w:rPr>
          <w:rFonts w:asciiTheme="minorHAnsi" w:hAnsiTheme="minorHAnsi" w:cstheme="minorHAnsi"/>
        </w:rPr>
        <w:t xml:space="preserve">enhancing or designing </w:t>
      </w:r>
      <w:r w:rsidRPr="005F1B1F" w:rsidR="000D2FD2">
        <w:rPr>
          <w:rFonts w:asciiTheme="minorHAnsi" w:hAnsiTheme="minorHAnsi" w:cstheme="minorHAnsi"/>
        </w:rPr>
        <w:t>de novo</w:t>
      </w:r>
      <w:r w:rsidR="000D2FD2">
        <w:rPr>
          <w:rFonts w:asciiTheme="minorHAnsi" w:hAnsiTheme="minorHAnsi" w:cstheme="minorHAnsi"/>
        </w:rPr>
        <w:t xml:space="preserve"> an information </w:t>
      </w:r>
      <w:r w:rsidRPr="00B12DF4">
        <w:rPr>
          <w:rFonts w:asciiTheme="minorHAnsi" w:hAnsiTheme="minorHAnsi" w:cstheme="minorHAnsi"/>
        </w:rPr>
        <w:t xml:space="preserve">system that prioritizes four domains. Data will be </w:t>
      </w:r>
      <w:r w:rsidR="00D646F9">
        <w:rPr>
          <w:rFonts w:asciiTheme="minorHAnsi" w:hAnsiTheme="minorHAnsi" w:cstheme="minorHAnsi"/>
        </w:rPr>
        <w:t xml:space="preserve">(1) </w:t>
      </w:r>
      <w:r w:rsidRPr="00B12DF4">
        <w:rPr>
          <w:rFonts w:asciiTheme="minorHAnsi" w:hAnsiTheme="minorHAnsi" w:cstheme="minorHAnsi"/>
        </w:rPr>
        <w:t xml:space="preserve">available in a timely manner, to support decision-making among OSH professionals in the OGE industry. The approach will be </w:t>
      </w:r>
      <w:r w:rsidR="00D646F9">
        <w:rPr>
          <w:rFonts w:asciiTheme="minorHAnsi" w:hAnsiTheme="minorHAnsi" w:cstheme="minorHAnsi"/>
        </w:rPr>
        <w:t xml:space="preserve">(2) </w:t>
      </w:r>
      <w:r w:rsidRPr="00B12DF4">
        <w:rPr>
          <w:rFonts w:asciiTheme="minorHAnsi" w:hAnsiTheme="minorHAnsi" w:cstheme="minorHAnsi"/>
        </w:rPr>
        <w:t xml:space="preserve">regional, to accommodate the ways in which the OGE industry is organized. The approach will be </w:t>
      </w:r>
      <w:r w:rsidR="0084042E">
        <w:rPr>
          <w:rFonts w:asciiTheme="minorHAnsi" w:hAnsiTheme="minorHAnsi" w:cstheme="minorHAnsi"/>
        </w:rPr>
        <w:t xml:space="preserve">(3) </w:t>
      </w:r>
      <w:r w:rsidRPr="00B12DF4">
        <w:rPr>
          <w:rFonts w:asciiTheme="minorHAnsi" w:hAnsiTheme="minorHAnsi" w:cstheme="minorHAnsi"/>
        </w:rPr>
        <w:t xml:space="preserve">user centered. OSH professionals will be the primary users of the pilot system. They will be engaged throughout the project to ensure the pilot system meets their needs. Finally, the approach will </w:t>
      </w:r>
      <w:r w:rsidR="0084042E">
        <w:rPr>
          <w:rFonts w:asciiTheme="minorHAnsi" w:hAnsiTheme="minorHAnsi" w:cstheme="minorHAnsi"/>
        </w:rPr>
        <w:t xml:space="preserve">(4) </w:t>
      </w:r>
      <w:r w:rsidRPr="00B12DF4">
        <w:rPr>
          <w:rFonts w:asciiTheme="minorHAnsi" w:hAnsiTheme="minorHAnsi" w:cstheme="minorHAnsi"/>
        </w:rPr>
        <w:t>prioritize system efficiency to increase the likelihood of future system sustainability. This pilot monitoring system will focus on a high-priority outcome among OGE workers, motor vehicle crash (MVC) injuries, in</w:t>
      </w:r>
      <w:r w:rsidR="00BA0DA1">
        <w:rPr>
          <w:rFonts w:asciiTheme="minorHAnsi" w:hAnsiTheme="minorHAnsi" w:cstheme="minorHAnsi"/>
        </w:rPr>
        <w:t xml:space="preserve"> the Permian Basin region of west Texas and southeast New Mexico</w:t>
      </w:r>
      <w:r w:rsidRPr="00B12DF4">
        <w:rPr>
          <w:rFonts w:asciiTheme="minorHAnsi" w:hAnsiTheme="minorHAnsi" w:cstheme="minorHAnsi"/>
        </w:rPr>
        <w:t xml:space="preserve">. </w:t>
      </w:r>
    </w:p>
    <w:p w:rsidR="00B777FC" w:rsidP="00B777FC" w14:paraId="358137EC" w14:textId="77777777">
      <w:pPr>
        <w:spacing w:after="0"/>
        <w:ind w:left="0" w:firstLine="0"/>
        <w:rPr>
          <w:rFonts w:asciiTheme="minorHAnsi" w:hAnsiTheme="minorHAnsi" w:cstheme="minorHAnsi"/>
        </w:rPr>
      </w:pPr>
    </w:p>
    <w:p w:rsidR="002F4EE4" w:rsidRPr="009332D2" w:rsidP="0084042E" w14:paraId="6E06A7B8" w14:textId="6B28BAF5">
      <w:pPr>
        <w:tabs>
          <w:tab w:val="left" w:pos="-1440"/>
        </w:tabs>
        <w:spacing w:after="0"/>
        <w:ind w:left="0" w:firstLine="0"/>
        <w:rPr>
          <w:rFonts w:asciiTheme="minorHAnsi" w:hAnsiTheme="minorHAnsi" w:cstheme="minorHAnsi"/>
        </w:rPr>
      </w:pPr>
      <w:r w:rsidRPr="009332D2">
        <w:rPr>
          <w:rFonts w:asciiTheme="minorHAnsi" w:hAnsiTheme="minorHAnsi" w:cstheme="minorHAnsi"/>
        </w:rPr>
        <w:t>CDC</w:t>
      </w:r>
      <w:r w:rsidR="0084042E">
        <w:rPr>
          <w:rFonts w:asciiTheme="minorHAnsi" w:hAnsiTheme="minorHAnsi" w:cstheme="minorHAnsi"/>
        </w:rPr>
        <w:t>/NIOSH</w:t>
      </w:r>
      <w:r w:rsidRPr="009332D2" w:rsidR="00B702C2">
        <w:rPr>
          <w:rFonts w:asciiTheme="minorHAnsi" w:hAnsiTheme="minorHAnsi" w:cstheme="minorHAnsi"/>
        </w:rPr>
        <w:t xml:space="preserve"> </w:t>
      </w:r>
      <w:r w:rsidR="009673B9">
        <w:rPr>
          <w:rFonts w:asciiTheme="minorHAnsi" w:hAnsiTheme="minorHAnsi" w:cstheme="minorHAnsi"/>
        </w:rPr>
        <w:t>requires</w:t>
      </w:r>
      <w:r w:rsidRPr="009332D2" w:rsidR="00B702C2">
        <w:rPr>
          <w:rFonts w:asciiTheme="minorHAnsi" w:hAnsiTheme="minorHAnsi" w:cstheme="minorHAnsi"/>
        </w:rPr>
        <w:t xml:space="preserve"> the</w:t>
      </w:r>
      <w:r w:rsidRPr="009332D2">
        <w:rPr>
          <w:rFonts w:asciiTheme="minorHAnsi" w:hAnsiTheme="minorHAnsi" w:cstheme="minorHAnsi"/>
        </w:rPr>
        <w:t xml:space="preserve"> ability to </w:t>
      </w:r>
      <w:r w:rsidRPr="009332D2" w:rsidR="00B702C2">
        <w:rPr>
          <w:rFonts w:asciiTheme="minorHAnsi" w:hAnsiTheme="minorHAnsi" w:cstheme="minorHAnsi"/>
        </w:rPr>
        <w:t xml:space="preserve">process and/or integrate </w:t>
      </w:r>
      <w:r w:rsidRPr="009332D2">
        <w:rPr>
          <w:rFonts w:asciiTheme="minorHAnsi" w:hAnsiTheme="minorHAnsi" w:cstheme="minorHAnsi"/>
        </w:rPr>
        <w:t>information into on-going nati</w:t>
      </w:r>
      <w:r w:rsidRPr="009332D2" w:rsidR="00527974">
        <w:rPr>
          <w:rFonts w:asciiTheme="minorHAnsi" w:hAnsiTheme="minorHAnsi" w:cstheme="minorHAnsi"/>
        </w:rPr>
        <w:t>onal program</w:t>
      </w:r>
      <w:r w:rsidRPr="009332D2" w:rsidR="00832AE9">
        <w:rPr>
          <w:rFonts w:asciiTheme="minorHAnsi" w:hAnsiTheme="minorHAnsi" w:cstheme="minorHAnsi"/>
        </w:rPr>
        <w:t>s</w:t>
      </w:r>
      <w:r w:rsidR="00A01AD4">
        <w:rPr>
          <w:rFonts w:asciiTheme="minorHAnsi" w:hAnsiTheme="minorHAnsi" w:cstheme="minorHAnsi"/>
        </w:rPr>
        <w:t>, such as the Oil and Gas Extraction Program,</w:t>
      </w:r>
      <w:r w:rsidRPr="009332D2" w:rsidR="00527974">
        <w:rPr>
          <w:rFonts w:asciiTheme="minorHAnsi" w:hAnsiTheme="minorHAnsi" w:cstheme="minorHAnsi"/>
        </w:rPr>
        <w:t xml:space="preserve"> in a </w:t>
      </w:r>
      <w:r w:rsidRPr="009332D2" w:rsidR="00CB1E7A">
        <w:rPr>
          <w:rFonts w:asciiTheme="minorHAnsi" w:hAnsiTheme="minorHAnsi" w:cstheme="minorHAnsi"/>
        </w:rPr>
        <w:t>timely manner.</w:t>
      </w:r>
      <w:r w:rsidRPr="009332D2" w:rsidR="00527974">
        <w:rPr>
          <w:rFonts w:asciiTheme="minorHAnsi" w:hAnsiTheme="minorHAnsi" w:cstheme="minorHAnsi"/>
        </w:rPr>
        <w:t xml:space="preserve"> </w:t>
      </w:r>
      <w:r w:rsidRPr="009332D2" w:rsidR="00CB1E7A">
        <w:rPr>
          <w:rFonts w:asciiTheme="minorHAnsi" w:hAnsiTheme="minorHAnsi" w:cstheme="minorHAnsi"/>
        </w:rPr>
        <w:t xml:space="preserve">Formative research is an integral part of the operations research and surveillance activities at </w:t>
      </w:r>
      <w:r w:rsidRPr="009332D2" w:rsidR="005C6EDC">
        <w:rPr>
          <w:rFonts w:asciiTheme="minorHAnsi" w:hAnsiTheme="minorHAnsi" w:cstheme="minorHAnsi"/>
        </w:rPr>
        <w:t>CDC</w:t>
      </w:r>
      <w:r w:rsidRPr="009332D2" w:rsidR="00CB1E7A">
        <w:rPr>
          <w:rFonts w:asciiTheme="minorHAnsi" w:hAnsiTheme="minorHAnsi" w:cstheme="minorHAnsi"/>
        </w:rPr>
        <w:t xml:space="preserve"> because they are </w:t>
      </w:r>
      <w:r w:rsidRPr="00A01AD4" w:rsidR="00CB1E7A">
        <w:rPr>
          <w:rFonts w:asciiTheme="minorHAnsi" w:hAnsiTheme="minorHAnsi" w:cstheme="minorHAnsi"/>
        </w:rPr>
        <w:t>dependent upon the consumers</w:t>
      </w:r>
      <w:r w:rsidR="008A0B4B">
        <w:rPr>
          <w:rFonts w:asciiTheme="minorHAnsi" w:hAnsiTheme="minorHAnsi" w:cstheme="minorHAnsi"/>
        </w:rPr>
        <w:t xml:space="preserve">, </w:t>
      </w:r>
      <w:r w:rsidRPr="00A01AD4" w:rsidR="00CB1E7A">
        <w:rPr>
          <w:rFonts w:asciiTheme="minorHAnsi" w:hAnsiTheme="minorHAnsi" w:cstheme="minorHAnsi"/>
        </w:rPr>
        <w:t>health department staff</w:t>
      </w:r>
      <w:r w:rsidR="008A0B4B">
        <w:rPr>
          <w:rFonts w:asciiTheme="minorHAnsi" w:hAnsiTheme="minorHAnsi" w:cstheme="minorHAnsi"/>
        </w:rPr>
        <w:t xml:space="preserve">, </w:t>
      </w:r>
      <w:r w:rsidR="00A15FF7">
        <w:rPr>
          <w:rFonts w:asciiTheme="minorHAnsi" w:hAnsiTheme="minorHAnsi" w:cstheme="minorHAnsi"/>
        </w:rPr>
        <w:t>as well as other public and private partners</w:t>
      </w:r>
      <w:r w:rsidRPr="00A01AD4" w:rsidR="00CB1E7A">
        <w:rPr>
          <w:rFonts w:asciiTheme="minorHAnsi" w:hAnsiTheme="minorHAnsi" w:cstheme="minorHAnsi"/>
        </w:rPr>
        <w:t xml:space="preserve"> to obtain the data needed to monitor changes in </w:t>
      </w:r>
      <w:r w:rsidR="00A15FF7">
        <w:rPr>
          <w:rFonts w:asciiTheme="minorHAnsi" w:hAnsiTheme="minorHAnsi" w:cstheme="minorHAnsi"/>
        </w:rPr>
        <w:t>injury</w:t>
      </w:r>
      <w:r w:rsidRPr="00A01AD4" w:rsidR="00CB1E7A">
        <w:rPr>
          <w:rFonts w:asciiTheme="minorHAnsi" w:hAnsiTheme="minorHAnsi" w:cstheme="minorHAnsi"/>
        </w:rPr>
        <w:t xml:space="preserve"> epidemiology and design more efficient interventions</w:t>
      </w:r>
      <w:r w:rsidRPr="009332D2" w:rsidR="00CB1E7A">
        <w:rPr>
          <w:rFonts w:asciiTheme="minorHAnsi" w:hAnsiTheme="minorHAnsi" w:cstheme="minorHAnsi"/>
        </w:rPr>
        <w:t xml:space="preserve">.  </w:t>
      </w:r>
    </w:p>
    <w:p w:rsidR="00C46C52" w:rsidRPr="009332D2" w:rsidP="00527974" w14:paraId="105D276C" w14:textId="2232C436">
      <w:pPr>
        <w:spacing w:before="120"/>
        <w:ind w:left="0" w:firstLine="0"/>
        <w:rPr>
          <w:rFonts w:asciiTheme="minorHAnsi" w:hAnsiTheme="minorHAnsi" w:cstheme="minorHAnsi"/>
        </w:rPr>
      </w:pPr>
      <w:r w:rsidRPr="009332D2">
        <w:rPr>
          <w:rFonts w:asciiTheme="minorHAnsi" w:hAnsiTheme="minorHAnsi" w:cstheme="minorHAnsi"/>
        </w:rPr>
        <w:t>None of the proposed</w:t>
      </w:r>
      <w:r w:rsidR="007B736D">
        <w:rPr>
          <w:rFonts w:asciiTheme="minorHAnsi" w:hAnsiTheme="minorHAnsi" w:cstheme="minorHAnsi"/>
        </w:rPr>
        <w:t xml:space="preserve"> activities</w:t>
      </w:r>
      <w:r w:rsidRPr="009332D2">
        <w:rPr>
          <w:rFonts w:asciiTheme="minorHAnsi" w:hAnsiTheme="minorHAnsi" w:cstheme="minorHAnsi"/>
        </w:rPr>
        <w:t xml:space="preserve"> intend to produce results that can be generalized </w:t>
      </w:r>
      <w:r w:rsidRPr="009332D2" w:rsidR="00D24412">
        <w:rPr>
          <w:rFonts w:asciiTheme="minorHAnsi" w:hAnsiTheme="minorHAnsi" w:cstheme="minorHAnsi"/>
        </w:rPr>
        <w:t xml:space="preserve">beyond the scope of </w:t>
      </w:r>
      <w:r w:rsidR="0039668A">
        <w:rPr>
          <w:rFonts w:asciiTheme="minorHAnsi" w:hAnsiTheme="minorHAnsi" w:cstheme="minorHAnsi"/>
        </w:rPr>
        <w:t>this study</w:t>
      </w:r>
      <w:r w:rsidR="0082732B">
        <w:rPr>
          <w:rFonts w:asciiTheme="minorHAnsi" w:hAnsiTheme="minorHAnsi" w:cstheme="minorHAnsi"/>
        </w:rPr>
        <w:t>.</w:t>
      </w:r>
      <w:r w:rsidRPr="009332D2">
        <w:rPr>
          <w:rFonts w:asciiTheme="minorHAnsi" w:hAnsiTheme="minorHAnsi" w:cstheme="minorHAnsi"/>
        </w:rPr>
        <w:t xml:space="preserve">  </w:t>
      </w:r>
      <w:r w:rsidRPr="00BB784C">
        <w:rPr>
          <w:rFonts w:asciiTheme="minorHAnsi" w:hAnsiTheme="minorHAnsi" w:cstheme="minorHAnsi"/>
        </w:rPr>
        <w:t xml:space="preserve">The objective of this request is to enable </w:t>
      </w:r>
      <w:r w:rsidRPr="00BB784C" w:rsidR="00BB784C">
        <w:rPr>
          <w:rFonts w:asciiTheme="minorHAnsi" w:hAnsiTheme="minorHAnsi" w:cstheme="minorHAnsi"/>
        </w:rPr>
        <w:t>NIOSH</w:t>
      </w:r>
      <w:r w:rsidRPr="00BB784C" w:rsidR="005C6EDC">
        <w:rPr>
          <w:rFonts w:asciiTheme="minorHAnsi" w:hAnsiTheme="minorHAnsi" w:cstheme="minorHAnsi"/>
        </w:rPr>
        <w:t xml:space="preserve"> </w:t>
      </w:r>
      <w:r w:rsidRPr="00BB784C">
        <w:rPr>
          <w:rFonts w:asciiTheme="minorHAnsi" w:hAnsiTheme="minorHAnsi" w:cstheme="minorHAnsi"/>
        </w:rPr>
        <w:t>to improve</w:t>
      </w:r>
      <w:r w:rsidRPr="00BB784C">
        <w:rPr>
          <w:rFonts w:asciiTheme="minorHAnsi" w:hAnsiTheme="minorHAnsi" w:cstheme="minorHAnsi"/>
          <w:i/>
        </w:rPr>
        <w:t xml:space="preserve"> </w:t>
      </w:r>
      <w:r w:rsidRPr="00BB784C">
        <w:rPr>
          <w:rFonts w:asciiTheme="minorHAnsi" w:hAnsiTheme="minorHAnsi" w:cstheme="minorHAnsi"/>
        </w:rPr>
        <w:t xml:space="preserve">the quality of the data collection systems </w:t>
      </w:r>
      <w:r w:rsidR="00F83329">
        <w:rPr>
          <w:rFonts w:asciiTheme="minorHAnsi" w:hAnsiTheme="minorHAnsi" w:cstheme="minorHAnsi"/>
        </w:rPr>
        <w:t xml:space="preserve">for </w:t>
      </w:r>
      <w:r w:rsidR="00BC16F6">
        <w:rPr>
          <w:rFonts w:asciiTheme="minorHAnsi" w:hAnsiTheme="minorHAnsi" w:cstheme="minorHAnsi"/>
        </w:rPr>
        <w:t xml:space="preserve">a subset of </w:t>
      </w:r>
      <w:r w:rsidR="00F83329">
        <w:rPr>
          <w:rFonts w:asciiTheme="minorHAnsi" w:hAnsiTheme="minorHAnsi" w:cstheme="minorHAnsi"/>
        </w:rPr>
        <w:t>our community of end users</w:t>
      </w:r>
      <w:r w:rsidR="00A15FF7">
        <w:rPr>
          <w:rFonts w:asciiTheme="minorHAnsi" w:hAnsiTheme="minorHAnsi" w:cstheme="minorHAnsi"/>
        </w:rPr>
        <w:t xml:space="preserve"> </w:t>
      </w:r>
      <w:r w:rsidRPr="00BB784C">
        <w:rPr>
          <w:rFonts w:asciiTheme="minorHAnsi" w:hAnsiTheme="minorHAnsi" w:cstheme="minorHAnsi"/>
        </w:rPr>
        <w:t>and respond to the needs of the affected persons and the community in a timely manner.</w:t>
      </w:r>
      <w:r w:rsidRPr="009332D2">
        <w:rPr>
          <w:rFonts w:asciiTheme="minorHAnsi" w:hAnsiTheme="minorHAnsi" w:cstheme="minorHAnsi"/>
        </w:rPr>
        <w:t xml:space="preserve"> The improved timeliness of</w:t>
      </w:r>
      <w:r w:rsidR="00BC16F6">
        <w:rPr>
          <w:rFonts w:asciiTheme="minorHAnsi" w:hAnsiTheme="minorHAnsi" w:cstheme="minorHAnsi"/>
        </w:rPr>
        <w:t xml:space="preserve"> the data collection activities and the data themselves</w:t>
      </w:r>
      <w:r w:rsidRPr="009332D2">
        <w:rPr>
          <w:rFonts w:asciiTheme="minorHAnsi" w:hAnsiTheme="minorHAnsi" w:cstheme="minorHAnsi"/>
        </w:rPr>
        <w:t xml:space="preserve"> will improve data quality, increase the efficiency of data collection, and decrease burden to the public.</w:t>
      </w:r>
    </w:p>
    <w:p w:rsidR="00726F05" w:rsidRPr="009332D2" w:rsidP="009F5FD9" w14:paraId="75BF152F" w14:textId="602EB47C">
      <w:pPr>
        <w:ind w:left="0" w:firstLine="0"/>
        <w:rPr>
          <w:rFonts w:asciiTheme="minorHAnsi" w:hAnsiTheme="minorHAnsi" w:cstheme="minorHAnsi"/>
        </w:rPr>
      </w:pPr>
      <w:r>
        <w:rPr>
          <w:rFonts w:asciiTheme="minorHAnsi" w:hAnsiTheme="minorHAnsi" w:cstheme="minorHAnsi"/>
        </w:rPr>
        <w:t>Data collection</w:t>
      </w:r>
      <w:r w:rsidRPr="009332D2" w:rsidR="005507F9">
        <w:rPr>
          <w:rFonts w:asciiTheme="minorHAnsi" w:hAnsiTheme="minorHAnsi" w:cstheme="minorHAnsi"/>
        </w:rPr>
        <w:t xml:space="preserve"> for </w:t>
      </w:r>
      <w:r w:rsidR="00B317FA">
        <w:rPr>
          <w:rFonts w:asciiTheme="minorHAnsi" w:hAnsiTheme="minorHAnsi" w:cstheme="minorHAnsi"/>
        </w:rPr>
        <w:t xml:space="preserve">this formative research will </w:t>
      </w:r>
      <w:r w:rsidR="000A3F47">
        <w:rPr>
          <w:rFonts w:asciiTheme="minorHAnsi" w:hAnsiTheme="minorHAnsi" w:cstheme="minorHAnsi"/>
        </w:rPr>
        <w:t>involve</w:t>
      </w:r>
      <w:r w:rsidR="00BC16F6">
        <w:rPr>
          <w:rFonts w:asciiTheme="minorHAnsi" w:hAnsiTheme="minorHAnsi" w:cstheme="minorHAnsi"/>
        </w:rPr>
        <w:t xml:space="preserve"> </w:t>
      </w:r>
      <w:r w:rsidR="0039668A">
        <w:rPr>
          <w:rFonts w:asciiTheme="minorHAnsi" w:hAnsiTheme="minorHAnsi" w:cstheme="minorHAnsi"/>
        </w:rPr>
        <w:t>semi-</w:t>
      </w:r>
      <w:r>
        <w:rPr>
          <w:rFonts w:asciiTheme="minorHAnsi" w:hAnsiTheme="minorHAnsi" w:cstheme="minorHAnsi"/>
        </w:rPr>
        <w:t xml:space="preserve">structured </w:t>
      </w:r>
      <w:r w:rsidRPr="009332D2" w:rsidR="005507F9">
        <w:rPr>
          <w:rFonts w:asciiTheme="minorHAnsi" w:hAnsiTheme="minorHAnsi" w:cstheme="minorHAnsi"/>
        </w:rPr>
        <w:t>qualitative interview</w:t>
      </w:r>
      <w:r w:rsidR="000A3F47">
        <w:rPr>
          <w:rFonts w:asciiTheme="minorHAnsi" w:hAnsiTheme="minorHAnsi" w:cstheme="minorHAnsi"/>
        </w:rPr>
        <w:t>s</w:t>
      </w:r>
      <w:r w:rsidRPr="009332D2" w:rsidR="005507F9">
        <w:rPr>
          <w:rFonts w:asciiTheme="minorHAnsi" w:hAnsiTheme="minorHAnsi" w:cstheme="minorHAnsi"/>
        </w:rPr>
        <w:t xml:space="preserve"> to </w:t>
      </w:r>
      <w:r w:rsidR="007536A8">
        <w:rPr>
          <w:rFonts w:asciiTheme="minorHAnsi" w:hAnsiTheme="minorHAnsi" w:cstheme="minorHAnsi"/>
        </w:rPr>
        <w:t>understand users’</w:t>
      </w:r>
      <w:r>
        <w:rPr>
          <w:rFonts w:asciiTheme="minorHAnsi" w:hAnsiTheme="minorHAnsi" w:cstheme="minorHAnsi"/>
        </w:rPr>
        <w:t xml:space="preserve"> priorities,</w:t>
      </w:r>
      <w:r w:rsidRPr="009332D2" w:rsidR="005507F9">
        <w:rPr>
          <w:rFonts w:asciiTheme="minorHAnsi" w:hAnsiTheme="minorHAnsi" w:cstheme="minorHAnsi"/>
        </w:rPr>
        <w:t xml:space="preserve"> methods, intervention</w:t>
      </w:r>
      <w:r>
        <w:rPr>
          <w:rFonts w:asciiTheme="minorHAnsi" w:hAnsiTheme="minorHAnsi" w:cstheme="minorHAnsi"/>
        </w:rPr>
        <w:t>s</w:t>
      </w:r>
      <w:r w:rsidR="007536A8">
        <w:rPr>
          <w:rFonts w:asciiTheme="minorHAnsi" w:hAnsiTheme="minorHAnsi" w:cstheme="minorHAnsi"/>
        </w:rPr>
        <w:t>, and needs</w:t>
      </w:r>
      <w:r w:rsidRPr="009332D2" w:rsidR="005507F9">
        <w:rPr>
          <w:rFonts w:asciiTheme="minorHAnsi" w:hAnsiTheme="minorHAnsi" w:cstheme="minorHAnsi"/>
        </w:rPr>
        <w:t xml:space="preserve">.  </w:t>
      </w:r>
      <w:r w:rsidR="00B14D4E">
        <w:rPr>
          <w:rFonts w:asciiTheme="minorHAnsi" w:hAnsiTheme="minorHAnsi" w:cstheme="minorHAnsi"/>
        </w:rPr>
        <w:t xml:space="preserve">Separate interview guides have been developed for </w:t>
      </w:r>
      <w:r w:rsidR="00A352B4">
        <w:rPr>
          <w:rFonts w:asciiTheme="minorHAnsi" w:hAnsiTheme="minorHAnsi" w:cstheme="minorHAnsi"/>
        </w:rPr>
        <w:t xml:space="preserve">one-hour </w:t>
      </w:r>
      <w:r w:rsidR="00B14D4E">
        <w:rPr>
          <w:rFonts w:asciiTheme="minorHAnsi" w:hAnsiTheme="minorHAnsi" w:cstheme="minorHAnsi"/>
        </w:rPr>
        <w:t xml:space="preserve">interviews with OSH professionals </w:t>
      </w:r>
      <w:r w:rsidR="004333EE">
        <w:rPr>
          <w:rFonts w:asciiTheme="minorHAnsi" w:hAnsiTheme="minorHAnsi" w:cstheme="minorHAnsi"/>
        </w:rPr>
        <w:t xml:space="preserve">(Attachment 3) </w:t>
      </w:r>
      <w:r w:rsidR="00B14D4E">
        <w:rPr>
          <w:rFonts w:asciiTheme="minorHAnsi" w:hAnsiTheme="minorHAnsi" w:cstheme="minorHAnsi"/>
        </w:rPr>
        <w:t>and data management professionals</w:t>
      </w:r>
      <w:r w:rsidR="004333EE">
        <w:rPr>
          <w:rFonts w:asciiTheme="minorHAnsi" w:hAnsiTheme="minorHAnsi" w:cstheme="minorHAnsi"/>
        </w:rPr>
        <w:t xml:space="preserve"> (Attachment 6)</w:t>
      </w:r>
      <w:r w:rsidR="00B14D4E">
        <w:rPr>
          <w:rFonts w:asciiTheme="minorHAnsi" w:hAnsiTheme="minorHAnsi" w:cstheme="minorHAnsi"/>
        </w:rPr>
        <w:t xml:space="preserve">. </w:t>
      </w:r>
      <w:r w:rsidR="007536A8">
        <w:rPr>
          <w:rFonts w:asciiTheme="minorHAnsi" w:hAnsiTheme="minorHAnsi" w:cstheme="minorHAnsi"/>
        </w:rPr>
        <w:t xml:space="preserve">Semi-structured qualitative interviews </w:t>
      </w:r>
      <w:r w:rsidR="00C56576">
        <w:rPr>
          <w:rFonts w:asciiTheme="minorHAnsi" w:hAnsiTheme="minorHAnsi" w:cstheme="minorHAnsi"/>
        </w:rPr>
        <w:t>incorporate</w:t>
      </w:r>
      <w:r w:rsidR="007536A8">
        <w:rPr>
          <w:rFonts w:asciiTheme="minorHAnsi" w:hAnsiTheme="minorHAnsi" w:cstheme="minorHAnsi"/>
        </w:rPr>
        <w:t xml:space="preserve"> pilot testing</w:t>
      </w:r>
      <w:r w:rsidR="00C56576">
        <w:rPr>
          <w:rFonts w:asciiTheme="minorHAnsi" w:hAnsiTheme="minorHAnsi" w:cstheme="minorHAnsi"/>
        </w:rPr>
        <w:t xml:space="preserve"> of</w:t>
      </w:r>
      <w:r w:rsidR="007536A8">
        <w:rPr>
          <w:rFonts w:asciiTheme="minorHAnsi" w:hAnsiTheme="minorHAnsi" w:cstheme="minorHAnsi"/>
        </w:rPr>
        <w:t xml:space="preserve"> a draft questionnaire specifically designed to understand in-vehicle monitoring systems (IVMS) implementation in OGE. IVMS are common in OGE and provide a </w:t>
      </w:r>
      <w:r w:rsidR="000A3F47">
        <w:rPr>
          <w:rFonts w:asciiTheme="minorHAnsi" w:hAnsiTheme="minorHAnsi" w:cstheme="minorHAnsi"/>
        </w:rPr>
        <w:t xml:space="preserve">rich source of data that could be used to address a wide range of OSH professionals’ motor vehicle safety priorities. </w:t>
      </w:r>
      <w:r w:rsidR="004134C5">
        <w:rPr>
          <w:rFonts w:asciiTheme="minorHAnsi" w:hAnsiTheme="minorHAnsi" w:cstheme="minorHAnsi"/>
        </w:rPr>
        <w:t xml:space="preserve">A questionnaire has been drafted addressing </w:t>
      </w:r>
      <w:r w:rsidR="00247058">
        <w:rPr>
          <w:rFonts w:asciiTheme="minorHAnsi" w:hAnsiTheme="minorHAnsi" w:cstheme="minorHAnsi"/>
        </w:rPr>
        <w:t>different dimensions of IVMS implementation</w:t>
      </w:r>
      <w:r w:rsidR="00DB38B0">
        <w:rPr>
          <w:rFonts w:asciiTheme="minorHAnsi" w:hAnsiTheme="minorHAnsi" w:cstheme="minorHAnsi"/>
        </w:rPr>
        <w:t xml:space="preserve"> (Attachment 5). During a one-hour interview, individuals will be asked to complete the questionnaire and then </w:t>
      </w:r>
      <w:r w:rsidR="00A352B4">
        <w:rPr>
          <w:rFonts w:asciiTheme="minorHAnsi" w:hAnsiTheme="minorHAnsi" w:cstheme="minorHAnsi"/>
        </w:rPr>
        <w:t xml:space="preserve">be </w:t>
      </w:r>
      <w:r w:rsidR="00EC41C0">
        <w:rPr>
          <w:rFonts w:asciiTheme="minorHAnsi" w:hAnsiTheme="minorHAnsi" w:cstheme="minorHAnsi"/>
        </w:rPr>
        <w:t>interviewed about the questionnaire with the remaining time (Attachment 4)</w:t>
      </w:r>
      <w:r w:rsidR="00247058">
        <w:rPr>
          <w:rFonts w:asciiTheme="minorHAnsi" w:hAnsiTheme="minorHAnsi" w:cstheme="minorHAnsi"/>
        </w:rPr>
        <w:t xml:space="preserve">. </w:t>
      </w:r>
      <w:r w:rsidR="004B6703">
        <w:rPr>
          <w:rFonts w:asciiTheme="minorHAnsi" w:hAnsiTheme="minorHAnsi" w:cstheme="minorHAnsi"/>
        </w:rPr>
        <w:t xml:space="preserve">The draft questionnaire will be completed solely for the purpose of evaluating the questionnaire itself; data from questionnaire responses will not be collected or used. </w:t>
      </w:r>
      <w:r w:rsidRPr="009332D2" w:rsidR="005C6EDC">
        <w:rPr>
          <w:rFonts w:asciiTheme="minorHAnsi" w:hAnsiTheme="minorHAnsi" w:cstheme="minorHAnsi"/>
        </w:rPr>
        <w:t>CDC</w:t>
      </w:r>
      <w:r w:rsidR="00BC16F6">
        <w:rPr>
          <w:rFonts w:asciiTheme="minorHAnsi" w:hAnsiTheme="minorHAnsi" w:cstheme="minorHAnsi"/>
        </w:rPr>
        <w:t>/NIOSH</w:t>
      </w:r>
      <w:r w:rsidRPr="009332D2" w:rsidR="005C6EDC">
        <w:rPr>
          <w:rFonts w:asciiTheme="minorHAnsi" w:hAnsiTheme="minorHAnsi" w:cstheme="minorHAnsi"/>
        </w:rPr>
        <w:t xml:space="preserve"> </w:t>
      </w:r>
      <w:r w:rsidRPr="009332D2" w:rsidR="005507F9">
        <w:rPr>
          <w:rFonts w:asciiTheme="minorHAnsi" w:hAnsiTheme="minorHAnsi" w:cstheme="minorHAnsi"/>
        </w:rPr>
        <w:t xml:space="preserve">will conduct </w:t>
      </w:r>
      <w:r w:rsidRPr="00AB6C7B" w:rsidR="005507F9">
        <w:rPr>
          <w:rFonts w:asciiTheme="minorHAnsi" w:hAnsiTheme="minorHAnsi" w:cstheme="minorHAnsi"/>
        </w:rPr>
        <w:t xml:space="preserve">qualitative interviews with </w:t>
      </w:r>
      <w:r w:rsidR="003B4F70">
        <w:rPr>
          <w:rFonts w:asciiTheme="minorHAnsi" w:hAnsiTheme="minorHAnsi" w:cstheme="minorHAnsi"/>
        </w:rPr>
        <w:t xml:space="preserve">individual </w:t>
      </w:r>
      <w:r w:rsidRPr="00AB6C7B" w:rsidR="005507F9">
        <w:rPr>
          <w:rFonts w:asciiTheme="minorHAnsi" w:hAnsiTheme="minorHAnsi" w:cstheme="minorHAnsi"/>
        </w:rPr>
        <w:t xml:space="preserve">volunteer respondents using standardized methods. Results of qualitative interviews </w:t>
      </w:r>
      <w:r w:rsidR="00AE1EE8">
        <w:rPr>
          <w:rFonts w:asciiTheme="minorHAnsi" w:hAnsiTheme="minorHAnsi" w:cstheme="minorHAnsi"/>
        </w:rPr>
        <w:t>will be</w:t>
      </w:r>
      <w:r w:rsidRPr="00AB6C7B" w:rsidR="00AE1EE8">
        <w:rPr>
          <w:rFonts w:asciiTheme="minorHAnsi" w:hAnsiTheme="minorHAnsi" w:cstheme="minorHAnsi"/>
        </w:rPr>
        <w:t xml:space="preserve"> used</w:t>
      </w:r>
      <w:r w:rsidR="00AE1EE8">
        <w:rPr>
          <w:rFonts w:asciiTheme="minorHAnsi" w:hAnsiTheme="minorHAnsi" w:cstheme="minorHAnsi"/>
        </w:rPr>
        <w:t xml:space="preserve"> with </w:t>
      </w:r>
      <w:r w:rsidRPr="00AB6C7B" w:rsidR="005507F9">
        <w:rPr>
          <w:rFonts w:asciiTheme="minorHAnsi" w:hAnsiTheme="minorHAnsi" w:cstheme="minorHAnsi"/>
        </w:rPr>
        <w:t>other information to develop the most appropriate and successful surveillance methods and data collection instruments for current and future projects.</w:t>
      </w:r>
      <w:r w:rsidR="00EF5EC4">
        <w:rPr>
          <w:rFonts w:asciiTheme="minorHAnsi" w:hAnsiTheme="minorHAnsi" w:cstheme="minorHAnsi"/>
        </w:rPr>
        <w:t xml:space="preserve"> </w:t>
      </w:r>
    </w:p>
    <w:p w:rsidR="00726F05" w:rsidRPr="009332D2" w:rsidP="00817E1F" w14:paraId="3E9C9E7D" w14:textId="2197601E">
      <w:pPr>
        <w:tabs>
          <w:tab w:val="left" w:pos="-1440"/>
        </w:tabs>
        <w:ind w:left="0" w:firstLine="0"/>
        <w:rPr>
          <w:rFonts w:asciiTheme="minorHAnsi" w:hAnsiTheme="minorHAnsi" w:cstheme="minorHAnsi"/>
        </w:rPr>
      </w:pPr>
      <w:r w:rsidRPr="00AB6C7B">
        <w:rPr>
          <w:rFonts w:asciiTheme="minorHAnsi" w:hAnsiTheme="minorHAnsi" w:cstheme="minorHAnsi"/>
        </w:rPr>
        <w:t xml:space="preserve">Field </w:t>
      </w:r>
      <w:r w:rsidRPr="00AB6C7B" w:rsidR="0090145A">
        <w:rPr>
          <w:rFonts w:asciiTheme="minorHAnsi" w:hAnsiTheme="minorHAnsi" w:cstheme="minorHAnsi"/>
        </w:rPr>
        <w:t>experience with prototype data collection instruments is</w:t>
      </w:r>
      <w:r w:rsidRPr="00AB6C7B">
        <w:rPr>
          <w:rFonts w:asciiTheme="minorHAnsi" w:hAnsiTheme="minorHAnsi" w:cstheme="minorHAnsi"/>
        </w:rPr>
        <w:t xml:space="preserve"> crucial for the development </w:t>
      </w:r>
      <w:r w:rsidRPr="00AB6C7B" w:rsidR="00AB462A">
        <w:rPr>
          <w:rFonts w:asciiTheme="minorHAnsi" w:hAnsiTheme="minorHAnsi" w:cstheme="minorHAnsi"/>
        </w:rPr>
        <w:t>and</w:t>
      </w:r>
      <w:r w:rsidRPr="00AB6C7B" w:rsidR="0072304F">
        <w:rPr>
          <w:rFonts w:asciiTheme="minorHAnsi" w:hAnsiTheme="minorHAnsi" w:cstheme="minorHAnsi"/>
        </w:rPr>
        <w:t>/</w:t>
      </w:r>
      <w:r w:rsidRPr="00AB6C7B" w:rsidR="00AB462A">
        <w:rPr>
          <w:rFonts w:asciiTheme="minorHAnsi" w:hAnsiTheme="minorHAnsi" w:cstheme="minorHAnsi"/>
        </w:rPr>
        <w:t xml:space="preserve">or improvement </w:t>
      </w:r>
      <w:r w:rsidRPr="00AB6C7B">
        <w:rPr>
          <w:rFonts w:asciiTheme="minorHAnsi" w:hAnsiTheme="minorHAnsi" w:cstheme="minorHAnsi"/>
        </w:rPr>
        <w:t xml:space="preserve">of methods, interventions, and instruments </w:t>
      </w:r>
      <w:r w:rsidRPr="00AB6C7B" w:rsidR="00031D85">
        <w:rPr>
          <w:rFonts w:asciiTheme="minorHAnsi" w:hAnsiTheme="minorHAnsi" w:cstheme="minorHAnsi"/>
        </w:rPr>
        <w:t xml:space="preserve">that may improve </w:t>
      </w:r>
      <w:r w:rsidRPr="00AB6C7B">
        <w:rPr>
          <w:rFonts w:asciiTheme="minorHAnsi" w:hAnsiTheme="minorHAnsi" w:cstheme="minorHAnsi"/>
        </w:rPr>
        <w:t xml:space="preserve">surveillance and </w:t>
      </w:r>
      <w:r w:rsidRPr="00AB6C7B" w:rsidR="00031D85">
        <w:rPr>
          <w:rFonts w:asciiTheme="minorHAnsi" w:hAnsiTheme="minorHAnsi" w:cstheme="minorHAnsi"/>
        </w:rPr>
        <w:t xml:space="preserve">other </w:t>
      </w:r>
      <w:r w:rsidRPr="00AB6C7B">
        <w:rPr>
          <w:rFonts w:asciiTheme="minorHAnsi" w:hAnsiTheme="minorHAnsi" w:cstheme="minorHAnsi"/>
        </w:rPr>
        <w:t>research projects</w:t>
      </w:r>
      <w:r w:rsidRPr="009332D2">
        <w:rPr>
          <w:rFonts w:asciiTheme="minorHAnsi" w:hAnsiTheme="minorHAnsi" w:cstheme="minorHAnsi"/>
        </w:rPr>
        <w:t xml:space="preserve">.  </w:t>
      </w:r>
      <w:r w:rsidR="00585909">
        <w:rPr>
          <w:rFonts w:asciiTheme="minorHAnsi" w:hAnsiTheme="minorHAnsi" w:cstheme="minorHAnsi"/>
        </w:rPr>
        <w:t>Qualitative interviews and questionnaire pilot testing</w:t>
      </w:r>
      <w:r w:rsidRPr="009332D2">
        <w:rPr>
          <w:rFonts w:asciiTheme="minorHAnsi" w:hAnsiTheme="minorHAnsi" w:cstheme="minorHAnsi"/>
        </w:rPr>
        <w:t xml:space="preserve"> with members of </w:t>
      </w:r>
      <w:r w:rsidRPr="009332D2">
        <w:rPr>
          <w:rFonts w:asciiTheme="minorHAnsi" w:hAnsiTheme="minorHAnsi" w:cstheme="minorHAnsi"/>
        </w:rPr>
        <w:t xml:space="preserve">the target population </w:t>
      </w:r>
      <w:r w:rsidR="006E76A1">
        <w:rPr>
          <w:rFonts w:asciiTheme="minorHAnsi" w:hAnsiTheme="minorHAnsi" w:cstheme="minorHAnsi"/>
        </w:rPr>
        <w:t xml:space="preserve">will </w:t>
      </w:r>
      <w:r w:rsidRPr="009332D2">
        <w:rPr>
          <w:rFonts w:asciiTheme="minorHAnsi" w:hAnsiTheme="minorHAnsi" w:cstheme="minorHAnsi"/>
        </w:rPr>
        <w:t xml:space="preserve">provide input on project methods, interventions, and instruments </w:t>
      </w:r>
      <w:r w:rsidR="00E311A1">
        <w:rPr>
          <w:rFonts w:asciiTheme="minorHAnsi" w:hAnsiTheme="minorHAnsi" w:cstheme="minorHAnsi"/>
        </w:rPr>
        <w:t xml:space="preserve">will </w:t>
      </w:r>
      <w:r w:rsidRPr="009332D2">
        <w:rPr>
          <w:rFonts w:asciiTheme="minorHAnsi" w:hAnsiTheme="minorHAnsi" w:cstheme="minorHAnsi"/>
        </w:rPr>
        <w:t xml:space="preserve">assure success in </w:t>
      </w:r>
      <w:r w:rsidR="006E76A1">
        <w:rPr>
          <w:rFonts w:asciiTheme="minorHAnsi" w:hAnsiTheme="minorHAnsi" w:cstheme="minorHAnsi"/>
        </w:rPr>
        <w:t>future information system development</w:t>
      </w:r>
      <w:r w:rsidRPr="009332D2">
        <w:rPr>
          <w:rFonts w:asciiTheme="minorHAnsi" w:hAnsiTheme="minorHAnsi" w:cstheme="minorHAnsi"/>
        </w:rPr>
        <w:t>. The combined methods are especially relevant for projects</w:t>
      </w:r>
      <w:r w:rsidR="002067DE">
        <w:rPr>
          <w:rFonts w:asciiTheme="minorHAnsi" w:hAnsiTheme="minorHAnsi" w:cstheme="minorHAnsi"/>
        </w:rPr>
        <w:t xml:space="preserve"> like this one</w:t>
      </w:r>
      <w:r w:rsidRPr="009332D2">
        <w:rPr>
          <w:rFonts w:asciiTheme="minorHAnsi" w:hAnsiTheme="minorHAnsi" w:cstheme="minorHAnsi"/>
        </w:rPr>
        <w:t xml:space="preserve"> intending to reach vulnerable populations</w:t>
      </w:r>
      <w:r w:rsidR="00E311A1">
        <w:rPr>
          <w:rFonts w:asciiTheme="minorHAnsi" w:hAnsiTheme="minorHAnsi" w:cstheme="minorHAnsi"/>
        </w:rPr>
        <w:t>, such as rural end users</w:t>
      </w:r>
      <w:r w:rsidR="006E76A1">
        <w:rPr>
          <w:rFonts w:asciiTheme="minorHAnsi" w:hAnsiTheme="minorHAnsi" w:cstheme="minorHAnsi"/>
        </w:rPr>
        <w:t xml:space="preserve"> and small companies</w:t>
      </w:r>
      <w:r w:rsidR="00E311A1">
        <w:rPr>
          <w:rFonts w:asciiTheme="minorHAnsi" w:hAnsiTheme="minorHAnsi" w:cstheme="minorHAnsi"/>
        </w:rPr>
        <w:t>,</w:t>
      </w:r>
      <w:r w:rsidRPr="009332D2">
        <w:rPr>
          <w:rFonts w:asciiTheme="minorHAnsi" w:hAnsiTheme="minorHAnsi" w:cstheme="minorHAnsi"/>
        </w:rPr>
        <w:t xml:space="preserve"> </w:t>
      </w:r>
      <w:r w:rsidR="002067DE">
        <w:rPr>
          <w:rFonts w:asciiTheme="minorHAnsi" w:hAnsiTheme="minorHAnsi" w:cstheme="minorHAnsi"/>
        </w:rPr>
        <w:t>and</w:t>
      </w:r>
      <w:r w:rsidRPr="009332D2">
        <w:rPr>
          <w:rFonts w:asciiTheme="minorHAnsi" w:hAnsiTheme="minorHAnsi" w:cstheme="minorHAnsi"/>
        </w:rPr>
        <w:t xml:space="preserve"> explore novel areas </w:t>
      </w:r>
      <w:r w:rsidRPr="009332D2" w:rsidR="0015392C">
        <w:rPr>
          <w:rFonts w:asciiTheme="minorHAnsi" w:hAnsiTheme="minorHAnsi" w:cstheme="minorHAnsi"/>
        </w:rPr>
        <w:t>of</w:t>
      </w:r>
      <w:r w:rsidRPr="009332D2">
        <w:rPr>
          <w:rFonts w:asciiTheme="minorHAnsi" w:hAnsiTheme="minorHAnsi" w:cstheme="minorHAnsi"/>
        </w:rPr>
        <w:t xml:space="preserve"> research. </w:t>
      </w:r>
    </w:p>
    <w:p w:rsidR="00726F05" w:rsidRPr="009332D2" w:rsidP="000C0757" w14:paraId="45EE4704" w14:textId="1E507866">
      <w:pPr>
        <w:tabs>
          <w:tab w:val="left" w:pos="-1440"/>
        </w:tabs>
        <w:ind w:left="720" w:hanging="720"/>
        <w:rPr>
          <w:rFonts w:asciiTheme="minorHAnsi" w:hAnsiTheme="minorHAnsi" w:cstheme="minorHAnsi"/>
        </w:rPr>
      </w:pPr>
      <w:r>
        <w:rPr>
          <w:rFonts w:asciiTheme="minorHAnsi" w:hAnsiTheme="minorHAnsi" w:cstheme="minorHAnsi"/>
          <w:bCs/>
        </w:rPr>
        <w:t xml:space="preserve">General </w:t>
      </w:r>
      <w:r w:rsidRPr="009332D2" w:rsidR="005507F9">
        <w:rPr>
          <w:rFonts w:asciiTheme="minorHAnsi" w:hAnsiTheme="minorHAnsi" w:cstheme="minorHAnsi"/>
          <w:bCs/>
        </w:rPr>
        <w:t>Methodological Research</w:t>
      </w:r>
    </w:p>
    <w:p w:rsidR="00726F05" w:rsidRPr="009332D2" w:rsidP="000A3F47" w14:paraId="6E03742E" w14:textId="57714D19">
      <w:pPr>
        <w:ind w:firstLine="0"/>
        <w:rPr>
          <w:rFonts w:asciiTheme="minorHAnsi" w:hAnsiTheme="minorHAnsi" w:cstheme="minorHAnsi"/>
        </w:rPr>
      </w:pPr>
      <w:r w:rsidRPr="009332D2">
        <w:rPr>
          <w:rFonts w:asciiTheme="minorHAnsi" w:hAnsiTheme="minorHAnsi" w:cstheme="minorHAnsi"/>
        </w:rPr>
        <w:t>CDC</w:t>
      </w:r>
      <w:r w:rsidR="000C0757">
        <w:rPr>
          <w:rFonts w:asciiTheme="minorHAnsi" w:hAnsiTheme="minorHAnsi" w:cstheme="minorHAnsi"/>
        </w:rPr>
        <w:t xml:space="preserve"> and NIOSH</w:t>
      </w:r>
      <w:r w:rsidRPr="009332D2">
        <w:rPr>
          <w:rFonts w:asciiTheme="minorHAnsi" w:hAnsiTheme="minorHAnsi" w:cstheme="minorHAnsi"/>
        </w:rPr>
        <w:t xml:space="preserve"> regularly evaluate and refine surveillance and research methods, especially in response to advances in current methodologies or changes in the</w:t>
      </w:r>
      <w:r w:rsidR="002067DE">
        <w:rPr>
          <w:rFonts w:asciiTheme="minorHAnsi" w:hAnsiTheme="minorHAnsi" w:cstheme="minorHAnsi"/>
        </w:rPr>
        <w:t xml:space="preserve"> motor vehicle injury</w:t>
      </w:r>
      <w:r w:rsidRPr="009332D2">
        <w:rPr>
          <w:rFonts w:asciiTheme="minorHAnsi" w:hAnsiTheme="minorHAnsi" w:cstheme="minorHAnsi"/>
        </w:rPr>
        <w:t xml:space="preserve"> epidemic.  </w:t>
      </w:r>
      <w:r w:rsidRPr="009332D2">
        <w:rPr>
          <w:rFonts w:asciiTheme="minorHAnsi" w:hAnsiTheme="minorHAnsi" w:cstheme="minorHAnsi"/>
        </w:rPr>
        <w:t>In order to</w:t>
      </w:r>
      <w:r w:rsidRPr="009332D2">
        <w:rPr>
          <w:rFonts w:asciiTheme="minorHAnsi" w:hAnsiTheme="minorHAnsi" w:cstheme="minorHAnsi"/>
        </w:rPr>
        <w:t xml:space="preserve"> meet this need CDC</w:t>
      </w:r>
      <w:r w:rsidR="002067DE">
        <w:rPr>
          <w:rFonts w:asciiTheme="minorHAnsi" w:hAnsiTheme="minorHAnsi" w:cstheme="minorHAnsi"/>
        </w:rPr>
        <w:t>/NIOSH</w:t>
      </w:r>
      <w:r w:rsidRPr="009332D2">
        <w:rPr>
          <w:rFonts w:asciiTheme="minorHAnsi" w:hAnsiTheme="minorHAnsi" w:cstheme="minorHAnsi"/>
        </w:rPr>
        <w:t xml:space="preserve"> may conduct research on the development of new methods.</w:t>
      </w:r>
      <w:r w:rsidR="00677C8B">
        <w:rPr>
          <w:rFonts w:asciiTheme="minorHAnsi" w:hAnsiTheme="minorHAnsi" w:cstheme="minorHAnsi"/>
        </w:rPr>
        <w:t xml:space="preserve"> In addition to</w:t>
      </w:r>
      <w:r w:rsidR="00BB5E29">
        <w:rPr>
          <w:rFonts w:asciiTheme="minorHAnsi" w:hAnsiTheme="minorHAnsi" w:cstheme="minorHAnsi"/>
        </w:rPr>
        <w:t xml:space="preserve"> examining</w:t>
      </w:r>
      <w:r w:rsidR="00677C8B">
        <w:rPr>
          <w:rFonts w:asciiTheme="minorHAnsi" w:hAnsiTheme="minorHAnsi" w:cstheme="minorHAnsi"/>
        </w:rPr>
        <w:t xml:space="preserve"> </w:t>
      </w:r>
      <w:r w:rsidRPr="009332D2">
        <w:rPr>
          <w:rFonts w:asciiTheme="minorHAnsi" w:hAnsiTheme="minorHAnsi" w:cstheme="minorHAnsi"/>
        </w:rPr>
        <w:t xml:space="preserve">issues </w:t>
      </w:r>
      <w:r w:rsidR="00C70F36">
        <w:rPr>
          <w:rFonts w:asciiTheme="minorHAnsi" w:hAnsiTheme="minorHAnsi" w:cstheme="minorHAnsi"/>
        </w:rPr>
        <w:t>related to questionnaire design and administration</w:t>
      </w:r>
      <w:r w:rsidR="00F42DA4">
        <w:rPr>
          <w:rFonts w:asciiTheme="minorHAnsi" w:hAnsiTheme="minorHAnsi" w:cstheme="minorHAnsi"/>
        </w:rPr>
        <w:t>, it is increasingly important for CDC</w:t>
      </w:r>
      <w:r w:rsidR="003A7316">
        <w:rPr>
          <w:rFonts w:asciiTheme="minorHAnsi" w:hAnsiTheme="minorHAnsi" w:cstheme="minorHAnsi"/>
        </w:rPr>
        <w:t>/</w:t>
      </w:r>
      <w:r w:rsidR="00F42DA4">
        <w:rPr>
          <w:rFonts w:asciiTheme="minorHAnsi" w:hAnsiTheme="minorHAnsi" w:cstheme="minorHAnsi"/>
        </w:rPr>
        <w:t xml:space="preserve">NIOSH to evaluate the </w:t>
      </w:r>
      <w:r w:rsidR="006E75B8">
        <w:rPr>
          <w:rFonts w:asciiTheme="minorHAnsi" w:hAnsiTheme="minorHAnsi" w:cstheme="minorHAnsi"/>
        </w:rPr>
        <w:t>benefits and risks</w:t>
      </w:r>
      <w:r w:rsidR="00F42DA4">
        <w:rPr>
          <w:rFonts w:asciiTheme="minorHAnsi" w:hAnsiTheme="minorHAnsi" w:cstheme="minorHAnsi"/>
        </w:rPr>
        <w:t xml:space="preserve"> of novel data sources</w:t>
      </w:r>
      <w:r w:rsidR="00B36DB9">
        <w:rPr>
          <w:rFonts w:asciiTheme="minorHAnsi" w:hAnsiTheme="minorHAnsi" w:cstheme="minorHAnsi"/>
        </w:rPr>
        <w:t xml:space="preserve"> and methods</w:t>
      </w:r>
      <w:r w:rsidR="00F42DA4">
        <w:rPr>
          <w:rFonts w:asciiTheme="minorHAnsi" w:hAnsiTheme="minorHAnsi" w:cstheme="minorHAnsi"/>
        </w:rPr>
        <w:t xml:space="preserve"> for surveillance and research, as well as any </w:t>
      </w:r>
      <w:r w:rsidR="00B36DB9">
        <w:rPr>
          <w:rFonts w:asciiTheme="minorHAnsi" w:hAnsiTheme="minorHAnsi" w:cstheme="minorHAnsi"/>
        </w:rPr>
        <w:t xml:space="preserve">legal, </w:t>
      </w:r>
      <w:r w:rsidRPr="009332D2">
        <w:rPr>
          <w:rFonts w:asciiTheme="minorHAnsi" w:hAnsiTheme="minorHAnsi" w:cstheme="minorHAnsi"/>
        </w:rPr>
        <w:t>social, cultural</w:t>
      </w:r>
      <w:r w:rsidR="00F42DA4">
        <w:rPr>
          <w:rFonts w:asciiTheme="minorHAnsi" w:hAnsiTheme="minorHAnsi" w:cstheme="minorHAnsi"/>
        </w:rPr>
        <w:t>, technical,</w:t>
      </w:r>
      <w:r w:rsidRPr="009332D2">
        <w:rPr>
          <w:rFonts w:asciiTheme="minorHAnsi" w:hAnsiTheme="minorHAnsi" w:cstheme="minorHAnsi"/>
        </w:rPr>
        <w:t xml:space="preserve"> </w:t>
      </w:r>
      <w:r w:rsidR="00F42DA4">
        <w:rPr>
          <w:rFonts w:asciiTheme="minorHAnsi" w:hAnsiTheme="minorHAnsi" w:cstheme="minorHAnsi"/>
        </w:rPr>
        <w:t xml:space="preserve">or </w:t>
      </w:r>
      <w:r w:rsidRPr="009332D2">
        <w:rPr>
          <w:rFonts w:asciiTheme="minorHAnsi" w:hAnsiTheme="minorHAnsi" w:cstheme="minorHAnsi"/>
        </w:rPr>
        <w:t xml:space="preserve">linguistic factors </w:t>
      </w:r>
      <w:r w:rsidR="00F42DA4">
        <w:rPr>
          <w:rFonts w:asciiTheme="minorHAnsi" w:hAnsiTheme="minorHAnsi" w:cstheme="minorHAnsi"/>
        </w:rPr>
        <w:t xml:space="preserve">that </w:t>
      </w:r>
      <w:r w:rsidR="00007BDC">
        <w:rPr>
          <w:rFonts w:asciiTheme="minorHAnsi" w:hAnsiTheme="minorHAnsi" w:cstheme="minorHAnsi"/>
        </w:rPr>
        <w:t>relate to novel methods</w:t>
      </w:r>
      <w:r w:rsidRPr="009332D2">
        <w:rPr>
          <w:rFonts w:asciiTheme="minorHAnsi" w:hAnsiTheme="minorHAnsi" w:cstheme="minorHAnsi"/>
        </w:rPr>
        <w:t xml:space="preserve">.  </w:t>
      </w:r>
      <w:r w:rsidR="00BC1596">
        <w:rPr>
          <w:rFonts w:asciiTheme="minorHAnsi" w:hAnsiTheme="minorHAnsi" w:cstheme="minorHAnsi"/>
        </w:rPr>
        <w:t xml:space="preserve">Conducting formative research with OSH professionals </w:t>
      </w:r>
      <w:r w:rsidR="00EA6EB2">
        <w:rPr>
          <w:rFonts w:asciiTheme="minorHAnsi" w:hAnsiTheme="minorHAnsi" w:cstheme="minorHAnsi"/>
        </w:rPr>
        <w:t>who use</w:t>
      </w:r>
      <w:r w:rsidR="00BC1596">
        <w:rPr>
          <w:rFonts w:asciiTheme="minorHAnsi" w:hAnsiTheme="minorHAnsi" w:cstheme="minorHAnsi"/>
        </w:rPr>
        <w:t xml:space="preserve"> </w:t>
      </w:r>
      <w:r w:rsidR="005035C4">
        <w:rPr>
          <w:rFonts w:asciiTheme="minorHAnsi" w:hAnsiTheme="minorHAnsi" w:cstheme="minorHAnsi"/>
        </w:rPr>
        <w:t xml:space="preserve">novel </w:t>
      </w:r>
      <w:r w:rsidR="0090770C">
        <w:rPr>
          <w:rFonts w:asciiTheme="minorHAnsi" w:hAnsiTheme="minorHAnsi" w:cstheme="minorHAnsi"/>
        </w:rPr>
        <w:t>safety and health technologies</w:t>
      </w:r>
      <w:r w:rsidRPr="009332D2" w:rsidR="007977C4">
        <w:rPr>
          <w:rFonts w:asciiTheme="minorHAnsi" w:hAnsiTheme="minorHAnsi" w:cstheme="minorHAnsi"/>
        </w:rPr>
        <w:t xml:space="preserve"> </w:t>
      </w:r>
      <w:r w:rsidR="008723BC">
        <w:rPr>
          <w:rFonts w:asciiTheme="minorHAnsi" w:hAnsiTheme="minorHAnsi" w:cstheme="minorHAnsi"/>
        </w:rPr>
        <w:t>that generate</w:t>
      </w:r>
      <w:r w:rsidR="005035C4">
        <w:rPr>
          <w:rFonts w:asciiTheme="minorHAnsi" w:hAnsiTheme="minorHAnsi" w:cstheme="minorHAnsi"/>
        </w:rPr>
        <w:t xml:space="preserve"> data </w:t>
      </w:r>
      <w:r w:rsidR="00BC1596">
        <w:rPr>
          <w:rFonts w:asciiTheme="minorHAnsi" w:hAnsiTheme="minorHAnsi" w:cstheme="minorHAnsi"/>
        </w:rPr>
        <w:t xml:space="preserve">can </w:t>
      </w:r>
      <w:r w:rsidR="00EA6EB2">
        <w:rPr>
          <w:rFonts w:asciiTheme="minorHAnsi" w:hAnsiTheme="minorHAnsi" w:cstheme="minorHAnsi"/>
        </w:rPr>
        <w:t xml:space="preserve">help </w:t>
      </w:r>
      <w:r w:rsidRPr="009332D2">
        <w:rPr>
          <w:rFonts w:asciiTheme="minorHAnsi" w:hAnsiTheme="minorHAnsi" w:cstheme="minorHAnsi"/>
        </w:rPr>
        <w:t xml:space="preserve">examine how </w:t>
      </w:r>
      <w:r w:rsidR="00C80D0C">
        <w:rPr>
          <w:rFonts w:asciiTheme="minorHAnsi" w:hAnsiTheme="minorHAnsi" w:cstheme="minorHAnsi"/>
        </w:rPr>
        <w:t xml:space="preserve">the </w:t>
      </w:r>
      <w:r w:rsidR="00BB4B34">
        <w:rPr>
          <w:rFonts w:asciiTheme="minorHAnsi" w:hAnsiTheme="minorHAnsi" w:cstheme="minorHAnsi"/>
        </w:rPr>
        <w:t>data</w:t>
      </w:r>
      <w:r w:rsidR="00FE2B7B">
        <w:rPr>
          <w:rFonts w:asciiTheme="minorHAnsi" w:hAnsiTheme="minorHAnsi" w:cstheme="minorHAnsi"/>
        </w:rPr>
        <w:t xml:space="preserve"> are used and perceived by OSH professionals in practice</w:t>
      </w:r>
      <w:r w:rsidR="00BF0365">
        <w:rPr>
          <w:rFonts w:asciiTheme="minorHAnsi" w:hAnsiTheme="minorHAnsi" w:cstheme="minorHAnsi"/>
        </w:rPr>
        <w:t xml:space="preserve">, and how </w:t>
      </w:r>
      <w:r w:rsidR="00C80D0C">
        <w:rPr>
          <w:rFonts w:asciiTheme="minorHAnsi" w:hAnsiTheme="minorHAnsi" w:cstheme="minorHAnsi"/>
        </w:rPr>
        <w:t>professionals’</w:t>
      </w:r>
      <w:r w:rsidR="00BF0365">
        <w:rPr>
          <w:rFonts w:asciiTheme="minorHAnsi" w:hAnsiTheme="minorHAnsi" w:cstheme="minorHAnsi"/>
        </w:rPr>
        <w:t xml:space="preserve"> </w:t>
      </w:r>
      <w:r w:rsidR="0038266C">
        <w:rPr>
          <w:rFonts w:asciiTheme="minorHAnsi" w:hAnsiTheme="minorHAnsi" w:cstheme="minorHAnsi"/>
        </w:rPr>
        <w:t>behaviors and attitudes</w:t>
      </w:r>
      <w:r w:rsidR="00BF0365">
        <w:rPr>
          <w:rFonts w:asciiTheme="minorHAnsi" w:hAnsiTheme="minorHAnsi" w:cstheme="minorHAnsi"/>
        </w:rPr>
        <w:t xml:space="preserve"> relate </w:t>
      </w:r>
      <w:r w:rsidR="00980EAB">
        <w:rPr>
          <w:rFonts w:asciiTheme="minorHAnsi" w:hAnsiTheme="minorHAnsi" w:cstheme="minorHAnsi"/>
        </w:rPr>
        <w:t xml:space="preserve">to </w:t>
      </w:r>
      <w:r w:rsidR="006B2F3C">
        <w:rPr>
          <w:rFonts w:asciiTheme="minorHAnsi" w:hAnsiTheme="minorHAnsi" w:cstheme="minorHAnsi"/>
        </w:rPr>
        <w:t xml:space="preserve">potential </w:t>
      </w:r>
      <w:r w:rsidR="00980EAB">
        <w:rPr>
          <w:rFonts w:asciiTheme="minorHAnsi" w:hAnsiTheme="minorHAnsi" w:cstheme="minorHAnsi"/>
        </w:rPr>
        <w:t>secondary uses of the data that are generated</w:t>
      </w:r>
      <w:r w:rsidRPr="009332D2">
        <w:rPr>
          <w:rFonts w:asciiTheme="minorHAnsi" w:hAnsiTheme="minorHAnsi" w:cstheme="minorHAnsi"/>
        </w:rPr>
        <w:t xml:space="preserve">.  </w:t>
      </w:r>
      <w:r w:rsidR="00BF0365">
        <w:rPr>
          <w:rFonts w:asciiTheme="minorHAnsi" w:hAnsiTheme="minorHAnsi" w:cstheme="minorHAnsi"/>
        </w:rPr>
        <w:t>Users</w:t>
      </w:r>
      <w:r w:rsidRPr="009332D2">
        <w:rPr>
          <w:rFonts w:asciiTheme="minorHAnsi" w:hAnsiTheme="minorHAnsi" w:cstheme="minorHAnsi"/>
        </w:rPr>
        <w:t xml:space="preserve"> of </w:t>
      </w:r>
      <w:r w:rsidR="00B82A97">
        <w:rPr>
          <w:rFonts w:asciiTheme="minorHAnsi" w:hAnsiTheme="minorHAnsi" w:cstheme="minorHAnsi"/>
        </w:rPr>
        <w:t xml:space="preserve">safety and health technologies </w:t>
      </w:r>
      <w:r w:rsidRPr="009332D2">
        <w:rPr>
          <w:rFonts w:asciiTheme="minorHAnsi" w:hAnsiTheme="minorHAnsi" w:cstheme="minorHAnsi"/>
        </w:rPr>
        <w:t xml:space="preserve">make numerous </w:t>
      </w:r>
      <w:r w:rsidR="00B82A97">
        <w:rPr>
          <w:rFonts w:asciiTheme="minorHAnsi" w:hAnsiTheme="minorHAnsi" w:cstheme="minorHAnsi"/>
        </w:rPr>
        <w:t>implementation</w:t>
      </w:r>
      <w:r w:rsidRPr="009332D2">
        <w:rPr>
          <w:rFonts w:asciiTheme="minorHAnsi" w:hAnsiTheme="minorHAnsi" w:cstheme="minorHAnsi"/>
        </w:rPr>
        <w:t xml:space="preserve"> decisions</w:t>
      </w:r>
      <w:r w:rsidR="00980EAB">
        <w:rPr>
          <w:rFonts w:asciiTheme="minorHAnsi" w:hAnsiTheme="minorHAnsi" w:cstheme="minorHAnsi"/>
        </w:rPr>
        <w:t xml:space="preserve"> that could impact the effectiveness of the technologies</w:t>
      </w:r>
      <w:r w:rsidR="00402D1C">
        <w:rPr>
          <w:rFonts w:asciiTheme="minorHAnsi" w:hAnsiTheme="minorHAnsi" w:cstheme="minorHAnsi"/>
        </w:rPr>
        <w:t xml:space="preserve"> for safety, as well as </w:t>
      </w:r>
      <w:r w:rsidR="00EA6EB2">
        <w:rPr>
          <w:rFonts w:asciiTheme="minorHAnsi" w:hAnsiTheme="minorHAnsi" w:cstheme="minorHAnsi"/>
        </w:rPr>
        <w:t xml:space="preserve">interpretation of </w:t>
      </w:r>
      <w:r w:rsidR="00DA251B">
        <w:rPr>
          <w:rFonts w:asciiTheme="minorHAnsi" w:hAnsiTheme="minorHAnsi" w:cstheme="minorHAnsi"/>
        </w:rPr>
        <w:t>data</w:t>
      </w:r>
      <w:r w:rsidR="00B82A97">
        <w:rPr>
          <w:rFonts w:asciiTheme="minorHAnsi" w:hAnsiTheme="minorHAnsi" w:cstheme="minorHAnsi"/>
        </w:rPr>
        <w:t xml:space="preserve">. For example, users of </w:t>
      </w:r>
      <w:r w:rsidR="007536A8">
        <w:rPr>
          <w:rFonts w:asciiTheme="minorHAnsi" w:hAnsiTheme="minorHAnsi" w:cstheme="minorHAnsi"/>
        </w:rPr>
        <w:t xml:space="preserve">IVMS </w:t>
      </w:r>
      <w:r w:rsidR="00AB0060">
        <w:rPr>
          <w:rFonts w:asciiTheme="minorHAnsi" w:hAnsiTheme="minorHAnsi" w:cstheme="minorHAnsi"/>
        </w:rPr>
        <w:t>decide</w:t>
      </w:r>
      <w:r w:rsidRPr="009332D2">
        <w:rPr>
          <w:rFonts w:asciiTheme="minorHAnsi" w:hAnsiTheme="minorHAnsi" w:cstheme="minorHAnsi"/>
        </w:rPr>
        <w:t xml:space="preserve"> </w:t>
      </w:r>
      <w:r w:rsidR="00AB0060">
        <w:rPr>
          <w:rFonts w:asciiTheme="minorHAnsi" w:hAnsiTheme="minorHAnsi" w:cstheme="minorHAnsi"/>
        </w:rPr>
        <w:t>threshold values for alerts to OSH professionals</w:t>
      </w:r>
      <w:r w:rsidR="00FE1040">
        <w:rPr>
          <w:rFonts w:asciiTheme="minorHAnsi" w:hAnsiTheme="minorHAnsi" w:cstheme="minorHAnsi"/>
        </w:rPr>
        <w:t xml:space="preserve"> (e.g., what constitutes a speeding event)</w:t>
      </w:r>
      <w:r w:rsidR="00AB0060">
        <w:rPr>
          <w:rFonts w:asciiTheme="minorHAnsi" w:hAnsiTheme="minorHAnsi" w:cstheme="minorHAnsi"/>
        </w:rPr>
        <w:t>;</w:t>
      </w:r>
      <w:r w:rsidRPr="009332D2">
        <w:rPr>
          <w:rFonts w:asciiTheme="minorHAnsi" w:hAnsiTheme="minorHAnsi" w:cstheme="minorHAnsi"/>
        </w:rPr>
        <w:t xml:space="preserve"> </w:t>
      </w:r>
      <w:r w:rsidR="005C5BF0">
        <w:rPr>
          <w:rFonts w:asciiTheme="minorHAnsi" w:hAnsiTheme="minorHAnsi" w:cstheme="minorHAnsi"/>
        </w:rPr>
        <w:t xml:space="preserve">which vehicles and which drivers </w:t>
      </w:r>
      <w:r w:rsidR="0057438D">
        <w:rPr>
          <w:rFonts w:asciiTheme="minorHAnsi" w:hAnsiTheme="minorHAnsi" w:cstheme="minorHAnsi"/>
        </w:rPr>
        <w:t>require</w:t>
      </w:r>
      <w:r w:rsidR="005C5BF0">
        <w:rPr>
          <w:rFonts w:asciiTheme="minorHAnsi" w:hAnsiTheme="minorHAnsi" w:cstheme="minorHAnsi"/>
        </w:rPr>
        <w:t xml:space="preserve"> IVMS</w:t>
      </w:r>
      <w:r w:rsidRPr="009332D2">
        <w:rPr>
          <w:rFonts w:asciiTheme="minorHAnsi" w:hAnsiTheme="minorHAnsi" w:cstheme="minorHAnsi"/>
        </w:rPr>
        <w:t xml:space="preserve">; </w:t>
      </w:r>
      <w:r w:rsidR="004709A4">
        <w:rPr>
          <w:rFonts w:asciiTheme="minorHAnsi" w:hAnsiTheme="minorHAnsi" w:cstheme="minorHAnsi"/>
        </w:rPr>
        <w:t>whether</w:t>
      </w:r>
      <w:r w:rsidR="0057438D">
        <w:rPr>
          <w:rFonts w:asciiTheme="minorHAnsi" w:hAnsiTheme="minorHAnsi" w:cstheme="minorHAnsi"/>
        </w:rPr>
        <w:t xml:space="preserve"> IVMS data </w:t>
      </w:r>
      <w:r w:rsidR="004709A4">
        <w:rPr>
          <w:rFonts w:asciiTheme="minorHAnsi" w:hAnsiTheme="minorHAnsi" w:cstheme="minorHAnsi"/>
        </w:rPr>
        <w:t>are used punitively or strictly for coaching purposes</w:t>
      </w:r>
      <w:r w:rsidRPr="009332D2">
        <w:rPr>
          <w:rFonts w:asciiTheme="minorHAnsi" w:hAnsiTheme="minorHAnsi" w:cstheme="minorHAnsi"/>
        </w:rPr>
        <w:t xml:space="preserve">; </w:t>
      </w:r>
      <w:r w:rsidR="0057438D">
        <w:rPr>
          <w:rFonts w:asciiTheme="minorHAnsi" w:hAnsiTheme="minorHAnsi" w:cstheme="minorHAnsi"/>
        </w:rPr>
        <w:t>who has access to PII within the IVMS platform</w:t>
      </w:r>
      <w:r w:rsidRPr="009332D2">
        <w:rPr>
          <w:rFonts w:asciiTheme="minorHAnsi" w:hAnsiTheme="minorHAnsi" w:cstheme="minorHAnsi"/>
        </w:rPr>
        <w:t xml:space="preserve">; and so on.  Research </w:t>
      </w:r>
      <w:r w:rsidR="00052212">
        <w:rPr>
          <w:rFonts w:asciiTheme="minorHAnsi" w:hAnsiTheme="minorHAnsi" w:cstheme="minorHAnsi"/>
        </w:rPr>
        <w:t xml:space="preserve">about </w:t>
      </w:r>
      <w:r w:rsidRPr="009332D2">
        <w:rPr>
          <w:rFonts w:asciiTheme="minorHAnsi" w:hAnsiTheme="minorHAnsi" w:cstheme="minorHAnsi"/>
        </w:rPr>
        <w:t>these decisions</w:t>
      </w:r>
      <w:r w:rsidR="00052212">
        <w:rPr>
          <w:rFonts w:asciiTheme="minorHAnsi" w:hAnsiTheme="minorHAnsi" w:cstheme="minorHAnsi"/>
        </w:rPr>
        <w:t xml:space="preserve"> is </w:t>
      </w:r>
      <w:r w:rsidR="002A6EA6">
        <w:rPr>
          <w:rFonts w:asciiTheme="minorHAnsi" w:hAnsiTheme="minorHAnsi" w:cstheme="minorHAnsi"/>
        </w:rPr>
        <w:t>underdeveloped</w:t>
      </w:r>
      <w:r w:rsidR="00052212">
        <w:rPr>
          <w:rFonts w:asciiTheme="minorHAnsi" w:hAnsiTheme="minorHAnsi" w:cstheme="minorHAnsi"/>
        </w:rPr>
        <w:t xml:space="preserve"> and</w:t>
      </w:r>
      <w:r w:rsidRPr="009332D2">
        <w:rPr>
          <w:rFonts w:asciiTheme="minorHAnsi" w:hAnsiTheme="minorHAnsi" w:cstheme="minorHAnsi"/>
        </w:rPr>
        <w:t xml:space="preserve"> </w:t>
      </w:r>
      <w:r w:rsidR="00156468">
        <w:rPr>
          <w:rFonts w:asciiTheme="minorHAnsi" w:hAnsiTheme="minorHAnsi" w:cstheme="minorHAnsi"/>
        </w:rPr>
        <w:t>could</w:t>
      </w:r>
      <w:r w:rsidRPr="009332D2">
        <w:rPr>
          <w:rFonts w:asciiTheme="minorHAnsi" w:hAnsiTheme="minorHAnsi" w:cstheme="minorHAnsi"/>
        </w:rPr>
        <w:t xml:space="preserve"> have a significant effect on </w:t>
      </w:r>
      <w:r w:rsidR="001C3648">
        <w:rPr>
          <w:rFonts w:asciiTheme="minorHAnsi" w:hAnsiTheme="minorHAnsi" w:cstheme="minorHAnsi"/>
        </w:rPr>
        <w:t xml:space="preserve">CDC/NIOSH’s ability to use these novel </w:t>
      </w:r>
      <w:r w:rsidR="00156468">
        <w:rPr>
          <w:rFonts w:asciiTheme="minorHAnsi" w:hAnsiTheme="minorHAnsi" w:cstheme="minorHAnsi"/>
        </w:rPr>
        <w:t xml:space="preserve">technologies </w:t>
      </w:r>
      <w:r w:rsidR="001C3648">
        <w:rPr>
          <w:rFonts w:asciiTheme="minorHAnsi" w:hAnsiTheme="minorHAnsi" w:cstheme="minorHAnsi"/>
        </w:rPr>
        <w:t xml:space="preserve">for </w:t>
      </w:r>
      <w:r w:rsidR="0038266C">
        <w:rPr>
          <w:rFonts w:asciiTheme="minorHAnsi" w:hAnsiTheme="minorHAnsi" w:cstheme="minorHAnsi"/>
        </w:rPr>
        <w:t>research and surveillance in the future</w:t>
      </w:r>
      <w:r w:rsidRPr="009332D2">
        <w:rPr>
          <w:rFonts w:asciiTheme="minorHAnsi" w:hAnsiTheme="minorHAnsi" w:cstheme="minorHAnsi"/>
        </w:rPr>
        <w:t>.</w:t>
      </w:r>
    </w:p>
    <w:p w:rsidR="00726F05" w:rsidRPr="009332D2" w:rsidP="000A3F47" w14:paraId="5C236734" w14:textId="5775B0FF">
      <w:pPr>
        <w:ind w:firstLine="0"/>
        <w:rPr>
          <w:rFonts w:asciiTheme="minorHAnsi" w:hAnsiTheme="minorHAnsi" w:cstheme="minorHAnsi"/>
        </w:rPr>
      </w:pPr>
      <w:r w:rsidRPr="009332D2">
        <w:rPr>
          <w:rFonts w:asciiTheme="minorHAnsi" w:hAnsiTheme="minorHAnsi" w:cstheme="minorHAnsi"/>
        </w:rPr>
        <w:t>Field testing</w:t>
      </w:r>
      <w:r w:rsidR="00B92C33">
        <w:rPr>
          <w:rFonts w:asciiTheme="minorHAnsi" w:hAnsiTheme="minorHAnsi" w:cstheme="minorHAnsi"/>
        </w:rPr>
        <w:t>, also referred to as pilot testing,</w:t>
      </w:r>
      <w:r w:rsidRPr="009332D2">
        <w:rPr>
          <w:rFonts w:asciiTheme="minorHAnsi" w:hAnsiTheme="minorHAnsi" w:cstheme="minorHAnsi"/>
        </w:rPr>
        <w:t xml:space="preserve"> of </w:t>
      </w:r>
      <w:r w:rsidRPr="009332D2" w:rsidR="0090145A">
        <w:rPr>
          <w:rFonts w:asciiTheme="minorHAnsi" w:hAnsiTheme="minorHAnsi" w:cstheme="minorHAnsi"/>
        </w:rPr>
        <w:t xml:space="preserve">new </w:t>
      </w:r>
      <w:r w:rsidRPr="009332D2">
        <w:rPr>
          <w:rFonts w:asciiTheme="minorHAnsi" w:hAnsiTheme="minorHAnsi" w:cstheme="minorHAnsi"/>
        </w:rPr>
        <w:t>materials</w:t>
      </w:r>
      <w:r w:rsidRPr="009332D2" w:rsidR="0059004E">
        <w:rPr>
          <w:rFonts w:asciiTheme="minorHAnsi" w:hAnsiTheme="minorHAnsi" w:cstheme="minorHAnsi"/>
        </w:rPr>
        <w:t xml:space="preserve"> </w:t>
      </w:r>
      <w:r w:rsidR="00F46EF1">
        <w:rPr>
          <w:rFonts w:asciiTheme="minorHAnsi" w:hAnsiTheme="minorHAnsi" w:cstheme="minorHAnsi"/>
        </w:rPr>
        <w:t>may</w:t>
      </w:r>
      <w:r w:rsidR="001F5B62">
        <w:rPr>
          <w:rFonts w:asciiTheme="minorHAnsi" w:hAnsiTheme="minorHAnsi" w:cstheme="minorHAnsi"/>
        </w:rPr>
        <w:t xml:space="preserve"> be</w:t>
      </w:r>
      <w:r w:rsidRPr="009332D2" w:rsidR="00BC18BB">
        <w:rPr>
          <w:rFonts w:asciiTheme="minorHAnsi" w:hAnsiTheme="minorHAnsi" w:cstheme="minorHAnsi"/>
        </w:rPr>
        <w:t xml:space="preserve"> used </w:t>
      </w:r>
      <w:r w:rsidRPr="009332D2">
        <w:rPr>
          <w:rFonts w:asciiTheme="minorHAnsi" w:hAnsiTheme="minorHAnsi" w:cstheme="minorHAnsi"/>
        </w:rPr>
        <w:t xml:space="preserve">to </w:t>
      </w:r>
      <w:r w:rsidR="00594B07">
        <w:rPr>
          <w:rFonts w:asciiTheme="minorHAnsi" w:hAnsiTheme="minorHAnsi" w:cstheme="minorHAnsi"/>
        </w:rPr>
        <w:t>evaluate</w:t>
      </w:r>
      <w:r w:rsidRPr="009332D2" w:rsidR="005B56EE">
        <w:rPr>
          <w:rFonts w:asciiTheme="minorHAnsi" w:hAnsiTheme="minorHAnsi" w:cstheme="minorHAnsi"/>
        </w:rPr>
        <w:t xml:space="preserve"> </w:t>
      </w:r>
      <w:r w:rsidRPr="009332D2">
        <w:rPr>
          <w:rFonts w:asciiTheme="minorHAnsi" w:hAnsiTheme="minorHAnsi" w:cstheme="minorHAnsi"/>
        </w:rPr>
        <w:t>data collection instruments</w:t>
      </w:r>
      <w:r w:rsidR="00726E07">
        <w:rPr>
          <w:rFonts w:asciiTheme="minorHAnsi" w:hAnsiTheme="minorHAnsi" w:cstheme="minorHAnsi"/>
        </w:rPr>
        <w:t xml:space="preserve"> </w:t>
      </w:r>
      <w:r w:rsidR="000A3F47">
        <w:rPr>
          <w:rFonts w:asciiTheme="minorHAnsi" w:hAnsiTheme="minorHAnsi" w:cstheme="minorHAnsi"/>
        </w:rPr>
        <w:t xml:space="preserve">for use in future efforts before significant investments in novel surveillance systems are developed. </w:t>
      </w:r>
      <w:r w:rsidRPr="009332D2" w:rsidR="000A3F47">
        <w:rPr>
          <w:rFonts w:asciiTheme="minorHAnsi" w:hAnsiTheme="minorHAnsi" w:cstheme="minorHAnsi"/>
        </w:rPr>
        <w:t xml:space="preserve">The results of </w:t>
      </w:r>
      <w:r w:rsidR="000A3F47">
        <w:rPr>
          <w:rFonts w:asciiTheme="minorHAnsi" w:hAnsiTheme="minorHAnsi" w:cstheme="minorHAnsi"/>
        </w:rPr>
        <w:t>this formative research</w:t>
      </w:r>
      <w:r w:rsidRPr="009332D2" w:rsidR="000A3F47">
        <w:rPr>
          <w:rFonts w:asciiTheme="minorHAnsi" w:hAnsiTheme="minorHAnsi" w:cstheme="minorHAnsi"/>
        </w:rPr>
        <w:t xml:space="preserve"> will be applied to </w:t>
      </w:r>
      <w:r w:rsidR="000A3F47">
        <w:rPr>
          <w:rFonts w:asciiTheme="minorHAnsi" w:hAnsiTheme="minorHAnsi" w:cstheme="minorHAnsi"/>
        </w:rPr>
        <w:t>future proposals and decisions how to use novel data sources for public health goals.</w:t>
      </w:r>
      <w:r w:rsidR="00F46EF1">
        <w:rPr>
          <w:rFonts w:asciiTheme="minorHAnsi" w:hAnsiTheme="minorHAnsi" w:cstheme="minorHAnsi"/>
        </w:rPr>
        <w:t xml:space="preserve"> </w:t>
      </w:r>
      <w:r w:rsidRPr="009332D2" w:rsidR="00E877A3">
        <w:rPr>
          <w:rFonts w:asciiTheme="minorHAnsi" w:hAnsiTheme="minorHAnsi" w:cstheme="minorHAnsi"/>
        </w:rPr>
        <w:t xml:space="preserve">The objective of </w:t>
      </w:r>
      <w:r w:rsidR="00F46EF1">
        <w:rPr>
          <w:rFonts w:asciiTheme="minorHAnsi" w:hAnsiTheme="minorHAnsi" w:cstheme="minorHAnsi"/>
        </w:rPr>
        <w:t xml:space="preserve">the </w:t>
      </w:r>
      <w:r w:rsidRPr="009332D2" w:rsidR="00E877A3">
        <w:rPr>
          <w:rFonts w:asciiTheme="minorHAnsi" w:hAnsiTheme="minorHAnsi" w:cstheme="minorHAnsi"/>
        </w:rPr>
        <w:t xml:space="preserve">pilot </w:t>
      </w:r>
      <w:r w:rsidR="00726E07">
        <w:rPr>
          <w:rFonts w:asciiTheme="minorHAnsi" w:hAnsiTheme="minorHAnsi" w:cstheme="minorHAnsi"/>
        </w:rPr>
        <w:t>test</w:t>
      </w:r>
      <w:r w:rsidR="00F46EF1">
        <w:rPr>
          <w:rFonts w:asciiTheme="minorHAnsi" w:hAnsiTheme="minorHAnsi" w:cstheme="minorHAnsi"/>
        </w:rPr>
        <w:t xml:space="preserve"> will be </w:t>
      </w:r>
      <w:r w:rsidRPr="009332D2" w:rsidR="00E877A3">
        <w:rPr>
          <w:rFonts w:asciiTheme="minorHAnsi" w:hAnsiTheme="minorHAnsi" w:cstheme="minorHAnsi"/>
        </w:rPr>
        <w:t xml:space="preserve">to evaluate the feasibility of the ‘new’ strategies in </w:t>
      </w:r>
      <w:r w:rsidR="00F46EF1">
        <w:rPr>
          <w:rFonts w:asciiTheme="minorHAnsi" w:hAnsiTheme="minorHAnsi" w:cstheme="minorHAnsi"/>
        </w:rPr>
        <w:t>NIOSH</w:t>
      </w:r>
      <w:r w:rsidRPr="009332D2" w:rsidR="00E877A3">
        <w:rPr>
          <w:rFonts w:asciiTheme="minorHAnsi" w:hAnsiTheme="minorHAnsi" w:cstheme="minorHAnsi"/>
        </w:rPr>
        <w:t xml:space="preserve">-funded projects. </w:t>
      </w:r>
      <w:r w:rsidRPr="009332D2">
        <w:rPr>
          <w:rFonts w:asciiTheme="minorHAnsi" w:hAnsiTheme="minorHAnsi" w:cstheme="minorHAnsi"/>
        </w:rPr>
        <w:t xml:space="preserve">Information from pilot </w:t>
      </w:r>
      <w:r w:rsidRPr="009332D2" w:rsidR="005B56EE">
        <w:rPr>
          <w:rFonts w:asciiTheme="minorHAnsi" w:hAnsiTheme="minorHAnsi" w:cstheme="minorHAnsi"/>
        </w:rPr>
        <w:t xml:space="preserve">testing </w:t>
      </w:r>
      <w:r w:rsidRPr="009332D2">
        <w:rPr>
          <w:rFonts w:asciiTheme="minorHAnsi" w:hAnsiTheme="minorHAnsi" w:cstheme="minorHAnsi"/>
        </w:rPr>
        <w:t xml:space="preserve">can be used to improve the </w:t>
      </w:r>
      <w:r w:rsidRPr="009332D2" w:rsidR="00E877A3">
        <w:rPr>
          <w:rFonts w:asciiTheme="minorHAnsi" w:hAnsiTheme="minorHAnsi" w:cstheme="minorHAnsi"/>
        </w:rPr>
        <w:t xml:space="preserve">existing </w:t>
      </w:r>
      <w:r w:rsidRPr="009332D2">
        <w:rPr>
          <w:rFonts w:asciiTheme="minorHAnsi" w:hAnsiTheme="minorHAnsi" w:cstheme="minorHAnsi"/>
        </w:rPr>
        <w:t>instrument</w:t>
      </w:r>
      <w:r w:rsidRPr="009332D2" w:rsidR="00E877A3">
        <w:rPr>
          <w:rFonts w:asciiTheme="minorHAnsi" w:hAnsiTheme="minorHAnsi" w:cstheme="minorHAnsi"/>
        </w:rPr>
        <w:t>s</w:t>
      </w:r>
      <w:r w:rsidRPr="009332D2">
        <w:rPr>
          <w:rFonts w:asciiTheme="minorHAnsi" w:hAnsiTheme="minorHAnsi" w:cstheme="minorHAnsi"/>
        </w:rPr>
        <w:t xml:space="preserve">, interviewer training materials, or </w:t>
      </w:r>
      <w:r w:rsidRPr="009332D2" w:rsidR="00291FB8">
        <w:rPr>
          <w:rFonts w:asciiTheme="minorHAnsi" w:hAnsiTheme="minorHAnsi" w:cstheme="minorHAnsi"/>
        </w:rPr>
        <w:t>methodologies that</w:t>
      </w:r>
      <w:r w:rsidRPr="009332D2" w:rsidR="00E877A3">
        <w:rPr>
          <w:rFonts w:asciiTheme="minorHAnsi" w:hAnsiTheme="minorHAnsi" w:cstheme="minorHAnsi"/>
        </w:rPr>
        <w:t xml:space="preserve"> would reduce the public burden</w:t>
      </w:r>
      <w:r w:rsidRPr="009332D2" w:rsidR="00BA5D0A">
        <w:rPr>
          <w:rFonts w:asciiTheme="minorHAnsi" w:hAnsiTheme="minorHAnsi" w:cstheme="minorHAnsi"/>
        </w:rPr>
        <w:t>.</w:t>
      </w:r>
    </w:p>
    <w:p w:rsidR="00662F81" w:rsidRPr="009332D2" w:rsidP="00662F81" w14:paraId="5A74B574" w14:textId="77777777">
      <w:pPr>
        <w:tabs>
          <w:tab w:val="left" w:pos="-1440"/>
        </w:tabs>
        <w:rPr>
          <w:rFonts w:asciiTheme="minorHAnsi" w:hAnsiTheme="minorHAnsi" w:cstheme="minorHAnsi"/>
        </w:rPr>
      </w:pPr>
      <w:r w:rsidRPr="009332D2">
        <w:rPr>
          <w:rFonts w:asciiTheme="minorHAnsi" w:hAnsiTheme="minorHAnsi" w:cstheme="minorHAnsi"/>
          <w:b/>
          <w:bCs/>
        </w:rPr>
        <w:t>3.</w:t>
      </w:r>
      <w:r w:rsidRPr="009332D2">
        <w:rPr>
          <w:rFonts w:asciiTheme="minorHAnsi" w:hAnsiTheme="minorHAnsi" w:cstheme="minorHAnsi"/>
          <w:b/>
          <w:bCs/>
        </w:rPr>
        <w:tab/>
        <w:t>Use of Improved Information Technology and Burden Reduction</w:t>
      </w:r>
    </w:p>
    <w:p w:rsidR="00662F81" w:rsidP="00291FB8" w14:paraId="4A61F6C3" w14:textId="7B138EEB">
      <w:pPr>
        <w:ind w:left="0" w:firstLine="0"/>
        <w:rPr>
          <w:rFonts w:asciiTheme="minorHAnsi" w:hAnsiTheme="minorHAnsi" w:cstheme="minorHAnsi"/>
        </w:rPr>
      </w:pPr>
      <w:r>
        <w:rPr>
          <w:rFonts w:asciiTheme="minorHAnsi" w:hAnsiTheme="minorHAnsi" w:cstheme="minorHAnsi"/>
        </w:rPr>
        <w:t xml:space="preserve">This project </w:t>
      </w:r>
      <w:r w:rsidRPr="009332D2" w:rsidR="005507F9">
        <w:rPr>
          <w:rFonts w:asciiTheme="minorHAnsi" w:hAnsiTheme="minorHAnsi" w:cstheme="minorHAnsi"/>
        </w:rPr>
        <w:t xml:space="preserve">requires direct interaction between </w:t>
      </w:r>
      <w:r w:rsidRPr="009332D2" w:rsidR="00B8394D">
        <w:rPr>
          <w:rFonts w:asciiTheme="minorHAnsi" w:hAnsiTheme="minorHAnsi" w:cstheme="minorHAnsi"/>
        </w:rPr>
        <w:t>respondent</w:t>
      </w:r>
      <w:r w:rsidRPr="009332D2" w:rsidR="005507F9">
        <w:rPr>
          <w:rFonts w:asciiTheme="minorHAnsi" w:hAnsiTheme="minorHAnsi" w:cstheme="minorHAnsi"/>
        </w:rPr>
        <w:t>s and project staff, especially in the case of qualitative interviewing.</w:t>
      </w:r>
      <w:r w:rsidRPr="009332D2" w:rsidR="00286A5A">
        <w:rPr>
          <w:rFonts w:asciiTheme="minorHAnsi" w:hAnsiTheme="minorHAnsi" w:cstheme="minorHAnsi"/>
        </w:rPr>
        <w:t xml:space="preserve"> </w:t>
      </w:r>
      <w:r w:rsidRPr="009332D2" w:rsidR="00F3076F">
        <w:rPr>
          <w:rFonts w:asciiTheme="minorHAnsi" w:hAnsiTheme="minorHAnsi" w:cstheme="minorHAnsi"/>
        </w:rPr>
        <w:t>I</w:t>
      </w:r>
      <w:r w:rsidR="002B3716">
        <w:rPr>
          <w:rFonts w:asciiTheme="minorHAnsi" w:hAnsiTheme="minorHAnsi" w:cstheme="minorHAnsi"/>
        </w:rPr>
        <w:t>nterviews</w:t>
      </w:r>
      <w:r w:rsidRPr="009332D2" w:rsidR="00F3076F">
        <w:rPr>
          <w:rFonts w:asciiTheme="minorHAnsi" w:hAnsiTheme="minorHAnsi" w:cstheme="minorHAnsi"/>
        </w:rPr>
        <w:t xml:space="preserve"> </w:t>
      </w:r>
      <w:r w:rsidR="002B3716">
        <w:rPr>
          <w:rFonts w:asciiTheme="minorHAnsi" w:hAnsiTheme="minorHAnsi" w:cstheme="minorHAnsi"/>
        </w:rPr>
        <w:t>will</w:t>
      </w:r>
      <w:r w:rsidRPr="009332D2" w:rsidR="00F3076F">
        <w:rPr>
          <w:rFonts w:asciiTheme="minorHAnsi" w:hAnsiTheme="minorHAnsi" w:cstheme="minorHAnsi"/>
        </w:rPr>
        <w:t xml:space="preserve"> be recorded to assist in the</w:t>
      </w:r>
      <w:r w:rsidR="007536A8">
        <w:rPr>
          <w:rFonts w:asciiTheme="minorHAnsi" w:hAnsiTheme="minorHAnsi" w:cstheme="minorHAnsi"/>
        </w:rPr>
        <w:t xml:space="preserve"> transcription,</w:t>
      </w:r>
      <w:r w:rsidRPr="009332D2" w:rsidR="00F3076F">
        <w:rPr>
          <w:rFonts w:asciiTheme="minorHAnsi" w:hAnsiTheme="minorHAnsi" w:cstheme="minorHAnsi"/>
        </w:rPr>
        <w:t xml:space="preserve"> review</w:t>
      </w:r>
      <w:r w:rsidR="007536A8">
        <w:rPr>
          <w:rFonts w:asciiTheme="minorHAnsi" w:hAnsiTheme="minorHAnsi" w:cstheme="minorHAnsi"/>
        </w:rPr>
        <w:t>,</w:t>
      </w:r>
      <w:r w:rsidRPr="009332D2" w:rsidR="00F3076F">
        <w:rPr>
          <w:rFonts w:asciiTheme="minorHAnsi" w:hAnsiTheme="minorHAnsi" w:cstheme="minorHAnsi"/>
        </w:rPr>
        <w:t xml:space="preserve"> and interpretation of findings. </w:t>
      </w:r>
      <w:r w:rsidR="000A3F47">
        <w:rPr>
          <w:rFonts w:asciiTheme="minorHAnsi" w:hAnsiTheme="minorHAnsi" w:cstheme="minorHAnsi"/>
        </w:rPr>
        <w:t>Improved information technology will be used wherever possible.</w:t>
      </w:r>
      <w:r w:rsidRPr="009332D2" w:rsidR="00F3076F">
        <w:rPr>
          <w:rFonts w:asciiTheme="minorHAnsi" w:hAnsiTheme="minorHAnsi" w:cstheme="minorHAnsi"/>
        </w:rPr>
        <w:t xml:space="preserve"> </w:t>
      </w:r>
    </w:p>
    <w:p w:rsidR="00662F81" w:rsidRPr="009332D2" w:rsidP="00B95A61" w14:paraId="2B446597" w14:textId="77777777">
      <w:pPr>
        <w:tabs>
          <w:tab w:val="left" w:pos="-1440"/>
        </w:tabs>
        <w:rPr>
          <w:rFonts w:asciiTheme="minorHAnsi" w:hAnsiTheme="minorHAnsi" w:cstheme="minorHAnsi"/>
        </w:rPr>
      </w:pPr>
      <w:r w:rsidRPr="009332D2">
        <w:rPr>
          <w:rFonts w:asciiTheme="minorHAnsi" w:hAnsiTheme="minorHAnsi" w:cstheme="minorHAnsi"/>
          <w:b/>
          <w:bCs/>
        </w:rPr>
        <w:t>4.</w:t>
      </w:r>
      <w:r w:rsidRPr="009332D2">
        <w:rPr>
          <w:rFonts w:asciiTheme="minorHAnsi" w:hAnsiTheme="minorHAnsi" w:cstheme="minorHAnsi"/>
          <w:b/>
          <w:bCs/>
        </w:rPr>
        <w:tab/>
        <w:t>Efforts to Identify Duplication and Use of Similar Information</w:t>
      </w:r>
    </w:p>
    <w:p w:rsidR="00B27EF4" w:rsidRPr="009332D2" w:rsidP="00291FB8" w14:paraId="79FA2805" w14:textId="1259CAA0">
      <w:pPr>
        <w:ind w:left="0" w:firstLine="0"/>
        <w:rPr>
          <w:rFonts w:asciiTheme="minorHAnsi" w:hAnsiTheme="minorHAnsi" w:cstheme="minorHAnsi"/>
        </w:rPr>
      </w:pPr>
      <w:r>
        <w:rPr>
          <w:rFonts w:asciiTheme="minorHAnsi" w:hAnsiTheme="minorHAnsi" w:cstheme="minorHAnsi"/>
        </w:rPr>
        <w:t xml:space="preserve">A literature review was conducted to identify </w:t>
      </w:r>
      <w:r w:rsidR="00B71F26">
        <w:rPr>
          <w:rFonts w:asciiTheme="minorHAnsi" w:hAnsiTheme="minorHAnsi" w:cstheme="minorHAnsi"/>
        </w:rPr>
        <w:t xml:space="preserve">whether regional surveillance of motor vehicle fatalities or injuries </w:t>
      </w:r>
      <w:r w:rsidR="0086211F">
        <w:rPr>
          <w:rFonts w:asciiTheme="minorHAnsi" w:hAnsiTheme="minorHAnsi" w:cstheme="minorHAnsi"/>
        </w:rPr>
        <w:t xml:space="preserve">among oil and gas workers yielded one result – authored by colleagues at NIOSH. Initial outreach and relationship building in the </w:t>
      </w:r>
      <w:r w:rsidR="00B90CD2">
        <w:rPr>
          <w:rFonts w:asciiTheme="minorHAnsi" w:hAnsiTheme="minorHAnsi" w:cstheme="minorHAnsi"/>
        </w:rPr>
        <w:t xml:space="preserve">Permian Basin has identified two relevant activities. Texas A&amp;M University’s Transportation Institute </w:t>
      </w:r>
      <w:r w:rsidR="00714103">
        <w:rPr>
          <w:rFonts w:asciiTheme="minorHAnsi" w:hAnsiTheme="minorHAnsi" w:cstheme="minorHAnsi"/>
        </w:rPr>
        <w:t xml:space="preserve">conducted a study in partnership with the Permian Road Safety Coalition (PRSC) to </w:t>
      </w:r>
      <w:r w:rsidR="00F50C5B">
        <w:rPr>
          <w:rFonts w:asciiTheme="minorHAnsi" w:hAnsiTheme="minorHAnsi" w:cstheme="minorHAnsi"/>
        </w:rPr>
        <w:t>characterize</w:t>
      </w:r>
      <w:r w:rsidR="00714103">
        <w:rPr>
          <w:rFonts w:asciiTheme="minorHAnsi" w:hAnsiTheme="minorHAnsi" w:cstheme="minorHAnsi"/>
        </w:rPr>
        <w:t xml:space="preserve"> motor vehicle crash patterns in the </w:t>
      </w:r>
      <w:r w:rsidR="00714103">
        <w:rPr>
          <w:rFonts w:asciiTheme="minorHAnsi" w:hAnsiTheme="minorHAnsi" w:cstheme="minorHAnsi"/>
        </w:rPr>
        <w:t xml:space="preserve">Permian Basin. </w:t>
      </w:r>
      <w:r w:rsidR="00F50C5B">
        <w:rPr>
          <w:rFonts w:asciiTheme="minorHAnsi" w:hAnsiTheme="minorHAnsi" w:cstheme="minorHAnsi"/>
        </w:rPr>
        <w:t xml:space="preserve">However, this study was a single point-in-time study and there are no current plans to duplicate. </w:t>
      </w:r>
      <w:r w:rsidR="00787740">
        <w:rPr>
          <w:rFonts w:asciiTheme="minorHAnsi" w:hAnsiTheme="minorHAnsi" w:cstheme="minorHAnsi"/>
        </w:rPr>
        <w:t xml:space="preserve">The PRSC would also periodically share </w:t>
      </w:r>
      <w:r w:rsidR="002765CD">
        <w:rPr>
          <w:rFonts w:asciiTheme="minorHAnsi" w:hAnsiTheme="minorHAnsi" w:cstheme="minorHAnsi"/>
        </w:rPr>
        <w:t xml:space="preserve">with its members </w:t>
      </w:r>
      <w:r w:rsidR="00787740">
        <w:rPr>
          <w:rFonts w:asciiTheme="minorHAnsi" w:hAnsiTheme="minorHAnsi" w:cstheme="minorHAnsi"/>
        </w:rPr>
        <w:t xml:space="preserve">the number of motor vehicle crash deaths in Permian Basin counties, using a state database of crashes. </w:t>
      </w:r>
      <w:r w:rsidR="002765CD">
        <w:rPr>
          <w:rFonts w:asciiTheme="minorHAnsi" w:hAnsiTheme="minorHAnsi" w:cstheme="minorHAnsi"/>
        </w:rPr>
        <w:t xml:space="preserve">The counts shared by PRSC did not include crash characteristics and the state database they have used does not systematically capture information on the work-relatedness of the crashes, or the crashes’ connections to oil and gas activity. The proposed system will be informed by these earlier </w:t>
      </w:r>
      <w:r w:rsidR="002765CD">
        <w:rPr>
          <w:rFonts w:asciiTheme="minorHAnsi" w:hAnsiTheme="minorHAnsi" w:cstheme="minorHAnsi"/>
        </w:rPr>
        <w:t xml:space="preserve">efforts, </w:t>
      </w:r>
      <w:r w:rsidR="004F7219">
        <w:rPr>
          <w:rFonts w:asciiTheme="minorHAnsi" w:hAnsiTheme="minorHAnsi" w:cstheme="minorHAnsi"/>
        </w:rPr>
        <w:t>but</w:t>
      </w:r>
      <w:r w:rsidR="004F7219">
        <w:rPr>
          <w:rFonts w:asciiTheme="minorHAnsi" w:hAnsiTheme="minorHAnsi" w:cstheme="minorHAnsi"/>
        </w:rPr>
        <w:t xml:space="preserve"> will not be duplicative. Representatives of PRSC and Texas A&amp;M University are partners on this project</w:t>
      </w:r>
      <w:r w:rsidRPr="009332D2" w:rsidR="00C31405">
        <w:rPr>
          <w:rFonts w:asciiTheme="minorHAnsi" w:hAnsiTheme="minorHAnsi" w:cstheme="minorHAnsi"/>
        </w:rPr>
        <w:t xml:space="preserve">. </w:t>
      </w:r>
    </w:p>
    <w:p w:rsidR="00662F81" w:rsidRPr="009332D2" w:rsidP="00B95A61" w14:paraId="0CDE43AD" w14:textId="77777777">
      <w:pPr>
        <w:tabs>
          <w:tab w:val="left" w:pos="-1440"/>
        </w:tabs>
        <w:rPr>
          <w:rFonts w:asciiTheme="minorHAnsi" w:hAnsiTheme="minorHAnsi" w:cstheme="minorHAnsi"/>
        </w:rPr>
      </w:pPr>
      <w:r w:rsidRPr="009332D2">
        <w:rPr>
          <w:rFonts w:asciiTheme="minorHAnsi" w:hAnsiTheme="minorHAnsi" w:cstheme="minorHAnsi"/>
          <w:b/>
          <w:bCs/>
        </w:rPr>
        <w:t>5.</w:t>
      </w:r>
      <w:r w:rsidRPr="009332D2">
        <w:rPr>
          <w:rFonts w:asciiTheme="minorHAnsi" w:hAnsiTheme="minorHAnsi" w:cstheme="minorHAnsi"/>
          <w:b/>
          <w:bCs/>
        </w:rPr>
        <w:tab/>
        <w:t xml:space="preserve">Impact on Small Businesses </w:t>
      </w:r>
      <w:r w:rsidRPr="009332D2" w:rsidR="006C442F">
        <w:rPr>
          <w:rFonts w:asciiTheme="minorHAnsi" w:hAnsiTheme="minorHAnsi" w:cstheme="minorHAnsi"/>
          <w:b/>
          <w:bCs/>
        </w:rPr>
        <w:t xml:space="preserve">or </w:t>
      </w:r>
      <w:r w:rsidRPr="009332D2">
        <w:rPr>
          <w:rFonts w:asciiTheme="minorHAnsi" w:hAnsiTheme="minorHAnsi" w:cstheme="minorHAnsi"/>
          <w:b/>
          <w:bCs/>
        </w:rPr>
        <w:t>Other Small Entities</w:t>
      </w:r>
    </w:p>
    <w:p w:rsidR="000616B4" w:rsidP="000616B4" w14:paraId="45D70110" w14:textId="385EBE70">
      <w:pPr>
        <w:ind w:left="0" w:firstLine="0"/>
        <w:rPr>
          <w:rFonts w:asciiTheme="minorHAnsi" w:hAnsiTheme="minorHAnsi" w:cstheme="minorHAnsi"/>
        </w:rPr>
      </w:pPr>
      <w:r>
        <w:rPr>
          <w:rFonts w:asciiTheme="minorHAnsi" w:hAnsiTheme="minorHAnsi" w:cstheme="minorHAnsi"/>
        </w:rPr>
        <w:t>This</w:t>
      </w:r>
      <w:r w:rsidRPr="009332D2" w:rsidR="005507F9">
        <w:rPr>
          <w:rFonts w:asciiTheme="minorHAnsi" w:hAnsiTheme="minorHAnsi" w:cstheme="minorHAnsi"/>
        </w:rPr>
        <w:t xml:space="preserve"> surveillance research </w:t>
      </w:r>
      <w:r w:rsidR="00865AD6">
        <w:rPr>
          <w:rFonts w:asciiTheme="minorHAnsi" w:hAnsiTheme="minorHAnsi" w:cstheme="minorHAnsi"/>
        </w:rPr>
        <w:t>activity may</w:t>
      </w:r>
      <w:r w:rsidRPr="009332D2" w:rsidR="005507F9">
        <w:rPr>
          <w:rFonts w:asciiTheme="minorHAnsi" w:hAnsiTheme="minorHAnsi" w:cstheme="minorHAnsi"/>
        </w:rPr>
        <w:t xml:space="preserve"> involve data collection from small business</w:t>
      </w:r>
      <w:r w:rsidR="004F7219">
        <w:rPr>
          <w:rFonts w:asciiTheme="minorHAnsi" w:hAnsiTheme="minorHAnsi" w:cstheme="minorHAnsi"/>
        </w:rPr>
        <w:t>es</w:t>
      </w:r>
      <w:r w:rsidRPr="009332D2" w:rsidR="005507F9">
        <w:rPr>
          <w:rFonts w:asciiTheme="minorHAnsi" w:hAnsiTheme="minorHAnsi" w:cstheme="minorHAnsi"/>
        </w:rPr>
        <w:t xml:space="preserve"> (e.g. </w:t>
      </w:r>
      <w:r w:rsidR="002B6C0A">
        <w:rPr>
          <w:rFonts w:asciiTheme="minorHAnsi" w:hAnsiTheme="minorHAnsi" w:cstheme="minorHAnsi"/>
        </w:rPr>
        <w:t>small oil and gas companies</w:t>
      </w:r>
      <w:r w:rsidRPr="009332D2" w:rsidR="005507F9">
        <w:rPr>
          <w:rFonts w:asciiTheme="minorHAnsi" w:hAnsiTheme="minorHAnsi" w:cstheme="minorHAnsi"/>
        </w:rPr>
        <w:t>) or small governmental entities</w:t>
      </w:r>
      <w:r w:rsidR="00904136">
        <w:rPr>
          <w:rFonts w:asciiTheme="minorHAnsi" w:hAnsiTheme="minorHAnsi" w:cstheme="minorHAnsi"/>
        </w:rPr>
        <w:t xml:space="preserve"> (e.g., small rural health departments). Small businesses in the oil and gas extraction industry experience the highest rates of </w:t>
      </w:r>
      <w:r w:rsidR="00D27720">
        <w:rPr>
          <w:rFonts w:asciiTheme="minorHAnsi" w:hAnsiTheme="minorHAnsi" w:cstheme="minorHAnsi"/>
        </w:rPr>
        <w:t xml:space="preserve">motor vehicle fatalities and are therefore an important group to reach. </w:t>
      </w:r>
      <w:r w:rsidRPr="009332D2" w:rsidR="005507F9">
        <w:rPr>
          <w:rFonts w:asciiTheme="minorHAnsi" w:hAnsiTheme="minorHAnsi" w:cstheme="minorHAnsi"/>
        </w:rPr>
        <w:t xml:space="preserve">If </w:t>
      </w:r>
      <w:r w:rsidR="00D27720">
        <w:rPr>
          <w:rFonts w:asciiTheme="minorHAnsi" w:hAnsiTheme="minorHAnsi" w:cstheme="minorHAnsi"/>
        </w:rPr>
        <w:t>project staff do collect data with representatives of small businesses</w:t>
      </w:r>
      <w:r w:rsidRPr="009332D2" w:rsidR="005507F9">
        <w:rPr>
          <w:rFonts w:asciiTheme="minorHAnsi" w:hAnsiTheme="minorHAnsi" w:cstheme="minorHAnsi"/>
        </w:rPr>
        <w:t xml:space="preserve">, these businesses will be approached in the same manner as the individuals we normally </w:t>
      </w:r>
      <w:r w:rsidRPr="009332D2" w:rsidR="005507F9">
        <w:rPr>
          <w:rFonts w:asciiTheme="minorHAnsi" w:hAnsiTheme="minorHAnsi" w:cstheme="minorHAnsi"/>
        </w:rPr>
        <w:t>recruit</w:t>
      </w:r>
      <w:r w:rsidRPr="009332D2" w:rsidR="00B8394D">
        <w:rPr>
          <w:rFonts w:asciiTheme="minorHAnsi" w:hAnsiTheme="minorHAnsi" w:cstheme="minorHAnsi"/>
        </w:rPr>
        <w:t>:</w:t>
      </w:r>
      <w:r w:rsidRPr="009332D2" w:rsidR="005507F9">
        <w:rPr>
          <w:rFonts w:asciiTheme="minorHAnsi" w:hAnsiTheme="minorHAnsi" w:cstheme="minorHAnsi"/>
        </w:rPr>
        <w:t xml:space="preserve"> we will ask the organization to identify the appropriate staff members with whom to conduct the activities.</w:t>
      </w:r>
      <w:r w:rsidRPr="009332D2" w:rsidR="002E274D">
        <w:rPr>
          <w:rFonts w:asciiTheme="minorHAnsi" w:hAnsiTheme="minorHAnsi" w:cstheme="minorHAnsi"/>
        </w:rPr>
        <w:t xml:space="preserve"> </w:t>
      </w:r>
      <w:r w:rsidRPr="009332D2" w:rsidR="005507F9">
        <w:rPr>
          <w:rFonts w:asciiTheme="minorHAnsi" w:hAnsiTheme="minorHAnsi" w:cstheme="minorHAnsi"/>
        </w:rPr>
        <w:t xml:space="preserve">The methods used to minimize burden </w:t>
      </w:r>
      <w:r w:rsidRPr="009332D2" w:rsidR="000B3000">
        <w:rPr>
          <w:rFonts w:asciiTheme="minorHAnsi" w:hAnsiTheme="minorHAnsi" w:cstheme="minorHAnsi"/>
        </w:rPr>
        <w:t xml:space="preserve">on small businesses or other small entities </w:t>
      </w:r>
      <w:r w:rsidR="003016B1">
        <w:rPr>
          <w:rFonts w:asciiTheme="minorHAnsi" w:hAnsiTheme="minorHAnsi" w:cstheme="minorHAnsi"/>
        </w:rPr>
        <w:t>will include, but not be limited to:</w:t>
      </w:r>
    </w:p>
    <w:p w:rsidR="00A94911" w:rsidRPr="001C7B9C" w:rsidP="00F837AF" w14:paraId="3E6C4446" w14:textId="77777777">
      <w:pPr>
        <w:pStyle w:val="ListParagraph"/>
        <w:numPr>
          <w:ilvl w:val="0"/>
          <w:numId w:val="41"/>
        </w:numPr>
        <w:rPr>
          <w:rFonts w:asciiTheme="minorHAnsi" w:hAnsiTheme="minorHAnsi" w:cstheme="minorHAnsi"/>
        </w:rPr>
      </w:pPr>
      <w:r w:rsidRPr="001C7B9C">
        <w:rPr>
          <w:rFonts w:asciiTheme="minorHAnsi" w:hAnsiTheme="minorHAnsi" w:cstheme="minorHAnsi"/>
        </w:rPr>
        <w:t xml:space="preserve">We will rely on voluntary participation in project planning </w:t>
      </w:r>
      <w:r w:rsidRPr="001C7B9C">
        <w:rPr>
          <w:rFonts w:asciiTheme="minorHAnsi" w:hAnsiTheme="minorHAnsi" w:cstheme="minorHAnsi"/>
        </w:rPr>
        <w:t>and data collection. There will be no requirements or coercion for small businesses to participate and it will be made clear that even if initiated, project participation can cease at any time without retribution or consequences.</w:t>
      </w:r>
    </w:p>
    <w:p w:rsidR="00FA1275" w:rsidP="00F837AF" w14:paraId="4DB225E4" w14:textId="4656BF29">
      <w:pPr>
        <w:pStyle w:val="ListParagraph"/>
        <w:numPr>
          <w:ilvl w:val="0"/>
          <w:numId w:val="41"/>
        </w:numPr>
        <w:rPr>
          <w:rFonts w:asciiTheme="minorHAnsi" w:hAnsiTheme="minorHAnsi" w:cstheme="minorHAnsi"/>
        </w:rPr>
      </w:pPr>
      <w:r w:rsidRPr="001C7B9C">
        <w:rPr>
          <w:rFonts w:asciiTheme="minorHAnsi" w:hAnsiTheme="minorHAnsi" w:cstheme="minorHAnsi"/>
        </w:rPr>
        <w:t xml:space="preserve">We will recruit participants using existing meetings and </w:t>
      </w:r>
      <w:r w:rsidRPr="001C7B9C" w:rsidR="001C7B9C">
        <w:rPr>
          <w:rFonts w:asciiTheme="minorHAnsi" w:hAnsiTheme="minorHAnsi" w:cstheme="minorHAnsi"/>
        </w:rPr>
        <w:t xml:space="preserve">information channels (e.g., websites, listservs) to reduce the burden of recruitment to an absolute minimum. </w:t>
      </w:r>
    </w:p>
    <w:p w:rsidR="00E366D8" w:rsidRPr="00E366D8" w:rsidP="00E366D8" w14:paraId="3DB5BB1E" w14:textId="1C9CD71D">
      <w:pPr>
        <w:pStyle w:val="ListParagraph"/>
        <w:numPr>
          <w:ilvl w:val="0"/>
          <w:numId w:val="41"/>
        </w:numPr>
        <w:rPr>
          <w:rFonts w:asciiTheme="minorHAnsi" w:hAnsiTheme="minorHAnsi" w:cstheme="minorHAnsi"/>
        </w:rPr>
      </w:pPr>
      <w:r>
        <w:rPr>
          <w:rFonts w:asciiTheme="minorHAnsi" w:hAnsiTheme="minorHAnsi" w:cstheme="minorHAnsi"/>
        </w:rPr>
        <w:t xml:space="preserve">We are focused on recruiting </w:t>
      </w:r>
      <w:r w:rsidR="004C170F">
        <w:rPr>
          <w:rFonts w:asciiTheme="minorHAnsi" w:hAnsiTheme="minorHAnsi" w:cstheme="minorHAnsi"/>
        </w:rPr>
        <w:t>professionals</w:t>
      </w:r>
      <w:r>
        <w:rPr>
          <w:rFonts w:asciiTheme="minorHAnsi" w:hAnsiTheme="minorHAnsi" w:cstheme="minorHAnsi"/>
        </w:rPr>
        <w:t xml:space="preserve"> involved in fleet safety</w:t>
      </w:r>
      <w:r>
        <w:rPr>
          <w:rFonts w:asciiTheme="minorHAnsi" w:hAnsiTheme="minorHAnsi" w:cstheme="minorHAnsi"/>
        </w:rPr>
        <w:t xml:space="preserve"> and we will ask for their participation during normal business hours. P</w:t>
      </w:r>
      <w:r>
        <w:rPr>
          <w:rFonts w:asciiTheme="minorHAnsi" w:hAnsiTheme="minorHAnsi" w:cstheme="minorHAnsi"/>
        </w:rPr>
        <w:t>articipation in this project,</w:t>
      </w:r>
      <w:r>
        <w:rPr>
          <w:rFonts w:asciiTheme="minorHAnsi" w:hAnsiTheme="minorHAnsi" w:cstheme="minorHAnsi"/>
        </w:rPr>
        <w:t xml:space="preserve"> as with other OSH activities,</w:t>
      </w:r>
      <w:r>
        <w:rPr>
          <w:rFonts w:asciiTheme="minorHAnsi" w:hAnsiTheme="minorHAnsi" w:cstheme="minorHAnsi"/>
        </w:rPr>
        <w:t xml:space="preserve"> can </w:t>
      </w:r>
      <w:r>
        <w:rPr>
          <w:rFonts w:asciiTheme="minorHAnsi" w:hAnsiTheme="minorHAnsi" w:cstheme="minorHAnsi"/>
        </w:rPr>
        <w:t>reasonably be considered relevant to their job duties.</w:t>
      </w:r>
    </w:p>
    <w:p w:rsidR="00F837AF" w:rsidRPr="001C7B9C" w:rsidP="00F837AF" w14:paraId="69AC31BC" w14:textId="5229CE3F">
      <w:pPr>
        <w:pStyle w:val="ListParagraph"/>
        <w:numPr>
          <w:ilvl w:val="0"/>
          <w:numId w:val="41"/>
        </w:numPr>
        <w:rPr>
          <w:rFonts w:asciiTheme="minorHAnsi" w:hAnsiTheme="minorHAnsi" w:cstheme="minorHAnsi"/>
        </w:rPr>
      </w:pPr>
      <w:r w:rsidRPr="001C7B9C">
        <w:rPr>
          <w:rFonts w:asciiTheme="minorHAnsi" w:hAnsiTheme="minorHAnsi" w:cstheme="minorHAnsi"/>
        </w:rPr>
        <w:t xml:space="preserve">We will </w:t>
      </w:r>
      <w:r w:rsidRPr="001C7B9C" w:rsidR="00985C23">
        <w:rPr>
          <w:rFonts w:asciiTheme="minorHAnsi" w:hAnsiTheme="minorHAnsi" w:cstheme="minorHAnsi"/>
        </w:rPr>
        <w:t xml:space="preserve">limit the amount of time a given individual </w:t>
      </w:r>
      <w:r w:rsidR="00E366D8">
        <w:rPr>
          <w:rFonts w:asciiTheme="minorHAnsi" w:hAnsiTheme="minorHAnsi" w:cstheme="minorHAnsi"/>
        </w:rPr>
        <w:t>is asked to participate</w:t>
      </w:r>
      <w:r w:rsidRPr="001C7B9C" w:rsidR="00985C23">
        <w:rPr>
          <w:rFonts w:asciiTheme="minorHAnsi" w:hAnsiTheme="minorHAnsi" w:cstheme="minorHAnsi"/>
        </w:rPr>
        <w:t xml:space="preserve"> in data collection to a maximum of one questionnaire and one </w:t>
      </w:r>
      <w:r w:rsidRPr="001C7B9C" w:rsidR="00FA1275">
        <w:rPr>
          <w:rFonts w:asciiTheme="minorHAnsi" w:hAnsiTheme="minorHAnsi" w:cstheme="minorHAnsi"/>
        </w:rPr>
        <w:t>hour-long interview</w:t>
      </w:r>
      <w:r w:rsidRPr="001C7B9C" w:rsidR="00985C23">
        <w:rPr>
          <w:rFonts w:asciiTheme="minorHAnsi" w:hAnsiTheme="minorHAnsi" w:cstheme="minorHAnsi"/>
        </w:rPr>
        <w:t>.</w:t>
      </w:r>
    </w:p>
    <w:p w:rsidR="003A6373" w:rsidRPr="009332D2" w:rsidP="00291FB8" w14:paraId="6450AC03" w14:textId="77777777">
      <w:pPr>
        <w:ind w:left="0" w:firstLine="0"/>
        <w:rPr>
          <w:rFonts w:asciiTheme="minorHAnsi" w:hAnsiTheme="minorHAnsi" w:cstheme="minorHAnsi"/>
        </w:rPr>
      </w:pPr>
    </w:p>
    <w:p w:rsidR="00662F81" w:rsidRPr="009332D2" w:rsidP="00B95A61" w14:paraId="05E3C9D5" w14:textId="77777777">
      <w:pPr>
        <w:tabs>
          <w:tab w:val="left" w:pos="-1440"/>
        </w:tabs>
        <w:rPr>
          <w:rFonts w:asciiTheme="minorHAnsi" w:hAnsiTheme="minorHAnsi" w:cstheme="minorHAnsi"/>
        </w:rPr>
      </w:pPr>
      <w:r w:rsidRPr="009332D2">
        <w:rPr>
          <w:rFonts w:asciiTheme="minorHAnsi" w:hAnsiTheme="minorHAnsi" w:cstheme="minorHAnsi"/>
          <w:b/>
          <w:bCs/>
        </w:rPr>
        <w:t>6.</w:t>
      </w:r>
      <w:r w:rsidRPr="009332D2">
        <w:rPr>
          <w:rFonts w:asciiTheme="minorHAnsi" w:hAnsiTheme="minorHAnsi" w:cstheme="minorHAnsi"/>
          <w:b/>
          <w:bCs/>
        </w:rPr>
        <w:tab/>
        <w:t>Consequences of Collecting the Information Less Frequently</w:t>
      </w:r>
    </w:p>
    <w:p w:rsidR="00662F81" w:rsidRPr="009332D2" w:rsidP="005A3B06" w14:paraId="0EC2A296" w14:textId="0968CBAA">
      <w:pPr>
        <w:ind w:left="0" w:firstLine="0"/>
        <w:rPr>
          <w:rFonts w:asciiTheme="minorHAnsi" w:hAnsiTheme="minorHAnsi" w:cstheme="minorHAnsi"/>
        </w:rPr>
      </w:pPr>
      <w:r>
        <w:rPr>
          <w:rFonts w:asciiTheme="minorHAnsi" w:hAnsiTheme="minorHAnsi" w:cstheme="minorHAnsi"/>
        </w:rPr>
        <w:t xml:space="preserve">This project will </w:t>
      </w:r>
      <w:r w:rsidRPr="004311C5">
        <w:rPr>
          <w:rFonts w:asciiTheme="minorHAnsi" w:hAnsiTheme="minorHAnsi" w:cstheme="minorHAnsi"/>
        </w:rPr>
        <w:t>be</w:t>
      </w:r>
      <w:r w:rsidRPr="004311C5" w:rsidR="005507F9">
        <w:rPr>
          <w:rFonts w:asciiTheme="minorHAnsi" w:hAnsiTheme="minorHAnsi" w:cstheme="minorHAnsi"/>
        </w:rPr>
        <w:t xml:space="preserve"> time</w:t>
      </w:r>
      <w:r w:rsidR="004311C5">
        <w:rPr>
          <w:rFonts w:asciiTheme="minorHAnsi" w:hAnsiTheme="minorHAnsi" w:cstheme="minorHAnsi"/>
        </w:rPr>
        <w:t xml:space="preserve"> </w:t>
      </w:r>
      <w:r w:rsidRPr="004311C5" w:rsidR="005507F9">
        <w:rPr>
          <w:rFonts w:asciiTheme="minorHAnsi" w:hAnsiTheme="minorHAnsi" w:cstheme="minorHAnsi"/>
        </w:rPr>
        <w:t>limited</w:t>
      </w:r>
      <w:r w:rsidRPr="004311C5" w:rsidR="006A6375">
        <w:rPr>
          <w:rFonts w:asciiTheme="minorHAnsi" w:hAnsiTheme="minorHAnsi" w:cstheme="minorHAnsi"/>
        </w:rPr>
        <w:t>. Data collection activities will not recur</w:t>
      </w:r>
      <w:r w:rsidRPr="004311C5" w:rsidR="005507F9">
        <w:rPr>
          <w:rFonts w:asciiTheme="minorHAnsi" w:hAnsiTheme="minorHAnsi" w:cstheme="minorHAnsi"/>
        </w:rPr>
        <w:t>.  No single data collection activity will take longer than 1 year to complete from inception of information collection to the first report of findings</w:t>
      </w:r>
      <w:r w:rsidRPr="004311C5" w:rsidR="005A3B06">
        <w:rPr>
          <w:rFonts w:asciiTheme="minorHAnsi" w:hAnsiTheme="minorHAnsi" w:cstheme="minorHAnsi"/>
        </w:rPr>
        <w:t>.</w:t>
      </w:r>
      <w:r w:rsidRPr="009332D2" w:rsidR="005A3B06">
        <w:rPr>
          <w:rFonts w:asciiTheme="minorHAnsi" w:hAnsiTheme="minorHAnsi" w:cstheme="minorHAnsi"/>
        </w:rPr>
        <w:t xml:space="preserve"> </w:t>
      </w:r>
      <w:r w:rsidRPr="009332D2" w:rsidR="005507F9">
        <w:rPr>
          <w:rFonts w:asciiTheme="minorHAnsi" w:hAnsiTheme="minorHAnsi" w:cstheme="minorHAnsi"/>
        </w:rPr>
        <w:t>There are no legal obstacles to reducing the burden.</w:t>
      </w:r>
    </w:p>
    <w:p w:rsidR="00384295" w:rsidRPr="009332D2" w:rsidP="000A3F47" w14:paraId="5BE3FC6D" w14:textId="77777777">
      <w:pPr>
        <w:tabs>
          <w:tab w:val="left" w:pos="-1440"/>
        </w:tabs>
        <w:ind w:left="0" w:firstLine="0"/>
        <w:rPr>
          <w:rFonts w:asciiTheme="minorHAnsi" w:hAnsiTheme="minorHAnsi" w:cstheme="minorHAnsi"/>
          <w:b/>
          <w:bCs/>
        </w:rPr>
      </w:pPr>
    </w:p>
    <w:p w:rsidR="00662F81" w:rsidRPr="009332D2" w:rsidP="00B95A61" w14:paraId="5457DAAE" w14:textId="77777777">
      <w:pPr>
        <w:tabs>
          <w:tab w:val="left" w:pos="-1440"/>
        </w:tabs>
        <w:rPr>
          <w:rFonts w:asciiTheme="minorHAnsi" w:hAnsiTheme="minorHAnsi" w:cstheme="minorHAnsi"/>
        </w:rPr>
      </w:pPr>
      <w:r w:rsidRPr="009332D2">
        <w:rPr>
          <w:rFonts w:asciiTheme="minorHAnsi" w:hAnsiTheme="minorHAnsi" w:cstheme="minorHAnsi"/>
          <w:b/>
          <w:bCs/>
        </w:rPr>
        <w:t>7.</w:t>
      </w:r>
      <w:r w:rsidRPr="009332D2">
        <w:rPr>
          <w:rFonts w:asciiTheme="minorHAnsi" w:hAnsiTheme="minorHAnsi" w:cstheme="minorHAnsi"/>
          <w:b/>
          <w:bCs/>
        </w:rPr>
        <w:tab/>
        <w:t xml:space="preserve">Special Circumstances Relating to </w:t>
      </w:r>
      <w:r w:rsidRPr="009332D2" w:rsidR="006C442F">
        <w:rPr>
          <w:rFonts w:asciiTheme="minorHAnsi" w:hAnsiTheme="minorHAnsi" w:cstheme="minorHAnsi"/>
          <w:b/>
          <w:bCs/>
        </w:rPr>
        <w:t xml:space="preserve">the </w:t>
      </w:r>
      <w:r w:rsidRPr="009332D2">
        <w:rPr>
          <w:rFonts w:asciiTheme="minorHAnsi" w:hAnsiTheme="minorHAnsi" w:cstheme="minorHAnsi"/>
          <w:b/>
          <w:bCs/>
        </w:rPr>
        <w:t>Guidelines of 5 CFR 1320.5</w:t>
      </w:r>
    </w:p>
    <w:p w:rsidR="00662F81" w:rsidRPr="009332D2" w:rsidP="00662F81" w14:paraId="496D336E" w14:textId="77777777">
      <w:pPr>
        <w:rPr>
          <w:rFonts w:asciiTheme="minorHAnsi" w:hAnsiTheme="minorHAnsi" w:cstheme="minorHAnsi"/>
        </w:rPr>
      </w:pPr>
      <w:r w:rsidRPr="009332D2">
        <w:rPr>
          <w:rFonts w:asciiTheme="minorHAnsi" w:hAnsiTheme="minorHAnsi" w:cstheme="minorHAnsi"/>
        </w:rPr>
        <w:t>This request fully complies with the regulation 5 CFR 1320.5.</w:t>
      </w:r>
    </w:p>
    <w:p w:rsidR="00384295" w:rsidRPr="009332D2" w:rsidP="00AC132E" w14:paraId="7D5AE437" w14:textId="77777777">
      <w:pPr>
        <w:tabs>
          <w:tab w:val="left" w:pos="-1440"/>
        </w:tabs>
        <w:rPr>
          <w:rFonts w:asciiTheme="minorHAnsi" w:hAnsiTheme="minorHAnsi" w:cstheme="minorHAnsi"/>
          <w:b/>
          <w:bCs/>
        </w:rPr>
      </w:pPr>
    </w:p>
    <w:p w:rsidR="00662F81" w:rsidRPr="009332D2" w:rsidP="00AC132E" w14:paraId="22F20958" w14:textId="77777777">
      <w:pPr>
        <w:tabs>
          <w:tab w:val="left" w:pos="-1440"/>
        </w:tabs>
        <w:rPr>
          <w:rFonts w:asciiTheme="minorHAnsi" w:hAnsiTheme="minorHAnsi" w:cstheme="minorHAnsi"/>
        </w:rPr>
      </w:pPr>
      <w:r w:rsidRPr="009332D2">
        <w:rPr>
          <w:rFonts w:asciiTheme="minorHAnsi" w:hAnsiTheme="minorHAnsi" w:cstheme="minorHAnsi"/>
          <w:b/>
          <w:bCs/>
        </w:rPr>
        <w:t>8.</w:t>
      </w:r>
      <w:r w:rsidRPr="009332D2">
        <w:rPr>
          <w:rFonts w:asciiTheme="minorHAnsi" w:hAnsiTheme="minorHAnsi" w:cstheme="minorHAnsi"/>
          <w:b/>
          <w:bCs/>
        </w:rPr>
        <w:tab/>
        <w:t xml:space="preserve">Comments in Response to the Federal Register Notice and Efforts to Consult Outside Agencies </w:t>
      </w:r>
    </w:p>
    <w:p w:rsidR="00693F36" w:rsidP="00291FB8" w14:paraId="606797D3" w14:textId="7E1E7119">
      <w:pPr>
        <w:tabs>
          <w:tab w:val="left" w:pos="-1440"/>
        </w:tabs>
        <w:ind w:left="0" w:firstLine="0"/>
        <w:rPr>
          <w:rFonts w:asciiTheme="minorHAnsi" w:hAnsiTheme="minorHAnsi" w:cstheme="minorHAnsi"/>
        </w:rPr>
      </w:pPr>
      <w:r>
        <w:rPr>
          <w:rFonts w:asciiTheme="minorHAnsi" w:hAnsiTheme="minorHAnsi" w:cstheme="minorHAnsi"/>
        </w:rPr>
        <w:t>A</w:t>
      </w:r>
      <w:r w:rsidRPr="009332D2" w:rsidR="00400FED">
        <w:rPr>
          <w:rFonts w:asciiTheme="minorHAnsi" w:hAnsiTheme="minorHAnsi" w:cstheme="minorHAnsi"/>
        </w:rPr>
        <w:t xml:space="preserve"> Federal Register notice w</w:t>
      </w:r>
      <w:r w:rsidRPr="009332D2" w:rsidR="005507F9">
        <w:rPr>
          <w:rFonts w:asciiTheme="minorHAnsi" w:hAnsiTheme="minorHAnsi" w:cstheme="minorHAnsi"/>
        </w:rPr>
        <w:t xml:space="preserve">as </w:t>
      </w:r>
      <w:r w:rsidRPr="009332D2" w:rsidR="00400FED">
        <w:rPr>
          <w:rFonts w:asciiTheme="minorHAnsi" w:hAnsiTheme="minorHAnsi" w:cstheme="minorHAnsi"/>
        </w:rPr>
        <w:t xml:space="preserve">published for </w:t>
      </w:r>
      <w:r>
        <w:rPr>
          <w:rFonts w:asciiTheme="minorHAnsi" w:hAnsiTheme="minorHAnsi" w:cstheme="minorHAnsi"/>
        </w:rPr>
        <w:t>the generic information</w:t>
      </w:r>
      <w:r w:rsidRPr="009332D2">
        <w:rPr>
          <w:rFonts w:asciiTheme="minorHAnsi" w:hAnsiTheme="minorHAnsi" w:cstheme="minorHAnsi"/>
        </w:rPr>
        <w:t xml:space="preserve"> </w:t>
      </w:r>
      <w:r w:rsidRPr="009332D2" w:rsidR="00400FED">
        <w:rPr>
          <w:rFonts w:asciiTheme="minorHAnsi" w:hAnsiTheme="minorHAnsi" w:cstheme="minorHAnsi"/>
        </w:rPr>
        <w:t>collection on</w:t>
      </w:r>
      <w:r w:rsidRPr="009332D2" w:rsidR="000D6277">
        <w:rPr>
          <w:rFonts w:asciiTheme="minorHAnsi" w:hAnsiTheme="minorHAnsi" w:cstheme="minorHAnsi"/>
        </w:rPr>
        <w:t xml:space="preserve"> </w:t>
      </w:r>
      <w:r w:rsidRPr="009332D2" w:rsidR="008E323D">
        <w:rPr>
          <w:rFonts w:asciiTheme="minorHAnsi" w:hAnsiTheme="minorHAnsi" w:cstheme="minorHAnsi"/>
        </w:rPr>
        <w:t xml:space="preserve">July </w:t>
      </w:r>
      <w:r w:rsidRPr="009332D2" w:rsidR="006A0C13">
        <w:rPr>
          <w:rFonts w:asciiTheme="minorHAnsi" w:hAnsiTheme="minorHAnsi" w:cstheme="minorHAnsi"/>
        </w:rPr>
        <w:t>2</w:t>
      </w:r>
      <w:r w:rsidRPr="009332D2" w:rsidR="008E323D">
        <w:rPr>
          <w:rFonts w:asciiTheme="minorHAnsi" w:hAnsiTheme="minorHAnsi" w:cstheme="minorHAnsi"/>
        </w:rPr>
        <w:t>2</w:t>
      </w:r>
      <w:r w:rsidRPr="009332D2" w:rsidR="006A0C13">
        <w:rPr>
          <w:rFonts w:asciiTheme="minorHAnsi" w:hAnsiTheme="minorHAnsi" w:cstheme="minorHAnsi"/>
        </w:rPr>
        <w:t>, 20</w:t>
      </w:r>
      <w:r w:rsidRPr="009332D2" w:rsidR="008E323D">
        <w:rPr>
          <w:rFonts w:asciiTheme="minorHAnsi" w:hAnsiTheme="minorHAnsi" w:cstheme="minorHAnsi"/>
        </w:rPr>
        <w:t>22</w:t>
      </w:r>
      <w:r w:rsidRPr="009332D2" w:rsidR="00A26E81">
        <w:rPr>
          <w:rFonts w:asciiTheme="minorHAnsi" w:hAnsiTheme="minorHAnsi" w:cstheme="minorHAnsi"/>
        </w:rPr>
        <w:t>, Vol.</w:t>
      </w:r>
      <w:r w:rsidRPr="009332D2" w:rsidR="000D6277">
        <w:rPr>
          <w:rFonts w:asciiTheme="minorHAnsi" w:hAnsiTheme="minorHAnsi" w:cstheme="minorHAnsi"/>
        </w:rPr>
        <w:t xml:space="preserve"> </w:t>
      </w:r>
      <w:r w:rsidRPr="009332D2" w:rsidR="006A0C13">
        <w:rPr>
          <w:rFonts w:asciiTheme="minorHAnsi" w:hAnsiTheme="minorHAnsi" w:cstheme="minorHAnsi"/>
        </w:rPr>
        <w:t>8</w:t>
      </w:r>
      <w:r w:rsidRPr="009332D2" w:rsidR="008E323D">
        <w:rPr>
          <w:rFonts w:asciiTheme="minorHAnsi" w:hAnsiTheme="minorHAnsi" w:cstheme="minorHAnsi"/>
        </w:rPr>
        <w:t>7</w:t>
      </w:r>
      <w:r w:rsidRPr="009332D2" w:rsidR="00A26E81">
        <w:rPr>
          <w:rFonts w:asciiTheme="minorHAnsi" w:hAnsiTheme="minorHAnsi" w:cstheme="minorHAnsi"/>
        </w:rPr>
        <w:t>, No.</w:t>
      </w:r>
      <w:r w:rsidRPr="009332D2" w:rsidR="008E323D">
        <w:rPr>
          <w:rFonts w:asciiTheme="minorHAnsi" w:hAnsiTheme="minorHAnsi" w:cstheme="minorHAnsi"/>
        </w:rPr>
        <w:t>140</w:t>
      </w:r>
      <w:r w:rsidRPr="009332D2" w:rsidR="000D6277">
        <w:rPr>
          <w:rFonts w:asciiTheme="minorHAnsi" w:hAnsiTheme="minorHAnsi" w:cstheme="minorHAnsi"/>
        </w:rPr>
        <w:t>,</w:t>
      </w:r>
      <w:r w:rsidRPr="009332D2" w:rsidR="00400FED">
        <w:rPr>
          <w:rFonts w:asciiTheme="minorHAnsi" w:hAnsiTheme="minorHAnsi" w:cstheme="minorHAnsi"/>
        </w:rPr>
        <w:t xml:space="preserve"> pp.</w:t>
      </w:r>
      <w:r w:rsidRPr="009332D2" w:rsidR="007B3B8F">
        <w:rPr>
          <w:rFonts w:asciiTheme="minorHAnsi" w:hAnsiTheme="minorHAnsi" w:cstheme="minorHAnsi"/>
        </w:rPr>
        <w:t xml:space="preserve"> </w:t>
      </w:r>
      <w:r w:rsidRPr="009332D2" w:rsidR="008E323D">
        <w:rPr>
          <w:rFonts w:asciiTheme="minorHAnsi" w:hAnsiTheme="minorHAnsi" w:cstheme="minorHAnsi"/>
        </w:rPr>
        <w:t>438360</w:t>
      </w:r>
      <w:r w:rsidRPr="009332D2" w:rsidR="000D6277">
        <w:rPr>
          <w:rFonts w:asciiTheme="minorHAnsi" w:hAnsiTheme="minorHAnsi" w:cstheme="minorHAnsi"/>
        </w:rPr>
        <w:t>.</w:t>
      </w:r>
      <w:r w:rsidRPr="009332D2" w:rsidR="00400FED">
        <w:rPr>
          <w:rFonts w:asciiTheme="minorHAnsi" w:hAnsiTheme="minorHAnsi" w:cstheme="minorHAnsi"/>
        </w:rPr>
        <w:t xml:space="preserve"> </w:t>
      </w:r>
      <w:r w:rsidRPr="009332D2" w:rsidR="003E5A93">
        <w:rPr>
          <w:rFonts w:asciiTheme="minorHAnsi" w:hAnsiTheme="minorHAnsi" w:cstheme="minorHAnsi"/>
        </w:rPr>
        <w:t xml:space="preserve">No </w:t>
      </w:r>
      <w:r w:rsidRPr="009332D2" w:rsidR="005507F9">
        <w:rPr>
          <w:rFonts w:asciiTheme="minorHAnsi" w:hAnsiTheme="minorHAnsi" w:cstheme="minorHAnsi"/>
        </w:rPr>
        <w:t>public</w:t>
      </w:r>
      <w:r w:rsidRPr="009332D2" w:rsidR="0044048D">
        <w:rPr>
          <w:rFonts w:asciiTheme="minorHAnsi" w:hAnsiTheme="minorHAnsi" w:cstheme="minorHAnsi"/>
        </w:rPr>
        <w:t xml:space="preserve"> comment</w:t>
      </w:r>
      <w:r w:rsidRPr="009332D2" w:rsidR="003E5A93">
        <w:rPr>
          <w:rFonts w:asciiTheme="minorHAnsi" w:hAnsiTheme="minorHAnsi" w:cstheme="minorHAnsi"/>
        </w:rPr>
        <w:t>s</w:t>
      </w:r>
      <w:r w:rsidRPr="009332D2" w:rsidR="0044048D">
        <w:rPr>
          <w:rFonts w:asciiTheme="minorHAnsi" w:hAnsiTheme="minorHAnsi" w:cstheme="minorHAnsi"/>
        </w:rPr>
        <w:t xml:space="preserve"> w</w:t>
      </w:r>
      <w:r w:rsidRPr="009332D2" w:rsidR="003E5A93">
        <w:rPr>
          <w:rFonts w:asciiTheme="minorHAnsi" w:hAnsiTheme="minorHAnsi" w:cstheme="minorHAnsi"/>
        </w:rPr>
        <w:t>ere</w:t>
      </w:r>
      <w:r w:rsidRPr="009332D2" w:rsidR="0044048D">
        <w:rPr>
          <w:rFonts w:asciiTheme="minorHAnsi" w:hAnsiTheme="minorHAnsi" w:cstheme="minorHAnsi"/>
        </w:rPr>
        <w:t xml:space="preserve"> received</w:t>
      </w:r>
      <w:r w:rsidRPr="009332D2" w:rsidR="005507F9">
        <w:rPr>
          <w:rFonts w:asciiTheme="minorHAnsi" w:hAnsiTheme="minorHAnsi" w:cstheme="minorHAnsi"/>
        </w:rPr>
        <w:t xml:space="preserve">. </w:t>
      </w:r>
      <w:r w:rsidR="00BB6AE2">
        <w:rPr>
          <w:rFonts w:asciiTheme="minorHAnsi" w:hAnsiTheme="minorHAnsi" w:cstheme="minorHAnsi"/>
        </w:rPr>
        <w:br/>
      </w:r>
    </w:p>
    <w:p w:rsidR="00BB6AE2" w:rsidP="00291FB8" w14:paraId="62BAA137" w14:textId="277F7487">
      <w:pPr>
        <w:tabs>
          <w:tab w:val="left" w:pos="-1440"/>
        </w:tabs>
        <w:ind w:left="0" w:firstLine="0"/>
        <w:rPr>
          <w:rFonts w:asciiTheme="minorHAnsi" w:hAnsiTheme="minorHAnsi" w:cstheme="minorHAnsi"/>
        </w:rPr>
      </w:pPr>
      <w:r>
        <w:rPr>
          <w:rFonts w:asciiTheme="minorHAnsi" w:hAnsiTheme="minorHAnsi" w:cstheme="minorHAnsi"/>
        </w:rPr>
        <w:t xml:space="preserve">The project’s methods and data collection forms were developed in partnership with external </w:t>
      </w:r>
      <w:r w:rsidR="00AE71D9">
        <w:rPr>
          <w:rFonts w:asciiTheme="minorHAnsi" w:hAnsiTheme="minorHAnsi" w:cstheme="minorHAnsi"/>
        </w:rPr>
        <w:t>partners in the oil and gas extraction industry, as well as subject matter experts at CDC and NIOSH</w:t>
      </w:r>
      <w:r>
        <w:rPr>
          <w:rFonts w:asciiTheme="minorHAnsi" w:hAnsiTheme="minorHAnsi" w:cstheme="minorHAnsi"/>
        </w:rPr>
        <w:t xml:space="preserve"> over </w:t>
      </w:r>
      <w:r w:rsidR="00AE71D9">
        <w:rPr>
          <w:rFonts w:asciiTheme="minorHAnsi" w:hAnsiTheme="minorHAnsi" w:cstheme="minorHAnsi"/>
        </w:rPr>
        <w:t>the initial project year (FY24)</w:t>
      </w:r>
      <w:r>
        <w:rPr>
          <w:rFonts w:asciiTheme="minorHAnsi" w:hAnsiTheme="minorHAnsi" w:cstheme="minorHAnsi"/>
        </w:rPr>
        <w:t>.  External partners included the leadership of two local nSTEPS chapters, both of which are based in the Permian Basin region. The presidents and vice presidents of the Permian Basin STEPS Network and the Southeast New Mexico STEPS network, as well as members of their executive committees met monthly with the Principal Investigator (Dr. Scott) and provided feedback on the methodology, as well as the specific priorities outlined in Attachment 3. For example, Dr. Scott had originally proposed collecting data with questionnaires of STEPS chapter members. External partners proposed the current approach as a more desirable alternative. The number of external partners providing input on the project has never exceeded 9 individuals, and Dr. Scott did not collect data from them systematically to ensure compliance with the Paperwork Reduction Act. Internal partners advising on the project have included subject matter experts from the National Institute for Occupational Safety and Health</w:t>
      </w:r>
      <w:r w:rsidR="00AE71D9">
        <w:rPr>
          <w:rFonts w:asciiTheme="minorHAnsi" w:hAnsiTheme="minorHAnsi" w:cstheme="minorHAnsi"/>
        </w:rPr>
        <w:t xml:space="preserve">, as well as the CDC National Center for Injury Prevention and Control. Dr. Scott worked closely with Dr. Jennifer Bell, a </w:t>
      </w:r>
      <w:r w:rsidR="00461BF4">
        <w:rPr>
          <w:rFonts w:asciiTheme="minorHAnsi" w:hAnsiTheme="minorHAnsi" w:cstheme="minorHAnsi"/>
        </w:rPr>
        <w:t xml:space="preserve">NIOSH </w:t>
      </w:r>
      <w:r w:rsidR="00AE71D9">
        <w:rPr>
          <w:rFonts w:asciiTheme="minorHAnsi" w:hAnsiTheme="minorHAnsi" w:cstheme="minorHAnsi"/>
        </w:rPr>
        <w:t>subject matter expert on the use of IVMS in the oil and gas extraction industry, to develop Attachments 4 and 5.</w:t>
      </w:r>
    </w:p>
    <w:p w:rsidR="00662F81" w:rsidRPr="009332D2" w:rsidP="004B3F6F" w14:paraId="3CF2C07C" w14:textId="77777777">
      <w:pPr>
        <w:tabs>
          <w:tab w:val="left" w:pos="0"/>
        </w:tabs>
        <w:rPr>
          <w:rFonts w:asciiTheme="minorHAnsi" w:hAnsiTheme="minorHAnsi" w:cstheme="minorHAnsi"/>
        </w:rPr>
      </w:pPr>
      <w:r w:rsidRPr="009332D2">
        <w:rPr>
          <w:rFonts w:asciiTheme="minorHAnsi" w:hAnsiTheme="minorHAnsi" w:cstheme="minorHAnsi"/>
          <w:b/>
          <w:bCs/>
        </w:rPr>
        <w:t>9.</w:t>
      </w:r>
      <w:r w:rsidRPr="009332D2">
        <w:rPr>
          <w:rFonts w:asciiTheme="minorHAnsi" w:hAnsiTheme="minorHAnsi" w:cstheme="minorHAnsi"/>
          <w:b/>
          <w:bCs/>
        </w:rPr>
        <w:tab/>
        <w:t>Explanation of Any Payment or Gift to Respondents</w:t>
      </w:r>
    </w:p>
    <w:p w:rsidR="00CD3BF7" w:rsidRPr="009332D2" w:rsidP="00882DB8" w14:paraId="704DE29A" w14:textId="53E5D0F3">
      <w:pPr>
        <w:tabs>
          <w:tab w:val="left" w:pos="0"/>
        </w:tabs>
        <w:ind w:left="0" w:firstLine="0"/>
        <w:rPr>
          <w:rFonts w:asciiTheme="minorHAnsi" w:hAnsiTheme="minorHAnsi" w:cstheme="minorHAnsi"/>
        </w:rPr>
      </w:pPr>
      <w:r>
        <w:rPr>
          <w:rFonts w:asciiTheme="minorHAnsi" w:hAnsiTheme="minorHAnsi" w:cstheme="minorHAnsi"/>
        </w:rPr>
        <w:t>I</w:t>
      </w:r>
      <w:r w:rsidRPr="009332D2" w:rsidR="005507F9">
        <w:rPr>
          <w:rFonts w:asciiTheme="minorHAnsi" w:hAnsiTheme="minorHAnsi" w:cstheme="minorHAnsi"/>
        </w:rPr>
        <w:t>ncentives will not be necessary</w:t>
      </w:r>
      <w:r>
        <w:rPr>
          <w:rFonts w:asciiTheme="minorHAnsi" w:hAnsiTheme="minorHAnsi" w:cstheme="minorHAnsi"/>
        </w:rPr>
        <w:t>. Individuals will be asked to voluntarily participate during work hours</w:t>
      </w:r>
      <w:r w:rsidRPr="009332D2" w:rsidR="005507F9">
        <w:rPr>
          <w:rFonts w:asciiTheme="minorHAnsi" w:hAnsiTheme="minorHAnsi" w:cstheme="minorHAnsi"/>
        </w:rPr>
        <w:t>.</w:t>
      </w:r>
      <w:r>
        <w:rPr>
          <w:rFonts w:asciiTheme="minorHAnsi" w:hAnsiTheme="minorHAnsi" w:cstheme="minorHAnsi"/>
        </w:rPr>
        <w:t xml:space="preserve"> Data will be collected virtually</w:t>
      </w:r>
      <w:r w:rsidR="00AA44B9">
        <w:rPr>
          <w:rFonts w:asciiTheme="minorHAnsi" w:hAnsiTheme="minorHAnsi" w:cstheme="minorHAnsi"/>
        </w:rPr>
        <w:t>. T</w:t>
      </w:r>
      <w:r>
        <w:rPr>
          <w:rFonts w:asciiTheme="minorHAnsi" w:hAnsiTheme="minorHAnsi" w:cstheme="minorHAnsi"/>
        </w:rPr>
        <w:t xml:space="preserve">ravel reimbursements will not be necessary. </w:t>
      </w:r>
      <w:r w:rsidR="00AA44B9">
        <w:rPr>
          <w:rFonts w:asciiTheme="minorHAnsi" w:hAnsiTheme="minorHAnsi" w:cstheme="minorHAnsi"/>
        </w:rPr>
        <w:t>The</w:t>
      </w:r>
      <w:r w:rsidR="00A5181F">
        <w:rPr>
          <w:rFonts w:asciiTheme="minorHAnsi" w:hAnsiTheme="minorHAnsi" w:cstheme="minorHAnsi"/>
        </w:rPr>
        <w:t xml:space="preserve"> Permian Basin is largely rural. Concerns regarding saturation and competition from other research activities are low.</w:t>
      </w:r>
    </w:p>
    <w:p w:rsidR="00662F81" w:rsidRPr="009332D2" w:rsidP="00662F81" w14:paraId="76FB32A4" w14:textId="77777777">
      <w:pPr>
        <w:tabs>
          <w:tab w:val="left" w:pos="0"/>
        </w:tabs>
        <w:ind w:left="720" w:hanging="720"/>
        <w:rPr>
          <w:rFonts w:asciiTheme="minorHAnsi" w:hAnsiTheme="minorHAnsi" w:cstheme="minorHAnsi"/>
        </w:rPr>
      </w:pPr>
      <w:r w:rsidRPr="009332D2">
        <w:rPr>
          <w:rFonts w:asciiTheme="minorHAnsi" w:hAnsiTheme="minorHAnsi" w:cstheme="minorHAnsi"/>
          <w:b/>
          <w:bCs/>
        </w:rPr>
        <w:t>10.</w:t>
      </w:r>
      <w:r w:rsidRPr="009332D2" w:rsidR="00B07B39">
        <w:rPr>
          <w:rFonts w:asciiTheme="minorHAnsi" w:hAnsiTheme="minorHAnsi" w:cstheme="minorHAnsi"/>
          <w:b/>
          <w:bCs/>
        </w:rPr>
        <w:t xml:space="preserve"> </w:t>
      </w:r>
      <w:r w:rsidRPr="009332D2" w:rsidR="00880CE4">
        <w:rPr>
          <w:rFonts w:asciiTheme="minorHAnsi" w:hAnsiTheme="minorHAnsi" w:cstheme="minorHAnsi"/>
          <w:b/>
          <w:bCs/>
        </w:rPr>
        <w:t>Protection of the Privacy and Confidentiality of Information Provided by Respondents.</w:t>
      </w:r>
    </w:p>
    <w:p w:rsidR="00C85E39" w:rsidP="00C85E39" w14:paraId="505B64EA" w14:textId="7A17BB84">
      <w:pPr>
        <w:spacing w:after="0"/>
        <w:ind w:left="0" w:firstLine="0"/>
        <w:rPr>
          <w:rFonts w:asciiTheme="minorHAnsi" w:hAnsiTheme="minorHAnsi" w:cstheme="minorHAnsi"/>
          <w:color w:val="000000"/>
        </w:rPr>
      </w:pPr>
      <w:r w:rsidRPr="00C85E39">
        <w:rPr>
          <w:rFonts w:asciiTheme="minorHAnsi" w:hAnsiTheme="minorHAnsi" w:cstheme="minorHAnsi"/>
          <w:color w:val="000000"/>
        </w:rPr>
        <w:t xml:space="preserve">Primary data collected in the proposed project will be qualitative in nature and saved as audio files, transcripts, and transcript summaries.  Researchers will use ODIT-recommended software to ensure data access, security, privacy, and confidentiality throughout the entire project, and follow ODIT guidance for data archiving and long-term preservation. The audio recordings of the interviews will be transcribed using ODIT-approved software (e.g., MS Office). Files will be managed on an ODIT-approved platform (i.e., a MUST drive). Interview guides have been designed to limit the inadvertent collection of personally identifiable information (PII) and, if volunteered during the interviews, PII will be scrubbed from the interview transcripts before analysis. </w:t>
      </w:r>
      <w:r w:rsidRPr="009332D2">
        <w:rPr>
          <w:rFonts w:asciiTheme="minorHAnsi" w:hAnsiTheme="minorHAnsi" w:cstheme="minorHAnsi"/>
          <w:color w:val="000000"/>
        </w:rPr>
        <w:t xml:space="preserve">Local project staff will verify that any individually identifiable information that has been collected </w:t>
      </w:r>
      <w:r w:rsidRPr="009332D2">
        <w:rPr>
          <w:rFonts w:asciiTheme="minorHAnsi" w:hAnsiTheme="minorHAnsi" w:cstheme="minorHAnsi"/>
          <w:color w:val="000000"/>
        </w:rPr>
        <w:t>during the course of</w:t>
      </w:r>
      <w:r w:rsidRPr="009332D2">
        <w:rPr>
          <w:rFonts w:asciiTheme="minorHAnsi" w:hAnsiTheme="minorHAnsi" w:cstheme="minorHAnsi"/>
          <w:color w:val="000000"/>
        </w:rPr>
        <w:t xml:space="preserve"> their activities has been removed from information transmitted to or shared with CDC.</w:t>
      </w:r>
      <w:r>
        <w:rPr>
          <w:rFonts w:asciiTheme="minorHAnsi" w:hAnsiTheme="minorHAnsi" w:cstheme="minorHAnsi"/>
          <w:color w:val="000000"/>
        </w:rPr>
        <w:t xml:space="preserve"> </w:t>
      </w:r>
      <w:r w:rsidRPr="00C85E39">
        <w:rPr>
          <w:rFonts w:asciiTheme="minorHAnsi" w:hAnsiTheme="minorHAnsi" w:cstheme="minorHAnsi"/>
          <w:color w:val="000000"/>
        </w:rPr>
        <w:t>Researchers will delete the audio recordings once transcripts have been produced and validated. Secondary data for quantitative analyses will, likewise, be managed on an ODIT-approved platform (i.e., a</w:t>
      </w:r>
      <w:r w:rsidR="008C3915">
        <w:rPr>
          <w:rFonts w:asciiTheme="minorHAnsi" w:hAnsiTheme="minorHAnsi" w:cstheme="minorHAnsi"/>
          <w:color w:val="000000"/>
        </w:rPr>
        <w:t xml:space="preserve">n encrypted </w:t>
      </w:r>
      <w:r w:rsidRPr="00C85E39">
        <w:rPr>
          <w:rFonts w:asciiTheme="minorHAnsi" w:hAnsiTheme="minorHAnsi" w:cstheme="minorHAnsi"/>
          <w:color w:val="000000"/>
        </w:rPr>
        <w:t>MUST drive)</w:t>
      </w:r>
      <w:r w:rsidR="008C3915">
        <w:rPr>
          <w:rFonts w:asciiTheme="minorHAnsi" w:hAnsiTheme="minorHAnsi" w:cstheme="minorHAnsi"/>
          <w:color w:val="000000"/>
        </w:rPr>
        <w:t xml:space="preserve"> in accordance with CDC/NIOSH data use policies.</w:t>
      </w:r>
    </w:p>
    <w:p w:rsidR="008D766F" w:rsidRPr="009332D2" w:rsidP="00C85E39" w14:paraId="36FB8819" w14:textId="77777777">
      <w:pPr>
        <w:spacing w:after="0"/>
        <w:ind w:left="0" w:firstLine="0"/>
        <w:rPr>
          <w:rFonts w:asciiTheme="minorHAnsi" w:hAnsiTheme="minorHAnsi" w:cstheme="minorHAnsi"/>
          <w:color w:val="000000"/>
        </w:rPr>
      </w:pPr>
    </w:p>
    <w:p w:rsidR="00253472" w:rsidP="009F5A9C" w14:paraId="52160324" w14:textId="6BBEB61D">
      <w:pPr>
        <w:tabs>
          <w:tab w:val="left" w:pos="0"/>
        </w:tabs>
        <w:spacing w:after="0"/>
        <w:ind w:left="0" w:firstLine="0"/>
        <w:rPr>
          <w:rFonts w:asciiTheme="minorHAnsi" w:hAnsiTheme="minorHAnsi" w:cstheme="minorHAnsi"/>
        </w:rPr>
      </w:pPr>
      <w:r>
        <w:rPr>
          <w:rFonts w:asciiTheme="minorHAnsi" w:hAnsiTheme="minorHAnsi" w:cstheme="minorHAnsi"/>
        </w:rPr>
        <w:t xml:space="preserve">This project has received a non-human </w:t>
      </w:r>
      <w:r>
        <w:rPr>
          <w:rFonts w:asciiTheme="minorHAnsi" w:hAnsiTheme="minorHAnsi" w:cstheme="minorHAnsi"/>
        </w:rPr>
        <w:t>subjects</w:t>
      </w:r>
      <w:r>
        <w:rPr>
          <w:rFonts w:asciiTheme="minorHAnsi" w:hAnsiTheme="minorHAnsi" w:cstheme="minorHAnsi"/>
        </w:rPr>
        <w:t xml:space="preserve"> research determination</w:t>
      </w:r>
      <w:r w:rsidR="0096484A">
        <w:rPr>
          <w:rFonts w:asciiTheme="minorHAnsi" w:hAnsiTheme="minorHAnsi" w:cstheme="minorHAnsi"/>
        </w:rPr>
        <w:t xml:space="preserve"> (STARS</w:t>
      </w:r>
      <w:r w:rsidR="00C547C1">
        <w:rPr>
          <w:rFonts w:asciiTheme="minorHAnsi" w:hAnsiTheme="minorHAnsi" w:cstheme="minorHAnsi"/>
        </w:rPr>
        <w:t xml:space="preserve"> Project ID:</w:t>
      </w:r>
      <w:r w:rsidRPr="00C547C1" w:rsidR="00C547C1">
        <w:t xml:space="preserve"> </w:t>
      </w:r>
      <w:r w:rsidR="00C547C1">
        <w:t xml:space="preserve"> </w:t>
      </w:r>
      <w:r w:rsidRPr="00C547C1" w:rsidR="00C547C1">
        <w:rPr>
          <w:rFonts w:asciiTheme="minorHAnsi" w:hAnsiTheme="minorHAnsi" w:cstheme="minorHAnsi"/>
        </w:rPr>
        <w:t>0900f3eb821be791</w:t>
      </w:r>
      <w:r w:rsidR="00C547C1">
        <w:rPr>
          <w:rFonts w:asciiTheme="minorHAnsi" w:hAnsiTheme="minorHAnsi" w:cstheme="minorHAnsi"/>
        </w:rPr>
        <w:t xml:space="preserve">; </w:t>
      </w:r>
      <w:r w:rsidRPr="00853EC4" w:rsidR="00853EC4">
        <w:rPr>
          <w:rFonts w:asciiTheme="minorHAnsi" w:hAnsiTheme="minorHAnsi" w:cstheme="minorHAnsi"/>
          <w:i/>
          <w:iCs/>
        </w:rPr>
        <w:t>HSC: Does NOT Require HRPO Review</w:t>
      </w:r>
      <w:r w:rsidR="00853EC4">
        <w:rPr>
          <w:rFonts w:asciiTheme="minorHAnsi" w:hAnsiTheme="minorHAnsi" w:cstheme="minorHAnsi"/>
        </w:rPr>
        <w:t xml:space="preserve">. </w:t>
      </w:r>
      <w:r w:rsidR="00C547C1">
        <w:rPr>
          <w:rFonts w:asciiTheme="minorHAnsi" w:hAnsiTheme="minorHAnsi" w:cstheme="minorHAnsi"/>
        </w:rPr>
        <w:t xml:space="preserve">Completed </w:t>
      </w:r>
      <w:r w:rsidRPr="00C547C1" w:rsidR="00C547C1">
        <w:rPr>
          <w:rFonts w:asciiTheme="minorHAnsi" w:hAnsiTheme="minorHAnsi" w:cstheme="minorHAnsi"/>
        </w:rPr>
        <w:t>8/23/23</w:t>
      </w:r>
      <w:r w:rsidR="00384CF1">
        <w:rPr>
          <w:rFonts w:asciiTheme="minorHAnsi" w:hAnsiTheme="minorHAnsi" w:cstheme="minorHAnsi"/>
        </w:rPr>
        <w:t>)</w:t>
      </w:r>
      <w:r w:rsidRPr="009332D2" w:rsidR="005507F9">
        <w:rPr>
          <w:rFonts w:asciiTheme="minorHAnsi" w:hAnsiTheme="minorHAnsi" w:cstheme="minorHAnsi"/>
        </w:rPr>
        <w:t xml:space="preserve">. Participation in </w:t>
      </w:r>
      <w:r w:rsidR="009F5A9C">
        <w:rPr>
          <w:rFonts w:asciiTheme="minorHAnsi" w:hAnsiTheme="minorHAnsi" w:cstheme="minorHAnsi"/>
        </w:rPr>
        <w:t xml:space="preserve">the formative </w:t>
      </w:r>
      <w:r w:rsidR="00853EC4">
        <w:rPr>
          <w:rFonts w:asciiTheme="minorHAnsi" w:hAnsiTheme="minorHAnsi" w:cstheme="minorHAnsi"/>
        </w:rPr>
        <w:t>research</w:t>
      </w:r>
      <w:r w:rsidRPr="009332D2" w:rsidR="005507F9">
        <w:rPr>
          <w:rFonts w:asciiTheme="minorHAnsi" w:hAnsiTheme="minorHAnsi" w:cstheme="minorHAnsi"/>
        </w:rPr>
        <w:t xml:space="preserve"> is strictly voluntary.</w:t>
      </w:r>
    </w:p>
    <w:p w:rsidR="009F5A9C" w:rsidRPr="009332D2" w:rsidP="009F5A9C" w14:paraId="2AF9F1DE" w14:textId="77777777">
      <w:pPr>
        <w:tabs>
          <w:tab w:val="left" w:pos="0"/>
        </w:tabs>
        <w:spacing w:after="0"/>
        <w:ind w:left="0" w:firstLine="0"/>
        <w:rPr>
          <w:rFonts w:asciiTheme="minorHAnsi" w:hAnsiTheme="minorHAnsi" w:cstheme="minorHAnsi"/>
        </w:rPr>
      </w:pPr>
    </w:p>
    <w:p w:rsidR="00CC261B" w:rsidP="00CC261B" w14:paraId="0795A39B" w14:textId="5430736F">
      <w:pPr>
        <w:spacing w:after="0"/>
        <w:ind w:left="0" w:firstLine="0"/>
        <w:rPr>
          <w:rFonts w:asciiTheme="minorHAnsi" w:hAnsiTheme="minorHAnsi" w:cstheme="minorHAnsi"/>
        </w:rPr>
      </w:pPr>
      <w:r w:rsidRPr="009332D2">
        <w:rPr>
          <w:rFonts w:asciiTheme="minorHAnsi" w:hAnsiTheme="minorHAnsi" w:cstheme="minorHAnsi"/>
        </w:rPr>
        <w:t xml:space="preserve">Persons participating in </w:t>
      </w:r>
      <w:r w:rsidR="003C7D01">
        <w:rPr>
          <w:rFonts w:asciiTheme="minorHAnsi" w:hAnsiTheme="minorHAnsi" w:cstheme="minorHAnsi"/>
        </w:rPr>
        <w:t xml:space="preserve">the project </w:t>
      </w:r>
      <w:r w:rsidRPr="009332D2">
        <w:rPr>
          <w:rFonts w:asciiTheme="minorHAnsi" w:hAnsiTheme="minorHAnsi" w:cstheme="minorHAnsi"/>
        </w:rPr>
        <w:t xml:space="preserve">will be informed that their data will be maintained in a </w:t>
      </w:r>
      <w:r w:rsidRPr="009332D2" w:rsidR="002F4EE4">
        <w:rPr>
          <w:rFonts w:asciiTheme="minorHAnsi" w:hAnsiTheme="minorHAnsi" w:cstheme="minorHAnsi"/>
        </w:rPr>
        <w:t>secure</w:t>
      </w:r>
      <w:r w:rsidRPr="009332D2">
        <w:rPr>
          <w:rFonts w:asciiTheme="minorHAnsi" w:hAnsiTheme="minorHAnsi" w:cstheme="minorHAnsi"/>
        </w:rPr>
        <w:t xml:space="preserve"> manner, and that the data will only be used for purposes stated in </w:t>
      </w:r>
      <w:r w:rsidR="000E42F8">
        <w:rPr>
          <w:rFonts w:asciiTheme="minorHAnsi" w:hAnsiTheme="minorHAnsi" w:cstheme="minorHAnsi"/>
        </w:rPr>
        <w:t>project materials</w:t>
      </w:r>
      <w:r w:rsidRPr="009332D2">
        <w:rPr>
          <w:rFonts w:asciiTheme="minorHAnsi" w:hAnsiTheme="minorHAnsi" w:cstheme="minorHAnsi"/>
        </w:rPr>
        <w:t>. Although the identities of respondents may be known to local project personnel who conduct interviews and interact with respondents, data</w:t>
      </w:r>
      <w:r w:rsidRPr="009332D2" w:rsidR="00AF5A4A">
        <w:rPr>
          <w:rFonts w:asciiTheme="minorHAnsi" w:hAnsiTheme="minorHAnsi" w:cstheme="minorHAnsi"/>
        </w:rPr>
        <w:t xml:space="preserve"> collected regarding sensitive topics</w:t>
      </w:r>
      <w:r w:rsidRPr="009332D2">
        <w:rPr>
          <w:rFonts w:asciiTheme="minorHAnsi" w:hAnsiTheme="minorHAnsi" w:cstheme="minorHAnsi"/>
        </w:rPr>
        <w:t xml:space="preserve"> will not be stored or accessed in a Privacy Act system of records, and the respondents’ identifying information will not be submitted to CDC. Only authorized project staff will be allowed to have access to study information (whether identifiable or not) and all information will be kept in </w:t>
      </w:r>
      <w:r w:rsidR="004F4A05">
        <w:rPr>
          <w:rFonts w:asciiTheme="minorHAnsi" w:hAnsiTheme="minorHAnsi" w:cstheme="minorHAnsi"/>
        </w:rPr>
        <w:t xml:space="preserve">a secure electronic location, </w:t>
      </w:r>
      <w:r w:rsidRPr="009332D2">
        <w:rPr>
          <w:rFonts w:asciiTheme="minorHAnsi" w:hAnsiTheme="minorHAnsi" w:cstheme="minorHAnsi"/>
        </w:rPr>
        <w:t xml:space="preserve">a locked cabinet and/or locked office with limited access.  </w:t>
      </w:r>
    </w:p>
    <w:p w:rsidR="00CC261B" w:rsidP="001A455C" w14:paraId="599FD0BA" w14:textId="77777777">
      <w:pPr>
        <w:spacing w:after="0"/>
        <w:ind w:left="0" w:firstLine="0"/>
        <w:rPr>
          <w:rFonts w:asciiTheme="minorHAnsi" w:hAnsiTheme="minorHAnsi" w:cstheme="minorHAnsi"/>
        </w:rPr>
      </w:pPr>
    </w:p>
    <w:p w:rsidR="006B5057" w:rsidRPr="009332D2" w:rsidP="006B5057" w14:paraId="46C40CEB" w14:textId="6E9427D2">
      <w:pPr>
        <w:ind w:left="0" w:firstLine="0"/>
        <w:rPr>
          <w:rFonts w:asciiTheme="minorHAnsi" w:hAnsiTheme="minorHAnsi" w:cstheme="minorHAnsi"/>
        </w:rPr>
      </w:pPr>
      <w:r w:rsidRPr="009332D2">
        <w:rPr>
          <w:rFonts w:asciiTheme="minorHAnsi" w:hAnsiTheme="minorHAnsi" w:cstheme="minorHAnsi"/>
        </w:rPr>
        <w:t>Information might be collected electronically or on paper (depending on the individual information collection request). Electronic means include handheld devices, com</w:t>
      </w:r>
      <w:r w:rsidRPr="009332D2" w:rsidR="00AF5A4A">
        <w:rPr>
          <w:rFonts w:asciiTheme="minorHAnsi" w:hAnsiTheme="minorHAnsi" w:cstheme="minorHAnsi"/>
        </w:rPr>
        <w:t>puter-assisted self-interview (</w:t>
      </w:r>
      <w:r w:rsidRPr="009332D2">
        <w:rPr>
          <w:rFonts w:asciiTheme="minorHAnsi" w:hAnsiTheme="minorHAnsi" w:cstheme="minorHAnsi"/>
        </w:rPr>
        <w:t xml:space="preserve">CASI), </w:t>
      </w:r>
      <w:r w:rsidRPr="009332D2" w:rsidR="00AF5A4A">
        <w:rPr>
          <w:rFonts w:asciiTheme="minorHAnsi" w:hAnsiTheme="minorHAnsi" w:cstheme="minorHAnsi"/>
        </w:rPr>
        <w:t xml:space="preserve">audio computer-assisted self-interview (ACASI), </w:t>
      </w:r>
      <w:r w:rsidRPr="009332D2">
        <w:rPr>
          <w:rFonts w:asciiTheme="minorHAnsi" w:hAnsiTheme="minorHAnsi" w:cstheme="minorHAnsi"/>
        </w:rPr>
        <w:t>computer</w:t>
      </w:r>
      <w:r w:rsidRPr="009332D2" w:rsidR="00AF5A4A">
        <w:rPr>
          <w:rFonts w:asciiTheme="minorHAnsi" w:hAnsiTheme="minorHAnsi" w:cstheme="minorHAnsi"/>
        </w:rPr>
        <w:t>-</w:t>
      </w:r>
      <w:r w:rsidRPr="009332D2">
        <w:rPr>
          <w:rFonts w:asciiTheme="minorHAnsi" w:hAnsiTheme="minorHAnsi" w:cstheme="minorHAnsi"/>
        </w:rPr>
        <w:t xml:space="preserve">assisted telephone interview (CATI), web-based surveys, or other point of service collection devices. </w:t>
      </w:r>
    </w:p>
    <w:p w:rsidR="00253472" w:rsidRPr="009332D2" w:rsidP="00291FB8" w14:paraId="6A3064BE" w14:textId="77777777">
      <w:pPr>
        <w:ind w:left="0" w:firstLine="0"/>
        <w:rPr>
          <w:rFonts w:asciiTheme="minorHAnsi" w:hAnsiTheme="minorHAnsi" w:cstheme="minorHAnsi"/>
        </w:rPr>
      </w:pPr>
      <w:r w:rsidRPr="009332D2">
        <w:rPr>
          <w:rFonts w:asciiTheme="minorHAnsi" w:hAnsiTheme="minorHAnsi" w:cstheme="minorHAnsi"/>
        </w:rPr>
        <w:t xml:space="preserve">Electronic data collection and data management systems used for these activities </w:t>
      </w:r>
      <w:r w:rsidRPr="009332D2" w:rsidR="006B5057">
        <w:rPr>
          <w:rFonts w:asciiTheme="minorHAnsi" w:hAnsiTheme="minorHAnsi" w:cstheme="minorHAnsi"/>
        </w:rPr>
        <w:t>will</w:t>
      </w:r>
      <w:r w:rsidRPr="009332D2">
        <w:rPr>
          <w:rFonts w:asciiTheme="minorHAnsi" w:hAnsiTheme="minorHAnsi" w:cstheme="minorHAnsi"/>
        </w:rPr>
        <w:t xml:space="preserve"> comply with the current encryption security standards from National Institute of Standards and Technology (NIST) Federal Information Processing Standards (FIPS), which meet or exceed Advanc</w:t>
      </w:r>
      <w:r w:rsidRPr="009332D2" w:rsidR="004F6688">
        <w:rPr>
          <w:rFonts w:asciiTheme="minorHAnsi" w:hAnsiTheme="minorHAnsi" w:cstheme="minorHAnsi"/>
        </w:rPr>
        <w:t>ed Encryption Standards (AES). Each individual request under this generic clearance will provide adequate descriptions of information systems that will be used in their study.</w:t>
      </w:r>
    </w:p>
    <w:p w:rsidR="006B5057" w:rsidRPr="009332D2" w:rsidP="006B5057" w14:paraId="5D95B0E7" w14:textId="1152FE1F">
      <w:pPr>
        <w:ind w:left="0" w:firstLine="0"/>
        <w:rPr>
          <w:rFonts w:asciiTheme="minorHAnsi" w:hAnsiTheme="minorHAnsi" w:cstheme="minorHAnsi"/>
        </w:rPr>
      </w:pPr>
      <w:r>
        <w:rPr>
          <w:rFonts w:asciiTheme="minorHAnsi" w:hAnsiTheme="minorHAnsi" w:cstheme="minorHAnsi"/>
        </w:rPr>
        <w:t>A</w:t>
      </w:r>
      <w:r w:rsidRPr="009332D2" w:rsidR="005507F9">
        <w:rPr>
          <w:rFonts w:asciiTheme="minorHAnsi" w:hAnsiTheme="minorHAnsi" w:cstheme="minorHAnsi"/>
        </w:rPr>
        <w:t xml:space="preserve">ll individually identifiable information collected </w:t>
      </w:r>
      <w:r>
        <w:rPr>
          <w:rFonts w:asciiTheme="minorHAnsi" w:hAnsiTheme="minorHAnsi" w:cstheme="minorHAnsi"/>
        </w:rPr>
        <w:t xml:space="preserve">will </w:t>
      </w:r>
      <w:r w:rsidRPr="009332D2" w:rsidR="005507F9">
        <w:rPr>
          <w:rFonts w:asciiTheme="minorHAnsi" w:hAnsiTheme="minorHAnsi" w:cstheme="minorHAnsi"/>
        </w:rPr>
        <w:t>be unlinked or stripped from the dat</w:t>
      </w:r>
      <w:r>
        <w:rPr>
          <w:rFonts w:asciiTheme="minorHAnsi" w:hAnsiTheme="minorHAnsi" w:cstheme="minorHAnsi"/>
        </w:rPr>
        <w:t>a</w:t>
      </w:r>
      <w:r w:rsidRPr="009332D2" w:rsidR="005507F9">
        <w:rPr>
          <w:rFonts w:asciiTheme="minorHAnsi" w:hAnsiTheme="minorHAnsi" w:cstheme="minorHAnsi"/>
        </w:rPr>
        <w:t xml:space="preserve">. Web-based methods for </w:t>
      </w:r>
      <w:r w:rsidR="003A7A8F">
        <w:rPr>
          <w:rFonts w:asciiTheme="minorHAnsi" w:hAnsiTheme="minorHAnsi" w:cstheme="minorHAnsi"/>
        </w:rPr>
        <w:t>questionnaire</w:t>
      </w:r>
      <w:r w:rsidRPr="009332D2" w:rsidR="005507F9">
        <w:rPr>
          <w:rFonts w:asciiTheme="minorHAnsi" w:hAnsiTheme="minorHAnsi" w:cstheme="minorHAnsi"/>
        </w:rPr>
        <w:t xml:space="preserve"> delivery </w:t>
      </w:r>
      <w:r w:rsidR="003A7A8F">
        <w:rPr>
          <w:rFonts w:asciiTheme="minorHAnsi" w:hAnsiTheme="minorHAnsi" w:cstheme="minorHAnsi"/>
        </w:rPr>
        <w:t xml:space="preserve">will use approved </w:t>
      </w:r>
      <w:r w:rsidR="00CD1983">
        <w:rPr>
          <w:rFonts w:asciiTheme="minorHAnsi" w:hAnsiTheme="minorHAnsi" w:cstheme="minorHAnsi"/>
        </w:rPr>
        <w:t>software platforms commonly used by CDC/NIOSH</w:t>
      </w:r>
      <w:r w:rsidR="00006B22">
        <w:rPr>
          <w:rFonts w:asciiTheme="minorHAnsi" w:hAnsiTheme="minorHAnsi" w:cstheme="minorHAnsi"/>
        </w:rPr>
        <w:t xml:space="preserve"> (e.g., </w:t>
      </w:r>
      <w:r w:rsidR="00006B22">
        <w:rPr>
          <w:rFonts w:asciiTheme="minorHAnsi" w:hAnsiTheme="minorHAnsi" w:cstheme="minorHAnsi"/>
        </w:rPr>
        <w:t>REDCap</w:t>
      </w:r>
      <w:r w:rsidR="00006B22">
        <w:rPr>
          <w:rFonts w:asciiTheme="minorHAnsi" w:hAnsiTheme="minorHAnsi" w:cstheme="minorHAnsi"/>
        </w:rPr>
        <w:t>)</w:t>
      </w:r>
      <w:r w:rsidR="00CD1983">
        <w:rPr>
          <w:rFonts w:asciiTheme="minorHAnsi" w:hAnsiTheme="minorHAnsi" w:cstheme="minorHAnsi"/>
        </w:rPr>
        <w:t xml:space="preserve">. </w:t>
      </w:r>
      <w:r w:rsidRPr="009332D2" w:rsidR="005507F9">
        <w:rPr>
          <w:rFonts w:asciiTheme="minorHAnsi" w:hAnsiTheme="minorHAnsi" w:cstheme="minorHAnsi"/>
        </w:rPr>
        <w:t xml:space="preserve">There will be no websites or internet content directed at children under the age of 13. Individual collection requests submitted under this generic approval will describe any web-based material involved. </w:t>
      </w:r>
    </w:p>
    <w:p w:rsidR="002D76E5" w:rsidRPr="009332D2" w:rsidP="00662F81" w14:paraId="52B06CA0" w14:textId="77777777">
      <w:pPr>
        <w:tabs>
          <w:tab w:val="left" w:pos="0"/>
        </w:tabs>
        <w:ind w:left="720" w:hanging="720"/>
        <w:rPr>
          <w:rFonts w:asciiTheme="minorHAnsi" w:hAnsiTheme="minorHAnsi" w:cstheme="minorHAnsi"/>
          <w:b/>
          <w:bCs/>
        </w:rPr>
      </w:pPr>
    </w:p>
    <w:p w:rsidR="00662F81" w:rsidRPr="009332D2" w:rsidP="002D76E5" w14:paraId="554426BE" w14:textId="77777777">
      <w:pPr>
        <w:tabs>
          <w:tab w:val="left" w:pos="0"/>
        </w:tabs>
        <w:rPr>
          <w:rFonts w:asciiTheme="minorHAnsi" w:hAnsiTheme="minorHAnsi" w:cstheme="minorHAnsi"/>
        </w:rPr>
      </w:pPr>
      <w:r w:rsidRPr="009332D2">
        <w:rPr>
          <w:rFonts w:asciiTheme="minorHAnsi" w:hAnsiTheme="minorHAnsi" w:cstheme="minorHAnsi"/>
          <w:b/>
          <w:bCs/>
        </w:rPr>
        <w:t>11.</w:t>
      </w:r>
      <w:r w:rsidRPr="009332D2">
        <w:rPr>
          <w:rFonts w:asciiTheme="minorHAnsi" w:hAnsiTheme="minorHAnsi" w:cstheme="minorHAnsi"/>
          <w:b/>
          <w:bCs/>
        </w:rPr>
        <w:tab/>
      </w:r>
      <w:r w:rsidRPr="009332D2" w:rsidR="00E306D7">
        <w:rPr>
          <w:rFonts w:asciiTheme="minorHAnsi" w:hAnsiTheme="minorHAnsi" w:cstheme="minorHAnsi"/>
          <w:b/>
          <w:bCs/>
        </w:rPr>
        <w:t xml:space="preserve">Institutional Review Board (IRB) and </w:t>
      </w:r>
      <w:r w:rsidRPr="009332D2">
        <w:rPr>
          <w:rFonts w:asciiTheme="minorHAnsi" w:hAnsiTheme="minorHAnsi" w:cstheme="minorHAnsi"/>
          <w:b/>
          <w:bCs/>
        </w:rPr>
        <w:t>Justification for Sensitive Questions</w:t>
      </w:r>
    </w:p>
    <w:p w:rsidR="00963C2F" w:rsidRPr="009332D2" w:rsidP="00291FB8" w14:paraId="328F2117" w14:textId="77777777">
      <w:pPr>
        <w:ind w:left="0" w:firstLine="0"/>
        <w:rPr>
          <w:rFonts w:asciiTheme="minorHAnsi" w:hAnsiTheme="minorHAnsi" w:cstheme="minorHAnsi"/>
        </w:rPr>
      </w:pPr>
      <w:bookmarkStart w:id="2" w:name="OLE_LINK9"/>
      <w:bookmarkStart w:id="3" w:name="OLE_LINK10"/>
      <w:r w:rsidRPr="009332D2">
        <w:rPr>
          <w:rFonts w:asciiTheme="minorHAnsi" w:hAnsiTheme="minorHAnsi" w:cstheme="minorHAnsi"/>
        </w:rPr>
        <w:t>IRB Approval</w:t>
      </w:r>
    </w:p>
    <w:p w:rsidR="00CD1983" w:rsidP="00CD1983" w14:paraId="17812145" w14:textId="4CABD43C">
      <w:pPr>
        <w:tabs>
          <w:tab w:val="left" w:pos="0"/>
        </w:tabs>
        <w:spacing w:after="0"/>
        <w:ind w:left="0" w:firstLine="0"/>
        <w:rPr>
          <w:rFonts w:asciiTheme="minorHAnsi" w:hAnsiTheme="minorHAnsi" w:cstheme="minorHAnsi"/>
        </w:rPr>
      </w:pPr>
      <w:r>
        <w:rPr>
          <w:rFonts w:asciiTheme="minorHAnsi" w:hAnsiTheme="minorHAnsi" w:cstheme="minorHAnsi"/>
        </w:rPr>
        <w:t xml:space="preserve">IRB approval is not required. This project has received a non-human </w:t>
      </w:r>
      <w:r>
        <w:rPr>
          <w:rFonts w:asciiTheme="minorHAnsi" w:hAnsiTheme="minorHAnsi" w:cstheme="minorHAnsi"/>
        </w:rPr>
        <w:t>subjects</w:t>
      </w:r>
      <w:r>
        <w:rPr>
          <w:rFonts w:asciiTheme="minorHAnsi" w:hAnsiTheme="minorHAnsi" w:cstheme="minorHAnsi"/>
        </w:rPr>
        <w:t xml:space="preserve"> research determination (STARS Project ID:</w:t>
      </w:r>
      <w:r w:rsidRPr="00C547C1">
        <w:t xml:space="preserve"> </w:t>
      </w:r>
      <w:r>
        <w:t xml:space="preserve"> </w:t>
      </w:r>
      <w:r w:rsidRPr="00C547C1">
        <w:rPr>
          <w:rFonts w:asciiTheme="minorHAnsi" w:hAnsiTheme="minorHAnsi" w:cstheme="minorHAnsi"/>
        </w:rPr>
        <w:t>0900f3eb821be791</w:t>
      </w:r>
      <w:r>
        <w:rPr>
          <w:rFonts w:asciiTheme="minorHAnsi" w:hAnsiTheme="minorHAnsi" w:cstheme="minorHAnsi"/>
        </w:rPr>
        <w:t xml:space="preserve">; </w:t>
      </w:r>
      <w:r w:rsidRPr="00853EC4">
        <w:rPr>
          <w:rFonts w:asciiTheme="minorHAnsi" w:hAnsiTheme="minorHAnsi" w:cstheme="minorHAnsi"/>
          <w:i/>
          <w:iCs/>
        </w:rPr>
        <w:t>HSC: Does NOT Require HRPO Review</w:t>
      </w:r>
      <w:r>
        <w:rPr>
          <w:rFonts w:asciiTheme="minorHAnsi" w:hAnsiTheme="minorHAnsi" w:cstheme="minorHAnsi"/>
        </w:rPr>
        <w:t xml:space="preserve">. Completed </w:t>
      </w:r>
      <w:r w:rsidRPr="00C547C1">
        <w:rPr>
          <w:rFonts w:asciiTheme="minorHAnsi" w:hAnsiTheme="minorHAnsi" w:cstheme="minorHAnsi"/>
        </w:rPr>
        <w:t>8/23/23</w:t>
      </w:r>
      <w:r>
        <w:rPr>
          <w:rFonts w:asciiTheme="minorHAnsi" w:hAnsiTheme="minorHAnsi" w:cstheme="minorHAnsi"/>
        </w:rPr>
        <w:t>)</w:t>
      </w:r>
      <w:r w:rsidRPr="009332D2">
        <w:rPr>
          <w:rFonts w:asciiTheme="minorHAnsi" w:hAnsiTheme="minorHAnsi" w:cstheme="minorHAnsi"/>
        </w:rPr>
        <w:t xml:space="preserve">. Participation in </w:t>
      </w:r>
      <w:r>
        <w:rPr>
          <w:rFonts w:asciiTheme="minorHAnsi" w:hAnsiTheme="minorHAnsi" w:cstheme="minorHAnsi"/>
        </w:rPr>
        <w:t>the formative research</w:t>
      </w:r>
      <w:r w:rsidRPr="009332D2">
        <w:rPr>
          <w:rFonts w:asciiTheme="minorHAnsi" w:hAnsiTheme="minorHAnsi" w:cstheme="minorHAnsi"/>
        </w:rPr>
        <w:t xml:space="preserve"> is strictly voluntary.</w:t>
      </w:r>
    </w:p>
    <w:p w:rsidR="00CD1983" w:rsidP="00CD1983" w14:paraId="610E3321" w14:textId="77777777">
      <w:pPr>
        <w:spacing w:after="0"/>
        <w:ind w:left="0" w:firstLine="0"/>
        <w:rPr>
          <w:rFonts w:asciiTheme="minorHAnsi" w:hAnsiTheme="minorHAnsi" w:cstheme="minorHAnsi"/>
        </w:rPr>
      </w:pPr>
    </w:p>
    <w:p w:rsidR="00963C2F" w:rsidRPr="009332D2" w:rsidP="00291FB8" w14:paraId="542EC110" w14:textId="663381FA">
      <w:pPr>
        <w:ind w:left="0" w:firstLine="0"/>
        <w:rPr>
          <w:rFonts w:asciiTheme="minorHAnsi" w:hAnsiTheme="minorHAnsi" w:cstheme="minorHAnsi"/>
        </w:rPr>
      </w:pPr>
      <w:r w:rsidRPr="009332D2">
        <w:rPr>
          <w:rFonts w:asciiTheme="minorHAnsi" w:hAnsiTheme="minorHAnsi" w:cstheme="minorHAnsi"/>
        </w:rPr>
        <w:t>Sensitive Questions</w:t>
      </w:r>
    </w:p>
    <w:p w:rsidR="00253472" w:rsidRPr="009332D2" w:rsidP="00291FB8" w14:paraId="20B17887" w14:textId="057EABAE">
      <w:pPr>
        <w:ind w:left="0" w:firstLine="0"/>
        <w:rPr>
          <w:rFonts w:asciiTheme="minorHAnsi" w:hAnsiTheme="minorHAnsi" w:cstheme="minorHAnsi"/>
        </w:rPr>
      </w:pPr>
      <w:r>
        <w:rPr>
          <w:rFonts w:asciiTheme="minorHAnsi" w:hAnsiTheme="minorHAnsi" w:cstheme="minorHAnsi"/>
        </w:rPr>
        <w:t>This project’s data collection activities will not</w:t>
      </w:r>
      <w:r w:rsidRPr="009332D2" w:rsidR="005507F9">
        <w:rPr>
          <w:rFonts w:asciiTheme="minorHAnsi" w:hAnsiTheme="minorHAnsi" w:cstheme="minorHAnsi"/>
        </w:rPr>
        <w:t xml:space="preserve"> involve sexual attitudes and practices, use of illegal substances </w:t>
      </w:r>
      <w:r w:rsidRPr="009332D2" w:rsidR="002F5077">
        <w:rPr>
          <w:rFonts w:asciiTheme="minorHAnsi" w:hAnsiTheme="minorHAnsi" w:cstheme="minorHAnsi"/>
        </w:rPr>
        <w:t xml:space="preserve">or </w:t>
      </w:r>
      <w:r w:rsidRPr="009332D2" w:rsidR="005507F9">
        <w:rPr>
          <w:rFonts w:asciiTheme="minorHAnsi" w:hAnsiTheme="minorHAnsi" w:cstheme="minorHAnsi"/>
        </w:rPr>
        <w:t xml:space="preserve">other matters that are commonly considered private. </w:t>
      </w:r>
      <w:r w:rsidR="00CE72C8">
        <w:rPr>
          <w:rFonts w:asciiTheme="minorHAnsi" w:hAnsiTheme="minorHAnsi" w:cstheme="minorHAnsi"/>
        </w:rPr>
        <w:t>Respondents’ r</w:t>
      </w:r>
      <w:r w:rsidRPr="009332D2" w:rsidR="005507F9">
        <w:rPr>
          <w:rFonts w:asciiTheme="minorHAnsi" w:hAnsiTheme="minorHAnsi" w:cstheme="minorHAnsi"/>
        </w:rPr>
        <w:t>ace and ethnicity data</w:t>
      </w:r>
      <w:r w:rsidR="00CE72C8">
        <w:rPr>
          <w:rFonts w:asciiTheme="minorHAnsi" w:hAnsiTheme="minorHAnsi" w:cstheme="minorHAnsi"/>
        </w:rPr>
        <w:t xml:space="preserve"> and </w:t>
      </w:r>
      <w:r w:rsidRPr="009332D2" w:rsidR="005507F9">
        <w:rPr>
          <w:rFonts w:asciiTheme="minorHAnsi" w:hAnsiTheme="minorHAnsi" w:cstheme="minorHAnsi"/>
        </w:rPr>
        <w:t xml:space="preserve">diagnoses of medical conditions that may affect employability or insurability </w:t>
      </w:r>
      <w:r w:rsidR="00986121">
        <w:rPr>
          <w:rFonts w:asciiTheme="minorHAnsi" w:hAnsiTheme="minorHAnsi" w:cstheme="minorHAnsi"/>
        </w:rPr>
        <w:t>will not be collected in this information request</w:t>
      </w:r>
      <w:r w:rsidRPr="009332D2" w:rsidR="005507F9">
        <w:rPr>
          <w:rFonts w:asciiTheme="minorHAnsi" w:hAnsiTheme="minorHAnsi" w:cstheme="minorHAnsi"/>
        </w:rPr>
        <w:t xml:space="preserve">. </w:t>
      </w:r>
      <w:r w:rsidR="00986121">
        <w:rPr>
          <w:rFonts w:asciiTheme="minorHAnsi" w:hAnsiTheme="minorHAnsi" w:cstheme="minorHAnsi"/>
        </w:rPr>
        <w:t xml:space="preserve">Under no circumstances </w:t>
      </w:r>
      <w:r w:rsidRPr="009332D2" w:rsidR="005507F9">
        <w:rPr>
          <w:rFonts w:asciiTheme="minorHAnsi" w:hAnsiTheme="minorHAnsi" w:cstheme="minorHAnsi"/>
        </w:rPr>
        <w:t>will a participant’s social security number be obtained</w:t>
      </w:r>
      <w:r w:rsidR="00CE72C8">
        <w:rPr>
          <w:rFonts w:asciiTheme="minorHAnsi" w:hAnsiTheme="minorHAnsi" w:cstheme="minorHAnsi"/>
        </w:rPr>
        <w:t xml:space="preserve"> for this formative research activity</w:t>
      </w:r>
      <w:r w:rsidRPr="009332D2" w:rsidR="005507F9">
        <w:rPr>
          <w:rFonts w:asciiTheme="minorHAnsi" w:hAnsiTheme="minorHAnsi" w:cstheme="minorHAnsi"/>
        </w:rPr>
        <w:t xml:space="preserve">.  </w:t>
      </w:r>
    </w:p>
    <w:bookmarkEnd w:id="2"/>
    <w:bookmarkEnd w:id="3"/>
    <w:p w:rsidR="00E049ED" w:rsidRPr="009332D2" w:rsidP="00E049ED" w14:paraId="5369943B" w14:textId="77777777">
      <w:pPr>
        <w:tabs>
          <w:tab w:val="left" w:pos="0"/>
        </w:tabs>
        <w:spacing w:before="120"/>
        <w:rPr>
          <w:rFonts w:asciiTheme="minorHAnsi" w:hAnsiTheme="minorHAnsi" w:cstheme="minorHAnsi"/>
          <w:b/>
          <w:bCs/>
        </w:rPr>
      </w:pPr>
      <w:r w:rsidRPr="009332D2">
        <w:rPr>
          <w:rFonts w:asciiTheme="minorHAnsi" w:hAnsiTheme="minorHAnsi" w:cstheme="minorHAnsi"/>
          <w:b/>
          <w:bCs/>
        </w:rPr>
        <w:t xml:space="preserve">A.12. Estimates of Annualized Burden Hours and Costs </w:t>
      </w:r>
    </w:p>
    <w:p w:rsidR="00885576" w:rsidRPr="009332D2" w:rsidP="002B49B4" w14:paraId="06900E4B" w14:textId="1BB1E0E0">
      <w:pPr>
        <w:ind w:left="0" w:firstLine="0"/>
        <w:rPr>
          <w:rFonts w:asciiTheme="minorHAnsi" w:hAnsiTheme="minorHAnsi" w:cstheme="minorHAnsi"/>
          <w:snapToGrid w:val="0"/>
        </w:rPr>
      </w:pPr>
      <w:r w:rsidRPr="009332D2">
        <w:rPr>
          <w:rFonts w:asciiTheme="minorHAnsi" w:hAnsiTheme="minorHAnsi" w:cstheme="minorHAnsi"/>
          <w:snapToGrid w:val="0"/>
        </w:rPr>
        <w:t xml:space="preserve">We anticipate approximately </w:t>
      </w:r>
      <w:r w:rsidR="00680C90">
        <w:rPr>
          <w:rFonts w:asciiTheme="minorHAnsi" w:hAnsiTheme="minorHAnsi" w:cstheme="minorHAnsi"/>
          <w:snapToGrid w:val="0"/>
        </w:rPr>
        <w:t>75</w:t>
      </w:r>
      <w:r w:rsidRPr="009332D2" w:rsidR="00680C90">
        <w:rPr>
          <w:rFonts w:asciiTheme="minorHAnsi" w:hAnsiTheme="minorHAnsi" w:cstheme="minorHAnsi"/>
          <w:snapToGrid w:val="0"/>
        </w:rPr>
        <w:t xml:space="preserve"> </w:t>
      </w:r>
      <w:r w:rsidR="00986121">
        <w:rPr>
          <w:rFonts w:asciiTheme="minorHAnsi" w:hAnsiTheme="minorHAnsi" w:cstheme="minorHAnsi"/>
          <w:snapToGrid w:val="0"/>
        </w:rPr>
        <w:t>qualitative interviews</w:t>
      </w:r>
      <w:r w:rsidRPr="009332D2" w:rsidR="00061916">
        <w:rPr>
          <w:rFonts w:asciiTheme="minorHAnsi" w:hAnsiTheme="minorHAnsi" w:cstheme="minorHAnsi"/>
          <w:snapToGrid w:val="0"/>
        </w:rPr>
        <w:t xml:space="preserve">. </w:t>
      </w:r>
    </w:p>
    <w:p w:rsidR="002B49B4" w:rsidRPr="009332D2" w:rsidP="002B49B4" w14:paraId="5F81194D" w14:textId="741319F5">
      <w:pPr>
        <w:keepNext/>
        <w:keepLines/>
        <w:spacing w:before="120"/>
        <w:ind w:left="1166" w:hanging="1166"/>
        <w:rPr>
          <w:rFonts w:asciiTheme="minorHAnsi" w:hAnsiTheme="minorHAnsi" w:cstheme="minorHAnsi"/>
          <w:b/>
          <w:snapToGrid w:val="0"/>
        </w:rPr>
      </w:pPr>
      <w:r w:rsidRPr="009332D2">
        <w:rPr>
          <w:rFonts w:asciiTheme="minorHAnsi" w:hAnsiTheme="minorHAnsi" w:cstheme="minorHAnsi"/>
          <w:b/>
          <w:snapToGrid w:val="0"/>
        </w:rPr>
        <w:t>Exhibit A.12.</w:t>
      </w:r>
      <w:r w:rsidRPr="009332D2">
        <w:rPr>
          <w:rFonts w:asciiTheme="minorHAnsi" w:hAnsiTheme="minorHAnsi" w:cstheme="minorHAnsi"/>
          <w:b/>
          <w:snapToGrid w:val="0"/>
        </w:rPr>
        <w:t>A</w:t>
      </w:r>
      <w:r w:rsidRPr="009332D2">
        <w:rPr>
          <w:rFonts w:asciiTheme="minorHAnsi" w:hAnsiTheme="minorHAnsi" w:cstheme="minorHAnsi"/>
          <w:b/>
          <w:snapToGrid w:val="0"/>
        </w:rPr>
        <w:tab/>
      </w:r>
      <w:r w:rsidR="00461BF4">
        <w:rPr>
          <w:rFonts w:asciiTheme="minorHAnsi" w:hAnsiTheme="minorHAnsi" w:cstheme="minorHAnsi"/>
          <w:b/>
          <w:snapToGrid w:val="0"/>
        </w:rPr>
        <w:tab/>
      </w:r>
      <w:r w:rsidRPr="009332D2">
        <w:rPr>
          <w:rFonts w:asciiTheme="minorHAnsi" w:hAnsiTheme="minorHAnsi" w:cstheme="minorHAnsi"/>
          <w:b/>
          <w:snapToGrid w:val="0"/>
        </w:rPr>
        <w:t xml:space="preserve"> Annualized Burden Hours</w:t>
      </w:r>
    </w:p>
    <w:tbl>
      <w:tblPr>
        <w:tblW w:w="9972" w:type="dxa"/>
        <w:tblLayout w:type="fixed"/>
        <w:tblCellMar>
          <w:left w:w="120" w:type="dxa"/>
          <w:right w:w="120" w:type="dxa"/>
        </w:tblCellMar>
        <w:tblLook w:val="0000"/>
      </w:tblPr>
      <w:tblGrid>
        <w:gridCol w:w="1650"/>
        <w:gridCol w:w="2571"/>
        <w:gridCol w:w="1530"/>
        <w:gridCol w:w="1620"/>
        <w:gridCol w:w="1260"/>
        <w:gridCol w:w="1341"/>
      </w:tblGrid>
      <w:tr w14:paraId="7F201787" w14:textId="77777777" w:rsidTr="00320419">
        <w:tblPrEx>
          <w:tblW w:w="9972" w:type="dxa"/>
          <w:tblLayout w:type="fixed"/>
          <w:tblCellMar>
            <w:left w:w="120" w:type="dxa"/>
            <w:right w:w="120" w:type="dxa"/>
          </w:tblCellMar>
          <w:tblLook w:val="0000"/>
        </w:tblPrEx>
        <w:trPr>
          <w:trHeight w:val="1297"/>
          <w:tblHeader/>
        </w:trPr>
        <w:tc>
          <w:tcPr>
            <w:tcW w:w="1650" w:type="dxa"/>
            <w:tcBorders>
              <w:top w:val="single" w:sz="7" w:space="0" w:color="000000"/>
              <w:left w:val="single" w:sz="7" w:space="0" w:color="000000"/>
              <w:bottom w:val="single" w:sz="7" w:space="0" w:color="000000"/>
              <w:right w:val="single" w:sz="7" w:space="0" w:color="000000"/>
            </w:tcBorders>
            <w:vAlign w:val="center"/>
          </w:tcPr>
          <w:p w:rsidR="00503BB4" w:rsidRPr="009332D2" w:rsidP="002B49B4" w14:paraId="76B498C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rFonts w:asciiTheme="minorHAnsi" w:hAnsiTheme="minorHAnsi" w:cstheme="minorHAnsi"/>
                <w:bCs/>
                <w:color w:val="000000"/>
              </w:rPr>
            </w:pPr>
            <w:r w:rsidRPr="009332D2">
              <w:rPr>
                <w:rFonts w:asciiTheme="minorHAnsi" w:hAnsiTheme="minorHAnsi" w:cstheme="minorHAnsi"/>
                <w:bCs/>
                <w:color w:val="000000"/>
              </w:rPr>
              <w:t>Type of Respondent</w:t>
            </w:r>
          </w:p>
        </w:tc>
        <w:tc>
          <w:tcPr>
            <w:tcW w:w="2571" w:type="dxa"/>
            <w:tcBorders>
              <w:top w:val="single" w:sz="7" w:space="0" w:color="000000"/>
              <w:left w:val="single" w:sz="7" w:space="0" w:color="000000"/>
              <w:bottom w:val="single" w:sz="7" w:space="0" w:color="000000"/>
              <w:right w:val="single" w:sz="7" w:space="0" w:color="000000"/>
            </w:tcBorders>
            <w:vAlign w:val="center"/>
          </w:tcPr>
          <w:p w:rsidR="00503BB4" w:rsidRPr="009332D2" w:rsidP="002B49B4" w14:paraId="0956FE0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rFonts w:asciiTheme="minorHAnsi" w:hAnsiTheme="minorHAnsi" w:cstheme="minorHAnsi"/>
                <w:bCs/>
                <w:color w:val="000000"/>
              </w:rPr>
            </w:pPr>
            <w:r w:rsidRPr="009332D2">
              <w:rPr>
                <w:rFonts w:asciiTheme="minorHAnsi" w:hAnsiTheme="minorHAnsi" w:cstheme="minorHAnsi"/>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rsidR="00503BB4" w:rsidRPr="009332D2" w:rsidP="002B49B4" w14:paraId="695B9792" w14:textId="77777777">
            <w:pPr>
              <w:widowControl w:val="0"/>
              <w:autoSpaceDE w:val="0"/>
              <w:autoSpaceDN w:val="0"/>
              <w:adjustRightInd w:val="0"/>
              <w:spacing w:after="0" w:line="120" w:lineRule="exact"/>
              <w:ind w:left="0" w:firstLine="0"/>
              <w:rPr>
                <w:rFonts w:asciiTheme="minorHAnsi" w:hAnsiTheme="minorHAnsi" w:cstheme="minorHAnsi"/>
                <w:bCs/>
                <w:color w:val="000000"/>
              </w:rPr>
            </w:pPr>
          </w:p>
          <w:p w:rsidR="00503BB4" w:rsidRPr="009332D2" w:rsidP="002B49B4" w14:paraId="79D2BE1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rFonts w:asciiTheme="minorHAnsi" w:hAnsiTheme="minorHAnsi" w:cstheme="minorHAnsi"/>
                <w:bCs/>
                <w:color w:val="000000"/>
              </w:rPr>
            </w:pPr>
            <w:r w:rsidRPr="009332D2">
              <w:rPr>
                <w:rFonts w:asciiTheme="minorHAnsi" w:hAnsiTheme="minorHAnsi" w:cstheme="minorHAnsi"/>
                <w:bCs/>
                <w:color w:val="000000"/>
              </w:rPr>
              <w:t>Number of</w:t>
            </w:r>
          </w:p>
          <w:p w:rsidR="00503BB4" w:rsidRPr="009332D2" w:rsidP="002B49B4" w14:paraId="24D444F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bCs/>
                <w:color w:val="000000"/>
              </w:rPr>
            </w:pPr>
            <w:r w:rsidRPr="009332D2">
              <w:rPr>
                <w:rFonts w:asciiTheme="minorHAnsi" w:hAnsiTheme="minorHAnsi" w:cstheme="minorHAnsi"/>
                <w:bCs/>
                <w:color w:val="000000"/>
              </w:rPr>
              <w:t>Respondents</w:t>
            </w:r>
          </w:p>
        </w:tc>
        <w:tc>
          <w:tcPr>
            <w:tcW w:w="1620" w:type="dxa"/>
            <w:tcBorders>
              <w:top w:val="single" w:sz="7" w:space="0" w:color="000000"/>
              <w:left w:val="single" w:sz="7" w:space="0" w:color="000000"/>
              <w:bottom w:val="single" w:sz="7" w:space="0" w:color="000000"/>
              <w:right w:val="single" w:sz="7" w:space="0" w:color="000000"/>
            </w:tcBorders>
          </w:tcPr>
          <w:p w:rsidR="00503BB4" w:rsidRPr="009332D2" w:rsidP="002B49B4" w14:paraId="7E6676E4" w14:textId="77777777">
            <w:pPr>
              <w:widowControl w:val="0"/>
              <w:autoSpaceDE w:val="0"/>
              <w:autoSpaceDN w:val="0"/>
              <w:adjustRightInd w:val="0"/>
              <w:spacing w:after="0" w:line="120" w:lineRule="exact"/>
              <w:ind w:left="0" w:firstLine="0"/>
              <w:rPr>
                <w:rFonts w:asciiTheme="minorHAnsi" w:hAnsiTheme="minorHAnsi" w:cstheme="minorHAnsi"/>
                <w:bCs/>
                <w:color w:val="000000"/>
              </w:rPr>
            </w:pPr>
          </w:p>
          <w:p w:rsidR="00503BB4" w:rsidRPr="009332D2" w:rsidP="002B49B4" w14:paraId="3BEC0DC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rFonts w:asciiTheme="minorHAnsi" w:hAnsiTheme="minorHAnsi" w:cstheme="minorHAnsi"/>
                <w:bCs/>
                <w:color w:val="000000"/>
              </w:rPr>
            </w:pPr>
            <w:r w:rsidRPr="009332D2">
              <w:rPr>
                <w:rFonts w:asciiTheme="minorHAnsi" w:hAnsiTheme="minorHAnsi" w:cstheme="minorHAnsi"/>
                <w:bCs/>
                <w:color w:val="000000"/>
              </w:rPr>
              <w:t>Number of</w:t>
            </w:r>
          </w:p>
          <w:p w:rsidR="00503BB4" w:rsidRPr="009332D2" w:rsidP="002B49B4" w14:paraId="69D8619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rFonts w:asciiTheme="minorHAnsi" w:hAnsiTheme="minorHAnsi" w:cstheme="minorHAnsi"/>
                <w:bCs/>
                <w:color w:val="000000"/>
              </w:rPr>
            </w:pPr>
            <w:r w:rsidRPr="009332D2">
              <w:rPr>
                <w:rFonts w:asciiTheme="minorHAnsi" w:hAnsiTheme="minorHAnsi" w:cstheme="minorHAnsi"/>
                <w:bCs/>
                <w:color w:val="000000"/>
              </w:rPr>
              <w:t>Responses per</w:t>
            </w:r>
          </w:p>
          <w:p w:rsidR="00503BB4" w:rsidRPr="009332D2" w:rsidP="002B49B4" w14:paraId="2D245B0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bCs/>
                <w:color w:val="000000"/>
              </w:rPr>
            </w:pPr>
            <w:r w:rsidRPr="009332D2">
              <w:rPr>
                <w:rFonts w:asciiTheme="minorHAnsi" w:hAnsiTheme="minorHAnsi" w:cstheme="minorHAnsi"/>
                <w:bCs/>
                <w:color w:val="000000"/>
              </w:rPr>
              <w:t>Respondent</w:t>
            </w:r>
          </w:p>
        </w:tc>
        <w:tc>
          <w:tcPr>
            <w:tcW w:w="1260" w:type="dxa"/>
            <w:tcBorders>
              <w:top w:val="single" w:sz="7" w:space="0" w:color="000000"/>
              <w:left w:val="single" w:sz="7" w:space="0" w:color="000000"/>
              <w:bottom w:val="single" w:sz="7" w:space="0" w:color="000000"/>
              <w:right w:val="single" w:sz="7" w:space="0" w:color="000000"/>
            </w:tcBorders>
          </w:tcPr>
          <w:p w:rsidR="00503BB4" w:rsidRPr="009332D2" w:rsidP="002B49B4" w14:paraId="66C4394F" w14:textId="77777777">
            <w:pPr>
              <w:widowControl w:val="0"/>
              <w:autoSpaceDE w:val="0"/>
              <w:autoSpaceDN w:val="0"/>
              <w:adjustRightInd w:val="0"/>
              <w:spacing w:after="0" w:line="120" w:lineRule="exact"/>
              <w:ind w:left="0" w:firstLine="0"/>
              <w:rPr>
                <w:rFonts w:asciiTheme="minorHAnsi" w:hAnsiTheme="minorHAnsi" w:cstheme="minorHAnsi"/>
                <w:bCs/>
                <w:color w:val="000000"/>
              </w:rPr>
            </w:pPr>
          </w:p>
          <w:p w:rsidR="00503BB4" w:rsidRPr="009332D2" w:rsidP="002B49B4" w14:paraId="10D786E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rFonts w:asciiTheme="minorHAnsi" w:hAnsiTheme="minorHAnsi" w:cstheme="minorHAnsi"/>
                <w:bCs/>
                <w:color w:val="000000"/>
              </w:rPr>
            </w:pPr>
            <w:r w:rsidRPr="009332D2">
              <w:rPr>
                <w:rFonts w:asciiTheme="minorHAnsi" w:hAnsiTheme="minorHAnsi" w:cstheme="minorHAnsi"/>
                <w:bCs/>
                <w:color w:val="000000"/>
              </w:rPr>
              <w:t>Average Hours</w:t>
            </w:r>
          </w:p>
          <w:p w:rsidR="00503BB4" w:rsidRPr="009332D2" w:rsidP="002B49B4" w14:paraId="375E574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bCs/>
                <w:color w:val="000000"/>
              </w:rPr>
            </w:pPr>
            <w:r w:rsidRPr="009332D2">
              <w:rPr>
                <w:rFonts w:asciiTheme="minorHAnsi" w:hAnsiTheme="minorHAnsi" w:cstheme="minorHAnsi"/>
                <w:bCs/>
                <w:color w:val="000000"/>
              </w:rPr>
              <w:t>Per Response</w:t>
            </w:r>
          </w:p>
        </w:tc>
        <w:tc>
          <w:tcPr>
            <w:tcW w:w="1341" w:type="dxa"/>
            <w:tcBorders>
              <w:top w:val="single" w:sz="7" w:space="0" w:color="000000"/>
              <w:left w:val="single" w:sz="7" w:space="0" w:color="000000"/>
              <w:bottom w:val="single" w:sz="7" w:space="0" w:color="000000"/>
              <w:right w:val="single" w:sz="7" w:space="0" w:color="000000"/>
            </w:tcBorders>
          </w:tcPr>
          <w:p w:rsidR="00503BB4" w:rsidRPr="009332D2" w:rsidP="002B49B4" w14:paraId="39463992" w14:textId="77777777">
            <w:pPr>
              <w:widowControl w:val="0"/>
              <w:autoSpaceDE w:val="0"/>
              <w:autoSpaceDN w:val="0"/>
              <w:adjustRightInd w:val="0"/>
              <w:spacing w:after="0" w:line="120" w:lineRule="exact"/>
              <w:ind w:left="0" w:firstLine="0"/>
              <w:rPr>
                <w:rFonts w:asciiTheme="minorHAnsi" w:hAnsiTheme="minorHAnsi" w:cstheme="minorHAnsi"/>
                <w:bCs/>
                <w:color w:val="000000"/>
              </w:rPr>
            </w:pPr>
          </w:p>
          <w:p w:rsidR="00503BB4" w:rsidRPr="009332D2" w:rsidP="002B49B4" w14:paraId="561B718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rFonts w:asciiTheme="minorHAnsi" w:hAnsiTheme="minorHAnsi" w:cstheme="minorHAnsi"/>
                <w:bCs/>
                <w:color w:val="000000"/>
              </w:rPr>
            </w:pPr>
            <w:r w:rsidRPr="009332D2">
              <w:rPr>
                <w:rFonts w:asciiTheme="minorHAnsi" w:hAnsiTheme="minorHAnsi" w:cstheme="minorHAnsi"/>
                <w:bCs/>
                <w:color w:val="000000"/>
              </w:rPr>
              <w:t>Total Response</w:t>
            </w:r>
          </w:p>
          <w:p w:rsidR="00503BB4" w:rsidRPr="009332D2" w:rsidP="002B49B4" w14:paraId="75DF199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bCs/>
                <w:color w:val="000000"/>
              </w:rPr>
            </w:pPr>
            <w:r w:rsidRPr="009332D2">
              <w:rPr>
                <w:rFonts w:asciiTheme="minorHAnsi" w:hAnsiTheme="minorHAnsi" w:cstheme="minorHAnsi"/>
                <w:bCs/>
                <w:color w:val="000000"/>
              </w:rPr>
              <w:t>Burden</w:t>
            </w:r>
          </w:p>
          <w:p w:rsidR="00503BB4" w:rsidRPr="009332D2" w:rsidP="002B49B4" w14:paraId="0AE49B2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bCs/>
                <w:color w:val="000000"/>
              </w:rPr>
            </w:pPr>
            <w:r w:rsidRPr="009332D2">
              <w:rPr>
                <w:rFonts w:asciiTheme="minorHAnsi" w:hAnsiTheme="minorHAnsi" w:cstheme="minorHAnsi"/>
                <w:bCs/>
                <w:color w:val="000000"/>
              </w:rPr>
              <w:t>(Hours)</w:t>
            </w:r>
          </w:p>
        </w:tc>
      </w:tr>
      <w:tr w14:paraId="083C867A" w14:textId="77777777" w:rsidTr="000752F8">
        <w:tblPrEx>
          <w:tblW w:w="9972" w:type="dxa"/>
          <w:tblLayout w:type="fixed"/>
          <w:tblCellMar>
            <w:left w:w="120" w:type="dxa"/>
            <w:right w:w="120" w:type="dxa"/>
          </w:tblCellMar>
          <w:tblLook w:val="0000"/>
        </w:tblPrEx>
        <w:tc>
          <w:tcPr>
            <w:tcW w:w="1650" w:type="dxa"/>
            <w:vMerge w:val="restart"/>
            <w:tcBorders>
              <w:left w:val="single" w:sz="7" w:space="0" w:color="000000"/>
              <w:right w:val="single" w:sz="7" w:space="0" w:color="000000"/>
            </w:tcBorders>
          </w:tcPr>
          <w:p w:rsidR="00820271" w:rsidP="00820271" w14:paraId="43E7D9CF" w14:textId="24DD95D0">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rFonts w:asciiTheme="minorHAnsi" w:hAnsiTheme="minorHAnsi" w:cstheme="minorHAnsi"/>
                <w:color w:val="000000"/>
              </w:rPr>
            </w:pPr>
            <w:r>
              <w:rPr>
                <w:rFonts w:asciiTheme="minorHAnsi" w:hAnsiTheme="minorHAnsi" w:cstheme="minorHAnsi"/>
                <w:color w:val="000000"/>
              </w:rPr>
              <w:t>Occupational Safety and Health Professionals</w:t>
            </w:r>
          </w:p>
        </w:tc>
        <w:tc>
          <w:tcPr>
            <w:tcW w:w="2571" w:type="dxa"/>
            <w:tcBorders>
              <w:top w:val="single" w:sz="7" w:space="0" w:color="000000"/>
              <w:left w:val="single" w:sz="7" w:space="0" w:color="000000"/>
              <w:bottom w:val="single" w:sz="7" w:space="0" w:color="000000"/>
              <w:right w:val="single" w:sz="7" w:space="0" w:color="000000"/>
            </w:tcBorders>
          </w:tcPr>
          <w:p w:rsidR="00820271" w:rsidP="00820271" w14:paraId="309BA3DB" w14:textId="7321B42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rFonts w:asciiTheme="minorHAnsi" w:hAnsiTheme="minorHAnsi" w:cstheme="minorHAnsi"/>
                <w:color w:val="000000"/>
              </w:rPr>
            </w:pPr>
            <w:r>
              <w:rPr>
                <w:rFonts w:asciiTheme="minorHAnsi" w:hAnsiTheme="minorHAnsi" w:cstheme="minorHAnsi"/>
                <w:color w:val="000000"/>
              </w:rPr>
              <w:t>MVC_Priorities</w:t>
            </w:r>
            <w:r>
              <w:rPr>
                <w:rFonts w:asciiTheme="minorHAnsi" w:hAnsiTheme="minorHAnsi" w:cstheme="minorHAnsi"/>
                <w:color w:val="000000"/>
              </w:rPr>
              <w:t xml:space="preserve"> Interview</w:t>
            </w:r>
            <w:r w:rsidRPr="009332D2">
              <w:rPr>
                <w:rFonts w:asciiTheme="minorHAnsi" w:hAnsiTheme="minorHAnsi" w:cstheme="minorHAnsi"/>
                <w:color w:val="000000"/>
              </w:rPr>
              <w:t xml:space="preserve"> </w:t>
            </w:r>
          </w:p>
        </w:tc>
        <w:tc>
          <w:tcPr>
            <w:tcW w:w="1530" w:type="dxa"/>
            <w:tcBorders>
              <w:top w:val="single" w:sz="7" w:space="0" w:color="000000"/>
              <w:left w:val="single" w:sz="7" w:space="0" w:color="000000"/>
              <w:bottom w:val="single" w:sz="7" w:space="0" w:color="000000"/>
              <w:right w:val="single" w:sz="7" w:space="0" w:color="000000"/>
            </w:tcBorders>
          </w:tcPr>
          <w:p w:rsidR="00820271" w:rsidP="00820271" w14:paraId="5DE9D13D" w14:textId="6F09CA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 xml:space="preserve">30 </w:t>
            </w:r>
          </w:p>
        </w:tc>
        <w:tc>
          <w:tcPr>
            <w:tcW w:w="1620" w:type="dxa"/>
            <w:tcBorders>
              <w:top w:val="single" w:sz="7" w:space="0" w:color="000000"/>
              <w:left w:val="single" w:sz="7" w:space="0" w:color="000000"/>
              <w:bottom w:val="single" w:sz="7" w:space="0" w:color="000000"/>
              <w:right w:val="single" w:sz="7" w:space="0" w:color="000000"/>
            </w:tcBorders>
          </w:tcPr>
          <w:p w:rsidR="00820271" w:rsidP="00820271" w14:paraId="6E0CF257" w14:textId="65B3648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sidRPr="009332D2">
              <w:rPr>
                <w:rFonts w:asciiTheme="minorHAnsi" w:hAnsiTheme="minorHAnsi" w:cstheme="minorHAnsi"/>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820271" w:rsidP="00820271" w14:paraId="01B9E401" w14:textId="2E24DE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sidRPr="009332D2">
              <w:rPr>
                <w:rFonts w:asciiTheme="minorHAnsi" w:hAnsiTheme="minorHAnsi" w:cstheme="minorHAnsi"/>
                <w:color w:val="000000"/>
              </w:rPr>
              <w:t>1</w:t>
            </w:r>
          </w:p>
        </w:tc>
        <w:tc>
          <w:tcPr>
            <w:tcW w:w="1341" w:type="dxa"/>
            <w:tcBorders>
              <w:top w:val="single" w:sz="7" w:space="0" w:color="000000"/>
              <w:left w:val="single" w:sz="7" w:space="0" w:color="000000"/>
              <w:bottom w:val="single" w:sz="7" w:space="0" w:color="000000"/>
              <w:right w:val="single" w:sz="7" w:space="0" w:color="000000"/>
            </w:tcBorders>
          </w:tcPr>
          <w:p w:rsidR="00820271" w:rsidP="00820271" w14:paraId="536C9928" w14:textId="577F2C7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30</w:t>
            </w:r>
          </w:p>
        </w:tc>
      </w:tr>
      <w:tr w14:paraId="66E5389C" w14:textId="77777777" w:rsidTr="00320419">
        <w:tblPrEx>
          <w:tblW w:w="9972" w:type="dxa"/>
          <w:tblLayout w:type="fixed"/>
          <w:tblCellMar>
            <w:left w:w="120" w:type="dxa"/>
            <w:right w:w="120" w:type="dxa"/>
          </w:tblCellMar>
          <w:tblLook w:val="0000"/>
        </w:tblPrEx>
        <w:tc>
          <w:tcPr>
            <w:tcW w:w="1650" w:type="dxa"/>
            <w:vMerge/>
            <w:tcBorders>
              <w:left w:val="single" w:sz="7" w:space="0" w:color="000000"/>
              <w:bottom w:val="single" w:sz="7" w:space="0" w:color="000000"/>
              <w:right w:val="single" w:sz="7" w:space="0" w:color="000000"/>
            </w:tcBorders>
          </w:tcPr>
          <w:p w:rsidR="00820271" w:rsidP="00820271" w14:paraId="71038038"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rFonts w:asciiTheme="minorHAnsi" w:hAnsiTheme="minorHAnsi" w:cstheme="minorHAnsi"/>
                <w:color w:val="000000"/>
              </w:rPr>
            </w:pPr>
          </w:p>
        </w:tc>
        <w:tc>
          <w:tcPr>
            <w:tcW w:w="2571" w:type="dxa"/>
            <w:tcBorders>
              <w:top w:val="single" w:sz="7" w:space="0" w:color="000000"/>
              <w:left w:val="single" w:sz="7" w:space="0" w:color="000000"/>
              <w:bottom w:val="single" w:sz="7" w:space="0" w:color="000000"/>
              <w:right w:val="single" w:sz="7" w:space="0" w:color="000000"/>
            </w:tcBorders>
          </w:tcPr>
          <w:p w:rsidR="00820271" w:rsidP="00820271" w14:paraId="2E5ACD9F" w14:textId="1A34A1D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rFonts w:asciiTheme="minorHAnsi" w:hAnsiTheme="minorHAnsi" w:cstheme="minorHAnsi"/>
                <w:color w:val="000000"/>
              </w:rPr>
            </w:pPr>
            <w:r>
              <w:rPr>
                <w:rFonts w:asciiTheme="minorHAnsi" w:hAnsiTheme="minorHAnsi" w:cstheme="minorHAnsi"/>
                <w:color w:val="000000"/>
              </w:rPr>
              <w:t>IVMS_Interview</w:t>
            </w:r>
          </w:p>
        </w:tc>
        <w:tc>
          <w:tcPr>
            <w:tcW w:w="1530" w:type="dxa"/>
            <w:tcBorders>
              <w:top w:val="single" w:sz="7" w:space="0" w:color="000000"/>
              <w:left w:val="single" w:sz="7" w:space="0" w:color="000000"/>
              <w:bottom w:val="single" w:sz="7" w:space="0" w:color="000000"/>
              <w:right w:val="single" w:sz="7" w:space="0" w:color="000000"/>
            </w:tcBorders>
          </w:tcPr>
          <w:p w:rsidR="00820271" w:rsidP="00820271" w14:paraId="6C8F082D" w14:textId="7030BF2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15</w:t>
            </w:r>
          </w:p>
        </w:tc>
        <w:tc>
          <w:tcPr>
            <w:tcW w:w="1620" w:type="dxa"/>
            <w:tcBorders>
              <w:top w:val="single" w:sz="7" w:space="0" w:color="000000"/>
              <w:left w:val="single" w:sz="7" w:space="0" w:color="000000"/>
              <w:bottom w:val="single" w:sz="7" w:space="0" w:color="000000"/>
              <w:right w:val="single" w:sz="7" w:space="0" w:color="000000"/>
            </w:tcBorders>
          </w:tcPr>
          <w:p w:rsidR="00820271" w:rsidP="00820271" w14:paraId="4639A820" w14:textId="1922B23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820271" w:rsidP="00820271" w14:paraId="2CF39E2E" w14:textId="631B70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1</w:t>
            </w:r>
          </w:p>
        </w:tc>
        <w:tc>
          <w:tcPr>
            <w:tcW w:w="1341" w:type="dxa"/>
            <w:tcBorders>
              <w:top w:val="single" w:sz="7" w:space="0" w:color="000000"/>
              <w:left w:val="single" w:sz="7" w:space="0" w:color="000000"/>
              <w:bottom w:val="single" w:sz="7" w:space="0" w:color="000000"/>
              <w:right w:val="single" w:sz="7" w:space="0" w:color="000000"/>
            </w:tcBorders>
          </w:tcPr>
          <w:p w:rsidR="00820271" w:rsidP="00820271" w14:paraId="19081A4A" w14:textId="2EAA33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15</w:t>
            </w:r>
          </w:p>
        </w:tc>
      </w:tr>
      <w:tr w14:paraId="2D26CC61" w14:textId="77777777" w:rsidTr="00320419">
        <w:tblPrEx>
          <w:tblW w:w="9972" w:type="dxa"/>
          <w:tblLayout w:type="fixed"/>
          <w:tblCellMar>
            <w:left w:w="120" w:type="dxa"/>
            <w:right w:w="120" w:type="dxa"/>
          </w:tblCellMar>
          <w:tblLook w:val="0000"/>
        </w:tblPrEx>
        <w:tc>
          <w:tcPr>
            <w:tcW w:w="1650" w:type="dxa"/>
            <w:tcBorders>
              <w:left w:val="single" w:sz="7" w:space="0" w:color="000000"/>
              <w:bottom w:val="single" w:sz="7" w:space="0" w:color="000000"/>
              <w:right w:val="single" w:sz="7" w:space="0" w:color="000000"/>
            </w:tcBorders>
          </w:tcPr>
          <w:p w:rsidR="00820271" w:rsidRPr="009332D2" w:rsidP="00820271" w14:paraId="6676095D" w14:textId="00811CB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rFonts w:asciiTheme="minorHAnsi" w:hAnsiTheme="minorHAnsi" w:cstheme="minorHAnsi"/>
                <w:color w:val="000000"/>
              </w:rPr>
            </w:pPr>
            <w:r>
              <w:rPr>
                <w:rFonts w:asciiTheme="minorHAnsi" w:hAnsiTheme="minorHAnsi" w:cstheme="minorHAnsi"/>
                <w:color w:val="000000"/>
              </w:rPr>
              <w:t>Data Professionals</w:t>
            </w:r>
          </w:p>
        </w:tc>
        <w:tc>
          <w:tcPr>
            <w:tcW w:w="2571" w:type="dxa"/>
            <w:tcBorders>
              <w:top w:val="single" w:sz="7" w:space="0" w:color="000000"/>
              <w:left w:val="single" w:sz="7" w:space="0" w:color="000000"/>
              <w:bottom w:val="single" w:sz="7" w:space="0" w:color="000000"/>
              <w:right w:val="single" w:sz="7" w:space="0" w:color="000000"/>
            </w:tcBorders>
          </w:tcPr>
          <w:p w:rsidR="00820271" w:rsidRPr="009332D2" w:rsidP="00820271" w14:paraId="59523343" w14:textId="66D0D61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rFonts w:asciiTheme="minorHAnsi" w:hAnsiTheme="minorHAnsi" w:cstheme="minorHAnsi"/>
                <w:color w:val="000000"/>
              </w:rPr>
            </w:pPr>
            <w:r>
              <w:rPr>
                <w:rFonts w:asciiTheme="minorHAnsi" w:hAnsiTheme="minorHAnsi" w:cstheme="minorHAnsi"/>
                <w:color w:val="000000"/>
              </w:rPr>
              <w:t>Data_</w:t>
            </w:r>
            <w:r w:rsidRPr="009332D2">
              <w:rPr>
                <w:rFonts w:asciiTheme="minorHAnsi" w:hAnsiTheme="minorHAnsi" w:cstheme="minorHAnsi"/>
                <w:color w:val="000000"/>
              </w:rPr>
              <w:t>Interview</w:t>
            </w:r>
          </w:p>
        </w:tc>
        <w:tc>
          <w:tcPr>
            <w:tcW w:w="1530" w:type="dxa"/>
            <w:tcBorders>
              <w:top w:val="single" w:sz="7" w:space="0" w:color="000000"/>
              <w:left w:val="single" w:sz="7" w:space="0" w:color="000000"/>
              <w:bottom w:val="single" w:sz="7" w:space="0" w:color="000000"/>
              <w:right w:val="single" w:sz="7" w:space="0" w:color="000000"/>
            </w:tcBorders>
          </w:tcPr>
          <w:p w:rsidR="00820271" w:rsidRPr="009332D2" w:rsidP="00820271" w14:paraId="4185828F" w14:textId="7EFC63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 xml:space="preserve">30 </w:t>
            </w:r>
          </w:p>
        </w:tc>
        <w:tc>
          <w:tcPr>
            <w:tcW w:w="1620" w:type="dxa"/>
            <w:tcBorders>
              <w:top w:val="single" w:sz="7" w:space="0" w:color="000000"/>
              <w:left w:val="single" w:sz="7" w:space="0" w:color="000000"/>
              <w:bottom w:val="single" w:sz="7" w:space="0" w:color="000000"/>
              <w:right w:val="single" w:sz="7" w:space="0" w:color="000000"/>
            </w:tcBorders>
          </w:tcPr>
          <w:p w:rsidR="00820271" w:rsidRPr="009332D2" w:rsidP="00820271" w14:paraId="39EE6D09" w14:textId="128930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1</w:t>
            </w:r>
          </w:p>
        </w:tc>
        <w:tc>
          <w:tcPr>
            <w:tcW w:w="1260" w:type="dxa"/>
            <w:tcBorders>
              <w:top w:val="single" w:sz="7" w:space="0" w:color="000000"/>
              <w:left w:val="single" w:sz="7" w:space="0" w:color="000000"/>
              <w:bottom w:val="single" w:sz="7" w:space="0" w:color="000000"/>
              <w:right w:val="single" w:sz="7" w:space="0" w:color="000000"/>
            </w:tcBorders>
          </w:tcPr>
          <w:p w:rsidR="00820271" w:rsidRPr="009332D2" w:rsidP="00820271" w14:paraId="0AD9B7E2" w14:textId="3403D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1</w:t>
            </w:r>
          </w:p>
        </w:tc>
        <w:tc>
          <w:tcPr>
            <w:tcW w:w="1341" w:type="dxa"/>
            <w:tcBorders>
              <w:top w:val="single" w:sz="7" w:space="0" w:color="000000"/>
              <w:left w:val="single" w:sz="7" w:space="0" w:color="000000"/>
              <w:bottom w:val="single" w:sz="7" w:space="0" w:color="000000"/>
              <w:right w:val="single" w:sz="7" w:space="0" w:color="000000"/>
            </w:tcBorders>
          </w:tcPr>
          <w:p w:rsidR="00820271" w:rsidRPr="009332D2" w:rsidP="00820271" w14:paraId="5D7002C3" w14:textId="0FA907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r>
              <w:rPr>
                <w:rFonts w:asciiTheme="minorHAnsi" w:hAnsiTheme="minorHAnsi" w:cstheme="minorHAnsi"/>
                <w:color w:val="000000"/>
              </w:rPr>
              <w:t>30</w:t>
            </w:r>
          </w:p>
        </w:tc>
      </w:tr>
      <w:tr w14:paraId="2F58DB2B" w14:textId="77777777" w:rsidTr="00320419">
        <w:tblPrEx>
          <w:tblW w:w="9972" w:type="dxa"/>
          <w:tblLayout w:type="fixed"/>
          <w:tblCellMar>
            <w:left w:w="120" w:type="dxa"/>
            <w:right w:w="120" w:type="dxa"/>
          </w:tblCellMar>
          <w:tblLook w:val="0000"/>
        </w:tblPrEx>
        <w:tc>
          <w:tcPr>
            <w:tcW w:w="1650" w:type="dxa"/>
            <w:tcBorders>
              <w:top w:val="single" w:sz="8" w:space="0" w:color="000000"/>
              <w:left w:val="single" w:sz="7" w:space="0" w:color="000000"/>
              <w:bottom w:val="single" w:sz="7" w:space="0" w:color="000000"/>
              <w:right w:val="single" w:sz="7" w:space="0" w:color="000000"/>
            </w:tcBorders>
          </w:tcPr>
          <w:p w:rsidR="00820271" w:rsidRPr="009332D2" w:rsidP="00820271" w14:paraId="66708E5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b/>
                <w:color w:val="000000"/>
              </w:rPr>
            </w:pPr>
            <w:r w:rsidRPr="009332D2">
              <w:rPr>
                <w:rFonts w:asciiTheme="minorHAnsi" w:hAnsiTheme="minorHAnsi" w:cstheme="minorHAnsi"/>
                <w:b/>
                <w:color w:val="000000"/>
              </w:rPr>
              <w:t>Total</w:t>
            </w:r>
          </w:p>
        </w:tc>
        <w:tc>
          <w:tcPr>
            <w:tcW w:w="2571" w:type="dxa"/>
            <w:tcBorders>
              <w:top w:val="single" w:sz="8" w:space="0" w:color="000000"/>
              <w:left w:val="single" w:sz="7" w:space="0" w:color="000000"/>
              <w:bottom w:val="single" w:sz="7" w:space="0" w:color="000000"/>
              <w:right w:val="single" w:sz="7" w:space="0" w:color="000000"/>
            </w:tcBorders>
          </w:tcPr>
          <w:p w:rsidR="00820271" w:rsidRPr="009332D2" w:rsidP="00820271" w14:paraId="07127AD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b/>
                <w:color w:val="000000"/>
              </w:rPr>
            </w:pPr>
          </w:p>
        </w:tc>
        <w:tc>
          <w:tcPr>
            <w:tcW w:w="1530" w:type="dxa"/>
            <w:tcBorders>
              <w:top w:val="single" w:sz="8" w:space="0" w:color="000000"/>
              <w:left w:val="single" w:sz="7" w:space="0" w:color="000000"/>
              <w:bottom w:val="single" w:sz="7" w:space="0" w:color="000000"/>
              <w:right w:val="single" w:sz="7" w:space="0" w:color="000000"/>
            </w:tcBorders>
          </w:tcPr>
          <w:p w:rsidR="00820271" w:rsidRPr="009332D2" w:rsidP="00820271" w14:paraId="6AFEBFD9" w14:textId="38A527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b/>
                <w:color w:val="000000"/>
              </w:rPr>
            </w:pPr>
          </w:p>
        </w:tc>
        <w:tc>
          <w:tcPr>
            <w:tcW w:w="1620" w:type="dxa"/>
            <w:tcBorders>
              <w:top w:val="single" w:sz="8" w:space="0" w:color="000000"/>
              <w:left w:val="single" w:sz="7" w:space="0" w:color="000000"/>
              <w:bottom w:val="single" w:sz="7" w:space="0" w:color="000000"/>
              <w:right w:val="single" w:sz="7" w:space="0" w:color="000000"/>
            </w:tcBorders>
          </w:tcPr>
          <w:p w:rsidR="00820271" w:rsidRPr="009332D2" w:rsidP="00820271" w14:paraId="4A12E7C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p>
        </w:tc>
        <w:tc>
          <w:tcPr>
            <w:tcW w:w="1260" w:type="dxa"/>
            <w:tcBorders>
              <w:top w:val="single" w:sz="8" w:space="0" w:color="000000"/>
              <w:left w:val="single" w:sz="7" w:space="0" w:color="000000"/>
              <w:bottom w:val="single" w:sz="7" w:space="0" w:color="000000"/>
              <w:right w:val="single" w:sz="7" w:space="0" w:color="000000"/>
            </w:tcBorders>
          </w:tcPr>
          <w:p w:rsidR="00820271" w:rsidRPr="009332D2" w:rsidP="00820271" w14:paraId="5253D35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rPr>
            </w:pPr>
          </w:p>
        </w:tc>
        <w:tc>
          <w:tcPr>
            <w:tcW w:w="1341" w:type="dxa"/>
            <w:tcBorders>
              <w:top w:val="single" w:sz="8" w:space="0" w:color="000000"/>
              <w:left w:val="single" w:sz="7" w:space="0" w:color="000000"/>
              <w:bottom w:val="single" w:sz="7" w:space="0" w:color="000000"/>
              <w:right w:val="single" w:sz="7" w:space="0" w:color="000000"/>
            </w:tcBorders>
          </w:tcPr>
          <w:p w:rsidR="00820271" w:rsidRPr="009332D2" w:rsidP="00820271" w14:paraId="74DF2344" w14:textId="324394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b/>
                <w:color w:val="000000"/>
              </w:rPr>
            </w:pPr>
            <w:r>
              <w:rPr>
                <w:rFonts w:asciiTheme="minorHAnsi" w:hAnsiTheme="minorHAnsi" w:cstheme="minorHAnsi"/>
                <w:b/>
                <w:color w:val="000000"/>
              </w:rPr>
              <w:t>75</w:t>
            </w:r>
          </w:p>
        </w:tc>
      </w:tr>
    </w:tbl>
    <w:p w:rsidR="00885576" w:rsidRPr="009332D2" w:rsidP="00291FB8" w14:paraId="7EDCD703" w14:textId="77777777">
      <w:pPr>
        <w:pStyle w:val="BodyText1"/>
        <w:spacing w:line="240" w:lineRule="auto"/>
        <w:ind w:left="0" w:firstLine="0"/>
        <w:rPr>
          <w:rFonts w:asciiTheme="minorHAnsi" w:hAnsiTheme="minorHAnsi" w:cstheme="minorHAnsi"/>
          <w:b/>
          <w:szCs w:val="24"/>
        </w:rPr>
      </w:pPr>
    </w:p>
    <w:p w:rsidR="00E049ED" w:rsidRPr="009332D2" w:rsidP="00E049ED" w14:paraId="7931787C" w14:textId="77777777">
      <w:pPr>
        <w:tabs>
          <w:tab w:val="left" w:pos="0"/>
        </w:tabs>
        <w:rPr>
          <w:rFonts w:asciiTheme="minorHAnsi" w:hAnsiTheme="minorHAnsi" w:cstheme="minorHAnsi"/>
        </w:rPr>
      </w:pPr>
      <w:r w:rsidRPr="009332D2">
        <w:rPr>
          <w:rFonts w:asciiTheme="minorHAnsi" w:hAnsiTheme="minorHAnsi" w:cstheme="minorHAnsi"/>
          <w:b/>
          <w:bCs/>
        </w:rPr>
        <w:t xml:space="preserve">A.12.B Estimated Annualized Costs </w:t>
      </w:r>
    </w:p>
    <w:p w:rsidR="00885576" w:rsidRPr="009332D2" w:rsidP="00885576" w14:paraId="79E82A8C" w14:textId="36347538">
      <w:pPr>
        <w:pStyle w:val="BodyText1"/>
        <w:spacing w:line="240" w:lineRule="auto"/>
        <w:ind w:left="0" w:firstLine="0"/>
        <w:rPr>
          <w:rFonts w:asciiTheme="minorHAnsi" w:hAnsiTheme="minorHAnsi" w:cstheme="minorHAnsi"/>
        </w:rPr>
      </w:pPr>
      <w:r>
        <w:rPr>
          <w:rFonts w:asciiTheme="minorHAnsi" w:hAnsiTheme="minorHAnsi" w:cstheme="minorHAnsi"/>
        </w:rPr>
        <w:t xml:space="preserve">This project is being supported </w:t>
      </w:r>
      <w:r w:rsidR="00FF522A">
        <w:rPr>
          <w:rFonts w:asciiTheme="minorHAnsi" w:hAnsiTheme="minorHAnsi" w:cstheme="minorHAnsi"/>
        </w:rPr>
        <w:t>through the</w:t>
      </w:r>
      <w:r>
        <w:rPr>
          <w:rFonts w:asciiTheme="minorHAnsi" w:hAnsiTheme="minorHAnsi" w:cstheme="minorHAnsi"/>
        </w:rPr>
        <w:t xml:space="preserve"> </w:t>
      </w:r>
      <w:r w:rsidRPr="00FF522A" w:rsidR="00FF522A">
        <w:rPr>
          <w:rFonts w:asciiTheme="minorHAnsi" w:hAnsiTheme="minorHAnsi" w:cstheme="minorHAnsi"/>
        </w:rPr>
        <w:t>National Institute for Occupational Safety and Health (NIOSH) National Occupational Research Agenda (NORA) Intramural Research Competition</w:t>
      </w:r>
      <w:r w:rsidR="00FF522A">
        <w:rPr>
          <w:rFonts w:asciiTheme="minorHAnsi" w:hAnsiTheme="minorHAnsi" w:cstheme="minorHAnsi"/>
        </w:rPr>
        <w:t>. The project is scheduled for 10/1/2023 through 9/30/2027</w:t>
      </w:r>
      <w:r w:rsidRPr="009332D2" w:rsidR="005507F9">
        <w:rPr>
          <w:rFonts w:asciiTheme="minorHAnsi" w:hAnsiTheme="minorHAnsi" w:cstheme="minorHAnsi"/>
        </w:rPr>
        <w:t xml:space="preserve">.  The annualized cost to the respondent is segmented accordingly in Exhibit A.12.B.     </w:t>
      </w:r>
    </w:p>
    <w:p w:rsidR="002B49B4" w:rsidRPr="009332D2" w:rsidP="00885576" w14:paraId="5AB546A7" w14:textId="259E17C6">
      <w:pPr>
        <w:pStyle w:val="BodyText1"/>
        <w:spacing w:line="240" w:lineRule="auto"/>
        <w:ind w:left="0" w:firstLine="0"/>
        <w:rPr>
          <w:rFonts w:asciiTheme="minorHAnsi" w:hAnsiTheme="minorHAnsi" w:cstheme="minorHAnsi"/>
          <w:bCs/>
        </w:rPr>
      </w:pPr>
      <w:r w:rsidRPr="009332D2">
        <w:rPr>
          <w:rFonts w:asciiTheme="minorHAnsi" w:hAnsiTheme="minorHAnsi" w:cstheme="minorHAnsi"/>
        </w:rPr>
        <w:t>The United States Department of Labor, Bureau of Labor Statistics</w:t>
      </w:r>
      <w:r w:rsidRPr="009332D2" w:rsidR="0017776D">
        <w:rPr>
          <w:rFonts w:asciiTheme="minorHAnsi" w:hAnsiTheme="minorHAnsi" w:cstheme="minorHAnsi"/>
        </w:rPr>
        <w:t>,</w:t>
      </w:r>
      <w:r w:rsidRPr="009332D2">
        <w:rPr>
          <w:rFonts w:asciiTheme="minorHAnsi" w:hAnsiTheme="minorHAnsi" w:cstheme="minorHAnsi"/>
        </w:rPr>
        <w:t xml:space="preserve"> May</w:t>
      </w:r>
      <w:r w:rsidRPr="009332D2" w:rsidR="00D71D3D">
        <w:rPr>
          <w:rFonts w:asciiTheme="minorHAnsi" w:hAnsiTheme="minorHAnsi" w:cstheme="minorHAnsi"/>
        </w:rPr>
        <w:t xml:space="preserve"> </w:t>
      </w:r>
      <w:r w:rsidRPr="009332D2" w:rsidR="00C36C09">
        <w:rPr>
          <w:rFonts w:asciiTheme="minorHAnsi" w:hAnsiTheme="minorHAnsi" w:cstheme="minorHAnsi"/>
        </w:rPr>
        <w:t>202</w:t>
      </w:r>
      <w:r w:rsidR="00C36C09">
        <w:rPr>
          <w:rFonts w:asciiTheme="minorHAnsi" w:hAnsiTheme="minorHAnsi" w:cstheme="minorHAnsi"/>
        </w:rPr>
        <w:t>3</w:t>
      </w:r>
      <w:r w:rsidR="00464449">
        <w:rPr>
          <w:rFonts w:asciiTheme="minorHAnsi" w:hAnsiTheme="minorHAnsi" w:cstheme="minorHAnsi"/>
        </w:rPr>
        <w:t>,</w:t>
      </w:r>
      <w:r w:rsidRPr="009332D2">
        <w:rPr>
          <w:rFonts w:asciiTheme="minorHAnsi" w:hAnsiTheme="minorHAnsi" w:cstheme="minorHAnsi"/>
        </w:rPr>
        <w:t xml:space="preserve"> </w:t>
      </w:r>
      <w:r w:rsidRPr="009332D2" w:rsidR="009C50AC">
        <w:rPr>
          <w:rFonts w:asciiTheme="minorHAnsi" w:hAnsiTheme="minorHAnsi" w:cstheme="minorHAnsi"/>
        </w:rPr>
        <w:t xml:space="preserve">data </w:t>
      </w:r>
      <w:r w:rsidRPr="009332D2">
        <w:rPr>
          <w:rFonts w:asciiTheme="minorHAnsi" w:hAnsiTheme="minorHAnsi" w:cstheme="minorHAnsi"/>
        </w:rPr>
        <w:t>w</w:t>
      </w:r>
      <w:r w:rsidRPr="009332D2" w:rsidR="009C50AC">
        <w:rPr>
          <w:rFonts w:asciiTheme="minorHAnsi" w:hAnsiTheme="minorHAnsi" w:cstheme="minorHAnsi"/>
        </w:rPr>
        <w:t>ere</w:t>
      </w:r>
      <w:r w:rsidRPr="009332D2">
        <w:rPr>
          <w:rFonts w:asciiTheme="minorHAnsi" w:hAnsiTheme="minorHAnsi" w:cstheme="minorHAnsi"/>
        </w:rPr>
        <w:t xml:space="preserve"> used to estimate the hourly wage rate for </w:t>
      </w:r>
      <w:r w:rsidR="001D39C5">
        <w:rPr>
          <w:rFonts w:asciiTheme="minorHAnsi" w:hAnsiTheme="minorHAnsi" w:cstheme="minorHAnsi"/>
        </w:rPr>
        <w:t>Occupational Safety and Health Specialists (Standard Occupation Code 19-5011</w:t>
      </w:r>
      <w:r w:rsidR="002E1B07">
        <w:rPr>
          <w:rFonts w:asciiTheme="minorHAnsi" w:hAnsiTheme="minorHAnsi" w:cstheme="minorHAnsi"/>
        </w:rPr>
        <w:t xml:space="preserve">; </w:t>
      </w:r>
      <w:hyperlink r:id="rId5" w:history="1">
        <w:r w:rsidRPr="003172E7" w:rsidR="002E1B07">
          <w:rPr>
            <w:rStyle w:val="Hyperlink"/>
            <w:rFonts w:asciiTheme="minorHAnsi" w:hAnsiTheme="minorHAnsi" w:cstheme="minorHAnsi"/>
          </w:rPr>
          <w:t>https://www.bls.gov/oes/current/oes195011.htm</w:t>
        </w:r>
      </w:hyperlink>
      <w:r w:rsidR="001D39C5">
        <w:rPr>
          <w:rFonts w:asciiTheme="minorHAnsi" w:hAnsiTheme="minorHAnsi" w:cstheme="minorHAnsi"/>
        </w:rPr>
        <w:t>)</w:t>
      </w:r>
      <w:r w:rsidR="008A0773">
        <w:rPr>
          <w:rFonts w:asciiTheme="minorHAnsi" w:hAnsiTheme="minorHAnsi" w:cstheme="minorHAnsi"/>
        </w:rPr>
        <w:t xml:space="preserve"> and Database Administrators (Standard Occupation Code 15-1242</w:t>
      </w:r>
      <w:r w:rsidR="00C36C09">
        <w:rPr>
          <w:rFonts w:asciiTheme="minorHAnsi" w:hAnsiTheme="minorHAnsi" w:cstheme="minorHAnsi"/>
        </w:rPr>
        <w:t xml:space="preserve">; </w:t>
      </w:r>
      <w:hyperlink r:id="rId6" w:history="1">
        <w:r w:rsidRPr="003172E7" w:rsidR="00C36C09">
          <w:rPr>
            <w:rStyle w:val="Hyperlink"/>
            <w:rFonts w:asciiTheme="minorHAnsi" w:hAnsiTheme="minorHAnsi" w:cstheme="minorHAnsi"/>
          </w:rPr>
          <w:t>https://www.bls.gov/oes/current/oes151242.htm</w:t>
        </w:r>
      </w:hyperlink>
      <w:r w:rsidR="008A0773">
        <w:rPr>
          <w:rFonts w:asciiTheme="minorHAnsi" w:hAnsiTheme="minorHAnsi" w:cstheme="minorHAnsi"/>
        </w:rPr>
        <w:t>)</w:t>
      </w:r>
      <w:r w:rsidRPr="009332D2">
        <w:rPr>
          <w:rFonts w:asciiTheme="minorHAnsi" w:hAnsiTheme="minorHAnsi" w:cstheme="minorHAnsi"/>
        </w:rPr>
        <w:t xml:space="preserve">.  </w:t>
      </w:r>
    </w:p>
    <w:p w:rsidR="00E049ED" w:rsidRPr="009332D2" w:rsidP="00E049ED" w14:paraId="77645001" w14:textId="77777777">
      <w:pPr>
        <w:pStyle w:val="Exhibittitle"/>
        <w:rPr>
          <w:rFonts w:asciiTheme="minorHAnsi" w:hAnsiTheme="minorHAnsi" w:cstheme="minorHAnsi"/>
          <w:szCs w:val="24"/>
        </w:rPr>
      </w:pPr>
      <w:bookmarkStart w:id="4" w:name="_Toc173739005"/>
      <w:r w:rsidRPr="009332D2">
        <w:rPr>
          <w:rFonts w:asciiTheme="minorHAnsi" w:hAnsiTheme="minorHAnsi" w:cstheme="minorHAnsi"/>
          <w:szCs w:val="24"/>
        </w:rPr>
        <w:t>Exhibit A.12.B.</w:t>
      </w:r>
      <w:r w:rsidRPr="009332D2">
        <w:rPr>
          <w:rFonts w:asciiTheme="minorHAnsi" w:hAnsiTheme="minorHAnsi" w:cstheme="minorHAnsi"/>
          <w:szCs w:val="24"/>
        </w:rPr>
        <w:tab/>
        <w:t>Annualized Cost to Respondents</w:t>
      </w:r>
      <w:bookmarkEnd w:id="4"/>
    </w:p>
    <w:tbl>
      <w:tblPr>
        <w:tblW w:w="96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9"/>
        <w:gridCol w:w="2298"/>
        <w:gridCol w:w="1440"/>
        <w:gridCol w:w="1168"/>
        <w:gridCol w:w="942"/>
        <w:gridCol w:w="883"/>
        <w:gridCol w:w="1412"/>
      </w:tblGrid>
      <w:tr w14:paraId="1BD1F5E5" w14:textId="77777777" w:rsidTr="00C24F67">
        <w:tblPrEx>
          <w:tblW w:w="960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459" w:type="dxa"/>
          </w:tcPr>
          <w:p w:rsidR="00B24106" w:rsidRPr="00C24F67" w:rsidP="002B49B4" w14:paraId="5E5E204F" w14:textId="1AC64A66">
            <w:pPr>
              <w:widowControl w:val="0"/>
              <w:autoSpaceDE w:val="0"/>
              <w:autoSpaceDN w:val="0"/>
              <w:adjustRightInd w:val="0"/>
              <w:spacing w:after="0"/>
              <w:ind w:left="0" w:firstLine="0"/>
              <w:rPr>
                <w:rFonts w:asciiTheme="minorHAnsi" w:hAnsiTheme="minorHAnsi" w:cstheme="minorHAnsi"/>
                <w:b/>
                <w:bCs/>
                <w:sz w:val="22"/>
                <w:szCs w:val="22"/>
              </w:rPr>
            </w:pPr>
            <w:r w:rsidRPr="00C24F67">
              <w:rPr>
                <w:rFonts w:asciiTheme="minorHAnsi" w:hAnsiTheme="minorHAnsi" w:cstheme="minorHAnsi"/>
                <w:b/>
                <w:bCs/>
                <w:sz w:val="22"/>
                <w:szCs w:val="22"/>
              </w:rPr>
              <w:t>Type of respondents</w:t>
            </w:r>
          </w:p>
        </w:tc>
        <w:tc>
          <w:tcPr>
            <w:tcW w:w="2298" w:type="dxa"/>
          </w:tcPr>
          <w:p w:rsidR="00B24106" w:rsidRPr="00C24F67" w:rsidP="002B49B4" w14:paraId="334BB9BC" w14:textId="66674914">
            <w:pPr>
              <w:widowControl w:val="0"/>
              <w:autoSpaceDE w:val="0"/>
              <w:autoSpaceDN w:val="0"/>
              <w:adjustRightInd w:val="0"/>
              <w:spacing w:after="0"/>
              <w:ind w:left="0" w:firstLine="0"/>
              <w:jc w:val="center"/>
              <w:rPr>
                <w:rFonts w:asciiTheme="minorHAnsi" w:hAnsiTheme="minorHAnsi" w:cstheme="minorHAnsi"/>
                <w:b/>
                <w:bCs/>
                <w:sz w:val="22"/>
                <w:szCs w:val="22"/>
              </w:rPr>
            </w:pPr>
            <w:r w:rsidRPr="00C24F67">
              <w:rPr>
                <w:rFonts w:asciiTheme="minorHAnsi" w:hAnsiTheme="minorHAnsi" w:cstheme="minorHAnsi"/>
                <w:b/>
                <w:bCs/>
                <w:sz w:val="22"/>
                <w:szCs w:val="22"/>
              </w:rPr>
              <w:t>Form Name</w:t>
            </w:r>
          </w:p>
        </w:tc>
        <w:tc>
          <w:tcPr>
            <w:tcW w:w="1440" w:type="dxa"/>
          </w:tcPr>
          <w:p w:rsidR="00B24106" w:rsidRPr="00C24F67" w:rsidP="002B49B4" w14:paraId="18E737C7" w14:textId="0D5A33F8">
            <w:pPr>
              <w:widowControl w:val="0"/>
              <w:autoSpaceDE w:val="0"/>
              <w:autoSpaceDN w:val="0"/>
              <w:adjustRightInd w:val="0"/>
              <w:spacing w:after="0"/>
              <w:ind w:left="0" w:firstLine="0"/>
              <w:jc w:val="center"/>
              <w:rPr>
                <w:rFonts w:asciiTheme="minorHAnsi" w:hAnsiTheme="minorHAnsi" w:cstheme="minorHAnsi"/>
                <w:b/>
                <w:bCs/>
                <w:sz w:val="22"/>
                <w:szCs w:val="22"/>
              </w:rPr>
            </w:pPr>
            <w:r w:rsidRPr="00C24F67">
              <w:rPr>
                <w:rFonts w:asciiTheme="minorHAnsi" w:hAnsiTheme="minorHAnsi" w:cstheme="minorHAnsi"/>
                <w:b/>
                <w:bCs/>
                <w:sz w:val="22"/>
                <w:szCs w:val="22"/>
              </w:rPr>
              <w:t>No. of Respondents</w:t>
            </w:r>
          </w:p>
        </w:tc>
        <w:tc>
          <w:tcPr>
            <w:tcW w:w="1168" w:type="dxa"/>
          </w:tcPr>
          <w:p w:rsidR="00B24106" w:rsidRPr="00C24F67" w:rsidP="002B49B4" w14:paraId="5C0A70E8" w14:textId="2542C03F">
            <w:pPr>
              <w:widowControl w:val="0"/>
              <w:autoSpaceDE w:val="0"/>
              <w:autoSpaceDN w:val="0"/>
              <w:adjustRightInd w:val="0"/>
              <w:spacing w:after="0"/>
              <w:ind w:left="0" w:firstLine="0"/>
              <w:jc w:val="center"/>
              <w:rPr>
                <w:rFonts w:asciiTheme="minorHAnsi" w:hAnsiTheme="minorHAnsi" w:cstheme="minorHAnsi"/>
                <w:b/>
                <w:bCs/>
                <w:sz w:val="22"/>
                <w:szCs w:val="22"/>
              </w:rPr>
            </w:pPr>
            <w:r w:rsidRPr="00C24F67">
              <w:rPr>
                <w:rFonts w:asciiTheme="minorHAnsi" w:hAnsiTheme="minorHAnsi" w:cstheme="minorHAnsi"/>
                <w:b/>
                <w:bCs/>
                <w:sz w:val="22"/>
                <w:szCs w:val="22"/>
              </w:rPr>
              <w:t>Avg. Burden per Response (in hours)</w:t>
            </w:r>
          </w:p>
        </w:tc>
        <w:tc>
          <w:tcPr>
            <w:tcW w:w="942" w:type="dxa"/>
          </w:tcPr>
          <w:p w:rsidR="00B24106" w:rsidRPr="00C24F67" w:rsidP="002B49B4" w14:paraId="3F2A8C4F" w14:textId="53F59089">
            <w:pPr>
              <w:widowControl w:val="0"/>
              <w:autoSpaceDE w:val="0"/>
              <w:autoSpaceDN w:val="0"/>
              <w:adjustRightInd w:val="0"/>
              <w:spacing w:after="0"/>
              <w:ind w:left="0" w:firstLine="0"/>
              <w:jc w:val="center"/>
              <w:rPr>
                <w:rFonts w:asciiTheme="minorHAnsi" w:hAnsiTheme="minorHAnsi" w:cstheme="minorHAnsi"/>
                <w:b/>
                <w:bCs/>
                <w:sz w:val="22"/>
                <w:szCs w:val="22"/>
              </w:rPr>
            </w:pPr>
            <w:r w:rsidRPr="00C24F67">
              <w:rPr>
                <w:rFonts w:asciiTheme="minorHAnsi" w:hAnsiTheme="minorHAnsi" w:cstheme="minorHAnsi"/>
                <w:b/>
                <w:bCs/>
                <w:sz w:val="22"/>
                <w:szCs w:val="22"/>
              </w:rPr>
              <w:t>Total Burden Hours</w:t>
            </w:r>
          </w:p>
        </w:tc>
        <w:tc>
          <w:tcPr>
            <w:tcW w:w="883" w:type="dxa"/>
          </w:tcPr>
          <w:p w:rsidR="00B24106" w:rsidRPr="00C24F67" w:rsidP="002B49B4" w14:paraId="179A57F0" w14:textId="2DEB83C3">
            <w:pPr>
              <w:widowControl w:val="0"/>
              <w:autoSpaceDE w:val="0"/>
              <w:autoSpaceDN w:val="0"/>
              <w:adjustRightInd w:val="0"/>
              <w:spacing w:after="0"/>
              <w:ind w:left="0" w:firstLine="0"/>
              <w:jc w:val="center"/>
              <w:rPr>
                <w:rFonts w:asciiTheme="minorHAnsi" w:hAnsiTheme="minorHAnsi" w:cstheme="minorHAnsi"/>
                <w:b/>
                <w:bCs/>
                <w:sz w:val="22"/>
                <w:szCs w:val="22"/>
              </w:rPr>
            </w:pPr>
            <w:r w:rsidRPr="00C24F67">
              <w:rPr>
                <w:rFonts w:asciiTheme="minorHAnsi" w:hAnsiTheme="minorHAnsi" w:cstheme="minorHAnsi"/>
                <w:b/>
                <w:bCs/>
                <w:sz w:val="22"/>
                <w:szCs w:val="22"/>
              </w:rPr>
              <w:t>Hourly Wage Rate</w:t>
            </w:r>
          </w:p>
        </w:tc>
        <w:tc>
          <w:tcPr>
            <w:tcW w:w="1412" w:type="dxa"/>
          </w:tcPr>
          <w:p w:rsidR="00B24106" w:rsidRPr="00C24F67" w:rsidP="002B49B4" w14:paraId="172C5BFF" w14:textId="77777777">
            <w:pPr>
              <w:widowControl w:val="0"/>
              <w:autoSpaceDE w:val="0"/>
              <w:autoSpaceDN w:val="0"/>
              <w:adjustRightInd w:val="0"/>
              <w:spacing w:after="0"/>
              <w:ind w:left="0" w:firstLine="0"/>
              <w:jc w:val="center"/>
              <w:rPr>
                <w:rFonts w:asciiTheme="minorHAnsi" w:hAnsiTheme="minorHAnsi" w:cstheme="minorHAnsi"/>
                <w:b/>
                <w:bCs/>
                <w:sz w:val="22"/>
                <w:szCs w:val="22"/>
              </w:rPr>
            </w:pPr>
            <w:r w:rsidRPr="00C24F67">
              <w:rPr>
                <w:rFonts w:asciiTheme="minorHAnsi" w:hAnsiTheme="minorHAnsi" w:cstheme="minorHAnsi"/>
                <w:b/>
                <w:bCs/>
                <w:sz w:val="22"/>
                <w:szCs w:val="22"/>
              </w:rPr>
              <w:t>Total Respondent Cost</w:t>
            </w:r>
          </w:p>
        </w:tc>
      </w:tr>
      <w:tr w14:paraId="4E3728C5" w14:textId="77777777" w:rsidTr="00C24F67">
        <w:tblPrEx>
          <w:tblW w:w="9602" w:type="dxa"/>
          <w:tblInd w:w="18" w:type="dxa"/>
          <w:tblLook w:val="0000"/>
        </w:tblPrEx>
        <w:trPr>
          <w:trHeight w:val="314"/>
        </w:trPr>
        <w:tc>
          <w:tcPr>
            <w:tcW w:w="1459" w:type="dxa"/>
          </w:tcPr>
          <w:p w:rsidR="00B24106" w:rsidRPr="00C24F67" w:rsidP="005131F3" w14:paraId="3F5D7EAD" w14:textId="664585FC">
            <w:pPr>
              <w:autoSpaceDE w:val="0"/>
              <w:autoSpaceDN w:val="0"/>
              <w:adjustRightInd w:val="0"/>
              <w:spacing w:after="58"/>
              <w:ind w:left="0" w:firstLine="0"/>
              <w:rPr>
                <w:rFonts w:asciiTheme="minorHAnsi" w:hAnsiTheme="minorHAnsi" w:cstheme="minorHAnsi"/>
                <w:color w:val="000000"/>
                <w:sz w:val="22"/>
                <w:szCs w:val="22"/>
              </w:rPr>
            </w:pPr>
            <w:r w:rsidRPr="00C24F67">
              <w:rPr>
                <w:rFonts w:asciiTheme="minorHAnsi" w:hAnsiTheme="minorHAnsi" w:cstheme="minorHAnsi"/>
                <w:color w:val="000000"/>
                <w:sz w:val="22"/>
                <w:szCs w:val="22"/>
              </w:rPr>
              <w:t>OSH</w:t>
            </w:r>
            <w:r w:rsidRPr="00C24F67">
              <w:rPr>
                <w:rFonts w:asciiTheme="minorHAnsi" w:hAnsiTheme="minorHAnsi" w:cstheme="minorHAnsi"/>
                <w:color w:val="000000"/>
                <w:sz w:val="22"/>
                <w:szCs w:val="22"/>
              </w:rPr>
              <w:t xml:space="preserve"> Specialists </w:t>
            </w:r>
          </w:p>
        </w:tc>
        <w:tc>
          <w:tcPr>
            <w:tcW w:w="2298" w:type="dxa"/>
          </w:tcPr>
          <w:p w:rsidR="00B24106" w:rsidRPr="00C24F67" w:rsidP="000144CC" w14:paraId="5F3CF02F" w14:textId="731D1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color w:val="000000"/>
                <w:sz w:val="22"/>
                <w:szCs w:val="22"/>
              </w:rPr>
            </w:pPr>
            <w:r>
              <w:rPr>
                <w:rFonts w:asciiTheme="minorHAnsi" w:hAnsiTheme="minorHAnsi" w:cstheme="minorHAnsi"/>
                <w:color w:val="000000"/>
              </w:rPr>
              <w:t>MVC_Priorities</w:t>
            </w:r>
            <w:r>
              <w:rPr>
                <w:rFonts w:asciiTheme="minorHAnsi" w:hAnsiTheme="minorHAnsi" w:cstheme="minorHAnsi"/>
                <w:color w:val="000000"/>
              </w:rPr>
              <w:t xml:space="preserve"> Interview</w:t>
            </w:r>
          </w:p>
        </w:tc>
        <w:tc>
          <w:tcPr>
            <w:tcW w:w="1440" w:type="dxa"/>
          </w:tcPr>
          <w:p w:rsidR="00B24106" w:rsidRPr="00C24F67" w:rsidP="009C50AC" w14:paraId="74AF5195" w14:textId="198E617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sz w:val="22"/>
                <w:szCs w:val="22"/>
              </w:rPr>
            </w:pPr>
            <w:r w:rsidRPr="00C24F67">
              <w:rPr>
                <w:rFonts w:asciiTheme="minorHAnsi" w:hAnsiTheme="minorHAnsi" w:cstheme="minorHAnsi"/>
                <w:color w:val="000000"/>
                <w:sz w:val="22"/>
                <w:szCs w:val="22"/>
              </w:rPr>
              <w:t>30</w:t>
            </w:r>
          </w:p>
        </w:tc>
        <w:tc>
          <w:tcPr>
            <w:tcW w:w="1168" w:type="dxa"/>
          </w:tcPr>
          <w:p w:rsidR="00B24106" w:rsidRPr="00C24F67" w:rsidP="009C50AC" w14:paraId="00D195AF" w14:textId="328A73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sz w:val="22"/>
                <w:szCs w:val="22"/>
              </w:rPr>
            </w:pPr>
            <w:r w:rsidRPr="00C24F67">
              <w:rPr>
                <w:rFonts w:asciiTheme="minorHAnsi" w:hAnsiTheme="minorHAnsi" w:cstheme="minorHAnsi"/>
                <w:color w:val="000000"/>
                <w:sz w:val="22"/>
                <w:szCs w:val="22"/>
              </w:rPr>
              <w:t>1</w:t>
            </w:r>
          </w:p>
        </w:tc>
        <w:tc>
          <w:tcPr>
            <w:tcW w:w="942" w:type="dxa"/>
          </w:tcPr>
          <w:p w:rsidR="00B24106" w:rsidRPr="00C24F67" w:rsidP="0017776D" w14:paraId="12E40F1C" w14:textId="5BB0021B">
            <w:pPr>
              <w:widowControl w:val="0"/>
              <w:autoSpaceDE w:val="0"/>
              <w:autoSpaceDN w:val="0"/>
              <w:adjustRightInd w:val="0"/>
              <w:spacing w:after="0"/>
              <w:ind w:left="0" w:firstLine="0"/>
              <w:jc w:val="right"/>
              <w:rPr>
                <w:rFonts w:asciiTheme="minorHAnsi" w:hAnsiTheme="minorHAnsi" w:cstheme="minorHAnsi"/>
                <w:sz w:val="22"/>
                <w:szCs w:val="22"/>
              </w:rPr>
            </w:pPr>
            <w:r w:rsidRPr="00C24F67">
              <w:rPr>
                <w:rFonts w:asciiTheme="minorHAnsi" w:hAnsiTheme="minorHAnsi" w:cstheme="minorHAnsi"/>
                <w:sz w:val="22"/>
                <w:szCs w:val="22"/>
              </w:rPr>
              <w:t>30</w:t>
            </w:r>
          </w:p>
        </w:tc>
        <w:tc>
          <w:tcPr>
            <w:tcW w:w="883" w:type="dxa"/>
          </w:tcPr>
          <w:p w:rsidR="00B24106" w:rsidRPr="00C24F67" w:rsidP="0017776D" w14:paraId="0367FE18" w14:textId="5C21AC83">
            <w:pPr>
              <w:widowControl w:val="0"/>
              <w:autoSpaceDE w:val="0"/>
              <w:autoSpaceDN w:val="0"/>
              <w:adjustRightInd w:val="0"/>
              <w:spacing w:after="0"/>
              <w:ind w:left="0" w:firstLine="0"/>
              <w:jc w:val="right"/>
              <w:rPr>
                <w:rFonts w:asciiTheme="minorHAnsi" w:hAnsiTheme="minorHAnsi" w:cstheme="minorHAnsi"/>
                <w:sz w:val="22"/>
                <w:szCs w:val="22"/>
              </w:rPr>
            </w:pPr>
            <w:r w:rsidRPr="00C24F67">
              <w:rPr>
                <w:rFonts w:asciiTheme="minorHAnsi" w:hAnsiTheme="minorHAnsi" w:cstheme="minorHAnsi"/>
                <w:sz w:val="22"/>
                <w:szCs w:val="22"/>
              </w:rPr>
              <w:t>$41.14</w:t>
            </w:r>
          </w:p>
        </w:tc>
        <w:tc>
          <w:tcPr>
            <w:tcW w:w="1412" w:type="dxa"/>
          </w:tcPr>
          <w:p w:rsidR="00B24106" w:rsidRPr="00C24F67" w:rsidP="0017776D" w14:paraId="478B95F1" w14:textId="54D67458">
            <w:pPr>
              <w:widowControl w:val="0"/>
              <w:autoSpaceDE w:val="0"/>
              <w:autoSpaceDN w:val="0"/>
              <w:adjustRightInd w:val="0"/>
              <w:spacing w:after="0" w:line="480" w:lineRule="auto"/>
              <w:ind w:left="0" w:firstLine="0"/>
              <w:jc w:val="right"/>
              <w:rPr>
                <w:rFonts w:asciiTheme="minorHAnsi" w:hAnsiTheme="minorHAnsi" w:cstheme="minorHAnsi"/>
                <w:sz w:val="22"/>
                <w:szCs w:val="22"/>
              </w:rPr>
            </w:pPr>
            <w:r w:rsidRPr="00C24F67">
              <w:rPr>
                <w:rFonts w:asciiTheme="minorHAnsi" w:hAnsiTheme="minorHAnsi" w:cstheme="minorHAnsi"/>
                <w:sz w:val="22"/>
                <w:szCs w:val="22"/>
              </w:rPr>
              <w:t>$1,234</w:t>
            </w:r>
          </w:p>
        </w:tc>
      </w:tr>
      <w:tr w14:paraId="195DAEA8" w14:textId="77777777" w:rsidTr="00C24F67">
        <w:tblPrEx>
          <w:tblW w:w="9602" w:type="dxa"/>
          <w:tblInd w:w="18" w:type="dxa"/>
          <w:tblLook w:val="0000"/>
        </w:tblPrEx>
        <w:trPr>
          <w:trHeight w:val="314"/>
        </w:trPr>
        <w:tc>
          <w:tcPr>
            <w:tcW w:w="1459" w:type="dxa"/>
          </w:tcPr>
          <w:p w:rsidR="004069CC" w:rsidRPr="00C24F67" w:rsidP="005131F3" w14:paraId="0A3D5DEB" w14:textId="06A6642F">
            <w:pPr>
              <w:autoSpaceDE w:val="0"/>
              <w:autoSpaceDN w:val="0"/>
              <w:adjustRightInd w:val="0"/>
              <w:spacing w:after="58"/>
              <w:ind w:left="0" w:firstLine="0"/>
              <w:rPr>
                <w:rFonts w:asciiTheme="minorHAnsi" w:hAnsiTheme="minorHAnsi" w:cstheme="minorHAnsi"/>
                <w:color w:val="000000"/>
                <w:sz w:val="22"/>
                <w:szCs w:val="22"/>
              </w:rPr>
            </w:pPr>
            <w:r w:rsidRPr="00C24F67">
              <w:rPr>
                <w:rFonts w:asciiTheme="minorHAnsi" w:hAnsiTheme="minorHAnsi" w:cstheme="minorHAnsi"/>
                <w:color w:val="000000"/>
                <w:sz w:val="22"/>
                <w:szCs w:val="22"/>
              </w:rPr>
              <w:t>OSH</w:t>
            </w:r>
            <w:r w:rsidRPr="00C24F67">
              <w:rPr>
                <w:rFonts w:asciiTheme="minorHAnsi" w:hAnsiTheme="minorHAnsi" w:cstheme="minorHAnsi"/>
                <w:color w:val="000000"/>
                <w:sz w:val="22"/>
                <w:szCs w:val="22"/>
              </w:rPr>
              <w:t xml:space="preserve"> Specialists</w:t>
            </w:r>
          </w:p>
        </w:tc>
        <w:tc>
          <w:tcPr>
            <w:tcW w:w="2298" w:type="dxa"/>
          </w:tcPr>
          <w:p w:rsidR="004069CC" w:rsidRPr="00C24F67" w:rsidP="000144CC" w14:paraId="6F48BF3C" w14:textId="17CDBD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color w:val="000000"/>
                <w:sz w:val="22"/>
                <w:szCs w:val="22"/>
              </w:rPr>
            </w:pPr>
            <w:r w:rsidRPr="00C24F67">
              <w:rPr>
                <w:rFonts w:asciiTheme="minorHAnsi" w:hAnsiTheme="minorHAnsi" w:cstheme="minorHAnsi"/>
                <w:color w:val="000000"/>
                <w:sz w:val="22"/>
                <w:szCs w:val="22"/>
              </w:rPr>
              <w:t>IVMS_Interview</w:t>
            </w:r>
          </w:p>
        </w:tc>
        <w:tc>
          <w:tcPr>
            <w:tcW w:w="1440" w:type="dxa"/>
          </w:tcPr>
          <w:p w:rsidR="004069CC" w:rsidRPr="00C24F67" w:rsidP="009C50AC" w14:paraId="54DD49D8" w14:textId="140DCFD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sz w:val="22"/>
                <w:szCs w:val="22"/>
              </w:rPr>
            </w:pPr>
            <w:r w:rsidRPr="00C24F67">
              <w:rPr>
                <w:rFonts w:asciiTheme="minorHAnsi" w:hAnsiTheme="minorHAnsi" w:cstheme="minorHAnsi"/>
                <w:color w:val="000000"/>
                <w:sz w:val="22"/>
                <w:szCs w:val="22"/>
              </w:rPr>
              <w:t>15</w:t>
            </w:r>
          </w:p>
        </w:tc>
        <w:tc>
          <w:tcPr>
            <w:tcW w:w="1168" w:type="dxa"/>
          </w:tcPr>
          <w:p w:rsidR="004069CC" w:rsidRPr="00C24F67" w:rsidP="009C50AC" w14:paraId="4866D6C8" w14:textId="03BF4AB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942" w:type="dxa"/>
          </w:tcPr>
          <w:p w:rsidR="004069CC" w:rsidRPr="00C24F67" w:rsidP="0017776D" w14:paraId="2C4AA567" w14:textId="03DB8063">
            <w:pPr>
              <w:widowControl w:val="0"/>
              <w:autoSpaceDE w:val="0"/>
              <w:autoSpaceDN w:val="0"/>
              <w:adjustRightInd w:val="0"/>
              <w:spacing w:after="0"/>
              <w:ind w:left="0" w:firstLine="0"/>
              <w:jc w:val="right"/>
              <w:rPr>
                <w:rFonts w:asciiTheme="minorHAnsi" w:hAnsiTheme="minorHAnsi" w:cstheme="minorHAnsi"/>
                <w:sz w:val="22"/>
                <w:szCs w:val="22"/>
              </w:rPr>
            </w:pPr>
            <w:r w:rsidRPr="00C24F67">
              <w:rPr>
                <w:rFonts w:asciiTheme="minorHAnsi" w:hAnsiTheme="minorHAnsi" w:cstheme="minorHAnsi"/>
                <w:sz w:val="22"/>
                <w:szCs w:val="22"/>
              </w:rPr>
              <w:t>1</w:t>
            </w:r>
            <w:r w:rsidR="00EA4285">
              <w:rPr>
                <w:rFonts w:asciiTheme="minorHAnsi" w:hAnsiTheme="minorHAnsi" w:cstheme="minorHAnsi"/>
                <w:sz w:val="22"/>
                <w:szCs w:val="22"/>
              </w:rPr>
              <w:t>5</w:t>
            </w:r>
          </w:p>
        </w:tc>
        <w:tc>
          <w:tcPr>
            <w:tcW w:w="883" w:type="dxa"/>
          </w:tcPr>
          <w:p w:rsidR="004069CC" w:rsidRPr="00C24F67" w:rsidP="0017776D" w14:paraId="46B825BA" w14:textId="363AE17C">
            <w:pPr>
              <w:widowControl w:val="0"/>
              <w:autoSpaceDE w:val="0"/>
              <w:autoSpaceDN w:val="0"/>
              <w:adjustRightInd w:val="0"/>
              <w:spacing w:after="0"/>
              <w:ind w:left="0" w:firstLine="0"/>
              <w:jc w:val="right"/>
              <w:rPr>
                <w:rFonts w:asciiTheme="minorHAnsi" w:hAnsiTheme="minorHAnsi" w:cstheme="minorHAnsi"/>
                <w:sz w:val="22"/>
                <w:szCs w:val="22"/>
              </w:rPr>
            </w:pPr>
            <w:r w:rsidRPr="00C24F67">
              <w:rPr>
                <w:rFonts w:asciiTheme="minorHAnsi" w:hAnsiTheme="minorHAnsi" w:cstheme="minorHAnsi"/>
                <w:sz w:val="22"/>
                <w:szCs w:val="22"/>
              </w:rPr>
              <w:t>$41.14</w:t>
            </w:r>
          </w:p>
        </w:tc>
        <w:tc>
          <w:tcPr>
            <w:tcW w:w="1412" w:type="dxa"/>
          </w:tcPr>
          <w:p w:rsidR="00EA4285" w:rsidRPr="00C24F67" w:rsidP="00AB1D45" w14:paraId="218C2B16" w14:textId="00341A6C">
            <w:pPr>
              <w:widowControl w:val="0"/>
              <w:autoSpaceDE w:val="0"/>
              <w:autoSpaceDN w:val="0"/>
              <w:adjustRightInd w:val="0"/>
              <w:spacing w:after="0" w:line="480" w:lineRule="auto"/>
              <w:ind w:left="0" w:firstLine="0"/>
              <w:jc w:val="right"/>
              <w:rPr>
                <w:rFonts w:asciiTheme="minorHAnsi" w:hAnsiTheme="minorHAnsi" w:cstheme="minorHAnsi"/>
                <w:sz w:val="22"/>
                <w:szCs w:val="22"/>
              </w:rPr>
            </w:pPr>
            <w:r w:rsidRPr="00C24F67">
              <w:rPr>
                <w:rFonts w:asciiTheme="minorHAnsi" w:hAnsiTheme="minorHAnsi" w:cstheme="minorHAnsi"/>
                <w:sz w:val="22"/>
                <w:szCs w:val="22"/>
              </w:rPr>
              <w:t>$</w:t>
            </w:r>
            <w:r>
              <w:rPr>
                <w:rFonts w:asciiTheme="minorHAnsi" w:hAnsiTheme="minorHAnsi" w:cstheme="minorHAnsi"/>
                <w:sz w:val="22"/>
                <w:szCs w:val="22"/>
              </w:rPr>
              <w:t>617</w:t>
            </w:r>
          </w:p>
        </w:tc>
      </w:tr>
      <w:tr w14:paraId="0CD52C6D" w14:textId="77777777" w:rsidTr="00C24F67">
        <w:tblPrEx>
          <w:tblW w:w="9602" w:type="dxa"/>
          <w:tblInd w:w="18" w:type="dxa"/>
          <w:tblLook w:val="0000"/>
        </w:tblPrEx>
        <w:trPr>
          <w:trHeight w:val="314"/>
        </w:trPr>
        <w:tc>
          <w:tcPr>
            <w:tcW w:w="1459" w:type="dxa"/>
          </w:tcPr>
          <w:p w:rsidR="00B24106" w:rsidRPr="00C24F67" w:rsidP="005131F3" w14:paraId="6605CEA7" w14:textId="0B9AB456">
            <w:pPr>
              <w:autoSpaceDE w:val="0"/>
              <w:autoSpaceDN w:val="0"/>
              <w:adjustRightInd w:val="0"/>
              <w:spacing w:after="58"/>
              <w:ind w:left="0" w:firstLine="0"/>
              <w:rPr>
                <w:rFonts w:asciiTheme="minorHAnsi" w:hAnsiTheme="minorHAnsi" w:cstheme="minorHAnsi"/>
                <w:color w:val="000000"/>
                <w:sz w:val="22"/>
                <w:szCs w:val="22"/>
              </w:rPr>
            </w:pPr>
            <w:r w:rsidRPr="00C24F67">
              <w:rPr>
                <w:rFonts w:asciiTheme="minorHAnsi" w:hAnsiTheme="minorHAnsi" w:cstheme="minorHAnsi"/>
                <w:color w:val="000000"/>
                <w:sz w:val="22"/>
                <w:szCs w:val="22"/>
              </w:rPr>
              <w:t>Database Admins</w:t>
            </w:r>
          </w:p>
        </w:tc>
        <w:tc>
          <w:tcPr>
            <w:tcW w:w="2298" w:type="dxa"/>
          </w:tcPr>
          <w:p w:rsidR="00B24106" w:rsidRPr="00C24F67" w:rsidP="000144CC" w14:paraId="240F15B1" w14:textId="7F9F05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color w:val="000000"/>
                <w:sz w:val="22"/>
                <w:szCs w:val="22"/>
              </w:rPr>
            </w:pPr>
            <w:r w:rsidRPr="00C24F67">
              <w:rPr>
                <w:rFonts w:asciiTheme="minorHAnsi" w:hAnsiTheme="minorHAnsi" w:cstheme="minorHAnsi"/>
                <w:color w:val="000000"/>
                <w:sz w:val="22"/>
                <w:szCs w:val="22"/>
              </w:rPr>
              <w:t>Data_Interview</w:t>
            </w:r>
          </w:p>
        </w:tc>
        <w:tc>
          <w:tcPr>
            <w:tcW w:w="1440" w:type="dxa"/>
          </w:tcPr>
          <w:p w:rsidR="00B24106" w:rsidRPr="00C24F67" w:rsidP="009C50AC" w14:paraId="2863E0D8" w14:textId="251FF2B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sz w:val="22"/>
                <w:szCs w:val="22"/>
              </w:rPr>
            </w:pPr>
            <w:r w:rsidRPr="00C24F67">
              <w:rPr>
                <w:rFonts w:asciiTheme="minorHAnsi" w:hAnsiTheme="minorHAnsi" w:cstheme="minorHAnsi"/>
                <w:color w:val="000000"/>
                <w:sz w:val="22"/>
                <w:szCs w:val="22"/>
              </w:rPr>
              <w:t>30</w:t>
            </w:r>
          </w:p>
        </w:tc>
        <w:tc>
          <w:tcPr>
            <w:tcW w:w="1168" w:type="dxa"/>
          </w:tcPr>
          <w:p w:rsidR="00B24106" w:rsidRPr="00C24F67" w:rsidP="009C50AC" w14:paraId="07D5DA40" w14:textId="50E591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sz w:val="22"/>
                <w:szCs w:val="22"/>
              </w:rPr>
            </w:pPr>
            <w:r w:rsidRPr="00C24F67">
              <w:rPr>
                <w:rFonts w:asciiTheme="minorHAnsi" w:hAnsiTheme="minorHAnsi" w:cstheme="minorHAnsi"/>
                <w:color w:val="000000"/>
                <w:sz w:val="22"/>
                <w:szCs w:val="22"/>
              </w:rPr>
              <w:t>1</w:t>
            </w:r>
          </w:p>
        </w:tc>
        <w:tc>
          <w:tcPr>
            <w:tcW w:w="942" w:type="dxa"/>
          </w:tcPr>
          <w:p w:rsidR="00B24106" w:rsidRPr="00C24F67" w:rsidP="0017776D" w14:paraId="156428EC" w14:textId="32906DDC">
            <w:pPr>
              <w:widowControl w:val="0"/>
              <w:autoSpaceDE w:val="0"/>
              <w:autoSpaceDN w:val="0"/>
              <w:adjustRightInd w:val="0"/>
              <w:spacing w:after="0"/>
              <w:ind w:left="0" w:firstLine="0"/>
              <w:jc w:val="right"/>
              <w:rPr>
                <w:rFonts w:asciiTheme="minorHAnsi" w:hAnsiTheme="minorHAnsi" w:cstheme="minorHAnsi"/>
                <w:sz w:val="22"/>
                <w:szCs w:val="22"/>
              </w:rPr>
            </w:pPr>
            <w:r w:rsidRPr="00C24F67">
              <w:rPr>
                <w:rFonts w:asciiTheme="minorHAnsi" w:hAnsiTheme="minorHAnsi" w:cstheme="minorHAnsi"/>
                <w:sz w:val="22"/>
                <w:szCs w:val="22"/>
              </w:rPr>
              <w:t>30</w:t>
            </w:r>
          </w:p>
        </w:tc>
        <w:tc>
          <w:tcPr>
            <w:tcW w:w="883" w:type="dxa"/>
          </w:tcPr>
          <w:p w:rsidR="00B24106" w:rsidRPr="00C24F67" w:rsidP="0017776D" w14:paraId="32228D36" w14:textId="2A9E4906">
            <w:pPr>
              <w:widowControl w:val="0"/>
              <w:autoSpaceDE w:val="0"/>
              <w:autoSpaceDN w:val="0"/>
              <w:adjustRightInd w:val="0"/>
              <w:spacing w:after="0"/>
              <w:ind w:left="0" w:firstLine="0"/>
              <w:jc w:val="right"/>
              <w:rPr>
                <w:rFonts w:asciiTheme="minorHAnsi" w:hAnsiTheme="minorHAnsi" w:cstheme="minorHAnsi"/>
                <w:sz w:val="22"/>
                <w:szCs w:val="22"/>
              </w:rPr>
            </w:pPr>
            <w:r w:rsidRPr="00C24F67">
              <w:rPr>
                <w:rFonts w:asciiTheme="minorHAnsi" w:hAnsiTheme="minorHAnsi" w:cstheme="minorHAnsi"/>
                <w:sz w:val="22"/>
                <w:szCs w:val="22"/>
              </w:rPr>
              <w:t>$50.39</w:t>
            </w:r>
          </w:p>
        </w:tc>
        <w:tc>
          <w:tcPr>
            <w:tcW w:w="1412" w:type="dxa"/>
          </w:tcPr>
          <w:p w:rsidR="0030486F" w:rsidRPr="00C24F67" w:rsidP="00D81BD3" w14:paraId="729020CA" w14:textId="5558617A">
            <w:pPr>
              <w:widowControl w:val="0"/>
              <w:autoSpaceDE w:val="0"/>
              <w:autoSpaceDN w:val="0"/>
              <w:adjustRightInd w:val="0"/>
              <w:spacing w:after="0" w:line="480" w:lineRule="auto"/>
              <w:ind w:left="0" w:firstLine="0"/>
              <w:jc w:val="righ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1</w:t>
            </w:r>
            <w:r w:rsidR="009D31FB">
              <w:rPr>
                <w:rFonts w:asciiTheme="minorHAnsi" w:hAnsiTheme="minorHAnsi" w:cstheme="minorHAnsi"/>
                <w:sz w:val="22"/>
                <w:szCs w:val="22"/>
              </w:rPr>
              <w:t>,</w:t>
            </w:r>
            <w:r>
              <w:rPr>
                <w:rFonts w:asciiTheme="minorHAnsi" w:hAnsiTheme="minorHAnsi" w:cstheme="minorHAnsi"/>
                <w:sz w:val="22"/>
                <w:szCs w:val="22"/>
              </w:rPr>
              <w:t>512</w:t>
            </w:r>
          </w:p>
        </w:tc>
      </w:tr>
      <w:tr w14:paraId="5EE895F7" w14:textId="77777777" w:rsidTr="00C24F67">
        <w:tblPrEx>
          <w:tblW w:w="9602" w:type="dxa"/>
          <w:tblInd w:w="18" w:type="dxa"/>
          <w:tblLook w:val="0000"/>
        </w:tblPrEx>
        <w:trPr>
          <w:trHeight w:val="314"/>
        </w:trPr>
        <w:tc>
          <w:tcPr>
            <w:tcW w:w="1459" w:type="dxa"/>
          </w:tcPr>
          <w:p w:rsidR="00750F50" w:rsidRPr="00C24F67" w:rsidP="005131F3" w14:paraId="77F70303" w14:textId="2530A3FB">
            <w:pPr>
              <w:autoSpaceDE w:val="0"/>
              <w:autoSpaceDN w:val="0"/>
              <w:adjustRightInd w:val="0"/>
              <w:spacing w:after="58"/>
              <w:ind w:left="0" w:firstLine="0"/>
              <w:rPr>
                <w:rFonts w:asciiTheme="minorHAnsi" w:hAnsiTheme="minorHAnsi" w:cstheme="minorHAnsi"/>
                <w:b/>
                <w:bCs/>
                <w:color w:val="000000"/>
                <w:sz w:val="22"/>
                <w:szCs w:val="22"/>
              </w:rPr>
            </w:pPr>
            <w:r w:rsidRPr="00C24F67">
              <w:rPr>
                <w:rFonts w:asciiTheme="minorHAnsi" w:hAnsiTheme="minorHAnsi" w:cstheme="minorHAnsi"/>
                <w:b/>
                <w:bCs/>
                <w:color w:val="000000"/>
                <w:sz w:val="22"/>
                <w:szCs w:val="22"/>
              </w:rPr>
              <w:t>Total</w:t>
            </w:r>
          </w:p>
        </w:tc>
        <w:tc>
          <w:tcPr>
            <w:tcW w:w="2298" w:type="dxa"/>
          </w:tcPr>
          <w:p w:rsidR="00750F50" w:rsidRPr="00C24F67" w:rsidP="000144CC" w14:paraId="5A3B80E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heme="minorHAnsi" w:hAnsiTheme="minorHAnsi" w:cstheme="minorHAnsi"/>
                <w:color w:val="000000"/>
                <w:sz w:val="22"/>
                <w:szCs w:val="22"/>
              </w:rPr>
            </w:pPr>
          </w:p>
        </w:tc>
        <w:tc>
          <w:tcPr>
            <w:tcW w:w="1440" w:type="dxa"/>
          </w:tcPr>
          <w:p w:rsidR="00750F50" w:rsidRPr="00C24F67" w:rsidP="009C50AC" w14:paraId="37CDE13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sz w:val="22"/>
                <w:szCs w:val="22"/>
              </w:rPr>
            </w:pPr>
          </w:p>
        </w:tc>
        <w:tc>
          <w:tcPr>
            <w:tcW w:w="1168" w:type="dxa"/>
          </w:tcPr>
          <w:p w:rsidR="00750F50" w:rsidRPr="00C24F67" w:rsidP="009C50AC" w14:paraId="70468C2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rFonts w:asciiTheme="minorHAnsi" w:hAnsiTheme="minorHAnsi" w:cstheme="minorHAnsi"/>
                <w:color w:val="000000"/>
                <w:sz w:val="22"/>
                <w:szCs w:val="22"/>
              </w:rPr>
            </w:pPr>
          </w:p>
        </w:tc>
        <w:tc>
          <w:tcPr>
            <w:tcW w:w="942" w:type="dxa"/>
          </w:tcPr>
          <w:p w:rsidR="00750F50" w:rsidRPr="00C24F67" w:rsidP="0017776D" w14:paraId="5D7C3180" w14:textId="77777777">
            <w:pPr>
              <w:widowControl w:val="0"/>
              <w:autoSpaceDE w:val="0"/>
              <w:autoSpaceDN w:val="0"/>
              <w:adjustRightInd w:val="0"/>
              <w:spacing w:after="0"/>
              <w:ind w:left="0" w:firstLine="0"/>
              <w:jc w:val="right"/>
              <w:rPr>
                <w:rFonts w:asciiTheme="minorHAnsi" w:hAnsiTheme="minorHAnsi" w:cstheme="minorHAnsi"/>
                <w:sz w:val="22"/>
                <w:szCs w:val="22"/>
              </w:rPr>
            </w:pPr>
          </w:p>
        </w:tc>
        <w:tc>
          <w:tcPr>
            <w:tcW w:w="883" w:type="dxa"/>
          </w:tcPr>
          <w:p w:rsidR="00750F50" w:rsidRPr="00C24F67" w:rsidP="0017776D" w14:paraId="0083DA4A" w14:textId="77777777">
            <w:pPr>
              <w:widowControl w:val="0"/>
              <w:autoSpaceDE w:val="0"/>
              <w:autoSpaceDN w:val="0"/>
              <w:adjustRightInd w:val="0"/>
              <w:spacing w:after="0"/>
              <w:ind w:left="0" w:firstLine="0"/>
              <w:jc w:val="right"/>
              <w:rPr>
                <w:rFonts w:asciiTheme="minorHAnsi" w:hAnsiTheme="minorHAnsi" w:cstheme="minorHAnsi"/>
                <w:sz w:val="22"/>
                <w:szCs w:val="22"/>
              </w:rPr>
            </w:pPr>
          </w:p>
        </w:tc>
        <w:tc>
          <w:tcPr>
            <w:tcW w:w="1412" w:type="dxa"/>
          </w:tcPr>
          <w:p w:rsidR="00750F50" w:rsidRPr="00C24F67" w:rsidP="0017776D" w14:paraId="5D59F3BE" w14:textId="76DBDC1F">
            <w:pPr>
              <w:widowControl w:val="0"/>
              <w:autoSpaceDE w:val="0"/>
              <w:autoSpaceDN w:val="0"/>
              <w:adjustRightInd w:val="0"/>
              <w:spacing w:after="0" w:line="480" w:lineRule="auto"/>
              <w:ind w:left="0" w:firstLine="0"/>
              <w:jc w:val="right"/>
              <w:rPr>
                <w:rFonts w:asciiTheme="minorHAnsi" w:hAnsiTheme="minorHAnsi" w:cstheme="minorHAnsi"/>
                <w:sz w:val="22"/>
                <w:szCs w:val="22"/>
              </w:rPr>
            </w:pPr>
            <w:r w:rsidRPr="00C24F67">
              <w:rPr>
                <w:rFonts w:asciiTheme="minorHAnsi" w:hAnsiTheme="minorHAnsi" w:cstheme="minorHAnsi"/>
                <w:sz w:val="22"/>
                <w:szCs w:val="22"/>
              </w:rPr>
              <w:t>$3,363</w:t>
            </w:r>
          </w:p>
        </w:tc>
      </w:tr>
    </w:tbl>
    <w:p w:rsidR="00E049ED" w:rsidRPr="009332D2" w:rsidP="00E049ED" w14:paraId="5950A56F" w14:textId="77777777">
      <w:pPr>
        <w:pStyle w:val="HTMLPreformatted"/>
        <w:rPr>
          <w:rFonts w:asciiTheme="minorHAnsi" w:hAnsiTheme="minorHAnsi" w:cstheme="minorHAnsi"/>
          <w:sz w:val="24"/>
          <w:szCs w:val="24"/>
        </w:rPr>
      </w:pPr>
    </w:p>
    <w:p w:rsidR="00E049ED" w:rsidRPr="009332D2" w:rsidP="00E049ED" w14:paraId="05E7841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heme="minorHAnsi" w:hAnsiTheme="minorHAnsi" w:cstheme="minorHAnsi"/>
        </w:rPr>
      </w:pPr>
      <w:r w:rsidRPr="009332D2">
        <w:rPr>
          <w:rFonts w:asciiTheme="minorHAnsi" w:hAnsiTheme="minorHAnsi" w:cstheme="minorHAnsi"/>
          <w:b/>
          <w:bCs/>
        </w:rPr>
        <w:t>A.13.</w:t>
      </w:r>
      <w:r w:rsidRPr="009332D2">
        <w:rPr>
          <w:rFonts w:asciiTheme="minorHAnsi" w:hAnsiTheme="minorHAnsi" w:cstheme="minorHAnsi"/>
          <w:b/>
          <w:bCs/>
        </w:rPr>
        <w:tab/>
      </w:r>
      <w:r w:rsidRPr="009332D2">
        <w:rPr>
          <w:rFonts w:asciiTheme="minorHAnsi" w:hAnsiTheme="minorHAnsi" w:cstheme="minorHAnsi"/>
          <w:b/>
          <w:bCs/>
          <w:u w:val="single"/>
        </w:rPr>
        <w:t>Estimates of Other Total Annual Cost Burden to Respondents and Record Keepers</w:t>
      </w:r>
    </w:p>
    <w:p w:rsidR="00E049ED" w:rsidRPr="009332D2" w:rsidP="00E049ED" w14:paraId="1DC34E5C" w14:textId="34F2A4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heme="minorHAnsi" w:hAnsiTheme="minorHAnsi" w:cstheme="minorHAnsi"/>
        </w:rPr>
      </w:pPr>
      <w:r w:rsidRPr="009332D2">
        <w:rPr>
          <w:rFonts w:asciiTheme="minorHAnsi" w:hAnsiTheme="minorHAnsi" w:cstheme="minorHAnsi"/>
        </w:rPr>
        <w:t>CDC</w:t>
      </w:r>
      <w:r w:rsidR="00EC2930">
        <w:rPr>
          <w:rFonts w:asciiTheme="minorHAnsi" w:hAnsiTheme="minorHAnsi" w:cstheme="minorHAnsi"/>
        </w:rPr>
        <w:t>/NIOSH</w:t>
      </w:r>
      <w:r w:rsidRPr="009332D2">
        <w:rPr>
          <w:rFonts w:asciiTheme="minorHAnsi" w:hAnsiTheme="minorHAnsi" w:cstheme="minorHAnsi"/>
        </w:rPr>
        <w:t xml:space="preserve"> does not anticipate providing start up or other related costs to private entities.</w:t>
      </w:r>
    </w:p>
    <w:p w:rsidR="00E049ED" w:rsidRPr="009332D2" w:rsidP="00E049ED" w14:paraId="68A1D764" w14:textId="77777777">
      <w:pPr>
        <w:tabs>
          <w:tab w:val="left" w:pos="0"/>
        </w:tabs>
        <w:rPr>
          <w:rFonts w:asciiTheme="minorHAnsi" w:hAnsiTheme="minorHAnsi" w:cstheme="minorHAnsi"/>
        </w:rPr>
      </w:pPr>
      <w:r w:rsidRPr="009332D2">
        <w:rPr>
          <w:rFonts w:asciiTheme="minorHAnsi" w:hAnsiTheme="minorHAnsi" w:cstheme="minorHAnsi"/>
          <w:b/>
          <w:bCs/>
        </w:rPr>
        <w:t>A.14</w:t>
      </w:r>
      <w:r w:rsidRPr="009332D2">
        <w:rPr>
          <w:rFonts w:asciiTheme="minorHAnsi" w:hAnsiTheme="minorHAnsi" w:cstheme="minorHAnsi"/>
        </w:rPr>
        <w:t>.</w:t>
      </w:r>
      <w:r w:rsidRPr="009332D2">
        <w:rPr>
          <w:rFonts w:asciiTheme="minorHAnsi" w:hAnsiTheme="minorHAnsi" w:cstheme="minorHAnsi"/>
        </w:rPr>
        <w:tab/>
      </w:r>
      <w:r w:rsidRPr="009332D2">
        <w:rPr>
          <w:rFonts w:asciiTheme="minorHAnsi" w:hAnsiTheme="minorHAnsi" w:cstheme="minorHAnsi"/>
          <w:b/>
          <w:bCs/>
          <w:u w:val="single"/>
        </w:rPr>
        <w:t xml:space="preserve">Annualized Costs to the Government   </w:t>
      </w:r>
    </w:p>
    <w:p w:rsidR="002A2784" w:rsidRPr="009332D2" w:rsidP="006E3A26" w14:paraId="23D10B78" w14:textId="77777777">
      <w:pPr>
        <w:tabs>
          <w:tab w:val="left" w:pos="4320"/>
          <w:tab w:val="left" w:pos="6120"/>
          <w:tab w:val="right" w:pos="8280"/>
        </w:tabs>
        <w:ind w:left="0" w:firstLine="0"/>
        <w:rPr>
          <w:rFonts w:asciiTheme="minorHAnsi" w:hAnsiTheme="minorHAnsi" w:cstheme="minorHAnsi"/>
        </w:rPr>
      </w:pPr>
      <w:r w:rsidRPr="009332D2">
        <w:rPr>
          <w:rFonts w:asciiTheme="minorHAnsi" w:hAnsiTheme="minorHAnsi" w:cstheme="minorHAnsi"/>
        </w:rPr>
        <w:t>Actual annualized costs to the government will vary depending on the specific needs of the individual information collection activity.</w:t>
      </w:r>
      <w:r w:rsidRPr="009332D2" w:rsidR="00C651E0">
        <w:rPr>
          <w:rFonts w:asciiTheme="minorHAnsi" w:hAnsiTheme="minorHAnsi" w:cstheme="minorHAnsi"/>
        </w:rPr>
        <w:t xml:space="preserve"> </w:t>
      </w:r>
      <w:r w:rsidRPr="009332D2">
        <w:rPr>
          <w:rFonts w:asciiTheme="minorHAnsi" w:hAnsiTheme="minorHAnsi" w:cstheme="minorHAnsi"/>
        </w:rPr>
        <w:t>Generally, each development activity</w:t>
      </w:r>
      <w:r w:rsidRPr="009332D2" w:rsidR="00301939">
        <w:rPr>
          <w:rFonts w:asciiTheme="minorHAnsi" w:hAnsiTheme="minorHAnsi" w:cstheme="minorHAnsi"/>
        </w:rPr>
        <w:t xml:space="preserve"> will involve participation of </w:t>
      </w:r>
      <w:r w:rsidRPr="009332D2">
        <w:rPr>
          <w:rFonts w:asciiTheme="minorHAnsi" w:hAnsiTheme="minorHAnsi" w:cstheme="minorHAnsi"/>
        </w:rPr>
        <w:t>at least one CDC project officer (GS-12, 13 or 14 levels) who will be responsible for the project design, obtaining IRB approvals, providing project oversight, and analysis and dissemination of the results. The CDC project officer will provide remote and onsite technical assistance to the local areas implementing the data collection. Travel may be required to provide this technical assistance.</w:t>
      </w:r>
      <w:r w:rsidRPr="009332D2" w:rsidR="00C651E0">
        <w:rPr>
          <w:rFonts w:asciiTheme="minorHAnsi" w:hAnsiTheme="minorHAnsi" w:cstheme="minorHAnsi"/>
        </w:rPr>
        <w:t xml:space="preserve"> </w:t>
      </w:r>
      <w:r w:rsidRPr="009332D2">
        <w:rPr>
          <w:rFonts w:asciiTheme="minorHAnsi" w:hAnsiTheme="minorHAnsi" w:cstheme="minorHAnsi"/>
        </w:rPr>
        <w:t>In some cases, a CDC data manager’s (typically a contractor equivalent to GS</w:t>
      </w:r>
      <w:r w:rsidRPr="009332D2" w:rsidR="004B468F">
        <w:rPr>
          <w:rFonts w:asciiTheme="minorHAnsi" w:hAnsiTheme="minorHAnsi" w:cstheme="minorHAnsi"/>
        </w:rPr>
        <w:t xml:space="preserve">-9) time may also be required. </w:t>
      </w:r>
      <w:r w:rsidRPr="009332D2" w:rsidR="00232D54">
        <w:rPr>
          <w:rFonts w:asciiTheme="minorHAnsi" w:hAnsiTheme="minorHAnsi" w:cstheme="minorHAnsi"/>
        </w:rPr>
        <w:t>An estimated average cost per individual activity is listed below, but detailed costs will be submitted with each individual collection request.</w:t>
      </w:r>
    </w:p>
    <w:p w:rsidR="00232D54" w:rsidRPr="009332D2" w:rsidP="006E3A26" w14:paraId="25B1C2E7" w14:textId="77777777">
      <w:pPr>
        <w:tabs>
          <w:tab w:val="left" w:pos="4320"/>
          <w:tab w:val="left" w:pos="6120"/>
          <w:tab w:val="right" w:pos="8280"/>
        </w:tabs>
        <w:ind w:left="0" w:firstLine="0"/>
        <w:rPr>
          <w:rFonts w:asciiTheme="minorHAnsi" w:hAnsiTheme="minorHAnsi" w:cstheme="minorHAnsi"/>
        </w:rPr>
      </w:pPr>
      <w:r w:rsidRPr="009332D2">
        <w:rPr>
          <w:rFonts w:asciiTheme="minorHAnsi" w:hAnsiTheme="minorHAnsi" w:cstheme="minorHAns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10"/>
        <w:gridCol w:w="5040"/>
        <w:gridCol w:w="1619"/>
      </w:tblGrid>
      <w:tr w14:paraId="3FF7FBA9" w14:textId="77777777" w:rsidTr="002D3EDE">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1" w:type="dxa"/>
          </w:tcPr>
          <w:p w:rsidR="00232D54" w:rsidRPr="009332D2" w:rsidP="00D83DA1" w14:paraId="2F8ED6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9332D2">
              <w:rPr>
                <w:rFonts w:asciiTheme="minorHAnsi" w:hAnsiTheme="minorHAnsi" w:cstheme="minorHAnsi"/>
                <w:b/>
                <w:bCs/>
                <w:color w:val="000000"/>
              </w:rPr>
              <w:t>Expense Type</w:t>
            </w:r>
          </w:p>
        </w:tc>
        <w:tc>
          <w:tcPr>
            <w:tcW w:w="5040" w:type="dxa"/>
          </w:tcPr>
          <w:p w:rsidR="00232D54" w:rsidRPr="009332D2" w:rsidP="00D83DA1" w14:paraId="15BE8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highlight w:val="yellow"/>
              </w:rPr>
            </w:pPr>
            <w:r w:rsidRPr="009332D2">
              <w:rPr>
                <w:rFonts w:asciiTheme="minorHAnsi" w:hAnsiTheme="minorHAnsi" w:cstheme="minorHAnsi"/>
                <w:b/>
                <w:bCs/>
                <w:color w:val="000000"/>
              </w:rPr>
              <w:t>Expense Explanation</w:t>
            </w:r>
          </w:p>
        </w:tc>
        <w:tc>
          <w:tcPr>
            <w:tcW w:w="1619" w:type="dxa"/>
          </w:tcPr>
          <w:p w:rsidR="00232D54" w:rsidRPr="009332D2" w:rsidP="00D83DA1" w14:paraId="4858CA52" w14:textId="77777777">
            <w:pPr>
              <w:spacing w:line="50" w:lineRule="exact"/>
              <w:rPr>
                <w:rFonts w:asciiTheme="minorHAnsi" w:hAnsiTheme="minorHAnsi" w:cstheme="minorHAnsi"/>
                <w:b/>
                <w:color w:val="000000"/>
              </w:rPr>
            </w:pPr>
          </w:p>
          <w:p w:rsidR="00232D54" w:rsidRPr="009332D2" w:rsidP="00D83DA1" w14:paraId="115689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heme="minorHAnsi" w:hAnsiTheme="minorHAnsi" w:cstheme="minorHAnsi"/>
                <w:b/>
                <w:color w:val="000000"/>
              </w:rPr>
            </w:pPr>
            <w:r w:rsidRPr="009332D2">
              <w:rPr>
                <w:rFonts w:asciiTheme="minorHAnsi" w:hAnsiTheme="minorHAnsi" w:cstheme="minorHAnsi"/>
                <w:b/>
                <w:bCs/>
                <w:color w:val="000000"/>
              </w:rPr>
              <w:t>Annual Costs (dollars)</w:t>
            </w:r>
          </w:p>
        </w:tc>
      </w:tr>
      <w:tr w14:paraId="10310FA2" w14:textId="77777777" w:rsidTr="002D3EDE">
        <w:tblPrEx>
          <w:tblW w:w="0" w:type="auto"/>
          <w:tblInd w:w="108" w:type="dxa"/>
          <w:tblLook w:val="01E0"/>
        </w:tblPrEx>
        <w:tc>
          <w:tcPr>
            <w:tcW w:w="1801" w:type="dxa"/>
          </w:tcPr>
          <w:p w:rsidR="00232D54" w:rsidRPr="009332D2" w:rsidP="00D83DA1" w14:paraId="277E52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r w:rsidRPr="009332D2">
              <w:rPr>
                <w:rFonts w:asciiTheme="minorHAnsi" w:hAnsiTheme="minorHAnsi" w:cstheme="minorHAnsi"/>
                <w:color w:val="000000"/>
              </w:rPr>
              <w:t>Direct Costs to the Federal Government</w:t>
            </w:r>
          </w:p>
        </w:tc>
        <w:tc>
          <w:tcPr>
            <w:tcW w:w="5040" w:type="dxa"/>
            <w:vAlign w:val="center"/>
          </w:tcPr>
          <w:p w:rsidR="00232D54" w:rsidRPr="009332D2" w:rsidP="00D83DA1" w14:paraId="3440CB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p>
        </w:tc>
        <w:tc>
          <w:tcPr>
            <w:tcW w:w="1619" w:type="dxa"/>
            <w:vAlign w:val="center"/>
          </w:tcPr>
          <w:p w:rsidR="00232D54" w:rsidRPr="009332D2" w:rsidP="00D83DA1" w14:paraId="34CBF9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heme="minorHAnsi" w:hAnsiTheme="minorHAnsi" w:cstheme="minorHAnsi"/>
                <w:color w:val="000000"/>
              </w:rPr>
            </w:pPr>
          </w:p>
        </w:tc>
      </w:tr>
      <w:tr w14:paraId="742C7FDC" w14:textId="77777777" w:rsidTr="002D3EDE">
        <w:tblPrEx>
          <w:tblW w:w="0" w:type="auto"/>
          <w:tblInd w:w="108" w:type="dxa"/>
          <w:tblLook w:val="01E0"/>
        </w:tblPrEx>
        <w:tc>
          <w:tcPr>
            <w:tcW w:w="1801" w:type="dxa"/>
          </w:tcPr>
          <w:p w:rsidR="00C0051C" w:rsidRPr="009332D2" w:rsidP="00C0051C" w14:paraId="45316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p>
        </w:tc>
        <w:tc>
          <w:tcPr>
            <w:tcW w:w="5040" w:type="dxa"/>
            <w:vAlign w:val="center"/>
          </w:tcPr>
          <w:p w:rsidR="00C0051C" w:rsidRPr="009332D2" w:rsidP="00C0051C" w14:paraId="14530028" w14:textId="5F2C5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r w:rsidRPr="009332D2">
              <w:rPr>
                <w:rFonts w:asciiTheme="minorHAnsi" w:hAnsiTheme="minorHAnsi" w:cstheme="minorHAnsi"/>
                <w:color w:val="000000"/>
              </w:rPr>
              <w:t>CDC Project Officer (GS-13, 0.</w:t>
            </w:r>
            <w:r w:rsidR="00847EBC">
              <w:rPr>
                <w:rFonts w:asciiTheme="minorHAnsi" w:hAnsiTheme="minorHAnsi" w:cstheme="minorHAnsi"/>
                <w:color w:val="000000"/>
              </w:rPr>
              <w:t>25</w:t>
            </w:r>
            <w:r w:rsidRPr="009332D2">
              <w:rPr>
                <w:rFonts w:asciiTheme="minorHAnsi" w:hAnsiTheme="minorHAnsi" w:cstheme="minorHAnsi"/>
                <w:color w:val="000000"/>
              </w:rPr>
              <w:t xml:space="preserve"> FTE)</w:t>
            </w:r>
          </w:p>
        </w:tc>
        <w:tc>
          <w:tcPr>
            <w:tcW w:w="1619" w:type="dxa"/>
            <w:vAlign w:val="center"/>
          </w:tcPr>
          <w:p w:rsidR="00C0051C" w:rsidRPr="009332D2" w:rsidP="0000202D" w14:paraId="4F39B6F4" w14:textId="3A4FB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heme="minorHAnsi" w:hAnsiTheme="minorHAnsi" w:cstheme="minorHAnsi"/>
                <w:color w:val="000000"/>
              </w:rPr>
            </w:pPr>
            <w:r w:rsidRPr="009332D2">
              <w:rPr>
                <w:rFonts w:asciiTheme="minorHAnsi" w:hAnsiTheme="minorHAnsi" w:cstheme="minorHAnsi"/>
                <w:color w:val="000000"/>
              </w:rPr>
              <w:t>$</w:t>
            </w:r>
            <w:r w:rsidR="00332009">
              <w:rPr>
                <w:rFonts w:asciiTheme="minorHAnsi" w:hAnsiTheme="minorHAnsi" w:cstheme="minorHAnsi"/>
                <w:color w:val="000000"/>
              </w:rPr>
              <w:t>33,533</w:t>
            </w:r>
          </w:p>
        </w:tc>
      </w:tr>
      <w:tr w14:paraId="2C7EE293" w14:textId="77777777" w:rsidTr="002D3EDE">
        <w:tblPrEx>
          <w:tblW w:w="0" w:type="auto"/>
          <w:tblInd w:w="108" w:type="dxa"/>
          <w:tblLook w:val="01E0"/>
        </w:tblPrEx>
        <w:tc>
          <w:tcPr>
            <w:tcW w:w="1801" w:type="dxa"/>
          </w:tcPr>
          <w:p w:rsidR="00C0051C" w:rsidRPr="009332D2" w:rsidP="00C0051C" w14:paraId="6A3217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p>
        </w:tc>
        <w:tc>
          <w:tcPr>
            <w:tcW w:w="5040" w:type="dxa"/>
            <w:vAlign w:val="center"/>
          </w:tcPr>
          <w:p w:rsidR="00C0051C" w:rsidRPr="009332D2" w:rsidP="00C0051C" w14:paraId="1EB1F319" w14:textId="56F40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r w:rsidRPr="009332D2">
              <w:rPr>
                <w:rFonts w:asciiTheme="minorHAnsi" w:hAnsiTheme="minorHAnsi" w:cstheme="minorHAnsi"/>
                <w:color w:val="000000"/>
              </w:rPr>
              <w:t>CDC Data Manager (</w:t>
            </w:r>
            <w:r w:rsidR="009F2D9C">
              <w:rPr>
                <w:rFonts w:asciiTheme="minorHAnsi" w:hAnsiTheme="minorHAnsi" w:cstheme="minorHAnsi"/>
                <w:color w:val="000000"/>
              </w:rPr>
              <w:t>Epidemiologist II</w:t>
            </w:r>
            <w:r w:rsidRPr="009332D2">
              <w:rPr>
                <w:rFonts w:asciiTheme="minorHAnsi" w:hAnsiTheme="minorHAnsi" w:cstheme="minorHAnsi"/>
                <w:color w:val="000000"/>
              </w:rPr>
              <w:t>, 0.</w:t>
            </w:r>
            <w:r w:rsidR="000C3231">
              <w:rPr>
                <w:rFonts w:asciiTheme="minorHAnsi" w:hAnsiTheme="minorHAnsi" w:cstheme="minorHAnsi"/>
                <w:color w:val="000000"/>
              </w:rPr>
              <w:t>1</w:t>
            </w:r>
            <w:r w:rsidRPr="009332D2">
              <w:rPr>
                <w:rFonts w:asciiTheme="minorHAnsi" w:hAnsiTheme="minorHAnsi" w:cstheme="minorHAnsi"/>
                <w:color w:val="000000"/>
              </w:rPr>
              <w:t xml:space="preserve"> FTE)</w:t>
            </w:r>
          </w:p>
        </w:tc>
        <w:tc>
          <w:tcPr>
            <w:tcW w:w="1619" w:type="dxa"/>
            <w:vAlign w:val="center"/>
          </w:tcPr>
          <w:p w:rsidR="00C0051C" w:rsidRPr="009332D2" w:rsidP="0000202D" w14:paraId="2BC7D68E" w14:textId="25A79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heme="minorHAnsi" w:hAnsiTheme="minorHAnsi" w:cstheme="minorHAnsi"/>
                <w:color w:val="000000"/>
              </w:rPr>
            </w:pPr>
            <w:r w:rsidRPr="009332D2">
              <w:rPr>
                <w:rFonts w:asciiTheme="minorHAnsi" w:hAnsiTheme="minorHAnsi" w:cstheme="minorHAnsi"/>
                <w:color w:val="000000"/>
              </w:rPr>
              <w:t>$</w:t>
            </w:r>
            <w:r w:rsidR="008B4153">
              <w:rPr>
                <w:rFonts w:asciiTheme="minorHAnsi" w:hAnsiTheme="minorHAnsi" w:cstheme="minorHAnsi"/>
                <w:color w:val="000000"/>
              </w:rPr>
              <w:t>8,000</w:t>
            </w:r>
          </w:p>
        </w:tc>
      </w:tr>
      <w:tr w14:paraId="7250E72E" w14:textId="77777777" w:rsidTr="002D3EDE">
        <w:tblPrEx>
          <w:tblW w:w="0" w:type="auto"/>
          <w:tblInd w:w="108" w:type="dxa"/>
          <w:tblLook w:val="01E0"/>
        </w:tblPrEx>
        <w:tc>
          <w:tcPr>
            <w:tcW w:w="1801" w:type="dxa"/>
          </w:tcPr>
          <w:p w:rsidR="00C0051C" w:rsidRPr="009332D2" w:rsidP="00C0051C" w14:paraId="1AC6E4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p>
        </w:tc>
        <w:tc>
          <w:tcPr>
            <w:tcW w:w="5040" w:type="dxa"/>
            <w:vAlign w:val="center"/>
          </w:tcPr>
          <w:p w:rsidR="00C0051C" w:rsidRPr="009332D2" w:rsidP="002D3EDE" w14:paraId="5B45D1DD" w14:textId="7A724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r w:rsidRPr="009332D2">
              <w:rPr>
                <w:rFonts w:asciiTheme="minorHAnsi" w:hAnsiTheme="minorHAnsi" w:cstheme="minorHAnsi"/>
                <w:color w:val="000000"/>
              </w:rPr>
              <w:t>CDC Travel (</w:t>
            </w:r>
            <w:r w:rsidR="00273DBB">
              <w:rPr>
                <w:rFonts w:asciiTheme="minorHAnsi" w:hAnsiTheme="minorHAnsi" w:cstheme="minorHAnsi"/>
                <w:color w:val="000000"/>
              </w:rPr>
              <w:t>0</w:t>
            </w:r>
            <w:r w:rsidRPr="009332D2">
              <w:rPr>
                <w:rFonts w:asciiTheme="minorHAnsi" w:hAnsiTheme="minorHAnsi" w:cstheme="minorHAnsi"/>
                <w:color w:val="000000"/>
              </w:rPr>
              <w:t xml:space="preserve"> trips)</w:t>
            </w:r>
          </w:p>
        </w:tc>
        <w:tc>
          <w:tcPr>
            <w:tcW w:w="1619" w:type="dxa"/>
            <w:vAlign w:val="center"/>
          </w:tcPr>
          <w:p w:rsidR="00C0051C" w:rsidRPr="009332D2" w:rsidP="0000202D" w14:paraId="2090E93F" w14:textId="125D9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heme="minorHAnsi" w:hAnsiTheme="minorHAnsi" w:cstheme="minorHAnsi"/>
                <w:color w:val="000000"/>
              </w:rPr>
            </w:pPr>
            <w:r w:rsidRPr="009332D2">
              <w:rPr>
                <w:rFonts w:asciiTheme="minorHAnsi" w:hAnsiTheme="minorHAnsi" w:cstheme="minorHAnsi"/>
                <w:color w:val="000000"/>
              </w:rPr>
              <w:t>$0</w:t>
            </w:r>
          </w:p>
        </w:tc>
      </w:tr>
      <w:tr w14:paraId="557BF37C" w14:textId="77777777" w:rsidTr="002D3EDE">
        <w:tblPrEx>
          <w:tblW w:w="0" w:type="auto"/>
          <w:tblInd w:w="108" w:type="dxa"/>
          <w:tblLook w:val="01E0"/>
        </w:tblPrEx>
        <w:tc>
          <w:tcPr>
            <w:tcW w:w="1801" w:type="dxa"/>
          </w:tcPr>
          <w:p w:rsidR="00C0051C" w:rsidRPr="009332D2" w:rsidP="00C0051C" w14:paraId="24C1D2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rPr>
            </w:pPr>
          </w:p>
        </w:tc>
        <w:tc>
          <w:tcPr>
            <w:tcW w:w="5040" w:type="dxa"/>
            <w:vAlign w:val="center"/>
          </w:tcPr>
          <w:p w:rsidR="00C0051C" w:rsidRPr="009332D2" w:rsidP="00C0051C" w14:paraId="3AC7F0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color w:val="000000"/>
              </w:rPr>
            </w:pPr>
            <w:r w:rsidRPr="009332D2">
              <w:rPr>
                <w:rFonts w:asciiTheme="minorHAnsi" w:hAnsiTheme="minorHAnsi" w:cstheme="minorHAnsi"/>
                <w:color w:val="000000"/>
              </w:rPr>
              <w:t>Subtotal, Direct costs</w:t>
            </w:r>
          </w:p>
        </w:tc>
        <w:tc>
          <w:tcPr>
            <w:tcW w:w="1619" w:type="dxa"/>
            <w:vAlign w:val="center"/>
          </w:tcPr>
          <w:p w:rsidR="00C0051C" w:rsidRPr="009332D2" w:rsidP="0000202D" w14:paraId="235D831F" w14:textId="36DE73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heme="minorHAnsi" w:hAnsiTheme="minorHAnsi" w:cstheme="minorHAnsi"/>
                <w:color w:val="000000"/>
              </w:rPr>
            </w:pPr>
            <w:r w:rsidRPr="009332D2">
              <w:rPr>
                <w:rFonts w:asciiTheme="minorHAnsi" w:hAnsiTheme="minorHAnsi" w:cstheme="minorHAnsi"/>
                <w:color w:val="000000"/>
              </w:rPr>
              <w:t>$</w:t>
            </w:r>
            <w:r w:rsidR="00332009">
              <w:rPr>
                <w:rFonts w:asciiTheme="minorHAnsi" w:hAnsiTheme="minorHAnsi" w:cstheme="minorHAnsi"/>
                <w:color w:val="000000"/>
              </w:rPr>
              <w:t>41</w:t>
            </w:r>
            <w:r w:rsidRPr="009332D2" w:rsidR="0000202D">
              <w:rPr>
                <w:rFonts w:asciiTheme="minorHAnsi" w:hAnsiTheme="minorHAnsi" w:cstheme="minorHAnsi"/>
                <w:color w:val="000000"/>
              </w:rPr>
              <w:t>,</w:t>
            </w:r>
            <w:r w:rsidR="00055EA4">
              <w:rPr>
                <w:rFonts w:asciiTheme="minorHAnsi" w:hAnsiTheme="minorHAnsi" w:cstheme="minorHAnsi"/>
                <w:color w:val="000000"/>
              </w:rPr>
              <w:t>533</w:t>
            </w:r>
          </w:p>
        </w:tc>
      </w:tr>
      <w:tr w14:paraId="21822373" w14:textId="77777777" w:rsidTr="002D3EDE">
        <w:tblPrEx>
          <w:tblW w:w="0" w:type="auto"/>
          <w:tblInd w:w="108" w:type="dxa"/>
          <w:tblLook w:val="01E0"/>
        </w:tblPrEx>
        <w:tc>
          <w:tcPr>
            <w:tcW w:w="1801" w:type="dxa"/>
          </w:tcPr>
          <w:p w:rsidR="00C0051C" w:rsidRPr="009332D2" w:rsidP="00C0051C" w14:paraId="0F38B0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r w:rsidRPr="009332D2">
              <w:rPr>
                <w:rFonts w:asciiTheme="minorHAnsi" w:hAnsiTheme="minorHAnsi" w:cstheme="minorHAnsi"/>
                <w:color w:val="000000"/>
              </w:rPr>
              <w:t>Cooperative Agreement or Contract</w:t>
            </w:r>
          </w:p>
        </w:tc>
        <w:tc>
          <w:tcPr>
            <w:tcW w:w="5040" w:type="dxa"/>
          </w:tcPr>
          <w:p w:rsidR="00C0051C" w:rsidRPr="009332D2" w:rsidP="00C0051C" w14:paraId="0CE5FFCE" w14:textId="7B33F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color w:val="000000"/>
              </w:rPr>
            </w:pPr>
            <w:r w:rsidRPr="009332D2">
              <w:rPr>
                <w:rFonts w:asciiTheme="minorHAnsi" w:hAnsiTheme="minorHAnsi" w:cstheme="minorHAnsi"/>
                <w:color w:val="000000"/>
              </w:rPr>
              <w:t xml:space="preserve">Cooperative Agreements, Task orders, or Contracts for implementation or information management </w:t>
            </w:r>
          </w:p>
        </w:tc>
        <w:tc>
          <w:tcPr>
            <w:tcW w:w="1619" w:type="dxa"/>
          </w:tcPr>
          <w:p w:rsidR="00C0051C" w:rsidRPr="009332D2" w:rsidP="0000202D" w14:paraId="6E933C6D" w14:textId="7C885C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heme="minorHAnsi" w:hAnsiTheme="minorHAnsi" w:cstheme="minorHAnsi"/>
                <w:color w:val="000000"/>
              </w:rPr>
            </w:pPr>
            <w:r w:rsidRPr="009332D2">
              <w:rPr>
                <w:rFonts w:asciiTheme="minorHAnsi" w:hAnsiTheme="minorHAnsi" w:cstheme="minorHAnsi"/>
                <w:color w:val="000000"/>
              </w:rPr>
              <w:t>$</w:t>
            </w:r>
            <w:r w:rsidR="00055EA4">
              <w:rPr>
                <w:rFonts w:asciiTheme="minorHAnsi" w:hAnsiTheme="minorHAnsi" w:cstheme="minorHAnsi"/>
                <w:color w:val="000000"/>
              </w:rPr>
              <w:t>2</w:t>
            </w:r>
            <w:r w:rsidRPr="009332D2">
              <w:rPr>
                <w:rFonts w:asciiTheme="minorHAnsi" w:hAnsiTheme="minorHAnsi" w:cstheme="minorHAnsi"/>
                <w:color w:val="000000"/>
              </w:rPr>
              <w:t>0,000</w:t>
            </w:r>
          </w:p>
        </w:tc>
      </w:tr>
      <w:tr w14:paraId="446A3475" w14:textId="77777777" w:rsidTr="002D3EDE">
        <w:tblPrEx>
          <w:tblW w:w="0" w:type="auto"/>
          <w:tblInd w:w="108" w:type="dxa"/>
          <w:tblLook w:val="01E0"/>
        </w:tblPrEx>
        <w:tc>
          <w:tcPr>
            <w:tcW w:w="1801" w:type="dxa"/>
          </w:tcPr>
          <w:p w:rsidR="00C0051C" w:rsidRPr="009332D2" w:rsidP="00C0051C" w14:paraId="1896C4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color w:val="000000"/>
              </w:rPr>
            </w:pPr>
          </w:p>
        </w:tc>
        <w:tc>
          <w:tcPr>
            <w:tcW w:w="5040" w:type="dxa"/>
          </w:tcPr>
          <w:p w:rsidR="00C0051C" w:rsidRPr="009332D2" w:rsidP="00C0051C" w14:paraId="6AF869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color w:val="000000"/>
              </w:rPr>
            </w:pPr>
            <w:r w:rsidRPr="009332D2">
              <w:rPr>
                <w:rFonts w:asciiTheme="minorHAnsi" w:hAnsiTheme="minorHAnsi" w:cstheme="minorHAnsi"/>
                <w:color w:val="000000"/>
              </w:rPr>
              <w:t>TOTAL COST TO THE GOVERNMENT</w:t>
            </w:r>
          </w:p>
        </w:tc>
        <w:tc>
          <w:tcPr>
            <w:tcW w:w="1619" w:type="dxa"/>
          </w:tcPr>
          <w:p w:rsidR="00C0051C" w:rsidRPr="009332D2" w:rsidP="0000202D" w14:paraId="56EC5AF4" w14:textId="6E79B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heme="minorHAnsi" w:hAnsiTheme="minorHAnsi" w:cstheme="minorHAnsi"/>
                <w:color w:val="000000"/>
              </w:rPr>
            </w:pPr>
            <w:r w:rsidRPr="009332D2">
              <w:rPr>
                <w:rFonts w:asciiTheme="minorHAnsi" w:hAnsiTheme="minorHAnsi" w:cstheme="minorHAnsi"/>
                <w:color w:val="000000"/>
              </w:rPr>
              <w:t>$</w:t>
            </w:r>
            <w:r w:rsidR="008D726D">
              <w:rPr>
                <w:rFonts w:asciiTheme="minorHAnsi" w:hAnsiTheme="minorHAnsi" w:cstheme="minorHAnsi"/>
                <w:color w:val="000000"/>
              </w:rPr>
              <w:t>61,533</w:t>
            </w:r>
          </w:p>
        </w:tc>
      </w:tr>
    </w:tbl>
    <w:p w:rsidR="00161E86" w:rsidRPr="009332D2" w:rsidP="00662F81" w14:paraId="396B42F9" w14:textId="77777777">
      <w:pPr>
        <w:tabs>
          <w:tab w:val="left" w:pos="4320"/>
          <w:tab w:val="left" w:pos="6120"/>
          <w:tab w:val="right" w:pos="8280"/>
        </w:tabs>
        <w:rPr>
          <w:rFonts w:asciiTheme="minorHAnsi" w:hAnsiTheme="minorHAnsi" w:cstheme="minorHAnsi"/>
        </w:rPr>
      </w:pPr>
      <w:r w:rsidRPr="009332D2">
        <w:rPr>
          <w:rFonts w:asciiTheme="minorHAnsi" w:hAnsiTheme="minorHAnsi" w:cstheme="minorHAnsi"/>
        </w:rPr>
        <w:t xml:space="preserve"> </w:t>
      </w:r>
    </w:p>
    <w:p w:rsidR="00662F81" w:rsidRPr="009332D2" w:rsidP="00662F81" w14:paraId="62F51575" w14:textId="77777777">
      <w:pPr>
        <w:tabs>
          <w:tab w:val="left" w:pos="0"/>
        </w:tabs>
        <w:ind w:left="720" w:hanging="720"/>
        <w:rPr>
          <w:rFonts w:asciiTheme="minorHAnsi" w:hAnsiTheme="minorHAnsi" w:cstheme="minorHAnsi"/>
          <w:color w:val="000000"/>
        </w:rPr>
      </w:pPr>
      <w:r w:rsidRPr="009332D2">
        <w:rPr>
          <w:rFonts w:asciiTheme="minorHAnsi" w:hAnsiTheme="minorHAnsi" w:cstheme="minorHAnsi"/>
          <w:b/>
          <w:bCs/>
          <w:color w:val="000000"/>
        </w:rPr>
        <w:t xml:space="preserve">A.15. </w:t>
      </w:r>
      <w:r w:rsidRPr="009332D2">
        <w:rPr>
          <w:rFonts w:asciiTheme="minorHAnsi" w:hAnsiTheme="minorHAnsi" w:cstheme="minorHAnsi"/>
          <w:b/>
          <w:bCs/>
          <w:color w:val="000000"/>
          <w:u w:val="single"/>
        </w:rPr>
        <w:t>Explanation for Program Changes or Adjustments</w:t>
      </w:r>
    </w:p>
    <w:p w:rsidR="00F96A65" w:rsidP="00F96A65" w14:paraId="10BBD236" w14:textId="77777777">
      <w:pPr>
        <w:tabs>
          <w:tab w:val="left" w:pos="0"/>
        </w:tabs>
        <w:spacing w:after="0"/>
        <w:rPr>
          <w:rFonts w:asciiTheme="minorHAnsi" w:hAnsiTheme="minorHAnsi" w:cstheme="minorHAnsi"/>
          <w:color w:val="000000"/>
        </w:rPr>
      </w:pPr>
      <w:r w:rsidRPr="009332D2">
        <w:rPr>
          <w:rFonts w:asciiTheme="minorHAnsi" w:hAnsiTheme="minorHAnsi" w:cstheme="minorHAnsi"/>
          <w:color w:val="000000"/>
        </w:rPr>
        <w:t xml:space="preserve">This </w:t>
      </w:r>
      <w:r w:rsidR="00A72432">
        <w:rPr>
          <w:rFonts w:asciiTheme="minorHAnsi" w:hAnsiTheme="minorHAnsi" w:cstheme="minorHAnsi"/>
          <w:color w:val="000000"/>
        </w:rPr>
        <w:t xml:space="preserve">is the initial submission </w:t>
      </w:r>
      <w:r>
        <w:rPr>
          <w:rFonts w:asciiTheme="minorHAnsi" w:hAnsiTheme="minorHAnsi" w:cstheme="minorHAnsi"/>
          <w:color w:val="000000"/>
        </w:rPr>
        <w:t>for the formative research project described above and so</w:t>
      </w:r>
      <w:r w:rsidRPr="009332D2">
        <w:rPr>
          <w:rFonts w:asciiTheme="minorHAnsi" w:hAnsiTheme="minorHAnsi" w:cstheme="minorHAnsi"/>
          <w:color w:val="000000"/>
        </w:rPr>
        <w:t xml:space="preserve"> </w:t>
      </w:r>
      <w:r w:rsidRPr="009332D2" w:rsidR="00D71D3D">
        <w:rPr>
          <w:rFonts w:asciiTheme="minorHAnsi" w:hAnsiTheme="minorHAnsi" w:cstheme="minorHAnsi"/>
          <w:color w:val="000000"/>
        </w:rPr>
        <w:t>does not</w:t>
      </w:r>
    </w:p>
    <w:p w:rsidR="00662F81" w:rsidRPr="009332D2" w:rsidP="00662F81" w14:paraId="6F4522E3" w14:textId="4D1B259C">
      <w:pPr>
        <w:tabs>
          <w:tab w:val="left" w:pos="0"/>
        </w:tabs>
        <w:rPr>
          <w:rFonts w:asciiTheme="minorHAnsi" w:hAnsiTheme="minorHAnsi" w:cstheme="minorHAnsi"/>
          <w:color w:val="000000"/>
        </w:rPr>
      </w:pPr>
      <w:r>
        <w:rPr>
          <w:rFonts w:asciiTheme="minorHAnsi" w:hAnsiTheme="minorHAnsi" w:cstheme="minorHAnsi"/>
          <w:color w:val="000000"/>
        </w:rPr>
        <w:t xml:space="preserve">have a </w:t>
      </w:r>
      <w:r w:rsidRPr="009332D2" w:rsidR="009D5A35">
        <w:rPr>
          <w:rFonts w:asciiTheme="minorHAnsi" w:hAnsiTheme="minorHAnsi" w:cstheme="minorHAnsi"/>
          <w:color w:val="000000"/>
        </w:rPr>
        <w:t xml:space="preserve">previous </w:t>
      </w:r>
      <w:r>
        <w:rPr>
          <w:rFonts w:asciiTheme="minorHAnsi" w:hAnsiTheme="minorHAnsi" w:cstheme="minorHAnsi"/>
          <w:color w:val="000000"/>
        </w:rPr>
        <w:t xml:space="preserve">OMB </w:t>
      </w:r>
      <w:r w:rsidRPr="009332D2" w:rsidR="009D5A35">
        <w:rPr>
          <w:rFonts w:asciiTheme="minorHAnsi" w:hAnsiTheme="minorHAnsi" w:cstheme="minorHAnsi"/>
          <w:color w:val="000000"/>
        </w:rPr>
        <w:t>approval</w:t>
      </w:r>
      <w:r w:rsidRPr="009332D2" w:rsidR="00D71D3D">
        <w:rPr>
          <w:rFonts w:asciiTheme="minorHAnsi" w:hAnsiTheme="minorHAnsi" w:cstheme="minorHAnsi"/>
          <w:color w:val="000000"/>
        </w:rPr>
        <w:t>.</w:t>
      </w:r>
    </w:p>
    <w:p w:rsidR="00662F81" w:rsidRPr="009332D2" w:rsidP="00662F81" w14:paraId="4A584232" w14:textId="77777777">
      <w:pPr>
        <w:tabs>
          <w:tab w:val="left" w:pos="0"/>
        </w:tabs>
        <w:ind w:left="720" w:hanging="720"/>
        <w:rPr>
          <w:rFonts w:asciiTheme="minorHAnsi" w:hAnsiTheme="minorHAnsi" w:cstheme="minorHAnsi"/>
          <w:color w:val="000000"/>
        </w:rPr>
      </w:pPr>
      <w:r w:rsidRPr="009332D2">
        <w:rPr>
          <w:rFonts w:asciiTheme="minorHAnsi" w:hAnsiTheme="minorHAnsi" w:cstheme="minorHAnsi"/>
          <w:b/>
          <w:bCs/>
          <w:color w:val="000000"/>
        </w:rPr>
        <w:t>A.16.</w:t>
      </w:r>
      <w:r w:rsidRPr="009332D2" w:rsidR="007A0C9C">
        <w:rPr>
          <w:rFonts w:asciiTheme="minorHAnsi" w:hAnsiTheme="minorHAnsi" w:cstheme="minorHAnsi"/>
          <w:b/>
          <w:bCs/>
          <w:color w:val="000000"/>
        </w:rPr>
        <w:t xml:space="preserve"> </w:t>
      </w:r>
      <w:r w:rsidRPr="009332D2">
        <w:rPr>
          <w:rFonts w:asciiTheme="minorHAnsi" w:hAnsiTheme="minorHAnsi" w:cstheme="minorHAnsi"/>
          <w:b/>
          <w:bCs/>
          <w:color w:val="000000"/>
          <w:u w:val="single"/>
        </w:rPr>
        <w:t>Plans for Tabulation and Publication and Project Time Schedule</w:t>
      </w:r>
    </w:p>
    <w:p w:rsidR="00DF2A09" w:rsidRPr="009332D2" w:rsidP="006E3A26" w14:paraId="36F04903" w14:textId="431A9699">
      <w:pPr>
        <w:tabs>
          <w:tab w:val="left" w:pos="0"/>
        </w:tabs>
        <w:ind w:left="0" w:firstLine="0"/>
        <w:rPr>
          <w:rFonts w:asciiTheme="minorHAnsi" w:hAnsiTheme="minorHAnsi" w:cstheme="minorHAnsi"/>
          <w:color w:val="000000"/>
        </w:rPr>
      </w:pPr>
      <w:r w:rsidRPr="009332D2">
        <w:rPr>
          <w:rFonts w:asciiTheme="minorHAnsi" w:hAnsiTheme="minorHAnsi" w:cstheme="minorHAnsi"/>
          <w:color w:val="000000"/>
        </w:rPr>
        <w:t>Individual data collections under this generic approval will be time-limited and generally conducted only once</w:t>
      </w:r>
      <w:r w:rsidRPr="009332D2" w:rsidR="005E02FC">
        <w:rPr>
          <w:rFonts w:asciiTheme="minorHAnsi" w:hAnsiTheme="minorHAnsi" w:cstheme="minorHAnsi"/>
          <w:color w:val="000000"/>
        </w:rPr>
        <w:t xml:space="preserve">, except in the cases of individual interviews conducted during pilot testing of </w:t>
      </w:r>
      <w:r w:rsidRPr="009332D2" w:rsidR="005E02FC">
        <w:rPr>
          <w:rFonts w:asciiTheme="minorHAnsi" w:hAnsiTheme="minorHAnsi" w:cstheme="minorHAnsi"/>
          <w:color w:val="000000"/>
        </w:rPr>
        <w:t>interventions where respondents may have to be approached several times on the same or similar topic under evaluation</w:t>
      </w:r>
      <w:r w:rsidRPr="009332D2">
        <w:rPr>
          <w:rFonts w:asciiTheme="minorHAnsi" w:hAnsiTheme="minorHAnsi" w:cstheme="minorHAnsi"/>
          <w:color w:val="000000"/>
        </w:rPr>
        <w:t>.  No single data collection activity will take longer than 1 year to complete from inception</w:t>
      </w:r>
      <w:r w:rsidRPr="009332D2" w:rsidR="00BA48D5">
        <w:rPr>
          <w:rFonts w:asciiTheme="minorHAnsi" w:hAnsiTheme="minorHAnsi" w:cstheme="minorHAnsi"/>
          <w:color w:val="000000"/>
        </w:rPr>
        <w:t xml:space="preserve"> of information collection to </w:t>
      </w:r>
      <w:r w:rsidRPr="009332D2" w:rsidR="000B2411">
        <w:rPr>
          <w:rFonts w:asciiTheme="minorHAnsi" w:hAnsiTheme="minorHAnsi" w:cstheme="minorHAnsi"/>
          <w:color w:val="000000"/>
        </w:rPr>
        <w:t>the first report</w:t>
      </w:r>
      <w:r w:rsidRPr="009332D2">
        <w:rPr>
          <w:rFonts w:asciiTheme="minorHAnsi" w:hAnsiTheme="minorHAnsi" w:cstheme="minorHAnsi"/>
          <w:color w:val="000000"/>
        </w:rPr>
        <w:t xml:space="preserve"> of findings</w:t>
      </w:r>
      <w:r w:rsidRPr="009332D2" w:rsidR="00BA48D5">
        <w:rPr>
          <w:rFonts w:asciiTheme="minorHAnsi" w:hAnsiTheme="minorHAnsi" w:cstheme="minorHAnsi"/>
          <w:color w:val="000000"/>
        </w:rPr>
        <w:t>.</w:t>
      </w:r>
      <w:r w:rsidRPr="009332D2" w:rsidR="001E3984">
        <w:rPr>
          <w:rFonts w:asciiTheme="minorHAnsi" w:hAnsiTheme="minorHAnsi" w:cstheme="minorHAnsi"/>
          <w:color w:val="000000"/>
        </w:rPr>
        <w:t xml:space="preserve"> </w:t>
      </w:r>
    </w:p>
    <w:p w:rsidR="00662F81" w:rsidRPr="009332D2" w:rsidP="00662F81" w14:paraId="3B2DD18E" w14:textId="77777777">
      <w:pPr>
        <w:tabs>
          <w:tab w:val="left" w:pos="0"/>
        </w:tabs>
        <w:rPr>
          <w:rFonts w:asciiTheme="minorHAnsi" w:hAnsiTheme="minorHAnsi" w:cstheme="minorHAnsi"/>
          <w:color w:val="000000"/>
        </w:rPr>
      </w:pPr>
      <w:r w:rsidRPr="009332D2">
        <w:rPr>
          <w:rFonts w:asciiTheme="minorHAnsi" w:hAnsiTheme="minorHAnsi" w:cstheme="minorHAnsi"/>
          <w:b/>
          <w:bCs/>
          <w:color w:val="000000"/>
        </w:rPr>
        <w:t xml:space="preserve">A.17. </w:t>
      </w:r>
      <w:r w:rsidRPr="009332D2">
        <w:rPr>
          <w:rFonts w:asciiTheme="minorHAnsi" w:hAnsiTheme="minorHAnsi" w:cstheme="minorHAnsi"/>
          <w:b/>
          <w:bCs/>
          <w:color w:val="000000"/>
          <w:u w:val="single"/>
        </w:rPr>
        <w:t>Reason(s) Display of OMB Expiration Date is Inappropriate</w:t>
      </w:r>
    </w:p>
    <w:p w:rsidR="00662F81" w:rsidRPr="009332D2" w:rsidP="00662F81" w14:paraId="67CD09C7" w14:textId="77777777">
      <w:pPr>
        <w:tabs>
          <w:tab w:val="left" w:pos="0"/>
        </w:tabs>
        <w:rPr>
          <w:rFonts w:asciiTheme="minorHAnsi" w:hAnsiTheme="minorHAnsi" w:cstheme="minorHAnsi"/>
          <w:color w:val="000000"/>
        </w:rPr>
      </w:pPr>
      <w:r w:rsidRPr="009332D2">
        <w:rPr>
          <w:rFonts w:asciiTheme="minorHAnsi" w:hAnsiTheme="minorHAnsi" w:cstheme="minorHAnsi"/>
          <w:color w:val="000000"/>
        </w:rPr>
        <w:t xml:space="preserve">The display of the </w:t>
      </w:r>
      <w:r w:rsidRPr="009332D2" w:rsidR="00776240">
        <w:rPr>
          <w:rFonts w:asciiTheme="minorHAnsi" w:hAnsiTheme="minorHAnsi" w:cstheme="minorHAnsi"/>
          <w:color w:val="000000"/>
        </w:rPr>
        <w:t xml:space="preserve">OMB </w:t>
      </w:r>
      <w:r w:rsidRPr="009332D2">
        <w:rPr>
          <w:rFonts w:asciiTheme="minorHAnsi" w:hAnsiTheme="minorHAnsi" w:cstheme="minorHAnsi"/>
          <w:color w:val="000000"/>
        </w:rPr>
        <w:t>expiration date is not inappropriate.</w:t>
      </w:r>
    </w:p>
    <w:p w:rsidR="00662F81" w:rsidRPr="009332D2" w:rsidP="00662F81" w14:paraId="3FFD054A" w14:textId="77777777">
      <w:pPr>
        <w:tabs>
          <w:tab w:val="left" w:pos="0"/>
        </w:tabs>
        <w:rPr>
          <w:rFonts w:asciiTheme="minorHAnsi" w:hAnsiTheme="minorHAnsi" w:cstheme="minorHAnsi"/>
          <w:color w:val="000000"/>
        </w:rPr>
      </w:pPr>
      <w:r w:rsidRPr="009332D2">
        <w:rPr>
          <w:rFonts w:asciiTheme="minorHAnsi" w:hAnsiTheme="minorHAnsi" w:cstheme="minorHAnsi"/>
          <w:b/>
          <w:bCs/>
          <w:color w:val="000000"/>
        </w:rPr>
        <w:t xml:space="preserve">A.18. </w:t>
      </w:r>
      <w:r w:rsidRPr="009332D2">
        <w:rPr>
          <w:rFonts w:asciiTheme="minorHAnsi" w:hAnsiTheme="minorHAnsi" w:cstheme="minorHAnsi"/>
          <w:b/>
          <w:bCs/>
          <w:color w:val="000000"/>
          <w:u w:val="single"/>
        </w:rPr>
        <w:t>Exceptions to Certification for Paperwork Reduction Act Submissions</w:t>
      </w:r>
    </w:p>
    <w:p w:rsidR="00662F81" w:rsidRPr="009332D2" w:rsidP="00662F81" w14:paraId="68C0B43C" w14:textId="77777777">
      <w:pPr>
        <w:tabs>
          <w:tab w:val="left" w:pos="0"/>
        </w:tabs>
        <w:rPr>
          <w:rFonts w:asciiTheme="minorHAnsi" w:hAnsiTheme="minorHAnsi" w:cstheme="minorHAnsi"/>
          <w:color w:val="000000"/>
        </w:rPr>
      </w:pPr>
      <w:r w:rsidRPr="009332D2">
        <w:rPr>
          <w:rFonts w:asciiTheme="minorHAnsi" w:hAnsiTheme="minorHAnsi" w:cstheme="minorHAnsi"/>
          <w:color w:val="000000"/>
        </w:rPr>
        <w:t>There are no exceptions to the certification.</w:t>
      </w:r>
    </w:p>
    <w:p w:rsidR="000A4D5E" w:rsidRPr="009332D2" w:rsidP="00662F81" w14:paraId="7F1C27B6" w14:textId="77777777">
      <w:pPr>
        <w:tabs>
          <w:tab w:val="left" w:pos="0"/>
        </w:tabs>
        <w:rPr>
          <w:rFonts w:asciiTheme="minorHAnsi" w:hAnsiTheme="minorHAnsi" w:cstheme="minorHAnsi"/>
          <w:color w:val="000000"/>
        </w:rPr>
      </w:pPr>
    </w:p>
    <w:p w:rsidR="000A4D5E" w:rsidRPr="009332D2" w:rsidP="00662F81" w14:paraId="762C7750" w14:textId="77777777">
      <w:pPr>
        <w:tabs>
          <w:tab w:val="left" w:pos="0"/>
        </w:tabs>
        <w:rPr>
          <w:rFonts w:asciiTheme="minorHAnsi" w:hAnsiTheme="minorHAnsi" w:cstheme="minorHAnsi"/>
          <w:color w:val="000000"/>
        </w:rPr>
      </w:pPr>
      <w:r w:rsidRPr="009332D2">
        <w:rPr>
          <w:rFonts w:asciiTheme="minorHAnsi" w:hAnsiTheme="minorHAnsi" w:cstheme="minorHAnsi"/>
          <w:color w:val="000000"/>
        </w:rPr>
        <w:t>REFERENCE</w:t>
      </w:r>
    </w:p>
    <w:p w:rsidR="000A4D5E" w:rsidRPr="009332D2" w:rsidP="00662F81" w14:paraId="22EA29BB" w14:textId="77777777">
      <w:pPr>
        <w:tabs>
          <w:tab w:val="left" w:pos="0"/>
        </w:tabs>
        <w:rPr>
          <w:rFonts w:asciiTheme="minorHAnsi" w:hAnsiTheme="minorHAnsi" w:cstheme="minorHAnsi"/>
          <w:color w:val="000000"/>
        </w:rPr>
      </w:pPr>
    </w:p>
    <w:p w:rsidR="000A4D5E" w:rsidRPr="009332D2" w:rsidP="00662F81" w14:paraId="0C4FB38B" w14:textId="77777777">
      <w:pPr>
        <w:tabs>
          <w:tab w:val="left" w:pos="0"/>
        </w:tabs>
        <w:rPr>
          <w:rFonts w:asciiTheme="minorHAnsi" w:hAnsiTheme="minorHAnsi" w:cstheme="minorHAnsi"/>
          <w:color w:val="000000"/>
        </w:rPr>
      </w:pPr>
      <w:r w:rsidRPr="009332D2">
        <w:rPr>
          <w:rFonts w:asciiTheme="minorHAnsi" w:hAnsiTheme="minorHAnsi" w:cstheme="minorHAnsi"/>
          <w:color w:val="000000"/>
        </w:rPr>
        <w:t>Office of Management and Budget, Statistical Policy Directive No. 2: Standards and Guidelines for Statistical Surveys; Addendum: Standards and Guidelines for Cognitive Interviews. Published in the Federal Register, October 12, 2016, vol. 81, no. 197, pp. 70586.</w:t>
      </w:r>
    </w:p>
    <w:sectPr w:rsidSect="00AF71DC">
      <w:headerReference w:type="even" r:id="rId7"/>
      <w:footerReference w:type="even" r:id="rId8"/>
      <w:footerReference w:type="default" r:id="rId9"/>
      <w:endnotePr>
        <w:numFmt w:val="decimal"/>
      </w:endnotePr>
      <w:type w:val="continuous"/>
      <w:pgSz w:w="12240" w:h="15840"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13B4244D" w14:textId="457979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50D3">
      <w:rPr>
        <w:rStyle w:val="PageNumber"/>
        <w:noProof/>
      </w:rPr>
      <w:t>2</w:t>
    </w:r>
    <w:r>
      <w:rPr>
        <w:rStyle w:val="PageNumber"/>
      </w:rPr>
      <w:fldChar w:fldCharType="end"/>
    </w:r>
  </w:p>
  <w:p w:rsidR="002F5077" w14:paraId="00E163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576943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76D">
      <w:rPr>
        <w:rStyle w:val="PageNumber"/>
        <w:noProof/>
      </w:rPr>
      <w:t>16</w:t>
    </w:r>
    <w:r>
      <w:rPr>
        <w:rStyle w:val="PageNumber"/>
      </w:rPr>
      <w:fldChar w:fldCharType="end"/>
    </w:r>
  </w:p>
  <w:p w:rsidR="002F5077" w:rsidP="005B5F63" w14:paraId="7C3D96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742647" w14:paraId="130B60D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2F5077" w14:paraId="368F0A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1C2518"/>
    <w:multiLevelType w:val="hybridMultilevel"/>
    <w:tmpl w:val="8460F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5">
    <w:nsid w:val="650F325F"/>
    <w:multiLevelType w:val="hybridMultilevel"/>
    <w:tmpl w:val="4C861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9">
    <w:nsid w:val="7128551C"/>
    <w:multiLevelType w:val="hybridMultilevel"/>
    <w:tmpl w:val="4F7E0CC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3252183">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93212493">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2022587868">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045063151">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33788180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725595208">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58752525">
    <w:abstractNumId w:val="30"/>
  </w:num>
  <w:num w:numId="8" w16cid:durableId="1211183310">
    <w:abstractNumId w:val="15"/>
  </w:num>
  <w:num w:numId="9" w16cid:durableId="1550258899">
    <w:abstractNumId w:val="37"/>
  </w:num>
  <w:num w:numId="10" w16cid:durableId="211431643">
    <w:abstractNumId w:val="16"/>
  </w:num>
  <w:num w:numId="11" w16cid:durableId="729888357">
    <w:abstractNumId w:val="24"/>
  </w:num>
  <w:num w:numId="12" w16cid:durableId="204952092">
    <w:abstractNumId w:val="27"/>
  </w:num>
  <w:num w:numId="13" w16cid:durableId="1448620329">
    <w:abstractNumId w:val="29"/>
  </w:num>
  <w:num w:numId="14" w16cid:durableId="1887331575">
    <w:abstractNumId w:val="19"/>
  </w:num>
  <w:num w:numId="15" w16cid:durableId="1810593571">
    <w:abstractNumId w:val="10"/>
  </w:num>
  <w:num w:numId="16" w16cid:durableId="57286626">
    <w:abstractNumId w:val="26"/>
  </w:num>
  <w:num w:numId="17" w16cid:durableId="561407466">
    <w:abstractNumId w:val="20"/>
  </w:num>
  <w:num w:numId="18" w16cid:durableId="285552880">
    <w:abstractNumId w:val="33"/>
  </w:num>
  <w:num w:numId="19" w16cid:durableId="277764442">
    <w:abstractNumId w:val="32"/>
  </w:num>
  <w:num w:numId="20" w16cid:durableId="1742173042">
    <w:abstractNumId w:val="23"/>
  </w:num>
  <w:num w:numId="21" w16cid:durableId="1010184528">
    <w:abstractNumId w:val="17"/>
  </w:num>
  <w:num w:numId="22" w16cid:durableId="2040663376">
    <w:abstractNumId w:val="12"/>
  </w:num>
  <w:num w:numId="23" w16cid:durableId="38867801">
    <w:abstractNumId w:val="25"/>
  </w:num>
  <w:num w:numId="24" w16cid:durableId="583146650">
    <w:abstractNumId w:val="8"/>
  </w:num>
  <w:num w:numId="25" w16cid:durableId="1279795623">
    <w:abstractNumId w:val="38"/>
  </w:num>
  <w:num w:numId="26" w16cid:durableId="1478841352">
    <w:abstractNumId w:val="7"/>
  </w:num>
  <w:num w:numId="27" w16cid:durableId="510804529">
    <w:abstractNumId w:val="6"/>
  </w:num>
  <w:num w:numId="28" w16cid:durableId="122844633">
    <w:abstractNumId w:val="34"/>
  </w:num>
  <w:num w:numId="29" w16cid:durableId="1657107084">
    <w:abstractNumId w:val="13"/>
  </w:num>
  <w:num w:numId="30" w16cid:durableId="1332416331">
    <w:abstractNumId w:val="31"/>
  </w:num>
  <w:num w:numId="31" w16cid:durableId="605114379">
    <w:abstractNumId w:val="9"/>
  </w:num>
  <w:num w:numId="32" w16cid:durableId="343214609">
    <w:abstractNumId w:val="36"/>
  </w:num>
  <w:num w:numId="33" w16cid:durableId="1620911577">
    <w:abstractNumId w:val="5"/>
  </w:num>
  <w:num w:numId="34" w16cid:durableId="2109881800">
    <w:abstractNumId w:val="21"/>
  </w:num>
  <w:num w:numId="35" w16cid:durableId="474688489">
    <w:abstractNumId w:val="14"/>
  </w:num>
  <w:num w:numId="36" w16cid:durableId="1888175074">
    <w:abstractNumId w:val="22"/>
  </w:num>
  <w:num w:numId="37" w16cid:durableId="1955594297">
    <w:abstractNumId w:val="11"/>
  </w:num>
  <w:num w:numId="38" w16cid:durableId="900677716">
    <w:abstractNumId w:val="18"/>
  </w:num>
  <w:num w:numId="39" w16cid:durableId="629822214">
    <w:abstractNumId w:val="28"/>
  </w:num>
  <w:num w:numId="40" w16cid:durableId="1973361482">
    <w:abstractNumId w:val="39"/>
  </w:num>
  <w:num w:numId="41" w16cid:durableId="3710318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09BA"/>
    <w:rsid w:val="00000E7D"/>
    <w:rsid w:val="00001968"/>
    <w:rsid w:val="0000202D"/>
    <w:rsid w:val="00002764"/>
    <w:rsid w:val="00004A87"/>
    <w:rsid w:val="00006B22"/>
    <w:rsid w:val="00007BDC"/>
    <w:rsid w:val="0001000A"/>
    <w:rsid w:val="000122A1"/>
    <w:rsid w:val="00012675"/>
    <w:rsid w:val="000144CC"/>
    <w:rsid w:val="00014CAA"/>
    <w:rsid w:val="00014DB3"/>
    <w:rsid w:val="00015151"/>
    <w:rsid w:val="00017915"/>
    <w:rsid w:val="00017B42"/>
    <w:rsid w:val="00021F50"/>
    <w:rsid w:val="00022A54"/>
    <w:rsid w:val="000259DE"/>
    <w:rsid w:val="000261B1"/>
    <w:rsid w:val="0002754E"/>
    <w:rsid w:val="00027ABA"/>
    <w:rsid w:val="00027B74"/>
    <w:rsid w:val="00030DA5"/>
    <w:rsid w:val="000315DB"/>
    <w:rsid w:val="00031D85"/>
    <w:rsid w:val="00032124"/>
    <w:rsid w:val="00033191"/>
    <w:rsid w:val="00035595"/>
    <w:rsid w:val="000360CC"/>
    <w:rsid w:val="00036E5B"/>
    <w:rsid w:val="0004017D"/>
    <w:rsid w:val="000403E5"/>
    <w:rsid w:val="00043480"/>
    <w:rsid w:val="00043566"/>
    <w:rsid w:val="00044742"/>
    <w:rsid w:val="00045538"/>
    <w:rsid w:val="00045A69"/>
    <w:rsid w:val="00046145"/>
    <w:rsid w:val="00046FFA"/>
    <w:rsid w:val="00047045"/>
    <w:rsid w:val="00052212"/>
    <w:rsid w:val="00055B49"/>
    <w:rsid w:val="00055EA4"/>
    <w:rsid w:val="000616B4"/>
    <w:rsid w:val="00061916"/>
    <w:rsid w:val="000627FE"/>
    <w:rsid w:val="00064549"/>
    <w:rsid w:val="00066529"/>
    <w:rsid w:val="0006668D"/>
    <w:rsid w:val="000703D6"/>
    <w:rsid w:val="0007072A"/>
    <w:rsid w:val="000711E1"/>
    <w:rsid w:val="00075916"/>
    <w:rsid w:val="000773D3"/>
    <w:rsid w:val="000814C1"/>
    <w:rsid w:val="00082A36"/>
    <w:rsid w:val="00085603"/>
    <w:rsid w:val="000901A5"/>
    <w:rsid w:val="000907F7"/>
    <w:rsid w:val="00091968"/>
    <w:rsid w:val="00091D70"/>
    <w:rsid w:val="000928D4"/>
    <w:rsid w:val="00093114"/>
    <w:rsid w:val="00093C81"/>
    <w:rsid w:val="00097D05"/>
    <w:rsid w:val="000A2FF3"/>
    <w:rsid w:val="000A3385"/>
    <w:rsid w:val="000A3F47"/>
    <w:rsid w:val="000A4D5E"/>
    <w:rsid w:val="000A689B"/>
    <w:rsid w:val="000B03B1"/>
    <w:rsid w:val="000B1E1A"/>
    <w:rsid w:val="000B23A7"/>
    <w:rsid w:val="000B2411"/>
    <w:rsid w:val="000B295F"/>
    <w:rsid w:val="000B3000"/>
    <w:rsid w:val="000B3F98"/>
    <w:rsid w:val="000B5579"/>
    <w:rsid w:val="000C0757"/>
    <w:rsid w:val="000C0B3F"/>
    <w:rsid w:val="000C166E"/>
    <w:rsid w:val="000C3231"/>
    <w:rsid w:val="000C6292"/>
    <w:rsid w:val="000C6BE2"/>
    <w:rsid w:val="000C7994"/>
    <w:rsid w:val="000D2FC7"/>
    <w:rsid w:val="000D2FD2"/>
    <w:rsid w:val="000D6277"/>
    <w:rsid w:val="000E1148"/>
    <w:rsid w:val="000E123F"/>
    <w:rsid w:val="000E2C9A"/>
    <w:rsid w:val="000E3FAB"/>
    <w:rsid w:val="000E42F8"/>
    <w:rsid w:val="000E599F"/>
    <w:rsid w:val="000E5D00"/>
    <w:rsid w:val="000E5D1B"/>
    <w:rsid w:val="000E79C3"/>
    <w:rsid w:val="000F5494"/>
    <w:rsid w:val="000F681D"/>
    <w:rsid w:val="0010167D"/>
    <w:rsid w:val="001116B2"/>
    <w:rsid w:val="00111BE6"/>
    <w:rsid w:val="001121FF"/>
    <w:rsid w:val="001130C4"/>
    <w:rsid w:val="001161EE"/>
    <w:rsid w:val="00116596"/>
    <w:rsid w:val="0012089D"/>
    <w:rsid w:val="00120E13"/>
    <w:rsid w:val="00121AC4"/>
    <w:rsid w:val="00124A5C"/>
    <w:rsid w:val="0012573B"/>
    <w:rsid w:val="0013173E"/>
    <w:rsid w:val="00132B15"/>
    <w:rsid w:val="00133117"/>
    <w:rsid w:val="001363F9"/>
    <w:rsid w:val="001411F5"/>
    <w:rsid w:val="00142D32"/>
    <w:rsid w:val="0014373B"/>
    <w:rsid w:val="001439CF"/>
    <w:rsid w:val="00144D39"/>
    <w:rsid w:val="00151EE0"/>
    <w:rsid w:val="0015392C"/>
    <w:rsid w:val="0015404E"/>
    <w:rsid w:val="001561E1"/>
    <w:rsid w:val="00156468"/>
    <w:rsid w:val="00157B85"/>
    <w:rsid w:val="00161E86"/>
    <w:rsid w:val="00162206"/>
    <w:rsid w:val="001623D4"/>
    <w:rsid w:val="00163BC3"/>
    <w:rsid w:val="0016605A"/>
    <w:rsid w:val="0016614F"/>
    <w:rsid w:val="00166593"/>
    <w:rsid w:val="00166A41"/>
    <w:rsid w:val="0017124B"/>
    <w:rsid w:val="00171595"/>
    <w:rsid w:val="001715FA"/>
    <w:rsid w:val="00172CA4"/>
    <w:rsid w:val="00173868"/>
    <w:rsid w:val="001747FF"/>
    <w:rsid w:val="00174C74"/>
    <w:rsid w:val="001756C0"/>
    <w:rsid w:val="0017776D"/>
    <w:rsid w:val="001802AD"/>
    <w:rsid w:val="0018216D"/>
    <w:rsid w:val="001838DC"/>
    <w:rsid w:val="0018474A"/>
    <w:rsid w:val="00187396"/>
    <w:rsid w:val="00187C46"/>
    <w:rsid w:val="00192008"/>
    <w:rsid w:val="001929B8"/>
    <w:rsid w:val="00192F40"/>
    <w:rsid w:val="00193766"/>
    <w:rsid w:val="001A03B7"/>
    <w:rsid w:val="001A0DF0"/>
    <w:rsid w:val="001A278B"/>
    <w:rsid w:val="001A3054"/>
    <w:rsid w:val="001A44B4"/>
    <w:rsid w:val="001A455C"/>
    <w:rsid w:val="001A4ECC"/>
    <w:rsid w:val="001A58EA"/>
    <w:rsid w:val="001B4053"/>
    <w:rsid w:val="001B5CC2"/>
    <w:rsid w:val="001B6931"/>
    <w:rsid w:val="001B7536"/>
    <w:rsid w:val="001C03C4"/>
    <w:rsid w:val="001C0AFB"/>
    <w:rsid w:val="001C2EE3"/>
    <w:rsid w:val="001C3648"/>
    <w:rsid w:val="001C5C15"/>
    <w:rsid w:val="001C7731"/>
    <w:rsid w:val="001C7B9C"/>
    <w:rsid w:val="001D07CE"/>
    <w:rsid w:val="001D1CE5"/>
    <w:rsid w:val="001D39C5"/>
    <w:rsid w:val="001D62A2"/>
    <w:rsid w:val="001D6452"/>
    <w:rsid w:val="001E3984"/>
    <w:rsid w:val="001E5449"/>
    <w:rsid w:val="001F244E"/>
    <w:rsid w:val="001F25EF"/>
    <w:rsid w:val="001F2663"/>
    <w:rsid w:val="001F2866"/>
    <w:rsid w:val="001F5B62"/>
    <w:rsid w:val="001F610D"/>
    <w:rsid w:val="001F772D"/>
    <w:rsid w:val="002003D7"/>
    <w:rsid w:val="00201240"/>
    <w:rsid w:val="00203426"/>
    <w:rsid w:val="00203971"/>
    <w:rsid w:val="00203E80"/>
    <w:rsid w:val="00204024"/>
    <w:rsid w:val="00204C4B"/>
    <w:rsid w:val="0020502A"/>
    <w:rsid w:val="002065ED"/>
    <w:rsid w:val="002067DE"/>
    <w:rsid w:val="002105B9"/>
    <w:rsid w:val="00210D56"/>
    <w:rsid w:val="00211173"/>
    <w:rsid w:val="0021212E"/>
    <w:rsid w:val="00214D5A"/>
    <w:rsid w:val="00216D94"/>
    <w:rsid w:val="00216FB9"/>
    <w:rsid w:val="002173D4"/>
    <w:rsid w:val="00217F01"/>
    <w:rsid w:val="0022229C"/>
    <w:rsid w:val="00223911"/>
    <w:rsid w:val="00223B66"/>
    <w:rsid w:val="002266F7"/>
    <w:rsid w:val="00226BE0"/>
    <w:rsid w:val="0022752A"/>
    <w:rsid w:val="00227BF6"/>
    <w:rsid w:val="002305C5"/>
    <w:rsid w:val="00232CF4"/>
    <w:rsid w:val="00232D54"/>
    <w:rsid w:val="0023517B"/>
    <w:rsid w:val="002352DD"/>
    <w:rsid w:val="00235BDB"/>
    <w:rsid w:val="00236073"/>
    <w:rsid w:val="00244187"/>
    <w:rsid w:val="00246997"/>
    <w:rsid w:val="00247058"/>
    <w:rsid w:val="00247E74"/>
    <w:rsid w:val="00252C97"/>
    <w:rsid w:val="00253472"/>
    <w:rsid w:val="00254471"/>
    <w:rsid w:val="00255F89"/>
    <w:rsid w:val="002567B0"/>
    <w:rsid w:val="002574A5"/>
    <w:rsid w:val="00260758"/>
    <w:rsid w:val="00261E27"/>
    <w:rsid w:val="00261F08"/>
    <w:rsid w:val="00263EDC"/>
    <w:rsid w:val="0026704E"/>
    <w:rsid w:val="0027142C"/>
    <w:rsid w:val="00272BA4"/>
    <w:rsid w:val="0027378A"/>
    <w:rsid w:val="00273DBB"/>
    <w:rsid w:val="00276233"/>
    <w:rsid w:val="002765CD"/>
    <w:rsid w:val="002850AC"/>
    <w:rsid w:val="0028684F"/>
    <w:rsid w:val="00286A5A"/>
    <w:rsid w:val="00286DF1"/>
    <w:rsid w:val="00287E7B"/>
    <w:rsid w:val="00287FB1"/>
    <w:rsid w:val="00290452"/>
    <w:rsid w:val="00291FB8"/>
    <w:rsid w:val="002922F0"/>
    <w:rsid w:val="002936BD"/>
    <w:rsid w:val="00294351"/>
    <w:rsid w:val="00295416"/>
    <w:rsid w:val="002971A5"/>
    <w:rsid w:val="00297834"/>
    <w:rsid w:val="00297880"/>
    <w:rsid w:val="002A07DD"/>
    <w:rsid w:val="002A0EED"/>
    <w:rsid w:val="002A1D76"/>
    <w:rsid w:val="002A2784"/>
    <w:rsid w:val="002A38AC"/>
    <w:rsid w:val="002A66E3"/>
    <w:rsid w:val="002A6D69"/>
    <w:rsid w:val="002A6EA6"/>
    <w:rsid w:val="002B1C1F"/>
    <w:rsid w:val="002B1E49"/>
    <w:rsid w:val="002B3674"/>
    <w:rsid w:val="002B3716"/>
    <w:rsid w:val="002B3CA1"/>
    <w:rsid w:val="002B49B4"/>
    <w:rsid w:val="002B6C0A"/>
    <w:rsid w:val="002B702B"/>
    <w:rsid w:val="002B763E"/>
    <w:rsid w:val="002C008B"/>
    <w:rsid w:val="002C2D2E"/>
    <w:rsid w:val="002C4B79"/>
    <w:rsid w:val="002C5A3C"/>
    <w:rsid w:val="002C60A8"/>
    <w:rsid w:val="002D09B6"/>
    <w:rsid w:val="002D3DED"/>
    <w:rsid w:val="002D3EDE"/>
    <w:rsid w:val="002D4341"/>
    <w:rsid w:val="002D5EE8"/>
    <w:rsid w:val="002D69D1"/>
    <w:rsid w:val="002D7213"/>
    <w:rsid w:val="002D76E5"/>
    <w:rsid w:val="002E1517"/>
    <w:rsid w:val="002E1B07"/>
    <w:rsid w:val="002E2357"/>
    <w:rsid w:val="002E274D"/>
    <w:rsid w:val="002E28BA"/>
    <w:rsid w:val="002E3155"/>
    <w:rsid w:val="002E5A05"/>
    <w:rsid w:val="002F0966"/>
    <w:rsid w:val="002F26B0"/>
    <w:rsid w:val="002F4249"/>
    <w:rsid w:val="002F4EE4"/>
    <w:rsid w:val="002F5077"/>
    <w:rsid w:val="002F58B9"/>
    <w:rsid w:val="003016B1"/>
    <w:rsid w:val="00301939"/>
    <w:rsid w:val="00302801"/>
    <w:rsid w:val="0030486F"/>
    <w:rsid w:val="0030685B"/>
    <w:rsid w:val="003070B6"/>
    <w:rsid w:val="00307AAF"/>
    <w:rsid w:val="00307D97"/>
    <w:rsid w:val="00312CF4"/>
    <w:rsid w:val="0031692A"/>
    <w:rsid w:val="003172E7"/>
    <w:rsid w:val="00317F8B"/>
    <w:rsid w:val="00320419"/>
    <w:rsid w:val="0032200A"/>
    <w:rsid w:val="00322265"/>
    <w:rsid w:val="00323FDE"/>
    <w:rsid w:val="00324858"/>
    <w:rsid w:val="00326BD6"/>
    <w:rsid w:val="003272C1"/>
    <w:rsid w:val="00327825"/>
    <w:rsid w:val="00327D53"/>
    <w:rsid w:val="00330F92"/>
    <w:rsid w:val="00332009"/>
    <w:rsid w:val="00332FB2"/>
    <w:rsid w:val="00333A56"/>
    <w:rsid w:val="00333DB0"/>
    <w:rsid w:val="0033562A"/>
    <w:rsid w:val="00335681"/>
    <w:rsid w:val="00335838"/>
    <w:rsid w:val="00336168"/>
    <w:rsid w:val="003369E6"/>
    <w:rsid w:val="00341941"/>
    <w:rsid w:val="00341C66"/>
    <w:rsid w:val="00342B6C"/>
    <w:rsid w:val="0034329D"/>
    <w:rsid w:val="003465FD"/>
    <w:rsid w:val="00346A02"/>
    <w:rsid w:val="0034797C"/>
    <w:rsid w:val="003479C7"/>
    <w:rsid w:val="00350BDE"/>
    <w:rsid w:val="003519FE"/>
    <w:rsid w:val="00353925"/>
    <w:rsid w:val="00353BDB"/>
    <w:rsid w:val="00355A31"/>
    <w:rsid w:val="00356F00"/>
    <w:rsid w:val="00357AD9"/>
    <w:rsid w:val="00360CD6"/>
    <w:rsid w:val="00362026"/>
    <w:rsid w:val="00363190"/>
    <w:rsid w:val="003701D5"/>
    <w:rsid w:val="00370ADF"/>
    <w:rsid w:val="00373838"/>
    <w:rsid w:val="00373E87"/>
    <w:rsid w:val="0037421D"/>
    <w:rsid w:val="003752AE"/>
    <w:rsid w:val="0037575C"/>
    <w:rsid w:val="00375E73"/>
    <w:rsid w:val="0038183C"/>
    <w:rsid w:val="0038266C"/>
    <w:rsid w:val="00383105"/>
    <w:rsid w:val="00384295"/>
    <w:rsid w:val="00384CF1"/>
    <w:rsid w:val="0038552D"/>
    <w:rsid w:val="003878C5"/>
    <w:rsid w:val="00390791"/>
    <w:rsid w:val="0039102B"/>
    <w:rsid w:val="00391B2A"/>
    <w:rsid w:val="0039457B"/>
    <w:rsid w:val="0039668A"/>
    <w:rsid w:val="00397380"/>
    <w:rsid w:val="003A020B"/>
    <w:rsid w:val="003A09AB"/>
    <w:rsid w:val="003A1CC5"/>
    <w:rsid w:val="003A3F56"/>
    <w:rsid w:val="003A4192"/>
    <w:rsid w:val="003A5A2F"/>
    <w:rsid w:val="003A5AC9"/>
    <w:rsid w:val="003A6373"/>
    <w:rsid w:val="003A7316"/>
    <w:rsid w:val="003A7471"/>
    <w:rsid w:val="003A7A8F"/>
    <w:rsid w:val="003B042F"/>
    <w:rsid w:val="003B0855"/>
    <w:rsid w:val="003B2F57"/>
    <w:rsid w:val="003B4F70"/>
    <w:rsid w:val="003B50EF"/>
    <w:rsid w:val="003B5740"/>
    <w:rsid w:val="003B65D9"/>
    <w:rsid w:val="003C2231"/>
    <w:rsid w:val="003C40AE"/>
    <w:rsid w:val="003C4C0A"/>
    <w:rsid w:val="003C536F"/>
    <w:rsid w:val="003C539B"/>
    <w:rsid w:val="003C5538"/>
    <w:rsid w:val="003C5C98"/>
    <w:rsid w:val="003C7D01"/>
    <w:rsid w:val="003C7F57"/>
    <w:rsid w:val="003D0E36"/>
    <w:rsid w:val="003D1382"/>
    <w:rsid w:val="003D1FDA"/>
    <w:rsid w:val="003D3646"/>
    <w:rsid w:val="003D39DD"/>
    <w:rsid w:val="003D4B1C"/>
    <w:rsid w:val="003D6657"/>
    <w:rsid w:val="003D6E02"/>
    <w:rsid w:val="003E02CC"/>
    <w:rsid w:val="003E2325"/>
    <w:rsid w:val="003E3A8D"/>
    <w:rsid w:val="003E5A93"/>
    <w:rsid w:val="003E6332"/>
    <w:rsid w:val="003E7A28"/>
    <w:rsid w:val="003F2B5D"/>
    <w:rsid w:val="003F3E68"/>
    <w:rsid w:val="003F4D22"/>
    <w:rsid w:val="003F6CB2"/>
    <w:rsid w:val="003F7074"/>
    <w:rsid w:val="003F716B"/>
    <w:rsid w:val="003F7858"/>
    <w:rsid w:val="00400FED"/>
    <w:rsid w:val="00402D1C"/>
    <w:rsid w:val="004031FA"/>
    <w:rsid w:val="00403CFB"/>
    <w:rsid w:val="004049CD"/>
    <w:rsid w:val="0040694B"/>
    <w:rsid w:val="004069CC"/>
    <w:rsid w:val="0041214D"/>
    <w:rsid w:val="00412362"/>
    <w:rsid w:val="00412A3C"/>
    <w:rsid w:val="004134C5"/>
    <w:rsid w:val="004141BE"/>
    <w:rsid w:val="00416793"/>
    <w:rsid w:val="00416C0B"/>
    <w:rsid w:val="0041713F"/>
    <w:rsid w:val="00420156"/>
    <w:rsid w:val="00420C29"/>
    <w:rsid w:val="004217D2"/>
    <w:rsid w:val="00421A71"/>
    <w:rsid w:val="00423268"/>
    <w:rsid w:val="00425B35"/>
    <w:rsid w:val="00430942"/>
    <w:rsid w:val="004311C5"/>
    <w:rsid w:val="004333EE"/>
    <w:rsid w:val="00433BCE"/>
    <w:rsid w:val="00435717"/>
    <w:rsid w:val="0043632C"/>
    <w:rsid w:val="0044048D"/>
    <w:rsid w:val="004417D0"/>
    <w:rsid w:val="00443C44"/>
    <w:rsid w:val="0044466C"/>
    <w:rsid w:val="00444F0C"/>
    <w:rsid w:val="004454E2"/>
    <w:rsid w:val="00445BCF"/>
    <w:rsid w:val="004473A8"/>
    <w:rsid w:val="00447969"/>
    <w:rsid w:val="00450B31"/>
    <w:rsid w:val="00450E88"/>
    <w:rsid w:val="00451737"/>
    <w:rsid w:val="00452251"/>
    <w:rsid w:val="00453CE1"/>
    <w:rsid w:val="00454060"/>
    <w:rsid w:val="0045485E"/>
    <w:rsid w:val="004559B5"/>
    <w:rsid w:val="004571FE"/>
    <w:rsid w:val="004578E8"/>
    <w:rsid w:val="00460A3A"/>
    <w:rsid w:val="00461B6A"/>
    <w:rsid w:val="00461BF4"/>
    <w:rsid w:val="004631D4"/>
    <w:rsid w:val="00464449"/>
    <w:rsid w:val="00465034"/>
    <w:rsid w:val="0046629E"/>
    <w:rsid w:val="004703AB"/>
    <w:rsid w:val="0047048A"/>
    <w:rsid w:val="0047092D"/>
    <w:rsid w:val="004709A4"/>
    <w:rsid w:val="00471AD8"/>
    <w:rsid w:val="00472E97"/>
    <w:rsid w:val="00474849"/>
    <w:rsid w:val="0047535A"/>
    <w:rsid w:val="004758F8"/>
    <w:rsid w:val="00480A80"/>
    <w:rsid w:val="00481BD2"/>
    <w:rsid w:val="0048277E"/>
    <w:rsid w:val="00483943"/>
    <w:rsid w:val="00484423"/>
    <w:rsid w:val="00484684"/>
    <w:rsid w:val="0048652D"/>
    <w:rsid w:val="00490440"/>
    <w:rsid w:val="00491B6E"/>
    <w:rsid w:val="00493141"/>
    <w:rsid w:val="0049315A"/>
    <w:rsid w:val="00493A00"/>
    <w:rsid w:val="004943FB"/>
    <w:rsid w:val="004945F6"/>
    <w:rsid w:val="00495927"/>
    <w:rsid w:val="00495B91"/>
    <w:rsid w:val="004A1D73"/>
    <w:rsid w:val="004A1DD7"/>
    <w:rsid w:val="004A33EB"/>
    <w:rsid w:val="004A762C"/>
    <w:rsid w:val="004A7B77"/>
    <w:rsid w:val="004A7E4D"/>
    <w:rsid w:val="004B3F6F"/>
    <w:rsid w:val="004B468F"/>
    <w:rsid w:val="004B6703"/>
    <w:rsid w:val="004B7499"/>
    <w:rsid w:val="004C0961"/>
    <w:rsid w:val="004C170F"/>
    <w:rsid w:val="004C2700"/>
    <w:rsid w:val="004C45EF"/>
    <w:rsid w:val="004C5BF8"/>
    <w:rsid w:val="004C67DF"/>
    <w:rsid w:val="004C7332"/>
    <w:rsid w:val="004D0F37"/>
    <w:rsid w:val="004D26B9"/>
    <w:rsid w:val="004D49DC"/>
    <w:rsid w:val="004D70E7"/>
    <w:rsid w:val="004E0BA2"/>
    <w:rsid w:val="004E3C4E"/>
    <w:rsid w:val="004E447E"/>
    <w:rsid w:val="004E4DEB"/>
    <w:rsid w:val="004E4E61"/>
    <w:rsid w:val="004E54FC"/>
    <w:rsid w:val="004E68D8"/>
    <w:rsid w:val="004E696B"/>
    <w:rsid w:val="004E741E"/>
    <w:rsid w:val="004F0B8F"/>
    <w:rsid w:val="004F3C1E"/>
    <w:rsid w:val="004F463C"/>
    <w:rsid w:val="004F4A05"/>
    <w:rsid w:val="004F4DEF"/>
    <w:rsid w:val="004F6578"/>
    <w:rsid w:val="004F6688"/>
    <w:rsid w:val="004F7219"/>
    <w:rsid w:val="004F7AF3"/>
    <w:rsid w:val="00501E0F"/>
    <w:rsid w:val="005035C4"/>
    <w:rsid w:val="00503BB4"/>
    <w:rsid w:val="00504858"/>
    <w:rsid w:val="00512F38"/>
    <w:rsid w:val="005131F3"/>
    <w:rsid w:val="00513B8B"/>
    <w:rsid w:val="005163C3"/>
    <w:rsid w:val="0052066C"/>
    <w:rsid w:val="00521EA9"/>
    <w:rsid w:val="00522ED3"/>
    <w:rsid w:val="00524C30"/>
    <w:rsid w:val="00524EA1"/>
    <w:rsid w:val="00527974"/>
    <w:rsid w:val="005317FD"/>
    <w:rsid w:val="00531AC5"/>
    <w:rsid w:val="0053217D"/>
    <w:rsid w:val="0053314B"/>
    <w:rsid w:val="00533C10"/>
    <w:rsid w:val="00541C78"/>
    <w:rsid w:val="005431CB"/>
    <w:rsid w:val="00544F78"/>
    <w:rsid w:val="005471AF"/>
    <w:rsid w:val="005502BF"/>
    <w:rsid w:val="005507F9"/>
    <w:rsid w:val="00553175"/>
    <w:rsid w:val="005538AA"/>
    <w:rsid w:val="00554916"/>
    <w:rsid w:val="00557E03"/>
    <w:rsid w:val="00561EE6"/>
    <w:rsid w:val="0056322C"/>
    <w:rsid w:val="0057212D"/>
    <w:rsid w:val="00572CCE"/>
    <w:rsid w:val="00573B53"/>
    <w:rsid w:val="0057438D"/>
    <w:rsid w:val="00574489"/>
    <w:rsid w:val="00576A1E"/>
    <w:rsid w:val="005809A4"/>
    <w:rsid w:val="00584395"/>
    <w:rsid w:val="00585909"/>
    <w:rsid w:val="00585C1F"/>
    <w:rsid w:val="00586B8D"/>
    <w:rsid w:val="0059004E"/>
    <w:rsid w:val="00591899"/>
    <w:rsid w:val="00591927"/>
    <w:rsid w:val="00591F0C"/>
    <w:rsid w:val="00594B07"/>
    <w:rsid w:val="005958B6"/>
    <w:rsid w:val="005A1A39"/>
    <w:rsid w:val="005A3B06"/>
    <w:rsid w:val="005A47E5"/>
    <w:rsid w:val="005A4AFD"/>
    <w:rsid w:val="005A6807"/>
    <w:rsid w:val="005B1667"/>
    <w:rsid w:val="005B26E9"/>
    <w:rsid w:val="005B56EE"/>
    <w:rsid w:val="005B5F63"/>
    <w:rsid w:val="005B6181"/>
    <w:rsid w:val="005B6CC3"/>
    <w:rsid w:val="005B6F4B"/>
    <w:rsid w:val="005C07A9"/>
    <w:rsid w:val="005C4BED"/>
    <w:rsid w:val="005C4D92"/>
    <w:rsid w:val="005C5BF0"/>
    <w:rsid w:val="005C6EDC"/>
    <w:rsid w:val="005C799D"/>
    <w:rsid w:val="005D14BD"/>
    <w:rsid w:val="005D5993"/>
    <w:rsid w:val="005D5A24"/>
    <w:rsid w:val="005E02FC"/>
    <w:rsid w:val="005E0C3A"/>
    <w:rsid w:val="005E2A2B"/>
    <w:rsid w:val="005E503F"/>
    <w:rsid w:val="005F1840"/>
    <w:rsid w:val="005F1B1F"/>
    <w:rsid w:val="005F1C86"/>
    <w:rsid w:val="005F25B0"/>
    <w:rsid w:val="005F2661"/>
    <w:rsid w:val="005F42B7"/>
    <w:rsid w:val="005F5456"/>
    <w:rsid w:val="005F5993"/>
    <w:rsid w:val="00603514"/>
    <w:rsid w:val="00604D99"/>
    <w:rsid w:val="006053A3"/>
    <w:rsid w:val="00605919"/>
    <w:rsid w:val="00605D3B"/>
    <w:rsid w:val="0060645E"/>
    <w:rsid w:val="006074E5"/>
    <w:rsid w:val="006107E2"/>
    <w:rsid w:val="00611A5B"/>
    <w:rsid w:val="00611F95"/>
    <w:rsid w:val="00616C66"/>
    <w:rsid w:val="00616F1C"/>
    <w:rsid w:val="00617333"/>
    <w:rsid w:val="006179E5"/>
    <w:rsid w:val="0062116F"/>
    <w:rsid w:val="00622517"/>
    <w:rsid w:val="00623677"/>
    <w:rsid w:val="006259CB"/>
    <w:rsid w:val="0062675D"/>
    <w:rsid w:val="00626BE8"/>
    <w:rsid w:val="00627E79"/>
    <w:rsid w:val="0063132F"/>
    <w:rsid w:val="006315D0"/>
    <w:rsid w:val="00633542"/>
    <w:rsid w:val="00633F07"/>
    <w:rsid w:val="006366AE"/>
    <w:rsid w:val="006400F9"/>
    <w:rsid w:val="00642B74"/>
    <w:rsid w:val="00642BCE"/>
    <w:rsid w:val="0064331B"/>
    <w:rsid w:val="006438BA"/>
    <w:rsid w:val="00645A2A"/>
    <w:rsid w:val="00647037"/>
    <w:rsid w:val="00650F32"/>
    <w:rsid w:val="0065595E"/>
    <w:rsid w:val="00655EFF"/>
    <w:rsid w:val="00657BF3"/>
    <w:rsid w:val="00660E2D"/>
    <w:rsid w:val="00662786"/>
    <w:rsid w:val="00662A3C"/>
    <w:rsid w:val="00662F81"/>
    <w:rsid w:val="00663F64"/>
    <w:rsid w:val="00664292"/>
    <w:rsid w:val="00665D0C"/>
    <w:rsid w:val="00665F61"/>
    <w:rsid w:val="00666545"/>
    <w:rsid w:val="0066668A"/>
    <w:rsid w:val="006701E9"/>
    <w:rsid w:val="00675ED7"/>
    <w:rsid w:val="006774DA"/>
    <w:rsid w:val="00677C8B"/>
    <w:rsid w:val="00680C90"/>
    <w:rsid w:val="00681A42"/>
    <w:rsid w:val="006821DA"/>
    <w:rsid w:val="0068444F"/>
    <w:rsid w:val="00685BC8"/>
    <w:rsid w:val="006901BF"/>
    <w:rsid w:val="00690F7B"/>
    <w:rsid w:val="006914BA"/>
    <w:rsid w:val="00693F36"/>
    <w:rsid w:val="006A0701"/>
    <w:rsid w:val="006A0C13"/>
    <w:rsid w:val="006A1272"/>
    <w:rsid w:val="006A2310"/>
    <w:rsid w:val="006A53A8"/>
    <w:rsid w:val="006A6375"/>
    <w:rsid w:val="006A76F0"/>
    <w:rsid w:val="006A7A26"/>
    <w:rsid w:val="006A7B08"/>
    <w:rsid w:val="006B0171"/>
    <w:rsid w:val="006B2967"/>
    <w:rsid w:val="006B2F3C"/>
    <w:rsid w:val="006B3B70"/>
    <w:rsid w:val="006B4C5B"/>
    <w:rsid w:val="006B5057"/>
    <w:rsid w:val="006B5A32"/>
    <w:rsid w:val="006B761C"/>
    <w:rsid w:val="006B7BFD"/>
    <w:rsid w:val="006C0D1F"/>
    <w:rsid w:val="006C163B"/>
    <w:rsid w:val="006C3411"/>
    <w:rsid w:val="006C442F"/>
    <w:rsid w:val="006C450E"/>
    <w:rsid w:val="006D2E04"/>
    <w:rsid w:val="006E0BD9"/>
    <w:rsid w:val="006E18B5"/>
    <w:rsid w:val="006E3A26"/>
    <w:rsid w:val="006E50BF"/>
    <w:rsid w:val="006E649D"/>
    <w:rsid w:val="006E68FD"/>
    <w:rsid w:val="006E70F1"/>
    <w:rsid w:val="006E75B8"/>
    <w:rsid w:val="006E76A1"/>
    <w:rsid w:val="006F6536"/>
    <w:rsid w:val="006F7BBF"/>
    <w:rsid w:val="007045F7"/>
    <w:rsid w:val="00712CAA"/>
    <w:rsid w:val="00714103"/>
    <w:rsid w:val="007149AD"/>
    <w:rsid w:val="007205FE"/>
    <w:rsid w:val="007206CD"/>
    <w:rsid w:val="007214D8"/>
    <w:rsid w:val="00722434"/>
    <w:rsid w:val="007227F5"/>
    <w:rsid w:val="0072304F"/>
    <w:rsid w:val="00726662"/>
    <w:rsid w:val="00726CCC"/>
    <w:rsid w:val="00726E07"/>
    <w:rsid w:val="00726F05"/>
    <w:rsid w:val="007272EC"/>
    <w:rsid w:val="00727F34"/>
    <w:rsid w:val="007300AA"/>
    <w:rsid w:val="00730961"/>
    <w:rsid w:val="00732389"/>
    <w:rsid w:val="00732EC3"/>
    <w:rsid w:val="007342A3"/>
    <w:rsid w:val="00736845"/>
    <w:rsid w:val="00737071"/>
    <w:rsid w:val="00741E24"/>
    <w:rsid w:val="00742131"/>
    <w:rsid w:val="00742647"/>
    <w:rsid w:val="0074268C"/>
    <w:rsid w:val="00743FA6"/>
    <w:rsid w:val="007450D3"/>
    <w:rsid w:val="007455D4"/>
    <w:rsid w:val="007459DF"/>
    <w:rsid w:val="00750F50"/>
    <w:rsid w:val="007514B3"/>
    <w:rsid w:val="00751B33"/>
    <w:rsid w:val="007536A8"/>
    <w:rsid w:val="0075634D"/>
    <w:rsid w:val="00756619"/>
    <w:rsid w:val="007627F2"/>
    <w:rsid w:val="00762956"/>
    <w:rsid w:val="007718AB"/>
    <w:rsid w:val="00771FEE"/>
    <w:rsid w:val="00773361"/>
    <w:rsid w:val="00774561"/>
    <w:rsid w:val="00776240"/>
    <w:rsid w:val="00776D8D"/>
    <w:rsid w:val="00780647"/>
    <w:rsid w:val="0078204F"/>
    <w:rsid w:val="00782542"/>
    <w:rsid w:val="00783368"/>
    <w:rsid w:val="00783B43"/>
    <w:rsid w:val="00785190"/>
    <w:rsid w:val="00785341"/>
    <w:rsid w:val="0078618B"/>
    <w:rsid w:val="00787740"/>
    <w:rsid w:val="00787F09"/>
    <w:rsid w:val="00790D75"/>
    <w:rsid w:val="00790E6D"/>
    <w:rsid w:val="00793E6B"/>
    <w:rsid w:val="007941F1"/>
    <w:rsid w:val="0079529C"/>
    <w:rsid w:val="00795EF3"/>
    <w:rsid w:val="0079774A"/>
    <w:rsid w:val="007977C4"/>
    <w:rsid w:val="007A0C9C"/>
    <w:rsid w:val="007A31F8"/>
    <w:rsid w:val="007A3CF4"/>
    <w:rsid w:val="007A43F4"/>
    <w:rsid w:val="007A6B6B"/>
    <w:rsid w:val="007A72AF"/>
    <w:rsid w:val="007B0719"/>
    <w:rsid w:val="007B0A83"/>
    <w:rsid w:val="007B1B24"/>
    <w:rsid w:val="007B2B78"/>
    <w:rsid w:val="007B3156"/>
    <w:rsid w:val="007B3B8F"/>
    <w:rsid w:val="007B50D6"/>
    <w:rsid w:val="007B546A"/>
    <w:rsid w:val="007B69A3"/>
    <w:rsid w:val="007B6E1F"/>
    <w:rsid w:val="007B6EE4"/>
    <w:rsid w:val="007B736D"/>
    <w:rsid w:val="007B763C"/>
    <w:rsid w:val="007C1577"/>
    <w:rsid w:val="007C207A"/>
    <w:rsid w:val="007C4179"/>
    <w:rsid w:val="007C4DED"/>
    <w:rsid w:val="007C6624"/>
    <w:rsid w:val="007C77B8"/>
    <w:rsid w:val="007D19FA"/>
    <w:rsid w:val="007D383F"/>
    <w:rsid w:val="007D44D4"/>
    <w:rsid w:val="007E1152"/>
    <w:rsid w:val="007E1176"/>
    <w:rsid w:val="007E1F24"/>
    <w:rsid w:val="007E2EE2"/>
    <w:rsid w:val="007E4E8A"/>
    <w:rsid w:val="007E5351"/>
    <w:rsid w:val="007E7D10"/>
    <w:rsid w:val="007F239E"/>
    <w:rsid w:val="007F339D"/>
    <w:rsid w:val="007F3E6D"/>
    <w:rsid w:val="007F50E3"/>
    <w:rsid w:val="00800C22"/>
    <w:rsid w:val="008030BE"/>
    <w:rsid w:val="008074E4"/>
    <w:rsid w:val="00810AE5"/>
    <w:rsid w:val="008135AF"/>
    <w:rsid w:val="008138AD"/>
    <w:rsid w:val="0081497D"/>
    <w:rsid w:val="0081573C"/>
    <w:rsid w:val="00817E1F"/>
    <w:rsid w:val="00820271"/>
    <w:rsid w:val="008214BF"/>
    <w:rsid w:val="00821CC6"/>
    <w:rsid w:val="0082274C"/>
    <w:rsid w:val="008249ED"/>
    <w:rsid w:val="0082732B"/>
    <w:rsid w:val="00831594"/>
    <w:rsid w:val="00831E43"/>
    <w:rsid w:val="00832AE9"/>
    <w:rsid w:val="00834CA5"/>
    <w:rsid w:val="00835D5F"/>
    <w:rsid w:val="0083743A"/>
    <w:rsid w:val="0084042E"/>
    <w:rsid w:val="00840464"/>
    <w:rsid w:val="00843D58"/>
    <w:rsid w:val="00847315"/>
    <w:rsid w:val="00847EBC"/>
    <w:rsid w:val="00847FF0"/>
    <w:rsid w:val="008505A7"/>
    <w:rsid w:val="00852CFC"/>
    <w:rsid w:val="00852E47"/>
    <w:rsid w:val="00853B29"/>
    <w:rsid w:val="00853D19"/>
    <w:rsid w:val="00853EC4"/>
    <w:rsid w:val="00854540"/>
    <w:rsid w:val="00854C8D"/>
    <w:rsid w:val="00855524"/>
    <w:rsid w:val="008570EC"/>
    <w:rsid w:val="008616D8"/>
    <w:rsid w:val="0086211F"/>
    <w:rsid w:val="008624DA"/>
    <w:rsid w:val="00863136"/>
    <w:rsid w:val="00864013"/>
    <w:rsid w:val="00865AAE"/>
    <w:rsid w:val="00865AD6"/>
    <w:rsid w:val="00866969"/>
    <w:rsid w:val="00866F07"/>
    <w:rsid w:val="00867875"/>
    <w:rsid w:val="00867E5F"/>
    <w:rsid w:val="008723BC"/>
    <w:rsid w:val="00872D5D"/>
    <w:rsid w:val="00872E0C"/>
    <w:rsid w:val="00874700"/>
    <w:rsid w:val="00874CD6"/>
    <w:rsid w:val="00875FB8"/>
    <w:rsid w:val="00880CE4"/>
    <w:rsid w:val="00882DB8"/>
    <w:rsid w:val="00883A82"/>
    <w:rsid w:val="008848B7"/>
    <w:rsid w:val="00885576"/>
    <w:rsid w:val="00885754"/>
    <w:rsid w:val="00886A38"/>
    <w:rsid w:val="008923D2"/>
    <w:rsid w:val="00896231"/>
    <w:rsid w:val="00896816"/>
    <w:rsid w:val="00896987"/>
    <w:rsid w:val="00896BA2"/>
    <w:rsid w:val="00896FF4"/>
    <w:rsid w:val="00897C00"/>
    <w:rsid w:val="008A0773"/>
    <w:rsid w:val="008A08F8"/>
    <w:rsid w:val="008A0B4B"/>
    <w:rsid w:val="008A14E1"/>
    <w:rsid w:val="008A2806"/>
    <w:rsid w:val="008A43EB"/>
    <w:rsid w:val="008A53E9"/>
    <w:rsid w:val="008A63B5"/>
    <w:rsid w:val="008A652E"/>
    <w:rsid w:val="008A7642"/>
    <w:rsid w:val="008A7FF8"/>
    <w:rsid w:val="008B4153"/>
    <w:rsid w:val="008B4B55"/>
    <w:rsid w:val="008C3915"/>
    <w:rsid w:val="008C4077"/>
    <w:rsid w:val="008C4C92"/>
    <w:rsid w:val="008D036E"/>
    <w:rsid w:val="008D0C53"/>
    <w:rsid w:val="008D0FDC"/>
    <w:rsid w:val="008D101E"/>
    <w:rsid w:val="008D3654"/>
    <w:rsid w:val="008D37D9"/>
    <w:rsid w:val="008D57C0"/>
    <w:rsid w:val="008D726D"/>
    <w:rsid w:val="008D766F"/>
    <w:rsid w:val="008E1436"/>
    <w:rsid w:val="008E23D5"/>
    <w:rsid w:val="008E323D"/>
    <w:rsid w:val="008E3A31"/>
    <w:rsid w:val="008E5341"/>
    <w:rsid w:val="008E56C5"/>
    <w:rsid w:val="008E59CC"/>
    <w:rsid w:val="008E6041"/>
    <w:rsid w:val="008E6691"/>
    <w:rsid w:val="008E6CBB"/>
    <w:rsid w:val="008F071F"/>
    <w:rsid w:val="008F2B85"/>
    <w:rsid w:val="008F3800"/>
    <w:rsid w:val="008F639E"/>
    <w:rsid w:val="00900166"/>
    <w:rsid w:val="00900F2C"/>
    <w:rsid w:val="0090145A"/>
    <w:rsid w:val="00901570"/>
    <w:rsid w:val="00902671"/>
    <w:rsid w:val="0090285F"/>
    <w:rsid w:val="009032A9"/>
    <w:rsid w:val="00903D9E"/>
    <w:rsid w:val="00903ECC"/>
    <w:rsid w:val="00904136"/>
    <w:rsid w:val="0090770C"/>
    <w:rsid w:val="009109FD"/>
    <w:rsid w:val="00911024"/>
    <w:rsid w:val="00911A62"/>
    <w:rsid w:val="00914C97"/>
    <w:rsid w:val="00917A2C"/>
    <w:rsid w:val="00923D16"/>
    <w:rsid w:val="00925126"/>
    <w:rsid w:val="00925E73"/>
    <w:rsid w:val="0092631E"/>
    <w:rsid w:val="0092723B"/>
    <w:rsid w:val="0092767B"/>
    <w:rsid w:val="00927B19"/>
    <w:rsid w:val="00931AA2"/>
    <w:rsid w:val="00931D04"/>
    <w:rsid w:val="00932458"/>
    <w:rsid w:val="00932947"/>
    <w:rsid w:val="009332D2"/>
    <w:rsid w:val="009339A3"/>
    <w:rsid w:val="00934A37"/>
    <w:rsid w:val="00934B65"/>
    <w:rsid w:val="00934EB1"/>
    <w:rsid w:val="00934F20"/>
    <w:rsid w:val="009366C3"/>
    <w:rsid w:val="009369DB"/>
    <w:rsid w:val="0093752C"/>
    <w:rsid w:val="0093760C"/>
    <w:rsid w:val="00937702"/>
    <w:rsid w:val="00940FC5"/>
    <w:rsid w:val="00941144"/>
    <w:rsid w:val="00941322"/>
    <w:rsid w:val="00942142"/>
    <w:rsid w:val="00942473"/>
    <w:rsid w:val="00945476"/>
    <w:rsid w:val="009477FD"/>
    <w:rsid w:val="0095019F"/>
    <w:rsid w:val="00951BC8"/>
    <w:rsid w:val="00953FBA"/>
    <w:rsid w:val="00957BDB"/>
    <w:rsid w:val="00961E31"/>
    <w:rsid w:val="0096214D"/>
    <w:rsid w:val="00963C2F"/>
    <w:rsid w:val="0096484A"/>
    <w:rsid w:val="00965824"/>
    <w:rsid w:val="00967294"/>
    <w:rsid w:val="009673B9"/>
    <w:rsid w:val="00972D81"/>
    <w:rsid w:val="009742D0"/>
    <w:rsid w:val="00977108"/>
    <w:rsid w:val="00980EAB"/>
    <w:rsid w:val="0098212E"/>
    <w:rsid w:val="00985C23"/>
    <w:rsid w:val="00986121"/>
    <w:rsid w:val="00992B17"/>
    <w:rsid w:val="00992DD1"/>
    <w:rsid w:val="009940DF"/>
    <w:rsid w:val="0099547E"/>
    <w:rsid w:val="009A002B"/>
    <w:rsid w:val="009A2F72"/>
    <w:rsid w:val="009A405E"/>
    <w:rsid w:val="009A4647"/>
    <w:rsid w:val="009A4DB7"/>
    <w:rsid w:val="009A6DF8"/>
    <w:rsid w:val="009A7031"/>
    <w:rsid w:val="009B2D82"/>
    <w:rsid w:val="009B4D83"/>
    <w:rsid w:val="009B589D"/>
    <w:rsid w:val="009B622F"/>
    <w:rsid w:val="009B647C"/>
    <w:rsid w:val="009B7CD6"/>
    <w:rsid w:val="009C50AC"/>
    <w:rsid w:val="009D0341"/>
    <w:rsid w:val="009D31FB"/>
    <w:rsid w:val="009D3982"/>
    <w:rsid w:val="009D5A35"/>
    <w:rsid w:val="009D5DCC"/>
    <w:rsid w:val="009D60EC"/>
    <w:rsid w:val="009D7078"/>
    <w:rsid w:val="009D7515"/>
    <w:rsid w:val="009D7744"/>
    <w:rsid w:val="009E1447"/>
    <w:rsid w:val="009E20C3"/>
    <w:rsid w:val="009E2146"/>
    <w:rsid w:val="009E2F8A"/>
    <w:rsid w:val="009E3AC6"/>
    <w:rsid w:val="009E5980"/>
    <w:rsid w:val="009E5F11"/>
    <w:rsid w:val="009E6548"/>
    <w:rsid w:val="009F05BD"/>
    <w:rsid w:val="009F0BDC"/>
    <w:rsid w:val="009F2D9C"/>
    <w:rsid w:val="009F38D8"/>
    <w:rsid w:val="009F42DF"/>
    <w:rsid w:val="009F45E3"/>
    <w:rsid w:val="009F5A9C"/>
    <w:rsid w:val="009F5E00"/>
    <w:rsid w:val="009F5FD9"/>
    <w:rsid w:val="00A00072"/>
    <w:rsid w:val="00A00BA3"/>
    <w:rsid w:val="00A0144B"/>
    <w:rsid w:val="00A01AD4"/>
    <w:rsid w:val="00A04501"/>
    <w:rsid w:val="00A05118"/>
    <w:rsid w:val="00A12047"/>
    <w:rsid w:val="00A13150"/>
    <w:rsid w:val="00A143DB"/>
    <w:rsid w:val="00A148A7"/>
    <w:rsid w:val="00A14C7C"/>
    <w:rsid w:val="00A15FF7"/>
    <w:rsid w:val="00A1799B"/>
    <w:rsid w:val="00A21FB5"/>
    <w:rsid w:val="00A244A5"/>
    <w:rsid w:val="00A26E81"/>
    <w:rsid w:val="00A307EF"/>
    <w:rsid w:val="00A3098E"/>
    <w:rsid w:val="00A313F2"/>
    <w:rsid w:val="00A352B4"/>
    <w:rsid w:val="00A3660B"/>
    <w:rsid w:val="00A36D1E"/>
    <w:rsid w:val="00A370DA"/>
    <w:rsid w:val="00A43385"/>
    <w:rsid w:val="00A441DA"/>
    <w:rsid w:val="00A44FB7"/>
    <w:rsid w:val="00A5181F"/>
    <w:rsid w:val="00A520AD"/>
    <w:rsid w:val="00A525A2"/>
    <w:rsid w:val="00A54AB6"/>
    <w:rsid w:val="00A55400"/>
    <w:rsid w:val="00A56453"/>
    <w:rsid w:val="00A60A3A"/>
    <w:rsid w:val="00A60F67"/>
    <w:rsid w:val="00A63A7A"/>
    <w:rsid w:val="00A64AC2"/>
    <w:rsid w:val="00A65636"/>
    <w:rsid w:val="00A65AD2"/>
    <w:rsid w:val="00A667AF"/>
    <w:rsid w:val="00A668F3"/>
    <w:rsid w:val="00A72432"/>
    <w:rsid w:val="00A7249E"/>
    <w:rsid w:val="00A72BB1"/>
    <w:rsid w:val="00A73284"/>
    <w:rsid w:val="00A73821"/>
    <w:rsid w:val="00A73EE7"/>
    <w:rsid w:val="00A7798A"/>
    <w:rsid w:val="00A80048"/>
    <w:rsid w:val="00A81414"/>
    <w:rsid w:val="00A81D78"/>
    <w:rsid w:val="00A8262E"/>
    <w:rsid w:val="00A82DA5"/>
    <w:rsid w:val="00A842EE"/>
    <w:rsid w:val="00A8463A"/>
    <w:rsid w:val="00A93282"/>
    <w:rsid w:val="00A94911"/>
    <w:rsid w:val="00A96C90"/>
    <w:rsid w:val="00A97BF0"/>
    <w:rsid w:val="00AA043E"/>
    <w:rsid w:val="00AA17C1"/>
    <w:rsid w:val="00AA19C9"/>
    <w:rsid w:val="00AA25E3"/>
    <w:rsid w:val="00AA2A79"/>
    <w:rsid w:val="00AA44B9"/>
    <w:rsid w:val="00AA4627"/>
    <w:rsid w:val="00AB0060"/>
    <w:rsid w:val="00AB06C5"/>
    <w:rsid w:val="00AB1D45"/>
    <w:rsid w:val="00AB29AE"/>
    <w:rsid w:val="00AB3EB1"/>
    <w:rsid w:val="00AB462A"/>
    <w:rsid w:val="00AB6361"/>
    <w:rsid w:val="00AB6721"/>
    <w:rsid w:val="00AB6C7B"/>
    <w:rsid w:val="00AC132E"/>
    <w:rsid w:val="00AC2F3A"/>
    <w:rsid w:val="00AC35FF"/>
    <w:rsid w:val="00AC5BB5"/>
    <w:rsid w:val="00AC76DE"/>
    <w:rsid w:val="00AD0750"/>
    <w:rsid w:val="00AD09BA"/>
    <w:rsid w:val="00AD1077"/>
    <w:rsid w:val="00AD3B70"/>
    <w:rsid w:val="00AD3C03"/>
    <w:rsid w:val="00AD479F"/>
    <w:rsid w:val="00AE1EE8"/>
    <w:rsid w:val="00AE45FF"/>
    <w:rsid w:val="00AE6727"/>
    <w:rsid w:val="00AE71D9"/>
    <w:rsid w:val="00AF084B"/>
    <w:rsid w:val="00AF1E5F"/>
    <w:rsid w:val="00AF3C1E"/>
    <w:rsid w:val="00AF5A4A"/>
    <w:rsid w:val="00AF71DC"/>
    <w:rsid w:val="00AF71E8"/>
    <w:rsid w:val="00B01A19"/>
    <w:rsid w:val="00B02C26"/>
    <w:rsid w:val="00B02DBA"/>
    <w:rsid w:val="00B04655"/>
    <w:rsid w:val="00B06EB4"/>
    <w:rsid w:val="00B07B39"/>
    <w:rsid w:val="00B07ED2"/>
    <w:rsid w:val="00B12DF4"/>
    <w:rsid w:val="00B14D4E"/>
    <w:rsid w:val="00B14E17"/>
    <w:rsid w:val="00B15E1B"/>
    <w:rsid w:val="00B16D09"/>
    <w:rsid w:val="00B17494"/>
    <w:rsid w:val="00B178F7"/>
    <w:rsid w:val="00B21268"/>
    <w:rsid w:val="00B21983"/>
    <w:rsid w:val="00B22677"/>
    <w:rsid w:val="00B24106"/>
    <w:rsid w:val="00B24ACE"/>
    <w:rsid w:val="00B257A4"/>
    <w:rsid w:val="00B27EF4"/>
    <w:rsid w:val="00B317FA"/>
    <w:rsid w:val="00B36DB9"/>
    <w:rsid w:val="00B41493"/>
    <w:rsid w:val="00B41712"/>
    <w:rsid w:val="00B4362E"/>
    <w:rsid w:val="00B4456D"/>
    <w:rsid w:val="00B45363"/>
    <w:rsid w:val="00B46D34"/>
    <w:rsid w:val="00B47B1C"/>
    <w:rsid w:val="00B511F8"/>
    <w:rsid w:val="00B51C8E"/>
    <w:rsid w:val="00B5293F"/>
    <w:rsid w:val="00B53725"/>
    <w:rsid w:val="00B53AA4"/>
    <w:rsid w:val="00B55E0C"/>
    <w:rsid w:val="00B56144"/>
    <w:rsid w:val="00B5630D"/>
    <w:rsid w:val="00B5654A"/>
    <w:rsid w:val="00B572A7"/>
    <w:rsid w:val="00B576E8"/>
    <w:rsid w:val="00B61066"/>
    <w:rsid w:val="00B62AFE"/>
    <w:rsid w:val="00B64CB4"/>
    <w:rsid w:val="00B700D6"/>
    <w:rsid w:val="00B702C2"/>
    <w:rsid w:val="00B7124A"/>
    <w:rsid w:val="00B71C1F"/>
    <w:rsid w:val="00B71F26"/>
    <w:rsid w:val="00B73675"/>
    <w:rsid w:val="00B76BE7"/>
    <w:rsid w:val="00B777FC"/>
    <w:rsid w:val="00B800E5"/>
    <w:rsid w:val="00B8154D"/>
    <w:rsid w:val="00B82A72"/>
    <w:rsid w:val="00B82A97"/>
    <w:rsid w:val="00B82C38"/>
    <w:rsid w:val="00B8394D"/>
    <w:rsid w:val="00B839F3"/>
    <w:rsid w:val="00B846DF"/>
    <w:rsid w:val="00B86AFC"/>
    <w:rsid w:val="00B87DA7"/>
    <w:rsid w:val="00B900F0"/>
    <w:rsid w:val="00B9050D"/>
    <w:rsid w:val="00B90CD2"/>
    <w:rsid w:val="00B92C33"/>
    <w:rsid w:val="00B93E4E"/>
    <w:rsid w:val="00B94682"/>
    <w:rsid w:val="00B94B8F"/>
    <w:rsid w:val="00B95264"/>
    <w:rsid w:val="00B95A61"/>
    <w:rsid w:val="00B97222"/>
    <w:rsid w:val="00BA0DA1"/>
    <w:rsid w:val="00BA48D5"/>
    <w:rsid w:val="00BA4EB6"/>
    <w:rsid w:val="00BA5D0A"/>
    <w:rsid w:val="00BB0A1A"/>
    <w:rsid w:val="00BB2DAD"/>
    <w:rsid w:val="00BB363C"/>
    <w:rsid w:val="00BB4B34"/>
    <w:rsid w:val="00BB5773"/>
    <w:rsid w:val="00BB5E29"/>
    <w:rsid w:val="00BB63FE"/>
    <w:rsid w:val="00BB6AE2"/>
    <w:rsid w:val="00BB784C"/>
    <w:rsid w:val="00BC1596"/>
    <w:rsid w:val="00BC16F6"/>
    <w:rsid w:val="00BC18BB"/>
    <w:rsid w:val="00BC2627"/>
    <w:rsid w:val="00BC42BC"/>
    <w:rsid w:val="00BC4B33"/>
    <w:rsid w:val="00BC5747"/>
    <w:rsid w:val="00BC66CD"/>
    <w:rsid w:val="00BD23FF"/>
    <w:rsid w:val="00BD404A"/>
    <w:rsid w:val="00BD6AF1"/>
    <w:rsid w:val="00BD7302"/>
    <w:rsid w:val="00BD781A"/>
    <w:rsid w:val="00BD7894"/>
    <w:rsid w:val="00BE0930"/>
    <w:rsid w:val="00BE1961"/>
    <w:rsid w:val="00BE3525"/>
    <w:rsid w:val="00BE36D5"/>
    <w:rsid w:val="00BE5E2A"/>
    <w:rsid w:val="00BE7B5E"/>
    <w:rsid w:val="00BF0365"/>
    <w:rsid w:val="00BF6C74"/>
    <w:rsid w:val="00C0001B"/>
    <w:rsid w:val="00C0051C"/>
    <w:rsid w:val="00C05E52"/>
    <w:rsid w:val="00C06643"/>
    <w:rsid w:val="00C11B50"/>
    <w:rsid w:val="00C1390D"/>
    <w:rsid w:val="00C13A4E"/>
    <w:rsid w:val="00C1588E"/>
    <w:rsid w:val="00C162B3"/>
    <w:rsid w:val="00C207FE"/>
    <w:rsid w:val="00C2124C"/>
    <w:rsid w:val="00C22500"/>
    <w:rsid w:val="00C232BC"/>
    <w:rsid w:val="00C2331B"/>
    <w:rsid w:val="00C24F67"/>
    <w:rsid w:val="00C2555C"/>
    <w:rsid w:val="00C26EE0"/>
    <w:rsid w:val="00C275C6"/>
    <w:rsid w:val="00C31405"/>
    <w:rsid w:val="00C33063"/>
    <w:rsid w:val="00C3385D"/>
    <w:rsid w:val="00C3573C"/>
    <w:rsid w:val="00C36C09"/>
    <w:rsid w:val="00C37F93"/>
    <w:rsid w:val="00C40795"/>
    <w:rsid w:val="00C41149"/>
    <w:rsid w:val="00C41189"/>
    <w:rsid w:val="00C428DD"/>
    <w:rsid w:val="00C42CD9"/>
    <w:rsid w:val="00C436F4"/>
    <w:rsid w:val="00C447F0"/>
    <w:rsid w:val="00C45881"/>
    <w:rsid w:val="00C46C52"/>
    <w:rsid w:val="00C47B45"/>
    <w:rsid w:val="00C50667"/>
    <w:rsid w:val="00C50988"/>
    <w:rsid w:val="00C50E14"/>
    <w:rsid w:val="00C52433"/>
    <w:rsid w:val="00C524E4"/>
    <w:rsid w:val="00C52553"/>
    <w:rsid w:val="00C529C5"/>
    <w:rsid w:val="00C53FC2"/>
    <w:rsid w:val="00C54140"/>
    <w:rsid w:val="00C547C1"/>
    <w:rsid w:val="00C555E4"/>
    <w:rsid w:val="00C56576"/>
    <w:rsid w:val="00C56746"/>
    <w:rsid w:val="00C56BB4"/>
    <w:rsid w:val="00C61182"/>
    <w:rsid w:val="00C62AD2"/>
    <w:rsid w:val="00C62E10"/>
    <w:rsid w:val="00C6416D"/>
    <w:rsid w:val="00C64171"/>
    <w:rsid w:val="00C651E0"/>
    <w:rsid w:val="00C65B19"/>
    <w:rsid w:val="00C67422"/>
    <w:rsid w:val="00C70F36"/>
    <w:rsid w:val="00C74FF1"/>
    <w:rsid w:val="00C7585E"/>
    <w:rsid w:val="00C769F2"/>
    <w:rsid w:val="00C76BE6"/>
    <w:rsid w:val="00C80D0C"/>
    <w:rsid w:val="00C8106E"/>
    <w:rsid w:val="00C824DE"/>
    <w:rsid w:val="00C85E39"/>
    <w:rsid w:val="00C85FF1"/>
    <w:rsid w:val="00C86D2F"/>
    <w:rsid w:val="00C9228B"/>
    <w:rsid w:val="00C931FD"/>
    <w:rsid w:val="00C94C4D"/>
    <w:rsid w:val="00C954BD"/>
    <w:rsid w:val="00CA068D"/>
    <w:rsid w:val="00CA12A6"/>
    <w:rsid w:val="00CA1AF9"/>
    <w:rsid w:val="00CA1DD0"/>
    <w:rsid w:val="00CA2099"/>
    <w:rsid w:val="00CA278E"/>
    <w:rsid w:val="00CA572A"/>
    <w:rsid w:val="00CA6DDD"/>
    <w:rsid w:val="00CB0D94"/>
    <w:rsid w:val="00CB125B"/>
    <w:rsid w:val="00CB1E7A"/>
    <w:rsid w:val="00CB2290"/>
    <w:rsid w:val="00CB4E1D"/>
    <w:rsid w:val="00CC1CA1"/>
    <w:rsid w:val="00CC2588"/>
    <w:rsid w:val="00CC261B"/>
    <w:rsid w:val="00CC536E"/>
    <w:rsid w:val="00CC5D88"/>
    <w:rsid w:val="00CC698C"/>
    <w:rsid w:val="00CD0D0A"/>
    <w:rsid w:val="00CD1983"/>
    <w:rsid w:val="00CD1FED"/>
    <w:rsid w:val="00CD29B9"/>
    <w:rsid w:val="00CD3BF7"/>
    <w:rsid w:val="00CD3FB4"/>
    <w:rsid w:val="00CD4557"/>
    <w:rsid w:val="00CD6642"/>
    <w:rsid w:val="00CE00C5"/>
    <w:rsid w:val="00CE03AC"/>
    <w:rsid w:val="00CE14B5"/>
    <w:rsid w:val="00CE2B3F"/>
    <w:rsid w:val="00CE2F84"/>
    <w:rsid w:val="00CE3C59"/>
    <w:rsid w:val="00CE72C8"/>
    <w:rsid w:val="00CE7BD4"/>
    <w:rsid w:val="00CF19EA"/>
    <w:rsid w:val="00CF5B49"/>
    <w:rsid w:val="00D01A8C"/>
    <w:rsid w:val="00D02CA7"/>
    <w:rsid w:val="00D03328"/>
    <w:rsid w:val="00D03686"/>
    <w:rsid w:val="00D0369F"/>
    <w:rsid w:val="00D044DD"/>
    <w:rsid w:val="00D119D3"/>
    <w:rsid w:val="00D15EFA"/>
    <w:rsid w:val="00D16967"/>
    <w:rsid w:val="00D1721E"/>
    <w:rsid w:val="00D20B2D"/>
    <w:rsid w:val="00D211CD"/>
    <w:rsid w:val="00D23E2B"/>
    <w:rsid w:val="00D24412"/>
    <w:rsid w:val="00D2594B"/>
    <w:rsid w:val="00D27077"/>
    <w:rsid w:val="00D276C6"/>
    <w:rsid w:val="00D27720"/>
    <w:rsid w:val="00D27D46"/>
    <w:rsid w:val="00D302F6"/>
    <w:rsid w:val="00D337DD"/>
    <w:rsid w:val="00D35071"/>
    <w:rsid w:val="00D35201"/>
    <w:rsid w:val="00D357B4"/>
    <w:rsid w:val="00D36ACD"/>
    <w:rsid w:val="00D40156"/>
    <w:rsid w:val="00D4023F"/>
    <w:rsid w:val="00D407D4"/>
    <w:rsid w:val="00D41EA5"/>
    <w:rsid w:val="00D42515"/>
    <w:rsid w:val="00D42CD9"/>
    <w:rsid w:val="00D44456"/>
    <w:rsid w:val="00D46E5A"/>
    <w:rsid w:val="00D474E7"/>
    <w:rsid w:val="00D47549"/>
    <w:rsid w:val="00D50E52"/>
    <w:rsid w:val="00D53B63"/>
    <w:rsid w:val="00D5441D"/>
    <w:rsid w:val="00D54C20"/>
    <w:rsid w:val="00D56074"/>
    <w:rsid w:val="00D561E8"/>
    <w:rsid w:val="00D60946"/>
    <w:rsid w:val="00D636C4"/>
    <w:rsid w:val="00D63AE0"/>
    <w:rsid w:val="00D64635"/>
    <w:rsid w:val="00D646F9"/>
    <w:rsid w:val="00D70341"/>
    <w:rsid w:val="00D714A1"/>
    <w:rsid w:val="00D71D3D"/>
    <w:rsid w:val="00D76A08"/>
    <w:rsid w:val="00D77B2C"/>
    <w:rsid w:val="00D81BD3"/>
    <w:rsid w:val="00D8296B"/>
    <w:rsid w:val="00D83545"/>
    <w:rsid w:val="00D83DA1"/>
    <w:rsid w:val="00D850E0"/>
    <w:rsid w:val="00D85FE0"/>
    <w:rsid w:val="00D867C0"/>
    <w:rsid w:val="00D87D3F"/>
    <w:rsid w:val="00D87EAD"/>
    <w:rsid w:val="00D907C1"/>
    <w:rsid w:val="00D912A5"/>
    <w:rsid w:val="00D932AC"/>
    <w:rsid w:val="00D95A2A"/>
    <w:rsid w:val="00D96313"/>
    <w:rsid w:val="00D9671A"/>
    <w:rsid w:val="00DA2426"/>
    <w:rsid w:val="00DA251B"/>
    <w:rsid w:val="00DA300D"/>
    <w:rsid w:val="00DA310E"/>
    <w:rsid w:val="00DA4FDF"/>
    <w:rsid w:val="00DA5872"/>
    <w:rsid w:val="00DA6246"/>
    <w:rsid w:val="00DB0A38"/>
    <w:rsid w:val="00DB277F"/>
    <w:rsid w:val="00DB38B0"/>
    <w:rsid w:val="00DB41EA"/>
    <w:rsid w:val="00DC0585"/>
    <w:rsid w:val="00DC1889"/>
    <w:rsid w:val="00DC2724"/>
    <w:rsid w:val="00DC39F4"/>
    <w:rsid w:val="00DC407C"/>
    <w:rsid w:val="00DC4730"/>
    <w:rsid w:val="00DC47C3"/>
    <w:rsid w:val="00DC588B"/>
    <w:rsid w:val="00DC5CE3"/>
    <w:rsid w:val="00DC735D"/>
    <w:rsid w:val="00DD087D"/>
    <w:rsid w:val="00DD1191"/>
    <w:rsid w:val="00DD2B69"/>
    <w:rsid w:val="00DD2E55"/>
    <w:rsid w:val="00DD4C2D"/>
    <w:rsid w:val="00DD5F53"/>
    <w:rsid w:val="00DD60CD"/>
    <w:rsid w:val="00DE21FF"/>
    <w:rsid w:val="00DE555F"/>
    <w:rsid w:val="00DE5A1F"/>
    <w:rsid w:val="00DE66FC"/>
    <w:rsid w:val="00DF05ED"/>
    <w:rsid w:val="00DF2560"/>
    <w:rsid w:val="00DF2A09"/>
    <w:rsid w:val="00DF47A5"/>
    <w:rsid w:val="00DF5831"/>
    <w:rsid w:val="00E00318"/>
    <w:rsid w:val="00E0239D"/>
    <w:rsid w:val="00E028BB"/>
    <w:rsid w:val="00E049ED"/>
    <w:rsid w:val="00E05046"/>
    <w:rsid w:val="00E122BA"/>
    <w:rsid w:val="00E12805"/>
    <w:rsid w:val="00E12A4F"/>
    <w:rsid w:val="00E14CF2"/>
    <w:rsid w:val="00E1790F"/>
    <w:rsid w:val="00E1794C"/>
    <w:rsid w:val="00E20BE0"/>
    <w:rsid w:val="00E21496"/>
    <w:rsid w:val="00E23E09"/>
    <w:rsid w:val="00E25218"/>
    <w:rsid w:val="00E306D7"/>
    <w:rsid w:val="00E311A1"/>
    <w:rsid w:val="00E31CD1"/>
    <w:rsid w:val="00E32433"/>
    <w:rsid w:val="00E34A1B"/>
    <w:rsid w:val="00E34D29"/>
    <w:rsid w:val="00E351A4"/>
    <w:rsid w:val="00E35EE9"/>
    <w:rsid w:val="00E365C4"/>
    <w:rsid w:val="00E366D8"/>
    <w:rsid w:val="00E37D59"/>
    <w:rsid w:val="00E4005C"/>
    <w:rsid w:val="00E401E3"/>
    <w:rsid w:val="00E41136"/>
    <w:rsid w:val="00E41BE1"/>
    <w:rsid w:val="00E41CA4"/>
    <w:rsid w:val="00E50D8D"/>
    <w:rsid w:val="00E5255A"/>
    <w:rsid w:val="00E525AA"/>
    <w:rsid w:val="00E537D9"/>
    <w:rsid w:val="00E6144D"/>
    <w:rsid w:val="00E618DB"/>
    <w:rsid w:val="00E64CA1"/>
    <w:rsid w:val="00E65030"/>
    <w:rsid w:val="00E659CE"/>
    <w:rsid w:val="00E659F3"/>
    <w:rsid w:val="00E67766"/>
    <w:rsid w:val="00E67C96"/>
    <w:rsid w:val="00E67D7C"/>
    <w:rsid w:val="00E70C0D"/>
    <w:rsid w:val="00E71F8D"/>
    <w:rsid w:val="00E756AA"/>
    <w:rsid w:val="00E75942"/>
    <w:rsid w:val="00E7599D"/>
    <w:rsid w:val="00E8128A"/>
    <w:rsid w:val="00E83B4C"/>
    <w:rsid w:val="00E8463B"/>
    <w:rsid w:val="00E84A6F"/>
    <w:rsid w:val="00E85A15"/>
    <w:rsid w:val="00E87149"/>
    <w:rsid w:val="00E87540"/>
    <w:rsid w:val="00E877A3"/>
    <w:rsid w:val="00E87FFD"/>
    <w:rsid w:val="00E9079B"/>
    <w:rsid w:val="00E91572"/>
    <w:rsid w:val="00E93E8B"/>
    <w:rsid w:val="00E94281"/>
    <w:rsid w:val="00E9533E"/>
    <w:rsid w:val="00E96215"/>
    <w:rsid w:val="00E9696B"/>
    <w:rsid w:val="00E9699F"/>
    <w:rsid w:val="00E9727D"/>
    <w:rsid w:val="00EA0DE6"/>
    <w:rsid w:val="00EA21C2"/>
    <w:rsid w:val="00EA4285"/>
    <w:rsid w:val="00EA5585"/>
    <w:rsid w:val="00EA6736"/>
    <w:rsid w:val="00EA682A"/>
    <w:rsid w:val="00EA6EB2"/>
    <w:rsid w:val="00EB073D"/>
    <w:rsid w:val="00EB1016"/>
    <w:rsid w:val="00EB2B28"/>
    <w:rsid w:val="00EB5DD9"/>
    <w:rsid w:val="00EB7E7D"/>
    <w:rsid w:val="00EC1054"/>
    <w:rsid w:val="00EC1EAE"/>
    <w:rsid w:val="00EC1F26"/>
    <w:rsid w:val="00EC2930"/>
    <w:rsid w:val="00EC3DDE"/>
    <w:rsid w:val="00EC41C0"/>
    <w:rsid w:val="00EC4F59"/>
    <w:rsid w:val="00EC5A07"/>
    <w:rsid w:val="00ED1E68"/>
    <w:rsid w:val="00ED3E26"/>
    <w:rsid w:val="00ED442E"/>
    <w:rsid w:val="00ED4984"/>
    <w:rsid w:val="00ED6C27"/>
    <w:rsid w:val="00EE2614"/>
    <w:rsid w:val="00EE3881"/>
    <w:rsid w:val="00EE5BC0"/>
    <w:rsid w:val="00EF0492"/>
    <w:rsid w:val="00EF1559"/>
    <w:rsid w:val="00EF213E"/>
    <w:rsid w:val="00EF3221"/>
    <w:rsid w:val="00EF4B9A"/>
    <w:rsid w:val="00EF4D3A"/>
    <w:rsid w:val="00EF5EC4"/>
    <w:rsid w:val="00EF72E8"/>
    <w:rsid w:val="00F00C19"/>
    <w:rsid w:val="00F0123D"/>
    <w:rsid w:val="00F0266B"/>
    <w:rsid w:val="00F03054"/>
    <w:rsid w:val="00F04F5C"/>
    <w:rsid w:val="00F1086C"/>
    <w:rsid w:val="00F10DC0"/>
    <w:rsid w:val="00F137C0"/>
    <w:rsid w:val="00F14274"/>
    <w:rsid w:val="00F15C6A"/>
    <w:rsid w:val="00F16703"/>
    <w:rsid w:val="00F1686B"/>
    <w:rsid w:val="00F16ADA"/>
    <w:rsid w:val="00F17A6D"/>
    <w:rsid w:val="00F21361"/>
    <w:rsid w:val="00F22FC0"/>
    <w:rsid w:val="00F251A7"/>
    <w:rsid w:val="00F25C72"/>
    <w:rsid w:val="00F25FBD"/>
    <w:rsid w:val="00F26863"/>
    <w:rsid w:val="00F3056A"/>
    <w:rsid w:val="00F3076F"/>
    <w:rsid w:val="00F314EE"/>
    <w:rsid w:val="00F33108"/>
    <w:rsid w:val="00F3598C"/>
    <w:rsid w:val="00F4050F"/>
    <w:rsid w:val="00F41BA5"/>
    <w:rsid w:val="00F427CF"/>
    <w:rsid w:val="00F42DA4"/>
    <w:rsid w:val="00F42EAB"/>
    <w:rsid w:val="00F4415C"/>
    <w:rsid w:val="00F4516B"/>
    <w:rsid w:val="00F4681D"/>
    <w:rsid w:val="00F46EF1"/>
    <w:rsid w:val="00F47F14"/>
    <w:rsid w:val="00F50064"/>
    <w:rsid w:val="00F50C5B"/>
    <w:rsid w:val="00F511FE"/>
    <w:rsid w:val="00F51A62"/>
    <w:rsid w:val="00F603ED"/>
    <w:rsid w:val="00F608CE"/>
    <w:rsid w:val="00F61948"/>
    <w:rsid w:val="00F61A44"/>
    <w:rsid w:val="00F63537"/>
    <w:rsid w:val="00F6699D"/>
    <w:rsid w:val="00F67DF5"/>
    <w:rsid w:val="00F704B7"/>
    <w:rsid w:val="00F70CE7"/>
    <w:rsid w:val="00F71274"/>
    <w:rsid w:val="00F73F21"/>
    <w:rsid w:val="00F77A36"/>
    <w:rsid w:val="00F8057D"/>
    <w:rsid w:val="00F80FA9"/>
    <w:rsid w:val="00F81188"/>
    <w:rsid w:val="00F81290"/>
    <w:rsid w:val="00F81BAC"/>
    <w:rsid w:val="00F8310A"/>
    <w:rsid w:val="00F83329"/>
    <w:rsid w:val="00F83501"/>
    <w:rsid w:val="00F837AF"/>
    <w:rsid w:val="00F84227"/>
    <w:rsid w:val="00F848DE"/>
    <w:rsid w:val="00F85104"/>
    <w:rsid w:val="00F852A7"/>
    <w:rsid w:val="00F93D59"/>
    <w:rsid w:val="00F9545C"/>
    <w:rsid w:val="00F9662A"/>
    <w:rsid w:val="00F96A65"/>
    <w:rsid w:val="00F9742F"/>
    <w:rsid w:val="00F97C0D"/>
    <w:rsid w:val="00F97FBC"/>
    <w:rsid w:val="00FA11C2"/>
    <w:rsid w:val="00FA1275"/>
    <w:rsid w:val="00FA29E8"/>
    <w:rsid w:val="00FA5508"/>
    <w:rsid w:val="00FA665B"/>
    <w:rsid w:val="00FA6B94"/>
    <w:rsid w:val="00FA789E"/>
    <w:rsid w:val="00FB459C"/>
    <w:rsid w:val="00FB479D"/>
    <w:rsid w:val="00FB5D39"/>
    <w:rsid w:val="00FB64D8"/>
    <w:rsid w:val="00FB7342"/>
    <w:rsid w:val="00FC0178"/>
    <w:rsid w:val="00FC1626"/>
    <w:rsid w:val="00FC16A7"/>
    <w:rsid w:val="00FC2352"/>
    <w:rsid w:val="00FC301A"/>
    <w:rsid w:val="00FC3A8F"/>
    <w:rsid w:val="00FC4D94"/>
    <w:rsid w:val="00FC5AF9"/>
    <w:rsid w:val="00FC643B"/>
    <w:rsid w:val="00FC782A"/>
    <w:rsid w:val="00FD10FB"/>
    <w:rsid w:val="00FD1EC9"/>
    <w:rsid w:val="00FD23DE"/>
    <w:rsid w:val="00FD3DE5"/>
    <w:rsid w:val="00FD609C"/>
    <w:rsid w:val="00FD629D"/>
    <w:rsid w:val="00FE1040"/>
    <w:rsid w:val="00FE2B04"/>
    <w:rsid w:val="00FE2B7B"/>
    <w:rsid w:val="00FE3886"/>
    <w:rsid w:val="00FE3D90"/>
    <w:rsid w:val="00FE436A"/>
    <w:rsid w:val="00FE5723"/>
    <w:rsid w:val="00FE7A28"/>
    <w:rsid w:val="00FF09A7"/>
    <w:rsid w:val="00FF192D"/>
    <w:rsid w:val="00FF1D84"/>
    <w:rsid w:val="00FF2ECD"/>
    <w:rsid w:val="00FF30B3"/>
    <w:rsid w:val="00FF4B08"/>
    <w:rsid w:val="00FF522A"/>
    <w:rsid w:val="00FF647D"/>
    <w:rsid w:val="00FF7C1D"/>
  </w:rsids>
  <w:docVars>
    <w:docVar w:name="__Grammarly_42___1" w:val="H4sIAAAAAAAEAKtWcslP9kxRslIyNDY2MDEwNDc1sDSxNDMwMzVV0lEKTi0uzszPAykwrgUA0GBvY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B710F8"/>
  <w15:chartTrackingRefBased/>
  <w15:docId w15:val="{62AB2EF7-7893-470F-9F3E-A934B5CD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1">
    <w:name w:val="heading 1"/>
    <w:basedOn w:val="Normal"/>
    <w:next w:val="Normal"/>
    <w:link w:val="Heading1Char"/>
    <w:qFormat/>
    <w:rsid w:val="00933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Title">
    <w:name w:val="Title"/>
    <w:basedOn w:val="Normal"/>
    <w:next w:val="Normal"/>
    <w:link w:val="TitleChar"/>
    <w:qFormat/>
    <w:rsid w:val="009332D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32D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332D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315D0"/>
    <w:rPr>
      <w:sz w:val="24"/>
      <w:szCs w:val="24"/>
    </w:rPr>
  </w:style>
  <w:style w:type="character" w:styleId="UnresolvedMention">
    <w:name w:val="Unresolved Mention"/>
    <w:basedOn w:val="DefaultParagraphFont"/>
    <w:uiPriority w:val="99"/>
    <w:semiHidden/>
    <w:unhideWhenUsed/>
    <w:rsid w:val="00317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95011.htm" TargetMode="External" /><Relationship Id="rId6" Type="http://schemas.openxmlformats.org/officeDocument/2006/relationships/hyperlink" Target="https://www.bls.gov/oes/current/oes151242.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7FAF-5A88-45BE-BDD2-991B98C4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Fitzgerald, Emily (CDC/NIOSH/OD/ODDM)</cp:lastModifiedBy>
  <cp:revision>4</cp:revision>
  <cp:lastPrinted>2019-08-05T16:03:00Z</cp:lastPrinted>
  <dcterms:created xsi:type="dcterms:W3CDTF">2025-03-19T18:09:00Z</dcterms:created>
  <dcterms:modified xsi:type="dcterms:W3CDTF">2025-03-19T18:12:00Z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57612c72-8efa-4459-9e1a-54bf7cb9f181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2022-08-03T16:28:14Z</vt:lpwstr>
  </property>
  <property fmtid="{D5CDD505-2E9C-101B-9397-08002B2CF9AE}" pid="8" name="MSIP_Label_8af03ff0-41c5-4c41-b55e-fabb8fae94be_SiteId">
    <vt:lpwstr>9ce70869-60db-44fd-abe8-d2767077fc8f</vt:lpwstr>
  </property>
  <property fmtid="{D5CDD505-2E9C-101B-9397-08002B2CF9AE}" pid="9" name="_DocHome">
    <vt:i4>972146359</vt:i4>
  </property>
  <property fmtid="{D5CDD505-2E9C-101B-9397-08002B2CF9AE}" pid="10" name="_EmailEntryID">
    <vt:lpwstr>00000000729029A0ACBDD111A2DD00A02461F7A00700F159D348C461D111A2D900A02461F7A000000034B1BE00008C88A0106170264C92F3E5F789C1B55C00004E4D83100000</vt:lpwstr>
  </property>
  <property fmtid="{D5CDD505-2E9C-101B-9397-08002B2CF9AE}" pid="11"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12" name="_EmailStoreID1">
    <vt:lpwstr>C54292F636E3D526563697069656E74732F636E3D7378773200E94632F42C0000000200000010000000730078007700320040006300640063002E0067006F00760000000000</vt:lpwstr>
  </property>
  <property fmtid="{D5CDD505-2E9C-101B-9397-08002B2CF9AE}" pid="13" name="_NewReviewCycle">
    <vt:lpwstr/>
  </property>
  <property fmtid="{D5CDD505-2E9C-101B-9397-08002B2CF9AE}" pid="14" name="_TentativeReviewCycleID">
    <vt:i4>1309795231</vt:i4>
  </property>
</Properties>
</file>