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22745" w14:paraId="0927144F" w14:textId="77777777">
      <w:pPr>
        <w:jc w:val="center"/>
        <w:rPr>
          <w:rFonts w:ascii="Times New Roman" w:eastAsia="Times New Roman" w:hAnsi="Times New Roman" w:cs="Times New Roman"/>
          <w:b/>
          <w:sz w:val="24"/>
          <w:szCs w:val="24"/>
        </w:rPr>
      </w:pPr>
    </w:p>
    <w:p w:rsidR="00322745" w14:paraId="09271450" w14:textId="77777777">
      <w:pPr>
        <w:jc w:val="center"/>
        <w:rPr>
          <w:rFonts w:ascii="Times New Roman" w:eastAsia="Times New Roman" w:hAnsi="Times New Roman" w:cs="Times New Roman"/>
          <w:b/>
          <w:sz w:val="24"/>
          <w:szCs w:val="24"/>
        </w:rPr>
      </w:pPr>
    </w:p>
    <w:p w:rsidR="00322745" w14:paraId="09271451"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Generic Clearance for CDC/ATSDR</w:t>
      </w:r>
    </w:p>
    <w:p w:rsidR="00322745" w14:paraId="09271452" w14:textId="77777777">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Formative Research and Tool Development</w:t>
      </w:r>
    </w:p>
    <w:p w:rsidR="005F195A" w14:paraId="7E10C5AD" w14:textId="77777777">
      <w:pPr>
        <w:spacing w:line="240" w:lineRule="auto"/>
        <w:jc w:val="center"/>
        <w:rPr>
          <w:rFonts w:ascii="Times New Roman" w:eastAsia="Times New Roman" w:hAnsi="Times New Roman" w:cs="Times New Roman"/>
          <w:b/>
          <w:color w:val="000000"/>
          <w:sz w:val="24"/>
          <w:szCs w:val="24"/>
        </w:rPr>
      </w:pPr>
    </w:p>
    <w:p w:rsidR="005F195A" w:rsidP="005F195A" w14:paraId="10189E61"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0920-1154</w:t>
      </w:r>
    </w:p>
    <w:p w:rsidR="005F195A" w14:paraId="7E419C98" w14:textId="77777777">
      <w:pPr>
        <w:spacing w:line="240" w:lineRule="auto"/>
        <w:jc w:val="center"/>
        <w:rPr>
          <w:rFonts w:ascii="Times New Roman" w:eastAsia="Times New Roman" w:hAnsi="Times New Roman" w:cs="Times New Roman"/>
          <w:sz w:val="24"/>
          <w:szCs w:val="24"/>
        </w:rPr>
      </w:pPr>
    </w:p>
    <w:p w:rsidR="00322745" w14:paraId="09271453" w14:textId="777777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Title: </w:t>
      </w:r>
      <w:r>
        <w:rPr>
          <w:rFonts w:ascii="Times New Roman" w:eastAsia="Times New Roman" w:hAnsi="Times New Roman" w:cs="Times New Roman"/>
          <w:b/>
          <w:sz w:val="24"/>
          <w:szCs w:val="24"/>
        </w:rPr>
        <w:t>Formative Research for ACEs Prevention Message Development</w:t>
      </w:r>
    </w:p>
    <w:p w:rsidR="00322745" w14:paraId="09271454" w14:textId="77777777">
      <w:pPr>
        <w:spacing w:line="240" w:lineRule="auto"/>
        <w:jc w:val="center"/>
        <w:rPr>
          <w:rFonts w:ascii="Times New Roman" w:eastAsia="Times New Roman" w:hAnsi="Times New Roman" w:cs="Times New Roman"/>
          <w:sz w:val="24"/>
          <w:szCs w:val="24"/>
        </w:rPr>
      </w:pPr>
    </w:p>
    <w:p w:rsidR="00322745" w14:paraId="09271455"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Supporting Statement B</w:t>
      </w:r>
    </w:p>
    <w:p w:rsidR="00322745" w14:paraId="09271456"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322745" w14:paraId="09271457"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26, 2024</w:t>
      </w:r>
    </w:p>
    <w:p w:rsidR="00322745" w14:paraId="09271458" w14:textId="77777777">
      <w:pPr>
        <w:spacing w:line="240" w:lineRule="auto"/>
        <w:jc w:val="center"/>
        <w:rPr>
          <w:rFonts w:ascii="Times New Roman" w:eastAsia="Times New Roman" w:hAnsi="Times New Roman" w:cs="Times New Roman"/>
          <w:sz w:val="24"/>
          <w:szCs w:val="24"/>
        </w:rPr>
      </w:pPr>
    </w:p>
    <w:p w:rsidR="00322745" w14:paraId="09271459"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322745" w14:paraId="0927145A"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p>
    <w:p w:rsidR="00322745" w14:paraId="0927145B"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Brooke Aspinwall</w:t>
      </w:r>
    </w:p>
    <w:p w:rsidR="00322745" w14:paraId="0927145C"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NCIPC</w:t>
      </w:r>
    </w:p>
    <w:p w:rsidR="00322745" w14:paraId="0927145D" w14:textId="77777777">
      <w:pPr>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rPr>
        <w:t>404-718-5914</w:t>
      </w:r>
    </w:p>
    <w:p w:rsidR="00322745" w14:paraId="0927145E"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ogj5@cdc.gov</w:t>
      </w:r>
    </w:p>
    <w:p w:rsidR="00322745" w14:paraId="0927145F" w14:textId="77777777">
      <w:pPr>
        <w:jc w:val="center"/>
        <w:rPr>
          <w:rFonts w:ascii="Times New Roman" w:eastAsia="Times New Roman" w:hAnsi="Times New Roman" w:cs="Times New Roman"/>
          <w:sz w:val="24"/>
          <w:szCs w:val="24"/>
        </w:rPr>
      </w:pPr>
    </w:p>
    <w:p w:rsidR="00322745" w14:paraId="09271460" w14:textId="77777777">
      <w:pPr>
        <w:rPr>
          <w:rFonts w:ascii="Times New Roman" w:eastAsia="Times New Roman" w:hAnsi="Times New Roman" w:cs="Times New Roman"/>
          <w:sz w:val="24"/>
          <w:szCs w:val="24"/>
        </w:rPr>
      </w:pPr>
    </w:p>
    <w:p w:rsidR="00322745" w14:paraId="09271461" w14:textId="77777777">
      <w:pPr>
        <w:spacing w:after="0" w:line="240" w:lineRule="auto"/>
        <w:rPr>
          <w:rFonts w:ascii="Times New Roman" w:eastAsia="Times New Roman" w:hAnsi="Times New Roman" w:cs="Times New Roman"/>
          <w:sz w:val="24"/>
          <w:szCs w:val="24"/>
        </w:rPr>
      </w:pPr>
    </w:p>
    <w:p w:rsidR="00322745" w14:paraId="09271462" w14:textId="77777777">
      <w:pPr>
        <w:jc w:val="center"/>
        <w:rPr>
          <w:rFonts w:ascii="Times New Roman" w:eastAsia="Times New Roman" w:hAnsi="Times New Roman" w:cs="Times New Roman"/>
          <w:sz w:val="24"/>
          <w:szCs w:val="24"/>
        </w:rPr>
      </w:pPr>
    </w:p>
    <w:p w:rsidR="00322745" w14:paraId="09271463" w14:textId="77777777">
      <w:pPr>
        <w:jc w:val="center"/>
        <w:rPr>
          <w:rFonts w:ascii="Times New Roman" w:eastAsia="Times New Roman" w:hAnsi="Times New Roman" w:cs="Times New Roman"/>
          <w:sz w:val="24"/>
          <w:szCs w:val="24"/>
        </w:rPr>
      </w:pPr>
    </w:p>
    <w:p w:rsidR="00322745" w14:paraId="09271464" w14:textId="77777777">
      <w:pPr>
        <w:jc w:val="center"/>
        <w:rPr>
          <w:rFonts w:ascii="Times New Roman" w:eastAsia="Times New Roman" w:hAnsi="Times New Roman" w:cs="Times New Roman"/>
          <w:sz w:val="24"/>
          <w:szCs w:val="24"/>
        </w:rPr>
      </w:pPr>
    </w:p>
    <w:p w:rsidR="00322745" w14:paraId="09271465" w14:textId="77777777">
      <w:pPr>
        <w:jc w:val="center"/>
        <w:rPr>
          <w:rFonts w:ascii="Times New Roman" w:eastAsia="Times New Roman" w:hAnsi="Times New Roman" w:cs="Times New Roman"/>
          <w:sz w:val="24"/>
          <w:szCs w:val="24"/>
        </w:rPr>
      </w:pPr>
    </w:p>
    <w:p w:rsidR="00322745" w14:paraId="09271466" w14:textId="77777777">
      <w:pPr>
        <w:jc w:val="center"/>
        <w:rPr>
          <w:rFonts w:ascii="Times New Roman" w:eastAsia="Times New Roman" w:hAnsi="Times New Roman" w:cs="Times New Roman"/>
          <w:sz w:val="24"/>
          <w:szCs w:val="24"/>
        </w:rPr>
      </w:pPr>
    </w:p>
    <w:p w:rsidR="00322745" w14:paraId="09271467" w14:textId="77777777">
      <w:pPr>
        <w:jc w:val="center"/>
        <w:rPr>
          <w:rFonts w:ascii="Times New Roman" w:eastAsia="Times New Roman" w:hAnsi="Times New Roman" w:cs="Times New Roman"/>
          <w:sz w:val="24"/>
          <w:szCs w:val="24"/>
        </w:rPr>
      </w:pPr>
    </w:p>
    <w:p w:rsidR="00322745" w14:paraId="09271468" w14:textId="77777777">
      <w:pPr>
        <w:jc w:val="center"/>
        <w:rPr>
          <w:rFonts w:ascii="Times New Roman" w:eastAsia="Times New Roman" w:hAnsi="Times New Roman" w:cs="Times New Roman"/>
          <w:sz w:val="24"/>
          <w:szCs w:val="24"/>
        </w:rPr>
      </w:pPr>
    </w:p>
    <w:p w:rsidR="00322745" w14:paraId="0927146F"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p w:rsidR="005F195A" w14:paraId="0185C506" w14:textId="77777777">
      <w:pPr>
        <w:jc w:val="center"/>
        <w:rPr>
          <w:rFonts w:ascii="Times New Roman" w:eastAsia="Times New Roman" w:hAnsi="Times New Roman" w:cs="Times New Roman"/>
          <w:sz w:val="24"/>
          <w:szCs w:val="24"/>
        </w:rPr>
      </w:pPr>
    </w:p>
    <w:sdt>
      <w:sdtPr>
        <w:id w:val="949354033"/>
        <w:docPartObj>
          <w:docPartGallery w:val="Table of Contents"/>
          <w:docPartUnique/>
        </w:docPartObj>
      </w:sdtPr>
      <w:sdtContent>
        <w:p w:rsidR="00322745" w14:paraId="09271470" w14:textId="77777777">
          <w:pPr>
            <w:tabs>
              <w:tab w:val="right" w:pos="10080"/>
            </w:tabs>
            <w:spacing w:before="80" w:line="240" w:lineRule="auto"/>
            <w:rPr>
              <w:rFonts w:ascii="Times New Roman" w:eastAsia="Times New Roman" w:hAnsi="Times New Roman" w:cs="Times New Roman"/>
              <w:sz w:val="24"/>
              <w:szCs w:val="24"/>
            </w:rPr>
          </w:pPr>
          <w:r>
            <w:fldChar w:fldCharType="begin"/>
          </w:r>
          <w:r>
            <w:instrText xml:space="preserve"> TOC \h \u \z \t "Heading 1,1,Heading 2,2,Heading 3,3,Heading 4,4,Heading 5,5,Heading 6,6,"</w:instrText>
          </w:r>
          <w:r>
            <w:fldChar w:fldCharType="separate"/>
          </w:r>
          <w:hyperlink w:anchor="_heading=h.grl4v446vah5">
            <w:r>
              <w:rPr>
                <w:rFonts w:ascii="Times New Roman" w:eastAsia="Times New Roman" w:hAnsi="Times New Roman" w:cs="Times New Roman"/>
                <w:sz w:val="24"/>
                <w:szCs w:val="24"/>
              </w:rPr>
              <w:t>1. Respondent Universe and Sampling Methods</w:t>
            </w:r>
          </w:hyperlink>
          <w:r>
            <w:rPr>
              <w:rFonts w:ascii="Times New Roman" w:eastAsia="Times New Roman" w:hAnsi="Times New Roman" w:cs="Times New Roman"/>
              <w:sz w:val="24"/>
              <w:szCs w:val="24"/>
            </w:rPr>
            <w:tab/>
          </w:r>
          <w:r>
            <w:fldChar w:fldCharType="begin"/>
          </w:r>
          <w:r>
            <w:instrText xml:space="preserve"> PAGEREF _heading=h.grl4v446vah5 \h </w:instrText>
          </w:r>
          <w:r>
            <w:fldChar w:fldCharType="separate"/>
          </w:r>
          <w:r>
            <w:t>3</w:t>
          </w:r>
          <w:hyperlink w:anchor="_heading=h.grl4v446vah5" w:history="1"/>
        </w:p>
        <w:p w:rsidR="00322745" w14:paraId="09271471" w14:textId="77777777">
          <w:pPr>
            <w:tabs>
              <w:tab w:val="right" w:pos="10080"/>
            </w:tabs>
            <w:spacing w:before="200" w:line="240" w:lineRule="auto"/>
            <w:rPr>
              <w:rFonts w:ascii="Times New Roman" w:eastAsia="Times New Roman" w:hAnsi="Times New Roman" w:cs="Times New Roman"/>
              <w:sz w:val="24"/>
              <w:szCs w:val="24"/>
            </w:rPr>
          </w:pPr>
          <w:r>
            <w:fldChar w:fldCharType="end"/>
          </w:r>
          <w:hyperlink w:anchor="_heading=h.cobk33yhx2hy">
            <w:r>
              <w:rPr>
                <w:rFonts w:ascii="Times New Roman" w:eastAsia="Times New Roman" w:hAnsi="Times New Roman" w:cs="Times New Roman"/>
                <w:sz w:val="24"/>
                <w:szCs w:val="24"/>
              </w:rPr>
              <w:t>2. Procedures for the Collection of Information</w:t>
            </w:r>
          </w:hyperlink>
          <w:r>
            <w:rPr>
              <w:rFonts w:ascii="Times New Roman" w:eastAsia="Times New Roman" w:hAnsi="Times New Roman" w:cs="Times New Roman"/>
              <w:sz w:val="24"/>
              <w:szCs w:val="24"/>
            </w:rPr>
            <w:tab/>
          </w:r>
          <w:r>
            <w:fldChar w:fldCharType="begin"/>
          </w:r>
          <w:r>
            <w:instrText xml:space="preserve"> PAGEREF _heading=h.cobk33yhx2hy \h </w:instrText>
          </w:r>
          <w:r>
            <w:fldChar w:fldCharType="separate"/>
          </w:r>
          <w:r>
            <w:t>3</w:t>
          </w:r>
          <w:hyperlink w:anchor="_heading=h.cobk33yhx2hy" w:history="1"/>
        </w:p>
        <w:p w:rsidR="00322745" w14:paraId="09271472" w14:textId="77777777">
          <w:pPr>
            <w:tabs>
              <w:tab w:val="right" w:pos="10080"/>
            </w:tabs>
            <w:spacing w:before="200" w:line="240" w:lineRule="auto"/>
            <w:rPr>
              <w:rFonts w:ascii="Times New Roman" w:eastAsia="Times New Roman" w:hAnsi="Times New Roman" w:cs="Times New Roman"/>
              <w:sz w:val="24"/>
              <w:szCs w:val="24"/>
            </w:rPr>
          </w:pPr>
          <w:r>
            <w:fldChar w:fldCharType="end"/>
          </w:r>
          <w:hyperlink w:anchor="_heading=h.f6yt73j6nzmf">
            <w:r>
              <w:rPr>
                <w:rFonts w:ascii="Times New Roman" w:eastAsia="Times New Roman" w:hAnsi="Times New Roman" w:cs="Times New Roman"/>
                <w:sz w:val="24"/>
                <w:szCs w:val="24"/>
              </w:rPr>
              <w:t>3. Methods to Maximize Response Rates and Deal with No Response</w:t>
            </w:r>
          </w:hyperlink>
          <w:r>
            <w:rPr>
              <w:rFonts w:ascii="Times New Roman" w:eastAsia="Times New Roman" w:hAnsi="Times New Roman" w:cs="Times New Roman"/>
              <w:sz w:val="24"/>
              <w:szCs w:val="24"/>
            </w:rPr>
            <w:tab/>
          </w:r>
          <w:r>
            <w:fldChar w:fldCharType="begin"/>
          </w:r>
          <w:r>
            <w:instrText xml:space="preserve"> PAGEREF _heading=h.f6yt73j6nzmf \h </w:instrText>
          </w:r>
          <w:r>
            <w:fldChar w:fldCharType="separate"/>
          </w:r>
          <w:r>
            <w:t>4</w:t>
          </w:r>
          <w:hyperlink w:anchor="_heading=h.f6yt73j6nzmf" w:history="1"/>
        </w:p>
        <w:p w:rsidR="00322745" w14:paraId="09271473" w14:textId="77777777">
          <w:pPr>
            <w:tabs>
              <w:tab w:val="right" w:pos="10080"/>
            </w:tabs>
            <w:spacing w:before="200" w:line="240" w:lineRule="auto"/>
            <w:rPr>
              <w:rFonts w:ascii="Times New Roman" w:eastAsia="Times New Roman" w:hAnsi="Times New Roman" w:cs="Times New Roman"/>
              <w:sz w:val="24"/>
              <w:szCs w:val="24"/>
            </w:rPr>
          </w:pPr>
          <w:r>
            <w:fldChar w:fldCharType="end"/>
          </w:r>
          <w:hyperlink w:anchor="_heading=h.h0okte30r3a5">
            <w:r>
              <w:rPr>
                <w:rFonts w:ascii="Times New Roman" w:eastAsia="Times New Roman" w:hAnsi="Times New Roman" w:cs="Times New Roman"/>
                <w:sz w:val="24"/>
                <w:szCs w:val="24"/>
              </w:rPr>
              <w:t>4. Tests of Procedures or Methods to be Undertaken</w:t>
            </w:r>
          </w:hyperlink>
          <w:r>
            <w:rPr>
              <w:rFonts w:ascii="Times New Roman" w:eastAsia="Times New Roman" w:hAnsi="Times New Roman" w:cs="Times New Roman"/>
              <w:sz w:val="24"/>
              <w:szCs w:val="24"/>
            </w:rPr>
            <w:tab/>
          </w:r>
          <w:r>
            <w:fldChar w:fldCharType="begin"/>
          </w:r>
          <w:r>
            <w:instrText xml:space="preserve"> PAGEREF _heading=h.h0okte30r3a5 \h </w:instrText>
          </w:r>
          <w:r>
            <w:fldChar w:fldCharType="separate"/>
          </w:r>
          <w:r>
            <w:t>4</w:t>
          </w:r>
          <w:hyperlink w:anchor="_heading=h.h0okte30r3a5" w:history="1"/>
        </w:p>
        <w:p w:rsidR="00322745" w14:paraId="09271474" w14:textId="77777777">
          <w:pPr>
            <w:tabs>
              <w:tab w:val="right" w:pos="10080"/>
            </w:tabs>
            <w:spacing w:before="200" w:after="80" w:line="240" w:lineRule="auto"/>
            <w:rPr>
              <w:rFonts w:ascii="Times New Roman" w:eastAsia="Times New Roman" w:hAnsi="Times New Roman" w:cs="Times New Roman"/>
              <w:sz w:val="24"/>
              <w:szCs w:val="24"/>
            </w:rPr>
          </w:pPr>
          <w:r>
            <w:fldChar w:fldCharType="end"/>
          </w:r>
          <w:hyperlink w:anchor="_heading=h.bhcgbbmjgk1l">
            <w:r>
              <w:rPr>
                <w:rFonts w:ascii="Times New Roman" w:eastAsia="Times New Roman" w:hAnsi="Times New Roman" w:cs="Times New Roman"/>
                <w:sz w:val="24"/>
                <w:szCs w:val="24"/>
              </w:rPr>
              <w:t>5. Individuals Consulted on Statistical Aspects/Individuals Collecting and/or Analyzing Data</w:t>
            </w:r>
          </w:hyperlink>
          <w:r>
            <w:rPr>
              <w:rFonts w:ascii="Times New Roman" w:eastAsia="Times New Roman" w:hAnsi="Times New Roman" w:cs="Times New Roman"/>
              <w:sz w:val="24"/>
              <w:szCs w:val="24"/>
            </w:rPr>
            <w:tab/>
          </w:r>
          <w:r>
            <w:t>5</w:t>
          </w:r>
          <w:r>
            <w:fldChar w:fldCharType="end"/>
          </w:r>
        </w:p>
      </w:sdtContent>
    </w:sdt>
    <w:p w:rsidR="00322745" w14:paraId="09271475" w14:textId="77777777">
      <w:pPr>
        <w:rPr>
          <w:rFonts w:ascii="Times New Roman" w:eastAsia="Times New Roman" w:hAnsi="Times New Roman" w:cs="Times New Roman"/>
          <w:sz w:val="24"/>
          <w:szCs w:val="24"/>
        </w:rPr>
      </w:pPr>
    </w:p>
    <w:p w:rsidR="00322745" w14:paraId="09271476" w14:textId="77777777">
      <w:pPr>
        <w:rPr>
          <w:rFonts w:ascii="Times New Roman" w:eastAsia="Times New Roman" w:hAnsi="Times New Roman" w:cs="Times New Roman"/>
          <w:b/>
          <w:sz w:val="24"/>
          <w:szCs w:val="24"/>
        </w:rPr>
      </w:pPr>
    </w:p>
    <w:p w:rsidR="00322745" w14:paraId="09271477" w14:textId="77777777">
      <w:pPr>
        <w:rPr>
          <w:rFonts w:ascii="Times New Roman" w:eastAsia="Times New Roman" w:hAnsi="Times New Roman" w:cs="Times New Roman"/>
          <w:b/>
          <w:sz w:val="24"/>
          <w:szCs w:val="24"/>
        </w:rPr>
      </w:pPr>
    </w:p>
    <w:p w:rsidR="00322745" w14:paraId="09271478" w14:textId="77777777">
      <w:pPr>
        <w:rPr>
          <w:rFonts w:ascii="Times New Roman" w:eastAsia="Times New Roman" w:hAnsi="Times New Roman" w:cs="Times New Roman"/>
          <w:b/>
          <w:sz w:val="24"/>
          <w:szCs w:val="24"/>
        </w:rPr>
      </w:pPr>
    </w:p>
    <w:p w:rsidR="00322745" w14:paraId="09271479" w14:textId="77777777">
      <w:pPr>
        <w:rPr>
          <w:rFonts w:ascii="Times New Roman" w:eastAsia="Times New Roman" w:hAnsi="Times New Roman" w:cs="Times New Roman"/>
          <w:b/>
          <w:sz w:val="24"/>
          <w:szCs w:val="24"/>
        </w:rPr>
      </w:pPr>
    </w:p>
    <w:p w:rsidR="00322745" w14:paraId="0927147A" w14:textId="77777777">
      <w:pPr>
        <w:rPr>
          <w:rFonts w:ascii="Times New Roman" w:eastAsia="Times New Roman" w:hAnsi="Times New Roman" w:cs="Times New Roman"/>
          <w:b/>
          <w:sz w:val="24"/>
          <w:szCs w:val="24"/>
        </w:rPr>
      </w:pPr>
    </w:p>
    <w:p w:rsidR="00322745" w14:paraId="0927147B" w14:textId="77777777">
      <w:pPr>
        <w:rPr>
          <w:rFonts w:ascii="Times New Roman" w:eastAsia="Times New Roman" w:hAnsi="Times New Roman" w:cs="Times New Roman"/>
          <w:b/>
          <w:sz w:val="24"/>
          <w:szCs w:val="24"/>
        </w:rPr>
      </w:pPr>
    </w:p>
    <w:p w:rsidR="00322745" w14:paraId="0927147C" w14:textId="77777777">
      <w:pPr>
        <w:rPr>
          <w:rFonts w:ascii="Times New Roman" w:eastAsia="Times New Roman" w:hAnsi="Times New Roman" w:cs="Times New Roman"/>
          <w:b/>
          <w:sz w:val="24"/>
          <w:szCs w:val="24"/>
        </w:rPr>
      </w:pPr>
    </w:p>
    <w:p w:rsidR="00322745" w14:paraId="0927147D" w14:textId="77777777">
      <w:pPr>
        <w:rPr>
          <w:rFonts w:ascii="Times New Roman" w:eastAsia="Times New Roman" w:hAnsi="Times New Roman" w:cs="Times New Roman"/>
          <w:b/>
          <w:sz w:val="24"/>
          <w:szCs w:val="24"/>
        </w:rPr>
      </w:pPr>
    </w:p>
    <w:p w:rsidR="00322745" w14:paraId="0927147E" w14:textId="77777777">
      <w:pPr>
        <w:rPr>
          <w:rFonts w:ascii="Times New Roman" w:eastAsia="Times New Roman" w:hAnsi="Times New Roman" w:cs="Times New Roman"/>
          <w:b/>
          <w:sz w:val="24"/>
          <w:szCs w:val="24"/>
        </w:rPr>
      </w:pPr>
    </w:p>
    <w:p w:rsidR="00322745" w14:paraId="0927147F" w14:textId="77777777">
      <w:pPr>
        <w:rPr>
          <w:rFonts w:ascii="Times New Roman" w:eastAsia="Times New Roman" w:hAnsi="Times New Roman" w:cs="Times New Roman"/>
          <w:b/>
          <w:sz w:val="24"/>
          <w:szCs w:val="24"/>
        </w:rPr>
      </w:pPr>
    </w:p>
    <w:p w:rsidR="00322745" w14:paraId="09271480" w14:textId="77777777">
      <w:pPr>
        <w:rPr>
          <w:rFonts w:ascii="Times New Roman" w:eastAsia="Times New Roman" w:hAnsi="Times New Roman" w:cs="Times New Roman"/>
          <w:b/>
          <w:sz w:val="24"/>
          <w:szCs w:val="24"/>
        </w:rPr>
      </w:pPr>
    </w:p>
    <w:p w:rsidR="00322745" w14:paraId="09271481" w14:textId="77777777">
      <w:pPr>
        <w:rPr>
          <w:rFonts w:ascii="Times New Roman" w:eastAsia="Times New Roman" w:hAnsi="Times New Roman" w:cs="Times New Roman"/>
          <w:b/>
          <w:sz w:val="24"/>
          <w:szCs w:val="24"/>
        </w:rPr>
      </w:pPr>
    </w:p>
    <w:p w:rsidR="00322745" w14:paraId="09271482" w14:textId="77777777">
      <w:pPr>
        <w:rPr>
          <w:rFonts w:ascii="Times New Roman" w:eastAsia="Times New Roman" w:hAnsi="Times New Roman" w:cs="Times New Roman"/>
          <w:b/>
          <w:sz w:val="24"/>
          <w:szCs w:val="24"/>
        </w:rPr>
      </w:pPr>
    </w:p>
    <w:p w:rsidR="005F195A" w14:paraId="18C7D4B7" w14:textId="77777777">
      <w:pPr>
        <w:rPr>
          <w:rFonts w:ascii="Times New Roman" w:eastAsia="Times New Roman" w:hAnsi="Times New Roman" w:cs="Times New Roman"/>
          <w:b/>
          <w:sz w:val="24"/>
          <w:szCs w:val="24"/>
        </w:rPr>
      </w:pPr>
    </w:p>
    <w:p w:rsidR="005F195A" w14:paraId="1A3CDD9E" w14:textId="77777777">
      <w:pPr>
        <w:rPr>
          <w:rFonts w:ascii="Times New Roman" w:eastAsia="Times New Roman" w:hAnsi="Times New Roman" w:cs="Times New Roman"/>
          <w:b/>
          <w:sz w:val="24"/>
          <w:szCs w:val="24"/>
        </w:rPr>
      </w:pPr>
    </w:p>
    <w:p w:rsidR="005F195A" w14:paraId="0038A79D" w14:textId="77777777">
      <w:pPr>
        <w:rPr>
          <w:rFonts w:ascii="Times New Roman" w:eastAsia="Times New Roman" w:hAnsi="Times New Roman" w:cs="Times New Roman"/>
          <w:b/>
          <w:sz w:val="24"/>
          <w:szCs w:val="24"/>
        </w:rPr>
      </w:pPr>
    </w:p>
    <w:p w:rsidR="005F195A" w14:paraId="24059493" w14:textId="77777777">
      <w:pPr>
        <w:rPr>
          <w:rFonts w:ascii="Times New Roman" w:eastAsia="Times New Roman" w:hAnsi="Times New Roman" w:cs="Times New Roman"/>
          <w:b/>
          <w:sz w:val="24"/>
          <w:szCs w:val="24"/>
        </w:rPr>
      </w:pPr>
    </w:p>
    <w:p w:rsidR="005F195A" w14:paraId="059F59AD" w14:textId="77777777">
      <w:pPr>
        <w:rPr>
          <w:rFonts w:ascii="Times New Roman" w:eastAsia="Times New Roman" w:hAnsi="Times New Roman" w:cs="Times New Roman"/>
          <w:b/>
          <w:sz w:val="24"/>
          <w:szCs w:val="24"/>
        </w:rPr>
      </w:pPr>
    </w:p>
    <w:p w:rsidR="00322745" w14:paraId="09271483" w14:textId="77777777">
      <w:pPr>
        <w:rPr>
          <w:rFonts w:ascii="Times New Roman" w:eastAsia="Times New Roman" w:hAnsi="Times New Roman" w:cs="Times New Roman"/>
          <w:b/>
          <w:sz w:val="24"/>
          <w:szCs w:val="24"/>
        </w:rPr>
      </w:pPr>
    </w:p>
    <w:p w:rsidR="00322745" w14:paraId="09271484" w14:textId="77777777">
      <w:pPr>
        <w:rPr>
          <w:rFonts w:ascii="Times New Roman" w:eastAsia="Times New Roman" w:hAnsi="Times New Roman" w:cs="Times New Roman"/>
          <w:b/>
          <w:sz w:val="24"/>
          <w:szCs w:val="24"/>
        </w:rPr>
      </w:pPr>
    </w:p>
    <w:p w:rsidR="00322745" w:rsidP="005F195A" w14:paraId="09271488" w14:textId="77777777">
      <w:pPr>
        <w:spacing w:after="0" w:line="240" w:lineRule="auto"/>
        <w:rPr>
          <w:rFonts w:ascii="Times New Roman" w:eastAsia="Times New Roman" w:hAnsi="Times New Roman" w:cs="Times New Roman"/>
          <w:b/>
          <w:sz w:val="24"/>
          <w:szCs w:val="24"/>
        </w:rPr>
      </w:pPr>
      <w:bookmarkStart w:id="0" w:name="_heading=h.grl4v446vah5" w:colFirst="0" w:colLast="0"/>
      <w:bookmarkEnd w:id="0"/>
      <w:r w:rsidRPr="005F195A">
        <w:rPr>
          <w:rFonts w:ascii="Times New Roman" w:eastAsia="Times New Roman" w:hAnsi="Times New Roman" w:cs="Times New Roman"/>
          <w:b/>
          <w:sz w:val="24"/>
          <w:szCs w:val="24"/>
        </w:rPr>
        <w:t>1. Respondent Universe and Sampling Methods</w:t>
      </w:r>
    </w:p>
    <w:p w:rsidR="005F195A" w:rsidRPr="005F195A" w:rsidP="005F195A" w14:paraId="09519633" w14:textId="77777777">
      <w:pPr>
        <w:spacing w:after="0" w:line="240" w:lineRule="auto"/>
        <w:rPr>
          <w:rFonts w:ascii="Times New Roman" w:eastAsia="Times New Roman" w:hAnsi="Times New Roman" w:cs="Times New Roman"/>
          <w:b/>
          <w:sz w:val="24"/>
          <w:szCs w:val="24"/>
        </w:rPr>
      </w:pPr>
    </w:p>
    <w:p w:rsidR="00322745" w14:paraId="0927148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 the survey: General population participants will be recruited through the survey platform Survey Monkey, which has an extensive national participant panel. General population participants will be adults (18 years of age or older) who reside in the U.S. These participants will be recruited through the SurveyMonkey Audience recruitment feature, to ensure that the demographics of the sample generally align with the U.S. adult population in terms of gender, age, and household income. </w:t>
      </w:r>
    </w:p>
    <w:p w:rsidR="00322745" w14:paraId="0927148A" w14:textId="77777777">
      <w:pPr>
        <w:spacing w:after="0" w:line="240" w:lineRule="auto"/>
        <w:rPr>
          <w:rFonts w:ascii="Times New Roman" w:eastAsia="Times New Roman" w:hAnsi="Times New Roman" w:cs="Times New Roman"/>
          <w:sz w:val="24"/>
          <w:szCs w:val="24"/>
        </w:rPr>
      </w:pPr>
    </w:p>
    <w:p w:rsidR="00322745" w14:paraId="0927148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focus groups: General consumers/trusted adults and parents/caregivers will be recruited using a professional recruitment firm. The direct service providers audience - defined as people who work with children in a formal way (e.g., </w:t>
      </w:r>
      <w:r>
        <w:rPr>
          <w:rFonts w:ascii="Times New Roman" w:eastAsia="Times New Roman" w:hAnsi="Times New Roman" w:cs="Times New Roman"/>
          <w:sz w:val="24"/>
          <w:szCs w:val="24"/>
        </w:rPr>
        <w:t>child care</w:t>
      </w:r>
      <w:r>
        <w:rPr>
          <w:rFonts w:ascii="Times New Roman" w:eastAsia="Times New Roman" w:hAnsi="Times New Roman" w:cs="Times New Roman"/>
          <w:sz w:val="24"/>
          <w:szCs w:val="24"/>
        </w:rPr>
        <w:t xml:space="preserve"> providers, teachers, housing organizations, child welfare, substance abuse and mental health providers) - will be recruited through DVP contacts at organizations like Prevent Child Abuse America (PCAA) and through DVP’s </w:t>
      </w:r>
      <w:r>
        <w:rPr>
          <w:rFonts w:ascii="Times New Roman" w:eastAsia="Times New Roman" w:hAnsi="Times New Roman" w:cs="Times New Roman"/>
          <w:sz w:val="24"/>
          <w:szCs w:val="24"/>
        </w:rPr>
        <w:t>VetoViolence</w:t>
      </w:r>
      <w:r>
        <w:rPr>
          <w:rFonts w:ascii="Times New Roman" w:eastAsia="Times New Roman" w:hAnsi="Times New Roman" w:cs="Times New Roman"/>
          <w:sz w:val="24"/>
          <w:szCs w:val="24"/>
        </w:rPr>
        <w:t xml:space="preserve"> network (through the </w:t>
      </w:r>
      <w:r>
        <w:rPr>
          <w:rFonts w:ascii="Times New Roman" w:eastAsia="Times New Roman" w:hAnsi="Times New Roman" w:cs="Times New Roman"/>
          <w:sz w:val="24"/>
          <w:szCs w:val="24"/>
        </w:rPr>
        <w:t>VetoVoilence</w:t>
      </w:r>
      <w:r>
        <w:rPr>
          <w:rFonts w:ascii="Times New Roman" w:eastAsia="Times New Roman" w:hAnsi="Times New Roman" w:cs="Times New Roman"/>
          <w:sz w:val="24"/>
          <w:szCs w:val="24"/>
        </w:rPr>
        <w:t xml:space="preserve"> Digest or email listserv). </w:t>
      </w:r>
    </w:p>
    <w:p w:rsidR="00322745" w14:paraId="0927148C" w14:textId="77777777">
      <w:pPr>
        <w:spacing w:after="0" w:line="240" w:lineRule="auto"/>
        <w:rPr>
          <w:rFonts w:ascii="Times New Roman" w:eastAsia="Times New Roman" w:hAnsi="Times New Roman" w:cs="Times New Roman"/>
          <w:sz w:val="24"/>
          <w:szCs w:val="24"/>
        </w:rPr>
      </w:pPr>
    </w:p>
    <w:p w:rsidR="00322745" w14:paraId="0927148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interviews: NCIPC and DVP will work with the contractor to identify and then contact CDC Partners that are within DVP’s and NCIPC’s networks and partnerships.</w:t>
      </w:r>
    </w:p>
    <w:p w:rsidR="00322745" w14:paraId="0927148E" w14:textId="77777777">
      <w:pPr>
        <w:spacing w:after="0" w:line="240" w:lineRule="auto"/>
        <w:rPr>
          <w:rFonts w:ascii="Times New Roman" w:eastAsia="Times New Roman" w:hAnsi="Times New Roman" w:cs="Times New Roman"/>
          <w:sz w:val="24"/>
          <w:szCs w:val="24"/>
        </w:rPr>
      </w:pPr>
    </w:p>
    <w:p w:rsidR="00322745" w14:paraId="0927148F"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recruitment materials will be in English. </w:t>
      </w:r>
      <w:r>
        <w:rPr>
          <w:rFonts w:ascii="Times New Roman" w:eastAsia="Times New Roman" w:hAnsi="Times New Roman" w:cs="Times New Roman"/>
          <w:sz w:val="24"/>
          <w:szCs w:val="24"/>
        </w:rPr>
        <w:t>Recruitment materials will</w:t>
      </w:r>
      <w:r>
        <w:rPr>
          <w:rFonts w:ascii="Times New Roman" w:eastAsia="Times New Roman" w:hAnsi="Times New Roman" w:cs="Times New Roman"/>
          <w:color w:val="000000"/>
          <w:sz w:val="24"/>
          <w:szCs w:val="24"/>
        </w:rPr>
        <w:t xml:space="preserve"> include information on the purpose of the data collection, eligibility requirements, contact information for additional questions, and a link to a screening survey for individuals to express their interest in participating. </w:t>
      </w:r>
    </w:p>
    <w:p w:rsidR="00322745" w14:paraId="09271490" w14:textId="77777777">
      <w:pPr>
        <w:spacing w:after="0" w:line="240" w:lineRule="auto"/>
        <w:rPr>
          <w:rFonts w:ascii="Times New Roman" w:eastAsia="Times New Roman" w:hAnsi="Times New Roman" w:cs="Times New Roman"/>
          <w:color w:val="000000"/>
          <w:sz w:val="24"/>
          <w:szCs w:val="24"/>
        </w:rPr>
      </w:pPr>
    </w:p>
    <w:p w:rsidR="00322745" w14:paraId="09271491" w14:textId="77777777">
      <w:pPr>
        <w:pStyle w:val="Heading1"/>
      </w:pPr>
      <w:bookmarkStart w:id="1" w:name="_heading=h.cobk33yhx2hy" w:colFirst="0" w:colLast="0"/>
      <w:bookmarkEnd w:id="1"/>
      <w:r>
        <w:t>2. Procedures for the Collection of Information</w:t>
      </w:r>
    </w:p>
    <w:p w:rsidR="00322745" w14:paraId="09271492" w14:textId="7777777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Survey</w:t>
      </w:r>
    </w:p>
    <w:p w:rsidR="00322745" w14:paraId="09271493" w14:textId="7D356ED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survey will be conducted online via Survey Monkey. Recruitment of survey participants will be conducted through Survey Monkey’s extensive participant panels. These extensive panels allow for national recruitment which reaches wider, more diverse audiences. Recruited survey participants will be provided with informed consent at the beginning of the survey. If they consent to participate in the survey, they will be asked to proceed to fill out the survey. </w:t>
      </w:r>
      <w:r w:rsidR="005F195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total of 200 participants will participate in the survey. The survey should take no longer than 15 minutes to complete. </w:t>
      </w:r>
    </w:p>
    <w:p w:rsidR="00322745" w14:paraId="0927149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Quantitative survey data will be analyzed using the survey platform’s built-in analytics, and Excel software, to conduct descriptive statistics. Qualitative survey data will be exported into Excel and analyzed using thematic analysis strategies. Survey findings will be used to answer the research questions and develop recommendations to inform the revision of ACEs messaging.</w:t>
      </w:r>
    </w:p>
    <w:p w:rsidR="00322745" w14:paraId="09271495" w14:textId="77777777">
      <w:pPr>
        <w:spacing w:after="20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Focus Groups and Interviews</w:t>
      </w:r>
    </w:p>
    <w:p w:rsidR="00322745" w14:paraId="09271496" w14:textId="15931BD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 groups will include </w:t>
      </w:r>
      <w:r>
        <w:rPr>
          <w:rFonts w:ascii="Times New Roman" w:eastAsia="Times New Roman" w:hAnsi="Times New Roman" w:cs="Times New Roman"/>
          <w:sz w:val="24"/>
          <w:szCs w:val="24"/>
        </w:rPr>
        <w:t>24 participants across all audiences (Parents/Caregivers, Trusted Adults/Consumers, and Direct Service Providers).</w:t>
      </w:r>
    </w:p>
    <w:p w:rsidR="00322745" w14:paraId="09271497"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Focus group r</w:t>
      </w:r>
      <w:r>
        <w:rPr>
          <w:rFonts w:ascii="Times New Roman" w:eastAsia="Times New Roman" w:hAnsi="Times New Roman" w:cs="Times New Roman"/>
          <w:color w:val="000000"/>
          <w:sz w:val="24"/>
          <w:szCs w:val="24"/>
        </w:rPr>
        <w:t>ecruitment materials will be sent out via th</w:t>
      </w:r>
      <w:r>
        <w:rPr>
          <w:rFonts w:ascii="Times New Roman" w:eastAsia="Times New Roman" w:hAnsi="Times New Roman" w:cs="Times New Roman"/>
          <w:sz w:val="24"/>
          <w:szCs w:val="24"/>
        </w:rPr>
        <w:t>e previously described methods and</w:t>
      </w:r>
      <w:r>
        <w:rPr>
          <w:rFonts w:ascii="Times New Roman" w:eastAsia="Times New Roman" w:hAnsi="Times New Roman" w:cs="Times New Roman"/>
          <w:color w:val="000000"/>
          <w:sz w:val="24"/>
          <w:szCs w:val="24"/>
        </w:rPr>
        <w:t xml:space="preserve"> will contain a screening survey that will gather preliminary information on</w:t>
      </w:r>
      <w:r>
        <w:rPr>
          <w:rFonts w:ascii="Times New Roman" w:eastAsia="Times New Roman" w:hAnsi="Times New Roman" w:cs="Times New Roman"/>
          <w:sz w:val="24"/>
          <w:szCs w:val="24"/>
        </w:rPr>
        <w:t xml:space="preserve"> general consumers/trusted adults, parents/caregivers, and direct service providers</w:t>
      </w:r>
      <w:r>
        <w:rPr>
          <w:rFonts w:ascii="Times New Roman" w:eastAsia="Times New Roman" w:hAnsi="Times New Roman" w:cs="Times New Roman"/>
          <w:color w:val="000000"/>
          <w:sz w:val="24"/>
          <w:szCs w:val="24"/>
        </w:rPr>
        <w:t xml:space="preserve">, in addition to demographic characteristics that will help segment individuals into an appropriate focus group. </w:t>
      </w:r>
    </w:p>
    <w:p w:rsidR="00322745" w14:paraId="09271498" w14:textId="77777777">
      <w:pPr>
        <w:spacing w:after="0" w:line="240" w:lineRule="auto"/>
        <w:rPr>
          <w:rFonts w:ascii="Times New Roman" w:eastAsia="Times New Roman" w:hAnsi="Times New Roman" w:cs="Times New Roman"/>
          <w:sz w:val="24"/>
          <w:szCs w:val="24"/>
        </w:rPr>
      </w:pPr>
    </w:p>
    <w:p w:rsidR="00322745" w14:paraId="09271499" w14:textId="67B52B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Interviews will include </w:t>
      </w:r>
      <w:r>
        <w:rPr>
          <w:rFonts w:ascii="Times New Roman" w:eastAsia="Times New Roman" w:hAnsi="Times New Roman" w:cs="Times New Roman"/>
          <w:sz w:val="24"/>
          <w:szCs w:val="24"/>
        </w:rPr>
        <w:t xml:space="preserve">5 participants. Interview recruitment will take place by email, via the </w:t>
      </w:r>
      <w:r>
        <w:rPr>
          <w:rFonts w:ascii="Times New Roman" w:eastAsia="Times New Roman" w:hAnsi="Times New Roman" w:cs="Times New Roman"/>
          <w:sz w:val="24"/>
          <w:szCs w:val="24"/>
        </w:rPr>
        <w:t>previously</w:t>
      </w:r>
      <w:r>
        <w:rPr>
          <w:rFonts w:ascii="Times New Roman" w:eastAsia="Times New Roman" w:hAnsi="Times New Roman" w:cs="Times New Roman"/>
          <w:sz w:val="24"/>
          <w:szCs w:val="24"/>
        </w:rPr>
        <w:t xml:space="preserve"> described methods. </w:t>
      </w:r>
    </w:p>
    <w:p w:rsidR="00322745" w14:paraId="0927149A" w14:textId="77777777">
      <w:pPr>
        <w:spacing w:after="0" w:line="240" w:lineRule="auto"/>
        <w:rPr>
          <w:rFonts w:ascii="Times New Roman" w:eastAsia="Times New Roman" w:hAnsi="Times New Roman" w:cs="Times New Roman"/>
          <w:color w:val="000000"/>
          <w:sz w:val="24"/>
          <w:szCs w:val="24"/>
        </w:rPr>
      </w:pPr>
    </w:p>
    <w:p w:rsidR="00322745" w14:paraId="0927149B"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color w:val="000000"/>
          <w:sz w:val="24"/>
          <w:szCs w:val="24"/>
        </w:rPr>
        <w:t xml:space="preserve"> interview will last no longer than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0 minutes and will be conducted virtually via Zoom, an online </w:t>
      </w:r>
      <w:r>
        <w:rPr>
          <w:rFonts w:ascii="Times New Roman" w:eastAsia="Times New Roman" w:hAnsi="Times New Roman" w:cs="Times New Roman"/>
          <w:sz w:val="24"/>
          <w:szCs w:val="24"/>
        </w:rPr>
        <w:t>video conferencing</w:t>
      </w:r>
      <w:r>
        <w:rPr>
          <w:rFonts w:ascii="Times New Roman" w:eastAsia="Times New Roman" w:hAnsi="Times New Roman" w:cs="Times New Roman"/>
          <w:color w:val="000000"/>
          <w:sz w:val="24"/>
          <w:szCs w:val="24"/>
        </w:rPr>
        <w:t xml:space="preserve"> platform</w:t>
      </w:r>
      <w:r>
        <w:rPr>
          <w:rFonts w:ascii="Times New Roman" w:eastAsia="Times New Roman" w:hAnsi="Times New Roman" w:cs="Times New Roman"/>
          <w:sz w:val="24"/>
          <w:szCs w:val="24"/>
        </w:rPr>
        <w:t>, for convenience to participants.</w:t>
      </w:r>
      <w:r>
        <w:rPr>
          <w:rFonts w:ascii="Times New Roman" w:eastAsia="Times New Roman" w:hAnsi="Times New Roman" w:cs="Times New Roman"/>
          <w:color w:val="000000"/>
          <w:sz w:val="24"/>
          <w:szCs w:val="24"/>
        </w:rPr>
        <w:t xml:space="preserve"> Each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or interview will be audio-</w:t>
      </w:r>
      <w:r>
        <w:rPr>
          <w:rFonts w:ascii="Times New Roman" w:eastAsia="Times New Roman" w:hAnsi="Times New Roman" w:cs="Times New Roman"/>
          <w:color w:val="000000"/>
          <w:sz w:val="24"/>
          <w:szCs w:val="24"/>
        </w:rPr>
        <w:t>recorded</w:t>
      </w:r>
      <w:r>
        <w:rPr>
          <w:rFonts w:ascii="Times New Roman" w:eastAsia="Times New Roman" w:hAnsi="Times New Roman" w:cs="Times New Roman"/>
          <w:color w:val="000000"/>
          <w:sz w:val="24"/>
          <w:szCs w:val="24"/>
        </w:rPr>
        <w:t xml:space="preserve"> and the data will be transferred and stored on a shared information system with access restricted to authorized study personnel.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sz w:val="24"/>
          <w:szCs w:val="24"/>
        </w:rPr>
        <w:t xml:space="preserve"> interview participants will be provided with a copy of the informed consent document for review before the focus group or interview. Once participants have joined the Zoom meeting, </w:t>
      </w:r>
      <w:r>
        <w:rPr>
          <w:rFonts w:ascii="Times New Roman" w:eastAsia="Times New Roman" w:hAnsi="Times New Roman" w:cs="Times New Roman"/>
          <w:color w:val="000000"/>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facil</w:t>
      </w:r>
      <w:r>
        <w:rPr>
          <w:rFonts w:ascii="Times New Roman" w:eastAsia="Times New Roman" w:hAnsi="Times New Roman" w:cs="Times New Roman"/>
          <w:color w:val="000000"/>
          <w:sz w:val="24"/>
          <w:szCs w:val="24"/>
        </w:rPr>
        <w:t>itator will introduce themselves, describe the study, review the informed consent document, and answer any questions participants may have. After obtaining verbal consent f</w:t>
      </w:r>
      <w:r>
        <w:rPr>
          <w:rFonts w:ascii="Times New Roman" w:eastAsia="Times New Roman" w:hAnsi="Times New Roman" w:cs="Times New Roman"/>
          <w:sz w:val="24"/>
          <w:szCs w:val="24"/>
        </w:rPr>
        <w:t>rom participants</w:t>
      </w:r>
      <w:r>
        <w:rPr>
          <w:rFonts w:ascii="Times New Roman" w:eastAsia="Times New Roman" w:hAnsi="Times New Roman" w:cs="Times New Roman"/>
          <w:color w:val="000000"/>
          <w:sz w:val="24"/>
          <w:szCs w:val="24"/>
        </w:rPr>
        <w:t xml:space="preserve">, the facilitator will follow a predetermined list of </w:t>
      </w:r>
      <w:r>
        <w:rPr>
          <w:rFonts w:ascii="Times New Roman" w:eastAsia="Times New Roman" w:hAnsi="Times New Roman" w:cs="Times New Roman"/>
          <w:sz w:val="24"/>
          <w:szCs w:val="24"/>
        </w:rPr>
        <w:t>questions</w:t>
      </w:r>
      <w:r>
        <w:rPr>
          <w:rFonts w:ascii="Times New Roman" w:eastAsia="Times New Roman" w:hAnsi="Times New Roman" w:cs="Times New Roman"/>
          <w:color w:val="000000"/>
          <w:sz w:val="24"/>
          <w:szCs w:val="24"/>
        </w:rPr>
        <w:t xml:space="preserve"> to guide the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or interview. Each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or interview </w:t>
      </w:r>
      <w:r>
        <w:rPr>
          <w:rFonts w:ascii="Times New Roman" w:eastAsia="Times New Roman" w:hAnsi="Times New Roman" w:cs="Times New Roman"/>
          <w:color w:val="000000"/>
          <w:sz w:val="24"/>
          <w:szCs w:val="24"/>
        </w:rPr>
        <w:t>will be transcribed and imported into qualitat</w:t>
      </w:r>
      <w:r>
        <w:rPr>
          <w:rFonts w:ascii="Times New Roman" w:eastAsia="Times New Roman" w:hAnsi="Times New Roman" w:cs="Times New Roman"/>
          <w:sz w:val="24"/>
          <w:szCs w:val="24"/>
        </w:rPr>
        <w:t xml:space="preserve">ive data analysis software (e.g., </w:t>
      </w:r>
      <w:r>
        <w:rPr>
          <w:rFonts w:ascii="Times New Roman" w:eastAsia="Times New Roman" w:hAnsi="Times New Roman" w:cs="Times New Roman"/>
          <w:sz w:val="24"/>
          <w:szCs w:val="24"/>
        </w:rPr>
        <w:t>Atlas.ti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for coding, with personally identifying information (PII) removed.</w:t>
      </w:r>
    </w:p>
    <w:p w:rsidR="00322745" w14:paraId="0927149C" w14:textId="77777777">
      <w:pPr>
        <w:spacing w:after="0" w:line="240" w:lineRule="auto"/>
        <w:rPr>
          <w:rFonts w:ascii="Times New Roman" w:eastAsia="Times New Roman" w:hAnsi="Times New Roman" w:cs="Times New Roman"/>
          <w:color w:val="000000"/>
          <w:sz w:val="24"/>
          <w:szCs w:val="24"/>
        </w:rPr>
      </w:pPr>
    </w:p>
    <w:p w:rsidR="00322745" w14:paraId="0927149D"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Analysis of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and interview data will utilize </w:t>
      </w:r>
      <w:r>
        <w:rPr>
          <w:rFonts w:ascii="Times New Roman" w:eastAsia="Times New Roman" w:hAnsi="Times New Roman" w:cs="Times New Roman"/>
          <w:sz w:val="24"/>
          <w:szCs w:val="24"/>
        </w:rPr>
        <w:t>thematic</w:t>
      </w:r>
      <w:r>
        <w:rPr>
          <w:rFonts w:ascii="Times New Roman" w:eastAsia="Times New Roman" w:hAnsi="Times New Roman" w:cs="Times New Roman"/>
          <w:color w:val="000000"/>
          <w:sz w:val="24"/>
          <w:szCs w:val="24"/>
        </w:rPr>
        <w:t xml:space="preserve"> analysis strategies to answer the research questions and identify translatable findings into communication strategies. A codebook will be developed consisting o</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 deductive and inductive codes to identify and compare themes within and across </w:t>
      </w:r>
      <w:r>
        <w:rPr>
          <w:rFonts w:ascii="Times New Roman" w:eastAsia="Times New Roman" w:hAnsi="Times New Roman" w:cs="Times New Roman"/>
          <w:sz w:val="24"/>
          <w:szCs w:val="24"/>
        </w:rPr>
        <w:t>focus groups</w:t>
      </w:r>
      <w:r>
        <w:rPr>
          <w:rFonts w:ascii="Times New Roman" w:eastAsia="Times New Roman" w:hAnsi="Times New Roman" w:cs="Times New Roman"/>
          <w:color w:val="000000"/>
          <w:sz w:val="24"/>
          <w:szCs w:val="24"/>
        </w:rPr>
        <w:t>. The same will be done t</w:t>
      </w:r>
      <w:r>
        <w:rPr>
          <w:rFonts w:ascii="Times New Roman" w:eastAsia="Times New Roman" w:hAnsi="Times New Roman" w:cs="Times New Roman"/>
          <w:sz w:val="24"/>
          <w:szCs w:val="24"/>
        </w:rPr>
        <w:t>o code interview data.</w:t>
      </w:r>
    </w:p>
    <w:p w:rsidR="00322745" w14:paraId="0927149E" w14:textId="77777777">
      <w:pPr>
        <w:spacing w:after="0" w:line="240" w:lineRule="auto"/>
        <w:rPr>
          <w:rFonts w:ascii="Times New Roman" w:eastAsia="Times New Roman" w:hAnsi="Times New Roman" w:cs="Times New Roman"/>
          <w:sz w:val="24"/>
          <w:szCs w:val="24"/>
        </w:rPr>
      </w:pPr>
    </w:p>
    <w:p w:rsidR="00322745" w14:paraId="0927149F"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Findings from the survey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focus groups, and interviews will be compiled into a report that will highlight themes and recommendations for message and material development. </w:t>
      </w:r>
    </w:p>
    <w:p w:rsidR="00322745" w14:paraId="092714A0" w14:textId="77777777">
      <w:pPr>
        <w:pStyle w:val="Heading1"/>
      </w:pPr>
      <w:bookmarkStart w:id="2" w:name="_heading=h.f6yt73j6nzmf" w:colFirst="0" w:colLast="0"/>
      <w:bookmarkEnd w:id="2"/>
    </w:p>
    <w:p w:rsidR="00322745" w14:paraId="092714A1" w14:textId="77777777">
      <w:pPr>
        <w:pStyle w:val="Heading1"/>
      </w:pPr>
      <w:r>
        <w:t>3. Methods to Maximize Response Rates and Deal with No Response</w:t>
      </w:r>
    </w:p>
    <w:p w:rsidR="00322745" w14:paraId="092714A2" w14:textId="77777777">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Survey Monkey’s extensive participant panels, and ability to actively recruit participants throughout the survey period based on participation metrics, will help maximize the survey response rate.</w:t>
      </w:r>
    </w:p>
    <w:p w:rsidR="00322745" w14:paraId="092714A3" w14:textId="00221128">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focus group and interview participant will receive a gift card as a token of appreciation </w:t>
      </w:r>
      <w:r w:rsidR="005F195A">
        <w:rPr>
          <w:rFonts w:ascii="Times New Roman" w:eastAsia="Times New Roman" w:hAnsi="Times New Roman" w:cs="Times New Roman"/>
          <w:sz w:val="24"/>
          <w:szCs w:val="24"/>
        </w:rPr>
        <w:t>for their</w:t>
      </w:r>
      <w:r>
        <w:rPr>
          <w:rFonts w:ascii="Times New Roman" w:eastAsia="Times New Roman" w:hAnsi="Times New Roman" w:cs="Times New Roman"/>
          <w:sz w:val="24"/>
          <w:szCs w:val="24"/>
        </w:rPr>
        <w:t xml:space="preserve"> participation. Providing incentives to respondents is necessary to successfully recruit individuals. Incentives can increase the likelihood of obtaining a diverse sample of participants, which would include individuals in hard-to-reach and minority populations who encounter complex social problems that place limitations on their desire and time to volunteer for research studies (Ellard-Gray et al. 2015; Knoll et al. 2012).</w:t>
      </w:r>
    </w:p>
    <w:p w:rsidR="00322745" w14:paraId="092714A4" w14:textId="77777777">
      <w:pPr>
        <w:pStyle w:val="Heading1"/>
      </w:pPr>
      <w:bookmarkStart w:id="3" w:name="_heading=h.h0okte30r3a5" w:colFirst="0" w:colLast="0"/>
      <w:bookmarkEnd w:id="3"/>
      <w:r>
        <w:t>4. Tests of Procedures or Methods to be Undertaken</w:t>
      </w:r>
    </w:p>
    <w:p w:rsidR="00322745" w14:paraId="092714A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To inform the data collection instruments (survey questionnaire, focus group guide, interview guide), the consulting agency held meetings with DVP and NCIPC staff to identify priority audiences for ACEs messaging, determine communication priorities for each priority audience, and prioritize ACEs messaging for data collection.</w:t>
      </w:r>
    </w:p>
    <w:p w:rsidR="00322745" w14:paraId="092714A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study, the survey, focus group, and interview questions were reviewed by multiple staff within the consulting agency and by multiple staff within NCIPC and DVP. </w:t>
      </w:r>
    </w:p>
    <w:p w:rsidR="00322745" w14:paraId="092714A7" w14:textId="77777777">
      <w:pPr>
        <w:keepNext/>
        <w:rPr>
          <w:rFonts w:ascii="Times New Roman" w:eastAsia="Times New Roman" w:hAnsi="Times New Roman" w:cs="Times New Roman"/>
          <w:i/>
          <w:sz w:val="24"/>
          <w:szCs w:val="24"/>
        </w:rPr>
      </w:pPr>
      <w:r>
        <w:rPr>
          <w:rFonts w:ascii="Times New Roman" w:eastAsia="Times New Roman" w:hAnsi="Times New Roman" w:cs="Times New Roman"/>
          <w:i/>
          <w:sz w:val="24"/>
          <w:szCs w:val="24"/>
        </w:rPr>
        <w:t>Survey</w:t>
      </w:r>
    </w:p>
    <w:p w:rsidR="00322745" w14:paraId="092714A8"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within the survey intend to: </w:t>
      </w:r>
    </w:p>
    <w:p w:rsidR="00322745" w14:paraId="092714A9" w14:textId="77777777">
      <w:pPr>
        <w:numPr>
          <w:ilvl w:val="0"/>
          <w:numId w:val="1"/>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Uncover</w:t>
      </w:r>
      <w:r>
        <w:rPr>
          <w:rFonts w:ascii="Times New Roman" w:eastAsia="Times New Roman" w:hAnsi="Times New Roman" w:cs="Times New Roman"/>
          <w:color w:val="000000"/>
          <w:sz w:val="24"/>
          <w:szCs w:val="24"/>
        </w:rPr>
        <w:t xml:space="preserve"> vari</w:t>
      </w:r>
      <w:r>
        <w:rPr>
          <w:rFonts w:ascii="Times New Roman" w:eastAsia="Times New Roman" w:hAnsi="Times New Roman" w:cs="Times New Roman"/>
          <w:sz w:val="24"/>
          <w:szCs w:val="24"/>
        </w:rPr>
        <w:t xml:space="preserve">ations in </w:t>
      </w:r>
      <w:r>
        <w:rPr>
          <w:rFonts w:ascii="Times New Roman" w:eastAsia="Times New Roman" w:hAnsi="Times New Roman" w:cs="Times New Roman"/>
          <w:color w:val="000000"/>
          <w:sz w:val="24"/>
          <w:szCs w:val="24"/>
        </w:rPr>
        <w:t>a</w:t>
      </w:r>
      <w:r>
        <w:rPr>
          <w:rFonts w:ascii="Times New Roman" w:eastAsia="Times New Roman" w:hAnsi="Times New Roman" w:cs="Times New Roman"/>
          <w:sz w:val="24"/>
          <w:szCs w:val="24"/>
        </w:rPr>
        <w:t xml:space="preserve">udience knowledge, opinions, and </w:t>
      </w:r>
      <w:r>
        <w:rPr>
          <w:rFonts w:ascii="Times New Roman" w:eastAsia="Times New Roman" w:hAnsi="Times New Roman" w:cs="Times New Roman"/>
          <w:sz w:val="24"/>
          <w:szCs w:val="24"/>
        </w:rPr>
        <w:t>perceptions of ACEs and their prevention.</w:t>
      </w:r>
    </w:p>
    <w:p w:rsidR="00322745" w14:paraId="092714AA"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variations of similar ACEs prevention messages to ascertain which resonates with the audience and produces the intended response. </w:t>
      </w:r>
    </w:p>
    <w:p w:rsidR="00322745" w14:paraId="092714AB"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audience response to ACEs prevention messages in terms of understanding, agreement, memorability, and importance. </w:t>
      </w:r>
    </w:p>
    <w:p w:rsidR="00322745" w14:paraId="092714AC"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audience reactions to example images and/or graphics that accompany specific ACEs prevention messages.</w:t>
      </w:r>
    </w:p>
    <w:p w:rsidR="00322745" w14:paraId="092714AD" w14:textId="77777777">
      <w:pPr>
        <w:spacing w:after="0" w:line="276" w:lineRule="auto"/>
        <w:rPr>
          <w:rFonts w:ascii="Times New Roman" w:eastAsia="Times New Roman" w:hAnsi="Times New Roman" w:cs="Times New Roman"/>
          <w:color w:val="000000"/>
          <w:sz w:val="24"/>
          <w:szCs w:val="24"/>
        </w:rPr>
      </w:pPr>
    </w:p>
    <w:p w:rsidR="00322745" w14:paraId="092714AE" w14:textId="77777777">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Focus Groups</w:t>
      </w:r>
    </w:p>
    <w:p w:rsidR="00322745" w14:paraId="092714A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in the focus group guides intend to: </w:t>
      </w:r>
    </w:p>
    <w:p w:rsidR="00322745" w14:paraId="092714B0"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Gain a greater understanding in and facilitate discussion of audience knowledge, opinions, and perceptions of ACEs prevention across audience subsets. </w:t>
      </w:r>
    </w:p>
    <w:p w:rsidR="00322745" w14:paraId="092714B1"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Gain a greater understanding of audiences’ reactions to and opinions on ACEs prevention messages.</w:t>
      </w:r>
    </w:p>
    <w:p w:rsidR="00322745" w14:paraId="092714B2" w14:textId="77777777">
      <w:pPr>
        <w:spacing w:after="0" w:line="276" w:lineRule="auto"/>
        <w:rPr>
          <w:rFonts w:ascii="Times New Roman" w:eastAsia="Times New Roman" w:hAnsi="Times New Roman" w:cs="Times New Roman"/>
          <w:sz w:val="24"/>
          <w:szCs w:val="24"/>
        </w:rPr>
      </w:pPr>
    </w:p>
    <w:p w:rsidR="00322745" w14:paraId="092714B3" w14:textId="77777777">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Interviews</w:t>
      </w:r>
    </w:p>
    <w:p w:rsidR="00322745" w14:paraId="092714B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in the interview guide intend to: </w:t>
      </w:r>
    </w:p>
    <w:p w:rsidR="00322745" w14:paraId="092714B5"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Gain a greater understanding in and facilitate discussion of CDC partner opinions, and perceptions of ACEs prevention across their organization, networks, and audiences. </w:t>
      </w:r>
    </w:p>
    <w:p w:rsidR="00322745" w14:paraId="092714B6"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Gain a greater understanding of CDC partners’ </w:t>
      </w:r>
      <w:r>
        <w:rPr>
          <w:rFonts w:ascii="Times New Roman" w:eastAsia="Times New Roman" w:hAnsi="Times New Roman" w:cs="Times New Roman"/>
          <w:sz w:val="24"/>
          <w:szCs w:val="24"/>
        </w:rPr>
        <w:t>reactions to and opinions on ACEs prevention messages.</w:t>
      </w:r>
    </w:p>
    <w:p w:rsidR="00322745" w14:paraId="092714B7" w14:textId="77777777">
      <w:pPr>
        <w:spacing w:after="0" w:line="276" w:lineRule="auto"/>
        <w:rPr>
          <w:rFonts w:ascii="Times New Roman" w:eastAsia="Times New Roman" w:hAnsi="Times New Roman" w:cs="Times New Roman"/>
          <w:sz w:val="24"/>
          <w:szCs w:val="24"/>
        </w:rPr>
      </w:pPr>
    </w:p>
    <w:p w:rsidR="00322745" w14:paraId="092714B8" w14:textId="77777777">
      <w:pPr>
        <w:spacing w:after="0" w:line="276" w:lineRule="auto"/>
        <w:ind w:left="720"/>
        <w:rPr>
          <w:rFonts w:ascii="Times New Roman" w:eastAsia="Times New Roman" w:hAnsi="Times New Roman" w:cs="Times New Roman"/>
          <w:sz w:val="24"/>
          <w:szCs w:val="24"/>
        </w:rPr>
      </w:pPr>
    </w:p>
    <w:p w:rsidR="00322745" w14:paraId="092714B9" w14:textId="77777777">
      <w:pPr>
        <w:pStyle w:val="Heading1"/>
      </w:pPr>
      <w:bookmarkStart w:id="4" w:name="_heading=h.bhcgbbmjgk1l" w:colFirst="0" w:colLast="0"/>
      <w:bookmarkEnd w:id="4"/>
      <w:r>
        <w:t>5. Individuals Consulted on Statistical Aspects/Individuals Collecting and/or Analyzing Data</w:t>
      </w:r>
    </w:p>
    <w:p w:rsidR="00322745" w:rsidP="005F195A" w14:paraId="092714BA" w14:textId="5C0B11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collection request does not employ advanced statistical methods. CDC staff consulted are in the National Center for Injury Prevention and Control (NCIPC) and the Division of Violence Prevention (DVP), </w:t>
      </w:r>
      <w:r>
        <w:rPr>
          <w:rFonts w:ascii="Times New Roman" w:eastAsia="Times New Roman" w:hAnsi="Times New Roman" w:cs="Times New Roman"/>
          <w:sz w:val="24"/>
          <w:szCs w:val="24"/>
        </w:rPr>
        <w:t>including:</w:t>
      </w:r>
      <w:r>
        <w:rPr>
          <w:rFonts w:ascii="Times New Roman" w:eastAsia="Times New Roman" w:hAnsi="Times New Roman" w:cs="Times New Roman"/>
          <w:sz w:val="24"/>
          <w:szCs w:val="24"/>
        </w:rPr>
        <w:t xml:space="preserve"> Tessa Burton, Brooke A</w:t>
      </w:r>
      <w:r w:rsidR="00893E9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pinwall, Sarah Roby, Carmen Goman, and Amanda Baynes. These staff are involved in a similar </w:t>
      </w:r>
      <w:r w:rsidR="00893E9D">
        <w:rPr>
          <w:rFonts w:ascii="Times New Roman" w:eastAsia="Times New Roman" w:hAnsi="Times New Roman" w:cs="Times New Roman"/>
          <w:sz w:val="24"/>
          <w:szCs w:val="24"/>
        </w:rPr>
        <w:t xml:space="preserve">ongoing </w:t>
      </w:r>
      <w:r>
        <w:rPr>
          <w:rFonts w:ascii="Times New Roman" w:eastAsia="Times New Roman" w:hAnsi="Times New Roman" w:cs="Times New Roman"/>
          <w:sz w:val="24"/>
          <w:szCs w:val="24"/>
        </w:rPr>
        <w:t xml:space="preserve">study to test messages related to preventing child abuse and </w:t>
      </w:r>
      <w:bookmarkStart w:id="5" w:name="_Hlk173943411"/>
      <w:r>
        <w:rPr>
          <w:rFonts w:ascii="Times New Roman" w:eastAsia="Times New Roman" w:hAnsi="Times New Roman" w:cs="Times New Roman"/>
          <w:sz w:val="24"/>
          <w:szCs w:val="24"/>
        </w:rPr>
        <w:t>neglect (</w:t>
      </w:r>
      <w:r w:rsidRPr="005F195A" w:rsidR="005F195A">
        <w:rPr>
          <w:rFonts w:ascii="Times New Roman" w:eastAsia="Times New Roman" w:hAnsi="Times New Roman" w:cs="Times New Roman"/>
          <w:sz w:val="24"/>
          <w:szCs w:val="24"/>
        </w:rPr>
        <w:t>Child Abuse and Neglect Prevention Message Development (CAN)</w:t>
      </w:r>
      <w:r>
        <w:rPr>
          <w:rFonts w:ascii="Times New Roman" w:eastAsia="Times New Roman" w:hAnsi="Times New Roman" w:cs="Times New Roman"/>
          <w:sz w:val="24"/>
          <w:szCs w:val="24"/>
        </w:rPr>
        <w:t xml:space="preserve">), which was approved by </w:t>
      </w:r>
      <w:r>
        <w:rPr>
          <w:rFonts w:ascii="Times New Roman" w:eastAsia="Times New Roman" w:hAnsi="Times New Roman" w:cs="Times New Roman"/>
          <w:sz w:val="24"/>
          <w:szCs w:val="24"/>
        </w:rPr>
        <w:t>OMB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2/13/2024 </w:t>
      </w:r>
      <w:r>
        <w:rPr>
          <w:rFonts w:ascii="Times New Roman" w:eastAsia="Times New Roman" w:hAnsi="Times New Roman" w:cs="Times New Roman"/>
          <w:sz w:val="24"/>
          <w:szCs w:val="24"/>
        </w:rPr>
        <w:t xml:space="preserve">under </w:t>
      </w:r>
      <w:r w:rsidR="005F195A">
        <w:rPr>
          <w:rFonts w:ascii="Times New Roman" w:eastAsia="Times New Roman" w:hAnsi="Times New Roman" w:cs="Times New Roman"/>
          <w:sz w:val="24"/>
          <w:szCs w:val="24"/>
        </w:rPr>
        <w:t>“</w:t>
      </w:r>
      <w:r w:rsidRPr="005F195A" w:rsidR="005F195A">
        <w:rPr>
          <w:rFonts w:ascii="Times New Roman" w:eastAsia="Times New Roman" w:hAnsi="Times New Roman" w:cs="Times New Roman"/>
          <w:sz w:val="24"/>
          <w:szCs w:val="24"/>
        </w:rPr>
        <w:t>Generic Clearance for CDC/ATSDR</w:t>
      </w:r>
      <w:r w:rsidR="005F195A">
        <w:rPr>
          <w:rFonts w:ascii="Times New Roman" w:eastAsia="Times New Roman" w:hAnsi="Times New Roman" w:cs="Times New Roman"/>
          <w:sz w:val="24"/>
          <w:szCs w:val="24"/>
        </w:rPr>
        <w:t xml:space="preserve"> </w:t>
      </w:r>
      <w:r w:rsidRPr="005F195A" w:rsidR="005F195A">
        <w:rPr>
          <w:rFonts w:ascii="Times New Roman" w:eastAsia="Times New Roman" w:hAnsi="Times New Roman" w:cs="Times New Roman"/>
          <w:sz w:val="24"/>
          <w:szCs w:val="24"/>
        </w:rPr>
        <w:t>Formative Research and Tool Development</w:t>
      </w:r>
      <w:r w:rsidR="005F195A">
        <w:rPr>
          <w:rFonts w:ascii="Times New Roman" w:eastAsia="Times New Roman" w:hAnsi="Times New Roman" w:cs="Times New Roman"/>
          <w:sz w:val="24"/>
          <w:szCs w:val="24"/>
        </w:rPr>
        <w:t>” (</w:t>
      </w:r>
      <w:r w:rsidRPr="005F195A" w:rsidR="005F195A">
        <w:rPr>
          <w:rFonts w:ascii="Times New Roman" w:eastAsia="Times New Roman" w:hAnsi="Times New Roman" w:cs="Times New Roman"/>
          <w:sz w:val="24"/>
          <w:szCs w:val="24"/>
        </w:rPr>
        <w:t>OMB# 0920-1154</w:t>
      </w:r>
      <w:r w:rsidR="005F195A">
        <w:rPr>
          <w:rFonts w:ascii="Times New Roman" w:eastAsia="Times New Roman" w:hAnsi="Times New Roman" w:cs="Times New Roman"/>
          <w:sz w:val="24"/>
          <w:szCs w:val="24"/>
        </w:rPr>
        <w:t>).</w:t>
      </w:r>
      <w:bookmarkEnd w:id="5"/>
      <w:r>
        <w:rPr>
          <w:rFonts w:ascii="Times New Roman" w:eastAsia="Times New Roman" w:hAnsi="Times New Roman" w:cs="Times New Roman"/>
          <w:sz w:val="24"/>
          <w:szCs w:val="24"/>
        </w:rPr>
        <w:t>. These staff were consulted about the methodological design of the study being proposed. Their recommendations were incorporated into the study design and instruments on an ongoing basis. The health communications consultancy will be responsible for overseeing and executing the data collection and analysis.</w:t>
      </w:r>
    </w:p>
    <w:p w:rsidR="00322745" w14:paraId="092714BB"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22745" w14:paraId="092714BC" w14:textId="77777777">
      <w:pPr>
        <w:rPr>
          <w:rFonts w:ascii="Times New Roman" w:eastAsia="Times New Roman" w:hAnsi="Times New Roman" w:cs="Times New Roman"/>
          <w:b/>
          <w:sz w:val="24"/>
          <w:szCs w:val="24"/>
        </w:rPr>
      </w:pPr>
    </w:p>
    <w:p w:rsidR="00322745" w14:paraId="092714BD" w14:textId="77777777">
      <w:pPr>
        <w:rPr>
          <w:rFonts w:ascii="Times New Roman" w:eastAsia="Times New Roman" w:hAnsi="Times New Roman" w:cs="Times New Roman"/>
          <w:b/>
          <w:sz w:val="24"/>
          <w:szCs w:val="24"/>
        </w:rPr>
      </w:pPr>
    </w:p>
    <w:p w:rsidR="00322745" w14:paraId="092714BE" w14:textId="77777777">
      <w:pPr>
        <w:rPr>
          <w:rFonts w:ascii="Times New Roman" w:eastAsia="Times New Roman" w:hAnsi="Times New Roman" w:cs="Times New Roman"/>
          <w:b/>
          <w:sz w:val="24"/>
          <w:szCs w:val="24"/>
        </w:rPr>
      </w:pPr>
    </w:p>
    <w:p w:rsidR="00322745" w14:paraId="092714BF" w14:textId="77777777">
      <w:pPr>
        <w:rPr>
          <w:rFonts w:ascii="Times New Roman" w:eastAsia="Times New Roman" w:hAnsi="Times New Roman" w:cs="Times New Roman"/>
          <w:b/>
          <w:sz w:val="24"/>
          <w:szCs w:val="24"/>
        </w:rPr>
      </w:pPr>
    </w:p>
    <w:p w:rsidR="00322745" w14:paraId="092714C0"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322745" w14:paraId="092714C1"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Ellard-Gray, A., </w:t>
      </w:r>
      <w:r>
        <w:rPr>
          <w:rFonts w:ascii="Times New Roman" w:eastAsia="Times New Roman" w:hAnsi="Times New Roman" w:cs="Times New Roman"/>
          <w:sz w:val="24"/>
          <w:szCs w:val="24"/>
        </w:rPr>
        <w:t xml:space="preserve">Jeffrey, N. K., </w:t>
      </w:r>
      <w:r>
        <w:rPr>
          <w:rFonts w:ascii="Times New Roman" w:eastAsia="Times New Roman" w:hAnsi="Times New Roman" w:cs="Times New Roman"/>
          <w:sz w:val="24"/>
          <w:szCs w:val="24"/>
        </w:rPr>
        <w:t>Choubak</w:t>
      </w:r>
      <w:r>
        <w:rPr>
          <w:rFonts w:ascii="Times New Roman" w:eastAsia="Times New Roman" w:hAnsi="Times New Roman" w:cs="Times New Roman"/>
          <w:sz w:val="24"/>
          <w:szCs w:val="24"/>
        </w:rPr>
        <w:t xml:space="preserve">, M., &amp; </w:t>
      </w:r>
      <w:r>
        <w:rPr>
          <w:rFonts w:ascii="Times New Roman" w:eastAsia="Times New Roman" w:hAnsi="Times New Roman" w:cs="Times New Roman"/>
          <w:sz w:val="24"/>
          <w:szCs w:val="24"/>
        </w:rPr>
        <w:t>Crann</w:t>
      </w:r>
      <w:r>
        <w:rPr>
          <w:rFonts w:ascii="Times New Roman" w:eastAsia="Times New Roman" w:hAnsi="Times New Roman" w:cs="Times New Roman"/>
          <w:sz w:val="24"/>
          <w:szCs w:val="24"/>
        </w:rPr>
        <w:t>, S. E. (2015). Finding the Hidden Participant: Solutions for Recruiting Hidden, Hard-to-Reach, and Vulnerable Populations. International Journal of Qualitative Methods, 14(5), 1609406915621420. https://doi.org/10.1177/1609406915621420</w:t>
      </w:r>
    </w:p>
    <w:p w:rsidR="00322745" w14:paraId="092714C2"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Knoll, M., </w:t>
      </w:r>
      <w:r>
        <w:rPr>
          <w:rFonts w:ascii="Times New Roman" w:eastAsia="Times New Roman" w:hAnsi="Times New Roman" w:cs="Times New Roman"/>
          <w:sz w:val="24"/>
          <w:szCs w:val="24"/>
        </w:rPr>
        <w:t>Soller</w:t>
      </w:r>
      <w:r>
        <w:rPr>
          <w:rFonts w:ascii="Times New Roman" w:eastAsia="Times New Roman" w:hAnsi="Times New Roman" w:cs="Times New Roman"/>
          <w:sz w:val="24"/>
          <w:szCs w:val="24"/>
        </w:rPr>
        <w:t>, L., Ben-</w:t>
      </w:r>
      <w:r>
        <w:rPr>
          <w:rFonts w:ascii="Times New Roman" w:eastAsia="Times New Roman" w:hAnsi="Times New Roman" w:cs="Times New Roman"/>
          <w:sz w:val="24"/>
          <w:szCs w:val="24"/>
        </w:rPr>
        <w:t>Shoshan</w:t>
      </w:r>
      <w:r>
        <w:rPr>
          <w:rFonts w:ascii="Times New Roman" w:eastAsia="Times New Roman" w:hAnsi="Times New Roman" w:cs="Times New Roman"/>
          <w:sz w:val="24"/>
          <w:szCs w:val="24"/>
        </w:rPr>
        <w:t>, M. et al. The use of incentives in vulnerable populations for a telephone survey: a randomized controlled trial. BMC Res Notes 5, 572 (2012). https://doi.org/10.1186/1756-0500-5-572</w:t>
      </w:r>
    </w:p>
    <w:p w:rsidR="00322745" w14:paraId="092714C3"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22745" w14:paraId="092714C8"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22745" w14:paraId="092714C9" w14:textId="77777777">
    <w:pPr>
      <w:spacing w:after="0" w:line="240" w:lineRule="auto"/>
      <w:rPr>
        <w:rFonts w:ascii="Times New Roman" w:eastAsia="Times New Roman" w:hAnsi="Times New Roman" w:cs="Times New Roman"/>
        <w:sz w:val="24"/>
        <w:szCs w:val="24"/>
      </w:rPr>
    </w:pPr>
  </w:p>
  <w:p w:rsidR="00322745" w14:paraId="092714CA"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22745" w14:paraId="092714CC"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22745" w14:paraId="092714C4"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22745" w14:paraId="092714C5" w14:textId="445202E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54C49">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322745" w14:paraId="092714C6"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Supporting Statement B</w:t>
    </w:r>
  </w:p>
  <w:p w:rsidR="00322745" w14:paraId="092714C7"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22745" w14:paraId="092714CB"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3B420C9B"/>
    <w:multiLevelType w:val="multilevel"/>
    <w:tmpl w:val="A8BCBC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733101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ngel, Karen C. (CDC/NCIPC/OD)">
    <w15:presenceInfo w15:providerId="AD" w15:userId="S::IDY6@cdc.gov::aaf2cd64-8db1-4ab4-86b1-72f6d8ff8d47"/>
  </w15:person>
  <w15:person w15:author="Hoch, Kimberly (CDC/NCIPC/OD)">
    <w15:presenceInfo w15:providerId="AD" w15:userId="S::prg0@cdc.gov::211334d0-6496-402f-bb45-bc4350bce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45"/>
    <w:rsid w:val="00262FC0"/>
    <w:rsid w:val="00322745"/>
    <w:rsid w:val="00366C9D"/>
    <w:rsid w:val="005F195A"/>
    <w:rsid w:val="00893E9D"/>
    <w:rsid w:val="00C4796D"/>
    <w:rsid w:val="00D54C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27144F"/>
  <w15:docId w15:val="{F188FF9D-67E9-4F5F-8FF8-AD08FA29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562"/>
  </w:style>
  <w:style w:type="paragraph" w:styleId="Heading1">
    <w:name w:val="heading 1"/>
    <w:basedOn w:val="Normal"/>
    <w:next w:val="Normal"/>
    <w:uiPriority w:val="9"/>
    <w:qFormat/>
    <w:pPr>
      <w:keepNext/>
      <w:keepLines/>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30562"/>
    <w:pPr>
      <w:ind w:left="720"/>
      <w:contextualSpacing/>
    </w:pPr>
  </w:style>
  <w:style w:type="table" w:styleId="GridTable2">
    <w:name w:val="Grid Table 2"/>
    <w:basedOn w:val="TableNormal"/>
    <w:uiPriority w:val="47"/>
    <w:rsid w:val="00C3056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30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62"/>
    <w:rPr>
      <w:sz w:val="22"/>
      <w:szCs w:val="22"/>
    </w:rPr>
  </w:style>
  <w:style w:type="table" w:styleId="TableGrid">
    <w:name w:val="Table Grid"/>
    <w:basedOn w:val="TableNormal"/>
    <w:uiPriority w:val="59"/>
    <w:rsid w:val="00C30562"/>
    <w:pPr>
      <w:spacing w:line="30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30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62"/>
    <w:rPr>
      <w:sz w:val="22"/>
      <w:szCs w:val="22"/>
    </w:rPr>
  </w:style>
  <w:style w:type="paragraph" w:styleId="NormalWeb">
    <w:name w:val="Normal (Web)"/>
    <w:basedOn w:val="Normal"/>
    <w:uiPriority w:val="99"/>
    <w:semiHidden/>
    <w:unhideWhenUsed/>
    <w:rsid w:val="00C3056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D6F25"/>
    <w:rPr>
      <w:rFonts w:ascii="Times New Roman" w:hAnsi="Times New Roman"/>
    </w:rPr>
  </w:style>
  <w:style w:type="character" w:styleId="CommentReference">
    <w:name w:val="annotation reference"/>
    <w:basedOn w:val="DefaultParagraphFont"/>
    <w:uiPriority w:val="99"/>
    <w:semiHidden/>
    <w:unhideWhenUsed/>
    <w:rsid w:val="008C071D"/>
    <w:rPr>
      <w:sz w:val="16"/>
      <w:szCs w:val="16"/>
    </w:rPr>
  </w:style>
  <w:style w:type="paragraph" w:styleId="CommentText">
    <w:name w:val="annotation text"/>
    <w:basedOn w:val="Normal"/>
    <w:link w:val="CommentTextChar"/>
    <w:uiPriority w:val="99"/>
    <w:unhideWhenUsed/>
    <w:rsid w:val="008C071D"/>
    <w:pPr>
      <w:spacing w:line="240" w:lineRule="auto"/>
    </w:pPr>
    <w:rPr>
      <w:sz w:val="20"/>
      <w:szCs w:val="20"/>
    </w:rPr>
  </w:style>
  <w:style w:type="character" w:customStyle="1" w:styleId="CommentTextChar">
    <w:name w:val="Comment Text Char"/>
    <w:basedOn w:val="DefaultParagraphFont"/>
    <w:link w:val="CommentText"/>
    <w:uiPriority w:val="99"/>
    <w:rsid w:val="008C071D"/>
    <w:rPr>
      <w:sz w:val="20"/>
      <w:szCs w:val="20"/>
    </w:rPr>
  </w:style>
  <w:style w:type="paragraph" w:styleId="CommentSubject">
    <w:name w:val="annotation subject"/>
    <w:basedOn w:val="CommentText"/>
    <w:next w:val="CommentText"/>
    <w:link w:val="CommentSubjectChar"/>
    <w:uiPriority w:val="99"/>
    <w:semiHidden/>
    <w:unhideWhenUsed/>
    <w:rsid w:val="008C071D"/>
    <w:rPr>
      <w:b/>
      <w:bCs/>
    </w:rPr>
  </w:style>
  <w:style w:type="character" w:customStyle="1" w:styleId="CommentSubjectChar">
    <w:name w:val="Comment Subject Char"/>
    <w:basedOn w:val="CommentTextChar"/>
    <w:link w:val="CommentSubject"/>
    <w:uiPriority w:val="99"/>
    <w:semiHidden/>
    <w:rsid w:val="008C071D"/>
    <w:rPr>
      <w:b/>
      <w:bCs/>
      <w:sz w:val="20"/>
      <w:szCs w:val="20"/>
    </w:rPr>
  </w:style>
  <w:style w:type="table" w:styleId="GridTableLight">
    <w:name w:val="Grid Table Light"/>
    <w:basedOn w:val="TableNormal"/>
    <w:uiPriority w:val="40"/>
    <w:rsid w:val="008C07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C07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line="300" w:lineRule="auto"/>
    </w:pPr>
    <w:rPr>
      <w:sz w:val="20"/>
      <w:szCs w:val="20"/>
    </w:rPr>
    <w:tblPr>
      <w:tblStyleRowBandSize w:val="1"/>
      <w:tblStyleColBandSize w:val="1"/>
    </w:tblPr>
  </w:style>
  <w:style w:type="table" w:customStyle="1" w:styleId="a0">
    <w:name w:val="a0"/>
    <w:basedOn w:val="TableNormal"/>
    <w:pPr>
      <w:spacing w:line="300" w:lineRule="auto"/>
    </w:pPr>
    <w:rPr>
      <w:sz w:val="20"/>
      <w:szCs w:val="20"/>
    </w:rPr>
    <w:tblPr>
      <w:tblStyleRowBandSize w:val="1"/>
      <w:tblStyleColBandSize w:val="1"/>
    </w:tblPr>
  </w:style>
  <w:style w:type="paragraph" w:styleId="Revision">
    <w:name w:val="Revision"/>
    <w:hidden/>
    <w:uiPriority w:val="99"/>
    <w:semiHidden/>
    <w:rsid w:val="00157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8VcsSNzAwti/q75OcuWLI2RoQ==">CgMxLjAyDmguZ3JsNHY0NDZ2YWg1Mg5oLmNvYmszM3loeDJoeTIOaC5mNnl0NzNqNm56bWYyDmguaDBva3RlMzByM2E1Mg5oLmJoY2diYm1qZ2sxbDgAai4KFHN1Z2dlc3QuZ3pwdGF2aG15ZDlpEhZTaGFyYW55YSBUaHVtbWFsYXBhbGx5ai4KFHN1Z2dlc3QuOHRoYW0ybmp4Y3owEhZTaGFyYW55YSBUaHVtbWFsYXBhbGx5ai4KFHN1Z2dlc3QucWR0a2dmNTEwa2JyEhZTaGFyYW55YSBUaHVtbWFsYXBhbGx5ai4KFHN1Z2dlc3QucG00MTQ2aXA2N2k3EhZTaGFyYW55YSBUaHVtbWFsYXBhbGx5ai4KFHN1Z2dlc3QuMjBuOTZlc2h4OGdqEhZTaGFyYW55YSBUaHVtbWFsYXBhbGx5ai4KFHN1Z2dlc3QuYWhpMXZ0eW9lZzQ1EhZTaGFyYW55YSBUaHVtbWFsYXBhbGx5ciExUm1xQjFCYWdfZFNweWxic2UwRy1rZUdGdjJtOHg4UX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CFFA01-E96C-4587-962D-69A498C78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41532-A705-4E36-BEBB-C2C8A3220867}">
  <ds:schemaRefs>
    <ds:schemaRef ds:uri="http://schemas.microsoft.com/sharepoint/v3/contenttype/forms"/>
  </ds:schemaRefs>
</ds:datastoreItem>
</file>

<file path=customXml/itemProps4.xml><?xml version="1.0" encoding="utf-8"?>
<ds:datastoreItem xmlns:ds="http://schemas.openxmlformats.org/officeDocument/2006/customXml" ds:itemID="{77BD16CB-2E22-4753-9C56-645C6349C635}">
  <ds:schemaRefs>
    <ds:schemaRef ds:uri="http://schemas.microsoft.com/office/2006/metadata/properties"/>
    <ds:schemaRef ds:uri="http://schemas.microsoft.com/office/infopath/2007/PartnerControls"/>
    <ds:schemaRef ds:uri="24c1f93a-bc89-4f80-99bb-591904bc9400"/>
    <ds:schemaRef ds:uri="2fb1b662-f59d-4b16-9d61-2106d813860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BanyanComm2</dc:creator>
  <cp:lastModifiedBy>Angel, Karen C. (CDC/NCIPC/OD)</cp:lastModifiedBy>
  <cp:revision>5</cp:revision>
  <dcterms:created xsi:type="dcterms:W3CDTF">2022-01-21T23:26:00Z</dcterms:created>
  <dcterms:modified xsi:type="dcterms:W3CDTF">2024-08-07T21:20:00Z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MediaServiceImageTags">
    <vt:lpwstr>MediaServiceImageTags</vt:lpwstr>
  </property>
  <property fmtid="{D5CDD505-2E9C-101B-9397-08002B2CF9AE}" pid="4" name="MSIP_Label_7b94a7b8-f06c-4dfe-bdcc-9b548fd58c31_ActionId">
    <vt:lpwstr>14275103-b967-461a-8f30-0becbbb54b90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2023-08-29T23:13:26Z</vt:lpwstr>
  </property>
  <property fmtid="{D5CDD505-2E9C-101B-9397-08002B2CF9AE}" pid="10" name="MSIP_Label_7b94a7b8-f06c-4dfe-bdcc-9b548fd58c31_SiteId">
    <vt:lpwstr>9ce70869-60db-44fd-abe8-d2767077fc8f</vt:lpwstr>
  </property>
</Properties>
</file>