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E8F" w:rsidP="008368F6" w14:paraId="02B917ED" w14:textId="77777777">
      <w:bookmarkStart w:id="0" w:name="_Toc473880015"/>
    </w:p>
    <w:p w:rsidR="00587E8F" w:rsidP="008368F6" w14:paraId="11D790C7" w14:textId="77777777">
      <w:pPr>
        <w:jc w:val="center"/>
        <w:rPr>
          <w:b/>
        </w:rPr>
      </w:pPr>
    </w:p>
    <w:p w:rsidR="00587E8F" w:rsidRPr="005F75B7" w:rsidP="008368F6" w14:paraId="15D9E62F" w14:textId="77777777">
      <w:pPr>
        <w:spacing w:after="0"/>
        <w:jc w:val="center"/>
        <w:rPr>
          <w:b/>
          <w:sz w:val="32"/>
          <w:szCs w:val="32"/>
        </w:rPr>
      </w:pPr>
      <w:r w:rsidRPr="005F75B7">
        <w:rPr>
          <w:b/>
          <w:sz w:val="32"/>
          <w:szCs w:val="32"/>
        </w:rPr>
        <w:t>GenIC</w:t>
      </w:r>
      <w:r w:rsidRPr="005F75B7">
        <w:rPr>
          <w:b/>
          <w:sz w:val="32"/>
          <w:szCs w:val="32"/>
        </w:rPr>
        <w:t xml:space="preserve"> Clearance for CDC/ATSDR</w:t>
      </w:r>
    </w:p>
    <w:p w:rsidR="00587E8F" w:rsidRPr="005F75B7" w:rsidP="008368F6" w14:paraId="636052EB" w14:textId="77777777">
      <w:pPr>
        <w:jc w:val="center"/>
        <w:rPr>
          <w:b/>
          <w:sz w:val="32"/>
          <w:szCs w:val="32"/>
        </w:rPr>
      </w:pPr>
      <w:r w:rsidRPr="005F75B7">
        <w:rPr>
          <w:b/>
          <w:sz w:val="32"/>
          <w:szCs w:val="32"/>
        </w:rPr>
        <w:t>Formative Research and Tool Development</w:t>
      </w:r>
    </w:p>
    <w:p w:rsidR="00587E8F" w:rsidP="008368F6" w14:paraId="0159E3E8" w14:textId="77777777"/>
    <w:p w:rsidR="00F92937" w:rsidRPr="005F75B7" w:rsidP="008368F6" w14:paraId="59921BBA" w14:textId="77777777">
      <w:pPr>
        <w:pStyle w:val="Heading2"/>
        <w:spacing w:line="276" w:lineRule="auto"/>
        <w:rPr>
          <w:sz w:val="48"/>
          <w:szCs w:val="48"/>
        </w:rPr>
      </w:pPr>
      <w:bookmarkStart w:id="1" w:name="_Hlk156815961"/>
      <w:bookmarkEnd w:id="0"/>
      <w:r>
        <w:rPr>
          <w:sz w:val="48"/>
          <w:szCs w:val="48"/>
        </w:rPr>
        <w:t>Formative Communications Assessment on Antimicrobial Resistance</w:t>
      </w:r>
    </w:p>
    <w:bookmarkEnd w:id="1"/>
    <w:p w:rsidR="00587E8F" w:rsidRPr="004A13E8" w:rsidP="008368F6" w14:paraId="444716CA" w14:textId="77777777">
      <w:pPr>
        <w:pStyle w:val="Heading3"/>
        <w:spacing w:line="276" w:lineRule="auto"/>
      </w:pPr>
      <w:r>
        <w:t>OMB Control No. 0920-1154</w:t>
      </w:r>
    </w:p>
    <w:p w:rsidR="00587E8F" w:rsidP="008368F6" w14:paraId="7642228A" w14:textId="77777777">
      <w:pPr>
        <w:spacing w:after="0"/>
        <w:jc w:val="center"/>
        <w:rPr>
          <w:b/>
        </w:rPr>
      </w:pPr>
    </w:p>
    <w:p w:rsidR="00902146" w:rsidRPr="004A13E8" w:rsidP="008368F6" w14:paraId="3E9B5982" w14:textId="35681802">
      <w:pPr>
        <w:pStyle w:val="Heading4"/>
        <w:spacing w:line="276" w:lineRule="auto"/>
      </w:pPr>
      <w:r>
        <w:t xml:space="preserve">February </w:t>
      </w:r>
      <w:r w:rsidR="009E4347">
        <w:t>12</w:t>
      </w:r>
      <w:r>
        <w:t>, 2024</w:t>
      </w:r>
    </w:p>
    <w:p w:rsidR="00587E8F" w:rsidP="008368F6" w14:paraId="7F5EF1F0" w14:textId="77777777">
      <w:pPr>
        <w:spacing w:after="0"/>
        <w:rPr>
          <w:b/>
        </w:rPr>
      </w:pPr>
    </w:p>
    <w:p w:rsidR="00587E8F" w:rsidP="008368F6" w14:paraId="787473FA" w14:textId="77777777"/>
    <w:p w:rsidR="00587E8F" w:rsidP="008368F6" w14:paraId="26923E53" w14:textId="77777777"/>
    <w:p w:rsidR="00587E8F" w:rsidP="008368F6" w14:paraId="536DBD69" w14:textId="77777777"/>
    <w:p w:rsidR="00587E8F" w:rsidP="008368F6" w14:paraId="34083505" w14:textId="77777777">
      <w:pPr>
        <w:spacing w:after="0"/>
        <w:jc w:val="center"/>
        <w:rPr>
          <w:b/>
        </w:rPr>
      </w:pPr>
    </w:p>
    <w:p w:rsidR="00587E8F" w:rsidP="008368F6" w14:paraId="39E6CC6B" w14:textId="2DB24099">
      <w:pPr>
        <w:pStyle w:val="Heading4"/>
        <w:spacing w:line="276" w:lineRule="auto"/>
      </w:pPr>
      <w:r>
        <w:t xml:space="preserve">Supporting Statement </w:t>
      </w:r>
      <w:r w:rsidR="00CF79DB">
        <w:t>B</w:t>
      </w:r>
    </w:p>
    <w:p w:rsidR="00587E8F" w:rsidP="008368F6" w14:paraId="663D0946" w14:textId="77777777">
      <w:pPr>
        <w:spacing w:after="0"/>
        <w:rPr>
          <w:b/>
        </w:rPr>
      </w:pPr>
    </w:p>
    <w:p w:rsidR="00587E8F" w:rsidP="008368F6" w14:paraId="4E99AB8E" w14:textId="77777777">
      <w:pPr>
        <w:spacing w:after="0"/>
        <w:rPr>
          <w:b/>
        </w:rPr>
      </w:pPr>
    </w:p>
    <w:p w:rsidR="00587E8F" w:rsidP="008368F6" w14:paraId="78573A5A" w14:textId="77777777">
      <w:pPr>
        <w:spacing w:after="0"/>
        <w:rPr>
          <w:b/>
        </w:rPr>
      </w:pPr>
    </w:p>
    <w:p w:rsidR="00587E8F" w:rsidP="008368F6" w14:paraId="456691BF" w14:textId="77777777">
      <w:pPr>
        <w:spacing w:after="0"/>
        <w:rPr>
          <w:b/>
        </w:rPr>
      </w:pPr>
    </w:p>
    <w:p w:rsidR="00587E8F" w:rsidP="008368F6" w14:paraId="0AF21A64" w14:textId="77777777">
      <w:pPr>
        <w:spacing w:after="0"/>
        <w:rPr>
          <w:b/>
        </w:rPr>
      </w:pPr>
    </w:p>
    <w:p w:rsidR="00587E8F" w:rsidP="008368F6" w14:paraId="04EB252E" w14:textId="77777777">
      <w:pPr>
        <w:spacing w:after="0"/>
        <w:rPr>
          <w:b/>
        </w:rPr>
      </w:pPr>
    </w:p>
    <w:p w:rsidR="00587E8F" w:rsidP="008368F6" w14:paraId="4BFE07B0" w14:textId="77777777">
      <w:pPr>
        <w:spacing w:after="0"/>
        <w:rPr>
          <w:b/>
        </w:rPr>
      </w:pPr>
    </w:p>
    <w:p w:rsidR="00587E8F" w:rsidP="008368F6" w14:paraId="7B32E633" w14:textId="77777777">
      <w:pPr>
        <w:spacing w:after="0"/>
        <w:rPr>
          <w:b/>
        </w:rPr>
      </w:pPr>
    </w:p>
    <w:p w:rsidR="00902146" w:rsidP="008368F6" w14:paraId="2DC0F42B" w14:textId="77777777">
      <w:pPr>
        <w:spacing w:after="0"/>
        <w:rPr>
          <w:b/>
        </w:rPr>
      </w:pPr>
    </w:p>
    <w:p w:rsidR="00587E8F" w:rsidP="008368F6" w14:paraId="6AB63B0B" w14:textId="77777777">
      <w:pPr>
        <w:spacing w:after="0"/>
        <w:rPr>
          <w:b/>
        </w:rPr>
      </w:pPr>
    </w:p>
    <w:p w:rsidR="00587E8F" w:rsidP="008368F6" w14:paraId="73691A4D" w14:textId="77777777">
      <w:pPr>
        <w:spacing w:after="0"/>
        <w:rPr>
          <w:b/>
        </w:rPr>
      </w:pPr>
    </w:p>
    <w:p w:rsidR="00982D03" w:rsidRPr="009A79E1" w:rsidP="008368F6" w14:paraId="1B8BD39D" w14:textId="77777777">
      <w:pPr>
        <w:pStyle w:val="NoSpacing"/>
        <w:spacing w:line="276" w:lineRule="auto"/>
        <w:rPr>
          <w:b/>
        </w:rPr>
      </w:pPr>
      <w:r w:rsidRPr="009A79E1">
        <w:rPr>
          <w:b/>
        </w:rPr>
        <w:t xml:space="preserve">Contact: </w:t>
      </w:r>
    </w:p>
    <w:p w:rsidR="00982D03" w:rsidRPr="004A13E8" w:rsidP="008368F6" w14:paraId="5E41EC74" w14:textId="77777777">
      <w:pPr>
        <w:pStyle w:val="NoSpacing"/>
        <w:spacing w:line="276" w:lineRule="auto"/>
      </w:pPr>
      <w:r>
        <w:t>Rudith Vice</w:t>
      </w:r>
    </w:p>
    <w:p w:rsidR="00982D03" w:rsidRPr="004A13E8" w:rsidP="008368F6" w14:paraId="2218F463" w14:textId="77777777">
      <w:pPr>
        <w:pStyle w:val="NoSpacing"/>
        <w:spacing w:line="276" w:lineRule="auto"/>
      </w:pPr>
      <w:r w:rsidRPr="004A13E8">
        <w:t xml:space="preserve">National Center for Emerging and Zoonotic Infectious Diseases </w:t>
      </w:r>
    </w:p>
    <w:p w:rsidR="00982D03" w:rsidRPr="004A13E8" w:rsidP="008368F6" w14:paraId="32643010" w14:textId="77777777">
      <w:pPr>
        <w:pStyle w:val="NoSpacing"/>
        <w:spacing w:line="276" w:lineRule="auto"/>
      </w:pPr>
      <w:r w:rsidRPr="004A13E8">
        <w:t xml:space="preserve">Centers for Disease Control and Prevention </w:t>
      </w:r>
    </w:p>
    <w:p w:rsidR="00982D03" w:rsidRPr="004A13E8" w:rsidP="008368F6" w14:paraId="4894B532" w14:textId="77777777">
      <w:pPr>
        <w:pStyle w:val="NoSpacing"/>
        <w:spacing w:line="276" w:lineRule="auto"/>
      </w:pPr>
      <w:r w:rsidRPr="004A13E8">
        <w:t xml:space="preserve">1600 Clifton Road, NE </w:t>
      </w:r>
    </w:p>
    <w:p w:rsidR="00982D03" w:rsidRPr="004A13E8" w:rsidP="008368F6" w14:paraId="0BF821C6" w14:textId="77777777">
      <w:pPr>
        <w:pStyle w:val="NoSpacing"/>
        <w:spacing w:line="276" w:lineRule="auto"/>
      </w:pPr>
      <w:r w:rsidRPr="004A13E8">
        <w:t xml:space="preserve">Atlanta, Georgia 30333 </w:t>
      </w:r>
    </w:p>
    <w:p w:rsidR="00982D03" w:rsidRPr="004A13E8" w:rsidP="008368F6" w14:paraId="49345DE7" w14:textId="77777777">
      <w:pPr>
        <w:pStyle w:val="NoSpacing"/>
        <w:spacing w:line="276" w:lineRule="auto"/>
      </w:pPr>
      <w:r w:rsidRPr="004A13E8">
        <w:t>Phone: (</w:t>
      </w:r>
      <w:r>
        <w:t>404)718-7292</w:t>
      </w:r>
      <w:r w:rsidRPr="004A13E8">
        <w:t xml:space="preserve"> </w:t>
      </w:r>
    </w:p>
    <w:p w:rsidR="00982D03" w:rsidP="008368F6" w14:paraId="790350DD" w14:textId="77777777">
      <w:pPr>
        <w:pStyle w:val="NoSpacing"/>
        <w:spacing w:line="276" w:lineRule="auto"/>
      </w:pPr>
      <w:r w:rsidRPr="004A6DE8">
        <w:t xml:space="preserve">Email: </w:t>
      </w:r>
      <w:hyperlink r:id="rId9" w:history="1">
        <w:r w:rsidRPr="008F330E">
          <w:rPr>
            <w:rStyle w:val="Hyperlink"/>
          </w:rPr>
          <w:t>nhr9@cdc.gov</w:t>
        </w:r>
      </w:hyperlink>
      <w: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8368F6" w14:paraId="214C435C" w14:textId="77777777">
          <w:pPr>
            <w:pStyle w:val="Heading4"/>
            <w:spacing w:line="276" w:lineRule="auto"/>
            <w:rPr>
              <w:sz w:val="28"/>
              <w:szCs w:val="28"/>
            </w:rPr>
          </w:pPr>
          <w:r w:rsidRPr="00F97F2F">
            <w:rPr>
              <w:sz w:val="28"/>
              <w:szCs w:val="28"/>
            </w:rPr>
            <w:t>Table of Contents</w:t>
          </w:r>
        </w:p>
        <w:p w:rsidR="00352CEE" w:rsidP="008368F6"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P="008368F6"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rsidP="008368F6"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rsidP="008368F6"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rsidP="008368F6"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rsidP="008368F6"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8368F6" w14:paraId="383B4AD2" w14:textId="77777777">
          <w:pPr>
            <w:rPr>
              <w:bCs/>
              <w:noProof/>
            </w:rPr>
          </w:pPr>
          <w:r>
            <w:rPr>
              <w:b/>
              <w:bCs/>
              <w:noProof/>
            </w:rPr>
            <w:fldChar w:fldCharType="end"/>
          </w:r>
        </w:p>
      </w:sdtContent>
    </w:sdt>
    <w:p w:rsidR="00F44AC6" w:rsidP="008368F6" w14:paraId="3FABEACB" w14:textId="7E94AC05">
      <w:bookmarkStart w:id="2" w:name="_Toc473882440"/>
      <w:r w:rsidRPr="00EF256D">
        <w:t xml:space="preserve">The proposed data collection will only involve statistical methods to sample respondents for the survey with policy influencers. The </w:t>
      </w:r>
      <w:r w:rsidRPr="00EF256D" w:rsidR="00DE40FB">
        <w:t>sampling</w:t>
      </w:r>
      <w:r w:rsidRPr="00EF256D">
        <w:t xml:space="preserve"> methods are </w:t>
      </w:r>
      <w:r w:rsidRPr="00EF256D" w:rsidR="00DE40FB">
        <w:t xml:space="preserve">detailed in Section </w:t>
      </w:r>
      <w:r w:rsidRPr="00EF256D" w:rsidR="008C7991">
        <w:t>1</w:t>
      </w:r>
      <w:r w:rsidRPr="00EF256D" w:rsidR="00DE40FB">
        <w:t xml:space="preserve">. </w:t>
      </w:r>
      <w:r w:rsidRPr="00EF256D">
        <w:t xml:space="preserve">The qualitative data collection will not employ any statistical methods. For all methodologies, no statistical generalizations will be made beyond the </w:t>
      </w:r>
      <w:r w:rsidRPr="00EF256D">
        <w:t>particular respondents</w:t>
      </w:r>
      <w:r w:rsidRPr="00EF256D">
        <w:t>.</w:t>
      </w:r>
    </w:p>
    <w:p w:rsidR="00352CEE" w:rsidP="008368F6" w14:paraId="214C4364" w14:textId="77777777">
      <w:pPr>
        <w:pStyle w:val="Heading1"/>
        <w:spacing w:line="276" w:lineRule="auto"/>
      </w:pPr>
      <w:r>
        <w:t>Respondent Universe and Sampling Methods</w:t>
      </w:r>
      <w:bookmarkEnd w:id="2"/>
    </w:p>
    <w:p w:rsidR="00D5600C" w:rsidRPr="00384C05" w:rsidP="008368F6" w14:paraId="3AB75814" w14:textId="70E61516">
      <w:pPr>
        <w:rPr>
          <w:b/>
          <w:bCs/>
        </w:rPr>
      </w:pPr>
      <w:bookmarkStart w:id="3" w:name="_Hlk156997159"/>
      <w:r w:rsidRPr="00384C05">
        <w:rPr>
          <w:b/>
          <w:bCs/>
        </w:rPr>
        <w:t>A. Respondent Universe</w:t>
      </w:r>
    </w:p>
    <w:bookmarkEnd w:id="3"/>
    <w:p w:rsidR="00F92937" w:rsidP="008368F6" w14:paraId="775CB199" w14:textId="783E04A6">
      <w:pPr>
        <w:spacing w:after="0"/>
      </w:pPr>
      <w:r>
        <w:t xml:space="preserve">Data collection </w:t>
      </w:r>
      <w:r>
        <w:t>involves</w:t>
      </w:r>
      <w:r>
        <w:t xml:space="preserve"> three overarching audiences: human health providers, consumers, and policy influencers.</w:t>
      </w:r>
      <w:r w:rsidR="001A7BC0">
        <w:t xml:space="preserve"> The data collection involves focus groups (FGs), in-depth interviews (IDIs), and a survey.</w:t>
      </w:r>
      <w:r>
        <w:t xml:space="preserve"> </w:t>
      </w:r>
      <w:r w:rsidR="001A7BC0">
        <w:t>All data collection will be completed by a contractor, KRC Research. See Table 1 for a summary of data collection activities for all audiences.</w:t>
      </w:r>
    </w:p>
    <w:p w:rsidR="008E16F7" w:rsidRPr="00BD1E2D" w:rsidP="008368F6" w14:paraId="22CEADFF" w14:textId="77777777">
      <w:pPr>
        <w:spacing w:after="0"/>
      </w:pPr>
    </w:p>
    <w:p w:rsidR="00081FD5" w:rsidRPr="00081FD5" w:rsidP="008368F6" w14:paraId="1E7A9395" w14:textId="4565D2FE">
      <w:pPr>
        <w:spacing w:after="0"/>
        <w:rPr>
          <w:i/>
          <w:iCs/>
        </w:rPr>
      </w:pPr>
      <w:r>
        <w:rPr>
          <w:i/>
          <w:iCs/>
        </w:rPr>
        <w:t>Table 1</w:t>
      </w:r>
      <w:r w:rsidR="00BD1E2D">
        <w:rPr>
          <w:i/>
          <w:iCs/>
        </w:rPr>
        <w:t>.</w:t>
      </w:r>
      <w:r>
        <w:rPr>
          <w:i/>
          <w:iCs/>
        </w:rPr>
        <w:t xml:space="preserve"> </w:t>
      </w:r>
      <w:r w:rsidR="00BD1E2D">
        <w:rPr>
          <w:i/>
          <w:iCs/>
        </w:rPr>
        <w:t>Audience and Methodology Overview</w:t>
      </w:r>
    </w:p>
    <w:tbl>
      <w:tblPr>
        <w:tblStyle w:val="TableGrid"/>
        <w:tblW w:w="94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8" w:type="dxa"/>
          <w:bottom w:w="58" w:type="dxa"/>
        </w:tblCellMar>
        <w:tblLook w:val="04A0"/>
      </w:tblPr>
      <w:tblGrid>
        <w:gridCol w:w="2605"/>
        <w:gridCol w:w="895"/>
        <w:gridCol w:w="2705"/>
        <w:gridCol w:w="887"/>
        <w:gridCol w:w="1163"/>
        <w:gridCol w:w="1151"/>
      </w:tblGrid>
      <w:tr w14:paraId="5EC36D07" w14:textId="77777777" w:rsidTr="008E16F7">
        <w:tblPrEx>
          <w:tblW w:w="94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8" w:type="dxa"/>
            <w:bottom w:w="58" w:type="dxa"/>
          </w:tblCellMar>
          <w:tblLook w:val="04A0"/>
        </w:tblPrEx>
        <w:trPr>
          <w:trHeight w:val="20"/>
        </w:trPr>
        <w:tc>
          <w:tcPr>
            <w:tcW w:w="3500" w:type="dxa"/>
            <w:gridSpan w:val="2"/>
            <w:tcBorders>
              <w:bottom w:val="single" w:sz="4" w:space="0" w:color="A6A6A6" w:themeColor="background1" w:themeShade="A6"/>
            </w:tcBorders>
            <w:shd w:val="clear" w:color="auto" w:fill="F2F2F2" w:themeFill="background1" w:themeFillShade="F2"/>
            <w:vAlign w:val="center"/>
          </w:tcPr>
          <w:p w:rsidR="00081FD5" w:rsidRPr="00081FD5" w:rsidP="008368F6" w14:paraId="034C6233" w14:textId="77777777">
            <w:pPr>
              <w:spacing w:line="276" w:lineRule="auto"/>
              <w:rPr>
                <w:rFonts w:cs="Times New Roman"/>
                <w:b/>
                <w:bCs/>
                <w:szCs w:val="24"/>
              </w:rPr>
            </w:pPr>
            <w:r w:rsidRPr="00081FD5">
              <w:rPr>
                <w:rFonts w:cs="Times New Roman"/>
                <w:b/>
                <w:bCs/>
                <w:szCs w:val="24"/>
              </w:rPr>
              <w:t>Human Health Providers</w:t>
            </w:r>
          </w:p>
        </w:tc>
        <w:tc>
          <w:tcPr>
            <w:tcW w:w="3592" w:type="dxa"/>
            <w:gridSpan w:val="2"/>
            <w:tcBorders>
              <w:bottom w:val="single" w:sz="4" w:space="0" w:color="A6A6A6" w:themeColor="background1" w:themeShade="A6"/>
            </w:tcBorders>
            <w:shd w:val="clear" w:color="auto" w:fill="F2F2F2" w:themeFill="background1" w:themeFillShade="F2"/>
            <w:vAlign w:val="center"/>
          </w:tcPr>
          <w:p w:rsidR="00081FD5" w:rsidRPr="00081FD5" w:rsidP="008368F6" w14:paraId="245FE09F" w14:textId="77777777">
            <w:pPr>
              <w:spacing w:line="276" w:lineRule="auto"/>
              <w:rPr>
                <w:rFonts w:cs="Times New Roman"/>
                <w:b/>
                <w:bCs/>
                <w:szCs w:val="24"/>
              </w:rPr>
            </w:pPr>
            <w:r w:rsidRPr="00081FD5">
              <w:rPr>
                <w:rFonts w:cs="Times New Roman"/>
                <w:b/>
                <w:bCs/>
                <w:szCs w:val="24"/>
              </w:rPr>
              <w:t>Consumers</w:t>
            </w:r>
          </w:p>
        </w:tc>
        <w:tc>
          <w:tcPr>
            <w:tcW w:w="2314" w:type="dxa"/>
            <w:gridSpan w:val="2"/>
            <w:tcBorders>
              <w:bottom w:val="single" w:sz="4" w:space="0" w:color="A6A6A6" w:themeColor="background1" w:themeShade="A6"/>
            </w:tcBorders>
            <w:shd w:val="clear" w:color="auto" w:fill="F2F2F2" w:themeFill="background1" w:themeFillShade="F2"/>
            <w:vAlign w:val="center"/>
          </w:tcPr>
          <w:p w:rsidR="00081FD5" w:rsidRPr="00081FD5" w:rsidP="008368F6" w14:paraId="0D39000B" w14:textId="3360FACC">
            <w:pPr>
              <w:spacing w:line="276" w:lineRule="auto"/>
              <w:rPr>
                <w:rFonts w:cs="Times New Roman"/>
                <w:b/>
                <w:bCs/>
                <w:szCs w:val="24"/>
              </w:rPr>
            </w:pPr>
            <w:r w:rsidRPr="00081FD5">
              <w:rPr>
                <w:rFonts w:cs="Times New Roman"/>
                <w:b/>
                <w:bCs/>
                <w:szCs w:val="24"/>
              </w:rPr>
              <w:t xml:space="preserve">Policy </w:t>
            </w:r>
            <w:r w:rsidR="00A208D4">
              <w:rPr>
                <w:rFonts w:cs="Times New Roman"/>
                <w:b/>
                <w:bCs/>
                <w:szCs w:val="24"/>
              </w:rPr>
              <w:t>Audiences</w:t>
            </w:r>
          </w:p>
        </w:tc>
      </w:tr>
      <w:tr w14:paraId="4B7F24B2" w14:textId="77777777" w:rsidTr="008E16F7">
        <w:tblPrEx>
          <w:tblW w:w="9406" w:type="dxa"/>
          <w:tblCellMar>
            <w:top w:w="58" w:type="dxa"/>
            <w:bottom w:w="58" w:type="dxa"/>
          </w:tblCellMar>
          <w:tblLook w:val="04A0"/>
        </w:tblPrEx>
        <w:trPr>
          <w:trHeight w:val="20"/>
        </w:trPr>
        <w:tc>
          <w:tcPr>
            <w:tcW w:w="2605" w:type="dxa"/>
            <w:tcBorders>
              <w:right w:val="nil"/>
            </w:tcBorders>
          </w:tcPr>
          <w:p w:rsidR="00081FD5" w:rsidRPr="00081FD5" w:rsidP="008368F6" w14:paraId="0A3A86E1" w14:textId="77777777">
            <w:pPr>
              <w:rPr>
                <w:rFonts w:cs="Times New Roman"/>
                <w:szCs w:val="24"/>
              </w:rPr>
            </w:pPr>
            <w:r w:rsidRPr="00081FD5">
              <w:rPr>
                <w:rFonts w:cs="Times New Roman"/>
                <w:szCs w:val="24"/>
              </w:rPr>
              <w:t>Primary care physicians</w:t>
            </w:r>
          </w:p>
        </w:tc>
        <w:tc>
          <w:tcPr>
            <w:tcW w:w="895" w:type="dxa"/>
            <w:tcBorders>
              <w:left w:val="nil"/>
            </w:tcBorders>
          </w:tcPr>
          <w:p w:rsidR="00081FD5" w:rsidRPr="00081FD5" w:rsidP="008368F6" w14:paraId="02551758" w14:textId="649C0C06">
            <w:pPr>
              <w:jc w:val="right"/>
              <w:rPr>
                <w:rFonts w:cs="Times New Roman"/>
                <w:szCs w:val="24"/>
              </w:rPr>
            </w:pPr>
            <w:r w:rsidRPr="00081FD5">
              <w:rPr>
                <w:rFonts w:cs="Times New Roman"/>
                <w:szCs w:val="24"/>
              </w:rPr>
              <w:t>1 F</w:t>
            </w:r>
            <w:r w:rsidR="00D5600C">
              <w:rPr>
                <w:rFonts w:cs="Times New Roman"/>
                <w:szCs w:val="24"/>
              </w:rPr>
              <w:t>G</w:t>
            </w:r>
          </w:p>
        </w:tc>
        <w:tc>
          <w:tcPr>
            <w:tcW w:w="2705" w:type="dxa"/>
            <w:tcBorders>
              <w:right w:val="nil"/>
            </w:tcBorders>
          </w:tcPr>
          <w:p w:rsidR="00081FD5" w:rsidRPr="00081FD5" w:rsidP="008368F6" w14:paraId="156D47E3" w14:textId="77777777">
            <w:pPr>
              <w:rPr>
                <w:rFonts w:cs="Times New Roman"/>
                <w:szCs w:val="24"/>
              </w:rPr>
            </w:pPr>
            <w:r w:rsidRPr="00081FD5">
              <w:rPr>
                <w:rFonts w:cs="Times New Roman"/>
                <w:szCs w:val="24"/>
              </w:rPr>
              <w:t>Younger adults age 20-39</w:t>
            </w:r>
          </w:p>
        </w:tc>
        <w:tc>
          <w:tcPr>
            <w:tcW w:w="887" w:type="dxa"/>
            <w:tcBorders>
              <w:left w:val="nil"/>
            </w:tcBorders>
          </w:tcPr>
          <w:p w:rsidR="00081FD5" w:rsidRPr="00081FD5" w:rsidP="008368F6" w14:paraId="1C6B9CCC" w14:textId="77777777">
            <w:pPr>
              <w:jc w:val="right"/>
              <w:rPr>
                <w:rFonts w:cs="Times New Roman"/>
                <w:szCs w:val="24"/>
              </w:rPr>
            </w:pPr>
            <w:r w:rsidRPr="00081FD5">
              <w:rPr>
                <w:rFonts w:cs="Times New Roman"/>
                <w:szCs w:val="24"/>
              </w:rPr>
              <w:t>1 FG</w:t>
            </w:r>
          </w:p>
        </w:tc>
        <w:tc>
          <w:tcPr>
            <w:tcW w:w="1163" w:type="dxa"/>
            <w:vMerge w:val="restart"/>
            <w:tcBorders>
              <w:bottom w:val="single" w:sz="4" w:space="0" w:color="A6A6A6" w:themeColor="background1" w:themeShade="A6"/>
              <w:right w:val="nil"/>
            </w:tcBorders>
          </w:tcPr>
          <w:p w:rsidR="00081FD5" w:rsidRPr="00081FD5" w:rsidP="43F2A99E" w14:paraId="676AF39B" w14:textId="3501EEF3">
            <w:pPr>
              <w:rPr>
                <w:rFonts w:cs="Times New Roman"/>
              </w:rPr>
            </w:pPr>
            <w:r w:rsidRPr="43F2A99E">
              <w:rPr>
                <w:rFonts w:cs="Times New Roman"/>
              </w:rPr>
              <w:t xml:space="preserve">Policy </w:t>
            </w:r>
            <w:r w:rsidR="00A208D4">
              <w:rPr>
                <w:rFonts w:cs="Times New Roman"/>
              </w:rPr>
              <w:t>audiences</w:t>
            </w:r>
          </w:p>
        </w:tc>
        <w:tc>
          <w:tcPr>
            <w:tcW w:w="1151" w:type="dxa"/>
            <w:vMerge w:val="restart"/>
            <w:tcBorders>
              <w:left w:val="nil"/>
              <w:bottom w:val="single" w:sz="4" w:space="0" w:color="A6A6A6" w:themeColor="background1" w:themeShade="A6"/>
            </w:tcBorders>
          </w:tcPr>
          <w:p w:rsidR="00081FD5" w:rsidRPr="00081FD5" w:rsidP="008368F6" w14:paraId="0D1075AD" w14:textId="77777777">
            <w:pPr>
              <w:jc w:val="right"/>
              <w:rPr>
                <w:rFonts w:cs="Times New Roman"/>
                <w:szCs w:val="24"/>
              </w:rPr>
            </w:pPr>
            <w:r w:rsidRPr="00081FD5">
              <w:rPr>
                <w:rFonts w:cs="Times New Roman"/>
                <w:szCs w:val="24"/>
              </w:rPr>
              <w:t>1 survey, n=100</w:t>
            </w:r>
          </w:p>
        </w:tc>
      </w:tr>
      <w:tr w14:paraId="6CE7EBC0" w14:textId="77777777" w:rsidTr="008E16F7">
        <w:tblPrEx>
          <w:tblW w:w="9406" w:type="dxa"/>
          <w:tblCellMar>
            <w:top w:w="58" w:type="dxa"/>
            <w:bottom w:w="58" w:type="dxa"/>
          </w:tblCellMar>
          <w:tblLook w:val="04A0"/>
        </w:tblPrEx>
        <w:trPr>
          <w:trHeight w:val="20"/>
        </w:trPr>
        <w:tc>
          <w:tcPr>
            <w:tcW w:w="2605" w:type="dxa"/>
            <w:tcBorders>
              <w:right w:val="nil"/>
            </w:tcBorders>
          </w:tcPr>
          <w:p w:rsidR="00081FD5" w:rsidRPr="00081FD5" w:rsidP="008368F6" w14:paraId="67AF9901" w14:textId="209D69A5">
            <w:pPr>
              <w:rPr>
                <w:rFonts w:cs="Times New Roman"/>
                <w:szCs w:val="24"/>
              </w:rPr>
            </w:pPr>
            <w:r w:rsidRPr="00081FD5">
              <w:rPr>
                <w:rFonts w:cs="Times New Roman"/>
                <w:szCs w:val="24"/>
              </w:rPr>
              <w:t>Primary care physician assistants</w:t>
            </w:r>
            <w:r w:rsidR="00A208D4">
              <w:rPr>
                <w:rFonts w:cs="Times New Roman"/>
                <w:szCs w:val="24"/>
              </w:rPr>
              <w:t>/associates</w:t>
            </w:r>
            <w:r w:rsidRPr="00081FD5">
              <w:rPr>
                <w:rFonts w:cs="Times New Roman"/>
                <w:szCs w:val="24"/>
              </w:rPr>
              <w:t xml:space="preserve"> (PAs) &amp; nurse practitioners (NPs)</w:t>
            </w:r>
          </w:p>
        </w:tc>
        <w:tc>
          <w:tcPr>
            <w:tcW w:w="895" w:type="dxa"/>
            <w:tcBorders>
              <w:left w:val="nil"/>
            </w:tcBorders>
          </w:tcPr>
          <w:p w:rsidR="00081FD5" w:rsidRPr="00081FD5" w:rsidP="008368F6" w14:paraId="568D9B1F" w14:textId="77777777">
            <w:pPr>
              <w:jc w:val="right"/>
              <w:rPr>
                <w:rFonts w:cs="Times New Roman"/>
                <w:szCs w:val="24"/>
              </w:rPr>
            </w:pPr>
            <w:r w:rsidRPr="00081FD5">
              <w:rPr>
                <w:rFonts w:cs="Times New Roman"/>
                <w:szCs w:val="24"/>
              </w:rPr>
              <w:t>1 FG</w:t>
            </w:r>
          </w:p>
        </w:tc>
        <w:tc>
          <w:tcPr>
            <w:tcW w:w="2705" w:type="dxa"/>
            <w:tcBorders>
              <w:right w:val="nil"/>
            </w:tcBorders>
          </w:tcPr>
          <w:p w:rsidR="00081FD5" w:rsidRPr="00081FD5" w:rsidP="008368F6" w14:paraId="1184D359" w14:textId="77777777">
            <w:pPr>
              <w:rPr>
                <w:rFonts w:cs="Times New Roman"/>
                <w:szCs w:val="24"/>
              </w:rPr>
            </w:pPr>
            <w:r w:rsidRPr="00081FD5">
              <w:rPr>
                <w:rFonts w:cs="Times New Roman"/>
                <w:szCs w:val="24"/>
              </w:rPr>
              <w:t>Older adults, age 60+</w:t>
            </w:r>
          </w:p>
        </w:tc>
        <w:tc>
          <w:tcPr>
            <w:tcW w:w="887" w:type="dxa"/>
            <w:tcBorders>
              <w:left w:val="nil"/>
            </w:tcBorders>
          </w:tcPr>
          <w:p w:rsidR="00081FD5" w:rsidRPr="00081FD5" w:rsidP="008368F6" w14:paraId="2FACC411" w14:textId="77777777">
            <w:pPr>
              <w:jc w:val="right"/>
              <w:rPr>
                <w:rFonts w:cs="Times New Roman"/>
                <w:szCs w:val="24"/>
              </w:rPr>
            </w:pPr>
            <w:r w:rsidRPr="00081FD5">
              <w:rPr>
                <w:rFonts w:cs="Times New Roman"/>
                <w:szCs w:val="24"/>
              </w:rPr>
              <w:t>1 FG</w:t>
            </w:r>
          </w:p>
        </w:tc>
        <w:tc>
          <w:tcPr>
            <w:tcW w:w="1163" w:type="dxa"/>
            <w:vMerge/>
            <w:tcBorders>
              <w:top w:val="single" w:sz="4" w:space="0" w:color="A6A6A6" w:themeColor="background1" w:themeShade="A6"/>
              <w:bottom w:val="single" w:sz="4" w:space="0" w:color="A6A6A6" w:themeColor="background1" w:themeShade="A6"/>
              <w:right w:val="nil"/>
            </w:tcBorders>
          </w:tcPr>
          <w:p w:rsidR="00081FD5" w:rsidRPr="00081FD5" w:rsidP="008368F6" w14:paraId="11EA85A3" w14:textId="77777777">
            <w:pPr>
              <w:rPr>
                <w:rFonts w:cs="Times New Roman"/>
                <w:szCs w:val="24"/>
              </w:rPr>
            </w:pPr>
          </w:p>
        </w:tc>
        <w:tc>
          <w:tcPr>
            <w:tcW w:w="1151" w:type="dxa"/>
            <w:vMerge/>
            <w:tcBorders>
              <w:top w:val="single" w:sz="4" w:space="0" w:color="A6A6A6" w:themeColor="background1" w:themeShade="A6"/>
              <w:left w:val="nil"/>
              <w:bottom w:val="single" w:sz="4" w:space="0" w:color="A6A6A6" w:themeColor="background1" w:themeShade="A6"/>
            </w:tcBorders>
          </w:tcPr>
          <w:p w:rsidR="00081FD5" w:rsidRPr="00081FD5" w:rsidP="008368F6" w14:paraId="6D15804D" w14:textId="77777777">
            <w:pPr>
              <w:jc w:val="right"/>
              <w:rPr>
                <w:rFonts w:cs="Times New Roman"/>
                <w:szCs w:val="24"/>
              </w:rPr>
            </w:pPr>
          </w:p>
        </w:tc>
      </w:tr>
      <w:tr w14:paraId="56821445" w14:textId="77777777" w:rsidTr="008E16F7">
        <w:tblPrEx>
          <w:tblW w:w="9406" w:type="dxa"/>
          <w:tblCellMar>
            <w:top w:w="58" w:type="dxa"/>
            <w:bottom w:w="58" w:type="dxa"/>
          </w:tblCellMar>
          <w:tblLook w:val="04A0"/>
        </w:tblPrEx>
        <w:trPr>
          <w:trHeight w:val="20"/>
        </w:trPr>
        <w:tc>
          <w:tcPr>
            <w:tcW w:w="2605" w:type="dxa"/>
            <w:tcBorders>
              <w:right w:val="nil"/>
            </w:tcBorders>
          </w:tcPr>
          <w:p w:rsidR="00081FD5" w:rsidRPr="00081FD5" w:rsidP="008368F6" w14:paraId="184C269A" w14:textId="77777777">
            <w:pPr>
              <w:rPr>
                <w:rFonts w:cs="Times New Roman"/>
                <w:szCs w:val="24"/>
              </w:rPr>
            </w:pPr>
            <w:r w:rsidRPr="00081FD5">
              <w:rPr>
                <w:rFonts w:cs="Times New Roman"/>
                <w:szCs w:val="24"/>
              </w:rPr>
              <w:t>Hospitalist physicians</w:t>
            </w:r>
          </w:p>
        </w:tc>
        <w:tc>
          <w:tcPr>
            <w:tcW w:w="895" w:type="dxa"/>
            <w:tcBorders>
              <w:left w:val="nil"/>
            </w:tcBorders>
          </w:tcPr>
          <w:p w:rsidR="00081FD5" w:rsidRPr="00081FD5" w:rsidP="008368F6" w14:paraId="3C71B38B" w14:textId="77777777">
            <w:pPr>
              <w:jc w:val="right"/>
              <w:rPr>
                <w:rFonts w:cs="Times New Roman"/>
                <w:szCs w:val="24"/>
              </w:rPr>
            </w:pPr>
            <w:r w:rsidRPr="00081FD5">
              <w:rPr>
                <w:rFonts w:cs="Times New Roman"/>
                <w:szCs w:val="24"/>
              </w:rPr>
              <w:t>1 FG</w:t>
            </w:r>
          </w:p>
        </w:tc>
        <w:tc>
          <w:tcPr>
            <w:tcW w:w="2705" w:type="dxa"/>
            <w:tcBorders>
              <w:right w:val="nil"/>
            </w:tcBorders>
          </w:tcPr>
          <w:p w:rsidR="00081FD5" w:rsidRPr="00081FD5" w:rsidP="008368F6" w14:paraId="7101ADEA" w14:textId="77777777">
            <w:pPr>
              <w:rPr>
                <w:rFonts w:cs="Times New Roman"/>
                <w:szCs w:val="24"/>
              </w:rPr>
            </w:pPr>
            <w:r w:rsidRPr="00081FD5">
              <w:rPr>
                <w:rFonts w:cs="Times New Roman"/>
                <w:szCs w:val="24"/>
              </w:rPr>
              <w:t>Parents of children age 0-6</w:t>
            </w:r>
          </w:p>
        </w:tc>
        <w:tc>
          <w:tcPr>
            <w:tcW w:w="887" w:type="dxa"/>
            <w:tcBorders>
              <w:left w:val="nil"/>
            </w:tcBorders>
          </w:tcPr>
          <w:p w:rsidR="00081FD5" w:rsidRPr="00081FD5" w:rsidP="008368F6" w14:paraId="6879E2B7" w14:textId="77777777">
            <w:pPr>
              <w:jc w:val="right"/>
              <w:rPr>
                <w:rFonts w:cs="Times New Roman"/>
                <w:szCs w:val="24"/>
              </w:rPr>
            </w:pPr>
            <w:r w:rsidRPr="00081FD5">
              <w:rPr>
                <w:rFonts w:cs="Times New Roman"/>
                <w:szCs w:val="24"/>
              </w:rPr>
              <w:t>1 FG</w:t>
            </w:r>
          </w:p>
        </w:tc>
        <w:tc>
          <w:tcPr>
            <w:tcW w:w="1163" w:type="dxa"/>
            <w:vMerge/>
            <w:tcBorders>
              <w:top w:val="single" w:sz="4" w:space="0" w:color="A6A6A6" w:themeColor="background1" w:themeShade="A6"/>
              <w:bottom w:val="single" w:sz="4" w:space="0" w:color="A6A6A6" w:themeColor="background1" w:themeShade="A6"/>
              <w:right w:val="nil"/>
            </w:tcBorders>
          </w:tcPr>
          <w:p w:rsidR="00081FD5" w:rsidRPr="00081FD5" w:rsidP="008368F6" w14:paraId="26FB784C" w14:textId="77777777">
            <w:pPr>
              <w:rPr>
                <w:rFonts w:cs="Times New Roman"/>
                <w:szCs w:val="24"/>
              </w:rPr>
            </w:pPr>
          </w:p>
        </w:tc>
        <w:tc>
          <w:tcPr>
            <w:tcW w:w="1151" w:type="dxa"/>
            <w:vMerge/>
            <w:tcBorders>
              <w:top w:val="single" w:sz="4" w:space="0" w:color="A6A6A6" w:themeColor="background1" w:themeShade="A6"/>
              <w:left w:val="nil"/>
              <w:bottom w:val="single" w:sz="4" w:space="0" w:color="A6A6A6" w:themeColor="background1" w:themeShade="A6"/>
            </w:tcBorders>
          </w:tcPr>
          <w:p w:rsidR="00081FD5" w:rsidRPr="00081FD5" w:rsidP="008368F6" w14:paraId="1842D214" w14:textId="77777777">
            <w:pPr>
              <w:jc w:val="right"/>
              <w:rPr>
                <w:rFonts w:cs="Times New Roman"/>
                <w:szCs w:val="24"/>
              </w:rPr>
            </w:pPr>
          </w:p>
        </w:tc>
      </w:tr>
      <w:tr w14:paraId="6DD2A4D8" w14:textId="77777777" w:rsidTr="008E16F7">
        <w:tblPrEx>
          <w:tblW w:w="9406" w:type="dxa"/>
          <w:tblCellMar>
            <w:top w:w="58" w:type="dxa"/>
            <w:bottom w:w="58" w:type="dxa"/>
          </w:tblCellMar>
          <w:tblLook w:val="04A0"/>
        </w:tblPrEx>
        <w:trPr>
          <w:trHeight w:val="20"/>
        </w:trPr>
        <w:tc>
          <w:tcPr>
            <w:tcW w:w="2605" w:type="dxa"/>
            <w:tcBorders>
              <w:right w:val="nil"/>
            </w:tcBorders>
          </w:tcPr>
          <w:p w:rsidR="00081FD5" w:rsidRPr="00081FD5" w:rsidP="008368F6" w14:paraId="57506E16" w14:textId="77777777">
            <w:pPr>
              <w:rPr>
                <w:rFonts w:cs="Times New Roman"/>
                <w:szCs w:val="24"/>
              </w:rPr>
            </w:pPr>
            <w:r w:rsidRPr="00081FD5">
              <w:rPr>
                <w:rFonts w:cs="Times New Roman"/>
                <w:szCs w:val="24"/>
              </w:rPr>
              <w:t>Hospital PAs and NPs</w:t>
            </w:r>
          </w:p>
        </w:tc>
        <w:tc>
          <w:tcPr>
            <w:tcW w:w="895" w:type="dxa"/>
            <w:tcBorders>
              <w:left w:val="nil"/>
            </w:tcBorders>
          </w:tcPr>
          <w:p w:rsidR="00081FD5" w:rsidRPr="00081FD5" w:rsidP="008368F6" w14:paraId="439C25B9" w14:textId="77777777">
            <w:pPr>
              <w:jc w:val="right"/>
              <w:rPr>
                <w:rFonts w:cs="Times New Roman"/>
                <w:szCs w:val="24"/>
              </w:rPr>
            </w:pPr>
            <w:r w:rsidRPr="00081FD5">
              <w:rPr>
                <w:rFonts w:cs="Times New Roman"/>
                <w:szCs w:val="24"/>
              </w:rPr>
              <w:t>1 FG</w:t>
            </w:r>
          </w:p>
        </w:tc>
        <w:tc>
          <w:tcPr>
            <w:tcW w:w="2705" w:type="dxa"/>
            <w:tcBorders>
              <w:right w:val="nil"/>
            </w:tcBorders>
          </w:tcPr>
          <w:p w:rsidR="00081FD5" w:rsidRPr="00081FD5" w:rsidP="008368F6" w14:paraId="585FFAFB" w14:textId="77777777">
            <w:pPr>
              <w:rPr>
                <w:rFonts w:cs="Times New Roman"/>
                <w:szCs w:val="24"/>
              </w:rPr>
            </w:pPr>
            <w:r w:rsidRPr="00081FD5">
              <w:rPr>
                <w:rFonts w:cs="Times New Roman"/>
                <w:szCs w:val="24"/>
              </w:rPr>
              <w:t>Caregivers of adults age 60+</w:t>
            </w:r>
          </w:p>
        </w:tc>
        <w:tc>
          <w:tcPr>
            <w:tcW w:w="887" w:type="dxa"/>
            <w:tcBorders>
              <w:left w:val="nil"/>
            </w:tcBorders>
          </w:tcPr>
          <w:p w:rsidR="00081FD5" w:rsidRPr="00081FD5" w:rsidP="008368F6" w14:paraId="752C41AD" w14:textId="77777777">
            <w:pPr>
              <w:jc w:val="right"/>
              <w:rPr>
                <w:rFonts w:cs="Times New Roman"/>
                <w:szCs w:val="24"/>
              </w:rPr>
            </w:pPr>
            <w:r w:rsidRPr="00081FD5">
              <w:rPr>
                <w:rFonts w:cs="Times New Roman"/>
                <w:szCs w:val="24"/>
              </w:rPr>
              <w:t>1 FG</w:t>
            </w:r>
          </w:p>
        </w:tc>
        <w:tc>
          <w:tcPr>
            <w:tcW w:w="1163" w:type="dxa"/>
            <w:vMerge/>
            <w:tcBorders>
              <w:top w:val="single" w:sz="4" w:space="0" w:color="A6A6A6" w:themeColor="background1" w:themeShade="A6"/>
              <w:bottom w:val="single" w:sz="4" w:space="0" w:color="A6A6A6" w:themeColor="background1" w:themeShade="A6"/>
              <w:right w:val="nil"/>
            </w:tcBorders>
          </w:tcPr>
          <w:p w:rsidR="00081FD5" w:rsidRPr="00081FD5" w:rsidP="008368F6" w14:paraId="3DE08987" w14:textId="77777777">
            <w:pPr>
              <w:rPr>
                <w:rFonts w:cs="Times New Roman"/>
                <w:szCs w:val="24"/>
              </w:rPr>
            </w:pPr>
          </w:p>
        </w:tc>
        <w:tc>
          <w:tcPr>
            <w:tcW w:w="1151" w:type="dxa"/>
            <w:vMerge/>
            <w:tcBorders>
              <w:top w:val="single" w:sz="4" w:space="0" w:color="A6A6A6" w:themeColor="background1" w:themeShade="A6"/>
              <w:left w:val="nil"/>
              <w:bottom w:val="single" w:sz="4" w:space="0" w:color="A6A6A6" w:themeColor="background1" w:themeShade="A6"/>
            </w:tcBorders>
          </w:tcPr>
          <w:p w:rsidR="00081FD5" w:rsidRPr="00081FD5" w:rsidP="008368F6" w14:paraId="6A08C74C" w14:textId="77777777">
            <w:pPr>
              <w:jc w:val="right"/>
              <w:rPr>
                <w:rFonts w:cs="Times New Roman"/>
                <w:szCs w:val="24"/>
              </w:rPr>
            </w:pPr>
          </w:p>
        </w:tc>
      </w:tr>
      <w:tr w14:paraId="616C209A" w14:textId="77777777" w:rsidTr="008E16F7">
        <w:tblPrEx>
          <w:tblW w:w="9406" w:type="dxa"/>
          <w:tblCellMar>
            <w:top w:w="58" w:type="dxa"/>
            <w:bottom w:w="58" w:type="dxa"/>
          </w:tblCellMar>
          <w:tblLook w:val="04A0"/>
        </w:tblPrEx>
        <w:trPr>
          <w:trHeight w:val="20"/>
        </w:trPr>
        <w:tc>
          <w:tcPr>
            <w:tcW w:w="2605" w:type="dxa"/>
            <w:tcBorders>
              <w:bottom w:val="single" w:sz="4" w:space="0" w:color="A6A6A6" w:themeColor="background1" w:themeShade="A6"/>
              <w:right w:val="nil"/>
            </w:tcBorders>
          </w:tcPr>
          <w:p w:rsidR="00081FD5" w:rsidRPr="00081FD5" w:rsidP="008368F6" w14:paraId="450AE46F" w14:textId="77777777">
            <w:pPr>
              <w:rPr>
                <w:rFonts w:cs="Times New Roman"/>
                <w:szCs w:val="24"/>
              </w:rPr>
            </w:pPr>
            <w:r w:rsidRPr="00081FD5">
              <w:rPr>
                <w:rFonts w:cs="Times New Roman"/>
                <w:szCs w:val="24"/>
              </w:rPr>
              <w:t>Medical association experts</w:t>
            </w:r>
          </w:p>
        </w:tc>
        <w:tc>
          <w:tcPr>
            <w:tcW w:w="895" w:type="dxa"/>
            <w:tcBorders>
              <w:left w:val="nil"/>
              <w:bottom w:val="single" w:sz="4" w:space="0" w:color="A6A6A6" w:themeColor="background1" w:themeShade="A6"/>
            </w:tcBorders>
          </w:tcPr>
          <w:p w:rsidR="00081FD5" w:rsidRPr="00081FD5" w:rsidP="008368F6" w14:paraId="4DEA5ACD" w14:textId="77777777">
            <w:pPr>
              <w:jc w:val="right"/>
              <w:rPr>
                <w:rFonts w:cs="Times New Roman"/>
                <w:szCs w:val="24"/>
              </w:rPr>
            </w:pPr>
            <w:r w:rsidRPr="00081FD5">
              <w:rPr>
                <w:rFonts w:cs="Times New Roman"/>
                <w:szCs w:val="24"/>
              </w:rPr>
              <w:t>Up to 3 IDIs</w:t>
            </w:r>
          </w:p>
        </w:tc>
        <w:tc>
          <w:tcPr>
            <w:tcW w:w="2705" w:type="dxa"/>
            <w:tcBorders>
              <w:bottom w:val="single" w:sz="4" w:space="0" w:color="A6A6A6" w:themeColor="background1" w:themeShade="A6"/>
              <w:right w:val="nil"/>
            </w:tcBorders>
          </w:tcPr>
          <w:p w:rsidR="00081FD5" w:rsidRPr="00081FD5" w:rsidP="008368F6" w14:paraId="32AA5A91" w14:textId="77777777">
            <w:pPr>
              <w:rPr>
                <w:rFonts w:cs="Times New Roman"/>
                <w:szCs w:val="24"/>
              </w:rPr>
            </w:pPr>
            <w:r w:rsidRPr="00081FD5">
              <w:rPr>
                <w:rFonts w:cs="Times New Roman"/>
                <w:szCs w:val="24"/>
              </w:rPr>
              <w:t>Adults, past bacterial or fungal antimicrobial-resistant</w:t>
            </w:r>
            <w:r w:rsidRPr="00081FD5">
              <w:rPr>
                <w:rStyle w:val="CommentReference"/>
                <w:sz w:val="24"/>
                <w:szCs w:val="24"/>
              </w:rPr>
              <w:t xml:space="preserve"> </w:t>
            </w:r>
            <w:r w:rsidRPr="00081FD5">
              <w:rPr>
                <w:rFonts w:cs="Times New Roman"/>
                <w:szCs w:val="24"/>
              </w:rPr>
              <w:t>infection</w:t>
            </w:r>
          </w:p>
        </w:tc>
        <w:tc>
          <w:tcPr>
            <w:tcW w:w="887" w:type="dxa"/>
            <w:tcBorders>
              <w:left w:val="nil"/>
              <w:bottom w:val="single" w:sz="4" w:space="0" w:color="A6A6A6" w:themeColor="background1" w:themeShade="A6"/>
            </w:tcBorders>
          </w:tcPr>
          <w:p w:rsidR="00081FD5" w:rsidRPr="00081FD5" w:rsidP="008368F6" w14:paraId="4C613C53" w14:textId="77777777">
            <w:pPr>
              <w:jc w:val="right"/>
              <w:rPr>
                <w:rFonts w:cs="Times New Roman"/>
                <w:szCs w:val="24"/>
              </w:rPr>
            </w:pPr>
            <w:r w:rsidRPr="00081FD5">
              <w:rPr>
                <w:rFonts w:cs="Times New Roman"/>
                <w:szCs w:val="24"/>
              </w:rPr>
              <w:t>Up to 3 IDIs</w:t>
            </w:r>
          </w:p>
        </w:tc>
        <w:tc>
          <w:tcPr>
            <w:tcW w:w="1163" w:type="dxa"/>
            <w:vMerge/>
            <w:tcBorders>
              <w:top w:val="single" w:sz="4" w:space="0" w:color="A6A6A6" w:themeColor="background1" w:themeShade="A6"/>
              <w:bottom w:val="single" w:sz="4" w:space="0" w:color="A6A6A6" w:themeColor="background1" w:themeShade="A6"/>
              <w:right w:val="nil"/>
            </w:tcBorders>
          </w:tcPr>
          <w:p w:rsidR="00081FD5" w:rsidRPr="00081FD5" w:rsidP="008368F6" w14:paraId="49541937" w14:textId="77777777">
            <w:pPr>
              <w:rPr>
                <w:rFonts w:cs="Times New Roman"/>
                <w:szCs w:val="24"/>
              </w:rPr>
            </w:pPr>
          </w:p>
        </w:tc>
        <w:tc>
          <w:tcPr>
            <w:tcW w:w="1151" w:type="dxa"/>
            <w:vMerge/>
            <w:tcBorders>
              <w:top w:val="single" w:sz="4" w:space="0" w:color="A6A6A6" w:themeColor="background1" w:themeShade="A6"/>
              <w:left w:val="nil"/>
              <w:bottom w:val="single" w:sz="4" w:space="0" w:color="A6A6A6" w:themeColor="background1" w:themeShade="A6"/>
            </w:tcBorders>
          </w:tcPr>
          <w:p w:rsidR="00081FD5" w:rsidRPr="00081FD5" w:rsidP="008368F6" w14:paraId="3A581D63" w14:textId="77777777">
            <w:pPr>
              <w:jc w:val="right"/>
              <w:rPr>
                <w:rFonts w:cs="Times New Roman"/>
                <w:szCs w:val="24"/>
              </w:rPr>
            </w:pPr>
          </w:p>
        </w:tc>
      </w:tr>
      <w:tr w14:paraId="0068B0D1" w14:textId="77777777" w:rsidTr="008E16F7">
        <w:tblPrEx>
          <w:tblW w:w="9406" w:type="dxa"/>
          <w:tblCellMar>
            <w:top w:w="58" w:type="dxa"/>
            <w:bottom w:w="58" w:type="dxa"/>
          </w:tblCellMar>
          <w:tblLook w:val="04A0"/>
        </w:tblPrEx>
        <w:trPr>
          <w:trHeight w:val="20"/>
        </w:trPr>
        <w:tc>
          <w:tcPr>
            <w:tcW w:w="2605" w:type="dxa"/>
            <w:tcBorders>
              <w:bottom w:val="single" w:sz="4" w:space="0" w:color="A6A6A6" w:themeColor="background1" w:themeShade="A6"/>
              <w:right w:val="nil"/>
            </w:tcBorders>
            <w:shd w:val="clear" w:color="auto" w:fill="F2F2F2" w:themeFill="background1" w:themeFillShade="F2"/>
          </w:tcPr>
          <w:p w:rsidR="00081FD5" w:rsidRPr="00081FD5" w:rsidP="008368F6" w14:paraId="0C2B9249" w14:textId="77777777">
            <w:pPr>
              <w:rPr>
                <w:rFonts w:cs="Times New Roman"/>
                <w:szCs w:val="24"/>
              </w:rPr>
            </w:pPr>
            <w:r w:rsidRPr="00081FD5">
              <w:rPr>
                <w:rFonts w:cs="Times New Roman"/>
                <w:szCs w:val="24"/>
              </w:rPr>
              <w:t xml:space="preserve">Audience </w:t>
            </w:r>
          </w:p>
          <w:p w:rsidR="00081FD5" w:rsidRPr="00081FD5" w:rsidP="008368F6" w14:paraId="7E97A1EE" w14:textId="77777777">
            <w:pPr>
              <w:rPr>
                <w:rFonts w:cs="Times New Roman"/>
                <w:szCs w:val="24"/>
              </w:rPr>
            </w:pPr>
            <w:r w:rsidRPr="00081FD5">
              <w:rPr>
                <w:rFonts w:cs="Times New Roman"/>
                <w:szCs w:val="24"/>
              </w:rPr>
              <w:t>total</w:t>
            </w:r>
          </w:p>
        </w:tc>
        <w:tc>
          <w:tcPr>
            <w:tcW w:w="895" w:type="dxa"/>
            <w:tcBorders>
              <w:left w:val="nil"/>
              <w:bottom w:val="single" w:sz="4" w:space="0" w:color="A6A6A6" w:themeColor="background1" w:themeShade="A6"/>
            </w:tcBorders>
            <w:shd w:val="clear" w:color="auto" w:fill="F2F2F2" w:themeFill="background1" w:themeFillShade="F2"/>
          </w:tcPr>
          <w:p w:rsidR="00081FD5" w:rsidRPr="00081FD5" w:rsidP="008368F6" w14:paraId="1A2C1622" w14:textId="77777777">
            <w:pPr>
              <w:jc w:val="right"/>
              <w:rPr>
                <w:rFonts w:cs="Times New Roman"/>
                <w:szCs w:val="24"/>
              </w:rPr>
            </w:pPr>
            <w:r w:rsidRPr="00081FD5">
              <w:rPr>
                <w:rFonts w:cs="Times New Roman"/>
                <w:szCs w:val="24"/>
              </w:rPr>
              <w:t>4 FGs</w:t>
            </w:r>
          </w:p>
          <w:p w:rsidR="00081FD5" w:rsidRPr="00081FD5" w:rsidP="008368F6" w14:paraId="2859D4C5" w14:textId="77777777">
            <w:pPr>
              <w:jc w:val="right"/>
              <w:rPr>
                <w:rFonts w:cs="Times New Roman"/>
                <w:szCs w:val="24"/>
              </w:rPr>
            </w:pPr>
            <w:r w:rsidRPr="00081FD5">
              <w:rPr>
                <w:rFonts w:cs="Times New Roman"/>
                <w:szCs w:val="24"/>
              </w:rPr>
              <w:t xml:space="preserve">Up to 3 IDIs </w:t>
            </w:r>
          </w:p>
        </w:tc>
        <w:tc>
          <w:tcPr>
            <w:tcW w:w="2705" w:type="dxa"/>
            <w:tcBorders>
              <w:bottom w:val="single" w:sz="4" w:space="0" w:color="A6A6A6" w:themeColor="background1" w:themeShade="A6"/>
              <w:right w:val="nil"/>
            </w:tcBorders>
            <w:shd w:val="clear" w:color="auto" w:fill="F2F2F2" w:themeFill="background1" w:themeFillShade="F2"/>
          </w:tcPr>
          <w:p w:rsidR="00081FD5" w:rsidRPr="00081FD5" w:rsidP="008368F6" w14:paraId="194448CF" w14:textId="77777777">
            <w:pPr>
              <w:rPr>
                <w:rFonts w:cs="Times New Roman"/>
                <w:szCs w:val="24"/>
              </w:rPr>
            </w:pPr>
            <w:r w:rsidRPr="00081FD5">
              <w:rPr>
                <w:rFonts w:cs="Times New Roman"/>
                <w:szCs w:val="24"/>
              </w:rPr>
              <w:t xml:space="preserve">Audience </w:t>
            </w:r>
          </w:p>
          <w:p w:rsidR="00081FD5" w:rsidRPr="00081FD5" w:rsidP="008368F6" w14:paraId="6BA9EC5D" w14:textId="77777777">
            <w:pPr>
              <w:rPr>
                <w:rFonts w:cs="Times New Roman"/>
                <w:szCs w:val="24"/>
              </w:rPr>
            </w:pPr>
            <w:r w:rsidRPr="00081FD5">
              <w:rPr>
                <w:rFonts w:cs="Times New Roman"/>
                <w:szCs w:val="24"/>
              </w:rPr>
              <w:t>total</w:t>
            </w:r>
          </w:p>
        </w:tc>
        <w:tc>
          <w:tcPr>
            <w:tcW w:w="887" w:type="dxa"/>
            <w:tcBorders>
              <w:left w:val="nil"/>
              <w:bottom w:val="single" w:sz="4" w:space="0" w:color="A6A6A6" w:themeColor="background1" w:themeShade="A6"/>
            </w:tcBorders>
            <w:shd w:val="clear" w:color="auto" w:fill="F2F2F2" w:themeFill="background1" w:themeFillShade="F2"/>
          </w:tcPr>
          <w:p w:rsidR="00081FD5" w:rsidRPr="00081FD5" w:rsidP="008368F6" w14:paraId="70DD8A58" w14:textId="77777777">
            <w:pPr>
              <w:jc w:val="right"/>
              <w:rPr>
                <w:rFonts w:cs="Times New Roman"/>
                <w:szCs w:val="24"/>
              </w:rPr>
            </w:pPr>
            <w:r w:rsidRPr="00081FD5">
              <w:rPr>
                <w:rFonts w:cs="Times New Roman"/>
                <w:szCs w:val="24"/>
              </w:rPr>
              <w:t>4 FGs</w:t>
            </w:r>
          </w:p>
          <w:p w:rsidR="00081FD5" w:rsidRPr="00081FD5" w:rsidP="008368F6" w14:paraId="7E1134CC" w14:textId="77777777">
            <w:pPr>
              <w:jc w:val="right"/>
              <w:rPr>
                <w:rFonts w:cs="Times New Roman"/>
                <w:szCs w:val="24"/>
              </w:rPr>
            </w:pPr>
            <w:r w:rsidRPr="00081FD5">
              <w:rPr>
                <w:rFonts w:cs="Times New Roman"/>
                <w:szCs w:val="24"/>
              </w:rPr>
              <w:t xml:space="preserve">Up to 3 IDIs </w:t>
            </w:r>
          </w:p>
        </w:tc>
        <w:tc>
          <w:tcPr>
            <w:tcW w:w="1163"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tcPr>
          <w:p w:rsidR="00081FD5" w:rsidRPr="00081FD5" w:rsidP="008368F6" w14:paraId="7523666D" w14:textId="77777777">
            <w:pPr>
              <w:rPr>
                <w:rFonts w:cs="Times New Roman"/>
                <w:szCs w:val="24"/>
              </w:rPr>
            </w:pPr>
            <w:r w:rsidRPr="00081FD5">
              <w:rPr>
                <w:rFonts w:cs="Times New Roman"/>
                <w:szCs w:val="24"/>
              </w:rPr>
              <w:t>Audience total</w:t>
            </w:r>
          </w:p>
        </w:tc>
        <w:tc>
          <w:tcPr>
            <w:tcW w:w="1151" w:type="dxa"/>
            <w:tcBorders>
              <w:top w:val="single" w:sz="4" w:space="0" w:color="A6A6A6" w:themeColor="background1" w:themeShade="A6"/>
              <w:left w:val="nil"/>
              <w:bottom w:val="single" w:sz="4" w:space="0" w:color="A6A6A6" w:themeColor="background1" w:themeShade="A6"/>
            </w:tcBorders>
            <w:shd w:val="clear" w:color="auto" w:fill="F2F2F2" w:themeFill="background1" w:themeFillShade="F2"/>
          </w:tcPr>
          <w:p w:rsidR="00081FD5" w:rsidRPr="00081FD5" w:rsidP="008368F6" w14:paraId="6A1D4839" w14:textId="77777777">
            <w:pPr>
              <w:jc w:val="right"/>
              <w:rPr>
                <w:rFonts w:cs="Times New Roman"/>
                <w:szCs w:val="24"/>
              </w:rPr>
            </w:pPr>
            <w:r w:rsidRPr="00081FD5">
              <w:rPr>
                <w:rFonts w:cs="Times New Roman"/>
                <w:szCs w:val="24"/>
              </w:rPr>
              <w:t>1 survey</w:t>
            </w:r>
          </w:p>
        </w:tc>
      </w:tr>
      <w:tr w14:paraId="29B10ADD" w14:textId="77777777" w:rsidTr="008E16F7">
        <w:tblPrEx>
          <w:tblW w:w="9406" w:type="dxa"/>
          <w:tblCellMar>
            <w:top w:w="58" w:type="dxa"/>
            <w:bottom w:w="58" w:type="dxa"/>
          </w:tblCellMar>
          <w:tblLook w:val="04A0"/>
        </w:tblPrEx>
        <w:trPr>
          <w:trHeight w:val="20"/>
        </w:trPr>
        <w:tc>
          <w:tcPr>
            <w:tcW w:w="2605" w:type="dxa"/>
            <w:tcBorders>
              <w:right w:val="nil"/>
            </w:tcBorders>
            <w:shd w:val="clear" w:color="auto" w:fill="F2F2F2" w:themeFill="background1" w:themeFillShade="F2"/>
          </w:tcPr>
          <w:p w:rsidR="00081FD5" w:rsidRPr="00081FD5" w:rsidP="008368F6" w14:paraId="4B53E9F0" w14:textId="77777777">
            <w:pPr>
              <w:rPr>
                <w:rFonts w:cs="Times New Roman"/>
                <w:szCs w:val="24"/>
              </w:rPr>
            </w:pPr>
            <w:r w:rsidRPr="00081FD5">
              <w:rPr>
                <w:rFonts w:cs="Times New Roman"/>
                <w:szCs w:val="24"/>
              </w:rPr>
              <w:t>Grand total</w:t>
            </w:r>
          </w:p>
        </w:tc>
        <w:tc>
          <w:tcPr>
            <w:tcW w:w="6801" w:type="dxa"/>
            <w:gridSpan w:val="5"/>
            <w:tcBorders>
              <w:left w:val="nil"/>
            </w:tcBorders>
            <w:shd w:val="clear" w:color="auto" w:fill="F2F2F2" w:themeFill="background1" w:themeFillShade="F2"/>
          </w:tcPr>
          <w:p w:rsidR="00081FD5" w:rsidRPr="00081FD5" w:rsidP="008368F6" w14:paraId="6D4275E0" w14:textId="77777777">
            <w:pPr>
              <w:jc w:val="right"/>
              <w:rPr>
                <w:rFonts w:cs="Times New Roman"/>
                <w:szCs w:val="24"/>
              </w:rPr>
            </w:pPr>
            <w:r w:rsidRPr="00081FD5">
              <w:rPr>
                <w:rFonts w:cs="Times New Roman"/>
                <w:szCs w:val="24"/>
              </w:rPr>
              <w:t>8 FGs, up to 6 IDIs, and 1 survey</w:t>
            </w:r>
          </w:p>
        </w:tc>
      </w:tr>
    </w:tbl>
    <w:p w:rsidR="001A7BC0" w:rsidP="008368F6" w14:paraId="2C373F9A" w14:textId="77777777">
      <w:pPr>
        <w:spacing w:after="0"/>
        <w:rPr>
          <w:u w:val="single"/>
        </w:rPr>
      </w:pPr>
    </w:p>
    <w:p w:rsidR="00504358" w:rsidP="008368F6" w14:paraId="2FE830DE" w14:textId="243F51F1">
      <w:pPr>
        <w:rPr>
          <w:u w:val="single"/>
        </w:rPr>
      </w:pPr>
      <w:r>
        <w:rPr>
          <w:u w:val="single"/>
        </w:rPr>
        <w:t xml:space="preserve">Human </w:t>
      </w:r>
      <w:r w:rsidR="00081FD5">
        <w:rPr>
          <w:u w:val="single"/>
        </w:rPr>
        <w:t>H</w:t>
      </w:r>
      <w:r>
        <w:rPr>
          <w:u w:val="single"/>
        </w:rPr>
        <w:t xml:space="preserve">ealth </w:t>
      </w:r>
      <w:r w:rsidR="00081FD5">
        <w:rPr>
          <w:u w:val="single"/>
        </w:rPr>
        <w:t>P</w:t>
      </w:r>
      <w:r>
        <w:rPr>
          <w:u w:val="single"/>
        </w:rPr>
        <w:t>roviders</w:t>
      </w:r>
    </w:p>
    <w:p w:rsidR="00504358" w:rsidP="008368F6" w14:paraId="61215B10" w14:textId="47DBC087">
      <w:r>
        <w:t xml:space="preserve">For focus groups, providers will be required to meet the following </w:t>
      </w:r>
      <w:r w:rsidR="001A7BC0">
        <w:t xml:space="preserve">basic </w:t>
      </w:r>
      <w:r>
        <w:t>criteria:</w:t>
      </w:r>
    </w:p>
    <w:p w:rsidR="00504358" w:rsidP="008368F6" w14:paraId="57AF6C9F" w14:textId="6094101B">
      <w:pPr>
        <w:pStyle w:val="ListParagraph"/>
        <w:numPr>
          <w:ilvl w:val="0"/>
          <w:numId w:val="4"/>
        </w:numPr>
      </w:pPr>
      <w:r>
        <w:t>All must be</w:t>
      </w:r>
      <w:r>
        <w:t xml:space="preserve"> licensed Medical Doctors or </w:t>
      </w:r>
      <w:r>
        <w:t>Doctors of Osteopathic Medicine</w:t>
      </w:r>
      <w:r>
        <w:t xml:space="preserve"> (physicians) or Physician Assistants</w:t>
      </w:r>
      <w:r w:rsidR="3075B1D4">
        <w:t>/Associates</w:t>
      </w:r>
      <w:r>
        <w:t xml:space="preserve"> or Nurse Practitioners (PAs and NPs).</w:t>
      </w:r>
    </w:p>
    <w:p w:rsidR="00504358" w:rsidP="008368F6" w14:paraId="7FE6FA9B" w14:textId="52B83A8D">
      <w:pPr>
        <w:pStyle w:val="ListParagraph"/>
        <w:numPr>
          <w:ilvl w:val="0"/>
          <w:numId w:val="4"/>
        </w:numPr>
      </w:pPr>
      <w:r>
        <w:t>All must have</w:t>
      </w:r>
      <w:r>
        <w:t xml:space="preserve"> direct patient care as a primary responsibility</w:t>
      </w:r>
      <w:r>
        <w:t>.</w:t>
      </w:r>
      <w:r>
        <w:t xml:space="preserve"> </w:t>
      </w:r>
    </w:p>
    <w:p w:rsidR="00504358" w:rsidP="008368F6" w14:paraId="5B290D42" w14:textId="0D619C8D">
      <w:pPr>
        <w:pStyle w:val="ListParagraph"/>
        <w:numPr>
          <w:ilvl w:val="0"/>
          <w:numId w:val="4"/>
        </w:numPr>
      </w:pPr>
      <w:r>
        <w:t>Primary care providers (physicians and PAs and NPs) must provide comprehensive primary care (health services that cover a range of prevention, wellness, and treatment for common illnesses) and must specialize in internal medicine, family medicine, or combined internal medicine and pediatrics (med-peds).</w:t>
      </w:r>
    </w:p>
    <w:p w:rsidR="00504358" w:rsidP="008368F6" w14:paraId="1E5E9433" w14:textId="75201D83">
      <w:pPr>
        <w:pStyle w:val="ListParagraph"/>
        <w:numPr>
          <w:ilvl w:val="0"/>
          <w:numId w:val="4"/>
        </w:numPr>
      </w:pPr>
      <w:r>
        <w:t>Hospitalist physicians and hospital PAs and NPs must provide comprehensive medical care to hospitalized patients (inpatient care) and must specialize in internal medicine, family medicine, med-peds, or infectious diseases. Emergency providers (ER doctors, ER nurses, ER PAs) will be excluded to ensure greater commonality of roles and responsibilities in the groups.</w:t>
      </w:r>
    </w:p>
    <w:p w:rsidR="00504358" w:rsidRPr="00504358" w:rsidP="008368F6" w14:paraId="18C3F5B4" w14:textId="77777777">
      <w:pPr>
        <w:pStyle w:val="ListParagraph"/>
        <w:spacing w:after="0"/>
        <w:rPr>
          <w:rFonts w:cs="Times New Roman"/>
          <w:szCs w:val="24"/>
        </w:rPr>
      </w:pPr>
    </w:p>
    <w:p w:rsidR="001A7BC0" w:rsidP="008368F6" w14:paraId="49C7B901" w14:textId="50CAF3C5">
      <w:r w:rsidRPr="00504358">
        <w:t xml:space="preserve">For interviews, </w:t>
      </w:r>
      <w:r>
        <w:t xml:space="preserve">participants will be leaders or experts at medical associations and will be invited to participate through direct outreach by CDC based on preexisting relationships; no screening or other recruitment is involved. </w:t>
      </w:r>
    </w:p>
    <w:p w:rsidR="00504358" w:rsidP="008368F6" w14:paraId="10294B77" w14:textId="0C38D56D">
      <w:r>
        <w:rPr>
          <w:u w:val="single"/>
        </w:rPr>
        <w:t>Consumers</w:t>
      </w:r>
    </w:p>
    <w:p w:rsidR="00ED09E9" w:rsidP="008368F6" w14:paraId="356977F3" w14:textId="77777777">
      <w:r>
        <w:t>For focus groups, consumers will be required to meet the following criteria:</w:t>
      </w:r>
    </w:p>
    <w:p w:rsidR="00ED09E9" w:rsidP="008368F6" w14:paraId="2A2B6C89" w14:textId="38821B26">
      <w:pPr>
        <w:pStyle w:val="ListParagraph"/>
        <w:numPr>
          <w:ilvl w:val="0"/>
          <w:numId w:val="6"/>
        </w:numPr>
      </w:pPr>
      <w:r>
        <w:t>All must be</w:t>
      </w:r>
      <w:r>
        <w:t xml:space="preserve"> full-time U.S. residents, age 18 or above.</w:t>
      </w:r>
    </w:p>
    <w:p w:rsidR="00ED09E9" w:rsidP="008368F6" w14:paraId="202274E7" w14:textId="66E42710">
      <w:pPr>
        <w:pStyle w:val="ListParagraph"/>
        <w:numPr>
          <w:ilvl w:val="0"/>
          <w:numId w:val="6"/>
        </w:numPr>
      </w:pPr>
      <w:r>
        <w:t xml:space="preserve">Parents group must be parents or full-time guardians and act as primary health decision maker of at least one child </w:t>
      </w:r>
      <w:r>
        <w:t>age</w:t>
      </w:r>
      <w:r>
        <w:t xml:space="preserve"> 0-6.</w:t>
      </w:r>
    </w:p>
    <w:p w:rsidR="00504358" w:rsidP="008368F6" w14:paraId="3D67A5DA" w14:textId="2DAFF157">
      <w:pPr>
        <w:pStyle w:val="ListParagraph"/>
        <w:numPr>
          <w:ilvl w:val="0"/>
          <w:numId w:val="6"/>
        </w:numPr>
      </w:pPr>
      <w:r>
        <w:t>Caregivers group must tend to the health needs or concerns of an adult over age 60 with health conditions that require ongoing care</w:t>
      </w:r>
      <w:r w:rsidR="001A7BC0">
        <w:t>,</w:t>
      </w:r>
      <w:r>
        <w:t xml:space="preserve"> must be relied upon by the person in their care or that person’s health care provider(s) </w:t>
      </w:r>
      <w:r w:rsidR="60986886">
        <w:t xml:space="preserve">to support </w:t>
      </w:r>
      <w:r>
        <w:t>decisions about health</w:t>
      </w:r>
      <w:r w:rsidR="001A7BC0">
        <w:t>,</w:t>
      </w:r>
      <w:r>
        <w:t xml:space="preserve"> </w:t>
      </w:r>
      <w:r w:rsidR="001A7BC0">
        <w:t xml:space="preserve">and </w:t>
      </w:r>
      <w:r>
        <w:t>must not be a professional caregiver (e.g., home health aide, personal care assistant).</w:t>
      </w:r>
    </w:p>
    <w:p w:rsidR="00ED09E9" w:rsidP="008368F6" w14:paraId="0E0E4FF6" w14:textId="42F29EE4">
      <w:r w:rsidRPr="00ED09E9">
        <w:t xml:space="preserve">For interviews, respondents will be required to have been diagnosed with a bacterial or fungal antimicrobial-resistant infection in the past three years by their healthcare provider. </w:t>
      </w:r>
    </w:p>
    <w:p w:rsidR="00504358" w:rsidP="008368F6" w14:paraId="5BC48ADF" w14:textId="6E59C3AC">
      <w:pPr>
        <w:rPr>
          <w:u w:val="single"/>
        </w:rPr>
      </w:pPr>
      <w:r>
        <w:rPr>
          <w:u w:val="single"/>
        </w:rPr>
        <w:t>P</w:t>
      </w:r>
      <w:r>
        <w:rPr>
          <w:u w:val="single"/>
        </w:rPr>
        <w:t xml:space="preserve">olicy </w:t>
      </w:r>
      <w:r w:rsidR="00A208D4">
        <w:rPr>
          <w:u w:val="single"/>
        </w:rPr>
        <w:t>Audiences</w:t>
      </w:r>
    </w:p>
    <w:p w:rsidR="008368F6" w:rsidP="008368F6" w14:paraId="2EB69BE0" w14:textId="54129FAA">
      <w:r>
        <w:t xml:space="preserve">For the survey, policy </w:t>
      </w:r>
      <w:r w:rsidR="00A208D4">
        <w:t xml:space="preserve">audiences </w:t>
      </w:r>
      <w:r>
        <w:t>will be required to meet the following criteria:</w:t>
      </w:r>
    </w:p>
    <w:p w:rsidR="00ED09E9" w:rsidP="008368F6" w14:paraId="270F80A0" w14:textId="41DCC9CD">
      <w:pPr>
        <w:pStyle w:val="ListParagraph"/>
        <w:numPr>
          <w:ilvl w:val="0"/>
          <w:numId w:val="7"/>
        </w:numPr>
      </w:pPr>
      <w:r w:rsidRPr="00ED09E9">
        <w:t xml:space="preserve">All must be full-time U.S. residents </w:t>
      </w:r>
      <w:r w:rsidRPr="00ED09E9">
        <w:t>age</w:t>
      </w:r>
      <w:r w:rsidRPr="00ED09E9">
        <w:t xml:space="preserve"> 25 or above.</w:t>
      </w:r>
    </w:p>
    <w:p w:rsidR="008368F6" w:rsidRPr="00ED09E9" w:rsidP="008368F6" w14:paraId="4CB9ECEF" w14:textId="237474CE">
      <w:pPr>
        <w:pStyle w:val="ListParagraph"/>
        <w:numPr>
          <w:ilvl w:val="0"/>
          <w:numId w:val="7"/>
        </w:numPr>
      </w:pPr>
      <w:r w:rsidRPr="008368F6">
        <w:rPr>
          <w:u w:val="single"/>
        </w:rPr>
        <w:t>None</w:t>
      </w:r>
      <w:r>
        <w:t xml:space="preserve"> may be an elected government official</w:t>
      </w:r>
      <w:r w:rsidR="00A208D4">
        <w:t xml:space="preserve"> or </w:t>
      </w:r>
      <w:r w:rsidR="008E16F7">
        <w:t>employed in executive or judicial branches</w:t>
      </w:r>
      <w:r>
        <w:t>.</w:t>
      </w:r>
    </w:p>
    <w:p w:rsidR="00ED09E9" w:rsidRPr="00ED09E9" w:rsidP="008368F6" w14:paraId="18C63120" w14:textId="4582517A">
      <w:pPr>
        <w:pStyle w:val="ListParagraph"/>
        <w:numPr>
          <w:ilvl w:val="0"/>
          <w:numId w:val="7"/>
        </w:numPr>
      </w:pPr>
      <w:r>
        <w:t xml:space="preserve">All must </w:t>
      </w:r>
      <w:r w:rsidR="00A208D4">
        <w:t xml:space="preserve">work around or with those who impact </w:t>
      </w:r>
      <w:r>
        <w:t>health policy</w:t>
      </w:r>
      <w:r w:rsidR="00A208D4">
        <w:t>:</w:t>
      </w:r>
    </w:p>
    <w:p w:rsidR="00ED09E9" w:rsidP="008368F6" w14:paraId="0657588B" w14:textId="432B2A4E">
      <w:pPr>
        <w:pStyle w:val="ListParagraph"/>
        <w:numPr>
          <w:ilvl w:val="1"/>
          <w:numId w:val="7"/>
        </w:numPr>
      </w:pPr>
      <w:r>
        <w:t>Are</w:t>
      </w:r>
      <w:r w:rsidR="001A7BC0">
        <w:t xml:space="preserve"> employed in a multilateral government organization, a private or publicly traded company, a not-for-profit organization</w:t>
      </w:r>
      <w:r w:rsidR="008E16F7">
        <w:t>, or federal legislative staff.</w:t>
      </w:r>
    </w:p>
    <w:p w:rsidR="001A7BC0" w:rsidRPr="00ED09E9" w:rsidP="008368F6" w14:paraId="31F6FD28" w14:textId="36C8F469">
      <w:pPr>
        <w:pStyle w:val="ListParagraph"/>
        <w:numPr>
          <w:ilvl w:val="1"/>
          <w:numId w:val="7"/>
        </w:numPr>
      </w:pPr>
      <w:r>
        <w:t>Work in a role related to public policy that involves researching, analyzing, evaluating, or interpreting public policy issues; communicating facts or opinions about public policy; shaping or influencing public policy proposals; or interpreting or enforcing public policy.</w:t>
      </w:r>
    </w:p>
    <w:p w:rsidR="00081FD5" w:rsidRPr="00D23E70" w:rsidP="008368F6" w14:paraId="36378910" w14:textId="7404053F">
      <w:pPr>
        <w:pStyle w:val="ListParagraph"/>
        <w:numPr>
          <w:ilvl w:val="1"/>
          <w:numId w:val="7"/>
        </w:numPr>
      </w:pPr>
      <w:r>
        <w:t>Follow or have expertise in public policy areas related to health and adjacent fields.</w:t>
      </w:r>
    </w:p>
    <w:p w:rsidR="008368F6" w:rsidRPr="00ED09E9" w:rsidP="008368F6" w14:paraId="223AF822" w14:textId="3E8F577D">
      <w:r>
        <w:t>For the survey, p</w:t>
      </w:r>
      <w:r w:rsidRPr="00ED09E9">
        <w:t xml:space="preserve">articipants will be randomly </w:t>
      </w:r>
      <w:r>
        <w:t>sampled</w:t>
      </w:r>
      <w:r w:rsidRPr="00ED09E9">
        <w:t xml:space="preserve"> from an existing policy</w:t>
      </w:r>
      <w:r>
        <w:t xml:space="preserve"> </w:t>
      </w:r>
      <w:r w:rsidRPr="00ED09E9">
        <w:t>panel</w:t>
      </w:r>
      <w:r>
        <w:t xml:space="preserve"> of individuals who have opted into complete surveys and similar activities</w:t>
      </w:r>
      <w:r w:rsidRPr="00ED09E9">
        <w:t xml:space="preserve">. </w:t>
      </w:r>
    </w:p>
    <w:p w:rsidR="00384C05" w:rsidRPr="00384C05" w:rsidP="008368F6" w14:paraId="780FC657" w14:textId="098BA4AC">
      <w:pPr>
        <w:rPr>
          <w:b/>
          <w:bCs/>
        </w:rPr>
      </w:pPr>
      <w:r w:rsidRPr="00384C05">
        <w:rPr>
          <w:b/>
          <w:bCs/>
        </w:rPr>
        <w:t>B. Recruitment</w:t>
      </w:r>
    </w:p>
    <w:p w:rsidR="00081FD5" w:rsidP="008368F6" w14:paraId="5C241C58" w14:textId="2837055A">
      <w:pPr>
        <w:rPr>
          <w:u w:val="single"/>
        </w:rPr>
      </w:pPr>
      <w:r>
        <w:rPr>
          <w:u w:val="single"/>
        </w:rPr>
        <w:t>Focus Groups and Interviews</w:t>
      </w:r>
    </w:p>
    <w:p w:rsidR="007D29D3" w:rsidP="008368F6" w14:paraId="4735EBDA" w14:textId="04548AAA">
      <w:r>
        <w:t xml:space="preserve">To recruit focus groups and interviews, KRC will work with a recruitment panel provider to identify, screen, and invite qualified individuals from their panel lists, which are made up of individuals who have opted in to participate in studies like these. The exception is </w:t>
      </w:r>
      <w:r w:rsidR="00104D12">
        <w:t>interviews with</w:t>
      </w:r>
      <w:r>
        <w:t xml:space="preserve"> medical association experts</w:t>
      </w:r>
      <w:r w:rsidR="00104D12">
        <w:t>, which will be scheduled based on direct outreach by CDC to existing contacts.</w:t>
      </w:r>
      <w:r>
        <w:t xml:space="preserve"> </w:t>
      </w:r>
    </w:p>
    <w:p w:rsidR="007D29D3" w:rsidP="008368F6" w14:paraId="7AA5E54E" w14:textId="77777777">
      <w:r>
        <w:t xml:space="preserve">For all other panel-recruited participants, the panel provider will send an invitation to screen for the focus groups or interviews to members of its panel, starting with those whose profiles suggest they are most likely to qualify. The recruitment can be conducted online or via a phone call with a panel staff recruiter. The beginning of screening will identify CDC as the sole sponsor and inform </w:t>
      </w:r>
      <w:r>
        <w:t>each individual</w:t>
      </w:r>
      <w:r>
        <w:t xml:space="preserve"> that the purpose is to review and provide feedback on an important health-related topic. Individuals will not be told the specific topic; this is to discourage respondents from doing “homework” or educating themselves on the topic in advance of the conversation. The individual will read or hear a confidentiality message, which includes that participation is voluntary and that responses will be confidential: statements made will never associated with specific names or other personally identifiable information (PII) in confidential and reporting to CDC. </w:t>
      </w:r>
    </w:p>
    <w:p w:rsidR="007D29D3" w:rsidP="008368F6" w14:paraId="495ADCBE" w14:textId="3E74B3C8">
      <w:r>
        <w:t xml:space="preserve">Individuals will then be asked if they are interested in participating in a focus group </w:t>
      </w:r>
      <w:r w:rsidR="00104D12">
        <w:t>or</w:t>
      </w:r>
      <w:r>
        <w:t xml:space="preserve"> interview. If they are interested, they will answer KRC’s approved screener questions and confirm they can be at a laptop or desktop computer for the session. Individuals must complete and pass the screening questionnaire without being disqualified based on their answers or due to quotas limits. Once it is determined that a respondent qualifies, they will be asked whether they would like to participate in a focus group </w:t>
      </w:r>
      <w:r w:rsidR="00104D12">
        <w:t>or</w:t>
      </w:r>
      <w:r>
        <w:t xml:space="preserve"> interview that will require up to 90 minutes (focus group) or 60 minutes (interview) and require them to be at a computer with internet access and a camera and microphone in a quiet place. In keeping with best practices for market research, participants will be offered a $75 token of appreciation for their participation.</w:t>
      </w:r>
    </w:p>
    <w:p w:rsidR="007D29D3" w:rsidP="008368F6" w14:paraId="3DD34528" w14:textId="72C830A6">
      <w:r>
        <w:t xml:space="preserve">Once scheduled, KRC will send a confirmation message to the participants with logistical information, as well as the date and time of the group or interview. Prior to the session, participants will be required to sign and date a consent form </w:t>
      </w:r>
      <w:r w:rsidR="00D23E70">
        <w:t>(Attachment</w:t>
      </w:r>
      <w:r w:rsidR="3656B092">
        <w:t>s</w:t>
      </w:r>
      <w:r w:rsidR="00D23E70">
        <w:t xml:space="preserve"> </w:t>
      </w:r>
      <w:r w:rsidR="00347477">
        <w:t>4, 5</w:t>
      </w:r>
      <w:r w:rsidR="00D23E70">
        <w:t xml:space="preserve">) </w:t>
      </w:r>
      <w:r>
        <w:t xml:space="preserve">that outlines the details about the session, such as confidentiality and incentive. They will be sent the form electronically and required to sign it </w:t>
      </w:r>
      <w:r>
        <w:t>electronically within the panel provider’s system. KRC will keep copies of the consent form</w:t>
      </w:r>
      <w:r w:rsidR="003B5E37">
        <w:t xml:space="preserve"> files</w:t>
      </w:r>
      <w:r>
        <w:t xml:space="preserve"> until the end of the project, after which they will be destroyed.</w:t>
      </w:r>
    </w:p>
    <w:p w:rsidR="007D29D3" w:rsidRPr="007D29D3" w:rsidP="008368F6" w14:paraId="5422697E" w14:textId="3D17D036">
      <w:r>
        <w:t>A day or two prior to the session, participants will receive a reminder email and once again be given the opportunity to change their mind. At the start of each session, KRC will give a brief verbal reminder of the consent form details.</w:t>
      </w:r>
    </w:p>
    <w:p w:rsidR="00081FD5" w:rsidP="008368F6" w14:paraId="7CE30EF1" w14:textId="318FFCDE">
      <w:pPr>
        <w:rPr>
          <w:u w:val="single"/>
        </w:rPr>
      </w:pPr>
      <w:r>
        <w:rPr>
          <w:u w:val="single"/>
        </w:rPr>
        <w:t>Survey</w:t>
      </w:r>
    </w:p>
    <w:p w:rsidR="002C4F47" w:rsidP="008368F6" w14:paraId="05995008" w14:textId="11CADEB4">
      <w:r w:rsidRPr="002C4F47">
        <w:t>As with focus groups and interviews, KRC will work with a recruitment panel provider to identify, screen, and invite qualified survey participants from their panel list, which is made up of individuals who have opted in to participate in studies like these and, in this case, is composed of thousands of individuals w</w:t>
      </w:r>
      <w:r w:rsidR="008368F6">
        <w:t xml:space="preserve">hose work, expertise, or </w:t>
      </w:r>
      <w:r w:rsidR="0049739C">
        <w:t>experience</w:t>
      </w:r>
      <w:r w:rsidR="008368F6">
        <w:t xml:space="preserve"> </w:t>
      </w:r>
      <w:r w:rsidR="0049739C">
        <w:t>overlaps with public policy</w:t>
      </w:r>
      <w:r w:rsidRPr="002C4F47">
        <w:t xml:space="preserve">. </w:t>
      </w:r>
      <w:r w:rsidRPr="00C84BC4" w:rsidR="00C84BC4">
        <w:t xml:space="preserve">The sampling universe </w:t>
      </w:r>
      <w:r w:rsidR="00C84BC4">
        <w:t xml:space="preserve">for the policy influencer panel </w:t>
      </w:r>
      <w:r w:rsidR="005F00B9">
        <w:t xml:space="preserve">from which KRC will draw from </w:t>
      </w:r>
      <w:r w:rsidRPr="00C84BC4" w:rsidR="00C84BC4">
        <w:t xml:space="preserve">includes registered lobbyists, non-elected federal and state government employees, interest-group leaders, and academic researchers in public health fields. </w:t>
      </w:r>
      <w:r w:rsidR="0049739C">
        <w:t>It does not include elected officials.</w:t>
      </w:r>
    </w:p>
    <w:p w:rsidR="00C84BC4" w:rsidP="008368F6" w14:paraId="6C02963A" w14:textId="6685D489">
      <w:r>
        <w:t>To create the panel, t</w:t>
      </w:r>
      <w:r>
        <w:t>he recruitment panel provider</w:t>
      </w:r>
      <w:r w:rsidRPr="00C84BC4">
        <w:t xml:space="preserve"> </w:t>
      </w:r>
      <w:r w:rsidR="0049739C">
        <w:t xml:space="preserve">has built </w:t>
      </w:r>
      <w:r w:rsidRPr="00C84BC4">
        <w:t xml:space="preserve">a complete sampling universe of all qualifying profiles leveraging employment directories, professional networks, and license data. </w:t>
      </w:r>
      <w:r w:rsidR="0049739C">
        <w:t xml:space="preserve">To recruit participants to the panel, the provider has contacted </w:t>
      </w:r>
      <w:r w:rsidR="005F00B9">
        <w:t>contact</w:t>
      </w:r>
      <w:r w:rsidR="0049739C">
        <w:t>s</w:t>
      </w:r>
      <w:r w:rsidR="005F00B9">
        <w:t xml:space="preserve"> eligible individuals directly</w:t>
      </w:r>
      <w:r w:rsidR="0049739C">
        <w:t xml:space="preserve"> and obtained consent to be contacted for </w:t>
      </w:r>
      <w:r w:rsidR="00EF256D">
        <w:t xml:space="preserve">future studies. </w:t>
      </w:r>
      <w:r w:rsidR="005F00B9">
        <w:t>When recruiting for a project like this one, t</w:t>
      </w:r>
      <w:r>
        <w:t>he panel provider</w:t>
      </w:r>
      <w:r w:rsidRPr="00C84BC4">
        <w:t xml:space="preserve"> </w:t>
      </w:r>
      <w:r w:rsidR="005F00B9">
        <w:t xml:space="preserve">starts by </w:t>
      </w:r>
      <w:r w:rsidRPr="00C84BC4">
        <w:t>draw</w:t>
      </w:r>
      <w:r w:rsidR="005F00B9">
        <w:t>ing</w:t>
      </w:r>
      <w:r w:rsidRPr="00C84BC4">
        <w:t xml:space="preserve"> a random sample of policy </w:t>
      </w:r>
      <w:r w:rsidR="0049739C">
        <w:t>influencers</w:t>
      </w:r>
      <w:r w:rsidRPr="00C84BC4">
        <w:t xml:space="preserve"> for inclusion in the sampling frame. </w:t>
      </w:r>
      <w:r w:rsidRPr="00EF256D" w:rsidR="00EF256D">
        <w:t xml:space="preserve">Each </w:t>
      </w:r>
      <w:r w:rsidR="0049739C">
        <w:t xml:space="preserve">potential </w:t>
      </w:r>
      <w:r w:rsidRPr="00EF256D" w:rsidR="00EF256D">
        <w:t xml:space="preserve">respondent </w:t>
      </w:r>
      <w:r w:rsidR="00EF256D">
        <w:t xml:space="preserve">in the sample </w:t>
      </w:r>
      <w:r w:rsidRPr="00EF256D" w:rsidR="00EF256D">
        <w:t>will receive a series of email and peer-to-peer text message invitations to participate in the study. Respondents can opt out at any time and unsubscribe from further invitations.</w:t>
      </w:r>
    </w:p>
    <w:p w:rsidR="00352CEE" w:rsidP="008368F6" w14:paraId="214C4366" w14:textId="77777777">
      <w:pPr>
        <w:pStyle w:val="Heading1"/>
        <w:spacing w:line="276" w:lineRule="auto"/>
      </w:pPr>
      <w:bookmarkStart w:id="4" w:name="_Toc473882441"/>
      <w:r>
        <w:t>Procedures for the Collection of Information</w:t>
      </w:r>
      <w:bookmarkEnd w:id="4"/>
    </w:p>
    <w:p w:rsidR="000D0B30" w:rsidRPr="000D0B30" w:rsidP="008368F6" w14:paraId="71568CD7" w14:textId="75C4076E">
      <w:pPr>
        <w:rPr>
          <w:u w:val="single"/>
        </w:rPr>
      </w:pPr>
      <w:r>
        <w:rPr>
          <w:u w:val="single"/>
        </w:rPr>
        <w:t>Focus Groups and Interviews</w:t>
      </w:r>
    </w:p>
    <w:p w:rsidR="005960A0" w:rsidP="008368F6" w14:paraId="2BB9CE3A" w14:textId="771D2A81">
      <w:r w:rsidRPr="00D23E70">
        <w:t xml:space="preserve">After completing screening and scheduling, </w:t>
      </w:r>
      <w:r w:rsidRPr="00D23E70" w:rsidR="003B5E37">
        <w:t>eight</w:t>
      </w:r>
      <w:r w:rsidRPr="00D23E70">
        <w:t xml:space="preserve"> focus groups </w:t>
      </w:r>
      <w:r w:rsidRPr="00D23E70" w:rsidR="003B5E37">
        <w:t xml:space="preserve">and up to six interviews </w:t>
      </w:r>
      <w:r w:rsidRPr="00D23E70">
        <w:t xml:space="preserve">will be conducted. </w:t>
      </w:r>
      <w:r w:rsidRPr="00D23E70" w:rsidR="003B5E37">
        <w:t xml:space="preserve">Focus groups </w:t>
      </w:r>
      <w:r w:rsidRPr="00D23E70">
        <w:t>will last 90 minutes</w:t>
      </w:r>
      <w:r w:rsidRPr="00D23E70" w:rsidR="003B5E37">
        <w:t xml:space="preserve"> and interviews will be </w:t>
      </w:r>
      <w:r w:rsidR="00104D12">
        <w:t>60 minutes</w:t>
      </w:r>
      <w:r w:rsidRPr="00D23E70" w:rsidR="003B5E37">
        <w:t xml:space="preserve"> long</w:t>
      </w:r>
      <w:r w:rsidRPr="00D23E70">
        <w:t xml:space="preserve">. </w:t>
      </w:r>
      <w:r>
        <w:t xml:space="preserve">Trained moderators from KRC will conduct all focus groups and interviews as well as oversee recruitment and screening </w:t>
      </w:r>
      <w:r w:rsidRPr="00D23E70">
        <w:t>(described in Section 1).</w:t>
      </w:r>
      <w:r>
        <w:t xml:space="preserve"> The moderator will use a semi-structured discussion guide </w:t>
      </w:r>
      <w:r w:rsidR="00D23E70">
        <w:t xml:space="preserve">tailored to each audience </w:t>
      </w:r>
      <w:r>
        <w:t>for all sessions</w:t>
      </w:r>
      <w:r w:rsidR="00D23E70">
        <w:t xml:space="preserve">. </w:t>
      </w:r>
      <w:r>
        <w:t>The questions in the guide</w:t>
      </w:r>
      <w:r w:rsidR="00D23E70">
        <w:t>s</w:t>
      </w:r>
      <w:r>
        <w:t xml:space="preserve"> explore the knowledge, attitudes, beliefs, and needs of the audiences related to </w:t>
      </w:r>
      <w:r w:rsidR="00C02446">
        <w:t>antimicrobial resistance (AR)</w:t>
      </w:r>
      <w:r>
        <w:t xml:space="preserve">.  </w:t>
      </w:r>
    </w:p>
    <w:p w:rsidR="005960A0" w:rsidP="008368F6" w14:paraId="2F3CBC81" w14:textId="70E9865B">
      <w:r>
        <w:t xml:space="preserve">For providers, KRC will </w:t>
      </w:r>
      <w:r w:rsidR="00C02446">
        <w:t>use</w:t>
      </w:r>
      <w:r>
        <w:t xml:space="preserve"> </w:t>
      </w:r>
      <w:r w:rsidR="00C02446">
        <w:t>a</w:t>
      </w:r>
      <w:r>
        <w:t xml:space="preserve"> screening questionnaire </w:t>
      </w:r>
      <w:r w:rsidR="00D23E70">
        <w:t xml:space="preserve">(Attachment </w:t>
      </w:r>
      <w:r w:rsidR="00347477">
        <w:t>1</w:t>
      </w:r>
      <w:r w:rsidR="00D23E70">
        <w:t xml:space="preserve">) </w:t>
      </w:r>
      <w:r>
        <w:t>to recruit participants</w:t>
      </w:r>
      <w:r w:rsidR="00D23E70">
        <w:t xml:space="preserve"> </w:t>
      </w:r>
      <w:r>
        <w:t xml:space="preserve">and </w:t>
      </w:r>
      <w:r w:rsidR="00C02446">
        <w:t>a</w:t>
      </w:r>
      <w:r>
        <w:t xml:space="preserve"> discussion guide </w:t>
      </w:r>
      <w:r w:rsidR="00D23E70">
        <w:t xml:space="preserve">(Attachment </w:t>
      </w:r>
      <w:r w:rsidR="00347477">
        <w:t>6</w:t>
      </w:r>
      <w:r w:rsidR="00D23E70">
        <w:t xml:space="preserve">) </w:t>
      </w:r>
      <w:r>
        <w:t>for the moderator</w:t>
      </w:r>
      <w:r w:rsidR="00C02446">
        <w:t xml:space="preserve"> to guide the discussion</w:t>
      </w:r>
      <w:r>
        <w:t xml:space="preserve">. The screener and guide will be used for all four focus groups. </w:t>
      </w:r>
      <w:r w:rsidR="00C02446">
        <w:t>For medical association experts, a separate interview</w:t>
      </w:r>
      <w:r>
        <w:t xml:space="preserve"> guide </w:t>
      </w:r>
      <w:r w:rsidR="00C02446">
        <w:t xml:space="preserve">will be used (Attachment </w:t>
      </w:r>
      <w:r w:rsidR="00347477">
        <w:t>9</w:t>
      </w:r>
      <w:r w:rsidR="00C02446">
        <w:t xml:space="preserve">), but no screener will be involved due to the direct outreach method of scheduling. </w:t>
      </w:r>
      <w:r>
        <w:t xml:space="preserve"> </w:t>
      </w:r>
    </w:p>
    <w:p w:rsidR="005960A0" w:rsidP="008368F6" w14:paraId="335717E7" w14:textId="47D95E1C">
      <w:r>
        <w:t xml:space="preserve">For consumers, KRC will </w:t>
      </w:r>
      <w:r w:rsidR="00C02446">
        <w:t>use</w:t>
      </w:r>
      <w:r>
        <w:t xml:space="preserve"> one screening questionnaire</w:t>
      </w:r>
      <w:r w:rsidR="00D23E70">
        <w:t xml:space="preserve"> (Attachment </w:t>
      </w:r>
      <w:r w:rsidR="00347477">
        <w:t>2</w:t>
      </w:r>
      <w:r w:rsidR="00D23E70">
        <w:t xml:space="preserve">) </w:t>
      </w:r>
      <w:r>
        <w:t>to recruit participants</w:t>
      </w:r>
      <w:r w:rsidR="00D23E70">
        <w:t xml:space="preserve"> </w:t>
      </w:r>
      <w:r>
        <w:t xml:space="preserve">for all four focus groups and will </w:t>
      </w:r>
      <w:r w:rsidR="00C02446">
        <w:t>use</w:t>
      </w:r>
      <w:r>
        <w:t xml:space="preserve"> two discussion guides</w:t>
      </w:r>
      <w:r w:rsidR="00D23E70">
        <w:t xml:space="preserve"> (Attachment</w:t>
      </w:r>
      <w:r w:rsidR="6201B271">
        <w:t>s</w:t>
      </w:r>
      <w:r w:rsidR="00D23E70">
        <w:t xml:space="preserve"> </w:t>
      </w:r>
      <w:r w:rsidR="00347477">
        <w:t>7</w:t>
      </w:r>
      <w:r w:rsidR="00D23E70">
        <w:t xml:space="preserve">, </w:t>
      </w:r>
      <w:r w:rsidR="00347477">
        <w:t>8</w:t>
      </w:r>
      <w:r w:rsidR="00D23E70">
        <w:t>)</w:t>
      </w:r>
      <w:r>
        <w:t xml:space="preserve"> </w:t>
      </w:r>
      <w:r w:rsidR="00C02446">
        <w:t>for the moderator to guide the discussion</w:t>
      </w:r>
      <w:r>
        <w:t xml:space="preserve">: one for the young adults and older </w:t>
      </w:r>
      <w:r>
        <w:t>adults</w:t>
      </w:r>
      <w:r>
        <w:t xml:space="preserve"> groups, and one for the parents and caregivers </w:t>
      </w:r>
      <w:r>
        <w:t xml:space="preserve">groups. For the in-depth interviews, KRC will </w:t>
      </w:r>
      <w:r w:rsidR="00C02446">
        <w:t>use</w:t>
      </w:r>
      <w:r>
        <w:t xml:space="preserve"> a separate screener </w:t>
      </w:r>
      <w:r w:rsidR="00D23E70">
        <w:t xml:space="preserve">(Attachment </w:t>
      </w:r>
      <w:r w:rsidR="00347477">
        <w:t>3</w:t>
      </w:r>
      <w:r w:rsidR="00D23E70">
        <w:t xml:space="preserve">) </w:t>
      </w:r>
      <w:r>
        <w:t>and discussion guide</w:t>
      </w:r>
      <w:r w:rsidR="00D23E70">
        <w:t xml:space="preserve"> (Attachment </w:t>
      </w:r>
      <w:r w:rsidR="00347477">
        <w:t>10</w:t>
      </w:r>
      <w:r w:rsidR="00D23E70">
        <w:t>)</w:t>
      </w:r>
      <w:r>
        <w:t>.</w:t>
      </w:r>
    </w:p>
    <w:p w:rsidR="000D0B30" w:rsidP="008368F6" w14:paraId="71D04B27" w14:textId="3939E3DF">
      <w:r>
        <w:t xml:space="preserve">With the consent of each participant, focus groups and interviews will be audio and video recorded to capture the content of the discussion. Recordings will be used to develop written transcriptions which will be used for analytic purposes in the development of a report. Field notes will be taken during the </w:t>
      </w:r>
      <w:r w:rsidR="00A92D86">
        <w:t>discussions</w:t>
      </w:r>
      <w:r>
        <w:t xml:space="preserve"> to capture key quotes or expressions. No recordings or transcripts with personally identifiable information will be shared outside of the KRC Research and </w:t>
      </w:r>
      <w:r w:rsidR="00C02446">
        <w:t>CDC</w:t>
      </w:r>
      <w:r>
        <w:t xml:space="preserve"> team conducting and analyzing the </w:t>
      </w:r>
      <w:r w:rsidR="00A92D86">
        <w:t>discussions</w:t>
      </w:r>
      <w:r>
        <w:t>.</w:t>
      </w:r>
    </w:p>
    <w:p w:rsidR="000D0B30" w:rsidRPr="000D0B30" w:rsidP="008368F6" w14:paraId="22065A41" w14:textId="5DCF5385">
      <w:pPr>
        <w:rPr>
          <w:u w:val="single"/>
        </w:rPr>
      </w:pPr>
      <w:r>
        <w:rPr>
          <w:u w:val="single"/>
        </w:rPr>
        <w:t>Survey</w:t>
      </w:r>
    </w:p>
    <w:p w:rsidR="00DE40FB" w:rsidP="008368F6" w14:paraId="557A2DCF" w14:textId="2FC270A0">
      <w:r>
        <w:t xml:space="preserve">Prior to recruitment, KRC will work with its panel partner to program the </w:t>
      </w:r>
      <w:r w:rsidR="00EE3E34">
        <w:t xml:space="preserve">online </w:t>
      </w:r>
      <w:r>
        <w:t>surve</w:t>
      </w:r>
      <w:r w:rsidRPr="00347477">
        <w:t xml:space="preserve">y </w:t>
      </w:r>
      <w:r w:rsidRPr="00347477">
        <w:t xml:space="preserve">(Attachment </w:t>
      </w:r>
      <w:r w:rsidRPr="00347477" w:rsidR="00347477">
        <w:t>11</w:t>
      </w:r>
      <w:r w:rsidRPr="00347477">
        <w:t>)</w:t>
      </w:r>
      <w:r>
        <w:t xml:space="preserve"> </w:t>
      </w:r>
      <w:r>
        <w:t xml:space="preserve">and </w:t>
      </w:r>
      <w:r w:rsidR="00EE3E34">
        <w:t>ensure it is</w:t>
      </w:r>
      <w:r>
        <w:t xml:space="preserve"> thoroughly tested </w:t>
      </w:r>
      <w:r w:rsidR="00EE3E34">
        <w:t>for accuracy</w:t>
      </w:r>
      <w:r>
        <w:t>. The survey include</w:t>
      </w:r>
      <w:r w:rsidR="00EE3E34">
        <w:t>s</w:t>
      </w:r>
      <w:r>
        <w:t xml:space="preserve"> necessary screening questions to ensure that participants meet the specific criteria of </w:t>
      </w:r>
      <w:r w:rsidR="00384C05">
        <w:t>the</w:t>
      </w:r>
      <w:r>
        <w:t xml:space="preserve"> study. </w:t>
      </w:r>
    </w:p>
    <w:p w:rsidR="008C7991" w:rsidP="008368F6" w14:paraId="60D7ED8D" w14:textId="4AF73B48">
      <w:r w:rsidRPr="00EF256D">
        <w:t>Individuals will be asked whether they would like to participate in a survey; the invitation will reference the survey format (accessible online) and survey length (time in minutes). After reviewing this information, participants will opt in and</w:t>
      </w:r>
      <w:r>
        <w:t xml:space="preserve"> begin with screening questions to ensure they match the profile of the intended audience. Those who pass the screening questions will proceed to the content of the survey and will be counted as a complete once they finish all questions.</w:t>
      </w:r>
    </w:p>
    <w:p w:rsidR="00DE40FB" w:rsidRPr="00ED09E9" w:rsidP="008368F6" w14:paraId="5DD4C20D" w14:textId="74381267">
      <w:r>
        <w:t>Only b</w:t>
      </w:r>
      <w:r>
        <w:t>asic descriptive statistical analyses will be conducted with software for manipulation and tabulation of survey data</w:t>
      </w:r>
      <w:r>
        <w:t xml:space="preserve"> to aid in interpretation of results</w:t>
      </w:r>
      <w:r>
        <w:t>. For example, mean</w:t>
      </w:r>
      <w:r w:rsidR="007008B2">
        <w:t xml:space="preserve"> or median scores may be calculated </w:t>
      </w:r>
      <w:r>
        <w:t>for response categories including Strongly Agree, Agree Somewhat, Disagree Somewhat, and Strongly Disagree.</w:t>
      </w:r>
      <w:r w:rsidR="007008B2">
        <w:t xml:space="preserve"> </w:t>
      </w:r>
    </w:p>
    <w:p w:rsidR="00352CEE" w:rsidP="008368F6" w14:paraId="214C4368" w14:textId="28C04128">
      <w:pPr>
        <w:pStyle w:val="Heading1"/>
        <w:spacing w:line="276" w:lineRule="auto"/>
      </w:pPr>
      <w:bookmarkStart w:id="5" w:name="_Toc473882442"/>
      <w:r>
        <w:t xml:space="preserve">Methods to </w:t>
      </w:r>
      <w:r w:rsidR="007008B2">
        <w:t>M</w:t>
      </w:r>
      <w:r>
        <w:t>aximize Response Rates and Deal with No Response</w:t>
      </w:r>
      <w:bookmarkEnd w:id="5"/>
    </w:p>
    <w:p w:rsidR="00ED09E9" w:rsidP="008368F6" w14:paraId="3E898160" w14:textId="1B30D7C2">
      <w:r>
        <w:t>By design, all potential participants will be drawn from panel</w:t>
      </w:r>
      <w:r w:rsidR="000308B6">
        <w:t>s</w:t>
      </w:r>
      <w:r>
        <w:t xml:space="preserve"> of individuals who have opted in to participate in activities like this one (</w:t>
      </w:r>
      <w:r>
        <w:t>with the exception of</w:t>
      </w:r>
      <w:r>
        <w:t xml:space="preserve"> medical association experts who will be sourced directly through their connections to CDC). The use of panel sampling helps to maximize the efficiency of recruiting, since all possible participants are familiar with </w:t>
      </w:r>
      <w:r w:rsidR="000308B6">
        <w:t xml:space="preserve">the </w:t>
      </w:r>
      <w:r w:rsidR="000308B6">
        <w:t>process</w:t>
      </w:r>
      <w:r>
        <w:t xml:space="preserve"> and many will have been contacted before. Additionally, to maximize response, the screening questionnaires (Attachment</w:t>
      </w:r>
      <w:r w:rsidR="350B2A64">
        <w:t>s</w:t>
      </w:r>
      <w:r>
        <w:t xml:space="preserve"> </w:t>
      </w:r>
      <w:r w:rsidR="00347477">
        <w:t>1</w:t>
      </w:r>
      <w:r>
        <w:t>,</w:t>
      </w:r>
      <w:r w:rsidR="00347477">
        <w:t xml:space="preserve"> 2</w:t>
      </w:r>
      <w:r>
        <w:t>,</w:t>
      </w:r>
      <w:r w:rsidR="00347477">
        <w:t xml:space="preserve"> 3</w:t>
      </w:r>
      <w:r>
        <w:t xml:space="preserve">) have been intentionally designed to collect only the minimum amount of information needed to determine the qualifications and useful mix of participants, and quotas for several demographic variables are “loose,” meaning that there is no exact number of individuals who must be recruited with certain criteria. For example, recruiting a mix of </w:t>
      </w:r>
      <w:r w:rsidR="000D0B30">
        <w:t>geographic</w:t>
      </w:r>
      <w:r>
        <w:t xml:space="preserve"> settings within each group rather than an exact number in </w:t>
      </w:r>
      <w:r w:rsidR="000D0B30">
        <w:t>rural, suburban, or urban settings</w:t>
      </w:r>
      <w:r>
        <w:t>. This reduces the number of individuals who will be screened.</w:t>
      </w:r>
    </w:p>
    <w:p w:rsidR="00ED09E9" w:rsidP="008368F6" w14:paraId="3C352503" w14:textId="12CE6BC4">
      <w:r>
        <w:t>For focus groups and interviews, i</w:t>
      </w:r>
      <w:r>
        <w:t xml:space="preserve">t is sometimes the case that participants do not sign in on time for their </w:t>
      </w:r>
      <w:r>
        <w:t>discussion</w:t>
      </w:r>
      <w:r>
        <w:t>, either for unexpected personal reasons, forgetfulness, or other reasons. To minimize the instances of this occurring, respondents are given several days’ advance notice of the group</w:t>
      </w:r>
      <w:r>
        <w:t xml:space="preserve"> or interview</w:t>
      </w:r>
      <w:r>
        <w:t xml:space="preserve"> and are sent reminder emails the day before and day of the discussion. Should they still not appear, the </w:t>
      </w:r>
      <w:r>
        <w:t>interviewing team at KRC Research has protocols in place so that the recruiting team can quickly email or call the participant to confirm availability or troubleshoot. Additionally, it is a common practice in market research to plan for one or two “no show” participants</w:t>
      </w:r>
      <w:r>
        <w:t xml:space="preserve"> when planning focus groups</w:t>
      </w:r>
      <w:r>
        <w:t xml:space="preserve"> and to tailor the conversation as needed to adjust for a slightly smaller group.</w:t>
      </w:r>
    </w:p>
    <w:p w:rsidR="00352CEE" w:rsidRPr="008D5AEA" w:rsidP="008368F6" w14:paraId="214C4369" w14:textId="05A84AD3">
      <w:r>
        <w:t xml:space="preserve">At the beginning of each data collection, participants will be reminded that their participation is </w:t>
      </w:r>
      <w:r w:rsidR="00782B87">
        <w:t>voluntary,</w:t>
      </w:r>
      <w:r>
        <w:t xml:space="preserve"> and they do not need to answer any question that they are not comfortable answering.</w:t>
      </w:r>
      <w:r>
        <w:t xml:space="preserve"> </w:t>
      </w:r>
    </w:p>
    <w:p w:rsidR="00352CEE" w:rsidP="008368F6" w14:paraId="214C436A" w14:textId="3C69D07A">
      <w:pPr>
        <w:pStyle w:val="Heading1"/>
        <w:spacing w:line="276" w:lineRule="auto"/>
      </w:pPr>
      <w:bookmarkStart w:id="6" w:name="_Toc473882443"/>
      <w:r>
        <w:t xml:space="preserve">Tests </w:t>
      </w:r>
      <w:r w:rsidR="00DE48C7">
        <w:t xml:space="preserve">of Procedures or Methods to be </w:t>
      </w:r>
      <w:r w:rsidR="00EE3E34">
        <w:t>U</w:t>
      </w:r>
      <w:r>
        <w:t>ndertaken</w:t>
      </w:r>
      <w:bookmarkEnd w:id="6"/>
    </w:p>
    <w:p w:rsidR="00902146" w:rsidP="008368F6" w14:paraId="12447D08" w14:textId="4EF5A8B7">
      <w:bookmarkStart w:id="7" w:name="_Toc473882444"/>
      <w:r>
        <w:t>No pre-tests are planned for this project.</w:t>
      </w:r>
      <w:r w:rsidR="00EE3E34">
        <w:t xml:space="preserve"> However, the survey will be tested for accuracy and functionality prior to collecting data among the target policy influencer audience.</w:t>
      </w:r>
    </w:p>
    <w:p w:rsidR="00352CEE" w:rsidP="008368F6" w14:paraId="214C436D" w14:textId="77777777">
      <w:pPr>
        <w:pStyle w:val="Heading1"/>
        <w:spacing w:line="276" w:lineRule="auto"/>
      </w:pPr>
      <w:r>
        <w:t>Individuals Consulted on Statistical Aspects and Individuals Collecting and/or Analyzing Data</w:t>
      </w:r>
      <w:bookmarkEnd w:id="7"/>
    </w:p>
    <w:p w:rsidR="00902146" w:rsidP="008368F6" w14:paraId="73958492" w14:textId="641C708A">
      <w:pPr>
        <w:rPr>
          <w:sz w:val="22"/>
        </w:rPr>
      </w:pPr>
      <w:r>
        <w:t>The following individuals are working under contract with NCEZID and have been consulted throughout the development and design of this data collection. These individuals will lead the data collection once the package is approved.</w:t>
      </w:r>
    </w:p>
    <w:tbl>
      <w:tblPr>
        <w:tblStyle w:val="TableGrid"/>
        <w:tblW w:w="0" w:type="auto"/>
        <w:tblInd w:w="-5" w:type="dxa"/>
        <w:tblBorders>
          <w:insideH w:val="none" w:sz="0" w:space="0" w:color="auto"/>
          <w:insideV w:val="none" w:sz="0" w:space="0" w:color="auto"/>
        </w:tblBorders>
        <w:tblLook w:val="04A0"/>
      </w:tblPr>
      <w:tblGrid>
        <w:gridCol w:w="4410"/>
        <w:gridCol w:w="4945"/>
      </w:tblGrid>
      <w:tr w14:paraId="6D1105F3" w14:textId="77777777" w:rsidTr="006F7078">
        <w:tblPrEx>
          <w:tblW w:w="0" w:type="auto"/>
          <w:tblInd w:w="-5" w:type="dxa"/>
          <w:tblBorders>
            <w:insideH w:val="none" w:sz="0" w:space="0" w:color="auto"/>
            <w:insideV w:val="none" w:sz="0" w:space="0" w:color="auto"/>
          </w:tblBorders>
          <w:tblLook w:val="04A0"/>
        </w:tblPrEx>
        <w:trPr>
          <w:trHeight w:val="1728"/>
        </w:trPr>
        <w:tc>
          <w:tcPr>
            <w:tcW w:w="4410" w:type="dxa"/>
            <w:tcBorders>
              <w:top w:val="single" w:sz="4" w:space="0" w:color="auto"/>
              <w:left w:val="single" w:sz="4" w:space="0" w:color="auto"/>
              <w:bottom w:val="single" w:sz="4" w:space="0" w:color="auto"/>
              <w:right w:val="nil"/>
            </w:tcBorders>
          </w:tcPr>
          <w:p w:rsidR="00902146" w:rsidRPr="00841351" w:rsidP="008368F6" w14:paraId="4A0BBE3D" w14:textId="77777777">
            <w:pPr>
              <w:pStyle w:val="ExhibitTitle"/>
              <w:spacing w:before="0" w:after="0" w:line="276" w:lineRule="auto"/>
              <w:ind w:left="0" w:firstLine="0"/>
              <w:rPr>
                <w:iCs/>
                <w:color w:val="auto"/>
              </w:rPr>
            </w:pPr>
            <w:r w:rsidRPr="00841351">
              <w:rPr>
                <w:iCs/>
                <w:color w:val="auto"/>
              </w:rPr>
              <w:t>Mike Ruddell</w:t>
            </w:r>
          </w:p>
          <w:p w:rsidR="00902146" w:rsidRPr="00841351" w:rsidP="008368F6" w14:paraId="3F8E04E6" w14:textId="77777777">
            <w:pPr>
              <w:pStyle w:val="ExhibitTitle"/>
              <w:spacing w:before="0" w:after="0" w:line="276" w:lineRule="auto"/>
              <w:ind w:left="0" w:firstLine="0"/>
              <w:rPr>
                <w:b w:val="0"/>
                <w:bCs/>
              </w:rPr>
            </w:pPr>
            <w:r w:rsidRPr="00841351">
              <w:rPr>
                <w:b w:val="0"/>
                <w:bCs/>
                <w:iCs/>
                <w:color w:val="auto"/>
              </w:rPr>
              <w:t xml:space="preserve">Vice President, </w:t>
            </w:r>
            <w:r w:rsidRPr="00841351">
              <w:rPr>
                <w:b w:val="0"/>
                <w:bCs/>
              </w:rPr>
              <w:t>KRC Research</w:t>
            </w:r>
            <w:r w:rsidRPr="00841351">
              <w:rPr>
                <w:b w:val="0"/>
                <w:bCs/>
              </w:rPr>
              <w:br/>
              <w:t>733 10th St NW</w:t>
            </w:r>
          </w:p>
          <w:p w:rsidR="00902146" w:rsidRPr="00841351" w:rsidP="008368F6" w14:paraId="465EC41F" w14:textId="77777777">
            <w:pPr>
              <w:spacing w:line="276" w:lineRule="auto"/>
              <w:rPr>
                <w:rFonts w:cs="Times New Roman"/>
                <w:szCs w:val="24"/>
              </w:rPr>
            </w:pPr>
            <w:r w:rsidRPr="00841351">
              <w:rPr>
                <w:rFonts w:cs="Times New Roman"/>
                <w:szCs w:val="24"/>
              </w:rPr>
              <w:t>Washington, DC 20001</w:t>
            </w:r>
          </w:p>
          <w:p w:rsidR="00902146" w:rsidRPr="00841351" w:rsidP="008368F6" w14:paraId="3C96A790" w14:textId="77777777">
            <w:pPr>
              <w:spacing w:line="276" w:lineRule="auto"/>
              <w:rPr>
                <w:rFonts w:cs="Times New Roman"/>
                <w:szCs w:val="24"/>
              </w:rPr>
            </w:pPr>
            <w:r w:rsidRPr="00841351">
              <w:rPr>
                <w:rFonts w:cs="Times New Roman"/>
                <w:szCs w:val="24"/>
              </w:rPr>
              <w:t>Phone: 202-585-2946</w:t>
            </w:r>
          </w:p>
          <w:p w:rsidR="00902146" w:rsidRPr="00841351" w:rsidP="008368F6" w14:paraId="7AA71208" w14:textId="77777777">
            <w:pPr>
              <w:spacing w:line="276" w:lineRule="auto"/>
              <w:rPr>
                <w:rFonts w:asciiTheme="majorHAnsi" w:hAnsiTheme="majorHAnsi"/>
                <w:szCs w:val="24"/>
              </w:rPr>
            </w:pPr>
            <w:r w:rsidRPr="00841351">
              <w:rPr>
                <w:rFonts w:cs="Times New Roman"/>
                <w:szCs w:val="24"/>
              </w:rPr>
              <w:t xml:space="preserve">Email: </w:t>
            </w:r>
            <w:r w:rsidRPr="00841351">
              <w:rPr>
                <w:szCs w:val="24"/>
              </w:rPr>
              <w:t>mruddell@krcresearch.com</w:t>
            </w:r>
          </w:p>
        </w:tc>
        <w:tc>
          <w:tcPr>
            <w:tcW w:w="4945" w:type="dxa"/>
            <w:tcBorders>
              <w:top w:val="single" w:sz="4" w:space="0" w:color="auto"/>
              <w:left w:val="nil"/>
              <w:bottom w:val="single" w:sz="4" w:space="0" w:color="auto"/>
              <w:right w:val="single" w:sz="4" w:space="0" w:color="auto"/>
            </w:tcBorders>
          </w:tcPr>
          <w:p w:rsidR="00902146" w:rsidRPr="00841351" w:rsidP="008368F6" w14:paraId="766BAB1F" w14:textId="001B5531">
            <w:pPr>
              <w:pStyle w:val="ExhibitTitle"/>
              <w:spacing w:before="0" w:after="0" w:line="276" w:lineRule="auto"/>
              <w:ind w:left="0" w:firstLine="0"/>
              <w:rPr>
                <w:iCs/>
                <w:color w:val="auto"/>
              </w:rPr>
            </w:pPr>
            <w:r>
              <w:rPr>
                <w:iCs/>
                <w:color w:val="auto"/>
              </w:rPr>
              <w:t>Mark Richards</w:t>
            </w:r>
          </w:p>
          <w:p w:rsidR="00902146" w:rsidRPr="00841351" w:rsidP="008368F6" w14:paraId="1B90CBF6" w14:textId="2A46513A">
            <w:pPr>
              <w:spacing w:line="276" w:lineRule="auto"/>
              <w:rPr>
                <w:rFonts w:cs="Times New Roman"/>
                <w:szCs w:val="24"/>
              </w:rPr>
            </w:pPr>
            <w:r>
              <w:rPr>
                <w:rFonts w:cs="Times New Roman"/>
                <w:szCs w:val="24"/>
              </w:rPr>
              <w:t>Executive</w:t>
            </w:r>
            <w:r w:rsidRPr="00841351">
              <w:rPr>
                <w:rFonts w:cs="Times New Roman"/>
                <w:szCs w:val="24"/>
              </w:rPr>
              <w:t xml:space="preserve"> Vice President, KRC Research</w:t>
            </w:r>
            <w:r w:rsidRPr="00841351">
              <w:rPr>
                <w:rFonts w:cs="Times New Roman"/>
                <w:szCs w:val="24"/>
              </w:rPr>
              <w:br/>
              <w:t xml:space="preserve">733 10th St NW </w:t>
            </w:r>
          </w:p>
          <w:p w:rsidR="00902146" w:rsidRPr="00841351" w:rsidP="008368F6" w14:paraId="1CED4E0C" w14:textId="77777777">
            <w:pPr>
              <w:spacing w:line="276" w:lineRule="auto"/>
              <w:rPr>
                <w:rFonts w:cs="Times New Roman"/>
                <w:szCs w:val="24"/>
              </w:rPr>
            </w:pPr>
            <w:r w:rsidRPr="00841351">
              <w:rPr>
                <w:rFonts w:cs="Times New Roman"/>
                <w:szCs w:val="24"/>
              </w:rPr>
              <w:t>Washington, DC 20001</w:t>
            </w:r>
          </w:p>
          <w:p w:rsidR="00902146" w:rsidRPr="00841351" w:rsidP="008368F6" w14:paraId="56D7E63E" w14:textId="096709B2">
            <w:pPr>
              <w:spacing w:line="276" w:lineRule="auto"/>
              <w:rPr>
                <w:rFonts w:cs="Times New Roman"/>
                <w:szCs w:val="24"/>
              </w:rPr>
            </w:pPr>
            <w:r w:rsidRPr="00841351">
              <w:rPr>
                <w:rFonts w:cs="Times New Roman"/>
                <w:szCs w:val="24"/>
              </w:rPr>
              <w:t xml:space="preserve">Phone: </w:t>
            </w:r>
            <w:r w:rsidRPr="00902146">
              <w:rPr>
                <w:rFonts w:cs="Times New Roman"/>
                <w:szCs w:val="24"/>
              </w:rPr>
              <w:t>202</w:t>
            </w:r>
            <w:r>
              <w:rPr>
                <w:rFonts w:cs="Times New Roman"/>
                <w:szCs w:val="24"/>
              </w:rPr>
              <w:t>-</w:t>
            </w:r>
            <w:r w:rsidRPr="00902146">
              <w:rPr>
                <w:rFonts w:cs="Times New Roman"/>
                <w:szCs w:val="24"/>
              </w:rPr>
              <w:t>585</w:t>
            </w:r>
            <w:r>
              <w:rPr>
                <w:rFonts w:cs="Times New Roman"/>
                <w:szCs w:val="24"/>
              </w:rPr>
              <w:t>-</w:t>
            </w:r>
            <w:r w:rsidRPr="00902146">
              <w:rPr>
                <w:rFonts w:cs="Times New Roman"/>
                <w:szCs w:val="24"/>
              </w:rPr>
              <w:t>2982</w:t>
            </w:r>
          </w:p>
          <w:p w:rsidR="00902146" w:rsidRPr="00841351" w:rsidP="008368F6" w14:paraId="33A8C818" w14:textId="4EFF67FB">
            <w:pPr>
              <w:spacing w:line="276" w:lineRule="auto"/>
              <w:rPr>
                <w:rFonts w:asciiTheme="majorHAnsi" w:hAnsiTheme="majorHAnsi"/>
                <w:szCs w:val="24"/>
              </w:rPr>
            </w:pPr>
            <w:r w:rsidRPr="00841351">
              <w:rPr>
                <w:rFonts w:cs="Times New Roman"/>
                <w:szCs w:val="24"/>
              </w:rPr>
              <w:t xml:space="preserve">Email: </w:t>
            </w:r>
            <w:r>
              <w:rPr>
                <w:szCs w:val="24"/>
              </w:rPr>
              <w:t>mrichards</w:t>
            </w:r>
            <w:r w:rsidRPr="00841351">
              <w:rPr>
                <w:szCs w:val="24"/>
              </w:rPr>
              <w:t>@krcresearch.com</w:t>
            </w:r>
          </w:p>
        </w:tc>
      </w:tr>
    </w:tbl>
    <w:p w:rsidR="00985CCD" w:rsidRPr="00985CCD" w:rsidP="008368F6" w14:paraId="214C436E" w14:textId="06FB5917"/>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120369"/>
      <w:docPartObj>
        <w:docPartGallery w:val="Page Numbers (Bottom of Page)"/>
        <w:docPartUnique/>
      </w:docPartObj>
    </w:sdtPr>
    <w:sdtEndPr>
      <w:rPr>
        <w:noProof/>
      </w:rPr>
    </w:sdtEndPr>
    <w:sdtContent>
      <w:p w:rsidR="00587E8F" w14:paraId="2600BB54" w14:textId="2EF1708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B5D54" w14:paraId="214C43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242F7"/>
    <w:multiLevelType w:val="hybridMultilevel"/>
    <w:tmpl w:val="59FCA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68429C"/>
    <w:multiLevelType w:val="hybridMultilevel"/>
    <w:tmpl w:val="182E2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E85DA7"/>
    <w:multiLevelType w:val="hybridMultilevel"/>
    <w:tmpl w:val="19EE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996C9B"/>
    <w:multiLevelType w:val="hybridMultilevel"/>
    <w:tmpl w:val="917CC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5662993">
    <w:abstractNumId w:val="6"/>
  </w:num>
  <w:num w:numId="2" w16cid:durableId="378479500">
    <w:abstractNumId w:val="3"/>
  </w:num>
  <w:num w:numId="3" w16cid:durableId="182674963">
    <w:abstractNumId w:val="5"/>
  </w:num>
  <w:num w:numId="4" w16cid:durableId="2052803756">
    <w:abstractNumId w:val="2"/>
  </w:num>
  <w:num w:numId="5" w16cid:durableId="987587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0463944">
    <w:abstractNumId w:val="0"/>
  </w:num>
  <w:num w:numId="7" w16cid:durableId="135904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08B6"/>
    <w:rsid w:val="00081FD5"/>
    <w:rsid w:val="000D0B30"/>
    <w:rsid w:val="00104D12"/>
    <w:rsid w:val="00115C8F"/>
    <w:rsid w:val="001A7BC0"/>
    <w:rsid w:val="002C4F47"/>
    <w:rsid w:val="002D7E48"/>
    <w:rsid w:val="003151E9"/>
    <w:rsid w:val="00347477"/>
    <w:rsid w:val="00352CEE"/>
    <w:rsid w:val="00384C05"/>
    <w:rsid w:val="003B5E37"/>
    <w:rsid w:val="0049739C"/>
    <w:rsid w:val="004A13E8"/>
    <w:rsid w:val="004A6DE8"/>
    <w:rsid w:val="004D0CD2"/>
    <w:rsid w:val="00504358"/>
    <w:rsid w:val="00587E8F"/>
    <w:rsid w:val="005960A0"/>
    <w:rsid w:val="005A36EA"/>
    <w:rsid w:val="005C4D59"/>
    <w:rsid w:val="005F00B9"/>
    <w:rsid w:val="005F75B7"/>
    <w:rsid w:val="006C6578"/>
    <w:rsid w:val="006E23D0"/>
    <w:rsid w:val="006F12C6"/>
    <w:rsid w:val="007008B2"/>
    <w:rsid w:val="00782B87"/>
    <w:rsid w:val="00796C65"/>
    <w:rsid w:val="007D29D3"/>
    <w:rsid w:val="007E07CC"/>
    <w:rsid w:val="007E6753"/>
    <w:rsid w:val="00815482"/>
    <w:rsid w:val="00835477"/>
    <w:rsid w:val="00835C5B"/>
    <w:rsid w:val="008368F6"/>
    <w:rsid w:val="00841351"/>
    <w:rsid w:val="008A38AD"/>
    <w:rsid w:val="008B5D54"/>
    <w:rsid w:val="008C4D26"/>
    <w:rsid w:val="008C7991"/>
    <w:rsid w:val="008D5AEA"/>
    <w:rsid w:val="008E16F7"/>
    <w:rsid w:val="008F330E"/>
    <w:rsid w:val="00902146"/>
    <w:rsid w:val="009050E9"/>
    <w:rsid w:val="00912EF7"/>
    <w:rsid w:val="00967BC5"/>
    <w:rsid w:val="00982D03"/>
    <w:rsid w:val="00985CCD"/>
    <w:rsid w:val="00997D0E"/>
    <w:rsid w:val="009A79E1"/>
    <w:rsid w:val="009E4347"/>
    <w:rsid w:val="00A12917"/>
    <w:rsid w:val="00A208D4"/>
    <w:rsid w:val="00A62E84"/>
    <w:rsid w:val="00A92D86"/>
    <w:rsid w:val="00B22037"/>
    <w:rsid w:val="00B37DB6"/>
    <w:rsid w:val="00B55735"/>
    <w:rsid w:val="00B608AC"/>
    <w:rsid w:val="00BD1E2D"/>
    <w:rsid w:val="00C02446"/>
    <w:rsid w:val="00C84BC4"/>
    <w:rsid w:val="00CF79DB"/>
    <w:rsid w:val="00D23E70"/>
    <w:rsid w:val="00D5600C"/>
    <w:rsid w:val="00D90270"/>
    <w:rsid w:val="00DC57CC"/>
    <w:rsid w:val="00DE40FB"/>
    <w:rsid w:val="00DE48C7"/>
    <w:rsid w:val="00ED09E9"/>
    <w:rsid w:val="00ED44F5"/>
    <w:rsid w:val="00EE3E34"/>
    <w:rsid w:val="00EF256D"/>
    <w:rsid w:val="00F44AC6"/>
    <w:rsid w:val="00F92937"/>
    <w:rsid w:val="00F97F2F"/>
    <w:rsid w:val="2601EDAC"/>
    <w:rsid w:val="279DBE0D"/>
    <w:rsid w:val="3075B1D4"/>
    <w:rsid w:val="3125B67A"/>
    <w:rsid w:val="350B2A64"/>
    <w:rsid w:val="3656B092"/>
    <w:rsid w:val="43F2A99E"/>
    <w:rsid w:val="44812A08"/>
    <w:rsid w:val="5B52A982"/>
    <w:rsid w:val="60986886"/>
    <w:rsid w:val="6201B271"/>
    <w:rsid w:val="7DF5B7A1"/>
    <w:rsid w:val="7FF3A5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C05"/>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aliases w:val="Bullet Level 2"/>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aliases w:val="Bullet Level 2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3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rsid w:val="00902146"/>
    <w:rPr>
      <w:rFonts w:cs="Times New Roman"/>
      <w:sz w:val="16"/>
      <w:szCs w:val="16"/>
    </w:rPr>
  </w:style>
  <w:style w:type="paragraph" w:styleId="CommentText">
    <w:name w:val="annotation text"/>
    <w:basedOn w:val="Normal"/>
    <w:link w:val="CommentTextChar"/>
    <w:uiPriority w:val="99"/>
    <w:rsid w:val="00902146"/>
    <w:pPr>
      <w:spacing w:after="160" w:line="30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902146"/>
    <w:rPr>
      <w:rFonts w:eastAsiaTheme="minorEastAsia"/>
      <w:sz w:val="20"/>
      <w:szCs w:val="20"/>
    </w:rPr>
  </w:style>
  <w:style w:type="paragraph" w:customStyle="1" w:styleId="ExhibitTitle">
    <w:name w:val="Exhibit Title"/>
    <w:basedOn w:val="Normal"/>
    <w:uiPriority w:val="99"/>
    <w:rsid w:val="00902146"/>
    <w:pPr>
      <w:keepNext/>
      <w:keepLines/>
      <w:spacing w:before="80" w:after="120" w:line="240" w:lineRule="auto"/>
      <w:ind w:left="1627" w:hanging="1627"/>
    </w:pPr>
    <w:rPr>
      <w:rFonts w:eastAsia="Times New Roman" w:cs="Times New Roman"/>
      <w:b/>
      <w:color w:val="000000"/>
      <w:szCs w:val="24"/>
    </w:rPr>
  </w:style>
  <w:style w:type="paragraph" w:styleId="CommentSubject">
    <w:name w:val="annotation subject"/>
    <w:basedOn w:val="CommentText"/>
    <w:next w:val="CommentText"/>
    <w:link w:val="CommentSubjectChar"/>
    <w:uiPriority w:val="99"/>
    <w:semiHidden/>
    <w:unhideWhenUsed/>
    <w:rsid w:val="00D90270"/>
    <w:pPr>
      <w:spacing w:after="200" w:line="240" w:lineRule="auto"/>
    </w:pPr>
    <w:rPr>
      <w:rFonts w:ascii="Times New Roman" w:hAnsi="Times New Roman" w:eastAsiaTheme="minorHAnsi"/>
      <w:b/>
      <w:bCs/>
    </w:rPr>
  </w:style>
  <w:style w:type="character" w:customStyle="1" w:styleId="CommentSubjectChar">
    <w:name w:val="Comment Subject Char"/>
    <w:basedOn w:val="CommentTextChar"/>
    <w:link w:val="CommentSubject"/>
    <w:uiPriority w:val="99"/>
    <w:semiHidden/>
    <w:rsid w:val="00D90270"/>
    <w:rPr>
      <w:rFonts w:ascii="Times New Roman" w:hAnsi="Times New Roman" w:eastAsiaTheme="minorEastAsia"/>
      <w:b/>
      <w:bCs/>
      <w:sz w:val="20"/>
      <w:szCs w:val="20"/>
    </w:rPr>
  </w:style>
  <w:style w:type="paragraph" w:styleId="Revision">
    <w:name w:val="Revision"/>
    <w:hidden/>
    <w:uiPriority w:val="99"/>
    <w:semiHidden/>
    <w:rsid w:val="00B37DB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nhr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5.xml><?xml version="1.0" encoding="utf-8"?>
<ds:datastoreItem xmlns:ds="http://schemas.openxmlformats.org/officeDocument/2006/customXml" ds:itemID="{89A6187C-05E3-4E5E-8A27-81338BA2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4</cp:revision>
  <dcterms:created xsi:type="dcterms:W3CDTF">2024-02-09T20:09:00Z</dcterms:created>
  <dcterms:modified xsi:type="dcterms:W3CDTF">2024-02-16T18:45:00Z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MSIP_Label_7b94a7b8-f06c-4dfe-bdcc-9b548fd58c31_ActionId">
    <vt:lpwstr>da32443b-2632-4ddd-a9dc-3f65fe85a8e7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2023-11-07T17:56:17Z</vt:lpwstr>
  </property>
  <property fmtid="{D5CDD505-2E9C-101B-9397-08002B2CF9AE}" pid="9" name="MSIP_Label_7b94a7b8-f06c-4dfe-bdcc-9b548fd58c31_SiteId">
    <vt:lpwstr>9ce70869-60db-44fd-abe8-d2767077fc8f</vt:lpwstr>
  </property>
  <property fmtid="{D5CDD505-2E9C-101B-9397-08002B2CF9AE}" pid="10" name="_dlc_DocIdItemGuid">
    <vt:lpwstr>2f65c5a5-b25d-4476-bf18-54d2b4c4f1e7</vt:lpwstr>
  </property>
</Properties>
</file>