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64756" w:rsidP="00DD3169" w14:paraId="0A261457" w14:textId="12910E3A">
      <w:pPr>
        <w:ind w:left="1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Change Request</w:t>
      </w:r>
    </w:p>
    <w:p w:rsidR="00DD3169" w:rsidP="00DD3169" w14:paraId="20F4E935" w14:textId="5F84CA2B">
      <w:pPr>
        <w:ind w:left="1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Performance Measures Project</w:t>
      </w:r>
    </w:p>
    <w:p w:rsidR="007224E0" w:rsidRPr="00B372FB" w:rsidP="00DD3169" w14:paraId="611C9D03" w14:textId="54895D58">
      <w:pPr>
        <w:ind w:left="1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(OMB No. 0920-1282, Exp</w:t>
      </w:r>
      <w:r w:rsidR="002910E9">
        <w:rPr>
          <w:rFonts w:ascii="Arial" w:hAnsi="Arial" w:cs="Arial"/>
          <w:b/>
          <w:sz w:val="24"/>
          <w:szCs w:val="24"/>
        </w:rPr>
        <w:t xml:space="preserve"> Date: 6/30/2026</w:t>
      </w:r>
      <w:r>
        <w:rPr>
          <w:rFonts w:ascii="Arial" w:hAnsi="Arial" w:cs="Arial"/>
          <w:b/>
          <w:sz w:val="24"/>
          <w:szCs w:val="24"/>
        </w:rPr>
        <w:t>)</w:t>
      </w:r>
    </w:p>
    <w:p w:rsidR="0099687B" w:rsidP="00DD3169" w14:paraId="424EFB07" w14:textId="77777777">
      <w:pPr>
        <w:pStyle w:val="Heading2"/>
        <w:tabs>
          <w:tab w:val="left" w:pos="900"/>
        </w:tabs>
        <w:ind w:right="-180"/>
        <w:rPr>
          <w:rFonts w:ascii="Arial" w:hAnsi="Arial" w:cs="Arial"/>
          <w:b/>
          <w:sz w:val="24"/>
          <w:szCs w:val="24"/>
        </w:rPr>
      </w:pPr>
    </w:p>
    <w:p w:rsidR="002910E9" w:rsidP="0049564D" w14:paraId="2155288D" w14:textId="5B016BD6">
      <w:pPr>
        <w:spacing w:after="0" w:line="240" w:lineRule="auto"/>
        <w:rPr>
          <w:rFonts w:cstheme="minorHAnsi"/>
          <w:b/>
          <w:sz w:val="22"/>
          <w:szCs w:val="22"/>
        </w:rPr>
      </w:pPr>
      <w:r w:rsidRPr="0049564D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32FDF" w:rsidP="0049564D" w14:paraId="461865A8" w14:textId="77777777">
      <w:pPr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Summary</w:t>
      </w:r>
      <w:r w:rsidR="0057404C">
        <w:rPr>
          <w:rFonts w:cstheme="minorHAnsi"/>
          <w:b/>
          <w:sz w:val="22"/>
          <w:szCs w:val="22"/>
        </w:rPr>
        <w:t xml:space="preserve">: </w:t>
      </w:r>
    </w:p>
    <w:p w:rsidR="00D56433" w:rsidP="0049564D" w14:paraId="298806D8" w14:textId="64D02987">
      <w:pPr>
        <w:spacing w:after="0" w:line="240" w:lineRule="auto"/>
        <w:rPr>
          <w:rFonts w:cstheme="minorHAnsi"/>
          <w:sz w:val="22"/>
          <w:szCs w:val="22"/>
        </w:rPr>
      </w:pPr>
      <w:r w:rsidRPr="0049564D">
        <w:rPr>
          <w:rFonts w:cstheme="minorHAnsi"/>
          <w:sz w:val="22"/>
          <w:szCs w:val="22"/>
        </w:rPr>
        <w:t>As one of CDC’s primary overdose prevention initiatives, the Overdose Data to Action</w:t>
      </w:r>
      <w:r w:rsidR="002376B9">
        <w:rPr>
          <w:rFonts w:cstheme="minorHAnsi"/>
          <w:sz w:val="22"/>
          <w:szCs w:val="22"/>
        </w:rPr>
        <w:t xml:space="preserve">: </w:t>
      </w:r>
      <w:r w:rsidRPr="0049564D" w:rsidR="002376B9">
        <w:rPr>
          <w:rFonts w:cstheme="minorHAnsi"/>
          <w:sz w:val="22"/>
          <w:szCs w:val="22"/>
        </w:rPr>
        <w:t>Limiting Overdose through Collaborative Actions in Localities (OD2A: LOCAL) cooperative agreement</w:t>
      </w:r>
      <w:r w:rsidRPr="0049564D">
        <w:rPr>
          <w:rFonts w:cstheme="minorHAnsi"/>
          <w:sz w:val="22"/>
          <w:szCs w:val="22"/>
        </w:rPr>
        <w:t xml:space="preserve"> occupies a unique niche within the larger scope of Health and Human Services’ (HHS) drug overdose initiatives, including the HHS Overdose Prevention Strategy (OPS). This </w:t>
      </w:r>
      <w:r w:rsidR="00C11CF2">
        <w:rPr>
          <w:rFonts w:cstheme="minorHAnsi"/>
          <w:sz w:val="22"/>
          <w:szCs w:val="22"/>
        </w:rPr>
        <w:t xml:space="preserve">change </w:t>
      </w:r>
      <w:r w:rsidRPr="0049564D">
        <w:rPr>
          <w:rFonts w:cstheme="minorHAnsi"/>
          <w:sz w:val="22"/>
          <w:szCs w:val="22"/>
        </w:rPr>
        <w:t xml:space="preserve">request is to </w:t>
      </w:r>
      <w:r w:rsidR="00C11CF2">
        <w:rPr>
          <w:rFonts w:cstheme="minorHAnsi"/>
          <w:sz w:val="22"/>
          <w:szCs w:val="22"/>
        </w:rPr>
        <w:t xml:space="preserve">modify two </w:t>
      </w:r>
      <w:r w:rsidRPr="0049564D">
        <w:rPr>
          <w:rFonts w:cstheme="minorHAnsi"/>
          <w:sz w:val="22"/>
          <w:szCs w:val="22"/>
        </w:rPr>
        <w:t xml:space="preserve">performance measures </w:t>
      </w:r>
      <w:r w:rsidR="00C24587">
        <w:rPr>
          <w:rFonts w:cstheme="minorHAnsi"/>
          <w:sz w:val="22"/>
          <w:szCs w:val="22"/>
        </w:rPr>
        <w:t>reported by OD2A: LOCAL recipients to focus on health impact</w:t>
      </w:r>
      <w:r w:rsidR="00887FED">
        <w:rPr>
          <w:rFonts w:cstheme="minorHAnsi"/>
          <w:sz w:val="22"/>
          <w:szCs w:val="22"/>
        </w:rPr>
        <w:t>-focused overdose prevention</w:t>
      </w:r>
      <w:r w:rsidR="00B766D8">
        <w:rPr>
          <w:rFonts w:cstheme="minorHAnsi"/>
          <w:sz w:val="22"/>
          <w:szCs w:val="22"/>
        </w:rPr>
        <w:t xml:space="preserve"> practices and interventions</w:t>
      </w:r>
      <w:r w:rsidR="00EC4B0B">
        <w:rPr>
          <w:rFonts w:cstheme="minorHAnsi"/>
          <w:sz w:val="22"/>
          <w:szCs w:val="22"/>
        </w:rPr>
        <w:t xml:space="preserve"> that affect populations disproportionately affected by overdose.</w:t>
      </w:r>
      <w:r w:rsidR="00DB01D6">
        <w:rPr>
          <w:rFonts w:cstheme="minorHAnsi"/>
          <w:sz w:val="22"/>
          <w:szCs w:val="22"/>
        </w:rPr>
        <w:t xml:space="preserve"> </w:t>
      </w:r>
      <w:r w:rsidRPr="00DB01D6" w:rsidR="00DB01D6">
        <w:rPr>
          <w:rFonts w:cstheme="minorHAnsi"/>
          <w:sz w:val="22"/>
          <w:szCs w:val="22"/>
        </w:rPr>
        <w:t>The primary goal of performance measures in OD2A: LOCAL is to provide a common set of indicators that will be used by OD2A: LOCAL recipients and their partners, as well as by CDC, to monitor progress and identify areas for improvement. It is important to note, OD2A: LOCAL has a complementary cooperative agreement. OD2A in States (OD2A-S) works with state health department recipients. Together OD2A: LOCAL and OD2A-S are the two primary overdose cooperative agreements for CDC’s overdose prevention initiatives.</w:t>
      </w:r>
    </w:p>
    <w:p w:rsidR="00C24587" w:rsidP="0049564D" w14:paraId="38A150A6" w14:textId="77777777">
      <w:pPr>
        <w:spacing w:after="0" w:line="240" w:lineRule="auto"/>
        <w:rPr>
          <w:rFonts w:cstheme="minorHAnsi"/>
          <w:b/>
          <w:sz w:val="22"/>
          <w:szCs w:val="22"/>
        </w:rPr>
      </w:pPr>
    </w:p>
    <w:p w:rsidR="008C0EB8" w:rsidP="0049564D" w14:paraId="4F6C0BFD" w14:textId="4A004435">
      <w:pPr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Attachments</w:t>
      </w:r>
      <w:r>
        <w:rPr>
          <w:rFonts w:cstheme="minorHAnsi"/>
          <w:b/>
          <w:sz w:val="22"/>
          <w:szCs w:val="22"/>
        </w:rPr>
        <w:t>:</w:t>
      </w:r>
    </w:p>
    <w:p w:rsidR="00431ACD" w:rsidP="00431ACD" w14:paraId="15E2A73D" w14:textId="6E765D44">
      <w:pPr>
        <w:pStyle w:val="ListParagraph"/>
        <w:numPr>
          <w:ilvl w:val="0"/>
          <w:numId w:val="2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AttA_</w:t>
      </w:r>
      <w:r w:rsidRPr="00D10D07">
        <w:rPr>
          <w:rFonts w:cstheme="minorHAnsi"/>
          <w:bCs/>
          <w:sz w:val="22"/>
          <w:szCs w:val="22"/>
        </w:rPr>
        <w:t xml:space="preserve">OD2A LOCAL PM Technical Guidance </w:t>
      </w:r>
    </w:p>
    <w:p w:rsidR="00431ACD" w:rsidP="00431ACD" w14:paraId="33368B7B" w14:textId="63321A18">
      <w:pPr>
        <w:pStyle w:val="ListParagraph"/>
        <w:numPr>
          <w:ilvl w:val="0"/>
          <w:numId w:val="2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AttB_</w:t>
      </w:r>
      <w:r w:rsidRPr="003B1321">
        <w:rPr>
          <w:rFonts w:cstheme="minorHAnsi"/>
          <w:bCs/>
          <w:sz w:val="22"/>
          <w:szCs w:val="22"/>
        </w:rPr>
        <w:t>OD2A LOCAL Excel Reporting Tool</w:t>
      </w:r>
    </w:p>
    <w:p w:rsidR="00431ACD" w:rsidRPr="002A78B9" w:rsidP="00431ACD" w14:paraId="4E91A9A0" w14:textId="3640F25F">
      <w:pPr>
        <w:pStyle w:val="ListParagraph"/>
        <w:numPr>
          <w:ilvl w:val="0"/>
          <w:numId w:val="23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AttC_</w:t>
      </w:r>
      <w:r>
        <w:rPr>
          <w:rFonts w:cstheme="minorHAnsi"/>
          <w:bCs/>
          <w:sz w:val="22"/>
          <w:szCs w:val="22"/>
        </w:rPr>
        <w:t xml:space="preserve">OD2A LOCAL </w:t>
      </w:r>
      <w:r w:rsidR="00EA6C08">
        <w:rPr>
          <w:rFonts w:cstheme="minorHAnsi"/>
          <w:bCs/>
          <w:sz w:val="22"/>
          <w:szCs w:val="22"/>
        </w:rPr>
        <w:t>Contextual</w:t>
      </w:r>
      <w:r w:rsidR="00DC1A29">
        <w:rPr>
          <w:rFonts w:cstheme="minorHAnsi"/>
          <w:bCs/>
          <w:sz w:val="22"/>
          <w:szCs w:val="22"/>
        </w:rPr>
        <w:t xml:space="preserve"> and Data Quality Questions for Performance Measures</w:t>
      </w:r>
    </w:p>
    <w:p w:rsidR="00431ACD" w:rsidP="0049564D" w14:paraId="5CADE2CD" w14:textId="77777777">
      <w:pPr>
        <w:spacing w:after="0" w:line="240" w:lineRule="auto"/>
        <w:rPr>
          <w:rFonts w:cstheme="minorHAnsi"/>
          <w:b/>
          <w:sz w:val="22"/>
          <w:szCs w:val="22"/>
        </w:rPr>
      </w:pPr>
    </w:p>
    <w:p w:rsidR="0007499E" w:rsidP="0049564D" w14:paraId="5C35B7F9" w14:textId="6D1DC802">
      <w:pPr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Background and Justification</w:t>
      </w:r>
      <w:r w:rsidRPr="0049564D" w:rsidR="00ED0EC8">
        <w:rPr>
          <w:rFonts w:cstheme="minorHAnsi"/>
          <w:b/>
          <w:sz w:val="22"/>
          <w:szCs w:val="22"/>
        </w:rPr>
        <w:t>:</w:t>
      </w:r>
      <w:r w:rsidRPr="0049564D" w:rsidR="009B26BA">
        <w:rPr>
          <w:rFonts w:cstheme="minorHAnsi"/>
          <w:b/>
          <w:sz w:val="22"/>
          <w:szCs w:val="22"/>
        </w:rPr>
        <w:t xml:space="preserve"> </w:t>
      </w:r>
    </w:p>
    <w:p w:rsidR="005172AA" w:rsidRPr="0049564D" w:rsidP="005172AA" w14:paraId="32373FA0" w14:textId="33EC3E7B">
      <w:pPr>
        <w:spacing w:after="0" w:line="240" w:lineRule="auto"/>
        <w:rPr>
          <w:rFonts w:cstheme="minorHAnsi"/>
          <w:sz w:val="22"/>
          <w:szCs w:val="22"/>
        </w:rPr>
      </w:pPr>
      <w:r w:rsidRPr="0049564D">
        <w:rPr>
          <w:rFonts w:cstheme="minorHAnsi"/>
          <w:bCs/>
          <w:sz w:val="22"/>
          <w:szCs w:val="22"/>
        </w:rPr>
        <w:t>T</w:t>
      </w:r>
      <w:r w:rsidRPr="0049564D">
        <w:rPr>
          <w:rFonts w:cstheme="minorHAnsi"/>
          <w:color w:val="000000" w:themeColor="text1"/>
          <w:sz w:val="22"/>
          <w:szCs w:val="22"/>
        </w:rPr>
        <w:t>he purpose of the OD2A: LOCAL is</w:t>
      </w:r>
      <w:r w:rsidRPr="0049564D">
        <w:rPr>
          <w:rFonts w:cstheme="minorHAnsi"/>
          <w:bCs/>
          <w:sz w:val="22"/>
          <w:szCs w:val="22"/>
        </w:rPr>
        <w:t xml:space="preserve"> to support funded health departments to use data to drive action steps to reduce overdose morbidity and mortality as fast as possible, with a primary focus on opioid, stimulant, and polysubstance use involving opioids and/or stimulants. These action steps should address</w:t>
      </w:r>
      <w:r w:rsidR="002837BB">
        <w:rPr>
          <w:rFonts w:cstheme="minorHAnsi"/>
          <w:bCs/>
          <w:sz w:val="22"/>
          <w:szCs w:val="22"/>
        </w:rPr>
        <w:t xml:space="preserve"> and</w:t>
      </w:r>
      <w:r w:rsidRPr="0049564D">
        <w:rPr>
          <w:rFonts w:cstheme="minorHAnsi"/>
          <w:bCs/>
          <w:sz w:val="22"/>
          <w:szCs w:val="22"/>
        </w:rPr>
        <w:t xml:space="preserve"> inform prevention and response efforts</w:t>
      </w:r>
      <w:r w:rsidR="00B766D8">
        <w:rPr>
          <w:rFonts w:cstheme="minorHAnsi"/>
          <w:bCs/>
          <w:sz w:val="22"/>
          <w:szCs w:val="22"/>
        </w:rPr>
        <w:t xml:space="preserve"> for the general population as well as populations disproportionately affected by overdose across states and local jurisdictions</w:t>
      </w:r>
      <w:r w:rsidRPr="0049564D">
        <w:rPr>
          <w:rFonts w:cstheme="minorHAnsi"/>
          <w:bCs/>
          <w:sz w:val="22"/>
          <w:szCs w:val="22"/>
        </w:rPr>
        <w:t xml:space="preserve">. </w:t>
      </w:r>
      <w:r w:rsidRPr="0049564D">
        <w:rPr>
          <w:rFonts w:cstheme="minorHAnsi"/>
          <w:sz w:val="22"/>
          <w:szCs w:val="22"/>
        </w:rPr>
        <w:t>Information collected</w:t>
      </w:r>
      <w:r w:rsidR="00B63BF7">
        <w:rPr>
          <w:rFonts w:cstheme="minorHAnsi"/>
          <w:sz w:val="22"/>
          <w:szCs w:val="22"/>
        </w:rPr>
        <w:t xml:space="preserve"> in performance measures</w:t>
      </w:r>
      <w:r w:rsidRPr="0049564D">
        <w:rPr>
          <w:rFonts w:cstheme="minorHAnsi"/>
          <w:sz w:val="22"/>
          <w:szCs w:val="22"/>
        </w:rPr>
        <w:t xml:space="preserve"> will provide crucial data for program performance monitoring and program success. </w:t>
      </w:r>
      <w:r w:rsidR="00B63BF7">
        <w:rPr>
          <w:rFonts w:cstheme="minorHAnsi"/>
          <w:sz w:val="22"/>
          <w:szCs w:val="22"/>
        </w:rPr>
        <w:t>P</w:t>
      </w:r>
      <w:r w:rsidRPr="0049564D">
        <w:rPr>
          <w:rFonts w:cstheme="minorHAnsi"/>
          <w:sz w:val="22"/>
          <w:szCs w:val="22"/>
        </w:rPr>
        <w:t xml:space="preserve">erformance measures were designed in collaboration with CDC subject matter experts, OD2A: LOCAL recipients, and other selected experts. Data collection will include 100% of </w:t>
      </w:r>
      <w:r w:rsidRPr="0049564D">
        <w:rPr>
          <w:rFonts w:cstheme="minorHAnsi"/>
          <w:color w:val="000000" w:themeColor="text1"/>
          <w:sz w:val="22"/>
          <w:szCs w:val="22"/>
        </w:rPr>
        <w:t>jurisdictions funded in the OD2A: LOCAL NOFO</w:t>
      </w:r>
      <w:r w:rsidRPr="0049564D">
        <w:rPr>
          <w:rFonts w:cstheme="minorHAnsi"/>
          <w:sz w:val="22"/>
          <w:szCs w:val="22"/>
        </w:rPr>
        <w:t>. Data will be analyzed using descriptive and summary statistics, and qualitative summaries. These standardized performance measures will be used to help:</w:t>
      </w:r>
    </w:p>
    <w:p w:rsidR="005172AA" w:rsidRPr="0049564D" w:rsidP="005172AA" w14:paraId="0C90A92E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2"/>
          <w:szCs w:val="22"/>
        </w:rPr>
      </w:pPr>
      <w:r w:rsidRPr="0049564D">
        <w:rPr>
          <w:rFonts w:cstheme="minorHAnsi"/>
          <w:sz w:val="22"/>
          <w:szCs w:val="22"/>
        </w:rPr>
        <w:t>Recipients show progress and communicate progress to their health department leadership.</w:t>
      </w:r>
    </w:p>
    <w:p w:rsidR="005172AA" w:rsidRPr="0049564D" w:rsidP="005172AA" w14:paraId="24B70B33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2"/>
          <w:szCs w:val="22"/>
        </w:rPr>
      </w:pPr>
      <w:r w:rsidRPr="0049564D">
        <w:rPr>
          <w:rFonts w:cstheme="minorHAnsi"/>
          <w:sz w:val="22"/>
          <w:szCs w:val="22"/>
        </w:rPr>
        <w:t>CDC and recipients inform future CDC programmatic investments.</w:t>
      </w:r>
    </w:p>
    <w:p w:rsidR="005172AA" w:rsidRPr="0049564D" w:rsidP="005172AA" w14:paraId="1D3573EE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2"/>
          <w:szCs w:val="22"/>
        </w:rPr>
      </w:pPr>
      <w:r w:rsidRPr="0049564D">
        <w:rPr>
          <w:rFonts w:cstheme="minorHAnsi"/>
          <w:sz w:val="22"/>
          <w:szCs w:val="22"/>
        </w:rPr>
        <w:t>CDC and recipients understand the contributions of OD2A: LOCAL across overdose prevention strategies and use data for programmatic improvement.</w:t>
      </w:r>
    </w:p>
    <w:p w:rsidR="005172AA" w:rsidRPr="0049564D" w:rsidP="005172AA" w14:paraId="26AD211E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2"/>
          <w:szCs w:val="22"/>
        </w:rPr>
      </w:pPr>
      <w:r w:rsidRPr="0049564D">
        <w:rPr>
          <w:rFonts w:cstheme="minorHAnsi"/>
          <w:sz w:val="22"/>
          <w:szCs w:val="22"/>
        </w:rPr>
        <w:t>CDC communicate with Health and Human Services (HHS) and other federal policymakers about the progress made under OD2A: LOCAL.</w:t>
      </w:r>
    </w:p>
    <w:p w:rsidR="0007499E" w:rsidRPr="0049564D" w:rsidP="0007499E" w14:paraId="4D198549" w14:textId="1F76A47E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OD2A: LOCAL </w:t>
      </w:r>
      <w:r w:rsidRPr="0049564D">
        <w:rPr>
          <w:rFonts w:cstheme="minorHAnsi"/>
          <w:sz w:val="22"/>
          <w:szCs w:val="22"/>
        </w:rPr>
        <w:t xml:space="preserve">performance measures are committed to addressing </w:t>
      </w:r>
      <w:r>
        <w:rPr>
          <w:rFonts w:cstheme="minorHAnsi"/>
          <w:sz w:val="22"/>
          <w:szCs w:val="22"/>
        </w:rPr>
        <w:t>data driven</w:t>
      </w:r>
      <w:r w:rsidRPr="0049564D">
        <w:rPr>
          <w:rFonts w:cstheme="minorHAnsi"/>
          <w:sz w:val="22"/>
          <w:szCs w:val="22"/>
        </w:rPr>
        <w:t xml:space="preserve"> delivery of and improved access to care and services for people who use drugs (PWUD) and other priority populations. </w:t>
      </w:r>
      <w:r w:rsidR="0076577D">
        <w:rPr>
          <w:rFonts w:cstheme="minorHAnsi"/>
          <w:sz w:val="22"/>
          <w:szCs w:val="22"/>
        </w:rPr>
        <w:t>Performance measures provide a</w:t>
      </w:r>
      <w:r w:rsidR="005C5F3B">
        <w:rPr>
          <w:rFonts w:cstheme="minorHAnsi"/>
          <w:sz w:val="22"/>
          <w:szCs w:val="22"/>
        </w:rPr>
        <w:t xml:space="preserve"> specific focus on program impacts that demonstrate how </w:t>
      </w:r>
      <w:r w:rsidR="0076577D">
        <w:rPr>
          <w:rFonts w:cstheme="minorHAnsi"/>
          <w:sz w:val="22"/>
          <w:szCs w:val="22"/>
        </w:rPr>
        <w:t xml:space="preserve">OD2A: </w:t>
      </w:r>
      <w:r w:rsidR="0076577D">
        <w:rPr>
          <w:rFonts w:cstheme="minorHAnsi"/>
          <w:sz w:val="22"/>
          <w:szCs w:val="22"/>
        </w:rPr>
        <w:t>LOCAL addresses</w:t>
      </w:r>
      <w:r w:rsidR="00384A58">
        <w:rPr>
          <w:rFonts w:cstheme="minorHAnsi"/>
          <w:sz w:val="22"/>
          <w:szCs w:val="22"/>
        </w:rPr>
        <w:t xml:space="preserve"> the</w:t>
      </w:r>
      <w:r w:rsidR="0076577D">
        <w:rPr>
          <w:rFonts w:cstheme="minorHAnsi"/>
          <w:sz w:val="22"/>
          <w:szCs w:val="22"/>
        </w:rPr>
        <w:t xml:space="preserve"> </w:t>
      </w:r>
      <w:r w:rsidR="005C5F3B">
        <w:rPr>
          <w:rFonts w:cstheme="minorHAnsi"/>
          <w:sz w:val="22"/>
          <w:szCs w:val="22"/>
        </w:rPr>
        <w:t>needs of populations disproportionately affected</w:t>
      </w:r>
      <w:r w:rsidR="000366F7">
        <w:rPr>
          <w:rFonts w:cstheme="minorHAnsi"/>
          <w:sz w:val="22"/>
          <w:szCs w:val="22"/>
        </w:rPr>
        <w:t xml:space="preserve"> by</w:t>
      </w:r>
      <w:r w:rsidR="005C5F3B">
        <w:rPr>
          <w:rFonts w:cstheme="minorHAnsi"/>
          <w:sz w:val="22"/>
          <w:szCs w:val="22"/>
        </w:rPr>
        <w:t xml:space="preserve"> overdose </w:t>
      </w:r>
      <w:r w:rsidR="00384A58">
        <w:rPr>
          <w:rFonts w:cstheme="minorHAnsi"/>
          <w:sz w:val="22"/>
          <w:szCs w:val="22"/>
        </w:rPr>
        <w:t xml:space="preserve">as well as </w:t>
      </w:r>
      <w:r w:rsidR="006562A3">
        <w:rPr>
          <w:rFonts w:cstheme="minorHAnsi"/>
          <w:sz w:val="22"/>
          <w:szCs w:val="22"/>
        </w:rPr>
        <w:t>the overall populations within OD2A: LOCAL-funded jurisdictions</w:t>
      </w:r>
      <w:r w:rsidRPr="0049564D">
        <w:rPr>
          <w:rFonts w:cstheme="minorHAnsi"/>
          <w:sz w:val="22"/>
          <w:szCs w:val="22"/>
        </w:rPr>
        <w:t xml:space="preserve">. </w:t>
      </w:r>
      <w:r w:rsidR="00881584">
        <w:rPr>
          <w:rFonts w:cstheme="minorHAnsi"/>
          <w:sz w:val="22"/>
          <w:szCs w:val="22"/>
        </w:rPr>
        <w:t>T</w:t>
      </w:r>
      <w:r w:rsidR="006562A3">
        <w:rPr>
          <w:rFonts w:cstheme="minorHAnsi"/>
          <w:sz w:val="22"/>
          <w:szCs w:val="22"/>
        </w:rPr>
        <w:t>he</w:t>
      </w:r>
      <w:r w:rsidR="009B0F13">
        <w:rPr>
          <w:rFonts w:cstheme="minorHAnsi"/>
          <w:sz w:val="22"/>
          <w:szCs w:val="22"/>
        </w:rPr>
        <w:t xml:space="preserve"> focus on program impact measures will serve as a key complement to </w:t>
      </w:r>
      <w:r w:rsidR="00881584">
        <w:rPr>
          <w:rFonts w:cstheme="minorHAnsi"/>
          <w:sz w:val="22"/>
          <w:szCs w:val="22"/>
        </w:rPr>
        <w:t xml:space="preserve">other performance measures focused on key prevention interventions. </w:t>
      </w:r>
    </w:p>
    <w:p w:rsidR="0007499E" w:rsidP="0007499E" w14:paraId="671B27F2" w14:textId="77777777">
      <w:pPr>
        <w:spacing w:after="0" w:line="240" w:lineRule="auto"/>
        <w:rPr>
          <w:rFonts w:cstheme="minorHAnsi"/>
          <w:sz w:val="22"/>
          <w:szCs w:val="22"/>
        </w:rPr>
      </w:pPr>
    </w:p>
    <w:p w:rsidR="00EA6C08" w:rsidRPr="00EA6C08" w:rsidP="00EA6C08" w14:paraId="626EC204" w14:textId="77777777">
      <w:pPr>
        <w:spacing w:after="0" w:line="240" w:lineRule="auto"/>
        <w:rPr>
          <w:rFonts w:cstheme="minorHAnsi"/>
          <w:bCs/>
          <w:sz w:val="22"/>
          <w:szCs w:val="22"/>
        </w:rPr>
      </w:pPr>
    </w:p>
    <w:p w:rsidR="00B46F2C" w:rsidRPr="0049564D" w:rsidP="00EA6C08" w14:paraId="01F82DC3" w14:textId="3100C715">
      <w:pPr>
        <w:spacing w:after="0" w:line="240" w:lineRule="auto"/>
        <w:rPr>
          <w:rFonts w:cstheme="minorHAnsi"/>
          <w:bCs/>
          <w:sz w:val="22"/>
          <w:szCs w:val="22"/>
        </w:rPr>
      </w:pPr>
      <w:r w:rsidRPr="00EA6C08">
        <w:rPr>
          <w:rFonts w:cstheme="minorHAnsi"/>
          <w:b/>
          <w:bCs/>
          <w:sz w:val="22"/>
          <w:szCs w:val="22"/>
        </w:rPr>
        <w:t>Effect of Proposed Changes on Currently Approved Instruments</w:t>
      </w:r>
      <w:r w:rsidR="00832FDF">
        <w:rPr>
          <w:rFonts w:cstheme="minorHAnsi"/>
          <w:b/>
          <w:bCs/>
          <w:sz w:val="22"/>
          <w:szCs w:val="22"/>
        </w:rPr>
        <w:t>:</w:t>
      </w:r>
    </w:p>
    <w:p w:rsidR="00D663F0" w:rsidRPr="0049564D" w:rsidP="0049564D" w14:paraId="216D336D" w14:textId="4276AFE7">
      <w:pPr>
        <w:spacing w:after="0"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Effects on currently approved instruments are limited to the updated focus of two measures—one qualitative and one quantitative—and their corresponding </w:t>
      </w:r>
      <w:r w:rsidR="00425AE1">
        <w:rPr>
          <w:rFonts w:cstheme="minorHAnsi"/>
          <w:sz w:val="22"/>
          <w:szCs w:val="22"/>
        </w:rPr>
        <w:t xml:space="preserve">contextual and data quality questions. </w:t>
      </w:r>
      <w:r w:rsidR="002E6551">
        <w:rPr>
          <w:rFonts w:cstheme="minorHAnsi"/>
          <w:sz w:val="22"/>
          <w:szCs w:val="22"/>
        </w:rPr>
        <w:t>Th</w:t>
      </w:r>
      <w:r w:rsidR="00B30A34">
        <w:rPr>
          <w:rFonts w:cstheme="minorHAnsi"/>
          <w:sz w:val="22"/>
          <w:szCs w:val="22"/>
        </w:rPr>
        <w:t xml:space="preserve">e proposed changes will result in modifications to data reported </w:t>
      </w:r>
      <w:r w:rsidR="00B05321">
        <w:rPr>
          <w:rFonts w:cstheme="minorHAnsi"/>
          <w:sz w:val="22"/>
          <w:szCs w:val="22"/>
        </w:rPr>
        <w:t xml:space="preserve">by OD2A: LOCAL recipients for their </w:t>
      </w:r>
      <w:r w:rsidR="00B419EA">
        <w:rPr>
          <w:rFonts w:cstheme="minorHAnsi"/>
          <w:sz w:val="22"/>
          <w:szCs w:val="22"/>
        </w:rPr>
        <w:t>HE_Impact</w:t>
      </w:r>
      <w:r w:rsidR="00B419EA">
        <w:rPr>
          <w:rFonts w:cstheme="minorHAnsi"/>
          <w:sz w:val="22"/>
          <w:szCs w:val="22"/>
        </w:rPr>
        <w:t xml:space="preserve"> and </w:t>
      </w:r>
      <w:r w:rsidR="00B419EA">
        <w:rPr>
          <w:rFonts w:cstheme="minorHAnsi"/>
          <w:sz w:val="22"/>
          <w:szCs w:val="22"/>
        </w:rPr>
        <w:t>HE_Activities</w:t>
      </w:r>
      <w:r w:rsidR="00B419EA">
        <w:rPr>
          <w:rFonts w:cstheme="minorHAnsi"/>
          <w:sz w:val="22"/>
          <w:szCs w:val="22"/>
        </w:rPr>
        <w:t xml:space="preserve"> performance measures </w:t>
      </w:r>
      <w:r w:rsidR="00C45EB4">
        <w:rPr>
          <w:rFonts w:cstheme="minorHAnsi"/>
          <w:sz w:val="22"/>
          <w:szCs w:val="22"/>
        </w:rPr>
        <w:t xml:space="preserve">to address </w:t>
      </w:r>
      <w:r w:rsidR="00AC2CAA">
        <w:rPr>
          <w:rFonts w:cstheme="minorHAnsi"/>
          <w:sz w:val="22"/>
          <w:szCs w:val="22"/>
        </w:rPr>
        <w:t xml:space="preserve">health impact-focused overdose prevention practices focused on </w:t>
      </w:r>
      <w:r w:rsidR="00C45EB4">
        <w:rPr>
          <w:rFonts w:cstheme="minorHAnsi"/>
          <w:sz w:val="22"/>
          <w:szCs w:val="22"/>
        </w:rPr>
        <w:t>disproportionately affected populations.</w:t>
      </w:r>
    </w:p>
    <w:p w:rsidR="0007499E" w:rsidP="00C86E91" w14:paraId="6D2F69C6" w14:textId="77777777">
      <w:pPr>
        <w:rPr>
          <w:rFonts w:cstheme="minorHAnsi"/>
          <w:b/>
          <w:sz w:val="22"/>
          <w:szCs w:val="22"/>
        </w:rPr>
      </w:pPr>
    </w:p>
    <w:p w:rsidR="00B46F2C" w:rsidRPr="002A78B9" w:rsidP="00C86E91" w14:paraId="4684DAD9" w14:textId="05E23D6F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Effects on Burden Estimate</w:t>
      </w:r>
      <w:r w:rsidR="00832FDF">
        <w:rPr>
          <w:rFonts w:cstheme="minorHAnsi"/>
          <w:b/>
          <w:sz w:val="22"/>
          <w:szCs w:val="22"/>
        </w:rPr>
        <w:t>:</w:t>
      </w:r>
    </w:p>
    <w:p w:rsidR="0024150F" w:rsidRPr="002A78B9" w:rsidP="00C86E91" w14:paraId="14D94F0F" w14:textId="2F55182D">
      <w:pPr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>The requested changes will have no effects on previous burden estimates.</w:t>
      </w:r>
    </w:p>
    <w:tbl>
      <w:tblPr>
        <w:tblW w:w="103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0"/>
        <w:gridCol w:w="1800"/>
        <w:gridCol w:w="1620"/>
        <w:gridCol w:w="1800"/>
        <w:gridCol w:w="1710"/>
        <w:gridCol w:w="1350"/>
      </w:tblGrid>
      <w:tr w14:paraId="1C028583" w14:textId="77777777" w:rsidTr="00C429EE">
        <w:tblPrEx>
          <w:tblW w:w="1035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53"/>
        </w:trPr>
        <w:tc>
          <w:tcPr>
            <w:tcW w:w="2070" w:type="dxa"/>
          </w:tcPr>
          <w:p w:rsidR="00336372" w:rsidRPr="002A78B9" w:rsidP="00C8488C" w14:paraId="5035C3E3" w14:textId="5A56394B">
            <w:pPr>
              <w:rPr>
                <w:rFonts w:cstheme="minorHAnsi"/>
                <w:b/>
                <w:sz w:val="20"/>
                <w:szCs w:val="20"/>
              </w:rPr>
            </w:pPr>
            <w:r w:rsidRPr="002A78B9">
              <w:rPr>
                <w:rFonts w:cstheme="minorHAnsi"/>
                <w:b/>
                <w:sz w:val="20"/>
                <w:szCs w:val="20"/>
              </w:rPr>
              <w:t xml:space="preserve">Type of Respondent </w:t>
            </w:r>
          </w:p>
        </w:tc>
        <w:tc>
          <w:tcPr>
            <w:tcW w:w="1800" w:type="dxa"/>
          </w:tcPr>
          <w:p w:rsidR="00336372" w:rsidRPr="002A78B9" w:rsidP="00843796" w14:paraId="39A8C663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2A78B9">
              <w:rPr>
                <w:rFonts w:cstheme="minorHAnsi"/>
                <w:b/>
                <w:sz w:val="20"/>
                <w:szCs w:val="20"/>
              </w:rPr>
              <w:t>Form Name</w:t>
            </w:r>
          </w:p>
        </w:tc>
        <w:tc>
          <w:tcPr>
            <w:tcW w:w="1620" w:type="dxa"/>
          </w:tcPr>
          <w:p w:rsidR="00336372" w:rsidRPr="002A78B9" w:rsidP="00843796" w14:paraId="1ACFA586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2A78B9">
              <w:rPr>
                <w:rFonts w:cstheme="minorHAnsi"/>
                <w:b/>
                <w:sz w:val="20"/>
                <w:szCs w:val="20"/>
              </w:rPr>
              <w:t>No. of Respondents</w:t>
            </w:r>
          </w:p>
        </w:tc>
        <w:tc>
          <w:tcPr>
            <w:tcW w:w="1800" w:type="dxa"/>
          </w:tcPr>
          <w:p w:rsidR="00336372" w:rsidRPr="002A78B9" w:rsidP="00843796" w14:paraId="30A787B4" w14:textId="29AF8FC4">
            <w:pPr>
              <w:rPr>
                <w:rFonts w:cstheme="minorHAnsi"/>
                <w:b/>
                <w:sz w:val="20"/>
                <w:szCs w:val="20"/>
              </w:rPr>
            </w:pPr>
            <w:r w:rsidRPr="002A78B9">
              <w:rPr>
                <w:rFonts w:cstheme="minorHAnsi"/>
                <w:b/>
                <w:sz w:val="20"/>
                <w:szCs w:val="20"/>
              </w:rPr>
              <w:t>No. of Responses per Respondent</w:t>
            </w:r>
          </w:p>
        </w:tc>
        <w:tc>
          <w:tcPr>
            <w:tcW w:w="1710" w:type="dxa"/>
          </w:tcPr>
          <w:p w:rsidR="00336372" w:rsidRPr="002A78B9" w:rsidP="00843796" w14:paraId="2B0DCC30" w14:textId="25A5BB46">
            <w:pPr>
              <w:rPr>
                <w:rFonts w:cstheme="minorHAnsi"/>
                <w:b/>
                <w:sz w:val="20"/>
                <w:szCs w:val="20"/>
              </w:rPr>
            </w:pPr>
            <w:r w:rsidRPr="002A78B9">
              <w:rPr>
                <w:rFonts w:cstheme="minorHAnsi"/>
                <w:b/>
                <w:sz w:val="20"/>
                <w:szCs w:val="20"/>
              </w:rPr>
              <w:t>Avg. Burden Per Response</w:t>
            </w:r>
          </w:p>
        </w:tc>
        <w:tc>
          <w:tcPr>
            <w:tcW w:w="1350" w:type="dxa"/>
          </w:tcPr>
          <w:p w:rsidR="00336372" w:rsidRPr="002A78B9" w:rsidP="00843796" w14:paraId="4B5F245B" w14:textId="620E3C74">
            <w:pPr>
              <w:rPr>
                <w:rFonts w:cstheme="minorHAnsi"/>
                <w:b/>
                <w:sz w:val="20"/>
                <w:szCs w:val="20"/>
              </w:rPr>
            </w:pPr>
            <w:r w:rsidRPr="002A78B9"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Pr="002A78B9" w:rsidR="00DD3169">
              <w:rPr>
                <w:rFonts w:cstheme="minorHAnsi"/>
                <w:b/>
                <w:sz w:val="20"/>
                <w:szCs w:val="20"/>
              </w:rPr>
              <w:t xml:space="preserve">Annualized </w:t>
            </w:r>
            <w:r w:rsidRPr="002A78B9">
              <w:rPr>
                <w:rFonts w:cstheme="minorHAnsi"/>
                <w:b/>
                <w:sz w:val="20"/>
                <w:szCs w:val="20"/>
              </w:rPr>
              <w:t>Burden Hours</w:t>
            </w:r>
          </w:p>
        </w:tc>
      </w:tr>
      <w:tr w14:paraId="78F9F73A" w14:textId="77777777" w:rsidTr="008D5AEB">
        <w:tblPrEx>
          <w:tblW w:w="10350" w:type="dxa"/>
          <w:tblInd w:w="-365" w:type="dxa"/>
          <w:tblLayout w:type="fixed"/>
          <w:tblLook w:val="01E0"/>
        </w:tblPrEx>
        <w:trPr>
          <w:trHeight w:val="253"/>
        </w:trPr>
        <w:tc>
          <w:tcPr>
            <w:tcW w:w="2070" w:type="dxa"/>
            <w:vMerge w:val="restart"/>
            <w:vAlign w:val="center"/>
          </w:tcPr>
          <w:p w:rsidR="003A5DEB" w:rsidRPr="002A78B9" w:rsidP="003A5DEB" w14:paraId="27C8ACE3" w14:textId="5C33312E">
            <w:pPr>
              <w:rPr>
                <w:rFonts w:cstheme="minorHAnsi"/>
                <w:sz w:val="20"/>
                <w:szCs w:val="20"/>
              </w:rPr>
            </w:pPr>
            <w:r w:rsidRPr="002A78B9">
              <w:rPr>
                <w:rFonts w:cstheme="minorHAnsi"/>
                <w:sz w:val="20"/>
                <w:szCs w:val="20"/>
              </w:rPr>
              <w:t>OD2A-LOCAL-funded territory, county, and city health departments</w:t>
            </w:r>
          </w:p>
        </w:tc>
        <w:tc>
          <w:tcPr>
            <w:tcW w:w="1800" w:type="dxa"/>
          </w:tcPr>
          <w:p w:rsidR="003A5DEB" w:rsidRPr="002A78B9" w:rsidP="00843796" w14:paraId="589D4014" w14:textId="505AFD4A">
            <w:pPr>
              <w:rPr>
                <w:rFonts w:cstheme="minorHAnsi"/>
                <w:sz w:val="20"/>
                <w:szCs w:val="20"/>
              </w:rPr>
            </w:pPr>
            <w:r w:rsidRPr="002A78B9">
              <w:rPr>
                <w:rFonts w:cstheme="minorHAnsi"/>
                <w:sz w:val="20"/>
                <w:szCs w:val="20"/>
              </w:rPr>
              <w:t xml:space="preserve">OD2A LOCAL Performance Measures Contextual Questions (see </w:t>
            </w:r>
            <w:r w:rsidRPr="002A78B9">
              <w:rPr>
                <w:rFonts w:cstheme="minorHAnsi"/>
                <w:sz w:val="20"/>
                <w:szCs w:val="20"/>
              </w:rPr>
              <w:t>Att</w:t>
            </w:r>
            <w:r w:rsidR="002E6A74">
              <w:rPr>
                <w:rFonts w:cstheme="minorHAnsi"/>
                <w:sz w:val="20"/>
                <w:szCs w:val="20"/>
              </w:rPr>
              <w:t>A</w:t>
            </w:r>
            <w:r w:rsidR="002E6A74">
              <w:rPr>
                <w:rFonts w:cstheme="minorHAnsi"/>
                <w:sz w:val="20"/>
                <w:szCs w:val="20"/>
              </w:rPr>
              <w:t xml:space="preserve"> and </w:t>
            </w:r>
            <w:r w:rsidR="002E6A74">
              <w:rPr>
                <w:rFonts w:cstheme="minorHAnsi"/>
                <w:sz w:val="20"/>
                <w:szCs w:val="20"/>
              </w:rPr>
              <w:t>Att</w:t>
            </w:r>
            <w:r w:rsidR="00DC1A29">
              <w:rPr>
                <w:rFonts w:cstheme="minorHAnsi"/>
                <w:sz w:val="20"/>
                <w:szCs w:val="20"/>
              </w:rPr>
              <w:t>C</w:t>
            </w:r>
            <w:r w:rsidRPr="002A78B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3A5DEB" w:rsidRPr="002A78B9" w:rsidP="008D5AEB" w14:paraId="23B02146" w14:textId="754172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78B9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800" w:type="dxa"/>
            <w:vAlign w:val="center"/>
          </w:tcPr>
          <w:p w:rsidR="003A5DEB" w:rsidRPr="002A78B9" w:rsidP="008D5AEB" w14:paraId="7A1F511D" w14:textId="6ACF1C9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78B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10" w:type="dxa"/>
            <w:vAlign w:val="center"/>
          </w:tcPr>
          <w:p w:rsidR="003A5DEB" w:rsidRPr="002A78B9" w:rsidP="008D5AEB" w14:paraId="36F94463" w14:textId="2294CB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50" w:type="dxa"/>
            <w:vAlign w:val="center"/>
          </w:tcPr>
          <w:p w:rsidR="003A5DEB" w:rsidRPr="002A78B9" w:rsidP="008D5AEB" w14:paraId="13C14829" w14:textId="37A632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2A78B9" w:rsidR="007C46DF">
              <w:rPr>
                <w:rFonts w:cstheme="minorHAnsi"/>
                <w:sz w:val="20"/>
                <w:szCs w:val="20"/>
              </w:rPr>
              <w:t>00</w:t>
            </w:r>
          </w:p>
        </w:tc>
      </w:tr>
      <w:tr w14:paraId="368E829C" w14:textId="77777777" w:rsidTr="008D5AEB">
        <w:tblPrEx>
          <w:tblW w:w="10350" w:type="dxa"/>
          <w:tblInd w:w="-365" w:type="dxa"/>
          <w:tblLayout w:type="fixed"/>
          <w:tblLook w:val="01E0"/>
        </w:tblPrEx>
        <w:trPr>
          <w:trHeight w:val="253"/>
        </w:trPr>
        <w:tc>
          <w:tcPr>
            <w:tcW w:w="2070" w:type="dxa"/>
            <w:vMerge/>
          </w:tcPr>
          <w:p w:rsidR="003A5DEB" w:rsidRPr="002A78B9" w:rsidP="00843796" w14:paraId="288E5DF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3A5DEB" w:rsidRPr="002A78B9" w:rsidP="00843796" w14:paraId="78B783CD" w14:textId="39B850FB">
            <w:pPr>
              <w:rPr>
                <w:rFonts w:cstheme="minorHAnsi"/>
                <w:sz w:val="20"/>
                <w:szCs w:val="20"/>
              </w:rPr>
            </w:pPr>
            <w:r w:rsidRPr="002A78B9">
              <w:rPr>
                <w:rFonts w:cstheme="minorHAnsi"/>
                <w:sz w:val="20"/>
                <w:szCs w:val="20"/>
              </w:rPr>
              <w:t xml:space="preserve">OD2A LOCAL Reporting tool (see </w:t>
            </w:r>
            <w:r w:rsidRPr="002A78B9">
              <w:rPr>
                <w:rFonts w:cstheme="minorHAnsi"/>
                <w:sz w:val="20"/>
                <w:szCs w:val="20"/>
              </w:rPr>
              <w:t>AttB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3A5DEB" w:rsidRPr="002A78B9" w:rsidP="008D5AEB" w14:paraId="33483CB8" w14:textId="5E87D8D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78B9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800" w:type="dxa"/>
            <w:vAlign w:val="center"/>
          </w:tcPr>
          <w:p w:rsidR="003A5DEB" w:rsidRPr="002A78B9" w:rsidP="008D5AEB" w14:paraId="754B4592" w14:textId="1C9753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78B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10" w:type="dxa"/>
            <w:vAlign w:val="center"/>
          </w:tcPr>
          <w:p w:rsidR="003A5DEB" w:rsidRPr="002A78B9" w:rsidP="008D5AEB" w14:paraId="754E3263" w14:textId="360D58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50" w:type="dxa"/>
            <w:vAlign w:val="center"/>
          </w:tcPr>
          <w:p w:rsidR="003A5DEB" w:rsidRPr="002A78B9" w:rsidP="008D5AEB" w14:paraId="53EFEE1C" w14:textId="3E8264E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Pr="002A78B9" w:rsidR="00C27BD1">
              <w:rPr>
                <w:rFonts w:cstheme="minorHAnsi"/>
                <w:sz w:val="20"/>
                <w:szCs w:val="20"/>
              </w:rPr>
              <w:t>00</w:t>
            </w:r>
          </w:p>
        </w:tc>
      </w:tr>
      <w:tr w14:paraId="11952BC7" w14:textId="77777777" w:rsidTr="005E7D58">
        <w:tblPrEx>
          <w:tblW w:w="10350" w:type="dxa"/>
          <w:tblInd w:w="-365" w:type="dxa"/>
          <w:tblLayout w:type="fixed"/>
          <w:tblLook w:val="01E0"/>
        </w:tblPrEx>
        <w:trPr>
          <w:trHeight w:val="267"/>
        </w:trPr>
        <w:tc>
          <w:tcPr>
            <w:tcW w:w="2070" w:type="dxa"/>
          </w:tcPr>
          <w:p w:rsidR="00336372" w:rsidRPr="002A78B9" w:rsidP="00843796" w14:paraId="14357DBB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2A78B9">
              <w:rPr>
                <w:rFonts w:cstheme="minorHAnsi"/>
                <w:b/>
                <w:sz w:val="20"/>
                <w:szCs w:val="20"/>
              </w:rPr>
              <w:t>Totals</w:t>
            </w:r>
          </w:p>
        </w:tc>
        <w:tc>
          <w:tcPr>
            <w:tcW w:w="1800" w:type="dxa"/>
          </w:tcPr>
          <w:p w:rsidR="00336372" w:rsidRPr="002A78B9" w:rsidP="00843796" w14:paraId="6325275A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36372" w:rsidRPr="002A78B9" w:rsidP="00843796" w14:paraId="23639F48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36372" w:rsidRPr="002A78B9" w:rsidP="00843796" w14:paraId="49FE1D2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36372" w:rsidRPr="002A78B9" w:rsidP="00843796" w14:paraId="3FE26319" w14:textId="63B8F7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336372" w:rsidRPr="002A78B9" w:rsidP="005E7D58" w14:paraId="6B009D08" w14:textId="3C675F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78B9">
              <w:rPr>
                <w:rFonts w:cstheme="minorHAnsi"/>
                <w:b/>
                <w:sz w:val="20"/>
                <w:szCs w:val="20"/>
              </w:rPr>
              <w:t>1</w:t>
            </w:r>
            <w:r w:rsidRPr="002A78B9" w:rsidR="00424701">
              <w:rPr>
                <w:rFonts w:cstheme="minorHAnsi"/>
                <w:b/>
                <w:sz w:val="20"/>
                <w:szCs w:val="20"/>
              </w:rPr>
              <w:t>4</w:t>
            </w:r>
            <w:r w:rsidRPr="002A78B9">
              <w:rPr>
                <w:rFonts w:cstheme="minorHAnsi"/>
                <w:b/>
                <w:sz w:val="20"/>
                <w:szCs w:val="20"/>
              </w:rPr>
              <w:t>00</w:t>
            </w:r>
          </w:p>
        </w:tc>
      </w:tr>
    </w:tbl>
    <w:p w:rsidR="004132B0" w:rsidRPr="002A78B9" w:rsidP="00CC52B8" w14:paraId="146AF4E9" w14:textId="5C8B15B2">
      <w:pPr>
        <w:rPr>
          <w:rFonts w:cstheme="minorHAnsi"/>
          <w:bCs/>
          <w:sz w:val="22"/>
          <w:szCs w:val="22"/>
        </w:rPr>
      </w:pPr>
    </w:p>
    <w:sectPr w:rsidSect="00194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4248" w14:paraId="5A668E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000F" w14:paraId="61B3B01A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4248" w14:paraId="34228A8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4248" w14:paraId="70DE26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000F" w14:paraId="63C6668B" w14:textId="44F621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4248" w14:paraId="6A3F64E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BC1713C"/>
    <w:multiLevelType w:val="hybridMultilevel"/>
    <w:tmpl w:val="318C1580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544873"/>
    <w:multiLevelType w:val="hybridMultilevel"/>
    <w:tmpl w:val="36A00A2E"/>
    <w:lvl w:ilvl="0">
      <w:start w:val="1"/>
      <w:numFmt w:val="decimal"/>
      <w:lvlText w:val="%1."/>
      <w:lvlJc w:val="left"/>
      <w:pPr>
        <w:ind w:left="540" w:hanging="360"/>
      </w:p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63254B"/>
    <w:multiLevelType w:val="hybridMultilevel"/>
    <w:tmpl w:val="04BE383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12A2"/>
    <w:multiLevelType w:val="hybridMultilevel"/>
    <w:tmpl w:val="51A4559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EastAsia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9021A"/>
    <w:multiLevelType w:val="hybridMultilevel"/>
    <w:tmpl w:val="D638D5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1150720">
    <w:abstractNumId w:val="12"/>
  </w:num>
  <w:num w:numId="2" w16cid:durableId="1112167516">
    <w:abstractNumId w:val="21"/>
  </w:num>
  <w:num w:numId="3" w16cid:durableId="1483692685">
    <w:abstractNumId w:val="20"/>
  </w:num>
  <w:num w:numId="4" w16cid:durableId="1778867794">
    <w:abstractNumId w:val="22"/>
  </w:num>
  <w:num w:numId="5" w16cid:durableId="1434976615">
    <w:abstractNumId w:val="3"/>
  </w:num>
  <w:num w:numId="6" w16cid:durableId="304428747">
    <w:abstractNumId w:val="1"/>
  </w:num>
  <w:num w:numId="7" w16cid:durableId="1445154148">
    <w:abstractNumId w:val="10"/>
  </w:num>
  <w:num w:numId="8" w16cid:durableId="1089499871">
    <w:abstractNumId w:val="18"/>
  </w:num>
  <w:num w:numId="9" w16cid:durableId="53745961">
    <w:abstractNumId w:val="11"/>
  </w:num>
  <w:num w:numId="10" w16cid:durableId="499732868">
    <w:abstractNumId w:val="2"/>
  </w:num>
  <w:num w:numId="11" w16cid:durableId="294062266">
    <w:abstractNumId w:val="7"/>
  </w:num>
  <w:num w:numId="12" w16cid:durableId="275915742">
    <w:abstractNumId w:val="8"/>
  </w:num>
  <w:num w:numId="13" w16cid:durableId="701324380">
    <w:abstractNumId w:val="0"/>
  </w:num>
  <w:num w:numId="14" w16cid:durableId="368263492">
    <w:abstractNumId w:val="19"/>
  </w:num>
  <w:num w:numId="15" w16cid:durableId="658731426">
    <w:abstractNumId w:val="17"/>
  </w:num>
  <w:num w:numId="16" w16cid:durableId="1534884985">
    <w:abstractNumId w:val="16"/>
  </w:num>
  <w:num w:numId="17" w16cid:durableId="1081220525">
    <w:abstractNumId w:val="4"/>
  </w:num>
  <w:num w:numId="18" w16cid:durableId="1028800044">
    <w:abstractNumId w:val="5"/>
  </w:num>
  <w:num w:numId="19" w16cid:durableId="516192418">
    <w:abstractNumId w:val="9"/>
  </w:num>
  <w:num w:numId="20" w16cid:durableId="69036616">
    <w:abstractNumId w:val="6"/>
  </w:num>
  <w:num w:numId="21" w16cid:durableId="72971657">
    <w:abstractNumId w:val="14"/>
  </w:num>
  <w:num w:numId="22" w16cid:durableId="445395471">
    <w:abstractNumId w:val="15"/>
  </w:num>
  <w:num w:numId="23" w16cid:durableId="1943804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6799"/>
    <w:rsid w:val="00007953"/>
    <w:rsid w:val="00007B1F"/>
    <w:rsid w:val="00023A57"/>
    <w:rsid w:val="00031E9C"/>
    <w:rsid w:val="000366F7"/>
    <w:rsid w:val="00037C5D"/>
    <w:rsid w:val="00040DD2"/>
    <w:rsid w:val="00047190"/>
    <w:rsid w:val="00047A64"/>
    <w:rsid w:val="00054577"/>
    <w:rsid w:val="00062ED8"/>
    <w:rsid w:val="00067329"/>
    <w:rsid w:val="00070CF2"/>
    <w:rsid w:val="0007499E"/>
    <w:rsid w:val="000752B4"/>
    <w:rsid w:val="000829C1"/>
    <w:rsid w:val="00090AC8"/>
    <w:rsid w:val="000A4F34"/>
    <w:rsid w:val="000B2838"/>
    <w:rsid w:val="000B6970"/>
    <w:rsid w:val="000D06B8"/>
    <w:rsid w:val="000D44CA"/>
    <w:rsid w:val="000E200B"/>
    <w:rsid w:val="000E4E3C"/>
    <w:rsid w:val="000E63F8"/>
    <w:rsid w:val="000E76AB"/>
    <w:rsid w:val="000F3C2D"/>
    <w:rsid w:val="000F68BE"/>
    <w:rsid w:val="00102DAC"/>
    <w:rsid w:val="00120425"/>
    <w:rsid w:val="00134F51"/>
    <w:rsid w:val="00137F05"/>
    <w:rsid w:val="001530C8"/>
    <w:rsid w:val="0017121F"/>
    <w:rsid w:val="00182F1D"/>
    <w:rsid w:val="001927A4"/>
    <w:rsid w:val="00194AC6"/>
    <w:rsid w:val="001A23B0"/>
    <w:rsid w:val="001A25CC"/>
    <w:rsid w:val="001A7580"/>
    <w:rsid w:val="001B0AAA"/>
    <w:rsid w:val="001C04FD"/>
    <w:rsid w:val="001C0FF9"/>
    <w:rsid w:val="001C39F7"/>
    <w:rsid w:val="001C4018"/>
    <w:rsid w:val="001D0776"/>
    <w:rsid w:val="001D1FBB"/>
    <w:rsid w:val="001D2D86"/>
    <w:rsid w:val="001D336A"/>
    <w:rsid w:val="001D35B5"/>
    <w:rsid w:val="001E394E"/>
    <w:rsid w:val="001E4021"/>
    <w:rsid w:val="001E5F40"/>
    <w:rsid w:val="001F135F"/>
    <w:rsid w:val="001F1606"/>
    <w:rsid w:val="00205530"/>
    <w:rsid w:val="00236FBB"/>
    <w:rsid w:val="002376B9"/>
    <w:rsid w:val="00237B48"/>
    <w:rsid w:val="0024150F"/>
    <w:rsid w:val="0024521E"/>
    <w:rsid w:val="00263C3D"/>
    <w:rsid w:val="00274D0B"/>
    <w:rsid w:val="002765F3"/>
    <w:rsid w:val="002775C0"/>
    <w:rsid w:val="002821FF"/>
    <w:rsid w:val="002837BB"/>
    <w:rsid w:val="002844AA"/>
    <w:rsid w:val="00287D05"/>
    <w:rsid w:val="002910E9"/>
    <w:rsid w:val="00292D5F"/>
    <w:rsid w:val="002A78B9"/>
    <w:rsid w:val="002B2A8D"/>
    <w:rsid w:val="002B3C95"/>
    <w:rsid w:val="002B4E94"/>
    <w:rsid w:val="002C243B"/>
    <w:rsid w:val="002D0B92"/>
    <w:rsid w:val="002E0A98"/>
    <w:rsid w:val="002E1E86"/>
    <w:rsid w:val="002E6551"/>
    <w:rsid w:val="002E6A74"/>
    <w:rsid w:val="002F2EF9"/>
    <w:rsid w:val="002F45AB"/>
    <w:rsid w:val="002F6C9F"/>
    <w:rsid w:val="00303F23"/>
    <w:rsid w:val="00310821"/>
    <w:rsid w:val="003175BF"/>
    <w:rsid w:val="003229B5"/>
    <w:rsid w:val="00323FDD"/>
    <w:rsid w:val="0032548B"/>
    <w:rsid w:val="00336372"/>
    <w:rsid w:val="00337213"/>
    <w:rsid w:val="00344A9B"/>
    <w:rsid w:val="003473A0"/>
    <w:rsid w:val="00350FC0"/>
    <w:rsid w:val="003675DB"/>
    <w:rsid w:val="003736A7"/>
    <w:rsid w:val="003767C8"/>
    <w:rsid w:val="00382835"/>
    <w:rsid w:val="00384A58"/>
    <w:rsid w:val="003864E9"/>
    <w:rsid w:val="00393D08"/>
    <w:rsid w:val="003A43D4"/>
    <w:rsid w:val="003A5DEB"/>
    <w:rsid w:val="003B1321"/>
    <w:rsid w:val="003C0B83"/>
    <w:rsid w:val="003C2290"/>
    <w:rsid w:val="003C50CC"/>
    <w:rsid w:val="003D5BBE"/>
    <w:rsid w:val="003E382A"/>
    <w:rsid w:val="003E3C61"/>
    <w:rsid w:val="003E6603"/>
    <w:rsid w:val="003E7156"/>
    <w:rsid w:val="003F09E0"/>
    <w:rsid w:val="003F1C5B"/>
    <w:rsid w:val="00403888"/>
    <w:rsid w:val="00403D80"/>
    <w:rsid w:val="00407C56"/>
    <w:rsid w:val="004132B0"/>
    <w:rsid w:val="0041337D"/>
    <w:rsid w:val="00413E04"/>
    <w:rsid w:val="00424701"/>
    <w:rsid w:val="00425AE1"/>
    <w:rsid w:val="00431ACD"/>
    <w:rsid w:val="004340EF"/>
    <w:rsid w:val="00434E33"/>
    <w:rsid w:val="00434F25"/>
    <w:rsid w:val="00436B99"/>
    <w:rsid w:val="00441434"/>
    <w:rsid w:val="004446D3"/>
    <w:rsid w:val="0045264C"/>
    <w:rsid w:val="00463B98"/>
    <w:rsid w:val="00465ECE"/>
    <w:rsid w:val="004765D1"/>
    <w:rsid w:val="004876EC"/>
    <w:rsid w:val="00487B0F"/>
    <w:rsid w:val="00487BA8"/>
    <w:rsid w:val="0049564D"/>
    <w:rsid w:val="004A5B77"/>
    <w:rsid w:val="004B18D0"/>
    <w:rsid w:val="004C08BB"/>
    <w:rsid w:val="004C7DF7"/>
    <w:rsid w:val="004D6E14"/>
    <w:rsid w:val="004F644C"/>
    <w:rsid w:val="005009B0"/>
    <w:rsid w:val="00500C4D"/>
    <w:rsid w:val="00512CA7"/>
    <w:rsid w:val="0051523E"/>
    <w:rsid w:val="005172AA"/>
    <w:rsid w:val="00531627"/>
    <w:rsid w:val="00540BE9"/>
    <w:rsid w:val="00541AAF"/>
    <w:rsid w:val="005437F8"/>
    <w:rsid w:val="005568BE"/>
    <w:rsid w:val="00573F21"/>
    <w:rsid w:val="0057404C"/>
    <w:rsid w:val="005804F8"/>
    <w:rsid w:val="00582483"/>
    <w:rsid w:val="005840F1"/>
    <w:rsid w:val="005A1006"/>
    <w:rsid w:val="005B4451"/>
    <w:rsid w:val="005C1464"/>
    <w:rsid w:val="005C5F3B"/>
    <w:rsid w:val="005D1CD5"/>
    <w:rsid w:val="005D46C6"/>
    <w:rsid w:val="005E714A"/>
    <w:rsid w:val="005E7D58"/>
    <w:rsid w:val="005F4E73"/>
    <w:rsid w:val="006140A0"/>
    <w:rsid w:val="00630419"/>
    <w:rsid w:val="00630CEB"/>
    <w:rsid w:val="006321DD"/>
    <w:rsid w:val="0063357E"/>
    <w:rsid w:val="006358D1"/>
    <w:rsid w:val="00636621"/>
    <w:rsid w:val="00642B49"/>
    <w:rsid w:val="00654FBC"/>
    <w:rsid w:val="006562A3"/>
    <w:rsid w:val="00657C8C"/>
    <w:rsid w:val="00663A7B"/>
    <w:rsid w:val="006771B7"/>
    <w:rsid w:val="006826B6"/>
    <w:rsid w:val="006832D9"/>
    <w:rsid w:val="0069403B"/>
    <w:rsid w:val="006B0109"/>
    <w:rsid w:val="006B39AD"/>
    <w:rsid w:val="006B7089"/>
    <w:rsid w:val="006D21E1"/>
    <w:rsid w:val="006D3C43"/>
    <w:rsid w:val="006D72F7"/>
    <w:rsid w:val="006E12B5"/>
    <w:rsid w:val="006F3DDE"/>
    <w:rsid w:val="00700E07"/>
    <w:rsid w:val="00704678"/>
    <w:rsid w:val="007224E0"/>
    <w:rsid w:val="00724230"/>
    <w:rsid w:val="007278FA"/>
    <w:rsid w:val="00737572"/>
    <w:rsid w:val="007425E7"/>
    <w:rsid w:val="0076577D"/>
    <w:rsid w:val="007741DA"/>
    <w:rsid w:val="00781DF1"/>
    <w:rsid w:val="007A416A"/>
    <w:rsid w:val="007C3EB4"/>
    <w:rsid w:val="007C46DF"/>
    <w:rsid w:val="007E2D01"/>
    <w:rsid w:val="007E3F94"/>
    <w:rsid w:val="007E4923"/>
    <w:rsid w:val="007E7082"/>
    <w:rsid w:val="007F3762"/>
    <w:rsid w:val="008006CC"/>
    <w:rsid w:val="00802607"/>
    <w:rsid w:val="008101A5"/>
    <w:rsid w:val="008137D9"/>
    <w:rsid w:val="00822664"/>
    <w:rsid w:val="008235BB"/>
    <w:rsid w:val="00832FDF"/>
    <w:rsid w:val="00840FCA"/>
    <w:rsid w:val="00843796"/>
    <w:rsid w:val="00846B36"/>
    <w:rsid w:val="00847F00"/>
    <w:rsid w:val="0087647A"/>
    <w:rsid w:val="00881584"/>
    <w:rsid w:val="00887FED"/>
    <w:rsid w:val="00890B1E"/>
    <w:rsid w:val="00894248"/>
    <w:rsid w:val="00895229"/>
    <w:rsid w:val="008A2EF4"/>
    <w:rsid w:val="008A3674"/>
    <w:rsid w:val="008C041D"/>
    <w:rsid w:val="008C0EB8"/>
    <w:rsid w:val="008C149D"/>
    <w:rsid w:val="008C1730"/>
    <w:rsid w:val="008D5531"/>
    <w:rsid w:val="008D5AEB"/>
    <w:rsid w:val="008E758E"/>
    <w:rsid w:val="008F0203"/>
    <w:rsid w:val="008F3ED2"/>
    <w:rsid w:val="008F50D4"/>
    <w:rsid w:val="00903929"/>
    <w:rsid w:val="00913428"/>
    <w:rsid w:val="009239AA"/>
    <w:rsid w:val="00924A7C"/>
    <w:rsid w:val="009340B1"/>
    <w:rsid w:val="00935ADA"/>
    <w:rsid w:val="00946B6C"/>
    <w:rsid w:val="00953A29"/>
    <w:rsid w:val="00955A71"/>
    <w:rsid w:val="0096108F"/>
    <w:rsid w:val="009651E4"/>
    <w:rsid w:val="00967DCF"/>
    <w:rsid w:val="00991F8D"/>
    <w:rsid w:val="0099687B"/>
    <w:rsid w:val="009B0F13"/>
    <w:rsid w:val="009B26BA"/>
    <w:rsid w:val="009C13B9"/>
    <w:rsid w:val="009C7220"/>
    <w:rsid w:val="009D01A2"/>
    <w:rsid w:val="009D1233"/>
    <w:rsid w:val="009E0000"/>
    <w:rsid w:val="009E6399"/>
    <w:rsid w:val="009E6C02"/>
    <w:rsid w:val="009F2C31"/>
    <w:rsid w:val="009F5923"/>
    <w:rsid w:val="00A0433B"/>
    <w:rsid w:val="00A11743"/>
    <w:rsid w:val="00A11F53"/>
    <w:rsid w:val="00A13253"/>
    <w:rsid w:val="00A2044D"/>
    <w:rsid w:val="00A403BB"/>
    <w:rsid w:val="00A44CE9"/>
    <w:rsid w:val="00A46251"/>
    <w:rsid w:val="00A47201"/>
    <w:rsid w:val="00A50DF7"/>
    <w:rsid w:val="00A61C14"/>
    <w:rsid w:val="00A61D0A"/>
    <w:rsid w:val="00A62B9D"/>
    <w:rsid w:val="00A674DF"/>
    <w:rsid w:val="00A80D56"/>
    <w:rsid w:val="00A83AA6"/>
    <w:rsid w:val="00AA1820"/>
    <w:rsid w:val="00AC2CAA"/>
    <w:rsid w:val="00AD000F"/>
    <w:rsid w:val="00AE1809"/>
    <w:rsid w:val="00AE2A73"/>
    <w:rsid w:val="00AF1A5E"/>
    <w:rsid w:val="00AF3F74"/>
    <w:rsid w:val="00AF66A5"/>
    <w:rsid w:val="00B05321"/>
    <w:rsid w:val="00B07239"/>
    <w:rsid w:val="00B153E0"/>
    <w:rsid w:val="00B30A34"/>
    <w:rsid w:val="00B32078"/>
    <w:rsid w:val="00B34C5E"/>
    <w:rsid w:val="00B355EF"/>
    <w:rsid w:val="00B36164"/>
    <w:rsid w:val="00B372FB"/>
    <w:rsid w:val="00B37BE4"/>
    <w:rsid w:val="00B419EA"/>
    <w:rsid w:val="00B41C56"/>
    <w:rsid w:val="00B46F2C"/>
    <w:rsid w:val="00B54A15"/>
    <w:rsid w:val="00B5705C"/>
    <w:rsid w:val="00B62C0B"/>
    <w:rsid w:val="00B63BF7"/>
    <w:rsid w:val="00B766D8"/>
    <w:rsid w:val="00B77802"/>
    <w:rsid w:val="00B80D76"/>
    <w:rsid w:val="00B85006"/>
    <w:rsid w:val="00B95BB9"/>
    <w:rsid w:val="00B95F5A"/>
    <w:rsid w:val="00BA2105"/>
    <w:rsid w:val="00BA6A2C"/>
    <w:rsid w:val="00BA7E06"/>
    <w:rsid w:val="00BB12BE"/>
    <w:rsid w:val="00BB3D2F"/>
    <w:rsid w:val="00BB43B5"/>
    <w:rsid w:val="00BB6219"/>
    <w:rsid w:val="00BB68BC"/>
    <w:rsid w:val="00BC3BA2"/>
    <w:rsid w:val="00BC5795"/>
    <w:rsid w:val="00BD123D"/>
    <w:rsid w:val="00BD290F"/>
    <w:rsid w:val="00BD3812"/>
    <w:rsid w:val="00BE0D97"/>
    <w:rsid w:val="00BE342A"/>
    <w:rsid w:val="00BF0A73"/>
    <w:rsid w:val="00C11CF2"/>
    <w:rsid w:val="00C13089"/>
    <w:rsid w:val="00C1435C"/>
    <w:rsid w:val="00C14CC4"/>
    <w:rsid w:val="00C17E37"/>
    <w:rsid w:val="00C24587"/>
    <w:rsid w:val="00C27BD1"/>
    <w:rsid w:val="00C33C52"/>
    <w:rsid w:val="00C40D8B"/>
    <w:rsid w:val="00C429EE"/>
    <w:rsid w:val="00C45EB4"/>
    <w:rsid w:val="00C46C63"/>
    <w:rsid w:val="00C4780E"/>
    <w:rsid w:val="00C516FD"/>
    <w:rsid w:val="00C53CBA"/>
    <w:rsid w:val="00C53D33"/>
    <w:rsid w:val="00C61638"/>
    <w:rsid w:val="00C64756"/>
    <w:rsid w:val="00C64C2A"/>
    <w:rsid w:val="00C72380"/>
    <w:rsid w:val="00C72DD6"/>
    <w:rsid w:val="00C746F5"/>
    <w:rsid w:val="00C74F31"/>
    <w:rsid w:val="00C8407A"/>
    <w:rsid w:val="00C8488C"/>
    <w:rsid w:val="00C86E91"/>
    <w:rsid w:val="00C86FE1"/>
    <w:rsid w:val="00C92597"/>
    <w:rsid w:val="00C92757"/>
    <w:rsid w:val="00CA0EF9"/>
    <w:rsid w:val="00CA2650"/>
    <w:rsid w:val="00CA50E6"/>
    <w:rsid w:val="00CB1078"/>
    <w:rsid w:val="00CC52B8"/>
    <w:rsid w:val="00CC6FAF"/>
    <w:rsid w:val="00CD2A1A"/>
    <w:rsid w:val="00CE1218"/>
    <w:rsid w:val="00D03129"/>
    <w:rsid w:val="00D03387"/>
    <w:rsid w:val="00D05483"/>
    <w:rsid w:val="00D10D07"/>
    <w:rsid w:val="00D15738"/>
    <w:rsid w:val="00D2081D"/>
    <w:rsid w:val="00D2126E"/>
    <w:rsid w:val="00D2265A"/>
    <w:rsid w:val="00D24698"/>
    <w:rsid w:val="00D321F0"/>
    <w:rsid w:val="00D56433"/>
    <w:rsid w:val="00D637D7"/>
    <w:rsid w:val="00D6383F"/>
    <w:rsid w:val="00D663F0"/>
    <w:rsid w:val="00D71221"/>
    <w:rsid w:val="00D71389"/>
    <w:rsid w:val="00D72444"/>
    <w:rsid w:val="00D82EF4"/>
    <w:rsid w:val="00D91041"/>
    <w:rsid w:val="00D951F0"/>
    <w:rsid w:val="00D97DB9"/>
    <w:rsid w:val="00DB01D6"/>
    <w:rsid w:val="00DB344C"/>
    <w:rsid w:val="00DB59D0"/>
    <w:rsid w:val="00DC1A29"/>
    <w:rsid w:val="00DC33D3"/>
    <w:rsid w:val="00DC76B8"/>
    <w:rsid w:val="00DD1A8E"/>
    <w:rsid w:val="00DD3169"/>
    <w:rsid w:val="00DE3A1F"/>
    <w:rsid w:val="00DE50DE"/>
    <w:rsid w:val="00DF6EAB"/>
    <w:rsid w:val="00E00810"/>
    <w:rsid w:val="00E2256A"/>
    <w:rsid w:val="00E250E6"/>
    <w:rsid w:val="00E2594A"/>
    <w:rsid w:val="00E26329"/>
    <w:rsid w:val="00E40B50"/>
    <w:rsid w:val="00E50293"/>
    <w:rsid w:val="00E5083A"/>
    <w:rsid w:val="00E55CAE"/>
    <w:rsid w:val="00E60F36"/>
    <w:rsid w:val="00E64372"/>
    <w:rsid w:val="00E64550"/>
    <w:rsid w:val="00E64D3E"/>
    <w:rsid w:val="00E65FFC"/>
    <w:rsid w:val="00E70A78"/>
    <w:rsid w:val="00E71668"/>
    <w:rsid w:val="00E7488D"/>
    <w:rsid w:val="00E749EA"/>
    <w:rsid w:val="00E80951"/>
    <w:rsid w:val="00E81B6C"/>
    <w:rsid w:val="00E854FE"/>
    <w:rsid w:val="00E86CC6"/>
    <w:rsid w:val="00EA2C4C"/>
    <w:rsid w:val="00EA6C08"/>
    <w:rsid w:val="00EB56B3"/>
    <w:rsid w:val="00EC4B0B"/>
    <w:rsid w:val="00ED0EC8"/>
    <w:rsid w:val="00ED34F8"/>
    <w:rsid w:val="00ED6492"/>
    <w:rsid w:val="00ED69AF"/>
    <w:rsid w:val="00EE0AC7"/>
    <w:rsid w:val="00EE334E"/>
    <w:rsid w:val="00EE64E8"/>
    <w:rsid w:val="00EF2095"/>
    <w:rsid w:val="00F0578B"/>
    <w:rsid w:val="00F06866"/>
    <w:rsid w:val="00F15956"/>
    <w:rsid w:val="00F24CFC"/>
    <w:rsid w:val="00F3170F"/>
    <w:rsid w:val="00F4017B"/>
    <w:rsid w:val="00F447FA"/>
    <w:rsid w:val="00F44CC6"/>
    <w:rsid w:val="00F45E35"/>
    <w:rsid w:val="00F575A2"/>
    <w:rsid w:val="00F82D50"/>
    <w:rsid w:val="00F8405A"/>
    <w:rsid w:val="00F87606"/>
    <w:rsid w:val="00F976B0"/>
    <w:rsid w:val="00FA3F9C"/>
    <w:rsid w:val="00FA6DE7"/>
    <w:rsid w:val="00FB0546"/>
    <w:rsid w:val="00FB3095"/>
    <w:rsid w:val="00FB4719"/>
    <w:rsid w:val="00FB77FE"/>
    <w:rsid w:val="00FC0A8E"/>
    <w:rsid w:val="00FC1D6C"/>
    <w:rsid w:val="00FE0B74"/>
    <w:rsid w:val="00FE2FA6"/>
    <w:rsid w:val="00FE3DF2"/>
    <w:rsid w:val="00FF4C46"/>
    <w:rsid w:val="1B98EFB0"/>
    <w:rsid w:val="286B317D"/>
    <w:rsid w:val="323E42CC"/>
    <w:rsid w:val="3FC7CB2C"/>
    <w:rsid w:val="41153140"/>
    <w:rsid w:val="7337A8B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F337276"/>
  <w15:docId w15:val="{1463278F-2242-42D5-AED3-49304E17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C4C"/>
  </w:style>
  <w:style w:type="paragraph" w:styleId="Heading1">
    <w:name w:val="heading 1"/>
    <w:basedOn w:val="Normal"/>
    <w:next w:val="Normal"/>
    <w:link w:val="Heading1Char"/>
    <w:uiPriority w:val="9"/>
    <w:qFormat/>
    <w:rsid w:val="00EA2C4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2C4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2C4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2C4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2C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A2C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A2C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A2C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A2C4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C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2C4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2C4C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A2C4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A2C4C"/>
    <w:rPr>
      <w:rFonts w:asciiTheme="majorHAnsi" w:eastAsiaTheme="majorEastAsia" w:hAnsiTheme="majorHAnsi" w:cstheme="majorBidi"/>
      <w:sz w:val="28"/>
      <w:szCs w:val="28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3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A2C4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C4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4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4C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A2C4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A2C4C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A2C4C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A2C4C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C4C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locked/>
    <w:rsid w:val="00EA2C4C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EA2C4C"/>
    <w:rPr>
      <w:i/>
      <w:iCs/>
      <w:color w:val="000000" w:themeColor="text1"/>
    </w:rPr>
  </w:style>
  <w:style w:type="paragraph" w:styleId="NoSpacing">
    <w:name w:val="No Spacing"/>
    <w:uiPriority w:val="1"/>
    <w:qFormat/>
    <w:rsid w:val="00EA2C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2C4C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C4C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4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4C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A2C4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A2C4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A2C4C"/>
    <w:rPr>
      <w:caps w:val="0"/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EA2C4C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A2C4C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C4C"/>
    <w:pPr>
      <w:outlineLvl w:val="9"/>
    </w:p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link w:val="ListParagraph"/>
    <w:uiPriority w:val="34"/>
    <w:qFormat/>
    <w:locked/>
    <w:rsid w:val="00DC76B8"/>
  </w:style>
  <w:style w:type="character" w:styleId="Mention">
    <w:name w:val="Mention"/>
    <w:basedOn w:val="DefaultParagraphFont"/>
    <w:uiPriority w:val="99"/>
    <w:unhideWhenUsed/>
    <w:rsid w:val="00D82EF4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4625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B1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09E53524001458B3D6FB6B624A53B" ma:contentTypeVersion="12" ma:contentTypeDescription="Create a new document." ma:contentTypeScope="" ma:versionID="a8f84b8b8490826728d965a15757c155">
  <xsd:schema xmlns:xsd="http://www.w3.org/2001/XMLSchema" xmlns:xs="http://www.w3.org/2001/XMLSchema" xmlns:p="http://schemas.microsoft.com/office/2006/metadata/properties" xmlns:ns2="4e53b29e-ad7f-47eb-ad98-4642ccfc4e88" xmlns:ns3="df82fa18-e30c-4fae-8f89-9bfdeda5ed56" targetNamespace="http://schemas.microsoft.com/office/2006/metadata/properties" ma:root="true" ma:fieldsID="20db79cb6f661a6a3c99202ec2242d2f" ns2:_="" ns3:_="">
    <xsd:import namespace="4e53b29e-ad7f-47eb-ad98-4642ccfc4e88"/>
    <xsd:import namespace="df82fa18-e30c-4fae-8f89-9bfdeda5e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b29e-ad7f-47eb-ad98-4642ccfc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2fa18-e30c-4fae-8f89-9bfdeda5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EECE0-FCF6-4295-BCD5-9DD576619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3b29e-ad7f-47eb-ad98-4642ccfc4e88"/>
    <ds:schemaRef ds:uri="df82fa18-e30c-4fae-8f89-9bfdeda5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613FB-3AC9-4C48-AE5B-B40680BF6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0ED69-C895-4212-B543-80AAA0EDD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618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Herron, Adrienne R. (CDC/NCIPC/DOP)</cp:lastModifiedBy>
  <cp:revision>58</cp:revision>
  <cp:lastPrinted>2012-08-06T19:52:00Z</cp:lastPrinted>
  <dcterms:created xsi:type="dcterms:W3CDTF">2025-05-06T13:49:00Z</dcterms:created>
  <dcterms:modified xsi:type="dcterms:W3CDTF">2025-05-30T16:34:00Z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0x0101002F509E53524001458B3D6FB6B624A53B</vt:lpwstr>
  </property>
  <property fmtid="{D5CDD505-2E9C-101B-9397-08002B2CF9AE}" pid="3" name="MSIP_Label_7b94a7b8-f06c-4dfe-bdcc-9b548fd58c31_ActionId">
    <vt:lpwstr>e5731c23-8994-4ae4-9221-5755519b71c1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2022-01-28T15:42:19Z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NewReviewCycle">
    <vt:lpwstr/>
  </property>
</Properties>
</file>