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P="00C43311" w14:paraId="7EB5AD70" w14:textId="373C1462">
      <w:pPr>
        <w:pStyle w:val="Default"/>
        <w:jc w:val="center"/>
        <w:rPr>
          <w:b/>
          <w:bCs/>
        </w:rPr>
      </w:pPr>
      <w:r w:rsidRPr="008E6BC9">
        <w:rPr>
          <w:b/>
          <w:bCs/>
        </w:rPr>
        <w:t xml:space="preserve">OMB Control Number </w:t>
      </w:r>
      <w:r w:rsidR="003F6AD5">
        <w:rPr>
          <w:b/>
          <w:bCs/>
        </w:rPr>
        <w:t>0920-14</w:t>
      </w:r>
      <w:r w:rsidR="007C32F5">
        <w:rPr>
          <w:b/>
          <w:bCs/>
        </w:rPr>
        <w:t>25</w:t>
      </w:r>
    </w:p>
    <w:p w:rsidR="00C50201" w:rsidRPr="008E6BC9" w:rsidP="00C43311" w14:paraId="74122956" w14:textId="77777777">
      <w:pPr>
        <w:pStyle w:val="Default"/>
        <w:jc w:val="center"/>
      </w:pPr>
    </w:p>
    <w:p w:rsidR="007C32F5" w:rsidP="00C43311" w14:paraId="0EE92537" w14:textId="77777777">
      <w:pPr>
        <w:pStyle w:val="Default"/>
        <w:jc w:val="center"/>
        <w:rPr>
          <w:b/>
          <w:bCs/>
        </w:rPr>
      </w:pPr>
      <w:r>
        <w:rPr>
          <w:b/>
          <w:bCs/>
        </w:rPr>
        <w:t xml:space="preserve">Essentials for Childhood (EfC): </w:t>
      </w:r>
    </w:p>
    <w:p w:rsidR="008E6BC9" w:rsidRPr="008E6BC9" w:rsidP="00C43311" w14:paraId="1ACB935B" w14:textId="30B79C04">
      <w:pPr>
        <w:pStyle w:val="Default"/>
        <w:jc w:val="center"/>
      </w:pPr>
      <w:r>
        <w:rPr>
          <w:b/>
          <w:bCs/>
        </w:rPr>
        <w:t>Preventing Adverse Childhood Experiences through Data to Action</w:t>
      </w:r>
    </w:p>
    <w:p w:rsidR="003F6AD5" w:rsidP="003F6AD5" w14:paraId="26E79BC6" w14:textId="77777777">
      <w:pPr>
        <w:pStyle w:val="Default"/>
        <w:jc w:val="center"/>
        <w:rPr>
          <w:b/>
          <w:bCs/>
        </w:rPr>
      </w:pPr>
    </w:p>
    <w:p w:rsidR="003F6AD5" w:rsidP="00C43311" w14:paraId="0B5730FB" w14:textId="77777777">
      <w:pPr>
        <w:pStyle w:val="Default"/>
        <w:jc w:val="center"/>
        <w:rPr>
          <w:b/>
          <w:bCs/>
        </w:rPr>
      </w:pPr>
    </w:p>
    <w:p w:rsidR="008E6BC9" w:rsidRPr="008E6BC9" w:rsidP="00C43311" w14:paraId="0EE0D2AB" w14:textId="50394097">
      <w:pPr>
        <w:pStyle w:val="Default"/>
        <w:jc w:val="center"/>
        <w:rPr>
          <w:b/>
          <w:bCs/>
        </w:rPr>
      </w:pPr>
      <w:r w:rsidRPr="008E6BC9">
        <w:rPr>
          <w:b/>
          <w:bCs/>
        </w:rPr>
        <w:t xml:space="preserve">Date Submitted: </w:t>
      </w:r>
      <w:r w:rsidR="003F6AD5">
        <w:rPr>
          <w:b/>
          <w:bCs/>
        </w:rPr>
        <w:t>0</w:t>
      </w:r>
      <w:r w:rsidR="005463A6">
        <w:rPr>
          <w:b/>
          <w:bCs/>
        </w:rPr>
        <w:t>6</w:t>
      </w:r>
      <w:r w:rsidR="003F6AD5">
        <w:rPr>
          <w:b/>
          <w:bCs/>
        </w:rPr>
        <w:t>/</w:t>
      </w:r>
      <w:r w:rsidR="005463A6">
        <w:rPr>
          <w:b/>
          <w:bCs/>
        </w:rPr>
        <w:t>26</w:t>
      </w:r>
      <w:r w:rsidR="003F6AD5">
        <w:rPr>
          <w:b/>
          <w:bCs/>
        </w:rPr>
        <w:t>/2025</w:t>
      </w:r>
    </w:p>
    <w:p w:rsidR="008E6BC9" w:rsidRPr="008E6BC9" w:rsidP="008E6BC9" w14:paraId="1AB2098A" w14:textId="77777777">
      <w:pPr>
        <w:pStyle w:val="Default"/>
        <w:jc w:val="center"/>
      </w:pPr>
    </w:p>
    <w:p w:rsidR="003F6AD5" w:rsidP="008E6BC9" w14:paraId="3825BE0F" w14:textId="77777777">
      <w:pPr>
        <w:pStyle w:val="Default"/>
        <w:rPr>
          <w:b/>
          <w:bCs/>
        </w:rPr>
      </w:pPr>
    </w:p>
    <w:p w:rsidR="008E6BC9" w:rsidRPr="00225513" w:rsidP="008E6BC9" w14:paraId="08B2496E" w14:textId="7C7FD746">
      <w:pPr>
        <w:pStyle w:val="Default"/>
        <w:rPr>
          <w:i/>
          <w:iCs/>
        </w:rPr>
      </w:pPr>
      <w:r w:rsidRPr="008E6BC9">
        <w:rPr>
          <w:b/>
          <w:bCs/>
        </w:rPr>
        <w:t xml:space="preserve">Summary of request: </w:t>
      </w:r>
      <w:r w:rsidRPr="003F6AD5">
        <w:t>CDC/</w:t>
      </w:r>
      <w:r w:rsidRPr="003F6AD5" w:rsidR="003F6AD5">
        <w:t>NCIPC</w:t>
      </w:r>
      <w:r w:rsidRPr="008E6BC9">
        <w:t xml:space="preserve"> is requesting a change request to revise questions to align with EO 14168 </w:t>
      </w:r>
      <w:r w:rsidRPr="008E6BC9">
        <w:rPr>
          <w:i/>
          <w:iCs/>
        </w:rPr>
        <w:t>Defending Women From Gender Ideology Extremism and Restoring Biological Truth to the Federal Government</w:t>
      </w:r>
      <w:r w:rsidR="00225513">
        <w:rPr>
          <w:i/>
          <w:iCs/>
        </w:rPr>
        <w:t xml:space="preserve"> </w:t>
      </w:r>
      <w:r w:rsidR="00225513">
        <w:t xml:space="preserve">and EO 14151 </w:t>
      </w:r>
      <w:r w:rsidR="00225513">
        <w:rPr>
          <w:i/>
          <w:iCs/>
        </w:rPr>
        <w:t>Ending Radical and Wasteful government DEI Programs and Preferencing.</w:t>
      </w:r>
    </w:p>
    <w:p w:rsidR="003F6AD5" w:rsidP="008E6BC9" w14:paraId="496FE55D" w14:textId="77777777">
      <w:pPr>
        <w:pStyle w:val="Default"/>
        <w:rPr>
          <w:b/>
          <w:bCs/>
        </w:rPr>
      </w:pPr>
    </w:p>
    <w:p w:rsidR="008E6BC9" w:rsidP="008E6BC9" w14:paraId="798E3A0D" w14:textId="3F6FB6E0">
      <w:pPr>
        <w:pStyle w:val="Default"/>
      </w:pPr>
      <w:r w:rsidRPr="008E6BC9">
        <w:rPr>
          <w:b/>
          <w:bCs/>
        </w:rPr>
        <w:t xml:space="preserve">Description of Changes Requested: </w:t>
      </w:r>
      <w:r w:rsidRPr="008E6BC9">
        <w:t>This request updates questions used in</w:t>
      </w:r>
      <w:r w:rsidR="00C7360E">
        <w:t xml:space="preserve"> OMB 0920-1425</w:t>
      </w:r>
      <w:r w:rsidR="003F6AD5">
        <w:t xml:space="preserve"> </w:t>
      </w:r>
      <w:r w:rsidR="007C32F5">
        <w:t>Essentials for Childhood (EfC): Preventing Adverse Childhood Experiences through Data to Action</w:t>
      </w:r>
      <w:r w:rsidRPr="008E6BC9">
        <w:t xml:space="preserve"> to be in accordance with EO 14168</w:t>
      </w:r>
      <w:r w:rsidR="00225513">
        <w:t xml:space="preserve"> &amp; EO 14151</w:t>
      </w:r>
      <w:r w:rsidRPr="008E6BC9">
        <w:t xml:space="preserve">. </w:t>
      </w:r>
    </w:p>
    <w:p w:rsidR="005463A6" w:rsidP="008E6BC9" w14:paraId="6E2A7435" w14:textId="77777777">
      <w:pPr>
        <w:pStyle w:val="Default"/>
      </w:pPr>
    </w:p>
    <w:p w:rsidR="005463A6" w:rsidRPr="008E6BC9" w:rsidP="008E6BC9" w14:paraId="6BDE7046" w14:textId="05CA9FE7">
      <w:pPr>
        <w:pStyle w:val="Default"/>
      </w:pPr>
      <w:r>
        <w:t>The table below crosswalks the changes made to all documents. Changes include both text revision and deletions.</w:t>
      </w:r>
    </w:p>
    <w:p w:rsidR="0027059A" w:rsidP="008E6BC9" w14:paraId="53460299" w14:textId="4813BE1C">
      <w:pPr>
        <w:pStyle w:val="Default"/>
      </w:pPr>
      <w:r w:rsidRPr="008E6BC9">
        <w:t xml:space="preserve"> </w:t>
      </w:r>
    </w:p>
    <w:tbl>
      <w:tblPr>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493"/>
        <w:gridCol w:w="1800"/>
        <w:gridCol w:w="2260"/>
        <w:gridCol w:w="2330"/>
      </w:tblGrid>
      <w:tr w14:paraId="6AADDB76" w14:textId="77777777" w:rsidTr="0088758B">
        <w:tblPrEx>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2493" w:type="dxa"/>
          </w:tcPr>
          <w:p w:rsidR="0039731C" w:rsidRPr="005463A6" w:rsidP="005463A6" w14:paraId="205B1058" w14:textId="5B4D4730">
            <w:pPr>
              <w:pStyle w:val="Default"/>
              <w:jc w:val="center"/>
              <w:rPr>
                <w:b/>
                <w:bCs/>
              </w:rPr>
            </w:pPr>
            <w:r w:rsidRPr="005463A6">
              <w:rPr>
                <w:b/>
                <w:bCs/>
              </w:rPr>
              <w:t>Table A: Description of Changes (optional, helpful if multiple changes to multiple forms):</w:t>
            </w:r>
          </w:p>
        </w:tc>
        <w:tc>
          <w:tcPr>
            <w:tcW w:w="1800" w:type="dxa"/>
          </w:tcPr>
          <w:p w:rsidR="0039731C" w:rsidRPr="005463A6" w:rsidP="005463A6" w14:paraId="608EC4AD" w14:textId="3EB0ECE8">
            <w:pPr>
              <w:pStyle w:val="Default"/>
              <w:jc w:val="center"/>
              <w:rPr>
                <w:b/>
                <w:bCs/>
              </w:rPr>
            </w:pPr>
            <w:r w:rsidRPr="005463A6">
              <w:rPr>
                <w:b/>
                <w:bCs/>
              </w:rPr>
              <w:t>Type of Change</w:t>
            </w:r>
          </w:p>
        </w:tc>
        <w:tc>
          <w:tcPr>
            <w:tcW w:w="2260" w:type="dxa"/>
          </w:tcPr>
          <w:p w:rsidR="0039731C" w:rsidRPr="005463A6" w:rsidP="005463A6" w14:paraId="601C1057" w14:textId="247D4C69">
            <w:pPr>
              <w:pStyle w:val="Default"/>
              <w:jc w:val="center"/>
              <w:rPr>
                <w:b/>
                <w:bCs/>
              </w:rPr>
            </w:pPr>
            <w:r w:rsidRPr="005463A6">
              <w:rPr>
                <w:b/>
                <w:bCs/>
              </w:rPr>
              <w:t>Question/Item</w:t>
            </w:r>
          </w:p>
        </w:tc>
        <w:tc>
          <w:tcPr>
            <w:tcW w:w="2330" w:type="dxa"/>
          </w:tcPr>
          <w:p w:rsidR="0039731C" w:rsidRPr="005463A6" w:rsidP="005463A6" w14:paraId="2FABBE3C" w14:textId="75E92099">
            <w:pPr>
              <w:pStyle w:val="Default"/>
              <w:jc w:val="center"/>
              <w:rPr>
                <w:b/>
                <w:bCs/>
              </w:rPr>
            </w:pPr>
            <w:r w:rsidRPr="005463A6">
              <w:rPr>
                <w:b/>
                <w:bCs/>
              </w:rPr>
              <w:t>Requested Change</w:t>
            </w:r>
          </w:p>
        </w:tc>
      </w:tr>
      <w:tr w14:paraId="234A5BA0" w14:textId="77777777" w:rsidTr="0088758B">
        <w:tblPrEx>
          <w:tblW w:w="0" w:type="auto"/>
          <w:tblInd w:w="-168" w:type="dxa"/>
          <w:tblLayout w:type="fixed"/>
          <w:tblLook w:val="0000"/>
        </w:tblPrEx>
        <w:trPr>
          <w:trHeight w:val="109"/>
        </w:trPr>
        <w:tc>
          <w:tcPr>
            <w:tcW w:w="2493" w:type="dxa"/>
          </w:tcPr>
          <w:p w:rsidR="0039731C" w:rsidRPr="005463A6" w:rsidP="009102DE" w14:paraId="2AC92BA4" w14:textId="0F0DC87C">
            <w:pPr>
              <w:pStyle w:val="Default"/>
            </w:pPr>
            <w:r w:rsidRPr="005463A6">
              <w:t xml:space="preserve">SSA </w:t>
            </w:r>
            <w:r w:rsidRPr="005463A6" w:rsidR="00E04E1E">
              <w:t xml:space="preserve">- </w:t>
            </w:r>
            <w:r w:rsidRPr="005463A6">
              <w:t>section A.2, p</w:t>
            </w:r>
            <w:r w:rsidRPr="005463A6" w:rsidR="00E04E1E">
              <w:t>age</w:t>
            </w:r>
            <w:r w:rsidRPr="005463A6">
              <w:t xml:space="preserve"> 5 </w:t>
            </w:r>
          </w:p>
        </w:tc>
        <w:tc>
          <w:tcPr>
            <w:tcW w:w="1800" w:type="dxa"/>
          </w:tcPr>
          <w:p w:rsidR="0039731C" w:rsidRPr="005463A6" w:rsidP="009102DE" w14:paraId="029BEA07" w14:textId="77777777">
            <w:pPr>
              <w:pStyle w:val="Default"/>
            </w:pPr>
            <w:r w:rsidRPr="005463A6">
              <w:t>Text Revision</w:t>
            </w:r>
          </w:p>
        </w:tc>
        <w:tc>
          <w:tcPr>
            <w:tcW w:w="2260" w:type="dxa"/>
          </w:tcPr>
          <w:p w:rsidR="0039731C" w:rsidRPr="005463A6" w:rsidP="009102DE" w14:paraId="326DD1E8" w14:textId="6F6585EC">
            <w:pPr>
              <w:pStyle w:val="Default"/>
            </w:pPr>
            <w:r w:rsidRPr="005463A6">
              <w:t>To what extent have recipients demonstrated use of surveillance and evaluation data to inform prevention strategy allocation and implementation to improve health equity?</w:t>
            </w:r>
          </w:p>
        </w:tc>
        <w:tc>
          <w:tcPr>
            <w:tcW w:w="2330" w:type="dxa"/>
          </w:tcPr>
          <w:p w:rsidR="0039731C" w:rsidRPr="005463A6" w:rsidP="003238A7" w14:paraId="3A1A7013" w14:textId="45C5C1AC">
            <w:pPr>
              <w:spacing w:after="0" w:line="240" w:lineRule="auto"/>
              <w:rPr>
                <w:rFonts w:ascii="Times New Roman" w:hAnsi="Times New Roman" w:cs="Times New Roman"/>
              </w:rPr>
            </w:pPr>
            <w:r w:rsidRPr="005463A6">
              <w:rPr>
                <w:rFonts w:ascii="Times New Roman" w:hAnsi="Times New Roman" w:cs="Times New Roman"/>
              </w:rPr>
              <w:t>To what extent have recipients demonstrated use of surveillance and evaluation data to inform prevention strategy allocation and implementation to improve health for all and especially for those at greatest risk?</w:t>
            </w:r>
          </w:p>
        </w:tc>
      </w:tr>
      <w:tr w14:paraId="6E53EE68" w14:textId="77777777" w:rsidTr="0088758B">
        <w:tblPrEx>
          <w:tblW w:w="0" w:type="auto"/>
          <w:tblInd w:w="-168" w:type="dxa"/>
          <w:tblLayout w:type="fixed"/>
          <w:tblLook w:val="0000"/>
        </w:tblPrEx>
        <w:trPr>
          <w:trHeight w:val="109"/>
        </w:trPr>
        <w:tc>
          <w:tcPr>
            <w:tcW w:w="2493" w:type="dxa"/>
          </w:tcPr>
          <w:p w:rsidR="00E04E1E" w:rsidRPr="005463A6" w:rsidP="009102DE" w14:paraId="31CC1FF2" w14:textId="238B6356">
            <w:pPr>
              <w:pStyle w:val="Default"/>
            </w:pPr>
            <w:r w:rsidRPr="005463A6">
              <w:t>Attachment 3 -Annual Performance Report Tool - Goal 3, objective 3.2, page 2</w:t>
            </w:r>
          </w:p>
        </w:tc>
        <w:tc>
          <w:tcPr>
            <w:tcW w:w="1800" w:type="dxa"/>
          </w:tcPr>
          <w:p w:rsidR="00E04E1E" w:rsidRPr="005463A6" w:rsidP="009102DE" w14:paraId="7EF26372" w14:textId="2678AABE">
            <w:pPr>
              <w:pStyle w:val="Default"/>
            </w:pPr>
            <w:r w:rsidRPr="005463A6">
              <w:t>Text Revision</w:t>
            </w:r>
          </w:p>
        </w:tc>
        <w:tc>
          <w:tcPr>
            <w:tcW w:w="2260" w:type="dxa"/>
          </w:tcPr>
          <w:p w:rsidR="00E04E1E" w:rsidRPr="005463A6" w:rsidP="009102DE" w14:paraId="33DE1921" w14:textId="6973CD92">
            <w:pPr>
              <w:pStyle w:val="Default"/>
            </w:pPr>
            <w:r w:rsidRPr="005463A6">
              <w:t xml:space="preserve">Objective 3.2. Increased capacity to use ACEs and PCEs surveillance and evaluation data to identify and tailor ACEs prevention strategies, improve </w:t>
            </w:r>
            <w:r w:rsidRPr="005463A6">
              <w:t>health equity, and the social determinants of health</w:t>
            </w:r>
          </w:p>
        </w:tc>
        <w:tc>
          <w:tcPr>
            <w:tcW w:w="2330" w:type="dxa"/>
          </w:tcPr>
          <w:p w:rsidR="00E04E1E" w:rsidRPr="005463A6" w:rsidP="00E04E1E" w14:paraId="6A76E59F" w14:textId="752E8B3B">
            <w:pPr>
              <w:spacing w:after="0" w:line="240" w:lineRule="auto"/>
              <w:rPr>
                <w:rFonts w:ascii="Times New Roman" w:hAnsi="Times New Roman" w:cs="Times New Roman"/>
              </w:rPr>
            </w:pPr>
            <w:r w:rsidRPr="005463A6">
              <w:rPr>
                <w:rFonts w:ascii="Times New Roman" w:hAnsi="Times New Roman" w:cs="Times New Roman"/>
                <w:i/>
                <w:iCs/>
              </w:rPr>
              <w:t xml:space="preserve">Objective 3.2. Increased capacity to use ACEs and PCEs surveillance and evaluation data to identify and tailor ACEs prevention strategies, improve </w:t>
            </w:r>
            <w:r w:rsidRPr="005463A6">
              <w:rPr>
                <w:rFonts w:ascii="Times New Roman" w:hAnsi="Times New Roman" w:cs="Times New Roman"/>
                <w:i/>
                <w:iCs/>
              </w:rPr>
              <w:t>health for all and especially for those at greatest risk</w:t>
            </w:r>
          </w:p>
        </w:tc>
      </w:tr>
      <w:tr w14:paraId="03444DDB" w14:textId="77777777" w:rsidTr="0088758B">
        <w:tblPrEx>
          <w:tblW w:w="0" w:type="auto"/>
          <w:tblInd w:w="-168" w:type="dxa"/>
          <w:tblLayout w:type="fixed"/>
          <w:tblLook w:val="0000"/>
        </w:tblPrEx>
        <w:trPr>
          <w:trHeight w:val="109"/>
        </w:trPr>
        <w:tc>
          <w:tcPr>
            <w:tcW w:w="2493" w:type="dxa"/>
          </w:tcPr>
          <w:p w:rsidR="00E04E1E" w:rsidRPr="005463A6" w:rsidP="009102DE" w14:paraId="3A46AB84" w14:textId="49F1EAE1">
            <w:pPr>
              <w:pStyle w:val="Default"/>
            </w:pPr>
            <w:r w:rsidRPr="005463A6">
              <w:t>Attachment 3 -Annual Performance Report Tool - Goal 3, objective 3.5, page 2</w:t>
            </w:r>
          </w:p>
        </w:tc>
        <w:tc>
          <w:tcPr>
            <w:tcW w:w="1800" w:type="dxa"/>
          </w:tcPr>
          <w:p w:rsidR="00E04E1E" w:rsidRPr="005463A6" w:rsidP="009102DE" w14:paraId="442EC31D" w14:textId="6B7E3F93">
            <w:pPr>
              <w:pStyle w:val="Default"/>
            </w:pPr>
            <w:r w:rsidRPr="005463A6">
              <w:t>Text Revision</w:t>
            </w:r>
          </w:p>
        </w:tc>
        <w:tc>
          <w:tcPr>
            <w:tcW w:w="2260" w:type="dxa"/>
          </w:tcPr>
          <w:p w:rsidR="00E04E1E" w:rsidRPr="005463A6" w:rsidP="009102DE" w14:paraId="51001968" w14:textId="14867738">
            <w:pPr>
              <w:pStyle w:val="Default"/>
            </w:pPr>
            <w:r w:rsidRPr="005463A6">
              <w:rPr>
                <w:i/>
                <w:iCs/>
              </w:rPr>
              <w:t>Objective 3.5. Increased use and translation of surveillance and evaluation data to inform tailored prevention strategy implementation to reduce ACEs and improve health equity, and social determinants of health</w:t>
            </w:r>
          </w:p>
        </w:tc>
        <w:tc>
          <w:tcPr>
            <w:tcW w:w="2330" w:type="dxa"/>
          </w:tcPr>
          <w:p w:rsidR="00E04E1E" w:rsidRPr="005463A6" w:rsidP="00E04E1E" w14:paraId="0BDB9DE0" w14:textId="271A64CC">
            <w:pPr>
              <w:spacing w:after="0" w:line="240" w:lineRule="auto"/>
              <w:rPr>
                <w:rFonts w:ascii="Times New Roman" w:hAnsi="Times New Roman" w:cs="Times New Roman"/>
                <w:i/>
                <w:iCs/>
              </w:rPr>
            </w:pPr>
            <w:r w:rsidRPr="005463A6">
              <w:rPr>
                <w:rFonts w:ascii="Times New Roman" w:hAnsi="Times New Roman" w:cs="Times New Roman"/>
                <w:i/>
                <w:iCs/>
              </w:rPr>
              <w:t xml:space="preserve">Objective 3.5. Increased use and translation of surveillance and evaluation data to inform tailored prevention strategy implementation to reduce ACEs and improve health for all and especially for those at greatest risk </w:t>
            </w:r>
          </w:p>
        </w:tc>
      </w:tr>
      <w:tr w14:paraId="5AF8DCEA" w14:textId="77777777" w:rsidTr="0088758B">
        <w:tblPrEx>
          <w:tblW w:w="0" w:type="auto"/>
          <w:tblInd w:w="-168" w:type="dxa"/>
          <w:tblLayout w:type="fixed"/>
          <w:tblLook w:val="0000"/>
        </w:tblPrEx>
        <w:trPr>
          <w:trHeight w:val="109"/>
        </w:trPr>
        <w:tc>
          <w:tcPr>
            <w:tcW w:w="2493" w:type="dxa"/>
          </w:tcPr>
          <w:p w:rsidR="00E04E1E" w:rsidRPr="005463A6" w:rsidP="00E04E1E" w14:paraId="2F2BDDAF" w14:textId="4E940A4B">
            <w:pPr>
              <w:pStyle w:val="Default"/>
            </w:pPr>
            <w:r w:rsidRPr="005463A6">
              <w:t>Attachment 3 -Annual Performance Report Tool – Training and Technical Assistance Table, page 5</w:t>
            </w:r>
          </w:p>
        </w:tc>
        <w:tc>
          <w:tcPr>
            <w:tcW w:w="1800" w:type="dxa"/>
          </w:tcPr>
          <w:p w:rsidR="00E04E1E" w:rsidRPr="005463A6" w:rsidP="00E04E1E" w14:paraId="40E45D9D" w14:textId="2EDE9251">
            <w:pPr>
              <w:pStyle w:val="Default"/>
            </w:pPr>
            <w:r w:rsidRPr="005463A6">
              <w:t xml:space="preserve">Text </w:t>
            </w:r>
            <w:r w:rsidRPr="005463A6" w:rsidR="00952EB8">
              <w:t>R</w:t>
            </w:r>
            <w:r w:rsidRPr="005463A6">
              <w:t>evision</w:t>
            </w:r>
          </w:p>
        </w:tc>
        <w:tc>
          <w:tcPr>
            <w:tcW w:w="2260" w:type="dxa"/>
          </w:tcPr>
          <w:p w:rsidR="00E04E1E" w:rsidRPr="005463A6" w:rsidP="00E04E1E" w14:paraId="13E81E1D" w14:textId="0E5458CF">
            <w:pPr>
              <w:pStyle w:val="Default"/>
              <w:rPr>
                <w:i/>
                <w:iCs/>
              </w:rPr>
            </w:pPr>
            <w:r w:rsidRPr="005463A6">
              <w:rPr>
                <w:sz w:val="20"/>
                <w:szCs w:val="20"/>
              </w:rPr>
              <w:t>Health Equity</w:t>
            </w:r>
          </w:p>
        </w:tc>
        <w:tc>
          <w:tcPr>
            <w:tcW w:w="2330" w:type="dxa"/>
          </w:tcPr>
          <w:p w:rsidR="00E04E1E" w:rsidRPr="005463A6" w:rsidP="00952EB8" w14:paraId="5D29BED5" w14:textId="77777777">
            <w:pPr>
              <w:spacing w:after="0" w:line="240" w:lineRule="auto"/>
              <w:rPr>
                <w:rFonts w:ascii="Times New Roman" w:hAnsi="Times New Roman" w:cs="Times New Roman"/>
                <w:sz w:val="20"/>
                <w:szCs w:val="20"/>
              </w:rPr>
            </w:pPr>
            <w:r w:rsidRPr="005463A6">
              <w:rPr>
                <w:rFonts w:ascii="Times New Roman" w:hAnsi="Times New Roman" w:cs="Times New Roman"/>
                <w:sz w:val="20"/>
                <w:szCs w:val="20"/>
              </w:rPr>
              <w:t>Health for all and especially for those at greatest risk</w:t>
            </w:r>
          </w:p>
          <w:p w:rsidR="00E04E1E" w:rsidRPr="005463A6" w:rsidP="00E04E1E" w14:paraId="4AD7FC5A" w14:textId="77777777">
            <w:pPr>
              <w:spacing w:after="0" w:line="240" w:lineRule="auto"/>
              <w:rPr>
                <w:rFonts w:ascii="Times New Roman" w:hAnsi="Times New Roman" w:cs="Times New Roman"/>
                <w:i/>
                <w:iCs/>
              </w:rPr>
            </w:pPr>
          </w:p>
        </w:tc>
      </w:tr>
      <w:tr w14:paraId="6795AF20" w14:textId="77777777" w:rsidTr="0088758B">
        <w:tblPrEx>
          <w:tblW w:w="0" w:type="auto"/>
          <w:tblInd w:w="-168" w:type="dxa"/>
          <w:tblLayout w:type="fixed"/>
          <w:tblLook w:val="0000"/>
        </w:tblPrEx>
        <w:trPr>
          <w:trHeight w:val="109"/>
        </w:trPr>
        <w:tc>
          <w:tcPr>
            <w:tcW w:w="2493" w:type="dxa"/>
          </w:tcPr>
          <w:p w:rsidR="00952EB8" w:rsidRPr="005463A6" w:rsidP="00E04E1E" w14:paraId="203E0759" w14:textId="5DB87FC0">
            <w:pPr>
              <w:pStyle w:val="Default"/>
            </w:pPr>
            <w:r w:rsidRPr="005463A6">
              <w:t>Attachment 3 -Annual Performance Report Tool – Progress on State Action/Strategic Plan, page 12</w:t>
            </w:r>
          </w:p>
        </w:tc>
        <w:tc>
          <w:tcPr>
            <w:tcW w:w="1800" w:type="dxa"/>
          </w:tcPr>
          <w:p w:rsidR="00952EB8" w:rsidRPr="005463A6" w:rsidP="00E04E1E" w14:paraId="06ACA1ED" w14:textId="0C6238C2">
            <w:pPr>
              <w:pStyle w:val="Default"/>
            </w:pPr>
            <w:r w:rsidRPr="005463A6">
              <w:t>Text Revision</w:t>
            </w:r>
          </w:p>
        </w:tc>
        <w:tc>
          <w:tcPr>
            <w:tcW w:w="2260" w:type="dxa"/>
          </w:tcPr>
          <w:p w:rsidR="00952EB8" w:rsidRPr="005463A6" w:rsidP="00E04E1E" w14:paraId="27CCA43E" w14:textId="26FF8910">
            <w:pPr>
              <w:pStyle w:val="Default"/>
              <w:rPr>
                <w:sz w:val="20"/>
                <w:szCs w:val="20"/>
              </w:rPr>
            </w:pPr>
            <w:r w:rsidRPr="005463A6">
              <w:rPr>
                <w:sz w:val="20"/>
                <w:szCs w:val="20"/>
              </w:rPr>
              <w:t>Health Equity</w:t>
            </w:r>
          </w:p>
        </w:tc>
        <w:tc>
          <w:tcPr>
            <w:tcW w:w="2330" w:type="dxa"/>
          </w:tcPr>
          <w:p w:rsidR="00952EB8" w:rsidRPr="005463A6" w:rsidP="00952EB8" w14:paraId="7CE4C4EA" w14:textId="77777777">
            <w:pPr>
              <w:spacing w:after="0" w:line="240" w:lineRule="auto"/>
              <w:rPr>
                <w:rFonts w:ascii="Times New Roman" w:hAnsi="Times New Roman" w:cs="Times New Roman"/>
                <w:sz w:val="20"/>
                <w:szCs w:val="20"/>
              </w:rPr>
            </w:pPr>
            <w:r w:rsidRPr="005463A6">
              <w:rPr>
                <w:rFonts w:ascii="Times New Roman" w:hAnsi="Times New Roman" w:cs="Times New Roman"/>
                <w:sz w:val="20"/>
                <w:szCs w:val="20"/>
              </w:rPr>
              <w:t>Health for all and especially for those at greatest risk</w:t>
            </w:r>
          </w:p>
          <w:p w:rsidR="00952EB8" w:rsidRPr="005463A6" w:rsidP="00952EB8" w14:paraId="70C59944" w14:textId="77777777">
            <w:pPr>
              <w:spacing w:after="0" w:line="240" w:lineRule="auto"/>
              <w:rPr>
                <w:rFonts w:ascii="Times New Roman" w:hAnsi="Times New Roman" w:cs="Times New Roman"/>
                <w:sz w:val="20"/>
                <w:szCs w:val="20"/>
              </w:rPr>
            </w:pPr>
          </w:p>
        </w:tc>
      </w:tr>
      <w:tr w14:paraId="7892DC7D" w14:textId="77777777" w:rsidTr="0088758B">
        <w:tblPrEx>
          <w:tblW w:w="0" w:type="auto"/>
          <w:tblInd w:w="-168" w:type="dxa"/>
          <w:tblLayout w:type="fixed"/>
          <w:tblLook w:val="0000"/>
        </w:tblPrEx>
        <w:trPr>
          <w:trHeight w:val="109"/>
        </w:trPr>
        <w:tc>
          <w:tcPr>
            <w:tcW w:w="2493" w:type="dxa"/>
          </w:tcPr>
          <w:p w:rsidR="0088758B" w:rsidRPr="005463A6" w:rsidP="00E04E1E" w14:paraId="5A7A162A" w14:textId="1AA01D37">
            <w:pPr>
              <w:pStyle w:val="Default"/>
            </w:pPr>
            <w:r w:rsidRPr="005463A6">
              <w:t>Attachment 3 -Annual Performance Report Tool – Adaptation Table, page 21</w:t>
            </w:r>
          </w:p>
        </w:tc>
        <w:tc>
          <w:tcPr>
            <w:tcW w:w="1800" w:type="dxa"/>
          </w:tcPr>
          <w:p w:rsidR="0088758B" w:rsidRPr="005463A6" w:rsidP="00E04E1E" w14:paraId="18B13E39" w14:textId="7BAA2D54">
            <w:pPr>
              <w:pStyle w:val="Default"/>
            </w:pPr>
            <w:r w:rsidRPr="005463A6">
              <w:t>Text Revision</w:t>
            </w:r>
          </w:p>
        </w:tc>
        <w:tc>
          <w:tcPr>
            <w:tcW w:w="2260" w:type="dxa"/>
          </w:tcPr>
          <w:p w:rsidR="0088758B" w:rsidRPr="005463A6" w:rsidP="0088758B" w14:paraId="1E99BF02" w14:textId="77777777">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To address racial inequity</w:t>
            </w:r>
          </w:p>
          <w:p w:rsidR="0088758B" w:rsidRPr="005463A6" w:rsidP="00952EB8" w14:paraId="62ACD8F0" w14:textId="77777777">
            <w:pPr>
              <w:spacing w:before="100" w:after="200" w:line="276" w:lineRule="auto"/>
              <w:rPr>
                <w:rFonts w:ascii="Times New Roman" w:hAnsi="Times New Roman" w:cs="Times New Roman"/>
                <w:i/>
                <w:iCs/>
              </w:rPr>
            </w:pPr>
          </w:p>
        </w:tc>
        <w:tc>
          <w:tcPr>
            <w:tcW w:w="2330" w:type="dxa"/>
          </w:tcPr>
          <w:p w:rsidR="009C3BE6" w:rsidRPr="005463A6" w:rsidP="009C3BE6" w14:paraId="4D8C37D9" w14:textId="7ED4CB4A">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To address inequit</w:t>
            </w:r>
            <w:r>
              <w:rPr>
                <w:rFonts w:ascii="Times New Roman" w:hAnsi="Times New Roman" w:cs="Times New Roman"/>
                <w:sz w:val="18"/>
                <w:szCs w:val="18"/>
              </w:rPr>
              <w:t>ies</w:t>
            </w:r>
          </w:p>
          <w:p w:rsidR="0088758B" w:rsidRPr="005463A6" w:rsidP="00952EB8" w14:paraId="1C0B4CED" w14:textId="77777777">
            <w:pPr>
              <w:spacing w:before="100" w:after="200" w:line="276" w:lineRule="auto"/>
              <w:rPr>
                <w:rFonts w:ascii="Times New Roman" w:hAnsi="Times New Roman" w:cs="Times New Roman"/>
                <w:i/>
                <w:iCs/>
              </w:rPr>
            </w:pPr>
          </w:p>
        </w:tc>
      </w:tr>
      <w:tr w14:paraId="51342FD1" w14:textId="77777777" w:rsidTr="0088758B">
        <w:tblPrEx>
          <w:tblW w:w="0" w:type="auto"/>
          <w:tblInd w:w="-168" w:type="dxa"/>
          <w:tblLayout w:type="fixed"/>
          <w:tblLook w:val="0000"/>
        </w:tblPrEx>
        <w:trPr>
          <w:trHeight w:val="109"/>
        </w:trPr>
        <w:tc>
          <w:tcPr>
            <w:tcW w:w="2493" w:type="dxa"/>
          </w:tcPr>
          <w:p w:rsidR="00CA49C4" w:rsidRPr="005463A6" w:rsidP="00E04E1E" w14:paraId="72675F23" w14:textId="5D760B8D">
            <w:pPr>
              <w:pStyle w:val="Default"/>
            </w:pPr>
            <w:r w:rsidRPr="005463A6">
              <w:t>Attachment 3 -Annual Performance Report Tool – Section 5: Population of Focus and Reach, page 22</w:t>
            </w:r>
          </w:p>
        </w:tc>
        <w:tc>
          <w:tcPr>
            <w:tcW w:w="1800" w:type="dxa"/>
          </w:tcPr>
          <w:p w:rsidR="00CA49C4" w:rsidRPr="005463A6" w:rsidP="00E04E1E" w14:paraId="02B9A500" w14:textId="3BCBE2E1">
            <w:pPr>
              <w:pStyle w:val="Default"/>
            </w:pPr>
            <w:r w:rsidRPr="005463A6">
              <w:t>Text Deletion</w:t>
            </w:r>
          </w:p>
        </w:tc>
        <w:tc>
          <w:tcPr>
            <w:tcW w:w="2260" w:type="dxa"/>
          </w:tcPr>
          <w:p w:rsidR="00CA49C4" w:rsidRPr="005463A6" w:rsidP="0088758B" w14:paraId="26FB980A" w14:textId="57F2C775">
            <w:pPr>
              <w:spacing w:before="100" w:after="200" w:line="276" w:lineRule="auto"/>
              <w:rPr>
                <w:rFonts w:ascii="Times New Roman" w:hAnsi="Times New Roman" w:cs="Times New Roman"/>
                <w:sz w:val="18"/>
                <w:szCs w:val="18"/>
              </w:rPr>
            </w:pPr>
            <w:r w:rsidRPr="005463A6">
              <w:rPr>
                <w:rFonts w:ascii="Times New Roman" w:hAnsi="Times New Roman" w:cs="Times New Roman"/>
                <w:sz w:val="18"/>
                <w:szCs w:val="18"/>
              </w:rPr>
              <w:t>Undocumented Status</w:t>
            </w:r>
          </w:p>
        </w:tc>
        <w:tc>
          <w:tcPr>
            <w:tcW w:w="2330" w:type="dxa"/>
          </w:tcPr>
          <w:p w:rsidR="00CA49C4" w:rsidRPr="005463A6" w:rsidP="00952EB8" w14:paraId="1D048377" w14:textId="3CC05CDF">
            <w:pPr>
              <w:spacing w:before="100" w:after="200" w:line="276" w:lineRule="auto"/>
              <w:rPr>
                <w:rFonts w:ascii="Times New Roman" w:hAnsi="Times New Roman" w:cs="Times New Roman"/>
                <w:i/>
                <w:iCs/>
              </w:rPr>
            </w:pPr>
            <w:r w:rsidRPr="005463A6">
              <w:rPr>
                <w:rFonts w:ascii="Times New Roman" w:hAnsi="Times New Roman" w:cs="Times New Roman"/>
                <w:i/>
                <w:iCs/>
              </w:rPr>
              <w:t>Delete option</w:t>
            </w:r>
          </w:p>
        </w:tc>
      </w:tr>
      <w:tr w14:paraId="40163832" w14:textId="77777777" w:rsidTr="0088758B">
        <w:tblPrEx>
          <w:tblW w:w="0" w:type="auto"/>
          <w:tblInd w:w="-168" w:type="dxa"/>
          <w:tblLayout w:type="fixed"/>
          <w:tblLook w:val="0000"/>
        </w:tblPrEx>
        <w:trPr>
          <w:trHeight w:val="109"/>
        </w:trPr>
        <w:tc>
          <w:tcPr>
            <w:tcW w:w="2493" w:type="dxa"/>
          </w:tcPr>
          <w:p w:rsidR="00CA49C4" w:rsidRPr="005463A6" w:rsidP="00E04E1E" w14:paraId="00C2BB31" w14:textId="08C6936A">
            <w:pPr>
              <w:pStyle w:val="Default"/>
            </w:pPr>
            <w:r w:rsidRPr="005463A6">
              <w:t>Attachment 3 -Annual Performance Report Tool – Section 5: Population of Focus and Reach, page 23</w:t>
            </w:r>
          </w:p>
        </w:tc>
        <w:tc>
          <w:tcPr>
            <w:tcW w:w="1800" w:type="dxa"/>
          </w:tcPr>
          <w:p w:rsidR="00CA49C4" w:rsidRPr="005463A6" w:rsidP="00E04E1E" w14:paraId="4993E479" w14:textId="70AC3479">
            <w:pPr>
              <w:pStyle w:val="Default"/>
            </w:pPr>
            <w:r w:rsidRPr="005463A6">
              <w:t>Text Deletion</w:t>
            </w:r>
          </w:p>
        </w:tc>
        <w:tc>
          <w:tcPr>
            <w:tcW w:w="2260" w:type="dxa"/>
          </w:tcPr>
          <w:p w:rsidR="00CA49C4" w:rsidRPr="005463A6" w:rsidP="00CA49C4" w14:paraId="7CA05AFD" w14:textId="77777777">
            <w:pPr>
              <w:rPr>
                <w:rFonts w:ascii="Times New Roman" w:hAnsi="Times New Roman" w:cs="Times New Roman"/>
              </w:rPr>
            </w:pPr>
            <w:r w:rsidRPr="005463A6">
              <w:rPr>
                <w:rFonts w:ascii="Times New Roman" w:hAnsi="Times New Roman" w:cs="Times New Roman"/>
              </w:rPr>
              <w:t>Gender groups: [Select all that apply]</w:t>
            </w:r>
          </w:p>
          <w:p w:rsidR="00CA49C4" w:rsidRPr="005463A6" w:rsidP="00CA49C4" w14:paraId="2ECFA6AE"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Men</w:t>
            </w:r>
          </w:p>
          <w:p w:rsidR="00CA49C4" w:rsidRPr="005463A6" w:rsidP="00CA49C4" w14:paraId="6F3A23F8"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Women</w:t>
            </w:r>
          </w:p>
          <w:p w:rsidR="00CA49C4" w:rsidRPr="005463A6" w:rsidP="00CA49C4" w14:paraId="2482DB3B"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Non-binary</w:t>
            </w:r>
          </w:p>
          <w:p w:rsidR="00CA49C4" w:rsidRPr="005463A6" w:rsidP="00CA49C4" w14:paraId="4B211CE8" w14:textId="77777777">
            <w:pPr>
              <w:pStyle w:val="ListParagraph"/>
              <w:numPr>
                <w:ilvl w:val="0"/>
                <w:numId w:val="12"/>
              </w:numPr>
              <w:spacing w:before="100" w:after="200" w:line="276" w:lineRule="auto"/>
              <w:rPr>
                <w:rFonts w:ascii="Times New Roman" w:hAnsi="Times New Roman" w:cs="Times New Roman"/>
              </w:rPr>
            </w:pPr>
            <w:r w:rsidRPr="005463A6">
              <w:rPr>
                <w:rFonts w:ascii="Times New Roman" w:hAnsi="Times New Roman" w:cs="Times New Roman"/>
              </w:rPr>
              <w:t>Transgender</w:t>
            </w:r>
          </w:p>
          <w:p w:rsidR="00CA49C4" w:rsidRPr="005463A6" w:rsidP="003238A7" w14:paraId="49B0CD19" w14:textId="78F12CC8">
            <w:pPr>
              <w:pStyle w:val="ListParagraph"/>
              <w:numPr>
                <w:ilvl w:val="0"/>
                <w:numId w:val="12"/>
              </w:numPr>
              <w:spacing w:before="100" w:after="200" w:line="276" w:lineRule="auto"/>
              <w:rPr>
                <w:rFonts w:ascii="Times New Roman" w:hAnsi="Times New Roman" w:cs="Times New Roman"/>
                <w:sz w:val="18"/>
                <w:szCs w:val="18"/>
              </w:rPr>
            </w:pPr>
            <w:r w:rsidRPr="005463A6">
              <w:rPr>
                <w:rFonts w:ascii="Times New Roman" w:hAnsi="Times New Roman" w:cs="Times New Roman"/>
              </w:rPr>
              <w:t>Other: Please Specify</w:t>
            </w:r>
          </w:p>
        </w:tc>
        <w:tc>
          <w:tcPr>
            <w:tcW w:w="2330" w:type="dxa"/>
          </w:tcPr>
          <w:p w:rsidR="00CA49C4" w:rsidRPr="005463A6" w:rsidP="00952EB8" w14:paraId="1EB926E7" w14:textId="03E917F6">
            <w:pPr>
              <w:spacing w:before="100" w:after="200" w:line="276" w:lineRule="auto"/>
              <w:rPr>
                <w:rFonts w:ascii="Times New Roman" w:hAnsi="Times New Roman" w:cs="Times New Roman"/>
                <w:i/>
                <w:iCs/>
              </w:rPr>
            </w:pPr>
            <w:r w:rsidRPr="005463A6">
              <w:rPr>
                <w:rFonts w:ascii="Times New Roman" w:hAnsi="Times New Roman" w:cs="Times New Roman"/>
                <w:i/>
                <w:iCs/>
              </w:rPr>
              <w:t>Delete question</w:t>
            </w:r>
          </w:p>
        </w:tc>
      </w:tr>
      <w:tr w14:paraId="587B2B88" w14:textId="77777777" w:rsidTr="0088758B">
        <w:tblPrEx>
          <w:tblW w:w="0" w:type="auto"/>
          <w:tblInd w:w="-168" w:type="dxa"/>
          <w:tblLayout w:type="fixed"/>
          <w:tblLook w:val="0000"/>
        </w:tblPrEx>
        <w:trPr>
          <w:trHeight w:val="109"/>
        </w:trPr>
        <w:tc>
          <w:tcPr>
            <w:tcW w:w="2493" w:type="dxa"/>
          </w:tcPr>
          <w:p w:rsidR="009C3BE6" w:rsidRPr="009C3BE6" w:rsidP="009C3BE6" w14:paraId="1A04443A" w14:textId="31819EDA">
            <w:pPr>
              <w:pStyle w:val="Default"/>
            </w:pPr>
            <w:r w:rsidRPr="009C3BE6">
              <w:t>Attachment 3 -Annual Performance Report Tool – Evaluation Question</w:t>
            </w:r>
            <w:r>
              <w:t>s</w:t>
            </w:r>
            <w:r w:rsidRPr="009C3BE6">
              <w:t>, page 2</w:t>
            </w:r>
            <w:r>
              <w:t>7</w:t>
            </w:r>
          </w:p>
        </w:tc>
        <w:tc>
          <w:tcPr>
            <w:tcW w:w="1800" w:type="dxa"/>
          </w:tcPr>
          <w:p w:rsidR="009C3BE6" w:rsidRPr="009C3BE6" w:rsidP="009C3BE6" w14:paraId="30BA2C2E" w14:textId="53A34A21">
            <w:pPr>
              <w:pStyle w:val="Default"/>
            </w:pPr>
            <w:r w:rsidRPr="009C3BE6">
              <w:t>Text Revision</w:t>
            </w:r>
          </w:p>
        </w:tc>
        <w:tc>
          <w:tcPr>
            <w:tcW w:w="2260" w:type="dxa"/>
          </w:tcPr>
          <w:p w:rsidR="009C3BE6" w:rsidRPr="009C3BE6" w:rsidP="009C3BE6" w14:paraId="3A5FA7D5" w14:textId="77777777">
            <w:pPr>
              <w:spacing w:before="100" w:after="200" w:line="276" w:lineRule="auto"/>
              <w:rPr>
                <w:rFonts w:ascii="Times New Roman" w:hAnsi="Times New Roman" w:cs="Times New Roman"/>
                <w:i/>
                <w:iCs/>
              </w:rPr>
            </w:pPr>
            <w:r w:rsidRPr="009C3BE6">
              <w:rPr>
                <w:rFonts w:ascii="Times New Roman" w:hAnsi="Times New Roman" w:cs="Times New Roman"/>
                <w:i/>
                <w:iCs/>
              </w:rPr>
              <w:t>Q13: To what extent has the recipient demonstrated use of surveillance and evaluation data to inform prevention strategy allocation and implementation, including to improve equity?</w:t>
            </w:r>
          </w:p>
          <w:p w:rsidR="009C3BE6" w:rsidRPr="009C3BE6" w:rsidP="009C3BE6" w14:paraId="713DA2A5" w14:textId="77777777">
            <w:pPr>
              <w:spacing w:before="100" w:after="200" w:line="276" w:lineRule="auto"/>
              <w:rPr>
                <w:rFonts w:ascii="Times New Roman" w:hAnsi="Times New Roman" w:cs="Times New Roman"/>
                <w:i/>
                <w:iCs/>
              </w:rPr>
            </w:pPr>
          </w:p>
        </w:tc>
        <w:tc>
          <w:tcPr>
            <w:tcW w:w="2330" w:type="dxa"/>
          </w:tcPr>
          <w:p w:rsidR="009C3BE6" w:rsidRPr="009C3BE6" w:rsidP="009C3BE6" w14:paraId="64958E26" w14:textId="02B67A0A">
            <w:pPr>
              <w:spacing w:before="100" w:after="200" w:line="276" w:lineRule="auto"/>
              <w:rPr>
                <w:rFonts w:ascii="Times New Roman" w:hAnsi="Times New Roman" w:cs="Times New Roman"/>
                <w:i/>
                <w:iCs/>
              </w:rPr>
            </w:pPr>
            <w:r w:rsidRPr="009C3BE6">
              <w:rPr>
                <w:rFonts w:ascii="Times New Roman" w:hAnsi="Times New Roman" w:cs="Times New Roman"/>
                <w:i/>
                <w:iCs/>
              </w:rPr>
              <w:t>Q13: To what extent has the recipient demonstrated use of surveillance and evaluation data to inform prevention strategy allocation and implementation, including to improve health for all and especially for those at greatest risk?</w:t>
            </w:r>
          </w:p>
        </w:tc>
      </w:tr>
      <w:tr w14:paraId="3002BA6D" w14:textId="77777777" w:rsidTr="0088758B">
        <w:tblPrEx>
          <w:tblW w:w="0" w:type="auto"/>
          <w:tblInd w:w="-168" w:type="dxa"/>
          <w:tblLayout w:type="fixed"/>
          <w:tblLook w:val="0000"/>
        </w:tblPrEx>
        <w:trPr>
          <w:trHeight w:val="109"/>
        </w:trPr>
        <w:tc>
          <w:tcPr>
            <w:tcW w:w="2493" w:type="dxa"/>
          </w:tcPr>
          <w:p w:rsidR="009C3BE6" w:rsidRPr="009C3BE6" w:rsidP="009C3BE6" w14:paraId="2940D04B" w14:textId="42F8B269">
            <w:pPr>
              <w:pStyle w:val="Default"/>
            </w:pPr>
            <w:r w:rsidRPr="005463A6">
              <w:t>Attachment 3 -Annual Performance Report Tool – Enhancements to the Surveillance and Data to Action Infrastructure Table, page 31</w:t>
            </w:r>
          </w:p>
        </w:tc>
        <w:tc>
          <w:tcPr>
            <w:tcW w:w="1800" w:type="dxa"/>
          </w:tcPr>
          <w:p w:rsidR="009C3BE6" w:rsidRPr="009C3BE6" w:rsidP="009C3BE6" w14:paraId="36839F71" w14:textId="3CF9AD6D">
            <w:pPr>
              <w:pStyle w:val="Default"/>
            </w:pPr>
            <w:r>
              <w:t>Text Revision</w:t>
            </w:r>
          </w:p>
        </w:tc>
        <w:tc>
          <w:tcPr>
            <w:tcW w:w="2260" w:type="dxa"/>
          </w:tcPr>
          <w:p w:rsidR="009C3BE6" w:rsidRPr="009C3BE6" w:rsidP="009C3BE6" w14:paraId="728895DA" w14:textId="7DA19C9B">
            <w:pPr>
              <w:spacing w:after="0" w:line="240" w:lineRule="auto"/>
              <w:rPr>
                <w:rFonts w:ascii="Times New Roman" w:hAnsi="Times New Roman" w:cs="Times New Roman"/>
                <w:i/>
                <w:iCs/>
              </w:rPr>
            </w:pPr>
            <w:r w:rsidRPr="009C3BE6">
              <w:rPr>
                <w:rFonts w:eastAsia="Calibri" w:cstheme="minorHAnsi"/>
                <w:sz w:val="20"/>
                <w:szCs w:val="20"/>
              </w:rPr>
              <w:t xml:space="preserve">Utilized surveillance and program evaluation findings to tailor and improve strategy implementation at the state level, with a focus on </w:t>
            </w:r>
            <w:r>
              <w:rPr>
                <w:rFonts w:eastAsia="Calibri" w:cstheme="minorHAnsi"/>
                <w:sz w:val="20"/>
                <w:szCs w:val="20"/>
              </w:rPr>
              <w:t>improving</w:t>
            </w:r>
            <w:r w:rsidRPr="009C3BE6">
              <w:rPr>
                <w:rFonts w:eastAsia="Calibri" w:cstheme="minorHAnsi"/>
                <w:sz w:val="20"/>
                <w:szCs w:val="20"/>
              </w:rPr>
              <w:t xml:space="preserve"> health</w:t>
            </w:r>
            <w:r>
              <w:rPr>
                <w:rFonts w:eastAsia="Calibri" w:cstheme="minorHAnsi"/>
                <w:sz w:val="20"/>
                <w:szCs w:val="20"/>
              </w:rPr>
              <w:t xml:space="preserve"> equity</w:t>
            </w:r>
            <w:r w:rsidRPr="009C3BE6">
              <w:rPr>
                <w:rFonts w:eastAsia="Calibri" w:cstheme="minorHAnsi"/>
                <w:sz w:val="20"/>
                <w:szCs w:val="20"/>
              </w:rPr>
              <w:t>.</w:t>
            </w:r>
          </w:p>
        </w:tc>
        <w:tc>
          <w:tcPr>
            <w:tcW w:w="2330" w:type="dxa"/>
          </w:tcPr>
          <w:p w:rsidR="009C3BE6" w:rsidRPr="009C3BE6" w:rsidP="009C3BE6" w14:paraId="7CE9CA4C" w14:textId="5790A10A">
            <w:pPr>
              <w:spacing w:before="100" w:after="200" w:line="276" w:lineRule="auto"/>
              <w:rPr>
                <w:rFonts w:ascii="Times New Roman" w:hAnsi="Times New Roman" w:cs="Times New Roman"/>
                <w:i/>
                <w:iCs/>
              </w:rPr>
            </w:pPr>
            <w:r w:rsidRPr="009C3BE6">
              <w:rPr>
                <w:rFonts w:eastAsia="Calibri" w:cstheme="minorHAnsi"/>
                <w:sz w:val="20"/>
                <w:szCs w:val="20"/>
              </w:rPr>
              <w:t>Utilized surveillance and program evaluation findings to tailor and improve strategy implementation at the state level, with a focus on reducing differences in health outcomes across population groups.</w:t>
            </w:r>
          </w:p>
        </w:tc>
      </w:tr>
      <w:tr w14:paraId="1ED994DA" w14:textId="77777777" w:rsidTr="0088758B">
        <w:tblPrEx>
          <w:tblW w:w="0" w:type="auto"/>
          <w:tblInd w:w="-168" w:type="dxa"/>
          <w:tblLayout w:type="fixed"/>
          <w:tblLook w:val="0000"/>
        </w:tblPrEx>
        <w:trPr>
          <w:trHeight w:val="109"/>
        </w:trPr>
        <w:tc>
          <w:tcPr>
            <w:tcW w:w="2493" w:type="dxa"/>
          </w:tcPr>
          <w:p w:rsidR="009C3BE6" w:rsidRPr="005463A6" w:rsidP="009C3BE6" w14:paraId="01092960" w14:textId="7DC8D0FD">
            <w:pPr>
              <w:pStyle w:val="Default"/>
            </w:pPr>
            <w:r w:rsidRPr="005463A6">
              <w:t>Attachment 3 -Annual Performance Report Tool – Enhancements to the Surveillance and Data to Action Infrastructure Table, page 31</w:t>
            </w:r>
          </w:p>
        </w:tc>
        <w:tc>
          <w:tcPr>
            <w:tcW w:w="1800" w:type="dxa"/>
          </w:tcPr>
          <w:p w:rsidR="009C3BE6" w:rsidRPr="005463A6" w:rsidP="009C3BE6" w14:paraId="578502D8" w14:textId="08C12330">
            <w:pPr>
              <w:pStyle w:val="Default"/>
            </w:pPr>
            <w:r w:rsidRPr="005463A6">
              <w:t>Text Revision</w:t>
            </w:r>
          </w:p>
        </w:tc>
        <w:tc>
          <w:tcPr>
            <w:tcW w:w="2260" w:type="dxa"/>
          </w:tcPr>
          <w:p w:rsidR="009C3BE6" w:rsidRPr="005463A6" w:rsidP="009C3BE6" w14:paraId="24CAF070" w14:textId="573A835F">
            <w:pPr>
              <w:spacing w:after="0" w:line="240" w:lineRule="auto"/>
              <w:rPr>
                <w:rFonts w:ascii="Times New Roman" w:eastAsia="Calibri" w:hAnsi="Times New Roman" w:cs="Times New Roman"/>
                <w:sz w:val="20"/>
                <w:szCs w:val="20"/>
              </w:rPr>
            </w:pPr>
            <w:r w:rsidRPr="005463A6">
              <w:rPr>
                <w:rFonts w:ascii="Times New Roman" w:eastAsia="Calibri" w:hAnsi="Times New Roman" w:cs="Times New Roman"/>
                <w:sz w:val="20"/>
                <w:szCs w:val="20"/>
              </w:rPr>
              <w:t>[ENHANCED FUNDING RECIPIENTS ONLY] Utilized surveillance and program evaluation findings to tailor and improve strategy implementation at the local level, with a focus on improving health equity.</w:t>
            </w:r>
          </w:p>
        </w:tc>
        <w:tc>
          <w:tcPr>
            <w:tcW w:w="2330" w:type="dxa"/>
          </w:tcPr>
          <w:p w:rsidR="009C3BE6" w:rsidRPr="005463A6" w:rsidP="009C3BE6" w14:paraId="1876C112" w14:textId="3D285969">
            <w:pPr>
              <w:spacing w:after="0" w:line="240" w:lineRule="auto"/>
              <w:rPr>
                <w:rFonts w:ascii="Times New Roman" w:eastAsia="Calibri" w:hAnsi="Times New Roman" w:cs="Times New Roman"/>
                <w:sz w:val="20"/>
                <w:szCs w:val="20"/>
              </w:rPr>
            </w:pPr>
            <w:r w:rsidRPr="005463A6">
              <w:rPr>
                <w:rFonts w:ascii="Times New Roman" w:eastAsia="Calibri" w:hAnsi="Times New Roman" w:cs="Times New Roman"/>
                <w:sz w:val="20"/>
                <w:szCs w:val="20"/>
              </w:rPr>
              <w:t>[ENHANCED FUNDING RECIPIENTS ONLY] Utilized surveillance and program evaluation findings to tailor and improve strategy implementation at the local level, with a focus on reducing differences in health outcomes across population groups.</w:t>
            </w:r>
          </w:p>
        </w:tc>
      </w:tr>
      <w:tr w14:paraId="08571331" w14:textId="77777777" w:rsidTr="0088758B">
        <w:tblPrEx>
          <w:tblW w:w="0" w:type="auto"/>
          <w:tblInd w:w="-168" w:type="dxa"/>
          <w:tblLayout w:type="fixed"/>
          <w:tblLook w:val="0000"/>
        </w:tblPrEx>
        <w:trPr>
          <w:trHeight w:val="109"/>
        </w:trPr>
        <w:tc>
          <w:tcPr>
            <w:tcW w:w="2493" w:type="dxa"/>
          </w:tcPr>
          <w:p w:rsidR="009C3BE6" w:rsidRPr="005463A6" w:rsidP="009C3BE6" w14:paraId="77C77E3A" w14:textId="5E046225">
            <w:pPr>
              <w:pStyle w:val="Default"/>
            </w:pPr>
            <w:r w:rsidRPr="005463A6">
              <w:t>Attachment 3 -Annual Performance Report Tool – Enhancements to the Surveillance and Data to Action Infrastructure Table, page 32</w:t>
            </w:r>
          </w:p>
        </w:tc>
        <w:tc>
          <w:tcPr>
            <w:tcW w:w="1800" w:type="dxa"/>
          </w:tcPr>
          <w:p w:rsidR="009C3BE6" w:rsidRPr="005463A6" w:rsidP="009C3BE6" w14:paraId="3B427AB8" w14:textId="4661F373">
            <w:pPr>
              <w:pStyle w:val="Default"/>
            </w:pPr>
            <w:r w:rsidRPr="005463A6">
              <w:t>Text Revision</w:t>
            </w:r>
          </w:p>
        </w:tc>
        <w:tc>
          <w:tcPr>
            <w:tcW w:w="2260" w:type="dxa"/>
          </w:tcPr>
          <w:p w:rsidR="009C3BE6" w:rsidRPr="005463A6" w:rsidP="009C3BE6" w14:paraId="4FECF0D2" w14:textId="77777777">
            <w:pPr>
              <w:spacing w:after="0" w:line="240" w:lineRule="auto"/>
              <w:rPr>
                <w:rFonts w:ascii="Times New Roman" w:eastAsia="Calibri" w:hAnsi="Times New Roman" w:cs="Times New Roman"/>
                <w:sz w:val="20"/>
                <w:szCs w:val="20"/>
              </w:rPr>
            </w:pPr>
            <w:r w:rsidRPr="005463A6">
              <w:rPr>
                <w:rFonts w:ascii="Times New Roman" w:eastAsia="Calibri" w:hAnsi="Times New Roman" w:cs="Times New Roman"/>
                <w:sz w:val="20"/>
                <w:szCs w:val="20"/>
              </w:rPr>
              <w:t>Used surveillance and program evaluation findings to tailor and improve strategy implementation at the state-level, with a focus on health inequity</w:t>
            </w:r>
          </w:p>
          <w:p w:rsidR="009C3BE6" w:rsidRPr="005463A6" w:rsidP="009C3BE6" w14:paraId="006AC43B" w14:textId="77777777">
            <w:pPr>
              <w:spacing w:after="0" w:line="240" w:lineRule="auto"/>
              <w:rPr>
                <w:rFonts w:ascii="Times New Roman" w:eastAsia="Calibri" w:hAnsi="Times New Roman" w:cs="Times New Roman"/>
                <w:sz w:val="20"/>
                <w:szCs w:val="20"/>
              </w:rPr>
            </w:pPr>
          </w:p>
        </w:tc>
        <w:tc>
          <w:tcPr>
            <w:tcW w:w="2330" w:type="dxa"/>
          </w:tcPr>
          <w:p w:rsidR="009C3BE6" w:rsidRPr="005463A6" w:rsidP="009C3BE6" w14:paraId="14A04D87" w14:textId="3F296191">
            <w:pPr>
              <w:spacing w:after="0" w:line="240" w:lineRule="auto"/>
              <w:rPr>
                <w:rFonts w:ascii="Times New Roman" w:eastAsia="Calibri" w:hAnsi="Times New Roman" w:cs="Times New Roman"/>
                <w:sz w:val="20"/>
                <w:szCs w:val="20"/>
              </w:rPr>
            </w:pPr>
            <w:r w:rsidRPr="005463A6">
              <w:rPr>
                <w:rFonts w:ascii="Times New Roman" w:eastAsia="Calibri" w:hAnsi="Times New Roman" w:cs="Times New Roman"/>
                <w:sz w:val="20"/>
                <w:szCs w:val="20"/>
              </w:rPr>
              <w:t>Used surveillance and program evaluation findings to tailor and improve strategy implementation at the state-level, with a focus on reducing differences in health outcomes across population groups.</w:t>
            </w:r>
          </w:p>
          <w:p w:rsidR="009C3BE6" w:rsidRPr="005463A6" w:rsidP="009C3BE6" w14:paraId="1AF6C7AE" w14:textId="77777777">
            <w:pPr>
              <w:spacing w:after="0" w:line="240" w:lineRule="auto"/>
              <w:rPr>
                <w:rFonts w:ascii="Times New Roman" w:eastAsia="Calibri" w:hAnsi="Times New Roman" w:cs="Times New Roman"/>
                <w:sz w:val="20"/>
                <w:szCs w:val="20"/>
              </w:rPr>
            </w:pPr>
          </w:p>
        </w:tc>
      </w:tr>
      <w:tr w14:paraId="4EBAB23E" w14:textId="77777777" w:rsidTr="0088758B">
        <w:tblPrEx>
          <w:tblW w:w="0" w:type="auto"/>
          <w:tblInd w:w="-168" w:type="dxa"/>
          <w:tblLayout w:type="fixed"/>
          <w:tblLook w:val="0000"/>
        </w:tblPrEx>
        <w:trPr>
          <w:trHeight w:val="109"/>
        </w:trPr>
        <w:tc>
          <w:tcPr>
            <w:tcW w:w="2493" w:type="dxa"/>
          </w:tcPr>
          <w:p w:rsidR="009C3BE6" w:rsidRPr="005463A6" w:rsidP="009C3BE6" w14:paraId="2B18406B" w14:textId="76153271">
            <w:pPr>
              <w:pStyle w:val="Default"/>
            </w:pPr>
            <w:r w:rsidRPr="005463A6">
              <w:t xml:space="preserve">Attachment 3 -Annual Performance Report </w:t>
            </w:r>
            <w:r w:rsidRPr="005463A6">
              <w:t xml:space="preserve">Tool – Data Collection and Tracking Table: Survey Data, page 33 </w:t>
            </w:r>
          </w:p>
        </w:tc>
        <w:tc>
          <w:tcPr>
            <w:tcW w:w="1800" w:type="dxa"/>
          </w:tcPr>
          <w:p w:rsidR="009C3BE6" w:rsidRPr="005463A6" w:rsidP="009C3BE6" w14:paraId="5C6C1A3E" w14:textId="7735951D">
            <w:pPr>
              <w:pStyle w:val="Default"/>
            </w:pPr>
            <w:r w:rsidRPr="005463A6">
              <w:t>Delete Text</w:t>
            </w:r>
          </w:p>
        </w:tc>
        <w:tc>
          <w:tcPr>
            <w:tcW w:w="2260" w:type="dxa"/>
          </w:tcPr>
          <w:p w:rsidR="009C3BE6" w:rsidRPr="005463A6" w:rsidP="009C3BE6" w14:paraId="2D1016A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Age</w:t>
            </w:r>
          </w:p>
          <w:p w:rsidR="009C3BE6" w:rsidRPr="005463A6" w:rsidP="009C3BE6" w14:paraId="5D40C034"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Gender </w:t>
            </w:r>
          </w:p>
          <w:p w:rsidR="009C3BE6" w:rsidRPr="005463A6" w:rsidP="009C3BE6" w14:paraId="181A810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Race and ethnicity</w:t>
            </w:r>
          </w:p>
          <w:p w:rsidR="009C3BE6" w:rsidRPr="005463A6" w:rsidP="009C3BE6" w14:paraId="4BD5BAB8"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Sexual or gender identity</w:t>
            </w:r>
          </w:p>
          <w:p w:rsidR="009C3BE6" w:rsidRPr="00A27ED4" w:rsidP="00A27ED4" w14:paraId="3A37A067" w14:textId="2D4481D1">
            <w:pPr>
              <w:pStyle w:val="ListParagraph"/>
              <w:numPr>
                <w:ilvl w:val="0"/>
                <w:numId w:val="13"/>
              </w:numPr>
              <w:pBdr>
                <w:bottom w:val="single" w:sz="12" w:space="1" w:color="auto"/>
              </w:pBd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Disabil</w:t>
            </w:r>
            <w:r w:rsidR="00A27ED4">
              <w:rPr>
                <w:rFonts w:ascii="Times New Roman" w:eastAsia="Calibri" w:hAnsi="Times New Roman" w:cs="Times New Roman"/>
                <w:sz w:val="20"/>
                <w:szCs w:val="20"/>
              </w:rPr>
              <w:t>ity</w:t>
            </w:r>
          </w:p>
        </w:tc>
        <w:tc>
          <w:tcPr>
            <w:tcW w:w="2330" w:type="dxa"/>
          </w:tcPr>
          <w:p w:rsidR="009C3BE6" w:rsidRPr="005463A6" w:rsidP="009C3BE6" w14:paraId="253D247B"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Age</w:t>
            </w:r>
          </w:p>
          <w:p w:rsidR="009C3BE6" w:rsidRPr="005463A6" w:rsidP="009C3BE6" w14:paraId="54846C37"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Race and ethnicity</w:t>
            </w:r>
          </w:p>
          <w:p w:rsidR="009C3BE6" w:rsidRPr="00A27ED4" w:rsidP="00A27ED4" w14:paraId="03116E22" w14:textId="58D67C06">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 </w:t>
            </w:r>
          </w:p>
        </w:tc>
      </w:tr>
      <w:tr w14:paraId="429F17D2" w14:textId="77777777" w:rsidTr="0088758B">
        <w:tblPrEx>
          <w:tblW w:w="0" w:type="auto"/>
          <w:tblInd w:w="-168" w:type="dxa"/>
          <w:tblLayout w:type="fixed"/>
          <w:tblLook w:val="0000"/>
        </w:tblPrEx>
        <w:trPr>
          <w:trHeight w:val="109"/>
        </w:trPr>
        <w:tc>
          <w:tcPr>
            <w:tcW w:w="2493" w:type="dxa"/>
          </w:tcPr>
          <w:p w:rsidR="00A27ED4" w:rsidRPr="005463A6" w:rsidP="009C3BE6" w14:paraId="51831769" w14:textId="159A4853">
            <w:pPr>
              <w:pStyle w:val="Default"/>
            </w:pPr>
            <w:r w:rsidRPr="005463A6">
              <w:t>Attachment 3 -Annual Performance Report Tool – Data Collection and Tracking Table: Survey Data, page 34</w:t>
            </w:r>
          </w:p>
        </w:tc>
        <w:tc>
          <w:tcPr>
            <w:tcW w:w="1800" w:type="dxa"/>
          </w:tcPr>
          <w:p w:rsidR="00A27ED4" w:rsidP="009C3BE6" w14:paraId="64D7C1CC" w14:textId="77777777">
            <w:pPr>
              <w:pStyle w:val="Default"/>
            </w:pPr>
          </w:p>
          <w:p w:rsidR="00A27ED4" w:rsidRPr="005463A6" w:rsidP="009C3BE6" w14:paraId="2D25F3AF" w14:textId="31D725EB">
            <w:pPr>
              <w:pStyle w:val="Default"/>
            </w:pPr>
            <w:r>
              <w:t>Delete Text</w:t>
            </w:r>
          </w:p>
        </w:tc>
        <w:tc>
          <w:tcPr>
            <w:tcW w:w="2260" w:type="dxa"/>
          </w:tcPr>
          <w:p w:rsidR="00A27ED4" w:rsidRPr="005463A6" w:rsidP="00A27ED4" w14:paraId="2566D572"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Racial or ethnic discrimination</w:t>
            </w:r>
          </w:p>
          <w:p w:rsidR="00A27ED4" w:rsidRPr="005463A6" w:rsidP="00A27ED4" w14:paraId="75174CA7"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Sexual minority discrimination</w:t>
            </w:r>
          </w:p>
          <w:p w:rsidR="00A27ED4" w:rsidRPr="005463A6" w:rsidP="00A27ED4" w14:paraId="19E4A57F"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Gender discrimination </w:t>
            </w:r>
          </w:p>
          <w:p w:rsidR="00A27ED4" w:rsidRPr="005463A6" w:rsidP="00A27ED4" w14:paraId="73ADB24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Weight discrimination</w:t>
            </w:r>
          </w:p>
          <w:p w:rsidR="00A27ED4" w:rsidRPr="005463A6" w:rsidP="00A27ED4" w14:paraId="699E4AE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Disability-based discrimination </w:t>
            </w:r>
          </w:p>
          <w:p w:rsidR="00A27ED4" w:rsidRPr="005463A6" w:rsidP="00A27ED4" w14:paraId="24024091" w14:textId="77777777">
            <w:pPr>
              <w:pStyle w:val="ListParagraph"/>
              <w:spacing w:after="0" w:line="240" w:lineRule="auto"/>
              <w:ind w:left="160"/>
              <w:rPr>
                <w:rFonts w:ascii="Times New Roman" w:eastAsia="Calibri" w:hAnsi="Times New Roman" w:cs="Times New Roman"/>
                <w:sz w:val="20"/>
                <w:szCs w:val="20"/>
              </w:rPr>
            </w:pPr>
          </w:p>
        </w:tc>
        <w:tc>
          <w:tcPr>
            <w:tcW w:w="2330" w:type="dxa"/>
          </w:tcPr>
          <w:p w:rsidR="00A27ED4" w:rsidRPr="005463A6" w:rsidP="00A27ED4" w14:paraId="5721B6F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Racial or ethnic discrimination</w:t>
            </w:r>
          </w:p>
          <w:p w:rsidR="00A27ED4" w:rsidRPr="005463A6" w:rsidP="00A27ED4" w14:paraId="4373E9E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Sexual minority discrimination</w:t>
            </w:r>
          </w:p>
          <w:p w:rsidR="00A27ED4" w:rsidRPr="005463A6" w:rsidP="00A27ED4" w14:paraId="50E23A02"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Weight discrimination</w:t>
            </w:r>
          </w:p>
          <w:p w:rsidR="00A27ED4" w:rsidRPr="005463A6" w:rsidP="00A27ED4" w14:paraId="11D843CF"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Disability-based discrimination </w:t>
            </w:r>
          </w:p>
          <w:p w:rsidR="00A27ED4" w:rsidRPr="005463A6" w:rsidP="00A27ED4" w14:paraId="0573B2CD" w14:textId="77777777">
            <w:pPr>
              <w:pStyle w:val="ListParagraph"/>
              <w:spacing w:after="0" w:line="240" w:lineRule="auto"/>
              <w:ind w:left="160"/>
              <w:rPr>
                <w:rFonts w:ascii="Times New Roman" w:eastAsia="Calibri" w:hAnsi="Times New Roman" w:cs="Times New Roman"/>
                <w:sz w:val="20"/>
                <w:szCs w:val="20"/>
              </w:rPr>
            </w:pPr>
          </w:p>
        </w:tc>
      </w:tr>
      <w:tr w14:paraId="6F36C43E" w14:textId="77777777" w:rsidTr="0088758B">
        <w:tblPrEx>
          <w:tblW w:w="0" w:type="auto"/>
          <w:tblInd w:w="-168" w:type="dxa"/>
          <w:tblLayout w:type="fixed"/>
          <w:tblLook w:val="0000"/>
        </w:tblPrEx>
        <w:trPr>
          <w:trHeight w:val="109"/>
        </w:trPr>
        <w:tc>
          <w:tcPr>
            <w:tcW w:w="2493" w:type="dxa"/>
          </w:tcPr>
          <w:p w:rsidR="009C3BE6" w:rsidRPr="005463A6" w:rsidP="009C3BE6" w14:paraId="163F0431" w14:textId="1B5BC36D">
            <w:pPr>
              <w:pStyle w:val="Default"/>
            </w:pPr>
            <w:r w:rsidRPr="005463A6">
              <w:t>Attachment 3 -Annual Performance Report Tool – Data Collection and Tracking Table: Hotline Data, page 35</w:t>
            </w:r>
          </w:p>
        </w:tc>
        <w:tc>
          <w:tcPr>
            <w:tcW w:w="1800" w:type="dxa"/>
          </w:tcPr>
          <w:p w:rsidR="009C3BE6" w:rsidRPr="005463A6" w:rsidP="009C3BE6" w14:paraId="0A9080DB" w14:textId="19242BF0">
            <w:pPr>
              <w:pStyle w:val="Default"/>
            </w:pPr>
            <w:r w:rsidRPr="005463A6">
              <w:t>Delete Text</w:t>
            </w:r>
          </w:p>
        </w:tc>
        <w:tc>
          <w:tcPr>
            <w:tcW w:w="2260" w:type="dxa"/>
          </w:tcPr>
          <w:p w:rsidR="009C3BE6" w:rsidRPr="005463A6" w:rsidP="009C3BE6" w14:paraId="6CCC0F57"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Age</w:t>
            </w:r>
          </w:p>
          <w:p w:rsidR="009C3BE6" w:rsidRPr="005463A6" w:rsidP="009C3BE6" w14:paraId="6B757BD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Gender </w:t>
            </w:r>
          </w:p>
          <w:p w:rsidR="009C3BE6" w:rsidRPr="005463A6" w:rsidP="009C3BE6" w14:paraId="151C84B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Race and ethnicity</w:t>
            </w:r>
          </w:p>
          <w:p w:rsidR="009C3BE6" w:rsidRPr="005463A6" w:rsidP="009C3BE6" w14:paraId="021BBDA5"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Sexual or gender identity</w:t>
            </w:r>
          </w:p>
          <w:p w:rsidR="009C3BE6" w:rsidRPr="005463A6" w:rsidP="009C3BE6" w14:paraId="7D4704A8"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 </w:t>
            </w:r>
          </w:p>
          <w:p w:rsidR="009C3BE6" w:rsidRPr="005463A6" w:rsidP="009C3BE6" w14:paraId="64ABF5BF" w14:textId="77777777">
            <w:pPr>
              <w:pStyle w:val="ListParagraph"/>
              <w:spacing w:after="0" w:line="240" w:lineRule="auto"/>
              <w:ind w:left="160"/>
              <w:rPr>
                <w:rFonts w:ascii="Times New Roman" w:eastAsia="Calibri" w:hAnsi="Times New Roman" w:cs="Times New Roman"/>
                <w:sz w:val="20"/>
                <w:szCs w:val="20"/>
              </w:rPr>
            </w:pPr>
          </w:p>
        </w:tc>
        <w:tc>
          <w:tcPr>
            <w:tcW w:w="2330" w:type="dxa"/>
          </w:tcPr>
          <w:p w:rsidR="009C3BE6" w:rsidRPr="005463A6" w:rsidP="009C3BE6" w14:paraId="5C99D2D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Age</w:t>
            </w:r>
          </w:p>
          <w:p w:rsidR="009C3BE6" w:rsidRPr="005463A6" w:rsidP="009C3BE6" w14:paraId="47FE9FBE"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Race and ethnicity</w:t>
            </w:r>
          </w:p>
          <w:p w:rsidR="009C3BE6" w:rsidRPr="005463A6" w:rsidP="009C3BE6" w14:paraId="402E9F80" w14:textId="77777777">
            <w:pPr>
              <w:pStyle w:val="ListParagraph"/>
              <w:numPr>
                <w:ilvl w:val="0"/>
                <w:numId w:val="13"/>
              </w:numPr>
              <w:spacing w:after="0" w:line="240" w:lineRule="auto"/>
              <w:ind w:left="160" w:hanging="200"/>
              <w:rPr>
                <w:rFonts w:ascii="Times New Roman" w:eastAsia="Calibri" w:hAnsi="Times New Roman" w:cs="Times New Roman"/>
                <w:sz w:val="20"/>
                <w:szCs w:val="20"/>
              </w:rPr>
            </w:pPr>
            <w:r w:rsidRPr="005463A6">
              <w:rPr>
                <w:rFonts w:ascii="Times New Roman" w:eastAsia="Calibri" w:hAnsi="Times New Roman" w:cs="Times New Roman"/>
                <w:sz w:val="20"/>
                <w:szCs w:val="20"/>
              </w:rPr>
              <w:t xml:space="preserve">Disability </w:t>
            </w:r>
          </w:p>
          <w:p w:rsidR="009C3BE6" w:rsidRPr="005463A6" w:rsidP="009C3BE6" w14:paraId="33FF9653" w14:textId="77777777">
            <w:pPr>
              <w:spacing w:after="0" w:line="240" w:lineRule="auto"/>
              <w:rPr>
                <w:rFonts w:ascii="Times New Roman" w:eastAsia="Calibri" w:hAnsi="Times New Roman" w:cs="Times New Roman"/>
                <w:sz w:val="20"/>
                <w:szCs w:val="20"/>
              </w:rPr>
            </w:pPr>
          </w:p>
        </w:tc>
      </w:tr>
      <w:tr w14:paraId="747A6333" w14:textId="77777777" w:rsidTr="0088758B">
        <w:tblPrEx>
          <w:tblW w:w="0" w:type="auto"/>
          <w:tblInd w:w="-168" w:type="dxa"/>
          <w:tblLayout w:type="fixed"/>
          <w:tblLook w:val="0000"/>
        </w:tblPrEx>
        <w:trPr>
          <w:trHeight w:val="109"/>
        </w:trPr>
        <w:tc>
          <w:tcPr>
            <w:tcW w:w="2493" w:type="dxa"/>
          </w:tcPr>
          <w:p w:rsidR="009C3BE6" w:rsidRPr="005463A6" w:rsidP="009C3BE6" w14:paraId="71E60FAD" w14:textId="707A78EB">
            <w:pPr>
              <w:pStyle w:val="Default"/>
            </w:pPr>
            <w:r w:rsidRPr="005463A6">
              <w:t>Attachment 6 – Essentials Instrument and Protocol Evaluation and Surveillance Survey – Page 7</w:t>
            </w:r>
          </w:p>
        </w:tc>
        <w:tc>
          <w:tcPr>
            <w:tcW w:w="1800" w:type="dxa"/>
          </w:tcPr>
          <w:p w:rsidR="009C3BE6" w:rsidRPr="005463A6" w:rsidP="009C3BE6" w14:paraId="21F45C28" w14:textId="23F0A5B2">
            <w:pPr>
              <w:pStyle w:val="Default"/>
            </w:pPr>
            <w:r w:rsidRPr="005463A6">
              <w:t>Text Revision</w:t>
            </w:r>
          </w:p>
        </w:tc>
        <w:tc>
          <w:tcPr>
            <w:tcW w:w="2260" w:type="dxa"/>
          </w:tcPr>
          <w:p w:rsidR="009C3BE6" w:rsidRPr="005463A6" w:rsidP="009C3BE6" w14:paraId="7E804B35" w14:textId="565D5544">
            <w:pPr>
              <w:pStyle w:val="Default"/>
              <w:rPr>
                <w:color w:val="auto"/>
                <w:sz w:val="18"/>
                <w:szCs w:val="18"/>
              </w:rPr>
            </w:pPr>
            <w:r w:rsidRPr="005463A6">
              <w:rPr>
                <w:color w:val="auto"/>
                <w:sz w:val="18"/>
                <w:szCs w:val="18"/>
              </w:rPr>
              <w:t xml:space="preserve">Objective 3.2. Increased capacity to use ACEs and PCEs surveillance and evaluation data to identify and tailor ACEs prevention strategies, including to improve health equity, and the social determinants of health </w:t>
            </w:r>
          </w:p>
          <w:p w:rsidR="009C3BE6" w:rsidRPr="005463A6" w:rsidP="009C3BE6" w14:paraId="36802B32" w14:textId="77777777">
            <w:pPr>
              <w:spacing w:after="0" w:line="240" w:lineRule="auto"/>
              <w:rPr>
                <w:rFonts w:ascii="Times New Roman" w:eastAsia="Calibri" w:hAnsi="Times New Roman" w:cs="Times New Roman"/>
                <w:sz w:val="20"/>
                <w:szCs w:val="20"/>
              </w:rPr>
            </w:pPr>
          </w:p>
        </w:tc>
        <w:tc>
          <w:tcPr>
            <w:tcW w:w="2330" w:type="dxa"/>
          </w:tcPr>
          <w:p w:rsidR="009C3BE6" w:rsidRPr="005463A6" w:rsidP="009C3BE6" w14:paraId="39E9DF58" w14:textId="77777777">
            <w:pPr>
              <w:pStyle w:val="Default"/>
              <w:rPr>
                <w:color w:val="auto"/>
                <w:sz w:val="18"/>
                <w:szCs w:val="18"/>
              </w:rPr>
            </w:pPr>
            <w:r w:rsidRPr="005463A6">
              <w:rPr>
                <w:color w:val="auto"/>
                <w:sz w:val="18"/>
                <w:szCs w:val="18"/>
              </w:rPr>
              <w:t xml:space="preserve">Objective 3.2. Increased capacity to use ACEs and PCEs surveillance and evaluation data to identify and tailor ACEs prevention strategies, including to improve health for all and especially for those at greatest risk </w:t>
            </w:r>
          </w:p>
          <w:p w:rsidR="009C3BE6" w:rsidRPr="005463A6" w:rsidP="009C3BE6" w14:paraId="6E05EDA2" w14:textId="77777777">
            <w:pPr>
              <w:spacing w:after="0" w:line="240" w:lineRule="auto"/>
              <w:ind w:left="-40"/>
              <w:rPr>
                <w:rFonts w:ascii="Times New Roman" w:eastAsia="Calibri" w:hAnsi="Times New Roman" w:cs="Times New Roman"/>
                <w:sz w:val="20"/>
                <w:szCs w:val="20"/>
              </w:rPr>
            </w:pPr>
          </w:p>
        </w:tc>
      </w:tr>
      <w:tr w14:paraId="785F97B8" w14:textId="77777777" w:rsidTr="0088758B">
        <w:tblPrEx>
          <w:tblW w:w="0" w:type="auto"/>
          <w:tblInd w:w="-168" w:type="dxa"/>
          <w:tblLayout w:type="fixed"/>
          <w:tblLook w:val="0000"/>
        </w:tblPrEx>
        <w:trPr>
          <w:trHeight w:val="109"/>
        </w:trPr>
        <w:tc>
          <w:tcPr>
            <w:tcW w:w="2493" w:type="dxa"/>
          </w:tcPr>
          <w:p w:rsidR="009C3BE6" w:rsidRPr="005463A6" w:rsidP="009C3BE6" w14:paraId="39189ECD" w14:textId="6304B504">
            <w:pPr>
              <w:pStyle w:val="Default"/>
            </w:pPr>
            <w:r w:rsidRPr="005463A6">
              <w:t>Attachment 6 – Essentials Instrument and Protocol Evaluation and Surveillance Survey – Page 8</w:t>
            </w:r>
          </w:p>
        </w:tc>
        <w:tc>
          <w:tcPr>
            <w:tcW w:w="1800" w:type="dxa"/>
          </w:tcPr>
          <w:p w:rsidR="009C3BE6" w:rsidRPr="005463A6" w:rsidP="009C3BE6" w14:paraId="0090FAF0" w14:textId="2962B910">
            <w:pPr>
              <w:pStyle w:val="Default"/>
            </w:pPr>
            <w:r w:rsidRPr="005463A6">
              <w:t>Text Revision</w:t>
            </w:r>
          </w:p>
        </w:tc>
        <w:tc>
          <w:tcPr>
            <w:tcW w:w="2260" w:type="dxa"/>
          </w:tcPr>
          <w:p w:rsidR="009C3BE6" w:rsidRPr="005463A6" w:rsidP="009C3BE6" w14:paraId="109031DF" w14:textId="1D92B80D">
            <w:pPr>
              <w:pStyle w:val="Default"/>
              <w:rPr>
                <w:sz w:val="18"/>
                <w:szCs w:val="18"/>
              </w:rPr>
            </w:pPr>
            <w:r w:rsidRPr="005463A6">
              <w:rPr>
                <w:sz w:val="18"/>
                <w:szCs w:val="18"/>
              </w:rPr>
              <w:t xml:space="preserve">3.5. Increased use and translation of surveillance and evaluation data to inform tailored prevention strategy implementation to reduce ACEs and improve health equity, and the social determinants of health </w:t>
            </w:r>
          </w:p>
          <w:p w:rsidR="009C3BE6" w:rsidRPr="005463A6" w:rsidP="009C3BE6" w14:paraId="54F78235" w14:textId="77777777">
            <w:pPr>
              <w:pStyle w:val="Default"/>
              <w:rPr>
                <w:color w:val="auto"/>
                <w:sz w:val="18"/>
                <w:szCs w:val="18"/>
              </w:rPr>
            </w:pPr>
          </w:p>
        </w:tc>
        <w:tc>
          <w:tcPr>
            <w:tcW w:w="2330" w:type="dxa"/>
          </w:tcPr>
          <w:p w:rsidR="009C3BE6" w:rsidRPr="005463A6" w:rsidP="009C3BE6" w14:paraId="4CE66DF2" w14:textId="77777777">
            <w:pPr>
              <w:pStyle w:val="Default"/>
              <w:rPr>
                <w:sz w:val="18"/>
                <w:szCs w:val="18"/>
              </w:rPr>
            </w:pPr>
            <w:r w:rsidRPr="005463A6">
              <w:rPr>
                <w:sz w:val="18"/>
                <w:szCs w:val="18"/>
              </w:rPr>
              <w:t xml:space="preserve">3.5. Increased use and translation of surveillance and evaluation data to inform tailored prevention strategy implementation to reduce ACEs and improve health for all and especially for those at greatest risk </w:t>
            </w:r>
          </w:p>
          <w:p w:rsidR="009C3BE6" w:rsidRPr="005463A6" w:rsidP="009C3BE6" w14:paraId="364B0DDD" w14:textId="77777777">
            <w:pPr>
              <w:pStyle w:val="Default"/>
              <w:rPr>
                <w:color w:val="auto"/>
                <w:sz w:val="18"/>
                <w:szCs w:val="18"/>
              </w:rPr>
            </w:pPr>
          </w:p>
        </w:tc>
      </w:tr>
    </w:tbl>
    <w:p w:rsidR="0027059A" w:rsidRPr="005463A6" w:rsidP="008E6BC9" w14:paraId="58EF1D30" w14:textId="77777777">
      <w:pPr>
        <w:pStyle w:val="Default"/>
      </w:pPr>
    </w:p>
    <w:p w:rsidR="006829E3" w:rsidRPr="005463A6" w14:paraId="2984FA3B" w14:textId="4EA3BFCC">
      <w:pPr>
        <w:rPr>
          <w:rFonts w:ascii="Times New Roman" w:hAnsi="Times New Roman" w:cs="Times New Roman"/>
          <w:b/>
          <w:bCs/>
          <w:sz w:val="24"/>
          <w:szCs w:val="24"/>
        </w:rPr>
      </w:pPr>
      <w:r w:rsidRPr="005463A6">
        <w:rPr>
          <w:rFonts w:ascii="Times New Roman" w:hAnsi="Times New Roman" w:cs="Times New Roman"/>
          <w:sz w:val="24"/>
          <w:szCs w:val="24"/>
        </w:rPr>
        <w:t xml:space="preserve">There is no change in Burden Hours associated with the </w:t>
      </w:r>
      <w:r w:rsidRPr="005463A6" w:rsidR="00CD7816">
        <w:rPr>
          <w:rFonts w:ascii="Times New Roman" w:hAnsi="Times New Roman" w:cs="Times New Roman"/>
          <w:sz w:val="24"/>
          <w:szCs w:val="24"/>
        </w:rPr>
        <w:t>modification</w:t>
      </w:r>
      <w:r w:rsidRPr="005463A6">
        <w:rPr>
          <w:rFonts w:ascii="Times New Roman" w:hAnsi="Times New Roman" w:cs="Times New Roman"/>
          <w:sz w:val="24"/>
          <w:szCs w:val="24"/>
        </w:rPr>
        <w:t>s made to comply with EO 14168</w:t>
      </w:r>
      <w:r w:rsidRPr="005463A6" w:rsidR="003238A7">
        <w:rPr>
          <w:rFonts w:ascii="Times New Roman" w:hAnsi="Times New Roman" w:cs="Times New Roman"/>
          <w:sz w:val="24"/>
          <w:szCs w:val="24"/>
        </w:rPr>
        <w:t xml:space="preserve"> &amp; EO 14151.</w:t>
      </w:r>
    </w:p>
    <w:p w:rsidR="004C7429" w:rsidRPr="005463A6" w14:paraId="45A464EA" w14:textId="272F1398">
      <w:pPr>
        <w:rPr>
          <w:rFonts w:ascii="Times New Roman" w:hAnsi="Times New Roman" w:cs="Times New Roman"/>
          <w:b/>
          <w:bCs/>
          <w:sz w:val="24"/>
          <w:szCs w:val="24"/>
        </w:rPr>
      </w:pPr>
      <w:r w:rsidRPr="005463A6">
        <w:rPr>
          <w:rFonts w:ascii="Times New Roman" w:hAnsi="Times New Roman" w:cs="Times New Roman"/>
          <w:b/>
          <w:bCs/>
          <w:sz w:val="24"/>
          <w:szCs w:val="24"/>
        </w:rPr>
        <w:t>Attached are two copies of each document</w:t>
      </w:r>
      <w:r w:rsidR="00A27ED4">
        <w:rPr>
          <w:rFonts w:ascii="Times New Roman" w:hAnsi="Times New Roman" w:cs="Times New Roman"/>
          <w:b/>
          <w:bCs/>
          <w:sz w:val="24"/>
          <w:szCs w:val="24"/>
        </w:rPr>
        <w:t>, o</w:t>
      </w:r>
      <w:r w:rsidRPr="005463A6">
        <w:rPr>
          <w:rFonts w:ascii="Times New Roman" w:hAnsi="Times New Roman" w:cs="Times New Roman"/>
          <w:b/>
          <w:bCs/>
          <w:sz w:val="24"/>
          <w:szCs w:val="24"/>
        </w:rPr>
        <w:t>ne</w:t>
      </w:r>
      <w:r w:rsidR="00A27ED4">
        <w:rPr>
          <w:rFonts w:ascii="Times New Roman" w:hAnsi="Times New Roman" w:cs="Times New Roman"/>
          <w:b/>
          <w:bCs/>
          <w:sz w:val="24"/>
          <w:szCs w:val="24"/>
        </w:rPr>
        <w:t xml:space="preserve"> with</w:t>
      </w:r>
      <w:r w:rsidRPr="005463A6">
        <w:rPr>
          <w:rFonts w:ascii="Times New Roman" w:hAnsi="Times New Roman" w:cs="Times New Roman"/>
          <w:b/>
          <w:bCs/>
          <w:sz w:val="24"/>
          <w:szCs w:val="24"/>
        </w:rPr>
        <w:t xml:space="preserve"> tracked changes and one clean copy.</w:t>
      </w:r>
    </w:p>
    <w:sectPr w:rsidSect="00FA4D3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7817971"/>
      <w:docPartObj>
        <w:docPartGallery w:val="Page Numbers (Bottom of Page)"/>
        <w:docPartUnique/>
      </w:docPartObj>
    </w:sdtPr>
    <w:sdtEndPr>
      <w:rPr>
        <w:noProof/>
      </w:rPr>
    </w:sdtEndPr>
    <w:sdtContent>
      <w:p w:rsidR="00FA4D38" w14:paraId="14FA1A53" w14:textId="35676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4D38" w14:paraId="60CB84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C8E"/>
    <w:multiLevelType w:val="hybridMultilevel"/>
    <w:tmpl w:val="3F26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C7C86"/>
    <w:multiLevelType w:val="hybridMultilevel"/>
    <w:tmpl w:val="3B98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437C5"/>
    <w:multiLevelType w:val="hybridMultilevel"/>
    <w:tmpl w:val="9962B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DDA339B"/>
    <w:multiLevelType w:val="hybridMultilevel"/>
    <w:tmpl w:val="0520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DC7D48"/>
    <w:multiLevelType w:val="hybridMultilevel"/>
    <w:tmpl w:val="01FA1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8F5622"/>
    <w:multiLevelType w:val="hybridMultilevel"/>
    <w:tmpl w:val="2D847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661F03"/>
    <w:multiLevelType w:val="hybridMultilevel"/>
    <w:tmpl w:val="2EE2050A"/>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EB2B40"/>
    <w:multiLevelType w:val="hybridMultilevel"/>
    <w:tmpl w:val="D60C4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351829"/>
    <w:multiLevelType w:val="hybridMultilevel"/>
    <w:tmpl w:val="39584EBE"/>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B52F98"/>
    <w:multiLevelType w:val="hybridMultilevel"/>
    <w:tmpl w:val="FEE06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9413D10"/>
    <w:multiLevelType w:val="hybridMultilevel"/>
    <w:tmpl w:val="023E56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F80077"/>
    <w:multiLevelType w:val="hybridMultilevel"/>
    <w:tmpl w:val="1E868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3E4980"/>
    <w:multiLevelType w:val="hybridMultilevel"/>
    <w:tmpl w:val="D1A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8112175">
    <w:abstractNumId w:val="7"/>
  </w:num>
  <w:num w:numId="2" w16cid:durableId="340662995">
    <w:abstractNumId w:val="5"/>
  </w:num>
  <w:num w:numId="3" w16cid:durableId="83764182">
    <w:abstractNumId w:val="11"/>
  </w:num>
  <w:num w:numId="4" w16cid:durableId="2100368590">
    <w:abstractNumId w:val="9"/>
  </w:num>
  <w:num w:numId="5" w16cid:durableId="1666399190">
    <w:abstractNumId w:val="4"/>
  </w:num>
  <w:num w:numId="6" w16cid:durableId="1186794749">
    <w:abstractNumId w:val="10"/>
  </w:num>
  <w:num w:numId="7" w16cid:durableId="1427966901">
    <w:abstractNumId w:val="8"/>
  </w:num>
  <w:num w:numId="8" w16cid:durableId="451632920">
    <w:abstractNumId w:val="0"/>
  </w:num>
  <w:num w:numId="9" w16cid:durableId="283462092">
    <w:abstractNumId w:val="6"/>
  </w:num>
  <w:num w:numId="10" w16cid:durableId="784885266">
    <w:abstractNumId w:val="1"/>
  </w:num>
  <w:num w:numId="11" w16cid:durableId="1805998149">
    <w:abstractNumId w:val="2"/>
  </w:num>
  <w:num w:numId="12" w16cid:durableId="1162157966">
    <w:abstractNumId w:val="3"/>
  </w:num>
  <w:num w:numId="13" w16cid:durableId="2121533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1542A"/>
    <w:rsid w:val="000B0D24"/>
    <w:rsid w:val="001849E9"/>
    <w:rsid w:val="00221927"/>
    <w:rsid w:val="00222C6E"/>
    <w:rsid w:val="00225513"/>
    <w:rsid w:val="00240168"/>
    <w:rsid w:val="0027059A"/>
    <w:rsid w:val="00273086"/>
    <w:rsid w:val="00285485"/>
    <w:rsid w:val="00292D41"/>
    <w:rsid w:val="0029411F"/>
    <w:rsid w:val="002C01B4"/>
    <w:rsid w:val="003238A7"/>
    <w:rsid w:val="00361D5A"/>
    <w:rsid w:val="0039731C"/>
    <w:rsid w:val="003C3B11"/>
    <w:rsid w:val="003D50F3"/>
    <w:rsid w:val="003E2C29"/>
    <w:rsid w:val="003F6AD5"/>
    <w:rsid w:val="00443415"/>
    <w:rsid w:val="00445D96"/>
    <w:rsid w:val="0048542E"/>
    <w:rsid w:val="004A0407"/>
    <w:rsid w:val="004A1232"/>
    <w:rsid w:val="004C7429"/>
    <w:rsid w:val="004D1796"/>
    <w:rsid w:val="004D2EED"/>
    <w:rsid w:val="005463A6"/>
    <w:rsid w:val="00547D18"/>
    <w:rsid w:val="00566578"/>
    <w:rsid w:val="006829E3"/>
    <w:rsid w:val="006C09AE"/>
    <w:rsid w:val="006D2859"/>
    <w:rsid w:val="007040A2"/>
    <w:rsid w:val="007152C8"/>
    <w:rsid w:val="007B4A9F"/>
    <w:rsid w:val="007C32F5"/>
    <w:rsid w:val="008172CB"/>
    <w:rsid w:val="008322ED"/>
    <w:rsid w:val="0088758B"/>
    <w:rsid w:val="00893EB7"/>
    <w:rsid w:val="008A2D92"/>
    <w:rsid w:val="008A69E6"/>
    <w:rsid w:val="008B4487"/>
    <w:rsid w:val="008E2A46"/>
    <w:rsid w:val="008E6BC9"/>
    <w:rsid w:val="008F145C"/>
    <w:rsid w:val="008F3869"/>
    <w:rsid w:val="009102DE"/>
    <w:rsid w:val="00926942"/>
    <w:rsid w:val="00952188"/>
    <w:rsid w:val="00952EB8"/>
    <w:rsid w:val="009C3BE6"/>
    <w:rsid w:val="009E7F31"/>
    <w:rsid w:val="00A2502D"/>
    <w:rsid w:val="00A27ED4"/>
    <w:rsid w:val="00A70984"/>
    <w:rsid w:val="00A7377C"/>
    <w:rsid w:val="00AB3267"/>
    <w:rsid w:val="00AF4AC4"/>
    <w:rsid w:val="00B107F3"/>
    <w:rsid w:val="00B37B38"/>
    <w:rsid w:val="00B75D77"/>
    <w:rsid w:val="00C43311"/>
    <w:rsid w:val="00C50201"/>
    <w:rsid w:val="00C71031"/>
    <w:rsid w:val="00C7360E"/>
    <w:rsid w:val="00CA49C4"/>
    <w:rsid w:val="00CB5109"/>
    <w:rsid w:val="00CD7816"/>
    <w:rsid w:val="00CE5292"/>
    <w:rsid w:val="00D05D2E"/>
    <w:rsid w:val="00E04E1E"/>
    <w:rsid w:val="00E316F5"/>
    <w:rsid w:val="00E55BCC"/>
    <w:rsid w:val="00E76BF4"/>
    <w:rsid w:val="00F44BA7"/>
    <w:rsid w:val="00F72B31"/>
    <w:rsid w:val="00F97004"/>
    <w:rsid w:val="00FA4D38"/>
    <w:rsid w:val="00FB3B7B"/>
    <w:rsid w:val="00FD76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3F6AD5"/>
    <w:rPr>
      <w:sz w:val="16"/>
      <w:szCs w:val="16"/>
    </w:rPr>
  </w:style>
  <w:style w:type="paragraph" w:styleId="CommentText">
    <w:name w:val="annotation text"/>
    <w:basedOn w:val="Normal"/>
    <w:link w:val="CommentTextChar"/>
    <w:uiPriority w:val="99"/>
    <w:unhideWhenUsed/>
    <w:rsid w:val="003F6AD5"/>
    <w:pPr>
      <w:spacing w:line="240" w:lineRule="auto"/>
    </w:pPr>
    <w:rPr>
      <w:sz w:val="20"/>
      <w:szCs w:val="20"/>
    </w:rPr>
  </w:style>
  <w:style w:type="character" w:customStyle="1" w:styleId="CommentTextChar">
    <w:name w:val="Comment Text Char"/>
    <w:basedOn w:val="DefaultParagraphFont"/>
    <w:link w:val="CommentText"/>
    <w:uiPriority w:val="99"/>
    <w:rsid w:val="003F6AD5"/>
    <w:rPr>
      <w:sz w:val="20"/>
      <w:szCs w:val="20"/>
    </w:rPr>
  </w:style>
  <w:style w:type="paragraph" w:styleId="CommentSubject">
    <w:name w:val="annotation subject"/>
    <w:basedOn w:val="CommentText"/>
    <w:next w:val="CommentText"/>
    <w:link w:val="CommentSubjectChar"/>
    <w:uiPriority w:val="99"/>
    <w:semiHidden/>
    <w:unhideWhenUsed/>
    <w:rsid w:val="003F6AD5"/>
    <w:rPr>
      <w:b/>
      <w:bCs/>
    </w:rPr>
  </w:style>
  <w:style w:type="character" w:customStyle="1" w:styleId="CommentSubjectChar">
    <w:name w:val="Comment Subject Char"/>
    <w:basedOn w:val="CommentTextChar"/>
    <w:link w:val="CommentSubject"/>
    <w:uiPriority w:val="99"/>
    <w:semiHidden/>
    <w:rsid w:val="003F6AD5"/>
    <w:rPr>
      <w:b/>
      <w:bCs/>
      <w:sz w:val="20"/>
      <w:szCs w:val="20"/>
    </w:rPr>
  </w:style>
  <w:style w:type="paragraph" w:styleId="Header">
    <w:name w:val="header"/>
    <w:basedOn w:val="Normal"/>
    <w:link w:val="HeaderChar"/>
    <w:uiPriority w:val="99"/>
    <w:unhideWhenUsed/>
    <w:rsid w:val="00FA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D38"/>
  </w:style>
  <w:style w:type="paragraph" w:styleId="Footer">
    <w:name w:val="footer"/>
    <w:basedOn w:val="Normal"/>
    <w:link w:val="FooterChar"/>
    <w:uiPriority w:val="99"/>
    <w:unhideWhenUsed/>
    <w:rsid w:val="00FA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D38"/>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E0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6" ma:contentTypeDescription="Create a new document." ma:contentTypeScope="" ma:versionID="ae165fca4f29123f8440f89d3bf34a1e">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db6403f8827fe7375fecb934b7591d5a"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cba8e5-f2ac-4ae6-9ab6-15ec63b77eb2" xsi:nil="true"/>
  </documentManagement>
</p:properties>
</file>

<file path=customXml/itemProps1.xml><?xml version="1.0" encoding="utf-8"?>
<ds:datastoreItem xmlns:ds="http://schemas.openxmlformats.org/officeDocument/2006/customXml" ds:itemID="{8E1D02C1-CE0E-4ABD-B912-28639344B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8D7D6-5515-4C1C-BE83-66AC66D40F8D}">
  <ds:schemaRefs>
    <ds:schemaRef ds:uri="http://schemas.microsoft.com/sharepoint/v3/contenttype/forms"/>
  </ds:schemaRefs>
</ds:datastoreItem>
</file>

<file path=customXml/itemProps3.xml><?xml version="1.0" encoding="utf-8"?>
<ds:datastoreItem xmlns:ds="http://schemas.openxmlformats.org/officeDocument/2006/customXml" ds:itemID="{09411706-C67E-4FB0-B74D-C39CEED33940}">
  <ds:schemaRefs>
    <ds:schemaRef ds:uri="http://schemas.microsoft.com/office/2006/metadata/properties"/>
    <ds:schemaRef ds:uri="http://schemas.microsoft.com/office/infopath/2007/PartnerControls"/>
    <ds:schemaRef ds:uri="2bcba8e5-f2ac-4ae6-9ab6-15ec63b77eb2"/>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Halstead, Mary (CDC/NCIPC/OD)</cp:lastModifiedBy>
  <cp:revision>7</cp:revision>
  <dcterms:created xsi:type="dcterms:W3CDTF">2025-05-02T15:12:00Z</dcterms:created>
  <dcterms:modified xsi:type="dcterms:W3CDTF">2025-07-07T14:51:00Z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4a2fffaf-bd9b-45e1-a3f3-05b184f14014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2025-02-21T13:09:42Z</vt:lpwstr>
  </property>
  <property fmtid="{D5CDD505-2E9C-101B-9397-08002B2CF9AE}" pid="9" name="MSIP_Label_7b94a7b8-f06c-4dfe-bdcc-9b548fd58c31_SiteId">
    <vt:lpwstr>9ce70869-60db-44fd-abe8-d2767077fc8f</vt:lpwstr>
  </property>
</Properties>
</file>