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C2B" w14:paraId="00000001" w14:textId="77777777">
      <w:pPr>
        <w:pStyle w:val="Normal2"/>
      </w:pPr>
      <w:bookmarkStart w:id="0" w:name="_heading=h.gjdgxs" w:colFirst="0" w:colLast="0"/>
      <w:bookmarkEnd w:id="0"/>
    </w:p>
    <w:p w:rsidR="003D5C2B" w14:paraId="00000002" w14:textId="77777777">
      <w:pPr>
        <w:pStyle w:val="Normal2"/>
        <w:jc w:val="center"/>
        <w:rPr>
          <w:b/>
        </w:rPr>
      </w:pPr>
    </w:p>
    <w:p w:rsidR="00EC4E2A" w:rsidRPr="00FE36FD" w:rsidP="00EC4E2A" w14:paraId="476DD912" w14:textId="77777777">
      <w:pPr>
        <w:pStyle w:val="coverdate"/>
        <w:jc w:val="center"/>
        <w:rPr>
          <w:rFonts w:eastAsiaTheme="minorHAnsi" w:cs="Arial"/>
          <w:b/>
          <w:sz w:val="24"/>
          <w:szCs w:val="24"/>
        </w:rPr>
      </w:pPr>
      <w:r w:rsidRPr="00FE36FD">
        <w:rPr>
          <w:rFonts w:eastAsiaTheme="minorHAnsi" w:cs="Arial"/>
          <w:b/>
          <w:sz w:val="24"/>
          <w:szCs w:val="24"/>
        </w:rPr>
        <w:t xml:space="preserve">CDC/ATSDR Formative Research and Tool Development </w:t>
      </w:r>
    </w:p>
    <w:p w:rsidR="00EC4E2A" w:rsidRPr="00FE36FD" w:rsidP="00EC4E2A" w14:paraId="5C2D638D" w14:textId="77777777">
      <w:pPr>
        <w:pStyle w:val="coverdate"/>
        <w:jc w:val="center"/>
        <w:rPr>
          <w:rFonts w:eastAsiaTheme="minorHAnsi" w:cs="Arial"/>
          <w:b/>
          <w:sz w:val="24"/>
          <w:szCs w:val="24"/>
        </w:rPr>
      </w:pPr>
    </w:p>
    <w:p w:rsidR="00EC4E2A" w:rsidRPr="00FE36FD" w:rsidP="00EC4E2A" w14:paraId="5450F429" w14:textId="77777777">
      <w:pPr>
        <w:pStyle w:val="coverdate"/>
        <w:jc w:val="center"/>
        <w:rPr>
          <w:rFonts w:eastAsiaTheme="minorHAnsi" w:cs="Arial"/>
          <w:b/>
          <w:sz w:val="24"/>
          <w:szCs w:val="24"/>
        </w:rPr>
      </w:pPr>
      <w:r w:rsidRPr="00FE36FD">
        <w:rPr>
          <w:rFonts w:eastAsiaTheme="minorHAnsi" w:cs="Arial"/>
          <w:b/>
          <w:sz w:val="24"/>
          <w:szCs w:val="24"/>
        </w:rPr>
        <w:t>OMB# 0920-1154</w:t>
      </w:r>
    </w:p>
    <w:p w:rsidR="003D5C2B" w14:paraId="00000005" w14:textId="365600BA">
      <w:pPr>
        <w:pStyle w:val="Normal2"/>
      </w:pPr>
    </w:p>
    <w:p w:rsidR="00EC4E2A" w:rsidRPr="00EC4E2A" w:rsidP="00EC4E2A" w14:paraId="788B9446" w14:textId="42F12EA3">
      <w:pPr>
        <w:pStyle w:val="Normal2"/>
        <w:jc w:val="center"/>
        <w:rPr>
          <w:rFonts w:ascii="Arial" w:hAnsi="Arial" w:cs="Arial"/>
          <w:b/>
          <w:bCs/>
        </w:rPr>
      </w:pPr>
      <w:r w:rsidRPr="00EC4E2A">
        <w:rPr>
          <w:rFonts w:ascii="Arial" w:hAnsi="Arial" w:cs="Arial"/>
          <w:b/>
          <w:bCs/>
        </w:rPr>
        <w:t>S</w:t>
      </w:r>
      <w:r w:rsidR="00625A53">
        <w:rPr>
          <w:rFonts w:ascii="Arial" w:hAnsi="Arial" w:cs="Arial"/>
          <w:b/>
          <w:bCs/>
        </w:rPr>
        <w:t>UPPORTING STATEMENT</w:t>
      </w:r>
      <w:r w:rsidRPr="00EC4E2A">
        <w:rPr>
          <w:rFonts w:ascii="Arial" w:hAnsi="Arial" w:cs="Arial"/>
          <w:b/>
          <w:bCs/>
        </w:rPr>
        <w:t xml:space="preserve">: </w:t>
      </w:r>
      <w:r w:rsidR="00625A53">
        <w:rPr>
          <w:rFonts w:ascii="Arial" w:hAnsi="Arial" w:cs="Arial"/>
          <w:b/>
          <w:bCs/>
        </w:rPr>
        <w:t>PART B</w:t>
      </w:r>
    </w:p>
    <w:p w:rsidR="00EC4E2A" w14:paraId="2C7ED625" w14:textId="77777777">
      <w:pPr>
        <w:pStyle w:val="Normal2"/>
        <w:spacing w:after="0" w:line="240" w:lineRule="auto"/>
        <w:jc w:val="center"/>
        <w:rPr>
          <w:b/>
          <w:color w:val="222222"/>
          <w:sz w:val="48"/>
          <w:szCs w:val="48"/>
          <w:highlight w:val="white"/>
        </w:rPr>
      </w:pPr>
    </w:p>
    <w:p w:rsidR="00EC4E2A" w14:paraId="67CE848B" w14:textId="77777777">
      <w:pPr>
        <w:pStyle w:val="Normal2"/>
        <w:spacing w:after="0" w:line="240" w:lineRule="auto"/>
        <w:jc w:val="center"/>
        <w:rPr>
          <w:b/>
          <w:color w:val="222222"/>
          <w:sz w:val="48"/>
          <w:szCs w:val="48"/>
          <w:highlight w:val="white"/>
        </w:rPr>
      </w:pPr>
    </w:p>
    <w:p w:rsidR="003D5C2B" w:rsidRPr="00EC4E2A" w14:paraId="00000006" w14:textId="18EA1905">
      <w:pPr>
        <w:pStyle w:val="Normal2"/>
        <w:spacing w:after="0" w:line="240" w:lineRule="auto"/>
        <w:jc w:val="center"/>
        <w:rPr>
          <w:rFonts w:ascii="Arial" w:hAnsi="Arial" w:cs="Arial"/>
          <w:bCs/>
          <w:color w:val="222222"/>
          <w:highlight w:val="white"/>
        </w:rPr>
      </w:pPr>
      <w:r w:rsidRPr="00EC4E2A">
        <w:rPr>
          <w:rFonts w:ascii="Arial" w:hAnsi="Arial" w:cs="Arial"/>
          <w:bCs/>
          <w:color w:val="222222"/>
          <w:highlight w:val="white"/>
        </w:rPr>
        <w:t>Message Evaluation for CDC’s Stop Overdose Campaigns</w:t>
      </w:r>
    </w:p>
    <w:p w:rsidR="003D5C2B" w14:paraId="00000007" w14:textId="77777777">
      <w:pPr>
        <w:pStyle w:val="Normal2"/>
        <w:spacing w:after="0" w:line="240" w:lineRule="auto"/>
        <w:jc w:val="center"/>
        <w:rPr>
          <w:b/>
          <w:color w:val="222222"/>
          <w:sz w:val="48"/>
          <w:szCs w:val="48"/>
          <w:highlight w:val="white"/>
        </w:rPr>
      </w:pPr>
    </w:p>
    <w:p w:rsidR="002D31BD" w:rsidRPr="0095655E" w:rsidP="002D31BD" w14:paraId="3D96F838" w14:textId="77777777">
      <w:pPr>
        <w:pStyle w:val="Normal2"/>
        <w:jc w:val="center"/>
        <w:rPr>
          <w:bCs/>
        </w:rPr>
      </w:pPr>
      <w:r>
        <w:rPr>
          <w:bCs/>
        </w:rPr>
        <w:t>November 14</w:t>
      </w:r>
      <w:r w:rsidRPr="0095655E">
        <w:rPr>
          <w:bCs/>
        </w:rPr>
        <w:t>, 2023</w:t>
      </w:r>
    </w:p>
    <w:p w:rsidR="003D5C2B" w14:paraId="00000008" w14:textId="77777777">
      <w:pPr>
        <w:pStyle w:val="Normal2"/>
        <w:spacing w:after="0" w:line="240" w:lineRule="auto"/>
        <w:jc w:val="center"/>
        <w:rPr>
          <w:b/>
          <w:sz w:val="48"/>
          <w:szCs w:val="48"/>
        </w:rPr>
      </w:pPr>
    </w:p>
    <w:p w:rsidR="003D5C2B" w14:paraId="00000009" w14:textId="77777777">
      <w:pPr>
        <w:pStyle w:val="Normal2"/>
        <w:spacing w:after="0" w:line="240" w:lineRule="auto"/>
        <w:jc w:val="center"/>
        <w:rPr>
          <w:b/>
          <w:sz w:val="48"/>
          <w:szCs w:val="48"/>
        </w:rPr>
      </w:pPr>
    </w:p>
    <w:p w:rsidR="003D5C2B" w14:paraId="0000000A" w14:textId="77777777">
      <w:pPr>
        <w:pStyle w:val="Normal2"/>
        <w:spacing w:after="0" w:line="240" w:lineRule="auto"/>
        <w:jc w:val="center"/>
        <w:rPr>
          <w:b/>
        </w:rPr>
      </w:pPr>
    </w:p>
    <w:p w:rsidR="003D5C2B" w14:paraId="0000000B" w14:textId="77777777">
      <w:pPr>
        <w:pStyle w:val="Normal2"/>
        <w:spacing w:after="0" w:line="240" w:lineRule="auto"/>
        <w:jc w:val="center"/>
        <w:rPr>
          <w:b/>
        </w:rPr>
      </w:pPr>
    </w:p>
    <w:p w:rsidR="003D5C2B" w14:paraId="00000011" w14:textId="54557A40">
      <w:pPr>
        <w:pStyle w:val="Normal2"/>
        <w:spacing w:after="0" w:line="240" w:lineRule="auto"/>
      </w:pPr>
    </w:p>
    <w:p w:rsidR="00EC4E2A" w14:paraId="6E3FBF6A" w14:textId="77777777">
      <w:pPr>
        <w:pStyle w:val="Normal2"/>
        <w:spacing w:after="0" w:line="240" w:lineRule="auto"/>
        <w:rPr>
          <w:b/>
        </w:rPr>
      </w:pPr>
    </w:p>
    <w:p w:rsidR="003D5C2B" w14:paraId="00000012" w14:textId="77777777">
      <w:pPr>
        <w:pStyle w:val="Normal2"/>
        <w:spacing w:after="0" w:line="240" w:lineRule="auto"/>
        <w:rPr>
          <w:b/>
        </w:rPr>
      </w:pPr>
    </w:p>
    <w:p w:rsidR="003D5C2B" w14:paraId="00000013" w14:textId="77777777">
      <w:pPr>
        <w:pStyle w:val="Normal2"/>
        <w:spacing w:after="0" w:line="240" w:lineRule="auto"/>
        <w:rPr>
          <w:b/>
        </w:rPr>
      </w:pPr>
    </w:p>
    <w:p w:rsidR="003D5C2B" w14:paraId="00000014" w14:textId="77777777">
      <w:pPr>
        <w:pStyle w:val="Normal2"/>
        <w:spacing w:after="0" w:line="240" w:lineRule="auto"/>
        <w:rPr>
          <w:b/>
        </w:rPr>
      </w:pPr>
    </w:p>
    <w:p w:rsidR="003D5C2B" w14:paraId="00000015" w14:textId="77777777">
      <w:pPr>
        <w:pStyle w:val="Normal2"/>
        <w:spacing w:after="0" w:line="240" w:lineRule="auto"/>
        <w:rPr>
          <w:b/>
        </w:rPr>
      </w:pPr>
    </w:p>
    <w:p w:rsidR="003D5C2B" w14:paraId="00000016" w14:textId="77777777">
      <w:pPr>
        <w:pStyle w:val="Normal2"/>
        <w:spacing w:after="0" w:line="240" w:lineRule="auto"/>
        <w:rPr>
          <w:b/>
        </w:rPr>
      </w:pPr>
    </w:p>
    <w:p w:rsidR="003D5C2B" w14:paraId="00000017" w14:textId="77777777">
      <w:pPr>
        <w:pStyle w:val="Normal2"/>
        <w:spacing w:after="0" w:line="240" w:lineRule="auto"/>
        <w:rPr>
          <w:b/>
        </w:rPr>
      </w:pPr>
    </w:p>
    <w:p w:rsidR="003D5C2B" w14:paraId="00000018" w14:textId="77777777">
      <w:pPr>
        <w:pStyle w:val="Normal2"/>
        <w:spacing w:after="0" w:line="240" w:lineRule="auto"/>
        <w:rPr>
          <w:b/>
        </w:rPr>
      </w:pPr>
    </w:p>
    <w:p w:rsidR="003D5C2B" w14:paraId="0000001C" w14:textId="6BEA8D42">
      <w:pPr>
        <w:pStyle w:val="Normal2"/>
        <w:pBdr>
          <w:top w:val="nil"/>
          <w:left w:val="nil"/>
          <w:bottom w:val="nil"/>
          <w:right w:val="nil"/>
          <w:between w:val="nil"/>
        </w:pBdr>
        <w:spacing w:after="0" w:line="240" w:lineRule="auto"/>
        <w:rPr>
          <w:b/>
        </w:rPr>
      </w:pPr>
    </w:p>
    <w:p w:rsidR="00793636" w14:paraId="203A17DC" w14:textId="77777777">
      <w:pPr>
        <w:pStyle w:val="Normal2"/>
        <w:pBdr>
          <w:top w:val="nil"/>
          <w:left w:val="nil"/>
          <w:bottom w:val="nil"/>
          <w:right w:val="nil"/>
          <w:between w:val="nil"/>
        </w:pBdr>
        <w:spacing w:after="0" w:line="240" w:lineRule="auto"/>
        <w:rPr>
          <w:b/>
        </w:rPr>
      </w:pPr>
    </w:p>
    <w:p w:rsidR="003D5C2B" w14:paraId="0000001D" w14:textId="77777777">
      <w:pPr>
        <w:pStyle w:val="Normal2"/>
        <w:spacing w:after="0" w:line="240" w:lineRule="auto"/>
        <w:rPr>
          <w:b/>
        </w:rPr>
      </w:pPr>
      <w:r>
        <w:rPr>
          <w:b/>
        </w:rPr>
        <w:t>Contact: Brittany Curtis, MBA</w:t>
      </w:r>
    </w:p>
    <w:p w:rsidR="003D5C2B" w14:paraId="0000001E" w14:textId="77777777">
      <w:pPr>
        <w:pStyle w:val="Normal2"/>
        <w:spacing w:after="0" w:line="240" w:lineRule="auto"/>
      </w:pPr>
      <w:r>
        <w:t>Communication Branch</w:t>
      </w:r>
    </w:p>
    <w:p w:rsidR="003D5C2B" w14:paraId="0000001F" w14:textId="77777777">
      <w:pPr>
        <w:pStyle w:val="Normal2"/>
        <w:spacing w:after="0" w:line="240" w:lineRule="auto"/>
      </w:pPr>
      <w:r>
        <w:t>Division of Overdose Prevention (DOP)</w:t>
      </w:r>
    </w:p>
    <w:p w:rsidR="003D5C2B" w14:paraId="00000020" w14:textId="77777777">
      <w:pPr>
        <w:pStyle w:val="Normal2"/>
        <w:spacing w:after="0" w:line="240" w:lineRule="auto"/>
      </w:pPr>
      <w:r>
        <w:t>National Center for Injury Prevention and Control (NCIPC)</w:t>
      </w:r>
    </w:p>
    <w:p w:rsidR="003D5C2B" w14:paraId="00000021" w14:textId="77777777">
      <w:pPr>
        <w:pStyle w:val="Normal2"/>
        <w:spacing w:after="0" w:line="240" w:lineRule="auto"/>
      </w:pPr>
      <w:r>
        <w:t>Centers for Disease Control and Prevention (CDC)</w:t>
      </w:r>
    </w:p>
    <w:p w:rsidR="003D5C2B" w14:paraId="00000022" w14:textId="77777777">
      <w:pPr>
        <w:pStyle w:val="Normal2"/>
        <w:spacing w:after="0" w:line="240" w:lineRule="auto"/>
      </w:pPr>
      <w:r>
        <w:t>4770 Buford Hwy NE, MS S106</w:t>
      </w:r>
    </w:p>
    <w:p w:rsidR="003D5C2B" w14:paraId="00000023" w14:textId="77777777">
      <w:pPr>
        <w:pStyle w:val="Normal2"/>
        <w:spacing w:after="0" w:line="240" w:lineRule="auto"/>
      </w:pPr>
      <w:r>
        <w:t>Atlanta, Georgia 30341</w:t>
      </w:r>
    </w:p>
    <w:p w:rsidR="003D5C2B" w14:paraId="00000024" w14:textId="77777777">
      <w:pPr>
        <w:pStyle w:val="Normal2"/>
        <w:spacing w:after="0" w:line="240" w:lineRule="auto"/>
      </w:pPr>
      <w:r>
        <w:t>Phone: 770-488-5423</w:t>
      </w:r>
    </w:p>
    <w:p w:rsidR="003D5C2B" w14:paraId="00000025" w14:textId="77777777">
      <w:pPr>
        <w:pStyle w:val="Normal2"/>
        <w:spacing w:after="0" w:line="240" w:lineRule="auto"/>
        <w:rPr>
          <w:b/>
        </w:rPr>
      </w:pPr>
      <w:r>
        <w:t>Email: gnk2@cdc.gov</w:t>
      </w:r>
    </w:p>
    <w:p w:rsidR="003D5C2B" w14:paraId="00000026" w14:textId="77777777">
      <w:pPr>
        <w:pStyle w:val="Normal2"/>
        <w:pBdr>
          <w:top w:val="nil"/>
          <w:left w:val="nil"/>
          <w:bottom w:val="nil"/>
          <w:right w:val="nil"/>
          <w:between w:val="nil"/>
        </w:pBdr>
        <w:spacing w:after="0" w:line="240" w:lineRule="auto"/>
        <w:rPr>
          <w:color w:val="000000"/>
        </w:rPr>
      </w:pPr>
    </w:p>
    <w:p w:rsidR="003D5C2B" w14:paraId="00000027" w14:textId="77777777">
      <w:pPr>
        <w:pStyle w:val="heading42"/>
        <w:rPr>
          <w:sz w:val="22"/>
          <w:szCs w:val="22"/>
        </w:rPr>
      </w:pPr>
      <w:r>
        <w:rPr>
          <w:sz w:val="22"/>
          <w:szCs w:val="22"/>
        </w:rPr>
        <w:t>Table of Contents</w:t>
      </w:r>
    </w:p>
    <w:sdt>
      <w:sdtPr>
        <w:id w:val="1587437852"/>
        <w:docPartObj>
          <w:docPartGallery w:val="Table of Contents"/>
          <w:docPartUnique/>
        </w:docPartObj>
      </w:sdtPr>
      <w:sdtContent>
        <w:p w:rsidR="003D5C2B" w14:paraId="00000028" w14:textId="77777777">
          <w:pPr>
            <w:pStyle w:val="Normal2"/>
            <w:pBdr>
              <w:top w:val="nil"/>
              <w:left w:val="nil"/>
              <w:bottom w:val="nil"/>
              <w:right w:val="nil"/>
              <w:between w:val="nil"/>
            </w:pBdr>
            <w:tabs>
              <w:tab w:val="right" w:pos="10070"/>
            </w:tabs>
            <w:spacing w:after="100"/>
            <w:ind w:left="240"/>
            <w:rPr>
              <w:color w:val="000000"/>
              <w:sz w:val="22"/>
              <w:szCs w:val="22"/>
            </w:rPr>
          </w:pPr>
          <w:r>
            <w:fldChar w:fldCharType="begin"/>
          </w:r>
          <w:r>
            <w:instrText xml:space="preserve"> TOC \h \u \z </w:instrText>
          </w:r>
          <w:r>
            <w:fldChar w:fldCharType="separate"/>
          </w:r>
        </w:p>
        <w:p w:rsidR="003D5C2B" w14:paraId="00000029" w14:textId="77777777">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bookmark=id.wyup2higg022 \h </w:instrText>
          </w:r>
          <w:r>
            <w:fldChar w:fldCharType="separate"/>
          </w:r>
          <w:r>
            <w:rPr>
              <w:color w:val="1155CC"/>
              <w:sz w:val="22"/>
              <w:szCs w:val="22"/>
              <w:u w:val="single"/>
            </w:rPr>
            <w:t>Respondent Universe and Sampling Methods</w:t>
          </w:r>
          <w:r>
            <w:fldChar w:fldCharType="end"/>
          </w:r>
          <w:r>
            <w:rPr>
              <w:sz w:val="22"/>
              <w:szCs w:val="22"/>
            </w:rPr>
            <w:tab/>
            <w:t>3</w:t>
          </w:r>
        </w:p>
        <w:p w:rsidR="003D5C2B" w14:paraId="0000002A" w14:textId="77777777">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bookmark=id.eta5xrp9b45y \h </w:instrText>
          </w:r>
          <w:r>
            <w:fldChar w:fldCharType="separate"/>
          </w:r>
          <w:r>
            <w:rPr>
              <w:color w:val="1155CC"/>
              <w:sz w:val="22"/>
              <w:szCs w:val="22"/>
              <w:u w:val="single"/>
            </w:rPr>
            <w:t>Procedures for the Collection of Information</w:t>
          </w:r>
          <w:r>
            <w:fldChar w:fldCharType="end"/>
          </w:r>
          <w:r>
            <w:rPr>
              <w:sz w:val="22"/>
              <w:szCs w:val="22"/>
            </w:rPr>
            <w:tab/>
            <w:t>3</w:t>
          </w:r>
        </w:p>
        <w:p w:rsidR="003D5C2B" w14:paraId="0000002B" w14:textId="77777777">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bookmark=id.b64fiecm51dy \h </w:instrText>
          </w:r>
          <w:r>
            <w:fldChar w:fldCharType="separate"/>
          </w:r>
          <w:r>
            <w:rPr>
              <w:color w:val="1155CC"/>
              <w:sz w:val="22"/>
              <w:szCs w:val="22"/>
              <w:u w:val="single"/>
            </w:rPr>
            <w:t>Methods to Maximize Response Rates and Deal with No Response</w:t>
          </w:r>
          <w:r>
            <w:fldChar w:fldCharType="end"/>
          </w:r>
          <w:r>
            <w:rPr>
              <w:sz w:val="22"/>
              <w:szCs w:val="22"/>
            </w:rPr>
            <w:tab/>
            <w:t>5</w:t>
          </w:r>
        </w:p>
        <w:p w:rsidR="003D5C2B" w14:paraId="0000002C" w14:textId="77777777">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bookmark=id.otp25ij9u7j \h </w:instrText>
          </w:r>
          <w:r>
            <w:fldChar w:fldCharType="separate"/>
          </w:r>
          <w:r>
            <w:rPr>
              <w:color w:val="1155CC"/>
              <w:sz w:val="22"/>
              <w:szCs w:val="22"/>
              <w:u w:val="single"/>
            </w:rPr>
            <w:t>Tests of Procedures or Methods to Be Undertaken</w:t>
          </w:r>
          <w:r>
            <w:fldChar w:fldCharType="end"/>
          </w:r>
          <w:r>
            <w:rPr>
              <w:sz w:val="22"/>
              <w:szCs w:val="22"/>
            </w:rPr>
            <w:tab/>
            <w:t>6</w:t>
          </w:r>
        </w:p>
        <w:p w:rsidR="003D5C2B" w14:paraId="0000002D" w14:textId="77777777">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bookmark=id.cb7fmld552oc \h </w:instrText>
          </w:r>
          <w:r>
            <w:fldChar w:fldCharType="separate"/>
          </w:r>
          <w:r>
            <w:rPr>
              <w:color w:val="1155CC"/>
              <w:sz w:val="22"/>
              <w:szCs w:val="22"/>
              <w:u w:val="single"/>
            </w:rPr>
            <w:t>Individuals Consulted on Statistical Aspects and Individuals Collecting and/or Analyzing Data</w:t>
          </w:r>
          <w:r>
            <w:fldChar w:fldCharType="end"/>
          </w:r>
          <w:r>
            <w:rPr>
              <w:sz w:val="22"/>
              <w:szCs w:val="22"/>
            </w:rPr>
            <w:tab/>
            <w:t>6</w:t>
          </w:r>
          <w:r>
            <w:fldChar w:fldCharType="end"/>
          </w:r>
        </w:p>
      </w:sdtContent>
    </w:sdt>
    <w:p w:rsidR="003D5C2B" w14:paraId="0000002E" w14:textId="77777777">
      <w:pPr>
        <w:pStyle w:val="Normal2"/>
        <w:rPr>
          <w:sz w:val="22"/>
          <w:szCs w:val="22"/>
        </w:rPr>
      </w:pPr>
    </w:p>
    <w:p w:rsidR="003D5C2B" w14:paraId="0000002F" w14:textId="77777777">
      <w:pPr>
        <w:pStyle w:val="Normal2"/>
      </w:pPr>
      <w:bookmarkStart w:id="1" w:name="_heading=h.30j0zll" w:colFirst="0" w:colLast="0"/>
      <w:bookmarkEnd w:id="1"/>
    </w:p>
    <w:p w:rsidR="003D5C2B" w14:paraId="00000030" w14:textId="77777777">
      <w:pPr>
        <w:pStyle w:val="Normal2"/>
      </w:pPr>
      <w:bookmarkStart w:id="2" w:name="_heading=h.lap1jrqt6als" w:colFirst="0" w:colLast="0"/>
      <w:bookmarkEnd w:id="2"/>
    </w:p>
    <w:p w:rsidR="003D5C2B" w14:paraId="00000031" w14:textId="77777777">
      <w:pPr>
        <w:pStyle w:val="Normal2"/>
      </w:pPr>
      <w:bookmarkStart w:id="3" w:name="_heading=h.jpgfq7y5umng" w:colFirst="0" w:colLast="0"/>
      <w:bookmarkEnd w:id="3"/>
    </w:p>
    <w:p w:rsidR="003D5C2B" w14:paraId="00000032" w14:textId="77777777">
      <w:pPr>
        <w:pStyle w:val="Normal2"/>
      </w:pPr>
      <w:bookmarkStart w:id="4" w:name="_heading=h.r56d4g8zidj1" w:colFirst="0" w:colLast="0"/>
      <w:bookmarkEnd w:id="4"/>
    </w:p>
    <w:p w:rsidR="003D5C2B" w14:paraId="00000033" w14:textId="77777777">
      <w:pPr>
        <w:pStyle w:val="Normal2"/>
      </w:pPr>
      <w:bookmarkStart w:id="5" w:name="_heading=h.8b5af7eqwpqa" w:colFirst="0" w:colLast="0"/>
      <w:bookmarkEnd w:id="5"/>
    </w:p>
    <w:p w:rsidR="003D5C2B" w14:paraId="00000034" w14:textId="77777777">
      <w:pPr>
        <w:pStyle w:val="Normal2"/>
      </w:pPr>
      <w:bookmarkStart w:id="6" w:name="_heading=h.nnu4xqee762d" w:colFirst="0" w:colLast="0"/>
      <w:bookmarkEnd w:id="6"/>
    </w:p>
    <w:p w:rsidR="003D5C2B" w14:paraId="00000035" w14:textId="77777777">
      <w:pPr>
        <w:pStyle w:val="Normal2"/>
      </w:pPr>
      <w:bookmarkStart w:id="7" w:name="_heading=h.wm38pzrhvusx" w:colFirst="0" w:colLast="0"/>
      <w:bookmarkEnd w:id="7"/>
    </w:p>
    <w:p w:rsidR="003D5C2B" w14:paraId="00000036" w14:textId="77777777">
      <w:pPr>
        <w:pStyle w:val="Normal2"/>
      </w:pPr>
      <w:bookmarkStart w:id="8" w:name="_heading=h.s20enp5xmulv" w:colFirst="0" w:colLast="0"/>
      <w:bookmarkEnd w:id="8"/>
    </w:p>
    <w:p w:rsidR="003D5C2B" w14:paraId="00000037" w14:textId="77777777">
      <w:pPr>
        <w:pStyle w:val="Normal2"/>
      </w:pPr>
      <w:bookmarkStart w:id="9" w:name="_heading=h.789g5zj2xa9x" w:colFirst="0" w:colLast="0"/>
      <w:bookmarkEnd w:id="9"/>
    </w:p>
    <w:p w:rsidR="003D5C2B" w14:paraId="00000038" w14:textId="77777777">
      <w:pPr>
        <w:pStyle w:val="Normal2"/>
      </w:pPr>
      <w:bookmarkStart w:id="10" w:name="_heading=h.a2n6z089llmm" w:colFirst="0" w:colLast="0"/>
      <w:bookmarkEnd w:id="10"/>
    </w:p>
    <w:p w:rsidR="003D5C2B" w14:paraId="00000039" w14:textId="77777777">
      <w:pPr>
        <w:pStyle w:val="Normal2"/>
      </w:pPr>
      <w:bookmarkStart w:id="11" w:name="_heading=h.3rgy0p3po583" w:colFirst="0" w:colLast="0"/>
      <w:bookmarkEnd w:id="11"/>
    </w:p>
    <w:p w:rsidR="003D5C2B" w14:paraId="0000003A" w14:textId="77777777">
      <w:pPr>
        <w:pStyle w:val="Normal2"/>
      </w:pPr>
      <w:bookmarkStart w:id="12" w:name="_heading=h.jjraa31bdvoa" w:colFirst="0" w:colLast="0"/>
      <w:bookmarkEnd w:id="12"/>
    </w:p>
    <w:p w:rsidR="003D5C2B" w14:paraId="0000003B" w14:textId="77777777">
      <w:pPr>
        <w:pStyle w:val="Normal2"/>
      </w:pPr>
      <w:bookmarkStart w:id="13" w:name="_heading=h.ea14i4v6314l" w:colFirst="0" w:colLast="0"/>
      <w:bookmarkEnd w:id="13"/>
    </w:p>
    <w:p w:rsidR="003D5C2B" w14:paraId="0000003C" w14:textId="77777777">
      <w:pPr>
        <w:pStyle w:val="Normal2"/>
      </w:pPr>
      <w:bookmarkStart w:id="14" w:name="_heading=h.ptn1eimqehd5" w:colFirst="0" w:colLast="0"/>
      <w:bookmarkEnd w:id="14"/>
    </w:p>
    <w:p w:rsidR="003D5C2B" w14:paraId="0000003D" w14:textId="77777777">
      <w:pPr>
        <w:pStyle w:val="Normal2"/>
      </w:pPr>
      <w:bookmarkStart w:id="15" w:name="_heading=h.1ww6zw3mqxlz" w:colFirst="0" w:colLast="0"/>
      <w:bookmarkEnd w:id="15"/>
    </w:p>
    <w:p w:rsidR="003D5C2B" w14:paraId="0000003E" w14:textId="77777777">
      <w:pPr>
        <w:pStyle w:val="Normal2"/>
      </w:pPr>
    </w:p>
    <w:p w:rsidR="003D5C2B" w14:paraId="0000003F" w14:textId="77777777">
      <w:pPr>
        <w:pStyle w:val="Normal2"/>
      </w:pPr>
      <w:bookmarkStart w:id="16" w:name="_heading=h.ncwnyvl33lgt" w:colFirst="0" w:colLast="0"/>
      <w:bookmarkEnd w:id="16"/>
    </w:p>
    <w:p w:rsidR="003D5C2B" w14:paraId="00000040" w14:textId="77777777">
      <w:pPr>
        <w:pStyle w:val="Normal2"/>
      </w:pPr>
      <w:bookmarkStart w:id="17" w:name="_heading=h.f04bx7hvz8gd" w:colFirst="0" w:colLast="0"/>
      <w:bookmarkEnd w:id="17"/>
    </w:p>
    <w:p w:rsidR="003D5C2B" w14:paraId="00000041" w14:textId="77777777">
      <w:pPr>
        <w:pStyle w:val="Normal2"/>
        <w:spacing w:after="0" w:line="240" w:lineRule="auto"/>
        <w:rPr>
          <w:sz w:val="20"/>
          <w:szCs w:val="20"/>
        </w:rPr>
      </w:pPr>
      <w:r>
        <w:rPr>
          <w:sz w:val="20"/>
          <w:szCs w:val="20"/>
        </w:rPr>
        <w:br/>
      </w:r>
    </w:p>
    <w:p w:rsidR="003D5C2B" w14:paraId="00000042" w14:textId="2723D379">
      <w:pPr>
        <w:pStyle w:val="heading12"/>
        <w:ind w:left="720"/>
        <w:rPr>
          <w:sz w:val="22"/>
        </w:rPr>
      </w:pPr>
      <w:bookmarkStart w:id="18" w:name="bookmark=id.wyup2higg022" w:colFirst="0" w:colLast="0"/>
      <w:bookmarkEnd w:id="18"/>
      <w:r>
        <w:rPr>
          <w:sz w:val="22"/>
        </w:rPr>
        <w:t>Respondent Universe and Sampling Methods</w:t>
      </w:r>
    </w:p>
    <w:p w:rsidR="003D5C2B" w14:paraId="00000044" w14:textId="4DB7EC8C">
      <w:pPr>
        <w:pStyle w:val="Normal2"/>
        <w:rPr>
          <w:sz w:val="22"/>
          <w:szCs w:val="22"/>
        </w:rPr>
      </w:pPr>
      <w:r>
        <w:rPr>
          <w:sz w:val="22"/>
          <w:szCs w:val="22"/>
        </w:rPr>
        <w:t xml:space="preserve">The primary audience for this effort is U.S. adults ages 18–34. </w:t>
      </w:r>
      <w:r w:rsidR="00D86FBC">
        <w:rPr>
          <w:sz w:val="22"/>
          <w:szCs w:val="22"/>
        </w:rPr>
        <w:t xml:space="preserve">We will identify and recruit participants through a vendor, iHeart/Unified, which uses national survey panels to </w:t>
      </w:r>
      <w:r w:rsidRPr="25D359C0" w:rsidR="001B5C74">
        <w:rPr>
          <w:sz w:val="22"/>
          <w:szCs w:val="22"/>
        </w:rPr>
        <w:t xml:space="preserve">collect data </w:t>
      </w:r>
      <w:r w:rsidR="00D86FBC">
        <w:rPr>
          <w:sz w:val="22"/>
          <w:szCs w:val="22"/>
        </w:rPr>
        <w:t xml:space="preserve">from </w:t>
      </w:r>
      <w:r w:rsidRPr="25D359C0" w:rsidR="00D86FBC">
        <w:rPr>
          <w:sz w:val="22"/>
          <w:szCs w:val="22"/>
        </w:rPr>
        <w:t>a non-probability sample from selected markets.</w:t>
      </w:r>
      <w:r w:rsidR="00D86FBC">
        <w:rPr>
          <w:sz w:val="22"/>
          <w:szCs w:val="22"/>
        </w:rPr>
        <w:t xml:space="preserve"> </w:t>
      </w:r>
      <w:r w:rsidR="00AC2812">
        <w:rPr>
          <w:sz w:val="22"/>
          <w:szCs w:val="22"/>
        </w:rPr>
        <w:t xml:space="preserve">The sample will consist of participants in </w:t>
      </w:r>
      <w:r w:rsidR="00332B59">
        <w:rPr>
          <w:sz w:val="22"/>
          <w:szCs w:val="22"/>
        </w:rPr>
        <w:t xml:space="preserve">selected </w:t>
      </w:r>
      <w:r w:rsidR="00AC2812">
        <w:rPr>
          <w:sz w:val="22"/>
          <w:szCs w:val="22"/>
        </w:rPr>
        <w:t xml:space="preserve">markets where the campaigns will be delivered either through digital ads or broadcast radio. For each survey, two </w:t>
      </w:r>
      <w:r w:rsidR="00D86FBC">
        <w:rPr>
          <w:sz w:val="22"/>
          <w:szCs w:val="22"/>
        </w:rPr>
        <w:t xml:space="preserve">total </w:t>
      </w:r>
      <w:r w:rsidR="00AC2812">
        <w:rPr>
          <w:sz w:val="22"/>
          <w:szCs w:val="22"/>
        </w:rPr>
        <w:t xml:space="preserve">samples, each of approximately </w:t>
      </w:r>
      <w:r w:rsidR="00332B59">
        <w:rPr>
          <w:sz w:val="22"/>
          <w:szCs w:val="22"/>
        </w:rPr>
        <w:t>N=</w:t>
      </w:r>
      <w:r w:rsidR="00AC2812">
        <w:rPr>
          <w:sz w:val="22"/>
          <w:szCs w:val="22"/>
        </w:rPr>
        <w:t xml:space="preserve">700 participants, will be collected: </w:t>
      </w:r>
      <w:r w:rsidR="00607804">
        <w:rPr>
          <w:sz w:val="22"/>
          <w:szCs w:val="22"/>
        </w:rPr>
        <w:t>1)</w:t>
      </w:r>
      <w:r w:rsidR="00AC2812">
        <w:rPr>
          <w:sz w:val="22"/>
          <w:szCs w:val="22"/>
        </w:rPr>
        <w:t xml:space="preserve"> </w:t>
      </w:r>
      <w:r w:rsidR="00AC2812">
        <w:rPr>
          <w:i/>
          <w:sz w:val="22"/>
          <w:szCs w:val="22"/>
        </w:rPr>
        <w:t>broadcast radio</w:t>
      </w:r>
      <w:r w:rsidR="00607804">
        <w:rPr>
          <w:i/>
          <w:sz w:val="22"/>
          <w:szCs w:val="22"/>
        </w:rPr>
        <w:t xml:space="preserve"> survey</w:t>
      </w:r>
      <w:r w:rsidR="00AC2812">
        <w:rPr>
          <w:sz w:val="22"/>
          <w:szCs w:val="22"/>
        </w:rPr>
        <w:t xml:space="preserve"> sample </w:t>
      </w:r>
      <w:r w:rsidR="00332B59">
        <w:rPr>
          <w:sz w:val="22"/>
          <w:szCs w:val="22"/>
        </w:rPr>
        <w:t>n=</w:t>
      </w:r>
      <w:r w:rsidR="00AC2812">
        <w:rPr>
          <w:sz w:val="22"/>
          <w:szCs w:val="22"/>
        </w:rPr>
        <w:t>350 exposed/</w:t>
      </w:r>
      <w:r w:rsidR="00332B59">
        <w:rPr>
          <w:sz w:val="22"/>
          <w:szCs w:val="22"/>
        </w:rPr>
        <w:t>n=</w:t>
      </w:r>
      <w:r w:rsidR="00AC2812">
        <w:rPr>
          <w:sz w:val="22"/>
          <w:szCs w:val="22"/>
        </w:rPr>
        <w:t xml:space="preserve">350 unexposed); and the </w:t>
      </w:r>
      <w:r w:rsidR="00AC2812">
        <w:rPr>
          <w:i/>
          <w:sz w:val="22"/>
          <w:szCs w:val="22"/>
        </w:rPr>
        <w:t>digital ad</w:t>
      </w:r>
      <w:r w:rsidR="00AC2812">
        <w:rPr>
          <w:sz w:val="22"/>
          <w:szCs w:val="22"/>
        </w:rPr>
        <w:t xml:space="preserve"> </w:t>
      </w:r>
      <w:r w:rsidR="00607804">
        <w:rPr>
          <w:sz w:val="22"/>
          <w:szCs w:val="22"/>
        </w:rPr>
        <w:t xml:space="preserve">survey </w:t>
      </w:r>
      <w:r w:rsidR="00AC2812">
        <w:rPr>
          <w:sz w:val="22"/>
          <w:szCs w:val="22"/>
        </w:rPr>
        <w:t>sample</w:t>
      </w:r>
      <w:r w:rsidR="00AC2812">
        <w:rPr>
          <w:i/>
          <w:sz w:val="22"/>
          <w:szCs w:val="22"/>
        </w:rPr>
        <w:t xml:space="preserve"> </w:t>
      </w:r>
      <w:r w:rsidR="00AC2812">
        <w:rPr>
          <w:sz w:val="22"/>
          <w:szCs w:val="22"/>
        </w:rPr>
        <w:t>(</w:t>
      </w:r>
      <w:r w:rsidR="00332B59">
        <w:rPr>
          <w:sz w:val="22"/>
          <w:szCs w:val="22"/>
        </w:rPr>
        <w:t>n=</w:t>
      </w:r>
      <w:r w:rsidR="00AC2812">
        <w:rPr>
          <w:sz w:val="22"/>
          <w:szCs w:val="22"/>
        </w:rPr>
        <w:t>350 exposed/</w:t>
      </w:r>
      <w:r w:rsidR="00332B59">
        <w:rPr>
          <w:sz w:val="22"/>
          <w:szCs w:val="22"/>
        </w:rPr>
        <w:t>n=</w:t>
      </w:r>
      <w:r w:rsidR="00AC2812">
        <w:rPr>
          <w:sz w:val="22"/>
          <w:szCs w:val="22"/>
        </w:rPr>
        <w:t>350 unexposed). Participants should speak and read English.</w:t>
      </w:r>
    </w:p>
    <w:p w:rsidR="007E4A10" w:rsidP="007E4A10" w14:paraId="010DDDD4" w14:textId="524F5D9A">
      <w:pPr>
        <w:pStyle w:val="Normal2"/>
        <w:rPr>
          <w:sz w:val="22"/>
          <w:szCs w:val="22"/>
        </w:rPr>
      </w:pPr>
      <w:r>
        <w:rPr>
          <w:b/>
          <w:sz w:val="22"/>
          <w:szCs w:val="22"/>
        </w:rPr>
        <w:t xml:space="preserve">Sampling for the </w:t>
      </w:r>
      <w:r>
        <w:rPr>
          <w:b/>
          <w:i/>
          <w:sz w:val="22"/>
          <w:szCs w:val="22"/>
        </w:rPr>
        <w:t xml:space="preserve">radio </w:t>
      </w:r>
      <w:r w:rsidRPr="00207602">
        <w:rPr>
          <w:b/>
          <w:i/>
          <w:sz w:val="22"/>
          <w:szCs w:val="22"/>
        </w:rPr>
        <w:t xml:space="preserve">broadcast </w:t>
      </w:r>
      <w:r w:rsidRPr="00207602">
        <w:rPr>
          <w:b/>
          <w:sz w:val="22"/>
          <w:szCs w:val="22"/>
        </w:rPr>
        <w:t xml:space="preserve">sample (Attachment </w:t>
      </w:r>
      <w:r w:rsidR="00793636">
        <w:rPr>
          <w:b/>
          <w:sz w:val="22"/>
          <w:szCs w:val="22"/>
        </w:rPr>
        <w:t>1 and 3</w:t>
      </w:r>
      <w:r w:rsidRPr="00207602">
        <w:rPr>
          <w:b/>
          <w:sz w:val="22"/>
          <w:szCs w:val="22"/>
        </w:rPr>
        <w:t>)</w:t>
      </w:r>
      <w:r w:rsidRPr="00207602">
        <w:rPr>
          <w:sz w:val="22"/>
          <w:szCs w:val="22"/>
        </w:rPr>
        <w:t>: Exposed participants will be identified based on their location in a market where the campaign ads were run. A screen</w:t>
      </w:r>
      <w:r>
        <w:rPr>
          <w:sz w:val="22"/>
          <w:szCs w:val="22"/>
        </w:rPr>
        <w:t xml:space="preserve">er will confirm their exposure to radio broadcast ads. A sample of unexposed </w:t>
      </w:r>
      <w:r>
        <w:rPr>
          <w:i/>
          <w:sz w:val="22"/>
          <w:szCs w:val="22"/>
        </w:rPr>
        <w:t>radio broadcast</w:t>
      </w:r>
      <w:r>
        <w:rPr>
          <w:sz w:val="22"/>
          <w:szCs w:val="22"/>
        </w:rPr>
        <w:t xml:space="preserve"> participants will be invited to take the survey prior to the launch of radio broadcast ads. </w:t>
      </w:r>
    </w:p>
    <w:p w:rsidR="003D5C2B" w14:paraId="00000045" w14:textId="159A283F">
      <w:pPr>
        <w:pStyle w:val="Normal2"/>
        <w:rPr>
          <w:sz w:val="22"/>
          <w:szCs w:val="22"/>
        </w:rPr>
      </w:pPr>
      <w:r w:rsidRPr="00207602">
        <w:rPr>
          <w:b/>
          <w:sz w:val="22"/>
          <w:szCs w:val="22"/>
        </w:rPr>
        <w:t xml:space="preserve">Sampling for the </w:t>
      </w:r>
      <w:r w:rsidRPr="00207602">
        <w:rPr>
          <w:b/>
          <w:i/>
          <w:sz w:val="22"/>
          <w:szCs w:val="22"/>
        </w:rPr>
        <w:t>digital ad</w:t>
      </w:r>
      <w:r w:rsidRPr="00207602">
        <w:rPr>
          <w:b/>
          <w:sz w:val="22"/>
          <w:szCs w:val="22"/>
        </w:rPr>
        <w:t xml:space="preserve"> sample</w:t>
      </w:r>
      <w:r w:rsidRPr="00207602" w:rsidR="007E4A10">
        <w:rPr>
          <w:b/>
          <w:sz w:val="22"/>
          <w:szCs w:val="22"/>
        </w:rPr>
        <w:t xml:space="preserve"> (Attachment </w:t>
      </w:r>
      <w:r w:rsidR="00793636">
        <w:rPr>
          <w:b/>
          <w:sz w:val="22"/>
          <w:szCs w:val="22"/>
        </w:rPr>
        <w:t>2 and 4</w:t>
      </w:r>
      <w:r w:rsidRPr="00207602" w:rsidR="007E4A10">
        <w:rPr>
          <w:b/>
          <w:sz w:val="22"/>
          <w:szCs w:val="22"/>
        </w:rPr>
        <w:t>)</w:t>
      </w:r>
      <w:r w:rsidRPr="00207602">
        <w:rPr>
          <w:b/>
          <w:sz w:val="22"/>
          <w:szCs w:val="22"/>
        </w:rPr>
        <w:t>:</w:t>
      </w:r>
      <w:r w:rsidRPr="00207602">
        <w:rPr>
          <w:sz w:val="22"/>
          <w:szCs w:val="22"/>
        </w:rPr>
        <w:t xml:space="preserve"> For exposed participants, a digital tag is used to identify participants who have been exposed to digital media ads. </w:t>
      </w:r>
      <w:r w:rsidRPr="00207602" w:rsidR="00EF52C0">
        <w:rPr>
          <w:sz w:val="22"/>
          <w:szCs w:val="22"/>
        </w:rPr>
        <w:t>In</w:t>
      </w:r>
      <w:r w:rsidRPr="00EF52C0" w:rsidR="00EF52C0">
        <w:rPr>
          <w:sz w:val="22"/>
          <w:szCs w:val="22"/>
        </w:rPr>
        <w:t xml:space="preserve"> digital analytics, a tag is an element included on each webpage to be measured. The tag is a small piece of code that is inserted into the page's source code. It allows the third-party analytics tool to log connections on its server. In digital analytics, the tag is used to refine analyses using segments.</w:t>
      </w:r>
      <w:r w:rsidR="00EF52C0">
        <w:rPr>
          <w:sz w:val="22"/>
          <w:szCs w:val="22"/>
        </w:rPr>
        <w:t xml:space="preserve"> </w:t>
      </w:r>
      <w:r>
        <w:rPr>
          <w:sz w:val="22"/>
          <w:szCs w:val="22"/>
        </w:rPr>
        <w:t xml:space="preserve">The digital tag confirms exposure to digital ads, thus no screening is required. </w:t>
      </w:r>
      <w:r w:rsidRPr="00207602">
        <w:rPr>
          <w:sz w:val="22"/>
          <w:szCs w:val="22"/>
        </w:rPr>
        <w:t>Unexposed</w:t>
      </w:r>
      <w:r w:rsidRPr="00207602">
        <w:rPr>
          <w:i/>
          <w:sz w:val="22"/>
          <w:szCs w:val="22"/>
        </w:rPr>
        <w:t xml:space="preserve"> digital ad</w:t>
      </w:r>
      <w:r w:rsidRPr="00207602">
        <w:rPr>
          <w:sz w:val="22"/>
          <w:szCs w:val="22"/>
        </w:rPr>
        <w:t xml:space="preserve"> participants will be identified as individuals in the panels who have not been tagged with the digital tags used for this effort.</w:t>
      </w:r>
    </w:p>
    <w:p w:rsidR="003D5C2B" w14:paraId="00000047" w14:textId="77777777">
      <w:pPr>
        <w:pStyle w:val="Normal2"/>
        <w:rPr>
          <w:sz w:val="22"/>
          <w:szCs w:val="22"/>
        </w:rPr>
      </w:pPr>
      <w:r>
        <w:rPr>
          <w:sz w:val="22"/>
          <w:szCs w:val="22"/>
        </w:rPr>
        <w:t>The purpose of this data collection is to:</w:t>
      </w:r>
    </w:p>
    <w:p w:rsidR="003D5C2B" w14:paraId="00000048" w14:textId="77777777">
      <w:pPr>
        <w:pStyle w:val="Normal2"/>
        <w:numPr>
          <w:ilvl w:val="0"/>
          <w:numId w:val="2"/>
        </w:numPr>
        <w:spacing w:after="0"/>
        <w:rPr>
          <w:sz w:val="22"/>
          <w:szCs w:val="22"/>
        </w:rPr>
      </w:pPr>
      <w:r>
        <w:rPr>
          <w:sz w:val="22"/>
          <w:szCs w:val="22"/>
        </w:rPr>
        <w:t>Collect data from a sample of audience members who have been exposed to the Stop Overdose campaigns and from a sample who have not been exposed.</w:t>
      </w:r>
    </w:p>
    <w:p w:rsidR="003D5C2B" w14:paraId="00000049" w14:textId="77777777">
      <w:pPr>
        <w:pStyle w:val="Normal2"/>
        <w:numPr>
          <w:ilvl w:val="0"/>
          <w:numId w:val="2"/>
        </w:numPr>
        <w:spacing w:after="0"/>
        <w:rPr>
          <w:sz w:val="22"/>
          <w:szCs w:val="22"/>
        </w:rPr>
      </w:pPr>
      <w:r>
        <w:rPr>
          <w:sz w:val="22"/>
          <w:szCs w:val="22"/>
        </w:rPr>
        <w:t xml:space="preserve">Assess the impact of campaign exposure on audiences’ drug overdose prevention knowledge, attitudes, and behaviors. </w:t>
      </w:r>
    </w:p>
    <w:p w:rsidR="003D5C2B" w14:paraId="0000004A" w14:textId="1E9F415E">
      <w:pPr>
        <w:pStyle w:val="Normal2"/>
        <w:numPr>
          <w:ilvl w:val="0"/>
          <w:numId w:val="2"/>
        </w:numPr>
        <w:rPr>
          <w:sz w:val="22"/>
          <w:szCs w:val="22"/>
        </w:rPr>
      </w:pPr>
      <w:r>
        <w:rPr>
          <w:sz w:val="22"/>
          <w:szCs w:val="22"/>
        </w:rPr>
        <w:t xml:space="preserve">Assess differences in drug overdose prevention knowledge, attitudes, and </w:t>
      </w:r>
      <w:r w:rsidR="002B6E6F">
        <w:rPr>
          <w:sz w:val="22"/>
          <w:szCs w:val="22"/>
        </w:rPr>
        <w:t xml:space="preserve">select </w:t>
      </w:r>
      <w:r>
        <w:rPr>
          <w:sz w:val="22"/>
          <w:szCs w:val="22"/>
        </w:rPr>
        <w:t>behaviors</w:t>
      </w:r>
      <w:r w:rsidR="002B6E6F">
        <w:rPr>
          <w:sz w:val="22"/>
          <w:szCs w:val="22"/>
        </w:rPr>
        <w:t xml:space="preserve"> and behavioral intentions related to key messages </w:t>
      </w:r>
      <w:r>
        <w:rPr>
          <w:sz w:val="22"/>
          <w:szCs w:val="22"/>
        </w:rPr>
        <w:t>by select demographic characteristics based on key affected populations.</w:t>
      </w:r>
    </w:p>
    <w:p w:rsidR="003D5C2B" w14:paraId="0000004B" w14:textId="77777777">
      <w:pPr>
        <w:pStyle w:val="Normal2"/>
        <w:ind w:left="720"/>
        <w:rPr>
          <w:sz w:val="22"/>
          <w:szCs w:val="22"/>
        </w:rPr>
      </w:pPr>
    </w:p>
    <w:p w:rsidR="003D5C2B" w:rsidRPr="008807DC" w:rsidP="008807DC" w14:paraId="0000004D" w14:textId="170E1F4D">
      <w:pPr>
        <w:pStyle w:val="heading12"/>
        <w:rPr>
          <w:sz w:val="22"/>
        </w:rPr>
      </w:pPr>
      <w:bookmarkStart w:id="19" w:name="bookmark=id.eta5xrp9b45y" w:colFirst="0" w:colLast="0"/>
      <w:bookmarkStart w:id="20" w:name="_heading=h.8lt1iawfns6x" w:colFirst="0" w:colLast="0"/>
      <w:bookmarkEnd w:id="19"/>
      <w:bookmarkEnd w:id="20"/>
      <w:r>
        <w:rPr>
          <w:sz w:val="22"/>
        </w:rPr>
        <w:t>Procedures for the Collection of Information</w:t>
      </w:r>
    </w:p>
    <w:p w:rsidR="003D5C2B" w14:paraId="0000004E" w14:textId="5B4D5840">
      <w:pPr>
        <w:pStyle w:val="Normal2"/>
        <w:rPr>
          <w:sz w:val="22"/>
          <w:szCs w:val="22"/>
        </w:rPr>
      </w:pPr>
      <w:r w:rsidRPr="795F4435">
        <w:rPr>
          <w:sz w:val="22"/>
          <w:szCs w:val="22"/>
        </w:rPr>
        <w:t xml:space="preserve">Data will be collected through </w:t>
      </w:r>
      <w:r w:rsidR="00DF29AA">
        <w:rPr>
          <w:sz w:val="22"/>
          <w:szCs w:val="22"/>
        </w:rPr>
        <w:t>two instances of the same</w:t>
      </w:r>
      <w:r w:rsidRPr="795F4435" w:rsidR="00DF29AA">
        <w:rPr>
          <w:sz w:val="22"/>
          <w:szCs w:val="22"/>
        </w:rPr>
        <w:t xml:space="preserve"> </w:t>
      </w:r>
      <w:r w:rsidRPr="795F4435">
        <w:rPr>
          <w:sz w:val="22"/>
          <w:szCs w:val="22"/>
        </w:rPr>
        <w:t xml:space="preserve">online survey with no more than 50 items disseminated. The survey will collect data for both the sample of those exposed by </w:t>
      </w:r>
      <w:r w:rsidR="00500983">
        <w:rPr>
          <w:sz w:val="22"/>
          <w:szCs w:val="22"/>
        </w:rPr>
        <w:t>broadcast radio</w:t>
      </w:r>
      <w:r w:rsidRPr="795F4435" w:rsidR="00DF29AA">
        <w:rPr>
          <w:sz w:val="22"/>
          <w:szCs w:val="22"/>
        </w:rPr>
        <w:t xml:space="preserve"> </w:t>
      </w:r>
      <w:r w:rsidR="00DF29AA">
        <w:rPr>
          <w:sz w:val="22"/>
          <w:szCs w:val="22"/>
        </w:rPr>
        <w:t>(</w:t>
      </w:r>
      <w:r w:rsidRPr="00207602" w:rsidR="007E4A10">
        <w:rPr>
          <w:b/>
          <w:bCs/>
          <w:sz w:val="22"/>
          <w:szCs w:val="22"/>
        </w:rPr>
        <w:t xml:space="preserve">Attachment </w:t>
      </w:r>
      <w:r w:rsidRPr="00207602" w:rsidR="00DF29AA">
        <w:rPr>
          <w:b/>
          <w:bCs/>
          <w:sz w:val="22"/>
          <w:szCs w:val="22"/>
        </w:rPr>
        <w:t>1</w:t>
      </w:r>
      <w:r w:rsidR="00DF29AA">
        <w:rPr>
          <w:sz w:val="22"/>
          <w:szCs w:val="22"/>
        </w:rPr>
        <w:t xml:space="preserve">) or </w:t>
      </w:r>
      <w:r w:rsidR="00500983">
        <w:rPr>
          <w:sz w:val="22"/>
          <w:szCs w:val="22"/>
        </w:rPr>
        <w:t>digital ads</w:t>
      </w:r>
      <w:r w:rsidR="00DF29AA">
        <w:rPr>
          <w:sz w:val="22"/>
          <w:szCs w:val="22"/>
        </w:rPr>
        <w:t xml:space="preserve"> (</w:t>
      </w:r>
      <w:r w:rsidRPr="00207602" w:rsidR="00500983">
        <w:rPr>
          <w:b/>
          <w:bCs/>
          <w:sz w:val="22"/>
          <w:szCs w:val="22"/>
        </w:rPr>
        <w:t xml:space="preserve">Attachment </w:t>
      </w:r>
      <w:r w:rsidRPr="00207602" w:rsidR="00694DCA">
        <w:rPr>
          <w:b/>
          <w:bCs/>
          <w:sz w:val="22"/>
          <w:szCs w:val="22"/>
        </w:rPr>
        <w:t>2</w:t>
      </w:r>
      <w:r w:rsidR="00DF29AA">
        <w:rPr>
          <w:sz w:val="22"/>
          <w:szCs w:val="22"/>
        </w:rPr>
        <w:t>)</w:t>
      </w:r>
      <w:r w:rsidRPr="795F4435">
        <w:rPr>
          <w:sz w:val="22"/>
          <w:szCs w:val="22"/>
        </w:rPr>
        <w:t>. Broadcast radio and digital ads are the primary channels through which the Stop Overdose campaign is delivered and to measure message effectiveness (exposed/unexposed) a separate sample for each is required.</w:t>
      </w:r>
    </w:p>
    <w:p w:rsidR="003A2E60" w:rsidP="003A2E60" w14:paraId="5378981F" w14:textId="5606A325">
      <w:pPr>
        <w:pStyle w:val="Normal2"/>
        <w:rPr>
          <w:sz w:val="22"/>
          <w:szCs w:val="22"/>
        </w:rPr>
      </w:pPr>
      <w:r>
        <w:rPr>
          <w:b/>
          <w:sz w:val="22"/>
          <w:szCs w:val="22"/>
        </w:rPr>
        <w:t xml:space="preserve">Data collection for the </w:t>
      </w:r>
      <w:r>
        <w:rPr>
          <w:b/>
          <w:i/>
          <w:sz w:val="22"/>
          <w:szCs w:val="22"/>
        </w:rPr>
        <w:t xml:space="preserve">radio broadcast </w:t>
      </w:r>
      <w:r w:rsidRPr="00207602">
        <w:rPr>
          <w:b/>
          <w:iCs/>
          <w:sz w:val="22"/>
          <w:szCs w:val="22"/>
        </w:rPr>
        <w:t>sample</w:t>
      </w:r>
      <w:r w:rsidRPr="003A2E60">
        <w:rPr>
          <w:sz w:val="22"/>
          <w:szCs w:val="22"/>
        </w:rPr>
        <w:t xml:space="preserve"> </w:t>
      </w:r>
      <w:r>
        <w:rPr>
          <w:sz w:val="22"/>
          <w:szCs w:val="22"/>
        </w:rPr>
        <w:t>radio</w:t>
      </w:r>
      <w:r w:rsidRPr="795F4435">
        <w:rPr>
          <w:sz w:val="22"/>
          <w:szCs w:val="22"/>
        </w:rPr>
        <w:t xml:space="preserve"> </w:t>
      </w:r>
      <w:r>
        <w:rPr>
          <w:sz w:val="22"/>
          <w:szCs w:val="22"/>
        </w:rPr>
        <w:t>(</w:t>
      </w:r>
      <w:r w:rsidRPr="00207602">
        <w:rPr>
          <w:b/>
          <w:bCs/>
          <w:sz w:val="22"/>
          <w:szCs w:val="22"/>
        </w:rPr>
        <w:t>Attachment 1</w:t>
      </w:r>
      <w:r>
        <w:rPr>
          <w:sz w:val="22"/>
          <w:szCs w:val="22"/>
        </w:rPr>
        <w:t xml:space="preserve">): Exposed participants are invited to take the survey by </w:t>
      </w:r>
      <w:r w:rsidRPr="1139FD50" w:rsidR="211EFF50">
        <w:rPr>
          <w:sz w:val="22"/>
          <w:szCs w:val="22"/>
        </w:rPr>
        <w:t>email and</w:t>
      </w:r>
      <w:r w:rsidRPr="15D07C49">
        <w:rPr>
          <w:sz w:val="22"/>
          <w:szCs w:val="22"/>
        </w:rPr>
        <w:t xml:space="preserve"> </w:t>
      </w:r>
      <w:r>
        <w:rPr>
          <w:sz w:val="22"/>
          <w:szCs w:val="22"/>
        </w:rPr>
        <w:t xml:space="preserve">digital ad. A sample of unexposed </w:t>
      </w:r>
      <w:r>
        <w:rPr>
          <w:i/>
          <w:sz w:val="22"/>
          <w:szCs w:val="22"/>
        </w:rPr>
        <w:t>radio broadcast</w:t>
      </w:r>
      <w:r>
        <w:rPr>
          <w:sz w:val="22"/>
          <w:szCs w:val="22"/>
        </w:rPr>
        <w:t xml:space="preserve"> participants will be invited to take the survey prior to the launch of radio broadcast ads. The survey will be administered prior to campaign implementation in the market, then again after campaign implementation.</w:t>
      </w:r>
    </w:p>
    <w:p w:rsidR="003D5C2B" w14:paraId="0000004F" w14:textId="6D09BEEB">
      <w:pPr>
        <w:pStyle w:val="Normal2"/>
        <w:rPr>
          <w:sz w:val="22"/>
          <w:szCs w:val="22"/>
        </w:rPr>
      </w:pPr>
      <w:r>
        <w:rPr>
          <w:b/>
          <w:sz w:val="22"/>
          <w:szCs w:val="22"/>
        </w:rPr>
        <w:t xml:space="preserve">Data collection for the </w:t>
      </w:r>
      <w:r>
        <w:rPr>
          <w:b/>
          <w:i/>
          <w:sz w:val="22"/>
          <w:szCs w:val="22"/>
        </w:rPr>
        <w:t>digital ad</w:t>
      </w:r>
      <w:r>
        <w:rPr>
          <w:b/>
          <w:sz w:val="22"/>
          <w:szCs w:val="22"/>
        </w:rPr>
        <w:t xml:space="preserve"> sample</w:t>
      </w:r>
      <w:r w:rsidRPr="003A2E60" w:rsidR="003A2E60">
        <w:rPr>
          <w:sz w:val="22"/>
          <w:szCs w:val="22"/>
        </w:rPr>
        <w:t xml:space="preserve"> </w:t>
      </w:r>
      <w:r w:rsidR="003A2E60">
        <w:rPr>
          <w:sz w:val="22"/>
          <w:szCs w:val="22"/>
        </w:rPr>
        <w:t>radio</w:t>
      </w:r>
      <w:r w:rsidRPr="795F4435" w:rsidR="003A2E60">
        <w:rPr>
          <w:sz w:val="22"/>
          <w:szCs w:val="22"/>
        </w:rPr>
        <w:t xml:space="preserve"> </w:t>
      </w:r>
      <w:r w:rsidR="003A2E60">
        <w:rPr>
          <w:sz w:val="22"/>
          <w:szCs w:val="22"/>
        </w:rPr>
        <w:t>(</w:t>
      </w:r>
      <w:r w:rsidRPr="00207602" w:rsidR="003A2E60">
        <w:rPr>
          <w:b/>
          <w:bCs/>
          <w:sz w:val="22"/>
          <w:szCs w:val="22"/>
        </w:rPr>
        <w:t xml:space="preserve">Attachment </w:t>
      </w:r>
      <w:r w:rsidR="00694DCA">
        <w:rPr>
          <w:b/>
          <w:bCs/>
          <w:sz w:val="22"/>
          <w:szCs w:val="22"/>
        </w:rPr>
        <w:t>2</w:t>
      </w:r>
      <w:r w:rsidR="003A2E60">
        <w:rPr>
          <w:sz w:val="22"/>
          <w:szCs w:val="22"/>
        </w:rPr>
        <w:t>)</w:t>
      </w:r>
      <w:r>
        <w:rPr>
          <w:b/>
          <w:sz w:val="22"/>
          <w:szCs w:val="22"/>
        </w:rPr>
        <w:t>:</w:t>
      </w:r>
      <w:r>
        <w:rPr>
          <w:sz w:val="22"/>
          <w:szCs w:val="22"/>
        </w:rPr>
        <w:t xml:space="preserve"> Participants identified by digital tagging (indicating exposure to campaign ad) will be invited to the survey by </w:t>
      </w:r>
      <w:r w:rsidRPr="13A221CD" w:rsidR="0FE3634B">
        <w:rPr>
          <w:sz w:val="22"/>
          <w:szCs w:val="22"/>
        </w:rPr>
        <w:t xml:space="preserve">email </w:t>
      </w:r>
      <w:r w:rsidR="00793636">
        <w:rPr>
          <w:sz w:val="22"/>
          <w:szCs w:val="22"/>
        </w:rPr>
        <w:t>(</w:t>
      </w:r>
      <w:r w:rsidRPr="00207602" w:rsidR="00793636">
        <w:rPr>
          <w:b/>
          <w:bCs/>
          <w:sz w:val="22"/>
          <w:szCs w:val="22"/>
        </w:rPr>
        <w:t xml:space="preserve">Attachment </w:t>
      </w:r>
      <w:r w:rsidR="00793636">
        <w:rPr>
          <w:b/>
          <w:bCs/>
          <w:sz w:val="22"/>
          <w:szCs w:val="22"/>
        </w:rPr>
        <w:t>5</w:t>
      </w:r>
      <w:r w:rsidR="00793636">
        <w:rPr>
          <w:sz w:val="22"/>
          <w:szCs w:val="22"/>
        </w:rPr>
        <w:t>)</w:t>
      </w:r>
      <w:r>
        <w:rPr>
          <w:sz w:val="22"/>
          <w:szCs w:val="22"/>
        </w:rPr>
        <w:t>. Unexposed</w:t>
      </w:r>
      <w:r>
        <w:rPr>
          <w:i/>
          <w:sz w:val="22"/>
          <w:szCs w:val="22"/>
        </w:rPr>
        <w:t xml:space="preserve"> digital ad</w:t>
      </w:r>
      <w:r>
        <w:rPr>
          <w:sz w:val="22"/>
          <w:szCs w:val="22"/>
        </w:rPr>
        <w:t xml:space="preserve"> participants will be identified and recruited as individuals who have not been identified through the digital tags used for this effort.</w:t>
      </w:r>
      <w:r w:rsidR="006954AE">
        <w:rPr>
          <w:sz w:val="22"/>
          <w:szCs w:val="22"/>
        </w:rPr>
        <w:t xml:space="preserve"> The survey will be administered prior to campaign implementation in the market, then again after campaign implementation.</w:t>
      </w:r>
    </w:p>
    <w:p w:rsidR="003D5C2B" w14:paraId="00000051" w14:textId="29EE1F01">
      <w:pPr>
        <w:pStyle w:val="Normal2"/>
        <w:rPr>
          <w:sz w:val="22"/>
          <w:szCs w:val="22"/>
        </w:rPr>
      </w:pPr>
      <w:r>
        <w:rPr>
          <w:sz w:val="22"/>
          <w:szCs w:val="22"/>
        </w:rPr>
        <w:t xml:space="preserve">On the opening page of the survey participants will receive a valid OMB number and contact information in case participants have questions about their rights as a participant. </w:t>
      </w:r>
    </w:p>
    <w:p w:rsidR="003D5C2B" w14:paraId="00000052" w14:textId="77777777">
      <w:pPr>
        <w:pStyle w:val="Normal2"/>
        <w:rPr>
          <w:sz w:val="22"/>
          <w:szCs w:val="22"/>
        </w:rPr>
      </w:pPr>
      <w:r>
        <w:rPr>
          <w:sz w:val="22"/>
          <w:szCs w:val="22"/>
        </w:rPr>
        <w:t xml:space="preserve">Participants will first be screened by age to ensure they are 18-34 and by location to confirm they are in the media market where the ads were disseminated. We will ask two items to confirm the relevance of the topic of drug overdose to participants. </w:t>
      </w:r>
    </w:p>
    <w:p w:rsidR="003D5C2B" w14:paraId="00000053" w14:textId="10EFBBA7">
      <w:pPr>
        <w:pStyle w:val="Normal2"/>
        <w:rPr>
          <w:sz w:val="22"/>
          <w:szCs w:val="22"/>
        </w:rPr>
      </w:pPr>
      <w:r>
        <w:rPr>
          <w:sz w:val="22"/>
          <w:szCs w:val="22"/>
        </w:rPr>
        <w:t>Though data will be collected through two separate surveys, one for each channel, the survey instrument will the same. The survey instrument</w:t>
      </w:r>
      <w:r w:rsidR="00357207">
        <w:rPr>
          <w:sz w:val="22"/>
          <w:szCs w:val="22"/>
        </w:rPr>
        <w:t xml:space="preserve"> will gather audience knowledge, attitudes, and beliefs (KABs), perceptions of campaign asset products, and demographic and drug use-related characteristics.  We will gather demographic information at the end of the survey, including age, gender, race, education level, income level, state of residence, and acculturation.  </w:t>
      </w:r>
    </w:p>
    <w:p w:rsidR="003D5C2B" w14:paraId="00000054" w14:textId="5DD27849">
      <w:pPr>
        <w:pStyle w:val="Normal2"/>
        <w:rPr>
          <w:sz w:val="22"/>
          <w:szCs w:val="22"/>
        </w:rPr>
      </w:pPr>
      <w:r>
        <w:rPr>
          <w:color w:val="000000"/>
          <w:sz w:val="22"/>
          <w:szCs w:val="22"/>
        </w:rPr>
        <w:t xml:space="preserve">To </w:t>
      </w:r>
      <w:r>
        <w:rPr>
          <w:sz w:val="22"/>
          <w:szCs w:val="22"/>
        </w:rPr>
        <w:t xml:space="preserve"> vendor will retain only aggregate survey data and any other project-related documents on secure servers. Only project staff members will have access to the servers via password-protected computers. Findings will be reported in summary form and no participants’ personally identifiable information will be collected.</w:t>
      </w:r>
    </w:p>
    <w:p w:rsidR="003D5C2B" w14:paraId="00000056" w14:textId="77777777">
      <w:pPr>
        <w:pStyle w:val="heading12"/>
        <w:ind w:left="720"/>
        <w:rPr>
          <w:sz w:val="22"/>
        </w:rPr>
      </w:pPr>
      <w:bookmarkStart w:id="21" w:name="bookmark=id.b64fiecm51dy" w:colFirst="0" w:colLast="0"/>
      <w:bookmarkStart w:id="22" w:name="_heading=h.3znysh7" w:colFirst="0" w:colLast="0"/>
      <w:bookmarkEnd w:id="21"/>
      <w:bookmarkEnd w:id="22"/>
      <w:r>
        <w:rPr>
          <w:sz w:val="22"/>
        </w:rPr>
        <w:t>Methods to Maximize Response Rates and Deal with No Response</w:t>
      </w:r>
    </w:p>
    <w:p w:rsidR="003D5C2B" w14:paraId="00000057" w14:textId="77777777">
      <w:pPr>
        <w:pStyle w:val="Normal2"/>
        <w:rPr>
          <w:sz w:val="22"/>
          <w:szCs w:val="22"/>
        </w:rPr>
      </w:pPr>
      <w:r>
        <w:rPr>
          <w:sz w:val="22"/>
          <w:szCs w:val="22"/>
        </w:rPr>
        <w:t xml:space="preserve">To maximize response rates the surveys will invite participants to participate through the campaign launch as they are identified. </w:t>
      </w:r>
    </w:p>
    <w:p w:rsidR="003D5C2B" w14:paraId="00000058" w14:textId="77777777">
      <w:pPr>
        <w:pStyle w:val="Normal2"/>
        <w:rPr>
          <w:sz w:val="22"/>
          <w:szCs w:val="22"/>
        </w:rPr>
      </w:pPr>
      <w:r>
        <w:rPr>
          <w:sz w:val="22"/>
          <w:szCs w:val="22"/>
        </w:rPr>
        <w:t xml:space="preserve">Any incomplete responses, including when started but then dropped out, are disregarded. We will only analyze data on survey completes. </w:t>
      </w:r>
    </w:p>
    <w:p w:rsidR="003D5C2B" w14:paraId="00000059" w14:textId="77777777">
      <w:pPr>
        <w:pStyle w:val="heading12"/>
        <w:ind w:left="720"/>
        <w:rPr>
          <w:sz w:val="22"/>
        </w:rPr>
      </w:pPr>
      <w:bookmarkStart w:id="23" w:name="bookmark=id.otp25ij9u7j" w:colFirst="0" w:colLast="0"/>
      <w:bookmarkStart w:id="24" w:name="_heading=h.2et92p0" w:colFirst="0" w:colLast="0"/>
      <w:bookmarkEnd w:id="23"/>
      <w:bookmarkEnd w:id="24"/>
      <w:r>
        <w:rPr>
          <w:sz w:val="22"/>
        </w:rPr>
        <w:t>Tests of Procedures or Methods to be Undertaken</w:t>
      </w:r>
    </w:p>
    <w:p w:rsidR="003D5C2B" w14:paraId="0000005A" w14:textId="77777777">
      <w:pPr>
        <w:pStyle w:val="Normal2"/>
        <w:rPr>
          <w:sz w:val="22"/>
          <w:szCs w:val="22"/>
        </w:rPr>
      </w:pPr>
      <w:r>
        <w:rPr>
          <w:sz w:val="22"/>
          <w:szCs w:val="22"/>
        </w:rPr>
        <w:t xml:space="preserve">CDC and contractor project staff will work with iHeart/Unified to test the survey prior to launch to ensure proper logic and functionality. </w:t>
      </w:r>
    </w:p>
    <w:p w:rsidR="003D5C2B" w14:paraId="0000005B" w14:textId="77777777">
      <w:pPr>
        <w:pStyle w:val="heading12"/>
        <w:ind w:left="720"/>
        <w:rPr>
          <w:sz w:val="22"/>
        </w:rPr>
      </w:pPr>
      <w:bookmarkStart w:id="25" w:name="bookmark=id.cb7fmld552oc" w:colFirst="0" w:colLast="0"/>
      <w:bookmarkStart w:id="26" w:name="_heading=h.tyjcwt" w:colFirst="0" w:colLast="0"/>
      <w:bookmarkEnd w:id="25"/>
      <w:bookmarkEnd w:id="26"/>
      <w:r>
        <w:rPr>
          <w:sz w:val="22"/>
        </w:rPr>
        <w:t>Individuals Consulted on Statistical Aspects and Individuals Collecting and/or Analyzing Data</w:t>
      </w:r>
    </w:p>
    <w:p w:rsidR="003D5C2B" w14:paraId="0000005C" w14:textId="5E89A6D0">
      <w:pPr>
        <w:pStyle w:val="Normal2"/>
        <w:rPr>
          <w:sz w:val="22"/>
          <w:szCs w:val="22"/>
        </w:rPr>
      </w:pPr>
      <w:r w:rsidRPr="795F4435">
        <w:rPr>
          <w:sz w:val="22"/>
          <w:szCs w:val="22"/>
        </w:rPr>
        <w:t xml:space="preserve">iHeart/Unified provided analysis to inform the statistical needs for analysis. Target sample sizes were informed by the margin of error parameters identified in the iHeart/Unified survey panel required to measure the message effectiveness of being exposed to Stop Overdose campaign messages as compared to those unexposed by either broadcast radio or digital ads. Based on a margin of error of 4% and a 95% confidence level, we need a minimum of 700 participants for each of the broadcast radio group (n=350 exposed/n=350 unexposed) and the digital ad group (n=350 exposed/n=350 unexposed). </w:t>
      </w:r>
    </w:p>
    <w:p w:rsidR="003D5C2B" w14:paraId="0000005D" w14:textId="77777777">
      <w:pPr>
        <w:pStyle w:val="Normal2"/>
        <w:rPr>
          <w:sz w:val="22"/>
          <w:szCs w:val="22"/>
        </w:rPr>
      </w:pPr>
      <w:r>
        <w:rPr>
          <w:sz w:val="22"/>
          <w:szCs w:val="22"/>
        </w:rPr>
        <w:t xml:space="preserve">We also used G*Power to calculate an a priori sample size for additional power analysis needed to assess the message effects and variances in scores by key affected audiences. To conduct one-way ANOVAs to detect a </w:t>
      </w:r>
      <w:r>
        <w:rPr>
          <w:sz w:val="22"/>
          <w:szCs w:val="22"/>
        </w:rPr>
        <w:t xml:space="preserve">moderate effect size (β=0.8), with 95% confidence (α =0.05), we will need a minimum sample size of 343 (for each survey) or approximately 686 total survey participants for the first phase. </w:t>
      </w:r>
    </w:p>
    <w:p w:rsidR="003D5C2B" w14:paraId="0000005E" w14:textId="77777777">
      <w:pPr>
        <w:pStyle w:val="Normal2"/>
        <w:rPr>
          <w:sz w:val="22"/>
          <w:szCs w:val="22"/>
        </w:rPr>
      </w:pPr>
      <w:r>
        <w:rPr>
          <w:sz w:val="22"/>
          <w:szCs w:val="22"/>
        </w:rPr>
        <w:t xml:space="preserve"> The individuals collecting and/or analyzing data include: </w:t>
      </w:r>
    </w:p>
    <w:p w:rsidR="003D5C2B" w14:paraId="0000005F" w14:textId="35723BE1">
      <w:pPr>
        <w:pStyle w:val="Normal2"/>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w:t>
      </w:r>
      <w:r>
        <w:rPr>
          <w:sz w:val="22"/>
          <w:szCs w:val="22"/>
        </w:rPr>
        <w:t xml:space="preserve"> Brittany Curtis, Lead Health Communication Specialist, CDC, NCPIC, DOP</w:t>
      </w:r>
    </w:p>
    <w:p w:rsidR="003D5C2B" w14:paraId="00000060" w14:textId="77777777">
      <w:pPr>
        <w:pStyle w:val="Normal2"/>
        <w:pBdr>
          <w:top w:val="nil"/>
          <w:left w:val="nil"/>
          <w:bottom w:val="nil"/>
          <w:right w:val="nil"/>
          <w:between w:val="nil"/>
        </w:pBdr>
        <w:spacing w:after="0" w:line="240" w:lineRule="auto"/>
        <w:rPr>
          <w:b/>
          <w:color w:val="000000"/>
          <w:sz w:val="22"/>
          <w:szCs w:val="22"/>
        </w:rPr>
      </w:pPr>
    </w:p>
    <w:p w:rsidR="003D5C2B" w14:paraId="00000061" w14:textId="77777777">
      <w:pPr>
        <w:pStyle w:val="Normal2"/>
        <w:pBdr>
          <w:top w:val="nil"/>
          <w:left w:val="nil"/>
          <w:bottom w:val="nil"/>
          <w:right w:val="nil"/>
          <w:between w:val="nil"/>
        </w:pBdr>
        <w:spacing w:after="0" w:line="240" w:lineRule="auto"/>
        <w:rPr>
          <w:color w:val="000000"/>
          <w:sz w:val="22"/>
          <w:szCs w:val="22"/>
        </w:rPr>
      </w:pPr>
      <w:r>
        <w:rPr>
          <w:b/>
          <w:color w:val="000000"/>
          <w:sz w:val="22"/>
          <w:szCs w:val="22"/>
        </w:rPr>
        <w:t xml:space="preserve">Co-Investigators: </w:t>
      </w:r>
    </w:p>
    <w:p w:rsidR="003D5C2B" w14:paraId="00000062" w14:textId="77777777">
      <w:pPr>
        <w:pStyle w:val="Normal2"/>
        <w:pBdr>
          <w:top w:val="nil"/>
          <w:left w:val="nil"/>
          <w:bottom w:val="nil"/>
          <w:right w:val="nil"/>
          <w:between w:val="nil"/>
        </w:pBdr>
        <w:spacing w:after="0" w:line="240" w:lineRule="auto"/>
        <w:rPr>
          <w:color w:val="000000"/>
          <w:sz w:val="22"/>
          <w:szCs w:val="22"/>
        </w:rPr>
      </w:pPr>
    </w:p>
    <w:p w:rsidR="003D5C2B" w14:paraId="00000063" w14:textId="77777777">
      <w:pPr>
        <w:pStyle w:val="Normal2"/>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
      <w:tblGrid>
        <w:gridCol w:w="6786"/>
        <w:gridCol w:w="3289"/>
      </w:tblGrid>
      <w:tr w14:paraId="5711C28E" w14:textId="77777777" w:rsidTr="4D8AA64D">
        <w:tblPrEx>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Ex>
        <w:tc>
          <w:tcPr>
            <w:tcW w:w="6786" w:type="dxa"/>
          </w:tcPr>
          <w:p w:rsidR="003D5C2B" w:rsidP="4D8AA64D" w14:paraId="00000064" w14:textId="77777777">
            <w:pPr>
              <w:pStyle w:val="Normal2"/>
              <w:pBdr>
                <w:top w:val="nil"/>
                <w:left w:val="nil"/>
                <w:bottom w:val="nil"/>
                <w:right w:val="nil"/>
                <w:between w:val="nil"/>
              </w:pBdr>
              <w:tabs>
                <w:tab w:val="left" w:pos="360"/>
              </w:tabs>
              <w:rPr>
                <w:b/>
                <w:bCs/>
                <w:color w:val="000000"/>
                <w:sz w:val="22"/>
                <w:szCs w:val="22"/>
              </w:rPr>
            </w:pPr>
            <w:r w:rsidRPr="4D8AA64D">
              <w:rPr>
                <w:b/>
                <w:bCs/>
                <w:color w:val="000000" w:themeColor="text1"/>
                <w:sz w:val="22"/>
                <w:szCs w:val="22"/>
              </w:rPr>
              <w:t>Name</w:t>
            </w:r>
          </w:p>
        </w:tc>
        <w:tc>
          <w:tcPr>
            <w:tcW w:w="3289" w:type="dxa"/>
          </w:tcPr>
          <w:p w:rsidR="003D5C2B" w:rsidP="4D8AA64D" w14:paraId="00000065" w14:textId="77777777">
            <w:pPr>
              <w:pStyle w:val="Normal2"/>
              <w:pBdr>
                <w:top w:val="nil"/>
                <w:left w:val="nil"/>
                <w:bottom w:val="nil"/>
                <w:right w:val="nil"/>
                <w:between w:val="nil"/>
              </w:pBdr>
              <w:tabs>
                <w:tab w:val="left" w:pos="360"/>
              </w:tabs>
              <w:rPr>
                <w:b/>
                <w:bCs/>
                <w:color w:val="000000"/>
                <w:sz w:val="22"/>
                <w:szCs w:val="22"/>
              </w:rPr>
            </w:pPr>
            <w:r w:rsidRPr="4D8AA64D">
              <w:rPr>
                <w:b/>
                <w:bCs/>
                <w:color w:val="000000" w:themeColor="text1"/>
                <w:sz w:val="22"/>
                <w:szCs w:val="22"/>
              </w:rPr>
              <w:t>Organizational Unit</w:t>
            </w:r>
          </w:p>
        </w:tc>
      </w:tr>
      <w:tr w14:paraId="672A6659" w14:textId="77777777" w:rsidTr="4D8AA64D">
        <w:tblPrEx>
          <w:tblW w:w="10075" w:type="dxa"/>
          <w:tblInd w:w="-5" w:type="dxa"/>
          <w:tblLayout w:type="fixed"/>
          <w:tblCellMar>
            <w:top w:w="100" w:type="dxa"/>
            <w:left w:w="115" w:type="dxa"/>
            <w:bottom w:w="100" w:type="dxa"/>
            <w:right w:w="115" w:type="dxa"/>
          </w:tblCellMar>
          <w:tblLook w:val="0400"/>
        </w:tblPrEx>
        <w:tc>
          <w:tcPr>
            <w:tcW w:w="6786" w:type="dxa"/>
          </w:tcPr>
          <w:p w:rsidR="00661EB3" w:rsidP="00661EB3" w14:paraId="00000066" w14:textId="31D174A8">
            <w:pPr>
              <w:pStyle w:val="Normal2"/>
              <w:pBdr>
                <w:top w:val="nil"/>
                <w:left w:val="nil"/>
                <w:bottom w:val="nil"/>
                <w:right w:val="nil"/>
                <w:between w:val="nil"/>
              </w:pBdr>
              <w:tabs>
                <w:tab w:val="left" w:pos="360"/>
              </w:tabs>
              <w:rPr>
                <w:color w:val="000000"/>
                <w:sz w:val="22"/>
                <w:szCs w:val="22"/>
              </w:rPr>
            </w:pPr>
            <w:r>
              <w:rPr>
                <w:color w:val="000000"/>
                <w:sz w:val="22"/>
                <w:szCs w:val="22"/>
              </w:rPr>
              <w:t>Everett Long, PhD, Research Lead</w:t>
            </w:r>
          </w:p>
        </w:tc>
        <w:tc>
          <w:tcPr>
            <w:tcW w:w="3289" w:type="dxa"/>
          </w:tcPr>
          <w:p w:rsidR="00661EB3" w:rsidP="00661EB3" w14:paraId="00000067" w14:textId="4B75136B">
            <w:pPr>
              <w:pStyle w:val="Normal2"/>
              <w:pBdr>
                <w:top w:val="nil"/>
                <w:left w:val="nil"/>
                <w:bottom w:val="nil"/>
                <w:right w:val="nil"/>
                <w:between w:val="nil"/>
              </w:pBdr>
              <w:tabs>
                <w:tab w:val="left" w:pos="360"/>
              </w:tabs>
              <w:rPr>
                <w:color w:val="000000"/>
                <w:sz w:val="22"/>
                <w:szCs w:val="22"/>
              </w:rPr>
            </w:pPr>
            <w:r>
              <w:rPr>
                <w:sz w:val="22"/>
                <w:szCs w:val="22"/>
              </w:rPr>
              <w:t>Brunet-García</w:t>
            </w:r>
            <w:r>
              <w:rPr>
                <w:color w:val="000000"/>
                <w:sz w:val="22"/>
                <w:szCs w:val="22"/>
              </w:rPr>
              <w:t xml:space="preserve"> (contractor)</w:t>
            </w:r>
          </w:p>
        </w:tc>
      </w:tr>
      <w:tr w14:paraId="0A37501D" w14:textId="77777777" w:rsidTr="4D8AA64D">
        <w:tblPrEx>
          <w:tblW w:w="10075" w:type="dxa"/>
          <w:tblInd w:w="-5" w:type="dxa"/>
          <w:tblLayout w:type="fixed"/>
          <w:tblCellMar>
            <w:top w:w="100" w:type="dxa"/>
            <w:left w:w="115" w:type="dxa"/>
            <w:bottom w:w="100" w:type="dxa"/>
            <w:right w:w="115" w:type="dxa"/>
          </w:tblCellMar>
          <w:tblLook w:val="0400"/>
        </w:tblPrEx>
        <w:tc>
          <w:tcPr>
            <w:tcW w:w="6786" w:type="dxa"/>
          </w:tcPr>
          <w:p w:rsidR="00661EB3" w:rsidP="00661EB3" w14:paraId="0000006A" w14:textId="549B2CB2">
            <w:pPr>
              <w:pStyle w:val="Normal2"/>
              <w:pBdr>
                <w:top w:val="nil"/>
                <w:left w:val="nil"/>
                <w:bottom w:val="nil"/>
                <w:right w:val="nil"/>
                <w:between w:val="nil"/>
              </w:pBdr>
              <w:tabs>
                <w:tab w:val="left" w:pos="360"/>
              </w:tabs>
              <w:rPr>
                <w:color w:val="000000"/>
                <w:sz w:val="22"/>
                <w:szCs w:val="22"/>
              </w:rPr>
            </w:pPr>
            <w:r>
              <w:rPr>
                <w:color w:val="000000"/>
                <w:sz w:val="22"/>
                <w:szCs w:val="22"/>
              </w:rPr>
              <w:t>Kim Vermillion, Researcher</w:t>
            </w:r>
          </w:p>
        </w:tc>
        <w:tc>
          <w:tcPr>
            <w:tcW w:w="3289" w:type="dxa"/>
          </w:tcPr>
          <w:p w:rsidR="00661EB3" w:rsidP="00661EB3" w14:paraId="0000006B" w14:textId="54271389">
            <w:pPr>
              <w:pStyle w:val="Normal2"/>
              <w:pBdr>
                <w:top w:val="nil"/>
                <w:left w:val="nil"/>
                <w:bottom w:val="nil"/>
                <w:right w:val="nil"/>
                <w:between w:val="nil"/>
              </w:pBdr>
              <w:tabs>
                <w:tab w:val="left" w:pos="360"/>
              </w:tabs>
              <w:rPr>
                <w:color w:val="000000"/>
                <w:sz w:val="22"/>
                <w:szCs w:val="22"/>
              </w:rPr>
            </w:pPr>
            <w:r>
              <w:rPr>
                <w:sz w:val="22"/>
                <w:szCs w:val="22"/>
              </w:rPr>
              <w:t>Brunet-García</w:t>
            </w:r>
            <w:r>
              <w:rPr>
                <w:color w:val="000000"/>
                <w:sz w:val="22"/>
                <w:szCs w:val="22"/>
              </w:rPr>
              <w:t xml:space="preserve"> (contractor)</w:t>
            </w:r>
          </w:p>
        </w:tc>
      </w:tr>
      <w:tr w14:paraId="66468E6A" w14:textId="77777777" w:rsidTr="4D8AA64D">
        <w:tblPrEx>
          <w:tblW w:w="10075" w:type="dxa"/>
          <w:tblInd w:w="-5" w:type="dxa"/>
          <w:tblLayout w:type="fixed"/>
          <w:tblCellMar>
            <w:top w:w="100" w:type="dxa"/>
            <w:left w:w="115" w:type="dxa"/>
            <w:bottom w:w="100" w:type="dxa"/>
            <w:right w:w="115" w:type="dxa"/>
          </w:tblCellMar>
          <w:tblLook w:val="0400"/>
        </w:tblPrEx>
        <w:tc>
          <w:tcPr>
            <w:tcW w:w="6786" w:type="dxa"/>
          </w:tcPr>
          <w:p w:rsidR="00D047C1" w:rsidP="00661EB3" w14:paraId="77D0FA8D" w14:textId="6A9BC60D">
            <w:pPr>
              <w:pStyle w:val="Normal2"/>
              <w:pBdr>
                <w:top w:val="nil"/>
                <w:left w:val="nil"/>
                <w:bottom w:val="nil"/>
                <w:right w:val="nil"/>
                <w:between w:val="nil"/>
              </w:pBdr>
              <w:tabs>
                <w:tab w:val="left" w:pos="360"/>
              </w:tabs>
              <w:rPr>
                <w:color w:val="000000"/>
                <w:sz w:val="22"/>
                <w:szCs w:val="22"/>
              </w:rPr>
            </w:pPr>
            <w:r>
              <w:rPr>
                <w:color w:val="000000"/>
                <w:sz w:val="22"/>
                <w:szCs w:val="22"/>
              </w:rPr>
              <w:t xml:space="preserve">Chad </w:t>
            </w:r>
            <w:r>
              <w:rPr>
                <w:color w:val="000000"/>
                <w:sz w:val="22"/>
                <w:szCs w:val="22"/>
              </w:rPr>
              <w:t>Villaroel</w:t>
            </w:r>
            <w:r>
              <w:rPr>
                <w:color w:val="000000"/>
                <w:sz w:val="22"/>
                <w:szCs w:val="22"/>
              </w:rPr>
              <w:t>, Account Director</w:t>
            </w:r>
          </w:p>
        </w:tc>
        <w:tc>
          <w:tcPr>
            <w:tcW w:w="3289" w:type="dxa"/>
          </w:tcPr>
          <w:p w:rsidR="00D047C1" w:rsidP="00661EB3" w14:paraId="2728E0D8" w14:textId="1021B6B8">
            <w:pPr>
              <w:pStyle w:val="Normal2"/>
              <w:pBdr>
                <w:top w:val="nil"/>
                <w:left w:val="nil"/>
                <w:bottom w:val="nil"/>
                <w:right w:val="nil"/>
                <w:between w:val="nil"/>
              </w:pBdr>
              <w:tabs>
                <w:tab w:val="left" w:pos="360"/>
              </w:tabs>
              <w:rPr>
                <w:sz w:val="22"/>
                <w:szCs w:val="22"/>
              </w:rPr>
            </w:pPr>
            <w:r>
              <w:rPr>
                <w:sz w:val="22"/>
                <w:szCs w:val="22"/>
              </w:rPr>
              <w:t>Brunet-García</w:t>
            </w:r>
            <w:r>
              <w:rPr>
                <w:color w:val="000000"/>
                <w:sz w:val="22"/>
                <w:szCs w:val="22"/>
              </w:rPr>
              <w:t xml:space="preserve"> (contractor)</w:t>
            </w:r>
          </w:p>
        </w:tc>
      </w:tr>
    </w:tbl>
    <w:p w:rsidR="003D5C2B" w14:paraId="0000006C" w14:textId="77777777">
      <w:pPr>
        <w:pStyle w:val="Normal2"/>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5" w14:textId="77777777">
    <w:pPr>
      <w:pStyle w:val="Normal2"/>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1" w14:textId="77777777">
    <w:pPr>
      <w:pStyle w:val="Normal2"/>
      <w:pBdr>
        <w:top w:val="nil"/>
        <w:left w:val="nil"/>
        <w:bottom w:val="nil"/>
        <w:right w:val="nil"/>
        <w:between w:val="nil"/>
      </w:pBdr>
      <w:tabs>
        <w:tab w:val="center" w:pos="4680"/>
        <w:tab w:val="right" w:pos="9360"/>
      </w:tabs>
      <w:spacing w:after="0" w:line="240" w:lineRule="auto"/>
      <w:jc w:val="center"/>
      <w:rPr>
        <w:color w:val="000000"/>
      </w:rPr>
    </w:pPr>
  </w:p>
  <w:p w:rsidR="003D5C2B" w14:paraId="00000072" w14:textId="77777777">
    <w:pPr>
      <w:pStyle w:val="Normal2"/>
      <w:pBdr>
        <w:top w:val="nil"/>
        <w:left w:val="nil"/>
        <w:bottom w:val="nil"/>
        <w:right w:val="nil"/>
        <w:between w:val="nil"/>
      </w:pBdr>
      <w:tabs>
        <w:tab w:val="center" w:pos="4680"/>
        <w:tab w:val="right" w:pos="9360"/>
      </w:tabs>
      <w:spacing w:after="0" w:line="240" w:lineRule="auto"/>
    </w:pPr>
  </w:p>
  <w:p w:rsidR="003D5C2B" w14:paraId="00000073" w14:textId="06D8143E">
    <w:pPr>
      <w:pStyle w:val="Normal2"/>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661EB3">
      <w:rPr>
        <w:noProof/>
        <w:sz w:val="22"/>
        <w:szCs w:val="22"/>
      </w:rPr>
      <w:t>2</w:t>
    </w:r>
    <w:r>
      <w:rPr>
        <w:sz w:val="22"/>
        <w:szCs w:val="22"/>
      </w:rPr>
      <w:fldChar w:fldCharType="end"/>
    </w:r>
  </w:p>
  <w:p w:rsidR="003D5C2B" w14:paraId="00000074" w14:textId="77777777">
    <w:pPr>
      <w:pStyle w:val="Normal2"/>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6" w14:textId="77777777">
    <w:pPr>
      <w:pStyle w:val="Normal2"/>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0"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6F"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C98" w14:paraId="5DF008D1" w14:textId="77777777">
    <w:pPr>
      <w:pStyle w:val="Normal2"/>
      <w:spacing w:after="0" w:line="240" w:lineRule="auto"/>
      <w:jc w:val="right"/>
    </w:pPr>
  </w:p>
  <w:p w:rsidR="003D5C2B" w14:paraId="0000006E"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6ED596"/>
    <w:multiLevelType w:val="multilevel"/>
    <w:tmpl w:val="9D1A9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8315DC"/>
    <w:multiLevelType w:val="multilevel"/>
    <w:tmpl w:val="0EF63AF8"/>
    <w:lvl w:ilvl="0">
      <w:start w:val="1"/>
      <w:numFmt w:val="decimal"/>
      <w:pStyle w:val="heading1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52883">
    <w:abstractNumId w:val="1"/>
  </w:num>
  <w:num w:numId="2" w16cid:durableId="6482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A3240"/>
    <w:rsid w:val="0000468F"/>
    <w:rsid w:val="000319A8"/>
    <w:rsid w:val="00051E2D"/>
    <w:rsid w:val="0005408D"/>
    <w:rsid w:val="000756EB"/>
    <w:rsid w:val="000B1AD3"/>
    <w:rsid w:val="000B4FE6"/>
    <w:rsid w:val="000B69FF"/>
    <w:rsid w:val="0010708D"/>
    <w:rsid w:val="00127412"/>
    <w:rsid w:val="001B0C98"/>
    <w:rsid w:val="001B5C74"/>
    <w:rsid w:val="001D4381"/>
    <w:rsid w:val="00202B2E"/>
    <w:rsid w:val="00207602"/>
    <w:rsid w:val="00226884"/>
    <w:rsid w:val="002510E1"/>
    <w:rsid w:val="00251DA3"/>
    <w:rsid w:val="00274E90"/>
    <w:rsid w:val="002753F8"/>
    <w:rsid w:val="00277425"/>
    <w:rsid w:val="002A4758"/>
    <w:rsid w:val="002A6BA1"/>
    <w:rsid w:val="002B6E6F"/>
    <w:rsid w:val="002D31BD"/>
    <w:rsid w:val="002D363A"/>
    <w:rsid w:val="00332B59"/>
    <w:rsid w:val="00357207"/>
    <w:rsid w:val="003828A7"/>
    <w:rsid w:val="003A1500"/>
    <w:rsid w:val="003A2961"/>
    <w:rsid w:val="003A2E60"/>
    <w:rsid w:val="003B01E8"/>
    <w:rsid w:val="003D50AB"/>
    <w:rsid w:val="003D5C2B"/>
    <w:rsid w:val="004005E2"/>
    <w:rsid w:val="004051CB"/>
    <w:rsid w:val="00480D69"/>
    <w:rsid w:val="004B0F7E"/>
    <w:rsid w:val="004C3DBE"/>
    <w:rsid w:val="004F2861"/>
    <w:rsid w:val="00500983"/>
    <w:rsid w:val="00570806"/>
    <w:rsid w:val="00586DDA"/>
    <w:rsid w:val="005B6948"/>
    <w:rsid w:val="005E0DC9"/>
    <w:rsid w:val="00607804"/>
    <w:rsid w:val="00616010"/>
    <w:rsid w:val="00625A53"/>
    <w:rsid w:val="00630547"/>
    <w:rsid w:val="00632967"/>
    <w:rsid w:val="00661EB3"/>
    <w:rsid w:val="00694DCA"/>
    <w:rsid w:val="006954AE"/>
    <w:rsid w:val="006A39E2"/>
    <w:rsid w:val="006B41AA"/>
    <w:rsid w:val="00710B00"/>
    <w:rsid w:val="0077778C"/>
    <w:rsid w:val="00793636"/>
    <w:rsid w:val="007A4231"/>
    <w:rsid w:val="007E4A10"/>
    <w:rsid w:val="007F6567"/>
    <w:rsid w:val="00823B78"/>
    <w:rsid w:val="00845A23"/>
    <w:rsid w:val="0086382D"/>
    <w:rsid w:val="008807DC"/>
    <w:rsid w:val="008817AD"/>
    <w:rsid w:val="008A6DB5"/>
    <w:rsid w:val="008B5E9E"/>
    <w:rsid w:val="008C105C"/>
    <w:rsid w:val="008C2BE4"/>
    <w:rsid w:val="008C4213"/>
    <w:rsid w:val="008D51B5"/>
    <w:rsid w:val="008E05A3"/>
    <w:rsid w:val="008F0CC9"/>
    <w:rsid w:val="00910DFF"/>
    <w:rsid w:val="009120A1"/>
    <w:rsid w:val="00956156"/>
    <w:rsid w:val="0095655E"/>
    <w:rsid w:val="00967AF7"/>
    <w:rsid w:val="00976AAD"/>
    <w:rsid w:val="0099656C"/>
    <w:rsid w:val="009C01F1"/>
    <w:rsid w:val="00A66886"/>
    <w:rsid w:val="00AB213C"/>
    <w:rsid w:val="00AC2812"/>
    <w:rsid w:val="00AE0791"/>
    <w:rsid w:val="00AE51D9"/>
    <w:rsid w:val="00B10816"/>
    <w:rsid w:val="00B36A95"/>
    <w:rsid w:val="00B51918"/>
    <w:rsid w:val="00B552E5"/>
    <w:rsid w:val="00BB2883"/>
    <w:rsid w:val="00BC3AA9"/>
    <w:rsid w:val="00C000C3"/>
    <w:rsid w:val="00C038D3"/>
    <w:rsid w:val="00C14EAA"/>
    <w:rsid w:val="00C262C2"/>
    <w:rsid w:val="00C46C72"/>
    <w:rsid w:val="00C54991"/>
    <w:rsid w:val="00C66267"/>
    <w:rsid w:val="00CB370B"/>
    <w:rsid w:val="00D047C1"/>
    <w:rsid w:val="00D400E1"/>
    <w:rsid w:val="00D445E1"/>
    <w:rsid w:val="00D86FBC"/>
    <w:rsid w:val="00DE2BFD"/>
    <w:rsid w:val="00DE374A"/>
    <w:rsid w:val="00DF29AA"/>
    <w:rsid w:val="00E13A29"/>
    <w:rsid w:val="00E22981"/>
    <w:rsid w:val="00EA5264"/>
    <w:rsid w:val="00EA6D10"/>
    <w:rsid w:val="00EC4E2A"/>
    <w:rsid w:val="00ED1AB8"/>
    <w:rsid w:val="00EF4CA2"/>
    <w:rsid w:val="00EF52C0"/>
    <w:rsid w:val="00F20522"/>
    <w:rsid w:val="00F73DCD"/>
    <w:rsid w:val="00F750FF"/>
    <w:rsid w:val="00FB4F68"/>
    <w:rsid w:val="00FB7487"/>
    <w:rsid w:val="00FD0AB6"/>
    <w:rsid w:val="00FD5CA0"/>
    <w:rsid w:val="00FE36FD"/>
    <w:rsid w:val="00FE774A"/>
    <w:rsid w:val="0FE3634B"/>
    <w:rsid w:val="1139FD50"/>
    <w:rsid w:val="13A221CD"/>
    <w:rsid w:val="15D07C49"/>
    <w:rsid w:val="211EFF50"/>
    <w:rsid w:val="25D359C0"/>
    <w:rsid w:val="4D8AA64D"/>
    <w:rsid w:val="71AA3240"/>
    <w:rsid w:val="795F44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9A3161"/>
  <w15:docId w15:val="{6108B4C3-2907-4061-80FD-9A4563ED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jc w:val="center"/>
      <w:outlineLvl w:val="2"/>
    </w:pPr>
    <w:rPr>
      <w:sz w:val="32"/>
      <w:szCs w:val="32"/>
    </w:rPr>
  </w:style>
  <w:style w:type="paragraph" w:styleId="Heading4">
    <w:name w:val="heading 4"/>
    <w:basedOn w:val="Normal"/>
    <w:next w:val="Normal"/>
    <w:uiPriority w:val="9"/>
    <w:semiHidden/>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240" w:line="240" w:lineRule="auto"/>
      <w:ind w:left="360" w:hanging="360"/>
    </w:pPr>
    <w:rPr>
      <w:b/>
      <w:color w:val="000000"/>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spacing w:after="0" w:line="240" w:lineRule="auto"/>
      <w:jc w:val="center"/>
    </w:pPr>
    <w:rPr>
      <w:sz w:val="32"/>
      <w:szCs w:val="32"/>
    </w:rPr>
  </w:style>
  <w:style w:type="paragraph" w:customStyle="1" w:styleId="heading40">
    <w:name w:val="heading 40"/>
    <w:basedOn w:val="Normal0"/>
    <w:next w:val="Normal0"/>
    <w:pPr>
      <w:spacing w:after="0" w:line="240" w:lineRule="auto"/>
      <w:jc w:val="center"/>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after="240" w:line="240" w:lineRule="auto"/>
      <w:ind w:left="360" w:hanging="360"/>
    </w:pPr>
    <w:rPr>
      <w:b/>
      <w:color w:val="000000"/>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spacing w:after="0" w:line="240" w:lineRule="auto"/>
      <w:jc w:val="center"/>
    </w:pPr>
    <w:rPr>
      <w:sz w:val="32"/>
      <w:szCs w:val="32"/>
    </w:rPr>
  </w:style>
  <w:style w:type="paragraph" w:customStyle="1" w:styleId="heading41">
    <w:name w:val="heading 41"/>
    <w:basedOn w:val="Normal1"/>
    <w:next w:val="Normal1"/>
    <w:pPr>
      <w:spacing w:after="0" w:line="240" w:lineRule="auto"/>
      <w:jc w:val="center"/>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rsid w:val="001E3765"/>
  </w:style>
  <w:style w:type="paragraph" w:customStyle="1" w:styleId="heading12">
    <w:name w:val="heading 12"/>
    <w:basedOn w:val="Subtitle2"/>
    <w:next w:val="Normal2"/>
    <w:link w:val="Heading1Char"/>
    <w:uiPriority w:val="9"/>
    <w:qFormat/>
    <w:rsid w:val="001E3765"/>
    <w:pPr>
      <w:numPr>
        <w:numId w:val="1"/>
      </w:numPr>
      <w:spacing w:after="240" w:line="240" w:lineRule="auto"/>
      <w:ind w:left="360"/>
      <w:outlineLvl w:val="0"/>
    </w:pPr>
    <w:rPr>
      <w:rFonts w:ascii="Times New Roman" w:hAnsi="Times New Roman" w:eastAsiaTheme="minorHAnsi"/>
      <w:b/>
      <w:color w:val="auto"/>
      <w:sz w:val="24"/>
    </w:rPr>
  </w:style>
  <w:style w:type="paragraph" w:customStyle="1" w:styleId="heading22">
    <w:name w:val="heading 22"/>
    <w:basedOn w:val="Normal2"/>
    <w:next w:val="Normal2"/>
    <w:uiPriority w:val="9"/>
    <w:unhideWhenUsed/>
    <w:qFormat/>
    <w:pPr>
      <w:keepNext/>
      <w:keepLines/>
      <w:spacing w:before="360" w:after="80"/>
      <w:outlineLvl w:val="1"/>
    </w:pPr>
    <w:rPr>
      <w:b/>
      <w:sz w:val="36"/>
      <w:szCs w:val="36"/>
    </w:rPr>
  </w:style>
  <w:style w:type="paragraph" w:customStyle="1" w:styleId="heading32">
    <w:name w:val="heading 32"/>
    <w:basedOn w:val="Normal2"/>
    <w:next w:val="Normal2"/>
    <w:link w:val="Heading3Char"/>
    <w:uiPriority w:val="9"/>
    <w:unhideWhenUsed/>
    <w:qFormat/>
    <w:rsid w:val="001E3765"/>
    <w:pPr>
      <w:spacing w:after="0" w:line="240" w:lineRule="auto"/>
      <w:jc w:val="center"/>
      <w:outlineLvl w:val="2"/>
    </w:pPr>
    <w:rPr>
      <w:sz w:val="32"/>
      <w:szCs w:val="32"/>
    </w:rPr>
  </w:style>
  <w:style w:type="paragraph" w:customStyle="1" w:styleId="heading42">
    <w:name w:val="heading 42"/>
    <w:basedOn w:val="Normal2"/>
    <w:next w:val="Normal2"/>
    <w:link w:val="Heading4Char"/>
    <w:uiPriority w:val="9"/>
    <w:unhideWhenUsed/>
    <w:qFormat/>
    <w:rsid w:val="001E3765"/>
    <w:pPr>
      <w:spacing w:after="0" w:line="240" w:lineRule="auto"/>
      <w:jc w:val="center"/>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character" w:customStyle="1" w:styleId="Heading1Char">
    <w:name w:val="Heading 1 Char"/>
    <w:basedOn w:val="DefaultParagraphFont"/>
    <w:link w:val="heading12"/>
    <w:uiPriority w:val="9"/>
    <w:rsid w:val="001E3765"/>
    <w:rPr>
      <w:rFonts w:ascii="Times New Roman" w:hAnsi="Times New Roman"/>
      <w:b/>
      <w:sz w:val="24"/>
    </w:rPr>
  </w:style>
  <w:style w:type="character" w:customStyle="1" w:styleId="Heading3Char">
    <w:name w:val="Heading 3 Char"/>
    <w:basedOn w:val="DefaultParagraphFont"/>
    <w:link w:val="heading32"/>
    <w:uiPriority w:val="9"/>
    <w:rsid w:val="001E3765"/>
    <w:rPr>
      <w:rFonts w:ascii="Times New Roman" w:hAnsi="Times New Roman"/>
      <w:sz w:val="32"/>
      <w:szCs w:val="32"/>
    </w:rPr>
  </w:style>
  <w:style w:type="character" w:customStyle="1" w:styleId="Heading4Char">
    <w:name w:val="Heading 4 Char"/>
    <w:basedOn w:val="DefaultParagraphFont"/>
    <w:link w:val="heading42"/>
    <w:uiPriority w:val="9"/>
    <w:rsid w:val="001E3765"/>
    <w:rPr>
      <w:rFonts w:ascii="Times New Roman" w:hAnsi="Times New Roman"/>
      <w:b/>
      <w:sz w:val="24"/>
    </w:rPr>
  </w:style>
  <w:style w:type="paragraph" w:styleId="Header">
    <w:name w:val="header"/>
    <w:basedOn w:val="Normal2"/>
    <w:link w:val="HeaderChar"/>
    <w:uiPriority w:val="99"/>
    <w:unhideWhenUsed/>
    <w:rsid w:val="001E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65"/>
    <w:rPr>
      <w:rFonts w:ascii="Times New Roman" w:hAnsi="Times New Roman"/>
      <w:sz w:val="24"/>
    </w:rPr>
  </w:style>
  <w:style w:type="paragraph" w:styleId="Footer">
    <w:name w:val="footer"/>
    <w:basedOn w:val="Normal2"/>
    <w:link w:val="FooterChar"/>
    <w:uiPriority w:val="99"/>
    <w:unhideWhenUsed/>
    <w:rsid w:val="001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65"/>
    <w:rPr>
      <w:rFonts w:ascii="Times New Roman" w:hAnsi="Times New Roman"/>
      <w:sz w:val="24"/>
    </w:rPr>
  </w:style>
  <w:style w:type="character" w:styleId="Hyperlink">
    <w:name w:val="Hyperlink"/>
    <w:basedOn w:val="DefaultParagraphFont"/>
    <w:uiPriority w:val="99"/>
    <w:unhideWhenUsed/>
    <w:rsid w:val="001E3765"/>
    <w:rPr>
      <w:color w:val="0563C1" w:themeColor="hyperlink"/>
      <w:u w:val="single"/>
    </w:rPr>
  </w:style>
  <w:style w:type="paragraph" w:styleId="TOC2">
    <w:name w:val="toc 2"/>
    <w:basedOn w:val="Normal2"/>
    <w:next w:val="Normal2"/>
    <w:autoRedefine/>
    <w:uiPriority w:val="39"/>
    <w:unhideWhenUsed/>
    <w:rsid w:val="001E3765"/>
    <w:pPr>
      <w:spacing w:after="100"/>
      <w:ind w:left="240"/>
    </w:pPr>
  </w:style>
  <w:style w:type="paragraph" w:styleId="TOC1">
    <w:name w:val="toc 1"/>
    <w:basedOn w:val="Normal2"/>
    <w:next w:val="Normal2"/>
    <w:autoRedefine/>
    <w:uiPriority w:val="39"/>
    <w:unhideWhenUsed/>
    <w:rsid w:val="001E3765"/>
    <w:pPr>
      <w:spacing w:after="100"/>
    </w:pPr>
  </w:style>
  <w:style w:type="table" w:styleId="TableGrid">
    <w:name w:val="Table Grid"/>
    <w:basedOn w:val="NormalTable2"/>
    <w:uiPriority w:val="59"/>
    <w:rsid w:val="001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765"/>
    <w:pPr>
      <w:spacing w:after="0" w:line="240" w:lineRule="auto"/>
    </w:pPr>
  </w:style>
  <w:style w:type="paragraph" w:styleId="Subtitle">
    <w:name w:val="Subtitle"/>
    <w:basedOn w:val="Normal2"/>
    <w:next w:val="Normal2"/>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E376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E3765"/>
    <w:rPr>
      <w:sz w:val="16"/>
      <w:szCs w:val="16"/>
    </w:rPr>
  </w:style>
  <w:style w:type="paragraph" w:styleId="CommentText">
    <w:name w:val="annotation text"/>
    <w:basedOn w:val="Normal2"/>
    <w:link w:val="CommentTextChar"/>
    <w:uiPriority w:val="99"/>
    <w:unhideWhenUsed/>
    <w:rsid w:val="001E3765"/>
    <w:pPr>
      <w:spacing w:line="240" w:lineRule="auto"/>
    </w:pPr>
    <w:rPr>
      <w:sz w:val="20"/>
      <w:szCs w:val="20"/>
    </w:rPr>
  </w:style>
  <w:style w:type="character" w:customStyle="1" w:styleId="CommentTextChar">
    <w:name w:val="Comment Text Char"/>
    <w:basedOn w:val="DefaultParagraphFont"/>
    <w:link w:val="CommentText"/>
    <w:uiPriority w:val="99"/>
    <w:rsid w:val="001E3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765"/>
    <w:rPr>
      <w:b/>
      <w:bCs/>
    </w:rPr>
  </w:style>
  <w:style w:type="character" w:customStyle="1" w:styleId="CommentSubjectChar">
    <w:name w:val="Comment Subject Char"/>
    <w:basedOn w:val="CommentTextChar"/>
    <w:link w:val="CommentSubject"/>
    <w:uiPriority w:val="99"/>
    <w:semiHidden/>
    <w:rsid w:val="001E3765"/>
    <w:rPr>
      <w:rFonts w:ascii="Times New Roman" w:hAnsi="Times New Roman"/>
      <w:b/>
      <w:bCs/>
      <w:sz w:val="20"/>
      <w:szCs w:val="20"/>
    </w:rPr>
  </w:style>
  <w:style w:type="paragraph" w:styleId="ListParagraph">
    <w:name w:val="List Paragraph"/>
    <w:basedOn w:val="Normal2"/>
    <w:uiPriority w:val="34"/>
    <w:qFormat/>
    <w:rsid w:val="0073731B"/>
    <w:pPr>
      <w:ind w:left="720"/>
      <w:contextualSpacing/>
    </w:pPr>
  </w:style>
  <w:style w:type="table" w:customStyle="1" w:styleId="a">
    <w:name w:val="a"/>
    <w:basedOn w:val="NormalTable2"/>
    <w:tblPr>
      <w:tblStyleRowBandSize w:val="1"/>
      <w:tblStyleColBandSize w:val="1"/>
      <w:tblCellMar>
        <w:top w:w="100" w:type="dxa"/>
        <w:left w:w="100" w:type="dxa"/>
        <w:bottom w:w="100" w:type="dxa"/>
        <w:right w:w="100" w:type="dxa"/>
      </w:tblCellMar>
    </w:tbl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pPr>
      <w:spacing w:after="0" w:line="240" w:lineRule="auto"/>
    </w:pPr>
    <w:tblPr>
      <w:tblStyleRowBandSize w:val="1"/>
      <w:tblStyleColBandSize w:val="1"/>
    </w:tblPr>
  </w:style>
  <w:style w:type="table" w:customStyle="1" w:styleId="a2">
    <w:name w:val="a2"/>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name w:val="a3"/>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name w:val="a4"/>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name w:val="a5"/>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name w:val="a6"/>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name w:val="a7"/>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name w:val="a8"/>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name w:val="a9"/>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name w:val="aa"/>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name w:val="ab"/>
    <w:basedOn w:val="NormalTable2"/>
    <w:tblPr>
      <w:tblStyleRowBandSize w:val="1"/>
      <w:tblStyleColBandSize w:val="1"/>
      <w:tblCellMar>
        <w:top w:w="100" w:type="dxa"/>
        <w:left w:w="100" w:type="dxa"/>
        <w:bottom w:w="100" w:type="dxa"/>
        <w:right w:w="100" w:type="dxa"/>
      </w:tblCellMar>
    </w:tblPr>
  </w:style>
  <w:style w:type="table" w:customStyle="1" w:styleId="ac">
    <w:name w:val="ac"/>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D71EF2"/>
    <w:pPr>
      <w:spacing w:after="0" w:line="240" w:lineRule="auto"/>
    </w:pPr>
  </w:style>
  <w:style w:type="table" w:customStyle="1" w:styleId="ad">
    <w:name w:val="ad"/>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name w:val="ae"/>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0">
    <w:name w:val="Subtitle0"/>
    <w:basedOn w:val="Normal2"/>
    <w:next w:val="Normal2"/>
    <w:pPr>
      <w:spacing w:after="160"/>
    </w:pPr>
    <w:rPr>
      <w:rFonts w:ascii="Calibri" w:eastAsia="Calibri" w:hAnsi="Calibri" w:cs="Calibri"/>
      <w:color w:val="5A5A5A"/>
      <w:sz w:val="22"/>
      <w:szCs w:val="22"/>
    </w:rPr>
  </w:style>
  <w:style w:type="table" w:customStyle="1" w:styleId="af">
    <w:name w:val="af"/>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name w:val="af0"/>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1">
    <w:name w:val="Subtitle1"/>
    <w:basedOn w:val="Normal2"/>
    <w:next w:val="Normal2"/>
    <w:pPr>
      <w:spacing w:after="160"/>
    </w:pPr>
    <w:rPr>
      <w:rFonts w:ascii="Calibri" w:eastAsia="Calibri" w:hAnsi="Calibri" w:cs="Calibri"/>
      <w:color w:val="5A5A5A"/>
      <w:sz w:val="22"/>
      <w:szCs w:val="22"/>
    </w:rPr>
  </w:style>
  <w:style w:type="table" w:customStyle="1" w:styleId="af1">
    <w:name w:val="af1"/>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name w:val="af2"/>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2">
    <w:name w:val="Subtitle2"/>
    <w:basedOn w:val="Normal2"/>
    <w:next w:val="Normal2"/>
    <w:pPr>
      <w:spacing w:after="160"/>
    </w:pPr>
    <w:rPr>
      <w:rFonts w:ascii="Calibri" w:eastAsia="Calibri" w:hAnsi="Calibri" w:cs="Calibri"/>
      <w:color w:val="5A5A5A"/>
      <w:sz w:val="22"/>
      <w:szCs w:val="22"/>
    </w:rPr>
  </w:style>
  <w:style w:type="table" w:customStyle="1" w:styleId="af3">
    <w:name w:val="af3"/>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coverdate">
    <w:name w:val="cover date"/>
    <w:qFormat/>
    <w:rsid w:val="00EC4E2A"/>
    <w:pPr>
      <w:spacing w:after="0" w:line="440" w:lineRule="exact"/>
    </w:pPr>
    <w:rPr>
      <w:rFonts w:ascii="Arial" w:hAnsi="Arial"/>
      <w:sz w:val="34"/>
      <w:szCs w:val="26"/>
    </w:rPr>
  </w:style>
  <w:style w:type="character" w:styleId="Mention">
    <w:name w:val="Mention"/>
    <w:basedOn w:val="DefaultParagraphFont"/>
    <w:uiPriority w:val="99"/>
    <w:unhideWhenUsed/>
    <w:rsid w:val="00480D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k0ZZeAJDOW43zCfuOkrMMExF9A==">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3" ma:contentTypeDescription="Create a new document." ma:contentTypeScope="" ma:versionID="98ca2c9942a52e5b20c2e7b2d6b2002f">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2198beb84808abb3e0e291e890a2504c"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E0BAD-F871-448D-BA47-C2A433CF0394}">
  <ds:schemaRefs>
    <ds:schemaRef ds:uri="12cb6dfe-256c-468f-a249-517e8848b4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273376-4701-4e40-9c6c-cca19f7dc1c8"/>
    <ds:schemaRef ds:uri="http://www.w3.org/XML/1998/namespace"/>
    <ds:schemaRef ds:uri="http://purl.org/dc/dcmitype/"/>
  </ds:schemaRefs>
</ds:datastoreItem>
</file>

<file path=customXml/itemProps2.xml><?xml version="1.0" encoding="utf-8"?>
<ds:datastoreItem xmlns:ds="http://schemas.openxmlformats.org/officeDocument/2006/customXml" ds:itemID="{5CF23D67-F8A2-4CDD-B711-BC14158F61C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67BF8CF-461B-4358-A4A7-EEFBF330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Sarah (CDC/DDID/NCEZID/DFWED)</dc:creator>
  <cp:lastModifiedBy>Angel, Karen C. (CDC/NCIPC/OD)</cp:lastModifiedBy>
  <cp:revision>4</cp:revision>
  <dcterms:created xsi:type="dcterms:W3CDTF">2023-11-14T22:37:00Z</dcterms:created>
  <dcterms:modified xsi:type="dcterms:W3CDTF">2023-11-15T14:09:00Z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